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64" w:rsidRPr="00AD6C63" w:rsidRDefault="000D4664" w:rsidP="00AD6C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b/>
          <w:noProof/>
          <w:szCs w:val="22"/>
        </w:rPr>
      </w:pPr>
      <w:r w:rsidRPr="00AD6C63">
        <w:rPr>
          <w:b/>
          <w:noProof/>
          <w:szCs w:val="22"/>
        </w:rPr>
        <w:t>A KÜLSŐ CSOMAGOLÁSON FELTÜNTETENDŐ ADATOK</w:t>
      </w:r>
    </w:p>
    <w:p w:rsidR="000D4664" w:rsidRPr="00AD6C63" w:rsidRDefault="000D4664" w:rsidP="00AD6C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b/>
          <w:noProof/>
          <w:szCs w:val="22"/>
        </w:rPr>
      </w:pPr>
    </w:p>
    <w:p w:rsidR="000D4664" w:rsidRPr="00AD6C63" w:rsidRDefault="000D4664" w:rsidP="00AD6C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b/>
          <w:noProof/>
          <w:szCs w:val="22"/>
        </w:rPr>
      </w:pPr>
      <w:r w:rsidRPr="00AD6C63">
        <w:rPr>
          <w:b/>
          <w:noProof/>
          <w:szCs w:val="22"/>
        </w:rPr>
        <w:t>DOBOZ</w:t>
      </w:r>
      <w:r w:rsidR="00461092">
        <w:rPr>
          <w:b/>
          <w:noProof/>
          <w:szCs w:val="22"/>
        </w:rPr>
        <w:t xml:space="preserve"> </w:t>
      </w:r>
      <w:r w:rsidR="00461092">
        <w:rPr>
          <w:b/>
          <w:szCs w:val="22"/>
        </w:rPr>
        <w:t>(Többnyelvű: HU+HR)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1.</w:t>
      </w:r>
      <w:r w:rsidRPr="00AD6C63">
        <w:rPr>
          <w:b/>
          <w:noProof/>
          <w:szCs w:val="22"/>
        </w:rPr>
        <w:tab/>
        <w:t xml:space="preserve">A GYÓGYSZER </w:t>
      </w:r>
      <w:r w:rsidR="00AD6C63">
        <w:rPr>
          <w:b/>
          <w:noProof/>
          <w:szCs w:val="22"/>
        </w:rPr>
        <w:t>NEVE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256A59" w:rsidRPr="00256A59" w:rsidRDefault="00256A59" w:rsidP="00256A59">
      <w:pPr>
        <w:spacing w:line="240" w:lineRule="auto"/>
        <w:rPr>
          <w:noProof/>
          <w:szCs w:val="22"/>
        </w:rPr>
      </w:pPr>
      <w:r w:rsidRPr="00256A59">
        <w:rPr>
          <w:lang w:val="en-GB" w:eastAsia="el-GR"/>
        </w:rPr>
        <w:t xml:space="preserve">Meropenem AptaPharma </w:t>
      </w:r>
      <w:r w:rsidRPr="00256A59">
        <w:rPr>
          <w:noProof/>
          <w:szCs w:val="22"/>
        </w:rPr>
        <w:t>500 mg por oldatos injekcióhoz vagy infúzióhoz</w:t>
      </w:r>
    </w:p>
    <w:p w:rsidR="000D4664" w:rsidRPr="00AD6C63" w:rsidRDefault="00C9095D" w:rsidP="00AD6C63">
      <w:pPr>
        <w:spacing w:line="240" w:lineRule="auto"/>
        <w:rPr>
          <w:noProof/>
          <w:szCs w:val="22"/>
        </w:rPr>
      </w:pPr>
      <w:r w:rsidRPr="00AD6C63">
        <w:rPr>
          <w:noProof/>
          <w:szCs w:val="22"/>
        </w:rPr>
        <w:t>m</w:t>
      </w:r>
      <w:r w:rsidR="000D4664" w:rsidRPr="00AD6C63">
        <w:rPr>
          <w:noProof/>
          <w:szCs w:val="22"/>
        </w:rPr>
        <w:t>eropenem</w:t>
      </w:r>
    </w:p>
    <w:p w:rsidR="000D4664" w:rsidRDefault="000D4664" w:rsidP="00AD6C63">
      <w:pPr>
        <w:spacing w:line="240" w:lineRule="auto"/>
        <w:rPr>
          <w:noProof/>
          <w:szCs w:val="22"/>
        </w:rPr>
      </w:pPr>
    </w:p>
    <w:p w:rsidR="00A12163" w:rsidRPr="00AD6C63" w:rsidRDefault="00A12163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2.</w:t>
      </w:r>
      <w:r w:rsidRPr="00AD6C63">
        <w:rPr>
          <w:b/>
          <w:noProof/>
          <w:szCs w:val="22"/>
        </w:rPr>
        <w:tab/>
        <w:t>HATÓANYAG(OK) MEGNEVEZÉSE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Default="00256A59" w:rsidP="00AD6C63">
      <w:pPr>
        <w:spacing w:line="240" w:lineRule="auto"/>
        <w:rPr>
          <w:noProof/>
          <w:szCs w:val="22"/>
        </w:rPr>
      </w:pPr>
      <w:r w:rsidRPr="002D0F02">
        <w:rPr>
          <w:szCs w:val="22"/>
        </w:rPr>
        <w:t xml:space="preserve">500 mg vízmentes </w:t>
      </w:r>
      <w:r w:rsidR="00EE258D">
        <w:rPr>
          <w:szCs w:val="22"/>
        </w:rPr>
        <w:t xml:space="preserve">meropenemet tartalmaz </w:t>
      </w:r>
      <w:r w:rsidRPr="002D0F02">
        <w:rPr>
          <w:szCs w:val="22"/>
        </w:rPr>
        <w:t>(570 mg meropenem-trihidrát formájában) üvegenként</w:t>
      </w:r>
      <w:r w:rsidR="000D4664" w:rsidRPr="00AD6C63">
        <w:rPr>
          <w:noProof/>
          <w:szCs w:val="22"/>
        </w:rPr>
        <w:t>.</w:t>
      </w:r>
    </w:p>
    <w:p w:rsidR="003B310B" w:rsidRDefault="003B310B" w:rsidP="00AD6C63">
      <w:pPr>
        <w:spacing w:line="240" w:lineRule="auto"/>
        <w:rPr>
          <w:noProof/>
          <w:szCs w:val="22"/>
        </w:rPr>
      </w:pPr>
    </w:p>
    <w:p w:rsidR="003B310B" w:rsidRPr="00AD6C63" w:rsidRDefault="003B310B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3.</w:t>
      </w:r>
      <w:r w:rsidRPr="00AD6C63">
        <w:rPr>
          <w:b/>
          <w:noProof/>
          <w:szCs w:val="22"/>
        </w:rPr>
        <w:tab/>
        <w:t>SEGÉDANYAGOK FELSOROLÁSA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C56403" w:rsidP="00AD6C63">
      <w:pPr>
        <w:spacing w:line="240" w:lineRule="auto"/>
        <w:rPr>
          <w:noProof/>
          <w:color w:val="000000"/>
          <w:szCs w:val="22"/>
        </w:rPr>
      </w:pPr>
      <w:r>
        <w:rPr>
          <w:noProof/>
          <w:color w:val="000000"/>
          <w:szCs w:val="22"/>
        </w:rPr>
        <w:t>N</w:t>
      </w:r>
      <w:r w:rsidR="000D4664" w:rsidRPr="00AD6C63">
        <w:rPr>
          <w:noProof/>
          <w:color w:val="000000"/>
          <w:szCs w:val="22"/>
        </w:rPr>
        <w:t>átrium-karbonát</w:t>
      </w:r>
      <w:r w:rsidR="00A12163">
        <w:rPr>
          <w:noProof/>
          <w:color w:val="000000"/>
          <w:szCs w:val="22"/>
        </w:rPr>
        <w:t>ot tartalmaz.</w:t>
      </w:r>
    </w:p>
    <w:p w:rsidR="00975E25" w:rsidRDefault="00975E25" w:rsidP="00975E25">
      <w:pPr>
        <w:spacing w:line="240" w:lineRule="auto"/>
      </w:pPr>
      <w:r w:rsidRPr="00E90E9D">
        <w:t xml:space="preserve">További információért </w:t>
      </w:r>
      <w:r>
        <w:t>lásd</w:t>
      </w:r>
      <w:r w:rsidRPr="00E90E9D">
        <w:t xml:space="preserve"> a mellékelt betegtájékoztatót</w:t>
      </w:r>
    </w:p>
    <w:p w:rsidR="000D4664" w:rsidRDefault="000D4664" w:rsidP="00AD6C63">
      <w:pPr>
        <w:spacing w:line="240" w:lineRule="auto"/>
        <w:rPr>
          <w:noProof/>
          <w:szCs w:val="22"/>
        </w:rPr>
      </w:pPr>
    </w:p>
    <w:p w:rsidR="001435C5" w:rsidRPr="00AD6C63" w:rsidRDefault="001435C5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4.</w:t>
      </w:r>
      <w:r w:rsidRPr="00AD6C63">
        <w:rPr>
          <w:b/>
          <w:noProof/>
          <w:szCs w:val="22"/>
        </w:rPr>
        <w:tab/>
        <w:t>GYÓGYSZERFORMA ÉS TARTALOM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C3321A" w:rsidRPr="00AD6C63" w:rsidRDefault="00C3321A" w:rsidP="00AD6C63">
      <w:pPr>
        <w:spacing w:line="240" w:lineRule="auto"/>
        <w:rPr>
          <w:color w:val="000000"/>
          <w:szCs w:val="22"/>
        </w:rPr>
      </w:pPr>
      <w:r w:rsidRPr="00AD6C63">
        <w:rPr>
          <w:color w:val="000000"/>
          <w:szCs w:val="22"/>
        </w:rPr>
        <w:t>por oldatos injekcióhoz vagy infúzióhoz</w:t>
      </w:r>
    </w:p>
    <w:p w:rsidR="00C3321A" w:rsidRPr="00AD6C63" w:rsidRDefault="00C3321A" w:rsidP="00AD6C63">
      <w:pPr>
        <w:spacing w:line="240" w:lineRule="auto"/>
        <w:rPr>
          <w:color w:val="000000"/>
          <w:szCs w:val="22"/>
        </w:rPr>
      </w:pPr>
    </w:p>
    <w:p w:rsidR="004937A4" w:rsidRDefault="003F6190" w:rsidP="00AD6C63">
      <w:pPr>
        <w:spacing w:line="240" w:lineRule="auto"/>
        <w:rPr>
          <w:color w:val="000000"/>
          <w:szCs w:val="22"/>
        </w:rPr>
      </w:pPr>
      <w:r>
        <w:rPr>
          <w:color w:val="000000"/>
          <w:szCs w:val="22"/>
        </w:rPr>
        <w:t>1</w:t>
      </w:r>
      <w:r w:rsidR="004937A4" w:rsidRPr="00AD6C63">
        <w:rPr>
          <w:color w:val="000000"/>
          <w:szCs w:val="22"/>
        </w:rPr>
        <w:t xml:space="preserve"> </w:t>
      </w:r>
      <w:r w:rsidR="00256A59">
        <w:rPr>
          <w:color w:val="000000"/>
          <w:szCs w:val="22"/>
        </w:rPr>
        <w:t xml:space="preserve">db </w:t>
      </w:r>
      <w:r w:rsidR="00F61E02">
        <w:rPr>
          <w:color w:val="000000"/>
          <w:szCs w:val="22"/>
        </w:rPr>
        <w:t xml:space="preserve">injekciós </w:t>
      </w:r>
      <w:r w:rsidR="004937A4" w:rsidRPr="00AD6C63">
        <w:rPr>
          <w:color w:val="000000"/>
          <w:szCs w:val="22"/>
        </w:rPr>
        <w:t>üveg</w:t>
      </w:r>
    </w:p>
    <w:p w:rsidR="003F6190" w:rsidRPr="00AD6C63" w:rsidRDefault="003F6190" w:rsidP="003F6190">
      <w:pPr>
        <w:spacing w:line="240" w:lineRule="auto"/>
        <w:rPr>
          <w:color w:val="000000"/>
          <w:szCs w:val="22"/>
        </w:rPr>
      </w:pPr>
      <w:r w:rsidRPr="00AD6C63">
        <w:rPr>
          <w:color w:val="000000"/>
          <w:szCs w:val="22"/>
        </w:rPr>
        <w:t xml:space="preserve">10 </w:t>
      </w:r>
      <w:r>
        <w:rPr>
          <w:color w:val="000000"/>
          <w:szCs w:val="22"/>
        </w:rPr>
        <w:t xml:space="preserve">db injekciós </w:t>
      </w:r>
      <w:r w:rsidRPr="00AD6C63">
        <w:rPr>
          <w:color w:val="000000"/>
          <w:szCs w:val="22"/>
        </w:rPr>
        <w:t>üveg</w:t>
      </w:r>
    </w:p>
    <w:p w:rsidR="003F6190" w:rsidRPr="00AD6C63" w:rsidRDefault="003F6190" w:rsidP="00AD6C63">
      <w:pPr>
        <w:spacing w:line="240" w:lineRule="auto"/>
        <w:rPr>
          <w:color w:val="000000"/>
          <w:szCs w:val="22"/>
        </w:rPr>
      </w:pP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5.</w:t>
      </w:r>
      <w:r w:rsidRPr="00AD6C63">
        <w:rPr>
          <w:b/>
          <w:noProof/>
          <w:szCs w:val="22"/>
        </w:rPr>
        <w:tab/>
        <w:t>AZ ALKALMAZÁSSAL KAPCSOLATOS TUDNIVALÓK ÉS AZ ALKALMAZÁS MÓDJA(I)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7569D9" w:rsidRPr="00AD6C63" w:rsidRDefault="007569D9" w:rsidP="00AD6C63">
      <w:pPr>
        <w:spacing w:line="240" w:lineRule="auto"/>
        <w:rPr>
          <w:noProof/>
          <w:szCs w:val="22"/>
        </w:rPr>
      </w:pPr>
      <w:r w:rsidRPr="00AD6C63">
        <w:rPr>
          <w:noProof/>
          <w:szCs w:val="22"/>
        </w:rPr>
        <w:t>Intravénás alkalmazásra.</w:t>
      </w:r>
    </w:p>
    <w:p w:rsidR="007569D9" w:rsidRPr="00AD6C63" w:rsidRDefault="00C72C62" w:rsidP="00AD6C63">
      <w:pPr>
        <w:spacing w:line="240" w:lineRule="auto"/>
        <w:rPr>
          <w:noProof/>
          <w:szCs w:val="22"/>
        </w:rPr>
      </w:pPr>
      <w:r w:rsidRPr="00AD6C63">
        <w:rPr>
          <w:noProof/>
          <w:szCs w:val="22"/>
        </w:rPr>
        <w:t>Kizárólag e</w:t>
      </w:r>
      <w:r w:rsidR="007569D9" w:rsidRPr="00AD6C63">
        <w:rPr>
          <w:noProof/>
          <w:szCs w:val="22"/>
        </w:rPr>
        <w:t xml:space="preserve">gyszeri </w:t>
      </w:r>
      <w:r w:rsidR="00AD6C63" w:rsidRPr="00AD6C63">
        <w:rPr>
          <w:noProof/>
          <w:szCs w:val="22"/>
        </w:rPr>
        <w:t>alkalmazásra</w:t>
      </w:r>
      <w:r w:rsidR="007569D9" w:rsidRPr="00AD6C63">
        <w:rPr>
          <w:noProof/>
          <w:szCs w:val="22"/>
        </w:rPr>
        <w:t>.</w:t>
      </w:r>
    </w:p>
    <w:p w:rsidR="005D0803" w:rsidRPr="00AD6C63" w:rsidRDefault="005D0803" w:rsidP="005D0803">
      <w:pPr>
        <w:spacing w:line="240" w:lineRule="auto"/>
        <w:rPr>
          <w:noProof/>
          <w:szCs w:val="22"/>
        </w:rPr>
      </w:pPr>
      <w:r w:rsidRPr="00AD6C63">
        <w:rPr>
          <w:noProof/>
          <w:szCs w:val="22"/>
        </w:rPr>
        <w:t>Használat előtt olvassa el a mellékelt betegtájékoztatót!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6.</w:t>
      </w:r>
      <w:r w:rsidRPr="00AD6C63">
        <w:rPr>
          <w:b/>
          <w:noProof/>
          <w:szCs w:val="22"/>
        </w:rPr>
        <w:tab/>
        <w:t>KÜLÖN FIGYELMEZTETÉS, MELY SZERINT A GYÓGYSZERT GYERMEKEKTŐL ELZÁRVA KELL TARTANI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  <w:r w:rsidRPr="00AD6C63">
        <w:rPr>
          <w:noProof/>
          <w:szCs w:val="22"/>
        </w:rPr>
        <w:t>A gyógyszer gyermekektől elzárva tartandó!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7.</w:t>
      </w:r>
      <w:r w:rsidRPr="00AD6C63">
        <w:rPr>
          <w:b/>
          <w:noProof/>
          <w:szCs w:val="22"/>
        </w:rPr>
        <w:tab/>
        <w:t>TOVÁBBI FIGYELMEZTETÉS(EK), AMENNYIBEN SZÜKSÉGES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8.</w:t>
      </w:r>
      <w:r w:rsidRPr="00AD6C63">
        <w:rPr>
          <w:b/>
          <w:noProof/>
          <w:szCs w:val="22"/>
        </w:rPr>
        <w:tab/>
        <w:t>LEJÁRATI IDŐ</w:t>
      </w:r>
    </w:p>
    <w:p w:rsidR="000D4664" w:rsidRPr="00AD6C63" w:rsidRDefault="000D4664" w:rsidP="00AD6C63">
      <w:pPr>
        <w:spacing w:line="240" w:lineRule="auto"/>
        <w:rPr>
          <w:noProof/>
          <w:color w:val="000000"/>
          <w:szCs w:val="22"/>
        </w:rPr>
      </w:pPr>
    </w:p>
    <w:p w:rsidR="000D4664" w:rsidRDefault="00975E25" w:rsidP="00AD6C63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EXP</w:t>
      </w:r>
    </w:p>
    <w:p w:rsidR="004A3645" w:rsidRDefault="004A3645" w:rsidP="00AD6C63">
      <w:pPr>
        <w:spacing w:line="240" w:lineRule="auto"/>
        <w:rPr>
          <w:noProof/>
          <w:szCs w:val="22"/>
        </w:rPr>
      </w:pPr>
    </w:p>
    <w:p w:rsidR="004A3645" w:rsidRPr="00EE2DC4" w:rsidRDefault="004A3645" w:rsidP="004A3645">
      <w:pPr>
        <w:spacing w:line="240" w:lineRule="auto"/>
        <w:rPr>
          <w:szCs w:val="22"/>
        </w:rPr>
      </w:pPr>
      <w:r w:rsidRPr="00EE2DC4">
        <w:rPr>
          <w:szCs w:val="22"/>
        </w:rPr>
        <w:t>Elkészítés utáni tárolás: lásd a betegt</w:t>
      </w:r>
      <w:bookmarkStart w:id="0" w:name="_GoBack"/>
      <w:bookmarkEnd w:id="0"/>
      <w:r w:rsidRPr="00EE2DC4">
        <w:rPr>
          <w:szCs w:val="22"/>
        </w:rPr>
        <w:t>ájékoztatót.</w:t>
      </w:r>
    </w:p>
    <w:p w:rsidR="004A3645" w:rsidRPr="00AD6C63" w:rsidRDefault="004A3645" w:rsidP="004A3645">
      <w:pPr>
        <w:spacing w:line="240" w:lineRule="auto"/>
        <w:rPr>
          <w:szCs w:val="22"/>
        </w:rPr>
      </w:pP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D67F9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lastRenderedPageBreak/>
        <w:t>9.</w:t>
      </w:r>
      <w:r w:rsidRPr="00AD6C63">
        <w:rPr>
          <w:b/>
          <w:noProof/>
          <w:szCs w:val="22"/>
        </w:rPr>
        <w:tab/>
        <w:t>KÜLÖNLEGES TÁROLÁSI ELŐÍRÁSOK</w:t>
      </w:r>
    </w:p>
    <w:p w:rsidR="000D4664" w:rsidRPr="00AD6C63" w:rsidRDefault="000D4664" w:rsidP="00D67F94">
      <w:pPr>
        <w:keepNext/>
        <w:spacing w:line="240" w:lineRule="auto"/>
        <w:rPr>
          <w:noProof/>
          <w:szCs w:val="22"/>
        </w:rPr>
      </w:pPr>
    </w:p>
    <w:p w:rsidR="000D4664" w:rsidRDefault="000D4664" w:rsidP="00D67F94">
      <w:pPr>
        <w:keepNext/>
        <w:spacing w:line="240" w:lineRule="auto"/>
        <w:rPr>
          <w:szCs w:val="22"/>
        </w:rPr>
      </w:pPr>
      <w:r w:rsidRPr="00AD6C63">
        <w:rPr>
          <w:szCs w:val="22"/>
        </w:rPr>
        <w:t>Legfeljebb 30°C-on tárolandó.</w:t>
      </w:r>
    </w:p>
    <w:p w:rsidR="002C41D7" w:rsidRPr="00AD6C63" w:rsidRDefault="002C41D7" w:rsidP="002C41D7">
      <w:pPr>
        <w:spacing w:line="240" w:lineRule="auto"/>
        <w:rPr>
          <w:szCs w:val="22"/>
        </w:rPr>
      </w:pPr>
      <w:r w:rsidRPr="00EE2DC4">
        <w:rPr>
          <w:szCs w:val="22"/>
        </w:rPr>
        <w:t>Az elkészített oldat nem fagyasztható!</w:t>
      </w:r>
    </w:p>
    <w:p w:rsidR="00BF6B27" w:rsidRPr="00AD6C63" w:rsidRDefault="00BF6B27" w:rsidP="00D67F94">
      <w:pPr>
        <w:keepNext/>
        <w:spacing w:line="240" w:lineRule="auto"/>
        <w:rPr>
          <w:szCs w:val="22"/>
        </w:rPr>
      </w:pP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10.</w:t>
      </w:r>
      <w:r w:rsidRPr="00AD6C63">
        <w:rPr>
          <w:b/>
          <w:noProof/>
          <w:szCs w:val="22"/>
        </w:rPr>
        <w:tab/>
        <w:t>KÜLÖNLEGES ÓVINTÉZKEDÉSEK A FEL NEM HASZNÁLT GYÓGYSZEREK VAGY AZ ILYEN TERMÉKEKBŐL KELETKEZETT HULLADÉKANYAGOK ÁRTALMATLANNÁ TÉTELÉRE, HA ILYENEKRE SZÜKSÉG VAN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11.</w:t>
      </w:r>
      <w:r w:rsidRPr="00AD6C63">
        <w:rPr>
          <w:b/>
          <w:noProof/>
          <w:szCs w:val="22"/>
        </w:rPr>
        <w:tab/>
        <w:t>A FORGALOMBA HOZATALI ENGEDÉLY JOGOSULTJÁNAK NEVE ÉS CÍME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256A59" w:rsidRPr="009177FD" w:rsidRDefault="00256A59" w:rsidP="00256A59">
      <w:pPr>
        <w:rPr>
          <w:szCs w:val="22"/>
        </w:rPr>
      </w:pPr>
      <w:r w:rsidRPr="009177FD">
        <w:rPr>
          <w:szCs w:val="22"/>
          <w:lang w:val="pt-PT"/>
        </w:rPr>
        <w:t>Apta Medica Internacional d.o.o.</w:t>
      </w:r>
    </w:p>
    <w:p w:rsidR="00256A59" w:rsidRPr="009177FD" w:rsidRDefault="00BB3730" w:rsidP="00256A59">
      <w:pPr>
        <w:rPr>
          <w:szCs w:val="22"/>
        </w:rPr>
      </w:pPr>
      <w:hyperlink r:id="rId7" w:history="1">
        <w:r w:rsidR="00256A59" w:rsidRPr="00B231D9">
          <w:rPr>
            <w:rStyle w:val="Hiperhivatkozs"/>
            <w:szCs w:val="22"/>
            <w:lang w:val="pt-PT"/>
          </w:rPr>
          <w:t>Likozarjeva ul 6</w:t>
        </w:r>
      </w:hyperlink>
      <w:r w:rsidR="00461092">
        <w:rPr>
          <w:szCs w:val="22"/>
          <w:lang w:val="pt-PT"/>
        </w:rPr>
        <w:t xml:space="preserve"> /SI </w:t>
      </w:r>
      <w:r w:rsidR="00256A59" w:rsidRPr="009177FD">
        <w:rPr>
          <w:szCs w:val="22"/>
          <w:lang w:val="pt-PT"/>
        </w:rPr>
        <w:t>1000 Ljubljana</w:t>
      </w:r>
    </w:p>
    <w:p w:rsidR="00256A59" w:rsidRPr="009177FD" w:rsidRDefault="00256A59" w:rsidP="00256A59">
      <w:pPr>
        <w:rPr>
          <w:szCs w:val="22"/>
        </w:rPr>
      </w:pPr>
      <w:r w:rsidRPr="009177FD">
        <w:rPr>
          <w:szCs w:val="22"/>
          <w:lang w:val="pt-PT"/>
        </w:rPr>
        <w:t>S</w:t>
      </w:r>
      <w:r>
        <w:rPr>
          <w:szCs w:val="22"/>
          <w:lang w:val="pt-PT"/>
        </w:rPr>
        <w:t>zlové</w:t>
      </w:r>
      <w:r w:rsidRPr="009177FD">
        <w:rPr>
          <w:szCs w:val="22"/>
          <w:lang w:val="pt-PT"/>
        </w:rPr>
        <w:t>nia</w:t>
      </w:r>
    </w:p>
    <w:p w:rsidR="000D4664" w:rsidRDefault="000D4664" w:rsidP="00AD6C63">
      <w:pPr>
        <w:spacing w:line="240" w:lineRule="auto"/>
        <w:rPr>
          <w:noProof/>
          <w:szCs w:val="22"/>
        </w:rPr>
      </w:pPr>
    </w:p>
    <w:p w:rsidR="004E0C46" w:rsidRPr="00AD6C63" w:rsidRDefault="004E0C46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12.</w:t>
      </w:r>
      <w:r w:rsidRPr="00AD6C63">
        <w:rPr>
          <w:b/>
          <w:noProof/>
          <w:szCs w:val="22"/>
        </w:rPr>
        <w:tab/>
        <w:t>A FORGALOMBA HOZATALI ENGEDÉLY SZÁMA(I)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7D0B8C" w:rsidRDefault="007D0B8C" w:rsidP="007D0B8C">
      <w:pPr>
        <w:suppressAutoHyphens w:val="0"/>
        <w:spacing w:line="240" w:lineRule="auto"/>
        <w:rPr>
          <w:rFonts w:eastAsia="Calibri"/>
          <w:szCs w:val="22"/>
          <w:lang w:eastAsia="en-US"/>
        </w:rPr>
      </w:pPr>
      <w:r w:rsidRPr="007D0B8C">
        <w:rPr>
          <w:rFonts w:eastAsia="Calibri"/>
          <w:szCs w:val="22"/>
          <w:lang w:eastAsia="en-US"/>
        </w:rPr>
        <w:t>OGYI-T-23338/01</w:t>
      </w:r>
      <w:r w:rsidRPr="007D0B8C">
        <w:rPr>
          <w:rFonts w:eastAsia="Calibri"/>
          <w:szCs w:val="22"/>
          <w:lang w:eastAsia="en-US"/>
        </w:rPr>
        <w:tab/>
      </w:r>
      <w:r w:rsidRPr="007D0B8C">
        <w:rPr>
          <w:rFonts w:eastAsia="Calibri"/>
          <w:szCs w:val="22"/>
          <w:lang w:eastAsia="en-US"/>
        </w:rPr>
        <w:tab/>
        <w:t>1</w:t>
      </w:r>
      <w:r w:rsidR="00EE258D">
        <w:rPr>
          <w:rFonts w:eastAsia="Calibri"/>
          <w:szCs w:val="22"/>
          <w:lang w:eastAsia="en-US"/>
        </w:rPr>
        <w:t>×</w:t>
      </w:r>
    </w:p>
    <w:p w:rsidR="007D0B8C" w:rsidRPr="007D0B8C" w:rsidRDefault="007D0B8C" w:rsidP="007D0B8C">
      <w:pPr>
        <w:suppressAutoHyphens w:val="0"/>
        <w:spacing w:line="240" w:lineRule="auto"/>
        <w:rPr>
          <w:rFonts w:eastAsia="Calibri"/>
          <w:color w:val="1F497D"/>
          <w:szCs w:val="22"/>
        </w:rPr>
      </w:pPr>
      <w:r w:rsidRPr="007D0B8C">
        <w:rPr>
          <w:rFonts w:eastAsia="Calibri"/>
          <w:szCs w:val="22"/>
          <w:lang w:eastAsia="en-US"/>
        </w:rPr>
        <w:t>OGYI-T-23338/02</w:t>
      </w:r>
      <w:r w:rsidRPr="007D0B8C">
        <w:rPr>
          <w:rFonts w:eastAsia="Calibri"/>
          <w:szCs w:val="22"/>
          <w:lang w:eastAsia="en-US"/>
        </w:rPr>
        <w:tab/>
      </w:r>
      <w:r w:rsidRPr="007D0B8C">
        <w:rPr>
          <w:rFonts w:eastAsia="Calibri"/>
          <w:szCs w:val="22"/>
          <w:lang w:eastAsia="en-US"/>
        </w:rPr>
        <w:tab/>
        <w:t>10</w:t>
      </w:r>
      <w:r w:rsidR="00EE258D">
        <w:rPr>
          <w:rFonts w:eastAsia="Calibri"/>
          <w:szCs w:val="22"/>
          <w:lang w:eastAsia="en-US"/>
        </w:rPr>
        <w:t>×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13.</w:t>
      </w:r>
      <w:r w:rsidRPr="00AD6C63">
        <w:rPr>
          <w:b/>
          <w:noProof/>
          <w:szCs w:val="22"/>
        </w:rPr>
        <w:tab/>
        <w:t>A GYÁRTÁSI TÉTEL SZÁMA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461092" w:rsidP="00AD6C63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Lot</w:t>
      </w:r>
    </w:p>
    <w:p w:rsidR="000D4664" w:rsidRDefault="000D4664" w:rsidP="00AD6C63">
      <w:pPr>
        <w:spacing w:line="240" w:lineRule="auto"/>
        <w:rPr>
          <w:noProof/>
          <w:szCs w:val="22"/>
        </w:rPr>
      </w:pPr>
    </w:p>
    <w:p w:rsidR="00AE7B79" w:rsidRPr="00AD6C63" w:rsidRDefault="00AE7B79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14.</w:t>
      </w:r>
      <w:r w:rsidRPr="00AD6C63">
        <w:rPr>
          <w:b/>
          <w:noProof/>
          <w:szCs w:val="22"/>
        </w:rPr>
        <w:tab/>
      </w:r>
      <w:r w:rsidRPr="00AD6C63">
        <w:rPr>
          <w:b/>
          <w:szCs w:val="22"/>
        </w:rPr>
        <w:t>A GYÓGYSZER ÁLTALÁNOS BESOROLÁSA RENDELHETŐSÉG SZEMPONTJÁBÓL</w:t>
      </w:r>
    </w:p>
    <w:p w:rsidR="000D4664" w:rsidRPr="00AD6C63" w:rsidRDefault="000D4664" w:rsidP="00AD6C63">
      <w:pPr>
        <w:spacing w:line="240" w:lineRule="auto"/>
        <w:rPr>
          <w:szCs w:val="22"/>
        </w:rPr>
      </w:pP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  <w:r w:rsidRPr="00AD6C63">
        <w:rPr>
          <w:noProof/>
          <w:szCs w:val="22"/>
        </w:rPr>
        <w:t>Orvosi rendelvényhez kötött gyógyszer</w:t>
      </w:r>
      <w:r w:rsidR="001F4AA4" w:rsidRPr="00AD6C63">
        <w:rPr>
          <w:noProof/>
          <w:szCs w:val="22"/>
        </w:rPr>
        <w:t xml:space="preserve"> (I)</w:t>
      </w:r>
      <w:r w:rsidRPr="00AD6C63">
        <w:rPr>
          <w:noProof/>
          <w:szCs w:val="22"/>
        </w:rPr>
        <w:t>.</w:t>
      </w: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spacing w:line="240" w:lineRule="auto"/>
        <w:rPr>
          <w:noProof/>
          <w:szCs w:val="22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15.</w:t>
      </w:r>
      <w:r w:rsidRPr="00AD6C63">
        <w:rPr>
          <w:b/>
          <w:noProof/>
          <w:szCs w:val="22"/>
        </w:rPr>
        <w:tab/>
        <w:t>AZ ALKALMAZÁSRA VONATKOZÓ UTASÍTÁSOK</w:t>
      </w:r>
    </w:p>
    <w:p w:rsidR="000D4664" w:rsidRPr="00AD6C63" w:rsidRDefault="000D4664" w:rsidP="00AD6C63">
      <w:pPr>
        <w:spacing w:line="240" w:lineRule="auto"/>
        <w:rPr>
          <w:b/>
          <w:noProof/>
          <w:szCs w:val="22"/>
          <w:u w:val="single"/>
        </w:rPr>
      </w:pPr>
    </w:p>
    <w:p w:rsidR="000D4664" w:rsidRPr="00AD6C63" w:rsidRDefault="000D4664" w:rsidP="00AD6C63">
      <w:pPr>
        <w:spacing w:line="240" w:lineRule="auto"/>
        <w:rPr>
          <w:b/>
          <w:noProof/>
          <w:szCs w:val="22"/>
          <w:u w:val="single"/>
        </w:rPr>
      </w:pPr>
    </w:p>
    <w:p w:rsidR="000D4664" w:rsidRPr="00AD6C63" w:rsidRDefault="000D4664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noProof/>
          <w:color w:val="000000"/>
          <w:szCs w:val="22"/>
        </w:rPr>
      </w:pPr>
      <w:r w:rsidRPr="00AD6C63">
        <w:rPr>
          <w:b/>
          <w:noProof/>
          <w:szCs w:val="22"/>
        </w:rPr>
        <w:t>16.</w:t>
      </w:r>
      <w:r w:rsidRPr="00AD6C63">
        <w:rPr>
          <w:b/>
          <w:noProof/>
          <w:szCs w:val="22"/>
        </w:rPr>
        <w:tab/>
        <w:t>BRAILLE ÍRÁSSAL FELTÜNTETETT INFORMÁCIÓK</w:t>
      </w:r>
    </w:p>
    <w:p w:rsidR="000D4664" w:rsidRPr="00AD6C63" w:rsidRDefault="000D4664" w:rsidP="00AD6C63">
      <w:pPr>
        <w:spacing w:line="240" w:lineRule="auto"/>
        <w:rPr>
          <w:b/>
          <w:noProof/>
          <w:szCs w:val="22"/>
          <w:u w:val="single"/>
        </w:rPr>
      </w:pPr>
    </w:p>
    <w:p w:rsidR="000D4664" w:rsidRPr="00AD6C63" w:rsidRDefault="000D4664" w:rsidP="00AD6C63">
      <w:pPr>
        <w:spacing w:line="240" w:lineRule="auto"/>
        <w:rPr>
          <w:b/>
          <w:noProof/>
          <w:szCs w:val="22"/>
          <w:u w:val="single"/>
        </w:rPr>
      </w:pPr>
      <w:r w:rsidRPr="00EE2DC4">
        <w:rPr>
          <w:szCs w:val="22"/>
          <w:highlight w:val="lightGray"/>
        </w:rPr>
        <w:t>Braille-írás feltüntetése alól felmentve</w:t>
      </w:r>
      <w:r w:rsidR="001C0094" w:rsidRPr="00EE2DC4">
        <w:rPr>
          <w:szCs w:val="22"/>
          <w:highlight w:val="lightGray"/>
        </w:rPr>
        <w:t>.</w:t>
      </w:r>
    </w:p>
    <w:p w:rsidR="000D4664" w:rsidRPr="00AD6C63" w:rsidRDefault="000D4664" w:rsidP="00AD6C63">
      <w:pPr>
        <w:spacing w:line="240" w:lineRule="auto"/>
        <w:rPr>
          <w:szCs w:val="22"/>
        </w:rPr>
      </w:pPr>
    </w:p>
    <w:p w:rsidR="007963D2" w:rsidRDefault="007963D2" w:rsidP="007963D2">
      <w:pPr>
        <w:spacing w:line="240" w:lineRule="auto"/>
        <w:rPr>
          <w:noProof/>
          <w:shd w:val="clear" w:color="auto" w:fill="CCCCCC"/>
        </w:rPr>
      </w:pPr>
    </w:p>
    <w:p w:rsidR="007963D2" w:rsidRDefault="007963D2" w:rsidP="007963D2">
      <w:pPr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spacing w:line="240" w:lineRule="auto"/>
        <w:ind w:hanging="1650"/>
        <w:outlineLvl w:val="0"/>
        <w:rPr>
          <w:i/>
          <w:noProof/>
        </w:rPr>
      </w:pPr>
      <w:r>
        <w:rPr>
          <w:b/>
          <w:noProof/>
        </w:rPr>
        <w:t>EGYEDI AZONOSÍTÓ – 2D VONALKÓD</w:t>
      </w:r>
    </w:p>
    <w:p w:rsidR="007963D2" w:rsidRDefault="007963D2" w:rsidP="007963D2">
      <w:pPr>
        <w:tabs>
          <w:tab w:val="left" w:pos="720"/>
        </w:tabs>
        <w:spacing w:line="240" w:lineRule="auto"/>
        <w:rPr>
          <w:noProof/>
        </w:rPr>
      </w:pPr>
    </w:p>
    <w:p w:rsidR="007963D2" w:rsidRDefault="007963D2" w:rsidP="007963D2">
      <w:pPr>
        <w:spacing w:line="240" w:lineRule="auto"/>
        <w:rPr>
          <w:noProof/>
          <w:shd w:val="clear" w:color="auto" w:fill="CCCCCC"/>
        </w:rPr>
      </w:pPr>
      <w:r w:rsidRPr="00EE2DC4">
        <w:rPr>
          <w:noProof/>
          <w:highlight w:val="lightGray"/>
        </w:rPr>
        <w:t>Egyedi azonosítójú 2D vonalkóddal ellátva.</w:t>
      </w:r>
    </w:p>
    <w:p w:rsidR="007963D2" w:rsidRDefault="007963D2" w:rsidP="007963D2">
      <w:pPr>
        <w:tabs>
          <w:tab w:val="left" w:pos="720"/>
        </w:tabs>
        <w:spacing w:line="240" w:lineRule="auto"/>
        <w:rPr>
          <w:noProof/>
        </w:rPr>
      </w:pPr>
    </w:p>
    <w:p w:rsidR="007963D2" w:rsidRDefault="007963D2" w:rsidP="007963D2">
      <w:pPr>
        <w:tabs>
          <w:tab w:val="left" w:pos="720"/>
        </w:tabs>
        <w:spacing w:line="240" w:lineRule="auto"/>
        <w:rPr>
          <w:noProof/>
        </w:rPr>
      </w:pPr>
    </w:p>
    <w:p w:rsidR="007963D2" w:rsidRDefault="007963D2" w:rsidP="007963D2">
      <w:pPr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spacing w:line="240" w:lineRule="auto"/>
        <w:ind w:left="567"/>
        <w:outlineLvl w:val="0"/>
        <w:rPr>
          <w:i/>
          <w:noProof/>
        </w:rPr>
      </w:pPr>
      <w:r>
        <w:rPr>
          <w:b/>
          <w:noProof/>
        </w:rPr>
        <w:t>EGYEDI AZONOSÍTÓ OLVASHATÓ FORMÁTUMA</w:t>
      </w:r>
    </w:p>
    <w:p w:rsidR="007963D2" w:rsidRDefault="007963D2" w:rsidP="007963D2">
      <w:pPr>
        <w:tabs>
          <w:tab w:val="left" w:pos="720"/>
        </w:tabs>
        <w:spacing w:line="240" w:lineRule="auto"/>
        <w:rPr>
          <w:noProof/>
        </w:rPr>
      </w:pPr>
    </w:p>
    <w:p w:rsidR="007963D2" w:rsidRPr="001A23E5" w:rsidRDefault="007963D2" w:rsidP="007963D2">
      <w:r>
        <w:t>PC</w:t>
      </w:r>
    </w:p>
    <w:p w:rsidR="007963D2" w:rsidRDefault="007963D2" w:rsidP="007963D2">
      <w:r>
        <w:t>SN</w:t>
      </w:r>
    </w:p>
    <w:p w:rsidR="0057714A" w:rsidRPr="00AD6C63" w:rsidRDefault="004E7A1E" w:rsidP="00AD6C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b/>
          <w:noProof/>
          <w:szCs w:val="22"/>
        </w:rPr>
      </w:pPr>
      <w:r w:rsidRPr="00AD6C63">
        <w:rPr>
          <w:szCs w:val="22"/>
        </w:rPr>
        <w:br w:type="page"/>
      </w:r>
      <w:r w:rsidR="0057714A" w:rsidRPr="00AD6C63">
        <w:rPr>
          <w:b/>
          <w:noProof/>
          <w:szCs w:val="22"/>
        </w:rPr>
        <w:lastRenderedPageBreak/>
        <w:t>A KÖZVETLEN CSOMAGOLÁSON FELTÜNTETENDŐ ADATOK</w:t>
      </w:r>
    </w:p>
    <w:p w:rsidR="0057714A" w:rsidRPr="00AD6C63" w:rsidRDefault="0057714A" w:rsidP="00AD6C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b/>
          <w:noProof/>
          <w:szCs w:val="22"/>
        </w:rPr>
      </w:pPr>
    </w:p>
    <w:p w:rsidR="0057714A" w:rsidRPr="00AD6C63" w:rsidRDefault="00FA252D" w:rsidP="00AD6C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b/>
          <w:noProof/>
          <w:szCs w:val="22"/>
        </w:rPr>
      </w:pPr>
      <w:r w:rsidRPr="00AD6C63">
        <w:rPr>
          <w:b/>
          <w:noProof/>
          <w:szCs w:val="22"/>
        </w:rPr>
        <w:t xml:space="preserve">INJEKCIÓS ÜVEG </w:t>
      </w:r>
      <w:r w:rsidR="00461092">
        <w:rPr>
          <w:b/>
          <w:szCs w:val="22"/>
        </w:rPr>
        <w:t>(Többnyelvű : HU+HR)</w:t>
      </w:r>
    </w:p>
    <w:p w:rsidR="0057714A" w:rsidRPr="00AD6C63" w:rsidRDefault="0057714A" w:rsidP="00AD6C63">
      <w:pPr>
        <w:spacing w:line="240" w:lineRule="auto"/>
        <w:rPr>
          <w:noProof/>
          <w:szCs w:val="22"/>
        </w:rPr>
      </w:pPr>
    </w:p>
    <w:p w:rsidR="0057714A" w:rsidRPr="00AD6C63" w:rsidRDefault="0057714A" w:rsidP="00AD6C63">
      <w:pPr>
        <w:spacing w:line="240" w:lineRule="auto"/>
        <w:rPr>
          <w:noProof/>
          <w:szCs w:val="22"/>
        </w:rPr>
      </w:pPr>
    </w:p>
    <w:p w:rsidR="0057714A" w:rsidRPr="00AD6C63" w:rsidRDefault="0057714A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AD6C63">
        <w:rPr>
          <w:b/>
          <w:noProof/>
          <w:szCs w:val="22"/>
        </w:rPr>
        <w:t>1.</w:t>
      </w:r>
      <w:r w:rsidRPr="00AD6C63">
        <w:rPr>
          <w:b/>
          <w:noProof/>
          <w:szCs w:val="22"/>
        </w:rPr>
        <w:tab/>
        <w:t xml:space="preserve">A GYÓGYSZER </w:t>
      </w:r>
      <w:r w:rsidR="00AD6C63">
        <w:rPr>
          <w:b/>
          <w:noProof/>
          <w:szCs w:val="22"/>
        </w:rPr>
        <w:t>NEVE</w:t>
      </w:r>
    </w:p>
    <w:p w:rsidR="0057714A" w:rsidRPr="00AD6C63" w:rsidRDefault="0057714A" w:rsidP="00AD6C63">
      <w:pPr>
        <w:spacing w:line="240" w:lineRule="auto"/>
        <w:rPr>
          <w:noProof/>
          <w:szCs w:val="22"/>
        </w:rPr>
      </w:pPr>
    </w:p>
    <w:p w:rsidR="00461092" w:rsidRPr="00256A59" w:rsidRDefault="00461092" w:rsidP="00461092">
      <w:pPr>
        <w:spacing w:line="240" w:lineRule="auto"/>
        <w:rPr>
          <w:noProof/>
          <w:szCs w:val="22"/>
        </w:rPr>
      </w:pPr>
      <w:r w:rsidRPr="00256A59">
        <w:rPr>
          <w:lang w:val="en-GB" w:eastAsia="el-GR"/>
        </w:rPr>
        <w:t xml:space="preserve">Meropenem AptaPharma </w:t>
      </w:r>
      <w:r w:rsidRPr="00256A59">
        <w:rPr>
          <w:noProof/>
          <w:szCs w:val="22"/>
        </w:rPr>
        <w:t>500 mg por oldatos injekcióhoz vagy infúzióhoz</w:t>
      </w:r>
    </w:p>
    <w:p w:rsidR="00461092" w:rsidRDefault="004713F5" w:rsidP="00461092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m</w:t>
      </w:r>
      <w:r w:rsidR="00461092" w:rsidRPr="00AD6C63">
        <w:rPr>
          <w:noProof/>
          <w:szCs w:val="22"/>
        </w:rPr>
        <w:t>eropenem</w:t>
      </w:r>
    </w:p>
    <w:p w:rsidR="00C54059" w:rsidRDefault="00C54059" w:rsidP="00461092">
      <w:pPr>
        <w:spacing w:line="240" w:lineRule="auto"/>
        <w:rPr>
          <w:noProof/>
          <w:szCs w:val="22"/>
        </w:rPr>
      </w:pPr>
    </w:p>
    <w:p w:rsidR="0057714A" w:rsidRPr="00AD6C63" w:rsidRDefault="00461092" w:rsidP="00AD6C63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iv.</w:t>
      </w:r>
    </w:p>
    <w:p w:rsidR="0057714A" w:rsidRPr="00AD6C63" w:rsidRDefault="0057714A" w:rsidP="00AD6C63">
      <w:pPr>
        <w:spacing w:line="240" w:lineRule="auto"/>
        <w:rPr>
          <w:noProof/>
          <w:szCs w:val="22"/>
        </w:rPr>
      </w:pPr>
    </w:p>
    <w:p w:rsidR="0057714A" w:rsidRPr="00AD6C63" w:rsidRDefault="0057714A" w:rsidP="00AD6C63">
      <w:pPr>
        <w:spacing w:line="240" w:lineRule="auto"/>
        <w:rPr>
          <w:noProof/>
          <w:szCs w:val="22"/>
        </w:rPr>
      </w:pPr>
    </w:p>
    <w:p w:rsidR="0057714A" w:rsidRPr="00AD6C63" w:rsidRDefault="00461092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  <w:szCs w:val="22"/>
        </w:rPr>
        <w:t>2</w:t>
      </w:r>
      <w:r w:rsidR="0057714A" w:rsidRPr="00AD6C63">
        <w:rPr>
          <w:b/>
          <w:noProof/>
          <w:szCs w:val="22"/>
        </w:rPr>
        <w:t>.</w:t>
      </w:r>
      <w:r w:rsidR="0057714A" w:rsidRPr="00AD6C63">
        <w:rPr>
          <w:b/>
          <w:noProof/>
          <w:szCs w:val="22"/>
        </w:rPr>
        <w:tab/>
      </w:r>
      <w:r>
        <w:rPr>
          <w:b/>
          <w:noProof/>
          <w:szCs w:val="22"/>
        </w:rPr>
        <w:t>AZ ALKALMAZÁSSAL KAPCSOLATOS TUDNIVALÓK</w:t>
      </w:r>
    </w:p>
    <w:p w:rsidR="0057714A" w:rsidRPr="00AD6C63" w:rsidRDefault="0057714A" w:rsidP="00AD6C63">
      <w:pPr>
        <w:spacing w:line="240" w:lineRule="auto"/>
        <w:rPr>
          <w:noProof/>
          <w:szCs w:val="22"/>
        </w:rPr>
      </w:pPr>
    </w:p>
    <w:p w:rsidR="00461092" w:rsidRPr="00431F96" w:rsidRDefault="00461092" w:rsidP="00461092">
      <w:pPr>
        <w:spacing w:line="240" w:lineRule="auto"/>
        <w:rPr>
          <w:szCs w:val="22"/>
        </w:rPr>
      </w:pPr>
      <w:r w:rsidRPr="00431F96">
        <w:rPr>
          <w:szCs w:val="22"/>
        </w:rPr>
        <w:t>Használat előtt olvassa el a mellékelt betegtájékoztatót!</w:t>
      </w:r>
    </w:p>
    <w:p w:rsidR="0057714A" w:rsidRPr="00AD6C63" w:rsidRDefault="004713F5" w:rsidP="00AD6C63">
      <w:pPr>
        <w:spacing w:line="240" w:lineRule="auto"/>
        <w:rPr>
          <w:noProof/>
          <w:color w:val="000000"/>
          <w:szCs w:val="22"/>
        </w:rPr>
      </w:pPr>
      <w:r w:rsidRPr="00431F96">
        <w:rPr>
          <w:rFonts w:eastAsia="MS Mincho"/>
          <w:szCs w:val="22"/>
          <w:lang w:eastAsia="ja-JP"/>
        </w:rPr>
        <w:t>Kizárólag egyszeri alkalmazásra</w:t>
      </w:r>
      <w:r w:rsidR="006E0F80">
        <w:rPr>
          <w:rFonts w:eastAsia="MS Mincho"/>
          <w:szCs w:val="22"/>
          <w:lang w:eastAsia="ja-JP"/>
        </w:rPr>
        <w:t>.</w:t>
      </w:r>
    </w:p>
    <w:p w:rsidR="0057714A" w:rsidRDefault="0057714A" w:rsidP="00AD6C63">
      <w:pPr>
        <w:spacing w:line="240" w:lineRule="auto"/>
        <w:rPr>
          <w:noProof/>
          <w:szCs w:val="22"/>
        </w:rPr>
      </w:pPr>
    </w:p>
    <w:p w:rsidR="0035035B" w:rsidRPr="00AD6C63" w:rsidRDefault="0035035B" w:rsidP="00AD6C63">
      <w:pPr>
        <w:spacing w:line="240" w:lineRule="auto"/>
        <w:rPr>
          <w:noProof/>
          <w:szCs w:val="22"/>
        </w:rPr>
      </w:pPr>
    </w:p>
    <w:p w:rsidR="0057714A" w:rsidRPr="00AD6C63" w:rsidRDefault="00AD1BE9" w:rsidP="00471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noProof/>
          <w:szCs w:val="22"/>
        </w:rPr>
      </w:pPr>
      <w:r>
        <w:rPr>
          <w:b/>
          <w:noProof/>
          <w:szCs w:val="22"/>
        </w:rPr>
        <w:t>3</w:t>
      </w:r>
      <w:r w:rsidR="0057714A" w:rsidRPr="00AD6C63">
        <w:rPr>
          <w:b/>
          <w:noProof/>
          <w:szCs w:val="22"/>
        </w:rPr>
        <w:t>.</w:t>
      </w:r>
      <w:r w:rsidR="0057714A" w:rsidRPr="00AD6C63">
        <w:rPr>
          <w:b/>
          <w:noProof/>
          <w:szCs w:val="22"/>
        </w:rPr>
        <w:tab/>
      </w:r>
      <w:r w:rsidR="004713F5">
        <w:rPr>
          <w:b/>
          <w:noProof/>
          <w:szCs w:val="22"/>
        </w:rPr>
        <w:t>LAJÁRATI IDŐ</w:t>
      </w:r>
    </w:p>
    <w:p w:rsidR="00C10DD4" w:rsidRDefault="00C10DD4" w:rsidP="00AD6C63">
      <w:pPr>
        <w:spacing w:line="240" w:lineRule="auto"/>
        <w:rPr>
          <w:noProof/>
          <w:szCs w:val="22"/>
        </w:rPr>
      </w:pPr>
    </w:p>
    <w:p w:rsidR="004713F5" w:rsidRPr="00AD6C63" w:rsidRDefault="004713F5" w:rsidP="00AD6C63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EXP</w:t>
      </w:r>
    </w:p>
    <w:p w:rsidR="00A875FC" w:rsidRPr="00EE2DC4" w:rsidRDefault="00A875FC" w:rsidP="00A875FC">
      <w:pPr>
        <w:spacing w:line="240" w:lineRule="auto"/>
        <w:rPr>
          <w:szCs w:val="22"/>
        </w:rPr>
      </w:pPr>
      <w:r w:rsidRPr="00EE2DC4">
        <w:rPr>
          <w:szCs w:val="22"/>
        </w:rPr>
        <w:t>Elkészítés utáni tárolás: lásd a betegtájékoztatót.</w:t>
      </w:r>
    </w:p>
    <w:p w:rsidR="00A875FC" w:rsidRDefault="00A875FC" w:rsidP="00AD6C63">
      <w:pPr>
        <w:spacing w:line="240" w:lineRule="auto"/>
        <w:rPr>
          <w:noProof/>
          <w:szCs w:val="22"/>
        </w:rPr>
      </w:pPr>
    </w:p>
    <w:p w:rsidR="00A875FC" w:rsidRPr="00AD6C63" w:rsidRDefault="00A875FC" w:rsidP="00AD6C63">
      <w:pPr>
        <w:spacing w:line="240" w:lineRule="auto"/>
        <w:rPr>
          <w:noProof/>
          <w:szCs w:val="22"/>
        </w:rPr>
      </w:pPr>
    </w:p>
    <w:p w:rsidR="0057714A" w:rsidRPr="00AD6C63" w:rsidRDefault="004713F5" w:rsidP="00471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noProof/>
          <w:szCs w:val="22"/>
        </w:rPr>
      </w:pPr>
      <w:r>
        <w:rPr>
          <w:b/>
          <w:noProof/>
          <w:szCs w:val="22"/>
        </w:rPr>
        <w:t>4.</w:t>
      </w:r>
      <w:r>
        <w:rPr>
          <w:b/>
          <w:noProof/>
          <w:szCs w:val="22"/>
        </w:rPr>
        <w:tab/>
      </w:r>
      <w:r w:rsidRPr="00431F96">
        <w:rPr>
          <w:b/>
          <w:noProof/>
          <w:szCs w:val="22"/>
        </w:rPr>
        <w:t>A GYÁRTÁSI TÉTEL SZÁMA</w:t>
      </w:r>
    </w:p>
    <w:p w:rsidR="004713F5" w:rsidRDefault="004713F5" w:rsidP="00AD6C63">
      <w:pPr>
        <w:spacing w:line="240" w:lineRule="auto"/>
        <w:rPr>
          <w:noProof/>
          <w:szCs w:val="22"/>
        </w:rPr>
      </w:pPr>
    </w:p>
    <w:p w:rsidR="0057714A" w:rsidRPr="00AD6C63" w:rsidRDefault="004713F5" w:rsidP="00AD6C63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Lot</w:t>
      </w:r>
    </w:p>
    <w:p w:rsidR="0057714A" w:rsidRPr="00AD6C63" w:rsidRDefault="0057714A" w:rsidP="00AD6C63">
      <w:pPr>
        <w:spacing w:line="240" w:lineRule="auto"/>
        <w:rPr>
          <w:noProof/>
          <w:szCs w:val="22"/>
        </w:rPr>
      </w:pPr>
    </w:p>
    <w:p w:rsidR="0057714A" w:rsidRPr="00AD6C63" w:rsidRDefault="0057714A" w:rsidP="00AD6C63">
      <w:pPr>
        <w:spacing w:line="240" w:lineRule="auto"/>
        <w:rPr>
          <w:noProof/>
          <w:szCs w:val="22"/>
        </w:rPr>
      </w:pPr>
    </w:p>
    <w:p w:rsidR="0057714A" w:rsidRPr="00AD6C63" w:rsidRDefault="004713F5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  <w:szCs w:val="22"/>
        </w:rPr>
        <w:t>5</w:t>
      </w:r>
      <w:r w:rsidR="0057714A" w:rsidRPr="00AD6C63">
        <w:rPr>
          <w:b/>
          <w:noProof/>
          <w:szCs w:val="22"/>
        </w:rPr>
        <w:t>.</w:t>
      </w:r>
      <w:r w:rsidR="0057714A" w:rsidRPr="00AD6C63">
        <w:rPr>
          <w:b/>
          <w:noProof/>
          <w:szCs w:val="22"/>
        </w:rPr>
        <w:tab/>
      </w:r>
      <w:r w:rsidRPr="00431F96">
        <w:rPr>
          <w:b/>
          <w:noProof/>
          <w:szCs w:val="22"/>
        </w:rPr>
        <w:t>A TARTALOM SÚLYRA, TÉRFOGATRA, VAGY EGYSÉGRE VONATKOZTATVA</w:t>
      </w:r>
    </w:p>
    <w:p w:rsidR="0057714A" w:rsidRPr="00AD6C63" w:rsidRDefault="0057714A" w:rsidP="00AD6C63">
      <w:pPr>
        <w:spacing w:line="240" w:lineRule="auto"/>
        <w:rPr>
          <w:noProof/>
          <w:szCs w:val="22"/>
        </w:rPr>
      </w:pPr>
    </w:p>
    <w:p w:rsidR="003C03D5" w:rsidRDefault="004713F5" w:rsidP="00AD6C63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500 mg</w:t>
      </w:r>
    </w:p>
    <w:p w:rsidR="00A875FC" w:rsidRDefault="00A875FC" w:rsidP="00AD6C63">
      <w:pPr>
        <w:spacing w:line="240" w:lineRule="auto"/>
        <w:rPr>
          <w:noProof/>
          <w:szCs w:val="22"/>
          <w:highlight w:val="lightGray"/>
        </w:rPr>
      </w:pPr>
    </w:p>
    <w:p w:rsidR="004713F5" w:rsidRPr="00AD6C63" w:rsidRDefault="004713F5" w:rsidP="00AD6C63">
      <w:pPr>
        <w:spacing w:line="240" w:lineRule="auto"/>
        <w:rPr>
          <w:noProof/>
          <w:szCs w:val="22"/>
        </w:rPr>
      </w:pPr>
    </w:p>
    <w:p w:rsidR="0057714A" w:rsidRPr="00AD6C63" w:rsidRDefault="004713F5" w:rsidP="00AD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  <w:szCs w:val="22"/>
        </w:rPr>
        <w:t>6</w:t>
      </w:r>
      <w:r w:rsidR="0057714A" w:rsidRPr="00AD6C63">
        <w:rPr>
          <w:b/>
          <w:noProof/>
          <w:szCs w:val="22"/>
        </w:rPr>
        <w:t>.</w:t>
      </w:r>
      <w:r w:rsidR="0057714A" w:rsidRPr="00AD6C63">
        <w:rPr>
          <w:b/>
          <w:noProof/>
          <w:szCs w:val="22"/>
        </w:rPr>
        <w:tab/>
      </w:r>
      <w:r w:rsidRPr="00431F96">
        <w:rPr>
          <w:b/>
          <w:noProof/>
          <w:szCs w:val="22"/>
        </w:rPr>
        <w:t>EGYÉB INFORMÁCIÓK</w:t>
      </w:r>
    </w:p>
    <w:p w:rsidR="0057714A" w:rsidRPr="00AD6C63" w:rsidRDefault="0057714A" w:rsidP="00AD6C63">
      <w:pPr>
        <w:spacing w:line="240" w:lineRule="auto"/>
        <w:rPr>
          <w:noProof/>
          <w:szCs w:val="22"/>
        </w:rPr>
      </w:pPr>
    </w:p>
    <w:p w:rsidR="004713F5" w:rsidRPr="00431F96" w:rsidRDefault="004713F5" w:rsidP="004713F5">
      <w:pPr>
        <w:spacing w:line="240" w:lineRule="auto"/>
        <w:rPr>
          <w:noProof/>
          <w:szCs w:val="22"/>
        </w:rPr>
      </w:pPr>
      <w:r w:rsidRPr="00431F96">
        <w:rPr>
          <w:noProof/>
          <w:szCs w:val="22"/>
        </w:rPr>
        <w:t>A gyógyszer gyermekektől elzárva tartandó!</w:t>
      </w:r>
    </w:p>
    <w:p w:rsidR="004713F5" w:rsidRDefault="004713F5" w:rsidP="004713F5">
      <w:pPr>
        <w:keepNext/>
        <w:spacing w:line="240" w:lineRule="auto"/>
        <w:rPr>
          <w:szCs w:val="22"/>
        </w:rPr>
      </w:pPr>
      <w:r w:rsidRPr="00AD6C63">
        <w:rPr>
          <w:szCs w:val="22"/>
        </w:rPr>
        <w:t>Legfeljebb 30°C-on tárolandó.</w:t>
      </w:r>
    </w:p>
    <w:p w:rsidR="002C41D7" w:rsidRPr="00AD6C63" w:rsidRDefault="002C41D7" w:rsidP="002C41D7">
      <w:pPr>
        <w:spacing w:line="240" w:lineRule="auto"/>
        <w:rPr>
          <w:szCs w:val="22"/>
        </w:rPr>
      </w:pPr>
      <w:r w:rsidRPr="00EE2DC4">
        <w:rPr>
          <w:szCs w:val="22"/>
        </w:rPr>
        <w:t>Az elkészített oldat nem fagyasztható!</w:t>
      </w:r>
    </w:p>
    <w:p w:rsidR="0057714A" w:rsidRPr="00AD6C63" w:rsidRDefault="0057714A" w:rsidP="00AD6C63">
      <w:pPr>
        <w:spacing w:line="240" w:lineRule="auto"/>
        <w:rPr>
          <w:noProof/>
          <w:szCs w:val="22"/>
        </w:rPr>
      </w:pPr>
    </w:p>
    <w:p w:rsidR="00123345" w:rsidRPr="00AD6C63" w:rsidRDefault="00123345" w:rsidP="00AD6C63">
      <w:pPr>
        <w:spacing w:line="240" w:lineRule="auto"/>
        <w:rPr>
          <w:szCs w:val="22"/>
        </w:rPr>
      </w:pPr>
    </w:p>
    <w:sectPr w:rsidR="00123345" w:rsidRPr="00AD6C63" w:rsidSect="00E23672">
      <w:headerReference w:type="even" r:id="rId8"/>
      <w:headerReference w:type="default" r:id="rId9"/>
      <w:footerReference w:type="first" r:id="rId10"/>
      <w:pgSz w:w="11906" w:h="16838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E8" w:rsidRDefault="00915FE8">
      <w:r>
        <w:separator/>
      </w:r>
    </w:p>
  </w:endnote>
  <w:endnote w:type="continuationSeparator" w:id="0">
    <w:p w:rsidR="00915FE8" w:rsidRDefault="0091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7F" w:rsidRDefault="00022503" w:rsidP="00022503">
    <w:pPr>
      <w:tabs>
        <w:tab w:val="right" w:pos="9070"/>
      </w:tabs>
      <w:suppressAutoHyphens w:val="0"/>
      <w:spacing w:line="240" w:lineRule="auto"/>
    </w:pPr>
    <w:r>
      <w:rPr>
        <w:sz w:val="18"/>
        <w:szCs w:val="18"/>
      </w:rPr>
      <w:t>OGYÉI/6725/2021</w:t>
    </w:r>
    <w:r w:rsidR="00B41E7F">
      <w:rPr>
        <w:sz w:val="18"/>
        <w:szCs w:val="18"/>
        <w:lang w:val="sv-SE" w:eastAsia="en-US"/>
      </w:rPr>
      <w:tab/>
    </w:r>
    <w:r w:rsidR="00BB3730">
      <w:rPr>
        <w:sz w:val="18"/>
        <w:szCs w:val="18"/>
        <w:lang w:val="sv-SE" w:eastAsia="en-US"/>
      </w:rPr>
      <w:t>2021. május 1</w:t>
    </w:r>
    <w:r w:rsidR="00B41E7F">
      <w:rPr>
        <w:sz w:val="18"/>
        <w:szCs w:val="18"/>
        <w:lang w:val="sv-SE" w:eastAsia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E8" w:rsidRDefault="00915FE8">
      <w:r>
        <w:separator/>
      </w:r>
    </w:p>
  </w:footnote>
  <w:footnote w:type="continuationSeparator" w:id="0">
    <w:p w:rsidR="00915FE8" w:rsidRDefault="0091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02" w:rsidRDefault="00F61E02" w:rsidP="0044606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1E02" w:rsidRDefault="00F61E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02" w:rsidRPr="00AD6C63" w:rsidRDefault="00F61E02" w:rsidP="00446063">
    <w:pPr>
      <w:pStyle w:val="lfej"/>
      <w:framePr w:wrap="around" w:vAnchor="text" w:hAnchor="margin" w:xAlign="center" w:y="1"/>
      <w:spacing w:line="240" w:lineRule="auto"/>
      <w:rPr>
        <w:rStyle w:val="Oldalszm"/>
        <w:sz w:val="20"/>
        <w:szCs w:val="18"/>
      </w:rPr>
    </w:pPr>
    <w:r w:rsidRPr="00AD6C63">
      <w:rPr>
        <w:rStyle w:val="Oldalszm"/>
        <w:sz w:val="20"/>
        <w:szCs w:val="18"/>
      </w:rPr>
      <w:fldChar w:fldCharType="begin"/>
    </w:r>
    <w:r w:rsidRPr="00AD6C63">
      <w:rPr>
        <w:rStyle w:val="Oldalszm"/>
        <w:sz w:val="20"/>
        <w:szCs w:val="18"/>
      </w:rPr>
      <w:instrText xml:space="preserve">PAGE  </w:instrText>
    </w:r>
    <w:r w:rsidRPr="00AD6C63">
      <w:rPr>
        <w:rStyle w:val="Oldalszm"/>
        <w:sz w:val="20"/>
        <w:szCs w:val="18"/>
      </w:rPr>
      <w:fldChar w:fldCharType="separate"/>
    </w:r>
    <w:r w:rsidR="00BB3730">
      <w:rPr>
        <w:rStyle w:val="Oldalszm"/>
        <w:noProof/>
        <w:sz w:val="20"/>
        <w:szCs w:val="18"/>
      </w:rPr>
      <w:t>2</w:t>
    </w:r>
    <w:r w:rsidRPr="00AD6C63">
      <w:rPr>
        <w:rStyle w:val="Oldalszm"/>
        <w:sz w:val="20"/>
        <w:szCs w:val="18"/>
      </w:rPr>
      <w:fldChar w:fldCharType="end"/>
    </w:r>
  </w:p>
  <w:p w:rsidR="00F61E02" w:rsidRDefault="00F61E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00D28"/>
    <w:multiLevelType w:val="hybridMultilevel"/>
    <w:tmpl w:val="979479BE"/>
    <w:lvl w:ilvl="0" w:tplc="FD788292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F8B28974">
      <w:start w:val="17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664"/>
    <w:rsid w:val="00022503"/>
    <w:rsid w:val="0003647E"/>
    <w:rsid w:val="000550F8"/>
    <w:rsid w:val="00067773"/>
    <w:rsid w:val="000C51EF"/>
    <w:rsid w:val="000D4664"/>
    <w:rsid w:val="000E271D"/>
    <w:rsid w:val="000E2790"/>
    <w:rsid w:val="000E3A31"/>
    <w:rsid w:val="00123345"/>
    <w:rsid w:val="00126D0E"/>
    <w:rsid w:val="00132537"/>
    <w:rsid w:val="001435C5"/>
    <w:rsid w:val="001A1CF8"/>
    <w:rsid w:val="001A23E5"/>
    <w:rsid w:val="001C0094"/>
    <w:rsid w:val="001F4AA4"/>
    <w:rsid w:val="00231781"/>
    <w:rsid w:val="00240ACE"/>
    <w:rsid w:val="00256A59"/>
    <w:rsid w:val="002931CC"/>
    <w:rsid w:val="002943DA"/>
    <w:rsid w:val="002C2DC9"/>
    <w:rsid w:val="002C41D7"/>
    <w:rsid w:val="002D1BC5"/>
    <w:rsid w:val="002F7E7D"/>
    <w:rsid w:val="00312804"/>
    <w:rsid w:val="00346821"/>
    <w:rsid w:val="0035035B"/>
    <w:rsid w:val="00353ED8"/>
    <w:rsid w:val="00371BF3"/>
    <w:rsid w:val="00396906"/>
    <w:rsid w:val="003A03CC"/>
    <w:rsid w:val="003B310B"/>
    <w:rsid w:val="003C03D5"/>
    <w:rsid w:val="003D0AF0"/>
    <w:rsid w:val="003F6190"/>
    <w:rsid w:val="00434DBC"/>
    <w:rsid w:val="00446063"/>
    <w:rsid w:val="00461092"/>
    <w:rsid w:val="004713F5"/>
    <w:rsid w:val="004858FD"/>
    <w:rsid w:val="004937A4"/>
    <w:rsid w:val="004958DF"/>
    <w:rsid w:val="004A3645"/>
    <w:rsid w:val="004C5F5E"/>
    <w:rsid w:val="004D55F0"/>
    <w:rsid w:val="004E0C46"/>
    <w:rsid w:val="004E7A1E"/>
    <w:rsid w:val="00506A6A"/>
    <w:rsid w:val="00535FA8"/>
    <w:rsid w:val="00535FE0"/>
    <w:rsid w:val="00540752"/>
    <w:rsid w:val="0056091C"/>
    <w:rsid w:val="0057714A"/>
    <w:rsid w:val="00585B18"/>
    <w:rsid w:val="005B7BB9"/>
    <w:rsid w:val="005D0803"/>
    <w:rsid w:val="005E4D2C"/>
    <w:rsid w:val="00601FB2"/>
    <w:rsid w:val="00642429"/>
    <w:rsid w:val="0065391F"/>
    <w:rsid w:val="006601D6"/>
    <w:rsid w:val="00664F19"/>
    <w:rsid w:val="00693391"/>
    <w:rsid w:val="006A0EA4"/>
    <w:rsid w:val="006E0F80"/>
    <w:rsid w:val="00716972"/>
    <w:rsid w:val="007410CD"/>
    <w:rsid w:val="007569D9"/>
    <w:rsid w:val="00780062"/>
    <w:rsid w:val="00792E5D"/>
    <w:rsid w:val="00795217"/>
    <w:rsid w:val="007963D2"/>
    <w:rsid w:val="007A6782"/>
    <w:rsid w:val="007D0B8C"/>
    <w:rsid w:val="007E619F"/>
    <w:rsid w:val="00805EF4"/>
    <w:rsid w:val="00806C6F"/>
    <w:rsid w:val="00892B2C"/>
    <w:rsid w:val="00895CBB"/>
    <w:rsid w:val="008B0321"/>
    <w:rsid w:val="008D2284"/>
    <w:rsid w:val="00905771"/>
    <w:rsid w:val="00915FE8"/>
    <w:rsid w:val="00925C03"/>
    <w:rsid w:val="009329B0"/>
    <w:rsid w:val="00932C2A"/>
    <w:rsid w:val="00975E25"/>
    <w:rsid w:val="00990C9B"/>
    <w:rsid w:val="009B2BB4"/>
    <w:rsid w:val="00A064CA"/>
    <w:rsid w:val="00A12163"/>
    <w:rsid w:val="00A46D4F"/>
    <w:rsid w:val="00A62F78"/>
    <w:rsid w:val="00A83DDD"/>
    <w:rsid w:val="00A875FC"/>
    <w:rsid w:val="00AC6BCF"/>
    <w:rsid w:val="00AD1BE9"/>
    <w:rsid w:val="00AD4852"/>
    <w:rsid w:val="00AD6C63"/>
    <w:rsid w:val="00AE7B79"/>
    <w:rsid w:val="00AF2A98"/>
    <w:rsid w:val="00B10E71"/>
    <w:rsid w:val="00B14B7F"/>
    <w:rsid w:val="00B342AD"/>
    <w:rsid w:val="00B41E7F"/>
    <w:rsid w:val="00B46956"/>
    <w:rsid w:val="00B77D41"/>
    <w:rsid w:val="00B91E8A"/>
    <w:rsid w:val="00BA5118"/>
    <w:rsid w:val="00BB3730"/>
    <w:rsid w:val="00BC4433"/>
    <w:rsid w:val="00BF1121"/>
    <w:rsid w:val="00BF6B27"/>
    <w:rsid w:val="00C10DD4"/>
    <w:rsid w:val="00C16E03"/>
    <w:rsid w:val="00C17153"/>
    <w:rsid w:val="00C309DB"/>
    <w:rsid w:val="00C32C2A"/>
    <w:rsid w:val="00C3321A"/>
    <w:rsid w:val="00C54059"/>
    <w:rsid w:val="00C55BB7"/>
    <w:rsid w:val="00C56403"/>
    <w:rsid w:val="00C62D7E"/>
    <w:rsid w:val="00C67920"/>
    <w:rsid w:val="00C72C62"/>
    <w:rsid w:val="00C735CF"/>
    <w:rsid w:val="00C86D39"/>
    <w:rsid w:val="00C9095D"/>
    <w:rsid w:val="00CA5278"/>
    <w:rsid w:val="00CD7E37"/>
    <w:rsid w:val="00CE150E"/>
    <w:rsid w:val="00CF55A7"/>
    <w:rsid w:val="00CF5F6A"/>
    <w:rsid w:val="00D21A9D"/>
    <w:rsid w:val="00D404BC"/>
    <w:rsid w:val="00D44712"/>
    <w:rsid w:val="00D456A3"/>
    <w:rsid w:val="00D46CAE"/>
    <w:rsid w:val="00D56A1A"/>
    <w:rsid w:val="00D57A4A"/>
    <w:rsid w:val="00D67F94"/>
    <w:rsid w:val="00D72AA2"/>
    <w:rsid w:val="00D802A3"/>
    <w:rsid w:val="00D952E6"/>
    <w:rsid w:val="00D95FBB"/>
    <w:rsid w:val="00DA2B48"/>
    <w:rsid w:val="00DB2477"/>
    <w:rsid w:val="00DD1AB0"/>
    <w:rsid w:val="00DD42C3"/>
    <w:rsid w:val="00DF46B3"/>
    <w:rsid w:val="00DF48FE"/>
    <w:rsid w:val="00E23672"/>
    <w:rsid w:val="00E44556"/>
    <w:rsid w:val="00E626F5"/>
    <w:rsid w:val="00E85097"/>
    <w:rsid w:val="00E86510"/>
    <w:rsid w:val="00E93739"/>
    <w:rsid w:val="00EB052F"/>
    <w:rsid w:val="00EC49BC"/>
    <w:rsid w:val="00EE258D"/>
    <w:rsid w:val="00EE2DC4"/>
    <w:rsid w:val="00F17AB9"/>
    <w:rsid w:val="00F61E02"/>
    <w:rsid w:val="00F634D7"/>
    <w:rsid w:val="00F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5E794"/>
  <w15:docId w15:val="{E6EFEFC3-5C67-4462-95DB-031183E1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664"/>
    <w:pPr>
      <w:suppressAutoHyphens/>
      <w:spacing w:line="260" w:lineRule="exact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F2A9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4606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46063"/>
  </w:style>
  <w:style w:type="paragraph" w:styleId="llb">
    <w:name w:val="footer"/>
    <w:basedOn w:val="Norml"/>
    <w:rsid w:val="00446063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EB052F"/>
    <w:rPr>
      <w:sz w:val="16"/>
      <w:szCs w:val="16"/>
    </w:rPr>
  </w:style>
  <w:style w:type="paragraph" w:styleId="Jegyzetszveg">
    <w:name w:val="annotation text"/>
    <w:basedOn w:val="Norml"/>
    <w:semiHidden/>
    <w:rsid w:val="00EB052F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EB052F"/>
    <w:rPr>
      <w:b/>
      <w:bCs/>
    </w:rPr>
  </w:style>
  <w:style w:type="character" w:styleId="Hiperhivatkozs">
    <w:name w:val="Hyperlink"/>
    <w:rsid w:val="00256A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Likozarjeva+ulica+6&amp;entry=gmail&amp;source=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CÍMKESZÖVEG</vt:lpstr>
    </vt:vector>
  </TitlesOfParts>
  <Company>office2003</Company>
  <LinksUpToDate>false</LinksUpToDate>
  <CharactersWithSpaces>2603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https://maps.google.com/?q=Likozarjeva+ulica+6&amp;entry=gmail&amp;source=g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CÍMKESZÖVEG</dc:title>
  <dc:creator>irena</dc:creator>
  <cp:lastModifiedBy>HU_OGYI_56.1</cp:lastModifiedBy>
  <cp:revision>4</cp:revision>
  <dcterms:created xsi:type="dcterms:W3CDTF">2021-03-25T11:56:00Z</dcterms:created>
  <dcterms:modified xsi:type="dcterms:W3CDTF">2021-05-04T10:16:00Z</dcterms:modified>
</cp:coreProperties>
</file>