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4291A" w14:textId="48080D65" w:rsidR="00612DB6" w:rsidRPr="005F2D90" w:rsidRDefault="00332E7A" w:rsidP="005F2D90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5F2D90">
        <w:rPr>
          <w:rFonts w:ascii="Times New Roman" w:hAnsi="Times New Roman"/>
          <w:b/>
        </w:rPr>
        <w:t>Betegtájékoztató: Információk a beteg számára</w:t>
      </w:r>
    </w:p>
    <w:p w14:paraId="1C69A4A9" w14:textId="77777777" w:rsidR="00612DB6" w:rsidRPr="00064067" w:rsidRDefault="00612DB6" w:rsidP="005F2D90">
      <w:pPr>
        <w:spacing w:after="0" w:line="240" w:lineRule="auto"/>
        <w:jc w:val="center"/>
        <w:rPr>
          <w:rFonts w:ascii="Times New Roman" w:hAnsi="Times New Roman"/>
        </w:rPr>
      </w:pPr>
    </w:p>
    <w:p w14:paraId="1BDEB58C" w14:textId="628BA75C" w:rsidR="00612DB6" w:rsidRPr="005F2D90" w:rsidRDefault="00495523" w:rsidP="005F2D90">
      <w:pPr>
        <w:spacing w:after="0" w:line="240" w:lineRule="auto"/>
        <w:jc w:val="center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>Ceftriaxon Noridem 1 g por oldatos injekcióhoz</w:t>
      </w:r>
      <w:r w:rsidR="00A327AF" w:rsidRPr="00064067">
        <w:rPr>
          <w:rFonts w:ascii="Times New Roman" w:hAnsi="Times New Roman"/>
          <w:b/>
        </w:rPr>
        <w:t>/</w:t>
      </w:r>
      <w:r w:rsidRPr="005F2D90">
        <w:rPr>
          <w:rFonts w:ascii="Times New Roman" w:hAnsi="Times New Roman"/>
          <w:b/>
        </w:rPr>
        <w:t>infúzióhoz</w:t>
      </w:r>
    </w:p>
    <w:p w14:paraId="49E780A5" w14:textId="77F6C809" w:rsidR="00612DB6" w:rsidRPr="005F2D90" w:rsidRDefault="00332E7A" w:rsidP="005F2D90">
      <w:pPr>
        <w:spacing w:after="0" w:line="240" w:lineRule="auto"/>
        <w:jc w:val="center"/>
        <w:rPr>
          <w:rFonts w:ascii="Times New Roman" w:hAnsi="Times New Roman"/>
        </w:rPr>
      </w:pPr>
      <w:r w:rsidRPr="005F2D90">
        <w:rPr>
          <w:rFonts w:ascii="Times New Roman" w:hAnsi="Times New Roman"/>
        </w:rPr>
        <w:t>ceftriaxon (ceftriaxon-nátrium</w:t>
      </w:r>
      <w:r w:rsidR="00D12AF4">
        <w:rPr>
          <w:rFonts w:ascii="Times New Roman" w:hAnsi="Times New Roman"/>
        </w:rPr>
        <w:t xml:space="preserve"> formájában</w:t>
      </w:r>
      <w:r w:rsidRPr="005F2D90">
        <w:rPr>
          <w:rFonts w:ascii="Times New Roman" w:hAnsi="Times New Roman"/>
        </w:rPr>
        <w:t>)</w:t>
      </w:r>
    </w:p>
    <w:p w14:paraId="513F0A0A" w14:textId="77777777" w:rsidR="00612DB6" w:rsidRPr="005F2D90" w:rsidRDefault="00612DB6" w:rsidP="005F2D90">
      <w:pPr>
        <w:spacing w:after="0" w:line="240" w:lineRule="auto"/>
        <w:jc w:val="center"/>
        <w:rPr>
          <w:rFonts w:ascii="Times New Roman" w:hAnsi="Times New Roman"/>
        </w:rPr>
      </w:pPr>
    </w:p>
    <w:p w14:paraId="7A710223" w14:textId="0A6C1B60" w:rsidR="00612DB6" w:rsidRPr="005F2D90" w:rsidRDefault="00612DB6" w:rsidP="005F2D90">
      <w:pPr>
        <w:spacing w:after="0" w:line="240" w:lineRule="auto"/>
        <w:rPr>
          <w:rFonts w:ascii="Times New Roman" w:hAnsi="Times New Roman"/>
          <w:b/>
        </w:rPr>
      </w:pPr>
      <w:r w:rsidRPr="005F2D90">
        <w:rPr>
          <w:rFonts w:ascii="Times New Roman" w:hAnsi="Times New Roman"/>
          <w:b/>
        </w:rPr>
        <w:t xml:space="preserve">Mielőtt beadnák Önnek ezt a gyógyszert, olvassa el figyelmesen az alábbi betegtájékoztatót, mert az Ön számára fontos információkat tartalmaz. </w:t>
      </w:r>
    </w:p>
    <w:p w14:paraId="5C6BF71E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/>
        </w:rPr>
      </w:pPr>
    </w:p>
    <w:p w14:paraId="34F42439" w14:textId="77777777" w:rsidR="00612DB6" w:rsidRPr="005F2D90" w:rsidRDefault="00612DB6" w:rsidP="00064067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Tartsa meg a betegtájékoztatót, mert a benne szereplő információkra a későbbiekben is szüksége lehet.</w:t>
      </w:r>
    </w:p>
    <w:p w14:paraId="151E6EE2" w14:textId="77777777" w:rsidR="00612DB6" w:rsidRPr="005F2D90" w:rsidRDefault="00612DB6" w:rsidP="00064067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További kérdéseivel forduljon kezelőorvosához, gyógyszerészéhez vagy a gondozását végző egészségügyi szakemberhez.</w:t>
      </w:r>
    </w:p>
    <w:p w14:paraId="4B909537" w14:textId="77777777" w:rsidR="00612DB6" w:rsidRPr="005F2D90" w:rsidRDefault="00612DB6" w:rsidP="00064067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Ezt a gyógyszert az orvos kizárólag Önnek írta fel. Ne adja át a készítményt másnak, mert számára ártalmas lehet még abban az esetben is, ha a betegsége tünetei az Önéhez hasonlóak. </w:t>
      </w:r>
    </w:p>
    <w:p w14:paraId="04B932E7" w14:textId="7062DAC9" w:rsidR="00612DB6" w:rsidRPr="005F2D90" w:rsidRDefault="00612DB6" w:rsidP="00064067">
      <w:pPr>
        <w:pStyle w:val="Listaszerbekezds"/>
        <w:numPr>
          <w:ilvl w:val="0"/>
          <w:numId w:val="2"/>
        </w:numPr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 pont.</w:t>
      </w:r>
    </w:p>
    <w:p w14:paraId="4FE28C2D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lang w:val="en-US"/>
        </w:rPr>
      </w:pPr>
    </w:p>
    <w:p w14:paraId="41288665" w14:textId="22A05C46" w:rsidR="00612DB6" w:rsidRPr="005F2D90" w:rsidRDefault="00612DB6" w:rsidP="005F2D90">
      <w:pPr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Gyógyszerének neve </w:t>
      </w:r>
      <w:r w:rsidRPr="005F2D90">
        <w:rPr>
          <w:rFonts w:ascii="Times New Roman" w:hAnsi="Times New Roman"/>
          <w:b/>
        </w:rPr>
        <w:t>Ceftriaxon Noridem</w:t>
      </w:r>
      <w:r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  <w:b/>
        </w:rPr>
        <w:t>1 g por oldatos injekcióhoz</w:t>
      </w:r>
      <w:r w:rsidR="00A327AF" w:rsidRPr="005F2D90">
        <w:rPr>
          <w:rFonts w:ascii="Times New Roman" w:hAnsi="Times New Roman"/>
          <w:b/>
          <w:lang w:val="en-US"/>
        </w:rPr>
        <w:t>/</w:t>
      </w:r>
      <w:r w:rsidRPr="005F2D90">
        <w:rPr>
          <w:rFonts w:ascii="Times New Roman" w:hAnsi="Times New Roman"/>
          <w:b/>
        </w:rPr>
        <w:t>infúzióhoz</w:t>
      </w:r>
      <w:r w:rsidRPr="005F2D90">
        <w:rPr>
          <w:rFonts w:ascii="Times New Roman" w:hAnsi="Times New Roman"/>
        </w:rPr>
        <w:t>. A betegtájékoztató további részében a gyógyszert Ceftriaxon Noridemnek nevezzük.</w:t>
      </w:r>
    </w:p>
    <w:p w14:paraId="4AB8A7AF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</w:rPr>
      </w:pPr>
    </w:p>
    <w:p w14:paraId="2905B9FF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>A betegtájékoztató tartalma:</w:t>
      </w:r>
    </w:p>
    <w:p w14:paraId="5BBD21CF" w14:textId="25B540E3" w:rsidR="00612DB6" w:rsidRPr="005F2D90" w:rsidRDefault="00612DB6" w:rsidP="00064067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Milyen típusú gyógyszer a Ceftriaxon Noridem és milyen betegségek esetén alkalmazható?</w:t>
      </w:r>
    </w:p>
    <w:p w14:paraId="01C6E88E" w14:textId="1A777576" w:rsidR="00612DB6" w:rsidRPr="005F2D90" w:rsidRDefault="00612DB6" w:rsidP="00064067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Tudnivalók a Ceftriaxon Noridem alkalmazása előtt</w:t>
      </w:r>
    </w:p>
    <w:p w14:paraId="46D447B5" w14:textId="3201E094" w:rsidR="00612DB6" w:rsidRPr="005F2D90" w:rsidRDefault="00DB0DD3" w:rsidP="00064067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Hogyan kell alkalmazni a </w:t>
      </w:r>
      <w:r w:rsidR="00612DB6" w:rsidRPr="005F2D90">
        <w:rPr>
          <w:rFonts w:ascii="Times New Roman" w:hAnsi="Times New Roman"/>
        </w:rPr>
        <w:t>Ceftriaxon Noridemet?</w:t>
      </w:r>
    </w:p>
    <w:p w14:paraId="58CFC678" w14:textId="77777777" w:rsidR="00612DB6" w:rsidRPr="005F2D90" w:rsidRDefault="00612DB6" w:rsidP="00064067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Lehetséges mellékhatások</w:t>
      </w:r>
    </w:p>
    <w:p w14:paraId="35FDC0A9" w14:textId="232D1CF3" w:rsidR="00612DB6" w:rsidRPr="005F2D90" w:rsidRDefault="00612DB6" w:rsidP="00064067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Hogyan kell a Ceftriaxon Noridemet tárolni?</w:t>
      </w:r>
    </w:p>
    <w:p w14:paraId="62D4EFC8" w14:textId="77777777" w:rsidR="00612DB6" w:rsidRPr="005F2D90" w:rsidRDefault="00612DB6" w:rsidP="00064067">
      <w:pPr>
        <w:pStyle w:val="Listaszerbekezds"/>
        <w:numPr>
          <w:ilvl w:val="0"/>
          <w:numId w:val="3"/>
        </w:numPr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A csomagolás tartalma és egyéb információk</w:t>
      </w:r>
    </w:p>
    <w:p w14:paraId="1DFFA413" w14:textId="5032BF8D" w:rsidR="00612DB6" w:rsidRPr="005F2D90" w:rsidRDefault="00612DB6" w:rsidP="005F2D90">
      <w:pPr>
        <w:spacing w:after="0" w:line="240" w:lineRule="auto"/>
        <w:rPr>
          <w:rFonts w:ascii="Times New Roman" w:hAnsi="Times New Roman"/>
          <w:lang w:val="en-US"/>
        </w:rPr>
      </w:pPr>
    </w:p>
    <w:p w14:paraId="72113725" w14:textId="77777777" w:rsidR="00CA2ECD" w:rsidRPr="005F2D90" w:rsidRDefault="00CA2ECD" w:rsidP="005F2D90">
      <w:pPr>
        <w:spacing w:after="0" w:line="240" w:lineRule="auto"/>
        <w:rPr>
          <w:rFonts w:ascii="Times New Roman" w:hAnsi="Times New Roman"/>
          <w:lang w:val="en-US"/>
        </w:rPr>
      </w:pPr>
    </w:p>
    <w:p w14:paraId="73462D43" w14:textId="17017BCE" w:rsidR="00612DB6" w:rsidRPr="005F2D90" w:rsidRDefault="00612DB6" w:rsidP="00064067">
      <w:pPr>
        <w:pStyle w:val="Listaszerbekezds"/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/>
          <w:b/>
        </w:rPr>
      </w:pPr>
      <w:r w:rsidRPr="005F2D90">
        <w:rPr>
          <w:rFonts w:ascii="Times New Roman" w:hAnsi="Times New Roman"/>
          <w:b/>
        </w:rPr>
        <w:t>Milyen típusú gyógyszer a Ceftriaxon Noridem</w:t>
      </w:r>
      <w:r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  <w:b/>
        </w:rPr>
        <w:t>és</w:t>
      </w:r>
      <w:r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  <w:b/>
        </w:rPr>
        <w:t xml:space="preserve">milyen betegségek esetén alkalmazható? </w:t>
      </w:r>
    </w:p>
    <w:p w14:paraId="664364AA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lang w:val="en-US"/>
        </w:rPr>
      </w:pPr>
    </w:p>
    <w:p w14:paraId="4279BB61" w14:textId="5164F422" w:rsidR="00612DB6" w:rsidRPr="005F2D90" w:rsidRDefault="00495523" w:rsidP="005F2D90">
      <w:pPr>
        <w:pStyle w:val="Default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 xml:space="preserve">A Ceftriaxon Noridem </w:t>
      </w:r>
      <w:r w:rsidR="004D417B" w:rsidRPr="005F2D90">
        <w:rPr>
          <w:color w:val="auto"/>
          <w:sz w:val="22"/>
          <w:szCs w:val="22"/>
        </w:rPr>
        <w:t>egy antibiotikum, amely felnőtteknek</w:t>
      </w:r>
      <w:r w:rsidR="00D12AF4">
        <w:rPr>
          <w:color w:val="auto"/>
          <w:sz w:val="22"/>
          <w:szCs w:val="22"/>
        </w:rPr>
        <w:t>, serdülőknek</w:t>
      </w:r>
      <w:r w:rsidR="004D417B" w:rsidRPr="005F2D90">
        <w:rPr>
          <w:color w:val="auto"/>
          <w:sz w:val="22"/>
          <w:szCs w:val="22"/>
        </w:rPr>
        <w:t xml:space="preserve"> és gyermekeknek (újszülötteknek is) adható. </w:t>
      </w:r>
      <w:r w:rsidR="00D12AF4">
        <w:rPr>
          <w:color w:val="auto"/>
          <w:sz w:val="22"/>
          <w:szCs w:val="22"/>
        </w:rPr>
        <w:t>Úgy hat, hogy e</w:t>
      </w:r>
      <w:r w:rsidR="004D417B" w:rsidRPr="005F2D90">
        <w:rPr>
          <w:color w:val="auto"/>
          <w:sz w:val="22"/>
          <w:szCs w:val="22"/>
        </w:rPr>
        <w:t>lpusztítja a fertőzéseket okozó baktériumokat. A cefalosporinoknak nevezett gyógyszercsoportba tartozik</w:t>
      </w:r>
      <w:r w:rsidR="00D12AF4">
        <w:rPr>
          <w:color w:val="auto"/>
          <w:sz w:val="22"/>
          <w:szCs w:val="22"/>
        </w:rPr>
        <w:t>.</w:t>
      </w:r>
    </w:p>
    <w:p w14:paraId="5316481C" w14:textId="77777777" w:rsidR="00612DB6" w:rsidRPr="005F2D90" w:rsidRDefault="00612DB6" w:rsidP="005F2D90">
      <w:pPr>
        <w:pStyle w:val="Default"/>
        <w:rPr>
          <w:color w:val="auto"/>
          <w:sz w:val="22"/>
          <w:szCs w:val="22"/>
        </w:rPr>
      </w:pPr>
    </w:p>
    <w:p w14:paraId="18D94C24" w14:textId="198D4937" w:rsidR="00612DB6" w:rsidRPr="005F2D90" w:rsidRDefault="00495523" w:rsidP="005F2D90">
      <w:pPr>
        <w:pStyle w:val="Default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A Ceftriaxon Noridem a következő szervek fertőzés</w:t>
      </w:r>
      <w:r w:rsidR="00D12AF4">
        <w:rPr>
          <w:color w:val="auto"/>
          <w:sz w:val="22"/>
          <w:szCs w:val="22"/>
        </w:rPr>
        <w:t>ein</w:t>
      </w:r>
      <w:r w:rsidRPr="005F2D90">
        <w:rPr>
          <w:color w:val="auto"/>
          <w:sz w:val="22"/>
          <w:szCs w:val="22"/>
        </w:rPr>
        <w:t xml:space="preserve">ek kezelésére </w:t>
      </w:r>
      <w:r w:rsidR="00D12AF4">
        <w:rPr>
          <w:color w:val="auto"/>
          <w:sz w:val="22"/>
          <w:szCs w:val="22"/>
        </w:rPr>
        <w:t>alkalmazható</w:t>
      </w:r>
      <w:r w:rsidRPr="005F2D90">
        <w:rPr>
          <w:color w:val="auto"/>
          <w:sz w:val="22"/>
          <w:szCs w:val="22"/>
        </w:rPr>
        <w:t>:</w:t>
      </w:r>
    </w:p>
    <w:p w14:paraId="44C2FDA9" w14:textId="5C3E70C3" w:rsidR="004D417B" w:rsidRPr="005F2D90" w:rsidRDefault="004D417B" w:rsidP="00064067">
      <w:pPr>
        <w:pStyle w:val="Default"/>
        <w:numPr>
          <w:ilvl w:val="0"/>
          <w:numId w:val="33"/>
        </w:numPr>
        <w:tabs>
          <w:tab w:val="left" w:pos="720"/>
        </w:tabs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agy (agyhártyagyulladás)</w:t>
      </w:r>
      <w:r w:rsidR="00D12AF4">
        <w:rPr>
          <w:color w:val="auto"/>
          <w:sz w:val="22"/>
          <w:szCs w:val="22"/>
        </w:rPr>
        <w:t>;</w:t>
      </w:r>
    </w:p>
    <w:p w14:paraId="078A20E1" w14:textId="6278C201" w:rsidR="004D417B" w:rsidRPr="005F2D90" w:rsidRDefault="004D417B" w:rsidP="00064067">
      <w:pPr>
        <w:pStyle w:val="Default"/>
        <w:numPr>
          <w:ilvl w:val="0"/>
          <w:numId w:val="33"/>
        </w:numPr>
        <w:tabs>
          <w:tab w:val="left" w:pos="720"/>
        </w:tabs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tüdő</w:t>
      </w:r>
      <w:r w:rsidR="00D12AF4">
        <w:rPr>
          <w:color w:val="auto"/>
          <w:sz w:val="22"/>
          <w:szCs w:val="22"/>
        </w:rPr>
        <w:t>;</w:t>
      </w:r>
    </w:p>
    <w:p w14:paraId="591BFB1A" w14:textId="4DB7800C" w:rsidR="004D417B" w:rsidRPr="005F2D90" w:rsidRDefault="004D417B" w:rsidP="00064067">
      <w:pPr>
        <w:pStyle w:val="Default"/>
        <w:numPr>
          <w:ilvl w:val="0"/>
          <w:numId w:val="33"/>
        </w:numPr>
        <w:tabs>
          <w:tab w:val="left" w:pos="720"/>
        </w:tabs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középfül</w:t>
      </w:r>
      <w:r w:rsidR="00D12AF4">
        <w:rPr>
          <w:color w:val="auto"/>
          <w:sz w:val="22"/>
          <w:szCs w:val="22"/>
        </w:rPr>
        <w:t>;</w:t>
      </w:r>
    </w:p>
    <w:p w14:paraId="217D0A76" w14:textId="13B8247A" w:rsidR="004D417B" w:rsidRPr="005F2D90" w:rsidRDefault="004D417B" w:rsidP="00064067">
      <w:pPr>
        <w:pStyle w:val="Default"/>
        <w:numPr>
          <w:ilvl w:val="0"/>
          <w:numId w:val="33"/>
        </w:numPr>
        <w:tabs>
          <w:tab w:val="left" w:pos="720"/>
        </w:tabs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has és hasfal (hashártyagyulladás)</w:t>
      </w:r>
      <w:r w:rsidR="00D12AF4">
        <w:rPr>
          <w:color w:val="auto"/>
          <w:sz w:val="22"/>
          <w:szCs w:val="22"/>
        </w:rPr>
        <w:t>;</w:t>
      </w:r>
    </w:p>
    <w:p w14:paraId="55070790" w14:textId="1A5C272D" w:rsidR="004D417B" w:rsidRPr="005F2D90" w:rsidRDefault="004D417B" w:rsidP="00064067">
      <w:pPr>
        <w:pStyle w:val="Default"/>
        <w:numPr>
          <w:ilvl w:val="0"/>
          <w:numId w:val="33"/>
        </w:numPr>
        <w:tabs>
          <w:tab w:val="left" w:pos="720"/>
        </w:tabs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húgyutak és vese</w:t>
      </w:r>
      <w:r w:rsidR="00D12AF4">
        <w:rPr>
          <w:color w:val="auto"/>
          <w:sz w:val="22"/>
          <w:szCs w:val="22"/>
        </w:rPr>
        <w:t>;</w:t>
      </w:r>
    </w:p>
    <w:p w14:paraId="09BA1015" w14:textId="5C57AE6E" w:rsidR="004D417B" w:rsidRPr="005F2D90" w:rsidRDefault="004D417B" w:rsidP="00064067">
      <w:pPr>
        <w:pStyle w:val="Default"/>
        <w:numPr>
          <w:ilvl w:val="0"/>
          <w:numId w:val="33"/>
        </w:numPr>
        <w:tabs>
          <w:tab w:val="left" w:pos="720"/>
        </w:tabs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csontok és ízületek</w:t>
      </w:r>
      <w:r w:rsidR="00D12AF4">
        <w:rPr>
          <w:color w:val="auto"/>
          <w:sz w:val="22"/>
          <w:szCs w:val="22"/>
        </w:rPr>
        <w:t>;</w:t>
      </w:r>
    </w:p>
    <w:p w14:paraId="4207B744" w14:textId="6076A9D9" w:rsidR="004D417B" w:rsidRPr="005F2D90" w:rsidRDefault="004D417B" w:rsidP="00064067">
      <w:pPr>
        <w:pStyle w:val="Default"/>
        <w:numPr>
          <w:ilvl w:val="0"/>
          <w:numId w:val="33"/>
        </w:numPr>
        <w:tabs>
          <w:tab w:val="left" w:pos="720"/>
        </w:tabs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 xml:space="preserve">bőr </w:t>
      </w:r>
      <w:r w:rsidR="00D12AF4">
        <w:rPr>
          <w:color w:val="auto"/>
          <w:sz w:val="22"/>
          <w:szCs w:val="22"/>
        </w:rPr>
        <w:t>és</w:t>
      </w:r>
      <w:r w:rsidR="00D12AF4" w:rsidRPr="005F2D90">
        <w:rPr>
          <w:color w:val="auto"/>
          <w:sz w:val="22"/>
          <w:szCs w:val="22"/>
        </w:rPr>
        <w:t xml:space="preserve"> </w:t>
      </w:r>
      <w:r w:rsidRPr="005F2D90">
        <w:rPr>
          <w:color w:val="auto"/>
          <w:sz w:val="22"/>
          <w:szCs w:val="22"/>
        </w:rPr>
        <w:t>lágyrészek</w:t>
      </w:r>
      <w:r w:rsidR="00D12AF4">
        <w:rPr>
          <w:color w:val="auto"/>
          <w:sz w:val="22"/>
          <w:szCs w:val="22"/>
        </w:rPr>
        <w:t>;</w:t>
      </w:r>
    </w:p>
    <w:p w14:paraId="3D0E8A0A" w14:textId="435EC35F" w:rsidR="004D417B" w:rsidRPr="005F2D90" w:rsidRDefault="004D417B" w:rsidP="00064067">
      <w:pPr>
        <w:pStyle w:val="Default"/>
        <w:numPr>
          <w:ilvl w:val="0"/>
          <w:numId w:val="33"/>
        </w:numPr>
        <w:tabs>
          <w:tab w:val="left" w:pos="720"/>
        </w:tabs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vér</w:t>
      </w:r>
      <w:r w:rsidR="00D12AF4">
        <w:rPr>
          <w:color w:val="auto"/>
          <w:sz w:val="22"/>
          <w:szCs w:val="22"/>
        </w:rPr>
        <w:t>;</w:t>
      </w:r>
    </w:p>
    <w:p w14:paraId="71D26F68" w14:textId="77777777" w:rsidR="004D417B" w:rsidRPr="005F2D90" w:rsidRDefault="004D417B" w:rsidP="00064067">
      <w:pPr>
        <w:pStyle w:val="Default"/>
        <w:numPr>
          <w:ilvl w:val="0"/>
          <w:numId w:val="33"/>
        </w:numPr>
        <w:tabs>
          <w:tab w:val="left" w:pos="720"/>
        </w:tabs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szív.</w:t>
      </w:r>
    </w:p>
    <w:p w14:paraId="0F766D0C" w14:textId="77777777" w:rsidR="00612DB6" w:rsidRPr="005F2D90" w:rsidRDefault="00612DB6" w:rsidP="005F2D90">
      <w:pPr>
        <w:pStyle w:val="Default"/>
        <w:ind w:left="284"/>
        <w:rPr>
          <w:color w:val="auto"/>
          <w:sz w:val="22"/>
          <w:szCs w:val="22"/>
        </w:rPr>
      </w:pPr>
    </w:p>
    <w:p w14:paraId="439E8C1F" w14:textId="77777777" w:rsidR="00F61DEF" w:rsidRPr="005F2D90" w:rsidRDefault="00F61DEF" w:rsidP="005F2D90">
      <w:pPr>
        <w:pStyle w:val="Default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Ez a gyógyszer adható:</w:t>
      </w:r>
    </w:p>
    <w:p w14:paraId="347259D4" w14:textId="51EC835B" w:rsidR="00F61DEF" w:rsidRPr="005F2D90" w:rsidRDefault="00F61DEF" w:rsidP="00064067">
      <w:pPr>
        <w:pStyle w:val="Default"/>
        <w:numPr>
          <w:ilvl w:val="0"/>
          <w:numId w:val="35"/>
        </w:numPr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bizonyos nemi úton terjedő betegségek (gonorrea és szifilisz)</w:t>
      </w:r>
      <w:r w:rsidR="00D12AF4" w:rsidRPr="00D12AF4">
        <w:rPr>
          <w:color w:val="auto"/>
          <w:sz w:val="22"/>
          <w:szCs w:val="22"/>
        </w:rPr>
        <w:t xml:space="preserve"> </w:t>
      </w:r>
      <w:r w:rsidR="00D12AF4" w:rsidRPr="005F2D90">
        <w:rPr>
          <w:color w:val="auto"/>
          <w:sz w:val="22"/>
          <w:szCs w:val="22"/>
        </w:rPr>
        <w:t>kezelésére</w:t>
      </w:r>
      <w:r w:rsidR="00D12AF4">
        <w:rPr>
          <w:color w:val="auto"/>
          <w:sz w:val="22"/>
          <w:szCs w:val="22"/>
        </w:rPr>
        <w:t>;</w:t>
      </w:r>
    </w:p>
    <w:p w14:paraId="21ECE851" w14:textId="79782D25" w:rsidR="00F61DEF" w:rsidRPr="005F2D90" w:rsidRDefault="00F61DEF" w:rsidP="00064067">
      <w:pPr>
        <w:pStyle w:val="Default"/>
        <w:numPr>
          <w:ilvl w:val="0"/>
          <w:numId w:val="35"/>
        </w:numPr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olyan, alacsony fehérvérsejtszámú (neutropéniás) betegek kezelésére, akiknek a láza bakteriális fertőzéssel áll összefüggésben</w:t>
      </w:r>
      <w:r w:rsidR="00D12AF4">
        <w:rPr>
          <w:color w:val="auto"/>
          <w:sz w:val="22"/>
          <w:szCs w:val="22"/>
        </w:rPr>
        <w:t>;</w:t>
      </w:r>
    </w:p>
    <w:p w14:paraId="18993E26" w14:textId="1268E4A6" w:rsidR="00F61DEF" w:rsidRPr="005F2D90" w:rsidRDefault="00F61DEF" w:rsidP="00064067">
      <w:pPr>
        <w:pStyle w:val="Default"/>
        <w:numPr>
          <w:ilvl w:val="0"/>
          <w:numId w:val="35"/>
        </w:numPr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a mellkas fertőzéseinek kezelésére krónikus hörghurutban szenvedő felnőtteknél</w:t>
      </w:r>
      <w:r w:rsidR="00D12AF4">
        <w:rPr>
          <w:color w:val="auto"/>
          <w:sz w:val="22"/>
          <w:szCs w:val="22"/>
        </w:rPr>
        <w:t>;</w:t>
      </w:r>
    </w:p>
    <w:p w14:paraId="49F1FFA9" w14:textId="5D185FB0" w:rsidR="00F61DEF" w:rsidRPr="005F2D90" w:rsidRDefault="00F61DEF" w:rsidP="00064067">
      <w:pPr>
        <w:pStyle w:val="Default"/>
        <w:numPr>
          <w:ilvl w:val="0"/>
          <w:numId w:val="35"/>
        </w:numPr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Lyme-kór kezelésére (melyet kullancscsípés okoz) felnőtteknél, serdülőknél és gyermekeknél, beleértve a 15 napos és annál idősebb újszülötteket is</w:t>
      </w:r>
      <w:r w:rsidR="00D12AF4">
        <w:rPr>
          <w:color w:val="auto"/>
          <w:sz w:val="22"/>
          <w:szCs w:val="22"/>
        </w:rPr>
        <w:t>;</w:t>
      </w:r>
    </w:p>
    <w:p w14:paraId="63E9D7A6" w14:textId="77777777" w:rsidR="00F61DEF" w:rsidRPr="005F2D90" w:rsidRDefault="00F61DEF" w:rsidP="00064067">
      <w:pPr>
        <w:pStyle w:val="Default"/>
        <w:numPr>
          <w:ilvl w:val="0"/>
          <w:numId w:val="35"/>
        </w:numPr>
        <w:ind w:left="567" w:hanging="567"/>
        <w:rPr>
          <w:color w:val="auto"/>
          <w:sz w:val="22"/>
          <w:szCs w:val="22"/>
        </w:rPr>
      </w:pPr>
      <w:r w:rsidRPr="005F2D90">
        <w:rPr>
          <w:color w:val="auto"/>
          <w:sz w:val="22"/>
          <w:szCs w:val="22"/>
        </w:rPr>
        <w:t>sebészeti beavatkozás kapcsán kialakuló fertőzések megelőzésére.</w:t>
      </w:r>
    </w:p>
    <w:p w14:paraId="12CE2815" w14:textId="77777777" w:rsidR="00F61DEF" w:rsidRPr="005F2D90" w:rsidRDefault="00F61DEF" w:rsidP="005F2D90">
      <w:pPr>
        <w:pStyle w:val="Default"/>
        <w:rPr>
          <w:color w:val="auto"/>
          <w:sz w:val="22"/>
          <w:szCs w:val="22"/>
        </w:rPr>
      </w:pPr>
    </w:p>
    <w:p w14:paraId="3910B66E" w14:textId="77777777" w:rsidR="00612DB6" w:rsidRPr="005F2D90" w:rsidRDefault="00612DB6" w:rsidP="005F2D90">
      <w:pPr>
        <w:pStyle w:val="Listaszerbekezds"/>
        <w:spacing w:after="0" w:line="240" w:lineRule="auto"/>
        <w:ind w:left="284"/>
        <w:rPr>
          <w:rFonts w:ascii="Times New Roman" w:hAnsi="Times New Roman"/>
        </w:rPr>
      </w:pPr>
    </w:p>
    <w:p w14:paraId="51335B5F" w14:textId="46F34316" w:rsidR="00612DB6" w:rsidRPr="005F2D90" w:rsidRDefault="00612DB6" w:rsidP="00064067">
      <w:pPr>
        <w:pStyle w:val="Listaszerbekezds"/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/>
          <w:b/>
        </w:rPr>
      </w:pPr>
      <w:r w:rsidRPr="005F2D90">
        <w:rPr>
          <w:rFonts w:ascii="Times New Roman" w:hAnsi="Times New Roman"/>
          <w:b/>
        </w:rPr>
        <w:lastRenderedPageBreak/>
        <w:t>Tudnivalók a Ceftriaxon Noridem alkalmazása előtt</w:t>
      </w:r>
      <w:r w:rsidRPr="005F2D90">
        <w:rPr>
          <w:rFonts w:ascii="Times New Roman" w:hAnsi="Times New Roman"/>
        </w:rPr>
        <w:t xml:space="preserve"> </w:t>
      </w:r>
    </w:p>
    <w:p w14:paraId="3A453B4E" w14:textId="77777777" w:rsidR="00290E4C" w:rsidRPr="005F2D90" w:rsidRDefault="00290E4C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0D00F97A" w14:textId="25F6AE76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>Nem kaphat</w:t>
      </w:r>
      <w:r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  <w:b/>
        </w:rPr>
        <w:t>Ceftriaxon Nor</w:t>
      </w:r>
      <w:r w:rsidR="008D278E" w:rsidRPr="005F2D90">
        <w:rPr>
          <w:rFonts w:ascii="Times New Roman" w:hAnsi="Times New Roman"/>
          <w:b/>
        </w:rPr>
        <w:t>i</w:t>
      </w:r>
      <w:r w:rsidRPr="005F2D90">
        <w:rPr>
          <w:rFonts w:ascii="Times New Roman" w:hAnsi="Times New Roman"/>
          <w:b/>
        </w:rPr>
        <w:t xml:space="preserve">demet: </w:t>
      </w:r>
    </w:p>
    <w:p w14:paraId="796F8480" w14:textId="77777777" w:rsidR="00612DB6" w:rsidRPr="005F2D90" w:rsidRDefault="00612DB6" w:rsidP="00064067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Ha allergiás a ceftriaxonra vagy a gyógyszer (6. pontban felsorolt) egyéb összetevőjére. </w:t>
      </w:r>
    </w:p>
    <w:p w14:paraId="463B11C5" w14:textId="7302D2C8" w:rsidR="00612DB6" w:rsidRPr="005F2D90" w:rsidRDefault="00612DB6" w:rsidP="00064067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Ha hirtelen</w:t>
      </w:r>
      <w:r w:rsidR="00D12AF4">
        <w:rPr>
          <w:rFonts w:ascii="Times New Roman" w:hAnsi="Times New Roman"/>
        </w:rPr>
        <w:t xml:space="preserve"> kialakuló</w:t>
      </w:r>
      <w:r w:rsidRPr="005F2D90">
        <w:rPr>
          <w:rFonts w:ascii="Times New Roman" w:hAnsi="Times New Roman"/>
        </w:rPr>
        <w:t xml:space="preserve"> vagy súlyos allergiás reakciót tapasztalt penicillinre vagy hasonló antibiotikumokra (például cefalosporinokra, karbapenemekre vagy monobaktámokra). A jelek közé tartozik a torok vagy az arc hirtelen </w:t>
      </w:r>
      <w:r w:rsidR="00D12AF4">
        <w:rPr>
          <w:rFonts w:ascii="Times New Roman" w:hAnsi="Times New Roman"/>
        </w:rPr>
        <w:t>kialakuló</w:t>
      </w:r>
      <w:r w:rsidR="00D12AF4"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</w:rPr>
        <w:t xml:space="preserve">duzzanata, ami megnehezítheti a légzést vagy a nyelést; a kézfej, lábfej és boka hirtelen </w:t>
      </w:r>
      <w:r w:rsidR="00D12AF4">
        <w:rPr>
          <w:rFonts w:ascii="Times New Roman" w:hAnsi="Times New Roman"/>
        </w:rPr>
        <w:t>kialakuló</w:t>
      </w:r>
      <w:r w:rsidR="00D12AF4"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</w:rPr>
        <w:t xml:space="preserve">duzzanata, mellkasi fájdalom, illetve gyorsan kialakuló, súlyos kiütés. </w:t>
      </w:r>
    </w:p>
    <w:p w14:paraId="6325825D" w14:textId="787D6660" w:rsidR="00612DB6" w:rsidRPr="005F2D90" w:rsidRDefault="00612DB6" w:rsidP="00064067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Ha allergiás a lidokainra, és a Ceftriaxon Noridemet izomba adott injekcióként kapná. </w:t>
      </w:r>
    </w:p>
    <w:p w14:paraId="310714C9" w14:textId="77777777" w:rsidR="00612DB6" w:rsidRPr="005F2D90" w:rsidRDefault="00612DB6" w:rsidP="005F2D90">
      <w:pPr>
        <w:pStyle w:val="Listaszerbekezds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</w:rPr>
      </w:pPr>
    </w:p>
    <w:p w14:paraId="77B5252E" w14:textId="4BB1B272" w:rsidR="00612DB6" w:rsidRPr="005F2D90" w:rsidRDefault="00495523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A Ceftriaxon Noridemet tilos csecsemőknek adni: </w:t>
      </w:r>
    </w:p>
    <w:p w14:paraId="7B603E75" w14:textId="77777777" w:rsidR="00612DB6" w:rsidRPr="005F2D90" w:rsidRDefault="00612DB6" w:rsidP="00064067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Ha a csecsemő koraszülött. </w:t>
      </w:r>
    </w:p>
    <w:p w14:paraId="36490C4F" w14:textId="47857D91" w:rsidR="00612DB6" w:rsidRPr="005F2D90" w:rsidRDefault="00612DB6" w:rsidP="00064067">
      <w:pPr>
        <w:pStyle w:val="Listaszerbekezds"/>
        <w:numPr>
          <w:ilvl w:val="0"/>
          <w:numId w:val="22"/>
        </w:numPr>
        <w:spacing w:after="0" w:line="240" w:lineRule="auto"/>
        <w:ind w:left="567" w:hanging="567"/>
        <w:rPr>
          <w:rFonts w:ascii="Times New Roman" w:hAnsi="Times New Roman"/>
          <w:b/>
        </w:rPr>
      </w:pPr>
      <w:r w:rsidRPr="005F2D90">
        <w:rPr>
          <w:rFonts w:ascii="Times New Roman" w:hAnsi="Times New Roman"/>
        </w:rPr>
        <w:t xml:space="preserve">Ha </w:t>
      </w:r>
      <w:r w:rsidR="00C70D21" w:rsidRPr="005F2D90">
        <w:rPr>
          <w:rFonts w:ascii="Times New Roman" w:hAnsi="Times New Roman"/>
        </w:rPr>
        <w:t>a csecsemő (legfeljebb 28 napos) újszülött és bizonyos problémák vannak a vérével, vagy sárgaság alakult ki nála (a bőr vagy a szemfehérje besárgult), vagy kalciumot tartalmazó készítményt terveznek adni neki vénába</w:t>
      </w:r>
      <w:r w:rsidR="00634220" w:rsidRPr="005F2D90">
        <w:rPr>
          <w:rFonts w:ascii="Times New Roman" w:hAnsi="Times New Roman"/>
        </w:rPr>
        <w:t>.</w:t>
      </w:r>
    </w:p>
    <w:p w14:paraId="2B6A0BA4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/>
        </w:rPr>
      </w:pPr>
    </w:p>
    <w:p w14:paraId="1E4D5D5C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Figyelmeztetések és óvintézkedések </w:t>
      </w:r>
    </w:p>
    <w:p w14:paraId="1903508A" w14:textId="5433DAB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A Ceftriaxon Noridem beadása előtt beszéljen kezelőorvosával, gyógyszerészével vagy a gondozását végző egészségügyi szakemberrel, ha: </w:t>
      </w:r>
    </w:p>
    <w:p w14:paraId="2F3587DD" w14:textId="77777777" w:rsidR="00612DB6" w:rsidRPr="005F2D90" w:rsidRDefault="00612DB6" w:rsidP="00064067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Nemrégiben kalciumtartalmú készítményt kapott, vagy ilyen készítményt készülnek Önnek adni. </w:t>
      </w:r>
    </w:p>
    <w:p w14:paraId="44217ED1" w14:textId="0B1BC34D" w:rsidR="00D12AF4" w:rsidRDefault="00612DB6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Nemrégiben hasmenése volt antibiotikum </w:t>
      </w:r>
      <w:r w:rsidR="00D12AF4">
        <w:rPr>
          <w:rFonts w:ascii="Times New Roman" w:hAnsi="Times New Roman"/>
        </w:rPr>
        <w:t>alkalmazását</w:t>
      </w:r>
      <w:r w:rsidR="00D12AF4"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</w:rPr>
        <w:t>követően.</w:t>
      </w:r>
    </w:p>
    <w:p w14:paraId="33A9F8EF" w14:textId="3E61AC9C" w:rsidR="00612DB6" w:rsidRPr="005F2D90" w:rsidRDefault="00D12AF4" w:rsidP="00064067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="00634220" w:rsidRPr="005F2D90">
        <w:rPr>
          <w:rFonts w:ascii="Times New Roman" w:hAnsi="Times New Roman"/>
        </w:rPr>
        <w:t>orábban valaha bélrendszeri problémái voltak, különösképpen, ha bélgyulladása (kolitisze) volt</w:t>
      </w:r>
      <w:r>
        <w:rPr>
          <w:rFonts w:ascii="Times New Roman" w:hAnsi="Times New Roman"/>
        </w:rPr>
        <w:t>.</w:t>
      </w:r>
    </w:p>
    <w:p w14:paraId="1ABFC5E3" w14:textId="77777777" w:rsidR="00612DB6" w:rsidRPr="005F2D90" w:rsidRDefault="00612DB6" w:rsidP="00064067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Máj- vagy veseproblémái vannak (lásd 4. pont). </w:t>
      </w:r>
    </w:p>
    <w:p w14:paraId="4A175FDE" w14:textId="77777777" w:rsidR="00612DB6" w:rsidRPr="005F2D90" w:rsidRDefault="00612DB6" w:rsidP="00064067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Epe- vagy vesekövei vannak. </w:t>
      </w:r>
    </w:p>
    <w:p w14:paraId="7DC5AFA5" w14:textId="4427A521" w:rsidR="00612DB6" w:rsidRPr="005F2D90" w:rsidRDefault="00612DB6" w:rsidP="00064067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Más betegségben szenved, például hemolitikus anémiában (a vörösvértestek számának csökkenése, ami a bőrt sápadttá, sárgává teszi, gyengeséget </w:t>
      </w:r>
      <w:r w:rsidR="00D12AF4">
        <w:rPr>
          <w:rFonts w:ascii="Times New Roman" w:hAnsi="Times New Roman"/>
        </w:rPr>
        <w:t>vagy</w:t>
      </w:r>
      <w:r w:rsidR="00D12AF4"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</w:rPr>
        <w:t xml:space="preserve">légszomjat okoz). </w:t>
      </w:r>
    </w:p>
    <w:p w14:paraId="23F051A4" w14:textId="77777777" w:rsidR="00612DB6" w:rsidRPr="005F2D90" w:rsidRDefault="00612DB6" w:rsidP="00064067">
      <w:pPr>
        <w:pStyle w:val="Listaszerbekezds"/>
        <w:numPr>
          <w:ilvl w:val="0"/>
          <w:numId w:val="23"/>
        </w:numPr>
        <w:spacing w:after="0" w:line="240" w:lineRule="auto"/>
        <w:ind w:left="567" w:hanging="567"/>
        <w:rPr>
          <w:rFonts w:ascii="Times New Roman" w:hAnsi="Times New Roman"/>
          <w:b/>
        </w:rPr>
      </w:pPr>
      <w:r w:rsidRPr="005F2D90">
        <w:rPr>
          <w:rFonts w:ascii="Times New Roman" w:hAnsi="Times New Roman"/>
        </w:rPr>
        <w:t>Alacsony nátriumtartalmú étrendet tart.</w:t>
      </w:r>
    </w:p>
    <w:p w14:paraId="5578CE6D" w14:textId="095DD3B8" w:rsidR="00332E7A" w:rsidRPr="005F2D90" w:rsidRDefault="00796A05" w:rsidP="00064067">
      <w:pPr>
        <w:numPr>
          <w:ilvl w:val="0"/>
          <w:numId w:val="23"/>
        </w:numPr>
        <w:spacing w:after="0" w:line="240" w:lineRule="auto"/>
        <w:ind w:left="567" w:hanging="567"/>
        <w:rPr>
          <w:rFonts w:ascii="Times New Roman" w:hAnsi="Times New Roman"/>
          <w:b/>
        </w:rPr>
      </w:pPr>
      <w:r w:rsidRPr="00796A05">
        <w:rPr>
          <w:rFonts w:ascii="Times New Roman" w:hAnsi="Times New Roman"/>
        </w:rPr>
        <w:t>Amennyiben Ön a következő tüneteket bármilyen kombinációban észleli vagy korábban tapasztalta: kiütés, bőrpír, hólyagok az ajkakon, a szemen vagy a szájban, bőrhámlás, magas láz, influenzaszerű tünetek, a vérvételi eredményben fokozott májenzimszint és a fehérvérsejtek egyik típusának kórósan magas száma (eozinofília), megnagyobbodott nyirokcsomók (ezek súlyos bőrreakciók jelei, lásd a 4. pontban is a „Lehetséges mellékhatások”-nál)</w:t>
      </w:r>
      <w:r w:rsidR="00332E7A" w:rsidRPr="005F2D90">
        <w:rPr>
          <w:rFonts w:ascii="Times New Roman" w:hAnsi="Times New Roman"/>
        </w:rPr>
        <w:t>.</w:t>
      </w:r>
    </w:p>
    <w:p w14:paraId="1694213D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</w:rPr>
      </w:pPr>
    </w:p>
    <w:p w14:paraId="4BCBDB61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Ha vér- vagy vizeletvizsgálatra van szüksége </w:t>
      </w:r>
    </w:p>
    <w:p w14:paraId="66ABF73F" w14:textId="40A60BC1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>Ha hosszú időn keresztül kap Ceftriaxon Noridemet, rendszeres vérvizsgálatokra lehet szüksége. A Ceftriaxon Noridem befolyásolhatja a vizeletben lévő cuk</w:t>
      </w:r>
      <w:r w:rsidR="00D12AF4">
        <w:rPr>
          <w:rFonts w:ascii="Times New Roman" w:hAnsi="Times New Roman"/>
        </w:rPr>
        <w:t>rot ki</w:t>
      </w:r>
      <w:r w:rsidR="00962152">
        <w:rPr>
          <w:rFonts w:ascii="Times New Roman" w:hAnsi="Times New Roman"/>
        </w:rPr>
        <w:t>mutató</w:t>
      </w:r>
      <w:r w:rsidRPr="005F2D90">
        <w:rPr>
          <w:rFonts w:ascii="Times New Roman" w:hAnsi="Times New Roman"/>
        </w:rPr>
        <w:t xml:space="preserve"> vizsgálat</w:t>
      </w:r>
      <w:r w:rsidR="00962152">
        <w:rPr>
          <w:rFonts w:ascii="Times New Roman" w:hAnsi="Times New Roman"/>
        </w:rPr>
        <w:t>ok</w:t>
      </w:r>
      <w:r w:rsidRPr="005F2D90">
        <w:rPr>
          <w:rFonts w:ascii="Times New Roman" w:hAnsi="Times New Roman"/>
        </w:rPr>
        <w:t xml:space="preserve"> eredmény</w:t>
      </w:r>
      <w:r w:rsidR="00962152">
        <w:rPr>
          <w:rFonts w:ascii="Times New Roman" w:hAnsi="Times New Roman"/>
        </w:rPr>
        <w:t>é</w:t>
      </w:r>
      <w:r w:rsidRPr="005F2D90">
        <w:rPr>
          <w:rFonts w:ascii="Times New Roman" w:hAnsi="Times New Roman"/>
        </w:rPr>
        <w:t xml:space="preserve">t és egy Coombs-tesztként ismert vérvizsgálatot. Ha vizsgálatokat végeznek Önnél: </w:t>
      </w:r>
    </w:p>
    <w:p w14:paraId="6E391203" w14:textId="657934F0" w:rsidR="00612DB6" w:rsidRPr="005F2D90" w:rsidRDefault="00612DB6" w:rsidP="00064067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Tájékoztassa a mintavételt végző személyt, hogy Ceftriaxon Noridemet kapott. </w:t>
      </w:r>
    </w:p>
    <w:p w14:paraId="1E74ED09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6FAC93B" w14:textId="6F2D3AD1" w:rsidR="00332E7A" w:rsidRDefault="00332E7A" w:rsidP="005F2D90">
      <w:pPr>
        <w:pStyle w:val="20"/>
        <w:shd w:val="clear" w:color="auto" w:fill="auto"/>
        <w:spacing w:line="240" w:lineRule="auto"/>
        <w:ind w:firstLine="0"/>
        <w:jc w:val="left"/>
      </w:pPr>
      <w:r w:rsidRPr="005F2D90">
        <w:t>Ha cukorbeteg, vagy ellenőrizni kell a vércukorszintjét, ne használjon bizonyos vércukor</w:t>
      </w:r>
      <w:r w:rsidR="00962152">
        <w:t>szintmérő</w:t>
      </w:r>
      <w:r w:rsidRPr="005F2D90">
        <w:t xml:space="preserve"> rendszereket, amelyek esetleg pontatlanul becsülik meg a vércukorszintjét, amíg Ön ceftriaxont kap. Ha ilyen rendszereket használ, ellenőrizze a használati útmutatót, és tájékoztassa kezelőorvosát, gyógyszerészét vagy a gondozását végző egészségügyi szakembert. Szükség esetén </w:t>
      </w:r>
      <w:r w:rsidR="00962152">
        <w:t>másik megfelelő</w:t>
      </w:r>
      <w:r w:rsidR="00962152" w:rsidRPr="005F2D90">
        <w:t xml:space="preserve"> </w:t>
      </w:r>
      <w:r w:rsidR="00962152">
        <w:t xml:space="preserve">mérési </w:t>
      </w:r>
      <w:r w:rsidRPr="005F2D90">
        <w:t>módszert kell alkalmazni.</w:t>
      </w:r>
    </w:p>
    <w:p w14:paraId="644B892B" w14:textId="77777777" w:rsidR="00962152" w:rsidRPr="005F2D90" w:rsidRDefault="00962152" w:rsidP="005F2D90">
      <w:pPr>
        <w:pStyle w:val="20"/>
        <w:shd w:val="clear" w:color="auto" w:fill="auto"/>
        <w:spacing w:line="240" w:lineRule="auto"/>
        <w:ind w:firstLine="0"/>
        <w:jc w:val="left"/>
      </w:pPr>
    </w:p>
    <w:p w14:paraId="2E069DD9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Gyermekek </w:t>
      </w:r>
    </w:p>
    <w:p w14:paraId="4EE25743" w14:textId="2F57B3F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Mielőtt a Ceftriaxon Noridemet beadnák gyermekének, beszéljen kezelőorvosával, gyógyszerészével vagy a gondozását végző egészségügyi szakemberrel, ha: </w:t>
      </w:r>
    </w:p>
    <w:p w14:paraId="5C3A7F7A" w14:textId="3A2BC008" w:rsidR="00612DB6" w:rsidRPr="005F2D90" w:rsidRDefault="00612DB6" w:rsidP="00064067">
      <w:pPr>
        <w:pStyle w:val="Listaszerbekezds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A gyermek nemrégiben kalciumtartalmú készítményt kapott vénába, vagy ilyen készítményt terveznek neki adni.</w:t>
      </w:r>
    </w:p>
    <w:p w14:paraId="4B3958DD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</w:rPr>
      </w:pPr>
    </w:p>
    <w:p w14:paraId="7213058D" w14:textId="59055E3F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>Egyéb gyógyszerek és a Ceftriaxon Noridem</w:t>
      </w:r>
    </w:p>
    <w:p w14:paraId="5EC8E84F" w14:textId="35364569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>Feltétlenül tájékoztassa kezelőorvosát vagy gyógyszerészét a jelenleg vagy nemrégiben szedett</w:t>
      </w:r>
      <w:r w:rsidR="00962152">
        <w:rPr>
          <w:rFonts w:ascii="Times New Roman" w:hAnsi="Times New Roman"/>
        </w:rPr>
        <w:t>/alkalmazott</w:t>
      </w:r>
      <w:r w:rsidRPr="005F2D90">
        <w:rPr>
          <w:rFonts w:ascii="Times New Roman" w:hAnsi="Times New Roman"/>
        </w:rPr>
        <w:t>, valamint szedni</w:t>
      </w:r>
      <w:r w:rsidR="00962152">
        <w:rPr>
          <w:rFonts w:ascii="Times New Roman" w:hAnsi="Times New Roman"/>
        </w:rPr>
        <w:t>/alkalmazni</w:t>
      </w:r>
      <w:r w:rsidRPr="005F2D90">
        <w:rPr>
          <w:rFonts w:ascii="Times New Roman" w:hAnsi="Times New Roman"/>
        </w:rPr>
        <w:t xml:space="preserve"> tervezett egyéb gyógyszereiről. </w:t>
      </w:r>
    </w:p>
    <w:p w14:paraId="5C8502BA" w14:textId="7E118CC1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lastRenderedPageBreak/>
        <w:t>Különösen arról tájékoztassa kezelőorvosát vagy gyógyszerészét, ha a következő gyógyszerek bármelyiké</w:t>
      </w:r>
      <w:r w:rsidR="00962152">
        <w:rPr>
          <w:rFonts w:ascii="Times New Roman" w:hAnsi="Times New Roman"/>
        </w:rPr>
        <w:t>vel kezelik</w:t>
      </w:r>
      <w:r w:rsidRPr="005F2D90">
        <w:rPr>
          <w:rFonts w:ascii="Times New Roman" w:hAnsi="Times New Roman"/>
        </w:rPr>
        <w:t xml:space="preserve">: </w:t>
      </w:r>
    </w:p>
    <w:p w14:paraId="75C68637" w14:textId="4E2A9823" w:rsidR="00612DB6" w:rsidRPr="005F2D90" w:rsidRDefault="00612DB6" w:rsidP="00064067">
      <w:pPr>
        <w:pStyle w:val="Listaszerbekezds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Egy aminogl</w:t>
      </w:r>
      <w:r w:rsidR="008D278E" w:rsidRPr="005F2D90">
        <w:rPr>
          <w:rFonts w:ascii="Times New Roman" w:hAnsi="Times New Roman"/>
        </w:rPr>
        <w:t>i</w:t>
      </w:r>
      <w:r w:rsidRPr="005F2D90">
        <w:rPr>
          <w:rFonts w:ascii="Times New Roman" w:hAnsi="Times New Roman"/>
        </w:rPr>
        <w:t xml:space="preserve">kozidnak nevezett antibiotikum-típus. </w:t>
      </w:r>
    </w:p>
    <w:p w14:paraId="5C17D45B" w14:textId="17B7EF01" w:rsidR="00612DB6" w:rsidRPr="005F2D90" w:rsidRDefault="00612DB6" w:rsidP="00064067">
      <w:pPr>
        <w:pStyle w:val="Listaszerbekezds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Egy kl</w:t>
      </w:r>
      <w:r w:rsidR="00962152">
        <w:rPr>
          <w:rFonts w:ascii="Times New Roman" w:hAnsi="Times New Roman"/>
        </w:rPr>
        <w:t>ó</w:t>
      </w:r>
      <w:r w:rsidRPr="005F2D90">
        <w:rPr>
          <w:rFonts w:ascii="Times New Roman" w:hAnsi="Times New Roman"/>
        </w:rPr>
        <w:t xml:space="preserve">ramfenikolnak nevezett antibiotikum (fertőzések, különösen a szem fertőzéseinek kezelésére szolgál). </w:t>
      </w:r>
    </w:p>
    <w:p w14:paraId="193A81F3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7498076A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Terhesség, szoptatás és termékenység </w:t>
      </w:r>
    </w:p>
    <w:p w14:paraId="076159EF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Ha Ön terhes vagy szoptat, illetve ha fennáll Önnél a terhesség lehetősége vagy gyermeket szeretne, a gyógyszer alkalmazása előtt beszéljen kezelőorvosával vagy gyógyszerészével. </w:t>
      </w:r>
    </w:p>
    <w:p w14:paraId="3CC3D302" w14:textId="0D3F9B59" w:rsidR="00612DB6" w:rsidRPr="005F2D90" w:rsidRDefault="00612DB6" w:rsidP="005F2D90">
      <w:pPr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>A kezelőorvos mérlegelni fogja az Ön Ceftriaxon Noridem-kezelésének előnyeit a gyermeket érő kockázat</w:t>
      </w:r>
      <w:r w:rsidR="00796A05">
        <w:rPr>
          <w:rFonts w:ascii="Times New Roman" w:hAnsi="Times New Roman"/>
        </w:rPr>
        <w:t>tal szemben</w:t>
      </w:r>
      <w:r w:rsidRPr="005F2D90">
        <w:rPr>
          <w:rFonts w:ascii="Times New Roman" w:hAnsi="Times New Roman"/>
        </w:rPr>
        <w:t>.</w:t>
      </w:r>
    </w:p>
    <w:p w14:paraId="3F82BB82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</w:rPr>
      </w:pPr>
    </w:p>
    <w:p w14:paraId="15604485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A készítmény hatásai a gépjárművezetéshez és a gépek kezeléséhez szükséges képességekre </w:t>
      </w:r>
    </w:p>
    <w:p w14:paraId="29315113" w14:textId="5300673D" w:rsidR="00612DB6" w:rsidRPr="005F2D90" w:rsidRDefault="00495523" w:rsidP="005F2D90">
      <w:pPr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>A Ceftriaxon Noridem szédülést okozhat. Ha szédül, ne vezessen</w:t>
      </w:r>
      <w:r w:rsidR="00796A05">
        <w:rPr>
          <w:rFonts w:ascii="Times New Roman" w:hAnsi="Times New Roman"/>
        </w:rPr>
        <w:t>,</w:t>
      </w:r>
      <w:r w:rsidRPr="005F2D90">
        <w:rPr>
          <w:rFonts w:ascii="Times New Roman" w:hAnsi="Times New Roman"/>
        </w:rPr>
        <w:t xml:space="preserve"> ne használjon szerszámokat </w:t>
      </w:r>
      <w:r w:rsidR="00796A05">
        <w:rPr>
          <w:rFonts w:ascii="Times New Roman" w:hAnsi="Times New Roman"/>
        </w:rPr>
        <w:t xml:space="preserve">és ne kezeljen </w:t>
      </w:r>
      <w:r w:rsidRPr="005F2D90">
        <w:rPr>
          <w:rFonts w:ascii="Times New Roman" w:hAnsi="Times New Roman"/>
        </w:rPr>
        <w:t>gépeket. Beszéljen kezelőorvosával, ha ilyen tüneteket tapasztal.</w:t>
      </w:r>
    </w:p>
    <w:p w14:paraId="64000690" w14:textId="77777777" w:rsidR="003E120E" w:rsidRPr="005F2D90" w:rsidRDefault="003E120E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008B925" w14:textId="77777777" w:rsidR="003E120E" w:rsidRPr="005F2D90" w:rsidRDefault="003E120E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5F2D90">
        <w:rPr>
          <w:rFonts w:ascii="Times New Roman" w:hAnsi="Times New Roman"/>
          <w:b/>
        </w:rPr>
        <w:t>Nátrium</w:t>
      </w:r>
    </w:p>
    <w:p w14:paraId="19B3C3CB" w14:textId="5F8D3EBB" w:rsidR="00612DB6" w:rsidRPr="005F2D90" w:rsidRDefault="003E120E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>Ez a gyógyszer 82,86 mg nátriumot (a konyhasó fő összetevője) tartalmaz 1 g</w:t>
      </w:r>
      <w:r w:rsidR="00796A05">
        <w:rPr>
          <w:rFonts w:ascii="Times New Roman" w:hAnsi="Times New Roman"/>
        </w:rPr>
        <w:t>-os</w:t>
      </w:r>
      <w:r w:rsidRPr="005F2D90">
        <w:rPr>
          <w:rFonts w:ascii="Times New Roman" w:hAnsi="Times New Roman"/>
        </w:rPr>
        <w:t xml:space="preserve"> injekciós üvegenként, ami megfelel a nátrium ajánlott maximális napi bevitel 4,1%-ának felnőtteknél.</w:t>
      </w:r>
    </w:p>
    <w:p w14:paraId="206B0642" w14:textId="77777777" w:rsidR="003E120E" w:rsidRPr="005F2D90" w:rsidRDefault="003E120E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E0DEBFF" w14:textId="77777777" w:rsidR="00CA2ECD" w:rsidRPr="005F2D90" w:rsidRDefault="00CA2ECD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1FB793B" w14:textId="3288A90D" w:rsidR="00612DB6" w:rsidRPr="005F2D90" w:rsidRDefault="00DB0DD3" w:rsidP="00064067">
      <w:pPr>
        <w:pStyle w:val="Listaszerbekezds"/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/>
          <w:b/>
        </w:rPr>
      </w:pPr>
      <w:r w:rsidRPr="005F2D90">
        <w:rPr>
          <w:rFonts w:ascii="Times New Roman" w:hAnsi="Times New Roman"/>
          <w:b/>
        </w:rPr>
        <w:t>Hogyan kell alkalmazni a Ceftriaxon Noridemet?</w:t>
      </w:r>
    </w:p>
    <w:p w14:paraId="205ADB83" w14:textId="77777777" w:rsidR="00796A05" w:rsidRDefault="00796A05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7669E1A" w14:textId="09D72B9C" w:rsidR="00612DB6" w:rsidRPr="005F2D90" w:rsidRDefault="00495523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>A Ceftriaxon Noridemet általában orvos vagy az Ön gondozását végző egészségügyi szakember adja be. Cseppinfúzióként (intravénás</w:t>
      </w:r>
      <w:r w:rsidR="00452CEB">
        <w:rPr>
          <w:rFonts w:ascii="Times New Roman" w:hAnsi="Times New Roman"/>
        </w:rPr>
        <w:t xml:space="preserve"> infúzióban</w:t>
      </w:r>
      <w:r w:rsidRPr="005F2D90">
        <w:rPr>
          <w:rFonts w:ascii="Times New Roman" w:hAnsi="Times New Roman"/>
        </w:rPr>
        <w:t xml:space="preserve">), illetve közvetlenül vénába vagy izomba adott injekcióként adható be. A Ceftriaxon Noridemet a kezelőorvos, gyógyszerész vagy az Ön gondozását végző egészségügyi szakember készíti el, és nem keverik kalciumtartalmú injekciókkal, és nem adják be ezekkel egy időben. </w:t>
      </w:r>
    </w:p>
    <w:p w14:paraId="66CC4B32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466DB1C1" w14:textId="3B72B9A4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A készítmény ajánlott adagja </w:t>
      </w:r>
    </w:p>
    <w:p w14:paraId="794904DD" w14:textId="1AB62D93" w:rsidR="00612DB6" w:rsidRPr="005F2D90" w:rsidRDefault="00612DB6" w:rsidP="005F2D90">
      <w:pPr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>A kezelőorvos fogja meghatározni a helyes Ceftriaxon Noridem</w:t>
      </w:r>
      <w:r w:rsidR="0030465F">
        <w:rPr>
          <w:rFonts w:ascii="Times New Roman" w:hAnsi="Times New Roman"/>
        </w:rPr>
        <w:t>-</w:t>
      </w:r>
      <w:r w:rsidRPr="005F2D90">
        <w:rPr>
          <w:rFonts w:ascii="Times New Roman" w:hAnsi="Times New Roman"/>
        </w:rPr>
        <w:t>adagot az Ön számára. Az adag a következőktől függ: a fertőzés súlyossága és típusa; Ön kap-e más antibiotikumokat; az Ön te</w:t>
      </w:r>
      <w:r w:rsidR="0030465F">
        <w:rPr>
          <w:rFonts w:ascii="Times New Roman" w:hAnsi="Times New Roman"/>
        </w:rPr>
        <w:t>sttömeg</w:t>
      </w:r>
      <w:r w:rsidRPr="005F2D90">
        <w:rPr>
          <w:rFonts w:ascii="Times New Roman" w:hAnsi="Times New Roman"/>
        </w:rPr>
        <w:t xml:space="preserve">a és életkora; </w:t>
      </w:r>
      <w:r w:rsidR="0030465F">
        <w:rPr>
          <w:rFonts w:ascii="Times New Roman" w:hAnsi="Times New Roman"/>
        </w:rPr>
        <w:t>illetve veseműködése és májműködése</w:t>
      </w:r>
      <w:r w:rsidRPr="005F2D90">
        <w:rPr>
          <w:rFonts w:ascii="Times New Roman" w:hAnsi="Times New Roman"/>
        </w:rPr>
        <w:t>. A Ceftriaxon Noridem-kezelés időtartama (napok vagy hetek száma) attól függ, hogy milyen típusú fertőzésben szenved.</w:t>
      </w:r>
    </w:p>
    <w:p w14:paraId="014C84A1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</w:rPr>
      </w:pPr>
    </w:p>
    <w:p w14:paraId="6F88CF28" w14:textId="59FF31D9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>Felnőttek, idősek és 12 éves életkor feletti gyermekek és serdülők legalább 50 kilogramm</w:t>
      </w:r>
      <w:r w:rsidR="0030465F">
        <w:rPr>
          <w:rFonts w:ascii="Times New Roman" w:hAnsi="Times New Roman"/>
          <w:b/>
        </w:rPr>
        <w:t>os</w:t>
      </w:r>
      <w:r w:rsidRPr="005F2D90">
        <w:rPr>
          <w:rFonts w:ascii="Times New Roman" w:hAnsi="Times New Roman"/>
          <w:b/>
        </w:rPr>
        <w:t xml:space="preserve"> </w:t>
      </w:r>
      <w:r w:rsidR="0030465F">
        <w:rPr>
          <w:rFonts w:ascii="Times New Roman" w:hAnsi="Times New Roman"/>
          <w:b/>
        </w:rPr>
        <w:t xml:space="preserve">(kg) </w:t>
      </w:r>
      <w:r w:rsidRPr="005F2D90">
        <w:rPr>
          <w:rFonts w:ascii="Times New Roman" w:hAnsi="Times New Roman"/>
          <w:b/>
        </w:rPr>
        <w:t>test</w:t>
      </w:r>
      <w:r w:rsidR="0030465F">
        <w:rPr>
          <w:rFonts w:ascii="Times New Roman" w:hAnsi="Times New Roman"/>
          <w:b/>
        </w:rPr>
        <w:t>tömeg esetén</w:t>
      </w:r>
      <w:r w:rsidRPr="005F2D90">
        <w:rPr>
          <w:rFonts w:ascii="Times New Roman" w:hAnsi="Times New Roman"/>
          <w:b/>
        </w:rPr>
        <w:t xml:space="preserve">: </w:t>
      </w:r>
    </w:p>
    <w:p w14:paraId="6E8013FC" w14:textId="77777777" w:rsidR="00612DB6" w:rsidRPr="005F2D90" w:rsidRDefault="00612DB6" w:rsidP="00064067">
      <w:pPr>
        <w:pStyle w:val="Listaszerbekezds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naponta egyszer 1–2 g, a fertőzés súlyosságától és típusától függően. Ha Ön súlyos fertőzésben szenved, kezelőorvosa magasabb adagot (legfeljebb naponta egyszer 4 g-ot) fog adni. Ha napi adagja magasabb 2 g-nál, naponta egyszer egyetlen adagként vagy két külön adagként kaphatja meg. </w:t>
      </w:r>
    </w:p>
    <w:p w14:paraId="428BA9DA" w14:textId="2E283CAE" w:rsidR="00612DB6" w:rsidRPr="005F2D90" w:rsidRDefault="00612DB6" w:rsidP="0030465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>Újszülöttek, csecsemők és gyermekek 15 napos életkortól 12 éves életkorig, 50 kg te</w:t>
      </w:r>
      <w:r w:rsidR="0030465F">
        <w:rPr>
          <w:rFonts w:ascii="Times New Roman" w:hAnsi="Times New Roman"/>
          <w:b/>
        </w:rPr>
        <w:t>sttömeg</w:t>
      </w:r>
      <w:r w:rsidRPr="005F2D90">
        <w:rPr>
          <w:rFonts w:ascii="Times New Roman" w:hAnsi="Times New Roman"/>
          <w:b/>
        </w:rPr>
        <w:t xml:space="preserve"> alatt: </w:t>
      </w:r>
    </w:p>
    <w:p w14:paraId="02FFDB0D" w14:textId="7560B819" w:rsidR="00612DB6" w:rsidRPr="005F2D90" w:rsidRDefault="00612DB6" w:rsidP="00064067">
      <w:pPr>
        <w:pStyle w:val="Listaszerbekezds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Naponta egyszer 50–80 mg Ceftriaxon Noridem test</w:t>
      </w:r>
      <w:r w:rsidR="0030465F">
        <w:rPr>
          <w:rFonts w:ascii="Times New Roman" w:hAnsi="Times New Roman"/>
        </w:rPr>
        <w:t>tömegk</w:t>
      </w:r>
      <w:r w:rsidRPr="005F2D90">
        <w:rPr>
          <w:rFonts w:ascii="Times New Roman" w:hAnsi="Times New Roman"/>
        </w:rPr>
        <w:t>ilogrammonként, a fertőzés súlyosságától és típusától függően. Ha a gyermek súlyos fertőzésben szenved, kezelőorvosa magasabb adagot, test</w:t>
      </w:r>
      <w:r w:rsidR="0030465F">
        <w:rPr>
          <w:rFonts w:ascii="Times New Roman" w:hAnsi="Times New Roman"/>
        </w:rPr>
        <w:t>tömegk</w:t>
      </w:r>
      <w:r w:rsidRPr="005F2D90">
        <w:rPr>
          <w:rFonts w:ascii="Times New Roman" w:hAnsi="Times New Roman"/>
        </w:rPr>
        <w:t xml:space="preserve">ilogrammonként legfeljebb 100 mg-ot fog adni, legfeljebb naponta egyszer 4 g-ot. Ha napi adagja magasabb 2 g-nál, naponta egyszer egyetlen adagként vagy két külön adagként kaphatja meg. </w:t>
      </w:r>
    </w:p>
    <w:p w14:paraId="2C8346CF" w14:textId="44D122F5" w:rsidR="00612DB6" w:rsidRPr="005F2D90" w:rsidRDefault="00612DB6" w:rsidP="00064067">
      <w:pPr>
        <w:pStyle w:val="Listaszerbekezds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A legalább 50 kg te</w:t>
      </w:r>
      <w:r w:rsidR="0030465F">
        <w:rPr>
          <w:rFonts w:ascii="Times New Roman" w:hAnsi="Times New Roman"/>
        </w:rPr>
        <w:t>sttömegű</w:t>
      </w:r>
      <w:r w:rsidRPr="005F2D90">
        <w:rPr>
          <w:rFonts w:ascii="Times New Roman" w:hAnsi="Times New Roman"/>
        </w:rPr>
        <w:t xml:space="preserve"> gyermekek a szokásos felnőtt adagot kapják. </w:t>
      </w:r>
    </w:p>
    <w:p w14:paraId="434038CF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Újszülött csecsemők (0–14 napos életkor) </w:t>
      </w:r>
    </w:p>
    <w:p w14:paraId="11D0443B" w14:textId="2636E6E0" w:rsidR="00612DB6" w:rsidRPr="005F2D90" w:rsidRDefault="00612DB6" w:rsidP="00064067">
      <w:pPr>
        <w:pStyle w:val="Listaszerbekezds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Naponta egyszer 20–50 mg Ceftriaxon Noridem test</w:t>
      </w:r>
      <w:r w:rsidR="0030465F">
        <w:rPr>
          <w:rFonts w:ascii="Times New Roman" w:hAnsi="Times New Roman"/>
        </w:rPr>
        <w:t>tömegk</w:t>
      </w:r>
      <w:r w:rsidRPr="005F2D90">
        <w:rPr>
          <w:rFonts w:ascii="Times New Roman" w:hAnsi="Times New Roman"/>
        </w:rPr>
        <w:t xml:space="preserve">ilogrammonként, a fertőzés súlyosságától és típusától függően. </w:t>
      </w:r>
    </w:p>
    <w:p w14:paraId="7DD6358A" w14:textId="2343D8FF" w:rsidR="00612DB6" w:rsidRPr="005F2D90" w:rsidRDefault="00612DB6" w:rsidP="00064067">
      <w:pPr>
        <w:pStyle w:val="Listaszerbekezds"/>
        <w:numPr>
          <w:ilvl w:val="0"/>
          <w:numId w:val="26"/>
        </w:numPr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A maximális napi adag nem lehet több test</w:t>
      </w:r>
      <w:r w:rsidR="0030465F">
        <w:rPr>
          <w:rFonts w:ascii="Times New Roman" w:hAnsi="Times New Roman"/>
        </w:rPr>
        <w:t>tömegk</w:t>
      </w:r>
      <w:r w:rsidRPr="005F2D90">
        <w:rPr>
          <w:rFonts w:ascii="Times New Roman" w:hAnsi="Times New Roman"/>
        </w:rPr>
        <w:t>ilogrammonként 50 mg-nál.</w:t>
      </w:r>
    </w:p>
    <w:p w14:paraId="1DD0F27C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</w:rPr>
      </w:pPr>
    </w:p>
    <w:p w14:paraId="73F3428E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Máj- és veseproblémákkal élő betegek </w:t>
      </w:r>
    </w:p>
    <w:p w14:paraId="564D34AD" w14:textId="05D4097B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lastRenderedPageBreak/>
        <w:t xml:space="preserve">Előfordulhat, hogy a szokásostól eltérő adagot kap. Kezelőorvosa eldönti, mennyi Ceftriaxon Noridemre van szüksége, és a máj- és vesebetegség súlyosságától függően szorosan ellenőrizni fogja az Ön állapotát. </w:t>
      </w:r>
    </w:p>
    <w:p w14:paraId="6AEAAAAF" w14:textId="77777777" w:rsidR="00290E4C" w:rsidRPr="005F2D90" w:rsidRDefault="00290E4C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7A2F39C" w14:textId="687A6DFB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Ha az előírtnál több Ceftriaxon Noridemet kapott </w:t>
      </w:r>
    </w:p>
    <w:p w14:paraId="51688136" w14:textId="7CE87C42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>Ha véletlenül az előírtnál magasabb adagot kapott, azonnal forduljon kezelőorvosához vagy a legközelebbi kórházhoz.</w:t>
      </w:r>
    </w:p>
    <w:p w14:paraId="3131D0C8" w14:textId="77777777" w:rsidR="00290E4C" w:rsidRPr="005F2D90" w:rsidRDefault="00290E4C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5F234C2A" w14:textId="396033F0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>Ha elfelejtette alkalmazni a Ceftriaxon Noridemet</w:t>
      </w:r>
      <w:r w:rsidRPr="005F2D90">
        <w:rPr>
          <w:rFonts w:ascii="Times New Roman" w:hAnsi="Times New Roman"/>
        </w:rPr>
        <w:t xml:space="preserve"> </w:t>
      </w:r>
    </w:p>
    <w:p w14:paraId="682DDA58" w14:textId="1B34F8EB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>Ha kihagyott egy injekciót</w:t>
      </w:r>
      <w:r w:rsidR="00AB639B">
        <w:rPr>
          <w:rFonts w:ascii="Times New Roman" w:hAnsi="Times New Roman"/>
        </w:rPr>
        <w:t>/infúziót</w:t>
      </w:r>
      <w:r w:rsidRPr="005F2D90">
        <w:rPr>
          <w:rFonts w:ascii="Times New Roman" w:hAnsi="Times New Roman"/>
        </w:rPr>
        <w:t xml:space="preserve">, a lehető leghamarabb meg kell kapnia. Ha azonban már </w:t>
      </w:r>
      <w:r w:rsidR="00AB639B">
        <w:rPr>
          <w:rFonts w:ascii="Times New Roman" w:hAnsi="Times New Roman"/>
        </w:rPr>
        <w:t>közel</w:t>
      </w:r>
      <w:r w:rsidR="00AB639B"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</w:rPr>
        <w:t>a következő injekció</w:t>
      </w:r>
      <w:r w:rsidR="00AB639B">
        <w:rPr>
          <w:rFonts w:ascii="Times New Roman" w:hAnsi="Times New Roman"/>
        </w:rPr>
        <w:t>/infúzió alkalmazásának ideje</w:t>
      </w:r>
      <w:r w:rsidRPr="005F2D90">
        <w:rPr>
          <w:rFonts w:ascii="Times New Roman" w:hAnsi="Times New Roman"/>
        </w:rPr>
        <w:t>, hagyja ki az elfelejtett injekciót</w:t>
      </w:r>
      <w:r w:rsidR="00AB639B">
        <w:rPr>
          <w:rFonts w:ascii="Times New Roman" w:hAnsi="Times New Roman"/>
        </w:rPr>
        <w:t>/infúziót</w:t>
      </w:r>
      <w:r w:rsidRPr="005F2D90">
        <w:rPr>
          <w:rFonts w:ascii="Times New Roman" w:hAnsi="Times New Roman"/>
        </w:rPr>
        <w:t>. Ne</w:t>
      </w:r>
      <w:r w:rsidR="00AB639B">
        <w:rPr>
          <w:rFonts w:ascii="Times New Roman" w:hAnsi="Times New Roman"/>
        </w:rPr>
        <w:t>m kaphat</w:t>
      </w:r>
      <w:r w:rsidRPr="005F2D90">
        <w:rPr>
          <w:rFonts w:ascii="Times New Roman" w:hAnsi="Times New Roman"/>
        </w:rPr>
        <w:t xml:space="preserve"> két</w:t>
      </w:r>
      <w:r w:rsidR="0009735A">
        <w:rPr>
          <w:rFonts w:ascii="Times New Roman" w:hAnsi="Times New Roman"/>
        </w:rPr>
        <w:t>szeres</w:t>
      </w:r>
      <w:r w:rsidRPr="005F2D90">
        <w:rPr>
          <w:rFonts w:ascii="Times New Roman" w:hAnsi="Times New Roman"/>
        </w:rPr>
        <w:t xml:space="preserve"> adagot (egyszerre két injekciót</w:t>
      </w:r>
      <w:r w:rsidR="00AB639B">
        <w:rPr>
          <w:rFonts w:ascii="Times New Roman" w:hAnsi="Times New Roman"/>
        </w:rPr>
        <w:t>/infúziót</w:t>
      </w:r>
      <w:r w:rsidRPr="005F2D90">
        <w:rPr>
          <w:rFonts w:ascii="Times New Roman" w:hAnsi="Times New Roman"/>
        </w:rPr>
        <w:t xml:space="preserve">) a kihagyott adag pótlására. </w:t>
      </w:r>
    </w:p>
    <w:p w14:paraId="421E622C" w14:textId="77777777" w:rsidR="00290E4C" w:rsidRPr="005F2D90" w:rsidRDefault="00290E4C" w:rsidP="005F2D90">
      <w:pPr>
        <w:autoSpaceDE w:val="0"/>
        <w:autoSpaceDN w:val="0"/>
        <w:adjustRightInd w:val="0"/>
        <w:spacing w:after="0" w:line="240" w:lineRule="auto"/>
        <w:ind w:left="567" w:hanging="568"/>
        <w:rPr>
          <w:rFonts w:ascii="Times New Roman" w:hAnsi="Times New Roman"/>
          <w:b/>
          <w:bCs/>
        </w:rPr>
      </w:pPr>
    </w:p>
    <w:p w14:paraId="22A903A9" w14:textId="56CE7AF1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ind w:left="567" w:hanging="568"/>
        <w:rPr>
          <w:rFonts w:ascii="Times New Roman" w:hAnsi="Times New Roman"/>
          <w:b/>
        </w:rPr>
      </w:pPr>
      <w:r w:rsidRPr="005F2D90">
        <w:rPr>
          <w:rFonts w:ascii="Times New Roman" w:hAnsi="Times New Roman"/>
          <w:b/>
        </w:rPr>
        <w:t xml:space="preserve">Ha idő előtt abbahagyja a Ceftriaxon Noridem alkalmazását </w:t>
      </w:r>
    </w:p>
    <w:p w14:paraId="48FE1D6C" w14:textId="61997226" w:rsidR="00612DB6" w:rsidRPr="005F2D90" w:rsidRDefault="00612DB6" w:rsidP="005F2D90">
      <w:pPr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>Ne hagyja abba a Ceftriaxon Noridem alkalmazását, ha kezelőorvosa ezt nem mondja. Ha bármilyen további kérdése van a gyógyszer alkalmazásával kapcsolatban, kérdezze meg kezelőorvosát vagy a gondozását végző egészségügyi szakembert.</w:t>
      </w:r>
    </w:p>
    <w:p w14:paraId="57BB8675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</w:rPr>
      </w:pPr>
    </w:p>
    <w:p w14:paraId="0449B92A" w14:textId="77777777" w:rsidR="00820803" w:rsidRPr="005F2D90" w:rsidRDefault="00820803" w:rsidP="005F2D90">
      <w:pPr>
        <w:spacing w:after="0" w:line="240" w:lineRule="auto"/>
        <w:rPr>
          <w:rFonts w:ascii="Times New Roman" w:hAnsi="Times New Roman"/>
        </w:rPr>
      </w:pPr>
    </w:p>
    <w:p w14:paraId="5022289E" w14:textId="77777777" w:rsidR="00612DB6" w:rsidRPr="005F2D90" w:rsidRDefault="00612DB6" w:rsidP="00064067">
      <w:pPr>
        <w:pStyle w:val="Listaszerbekezds"/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5F2D90">
        <w:rPr>
          <w:rFonts w:ascii="Times New Roman" w:hAnsi="Times New Roman"/>
          <w:b/>
        </w:rPr>
        <w:t>Lehetséges mellékhatások</w:t>
      </w:r>
    </w:p>
    <w:p w14:paraId="497D27BD" w14:textId="77777777" w:rsidR="00612DB6" w:rsidRPr="005F2D90" w:rsidRDefault="00612DB6" w:rsidP="005F2D90">
      <w:pPr>
        <w:pStyle w:val="Listaszerbekezds"/>
        <w:spacing w:after="0" w:line="240" w:lineRule="auto"/>
        <w:ind w:left="426"/>
        <w:rPr>
          <w:rFonts w:ascii="Times New Roman" w:hAnsi="Times New Roman"/>
          <w:b/>
          <w:bCs/>
          <w:lang w:val="en-US"/>
        </w:rPr>
      </w:pPr>
    </w:p>
    <w:p w14:paraId="616A5E8A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 xml:space="preserve">Mint minden gyógyszer, így ez a gyógyszer is okozhat mellékhatásokat, amelyek azonban nem mindenkinél jelentkeznek. </w:t>
      </w:r>
    </w:p>
    <w:p w14:paraId="48B9CF04" w14:textId="77777777" w:rsidR="00290E4C" w:rsidRPr="005F2D90" w:rsidRDefault="00290E4C" w:rsidP="005F2D90">
      <w:pPr>
        <w:spacing w:after="0" w:line="240" w:lineRule="auto"/>
        <w:rPr>
          <w:rFonts w:ascii="Times New Roman" w:hAnsi="Times New Roman"/>
          <w:bCs/>
          <w:lang w:val="en-US"/>
        </w:rPr>
      </w:pPr>
    </w:p>
    <w:p w14:paraId="1B47A219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A következő mellékhatások fordulhatnak elő ezzel a gyógyszerrel:</w:t>
      </w:r>
    </w:p>
    <w:p w14:paraId="26226429" w14:textId="77777777" w:rsidR="00332E7A" w:rsidRPr="005F2D90" w:rsidRDefault="00332E7A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lang w:val="en-US"/>
        </w:rPr>
      </w:pPr>
    </w:p>
    <w:p w14:paraId="7CD9D364" w14:textId="18844A8F" w:rsidR="00B221F2" w:rsidRPr="005F2D90" w:rsidRDefault="00B221F2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221F2">
        <w:rPr>
          <w:rFonts w:ascii="Times New Roman" w:hAnsi="Times New Roman"/>
        </w:rPr>
        <w:t>A ceftriaxon-kezelés – különösen a súlyos vesekárosodásban vagy központi idegrendszeri betegségben szenvedő idős betegeknél – ritkán a tudatszint csökkenését, rendellenes mozgásokat, izgatottságot és görcsrohamokat okozhat.</w:t>
      </w:r>
    </w:p>
    <w:p w14:paraId="339D87B6" w14:textId="77777777" w:rsidR="00332E7A" w:rsidRPr="005F2D90" w:rsidRDefault="00332E7A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US"/>
        </w:rPr>
      </w:pPr>
    </w:p>
    <w:p w14:paraId="3D6C2244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Súlyos allergiás reakciók (gyakorisága nem ismert: a gyakoriság a rendelkezésre álló adatokból nem állapítható meg) </w:t>
      </w:r>
    </w:p>
    <w:p w14:paraId="786B59AD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Ha súlyos allergiás reakciót tapasztal, azonnal tájékoztassa kezelőorvosát. </w:t>
      </w:r>
    </w:p>
    <w:p w14:paraId="495C2CEC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Ennek jelei lehetnek többek között: </w:t>
      </w:r>
    </w:p>
    <w:p w14:paraId="703422F0" w14:textId="6B3F9795" w:rsidR="00612DB6" w:rsidRPr="005F2D90" w:rsidRDefault="00612DB6" w:rsidP="00064067">
      <w:pPr>
        <w:pStyle w:val="Listaszerbekezds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Az arc, a torok, az ajkak vagy a száj hirtelen </w:t>
      </w:r>
      <w:r w:rsidR="00B221F2">
        <w:rPr>
          <w:rFonts w:ascii="Times New Roman" w:hAnsi="Times New Roman"/>
        </w:rPr>
        <w:t xml:space="preserve">kialakuló </w:t>
      </w:r>
      <w:r w:rsidRPr="005F2D90">
        <w:rPr>
          <w:rFonts w:ascii="Times New Roman" w:hAnsi="Times New Roman"/>
        </w:rPr>
        <w:t xml:space="preserve">duzzanata. Ez megnehezítheti a légzést vagy a nyelést. </w:t>
      </w:r>
    </w:p>
    <w:p w14:paraId="1B2D3CC9" w14:textId="188D238B" w:rsidR="00612DB6" w:rsidRPr="005F2D90" w:rsidRDefault="00612DB6" w:rsidP="00064067">
      <w:pPr>
        <w:pStyle w:val="Listaszerbekezds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A kézfej, a lábfej vagy a boka hirtelen </w:t>
      </w:r>
      <w:r w:rsidR="00B221F2">
        <w:rPr>
          <w:rFonts w:ascii="Times New Roman" w:hAnsi="Times New Roman"/>
        </w:rPr>
        <w:t xml:space="preserve">kialakuló </w:t>
      </w:r>
      <w:r w:rsidRPr="005F2D90">
        <w:rPr>
          <w:rFonts w:ascii="Times New Roman" w:hAnsi="Times New Roman"/>
        </w:rPr>
        <w:t xml:space="preserve">duzzanata. </w:t>
      </w:r>
    </w:p>
    <w:p w14:paraId="0CF314F8" w14:textId="262D053A" w:rsidR="00962FCB" w:rsidRPr="005F2D90" w:rsidRDefault="00B221F2" w:rsidP="00064067">
      <w:pPr>
        <w:pStyle w:val="Listaszerbekezds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B221F2">
        <w:rPr>
          <w:rFonts w:ascii="Times New Roman" w:hAnsi="Times New Roman"/>
        </w:rPr>
        <w:t>Allergiás reakciókhoz társuló mellkasi fájdalom, amely az allergia által kiváltott szívinfarktus tünete lehet (Kounis-szindróma)</w:t>
      </w:r>
      <w:r w:rsidR="00962FCB" w:rsidRPr="005F2D90">
        <w:rPr>
          <w:rFonts w:ascii="Times New Roman" w:hAnsi="Times New Roman"/>
        </w:rPr>
        <w:t>.</w:t>
      </w:r>
    </w:p>
    <w:p w14:paraId="6A00DAFC" w14:textId="77777777" w:rsidR="00962FCB" w:rsidRPr="005F2D90" w:rsidRDefault="00962FCB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3181BE91" w14:textId="3B488E0A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Súlyos bőrreakciók (gyakorisága nem ismert: a gyakoriság a rendelkezésre álló adatokból nem állapítható meg) </w:t>
      </w:r>
    </w:p>
    <w:p w14:paraId="59788875" w14:textId="697DD7B8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Ha súlyos bőrreakciót tapasztal, azonnal tájékoztassa kezelőorvosát. </w:t>
      </w:r>
    </w:p>
    <w:p w14:paraId="0017CACC" w14:textId="77777777" w:rsidR="00332E7A" w:rsidRPr="005F2D90" w:rsidRDefault="00612DB6" w:rsidP="005F2D90">
      <w:pPr>
        <w:pStyle w:val="Listaszerbekezds"/>
        <w:spacing w:after="0" w:line="240" w:lineRule="auto"/>
        <w:ind w:left="0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Ennek jelei lehetnek többek között:</w:t>
      </w:r>
    </w:p>
    <w:p w14:paraId="2BCBA2DE" w14:textId="10A0A3D6" w:rsidR="00612DB6" w:rsidRPr="005F2D90" w:rsidRDefault="00B221F2" w:rsidP="00064067">
      <w:pPr>
        <w:pStyle w:val="Listaszerbekezds"/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>
        <w:rPr>
          <w:rFonts w:ascii="Times New Roman" w:hAnsi="Times New Roman"/>
        </w:rPr>
        <w:t>S</w:t>
      </w:r>
      <w:r w:rsidRPr="00B221F2">
        <w:rPr>
          <w:rFonts w:ascii="Times New Roman" w:hAnsi="Times New Roman"/>
        </w:rPr>
        <w:t>úlyos, hólyagos, hámló, gyorsan terjedő bőrkiütés, esetenként a szájnyálkahártyán kialakuló hólyagok</w:t>
      </w:r>
      <w:r w:rsidR="00332E7A" w:rsidRPr="005F2D90">
        <w:rPr>
          <w:rFonts w:ascii="Times New Roman" w:hAnsi="Times New Roman"/>
        </w:rPr>
        <w:t xml:space="preserve"> (Stevens–Johnson-szindróma</w:t>
      </w:r>
      <w:r>
        <w:rPr>
          <w:rFonts w:ascii="Times New Roman" w:hAnsi="Times New Roman"/>
        </w:rPr>
        <w:t xml:space="preserve"> [ami SJS-ként is ismert]</w:t>
      </w:r>
      <w:r w:rsidR="00332E7A" w:rsidRPr="005F2D90">
        <w:rPr>
          <w:rFonts w:ascii="Times New Roman" w:hAnsi="Times New Roman"/>
        </w:rPr>
        <w:t xml:space="preserve"> és toxikus epidermális nekrolízis</w:t>
      </w:r>
      <w:r>
        <w:rPr>
          <w:rFonts w:ascii="Times New Roman" w:hAnsi="Times New Roman"/>
        </w:rPr>
        <w:t xml:space="preserve"> [ami TEN-ként is ismert]</w:t>
      </w:r>
      <w:r w:rsidR="00332E7A" w:rsidRPr="005F2D90">
        <w:rPr>
          <w:rFonts w:ascii="Times New Roman" w:hAnsi="Times New Roman"/>
        </w:rPr>
        <w:t>).</w:t>
      </w:r>
    </w:p>
    <w:p w14:paraId="25F2CAB4" w14:textId="1E21680E" w:rsidR="00B221F2" w:rsidRPr="00B221F2" w:rsidRDefault="00B221F2">
      <w:pPr>
        <w:pStyle w:val="Listaszerbekezds"/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B221F2">
        <w:rPr>
          <w:rFonts w:ascii="Times New Roman" w:hAnsi="Times New Roman"/>
        </w:rPr>
        <w:t xml:space="preserve">A következő tünetek bármilyen kombinációban: kiterjedt bőrkiütés, magas testhőmérséklet, emelkedett májenzimszintek, eltérés a vérvételi leletben (eozinofília), megnagyobbodott nyirokcsomók, továbbá és egyéb szervek érintettsége (eozinofíliával és </w:t>
      </w:r>
      <w:r>
        <w:rPr>
          <w:rFonts w:ascii="Times New Roman" w:hAnsi="Times New Roman"/>
        </w:rPr>
        <w:t>szisztémás</w:t>
      </w:r>
      <w:r w:rsidRPr="00B221F2">
        <w:rPr>
          <w:rFonts w:ascii="Times New Roman" w:hAnsi="Times New Roman"/>
        </w:rPr>
        <w:t xml:space="preserve"> tünetekkel járó gyógyszerreakció </w:t>
      </w:r>
      <w:r>
        <w:rPr>
          <w:rFonts w:ascii="Times New Roman" w:hAnsi="Times New Roman"/>
        </w:rPr>
        <w:t>[</w:t>
      </w:r>
      <w:r w:rsidRPr="00B221F2">
        <w:rPr>
          <w:rFonts w:ascii="Times New Roman" w:hAnsi="Times New Roman"/>
        </w:rPr>
        <w:t>amit DRESS-nek is neveznek</w:t>
      </w:r>
      <w:r>
        <w:rPr>
          <w:rFonts w:ascii="Times New Roman" w:hAnsi="Times New Roman"/>
        </w:rPr>
        <w:t>]</w:t>
      </w:r>
      <w:r w:rsidRPr="00B221F2">
        <w:rPr>
          <w:rFonts w:ascii="Times New Roman" w:hAnsi="Times New Roman"/>
        </w:rPr>
        <w:t xml:space="preserve"> vagy gyógyszer-túlérzékenységi tünetcsoport).</w:t>
      </w:r>
    </w:p>
    <w:p w14:paraId="670ADE2C" w14:textId="02EEB865" w:rsidR="00332E7A" w:rsidRPr="005F2D90" w:rsidRDefault="00B221F2" w:rsidP="00064067">
      <w:pPr>
        <w:pStyle w:val="Listaszerbekezds"/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B221F2">
        <w:rPr>
          <w:rFonts w:ascii="Times New Roman" w:hAnsi="Times New Roman"/>
        </w:rPr>
        <w:t>Jarisch</w:t>
      </w:r>
      <w:r>
        <w:rPr>
          <w:rFonts w:ascii="Times New Roman" w:hAnsi="Times New Roman"/>
        </w:rPr>
        <w:t>–</w:t>
      </w:r>
      <w:r w:rsidRPr="00B221F2">
        <w:rPr>
          <w:rFonts w:ascii="Times New Roman" w:hAnsi="Times New Roman"/>
        </w:rPr>
        <w:t>Herxheimer-reakció, amely lázzal, hidegrázással, fejfájással, izomfájdalommal és bőrkiütéssel jár, rendszerint magától elmúlik. Ez spirochaeták okozta</w:t>
      </w:r>
      <w:r w:rsidR="00382B89">
        <w:rPr>
          <w:rFonts w:ascii="Times New Roman" w:hAnsi="Times New Roman"/>
        </w:rPr>
        <w:t xml:space="preserve"> </w:t>
      </w:r>
      <w:r w:rsidRPr="00B221F2">
        <w:rPr>
          <w:rFonts w:ascii="Times New Roman" w:hAnsi="Times New Roman"/>
        </w:rPr>
        <w:t xml:space="preserve">fertőzés (például Lyme-kór) kezelésekor, röviddel a </w:t>
      </w:r>
      <w:r w:rsidR="00382B89" w:rsidRPr="005F2D90">
        <w:rPr>
          <w:rFonts w:ascii="Times New Roman" w:hAnsi="Times New Roman"/>
        </w:rPr>
        <w:t>Ceftriaxon Noridem</w:t>
      </w:r>
      <w:r w:rsidRPr="00B221F2">
        <w:rPr>
          <w:rFonts w:ascii="Times New Roman" w:hAnsi="Times New Roman"/>
        </w:rPr>
        <w:t>-kezelés megkezdése után következik be.</w:t>
      </w:r>
    </w:p>
    <w:p w14:paraId="26FA1D38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</w:p>
    <w:p w14:paraId="643FC203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ind w:left="567" w:hanging="568"/>
        <w:rPr>
          <w:rFonts w:ascii="Times New Roman" w:hAnsi="Times New Roman"/>
        </w:rPr>
      </w:pPr>
      <w:r w:rsidRPr="005F2D90">
        <w:rPr>
          <w:rFonts w:ascii="Times New Roman" w:hAnsi="Times New Roman"/>
        </w:rPr>
        <w:t>Egyéb lehetséges mellékhatások:</w:t>
      </w:r>
    </w:p>
    <w:p w14:paraId="7D02D0AB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ind w:left="567" w:hanging="568"/>
        <w:rPr>
          <w:rFonts w:ascii="Times New Roman" w:hAnsi="Times New Roman"/>
        </w:rPr>
      </w:pPr>
    </w:p>
    <w:p w14:paraId="700C1951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ind w:left="567" w:hanging="568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Gyakori mellékhatások (10 betegből legfeljebb 1 beteget érinthet) </w:t>
      </w:r>
    </w:p>
    <w:p w14:paraId="1B343988" w14:textId="1B24BF54" w:rsidR="00612DB6" w:rsidRPr="005F2D90" w:rsidRDefault="00612DB6" w:rsidP="00064067">
      <w:pPr>
        <w:pStyle w:val="Listaszerbekezds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Fehérvérsejt-, illetve vérlemezke-rendellenességek: a </w:t>
      </w:r>
      <w:r w:rsidR="002F6D5E">
        <w:rPr>
          <w:rFonts w:ascii="Times New Roman" w:hAnsi="Times New Roman"/>
        </w:rPr>
        <w:t>fehérvérsejtek</w:t>
      </w:r>
      <w:r w:rsidR="002F6D5E"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</w:rPr>
        <w:t xml:space="preserve">számának csökkenése és az eozinofilok számának növekedése, illetve a vérlemezkeszám csökkenése. </w:t>
      </w:r>
    </w:p>
    <w:p w14:paraId="3D8FC8AF" w14:textId="77777777" w:rsidR="00612DB6" w:rsidRPr="005F2D90" w:rsidRDefault="00612DB6" w:rsidP="00064067">
      <w:pPr>
        <w:pStyle w:val="Listaszerbekezds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Laza széklet vagy hasmenés. </w:t>
      </w:r>
    </w:p>
    <w:p w14:paraId="5012B6D8" w14:textId="6BCCBBAD" w:rsidR="00612DB6" w:rsidRPr="005F2D90" w:rsidRDefault="00612DB6" w:rsidP="00064067">
      <w:pPr>
        <w:pStyle w:val="Listaszerbekezds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A májfunkciós </w:t>
      </w:r>
      <w:r w:rsidR="002F6D5E">
        <w:rPr>
          <w:rFonts w:ascii="Times New Roman" w:hAnsi="Times New Roman"/>
        </w:rPr>
        <w:t>vizsgálatok</w:t>
      </w:r>
      <w:r w:rsidR="002F6D5E"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</w:rPr>
        <w:t xml:space="preserve">eredményének változása. </w:t>
      </w:r>
    </w:p>
    <w:p w14:paraId="78FD4B11" w14:textId="77777777" w:rsidR="00612DB6" w:rsidRPr="005F2D90" w:rsidRDefault="00612DB6" w:rsidP="00064067">
      <w:pPr>
        <w:pStyle w:val="Listaszerbekezds"/>
        <w:numPr>
          <w:ilvl w:val="0"/>
          <w:numId w:val="28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Kiütés.</w:t>
      </w:r>
    </w:p>
    <w:p w14:paraId="2835B9C6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  <w:lang w:val="en-US"/>
        </w:rPr>
      </w:pPr>
    </w:p>
    <w:p w14:paraId="3024984E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Nem gyakori mellékhatások (100 betegből legfeljebb 1 beteget érinthet) </w:t>
      </w:r>
    </w:p>
    <w:p w14:paraId="06F3A4BB" w14:textId="0E251C03" w:rsidR="00612DB6" w:rsidRPr="005F2D90" w:rsidRDefault="00612DB6" w:rsidP="00064067">
      <w:pPr>
        <w:pStyle w:val="Listaszerbekezds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Gombás fertőzések (például szájpenész vagy nemi szervi gombás fertőzések). </w:t>
      </w:r>
    </w:p>
    <w:p w14:paraId="4C035CD8" w14:textId="2848DB9A" w:rsidR="00612DB6" w:rsidRPr="005F2D90" w:rsidRDefault="00382B89" w:rsidP="00064067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Bizonyos f</w:t>
      </w:r>
      <w:r w:rsidR="00612DB6" w:rsidRPr="005F2D90">
        <w:rPr>
          <w:rFonts w:ascii="Times New Roman" w:hAnsi="Times New Roman"/>
        </w:rPr>
        <w:t>ehérvérsejt</w:t>
      </w:r>
      <w:r>
        <w:rPr>
          <w:rFonts w:ascii="Times New Roman" w:hAnsi="Times New Roman"/>
        </w:rPr>
        <w:t xml:space="preserve">ek (granulociták) </w:t>
      </w:r>
      <w:r w:rsidR="00612DB6" w:rsidRPr="005F2D90">
        <w:rPr>
          <w:rFonts w:ascii="Times New Roman" w:hAnsi="Times New Roman"/>
        </w:rPr>
        <w:t>szám</w:t>
      </w:r>
      <w:r>
        <w:rPr>
          <w:rFonts w:ascii="Times New Roman" w:hAnsi="Times New Roman"/>
        </w:rPr>
        <w:t>ának</w:t>
      </w:r>
      <w:r w:rsidR="00612DB6" w:rsidRPr="005F2D90">
        <w:rPr>
          <w:rFonts w:ascii="Times New Roman" w:hAnsi="Times New Roman"/>
        </w:rPr>
        <w:t xml:space="preserve"> csökkenése (granulocitopénia). </w:t>
      </w:r>
    </w:p>
    <w:p w14:paraId="380DAC2D" w14:textId="77777777" w:rsidR="00612DB6" w:rsidRPr="005F2D90" w:rsidRDefault="00612DB6" w:rsidP="00064067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A vörösvértestszám csökkenése (anémia, vérszegénység). </w:t>
      </w:r>
    </w:p>
    <w:p w14:paraId="7F930ECA" w14:textId="0E1D7140" w:rsidR="00612DB6" w:rsidRPr="005F2D90" w:rsidRDefault="00612DB6" w:rsidP="00064067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Véralvadási problémák. Ennek jelei lehetnek többek között a könnyen kialakuló </w:t>
      </w:r>
      <w:r w:rsidR="00382B89">
        <w:rPr>
          <w:rFonts w:ascii="Times New Roman" w:hAnsi="Times New Roman"/>
        </w:rPr>
        <w:t>véraláfutások</w:t>
      </w:r>
      <w:r w:rsidRPr="005F2D90">
        <w:rPr>
          <w:rFonts w:ascii="Times New Roman" w:hAnsi="Times New Roman"/>
        </w:rPr>
        <w:t xml:space="preserve">, illetve az ízületek fájdalma és duzzanata. </w:t>
      </w:r>
    </w:p>
    <w:p w14:paraId="47AB506C" w14:textId="77777777" w:rsidR="00612DB6" w:rsidRPr="005F2D90" w:rsidRDefault="00612DB6" w:rsidP="00064067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Fejfájás. </w:t>
      </w:r>
    </w:p>
    <w:p w14:paraId="12390E96" w14:textId="77777777" w:rsidR="00612DB6" w:rsidRPr="005F2D90" w:rsidRDefault="00612DB6" w:rsidP="00064067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Szédülés. </w:t>
      </w:r>
    </w:p>
    <w:p w14:paraId="31F151AE" w14:textId="77777777" w:rsidR="00612DB6" w:rsidRPr="005F2D90" w:rsidRDefault="00612DB6" w:rsidP="00064067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Hányinger vagy hányás. </w:t>
      </w:r>
    </w:p>
    <w:p w14:paraId="11D75B1A" w14:textId="60B73887" w:rsidR="00612DB6" w:rsidRPr="005F2D90" w:rsidRDefault="00382B89" w:rsidP="00064067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612DB6" w:rsidRPr="005F2D90">
        <w:rPr>
          <w:rFonts w:ascii="Times New Roman" w:hAnsi="Times New Roman"/>
        </w:rPr>
        <w:t xml:space="preserve">iszketés. </w:t>
      </w:r>
    </w:p>
    <w:p w14:paraId="0DCEB496" w14:textId="5C7A7EF8" w:rsidR="00612DB6" w:rsidRPr="005F2D90" w:rsidRDefault="00612DB6" w:rsidP="00064067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Fájdalom vagy égő érzés a véna mentén, </w:t>
      </w:r>
      <w:r w:rsidR="00382B89">
        <w:rPr>
          <w:rFonts w:ascii="Times New Roman" w:hAnsi="Times New Roman"/>
        </w:rPr>
        <w:t>amelybe</w:t>
      </w:r>
      <w:r w:rsidR="00382B89"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</w:rPr>
        <w:t xml:space="preserve">a </w:t>
      </w:r>
      <w:r w:rsidRPr="005F2D90">
        <w:rPr>
          <w:rFonts w:ascii="Times New Roman" w:hAnsi="Times New Roman"/>
          <w:i/>
        </w:rPr>
        <w:t>Ceftriaxon Noridem</w:t>
      </w:r>
      <w:r w:rsidRPr="005F2D90">
        <w:rPr>
          <w:rFonts w:ascii="Times New Roman" w:hAnsi="Times New Roman"/>
        </w:rPr>
        <w:t xml:space="preserve">et beadták. </w:t>
      </w:r>
      <w:bookmarkStart w:id="0" w:name="_Hlk150873109"/>
      <w:r w:rsidR="00305F5B" w:rsidRPr="005F2D90">
        <w:rPr>
          <w:rFonts w:ascii="Times New Roman" w:hAnsi="Times New Roman"/>
        </w:rPr>
        <w:t xml:space="preserve">Hólyagok, </w:t>
      </w:r>
      <w:r w:rsidR="00382B89">
        <w:rPr>
          <w:rFonts w:ascii="Times New Roman" w:hAnsi="Times New Roman"/>
        </w:rPr>
        <w:t>véraláfutás</w:t>
      </w:r>
      <w:r w:rsidR="00305F5B" w:rsidRPr="005F2D90">
        <w:rPr>
          <w:rFonts w:ascii="Times New Roman" w:hAnsi="Times New Roman"/>
        </w:rPr>
        <w:t xml:space="preserve">, erős bőrpír vagy kiütés, </w:t>
      </w:r>
      <w:r w:rsidRPr="005F2D90">
        <w:rPr>
          <w:rFonts w:ascii="Times New Roman" w:hAnsi="Times New Roman"/>
        </w:rPr>
        <w:t>égő érzés, fájdalom, irritáció, viszketés, a bőr megkeményedése vagy duzzanat az injekció</w:t>
      </w:r>
      <w:r w:rsidR="00382B89">
        <w:rPr>
          <w:rFonts w:ascii="Times New Roman" w:hAnsi="Times New Roman"/>
        </w:rPr>
        <w:t>/infúzió</w:t>
      </w:r>
      <w:r w:rsidRPr="005F2D90">
        <w:rPr>
          <w:rFonts w:ascii="Times New Roman" w:hAnsi="Times New Roman"/>
        </w:rPr>
        <w:t xml:space="preserve"> beadásának helyén</w:t>
      </w:r>
      <w:bookmarkEnd w:id="0"/>
      <w:r w:rsidRPr="005F2D90">
        <w:rPr>
          <w:rFonts w:ascii="Times New Roman" w:hAnsi="Times New Roman"/>
        </w:rPr>
        <w:t xml:space="preserve">. </w:t>
      </w:r>
    </w:p>
    <w:p w14:paraId="4DF2A48D" w14:textId="77777777" w:rsidR="00612DB6" w:rsidRPr="005F2D90" w:rsidRDefault="00612DB6" w:rsidP="00064067">
      <w:pPr>
        <w:pStyle w:val="Listaszerbekezds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Magas testhőmérséklet (láz). </w:t>
      </w:r>
    </w:p>
    <w:p w14:paraId="709F88B1" w14:textId="6265D791" w:rsidR="00612DB6" w:rsidRPr="005F2D90" w:rsidRDefault="00612DB6" w:rsidP="00064067">
      <w:pPr>
        <w:pStyle w:val="Listaszerbekezds"/>
        <w:numPr>
          <w:ilvl w:val="0"/>
          <w:numId w:val="29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 xml:space="preserve">Rendellenes vesefunkciós </w:t>
      </w:r>
      <w:r w:rsidR="00382B89">
        <w:rPr>
          <w:rFonts w:ascii="Times New Roman" w:hAnsi="Times New Roman"/>
        </w:rPr>
        <w:t xml:space="preserve">vizsgálati </w:t>
      </w:r>
      <w:r w:rsidR="00382B89" w:rsidRPr="005F2D90">
        <w:rPr>
          <w:rFonts w:ascii="Times New Roman" w:hAnsi="Times New Roman"/>
        </w:rPr>
        <w:t xml:space="preserve">eredmények </w:t>
      </w:r>
      <w:r w:rsidRPr="005F2D90">
        <w:rPr>
          <w:rFonts w:ascii="Times New Roman" w:hAnsi="Times New Roman"/>
        </w:rPr>
        <w:t>(a vér kreatininszintje emelkedett).</w:t>
      </w:r>
    </w:p>
    <w:p w14:paraId="334BD57A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</w:p>
    <w:p w14:paraId="7F4987CD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Ritka mellékhatások (1000 betegből legfeljebb 1 beteget érinthet) </w:t>
      </w:r>
    </w:p>
    <w:p w14:paraId="42EBC58C" w14:textId="780BCFF5" w:rsidR="00612DB6" w:rsidRPr="005F2D90" w:rsidRDefault="00612DB6" w:rsidP="00064067">
      <w:pPr>
        <w:pStyle w:val="Listaszerbekezds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A vastagbél gyulladása. Ennek jelei többek között az általában véres és nyálkás hasmenés, a </w:t>
      </w:r>
      <w:r w:rsidR="00382B89">
        <w:rPr>
          <w:rFonts w:ascii="Times New Roman" w:hAnsi="Times New Roman"/>
        </w:rPr>
        <w:t>hasfájás</w:t>
      </w:r>
      <w:r w:rsidR="00382B89"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</w:rPr>
        <w:t xml:space="preserve">és a láz. </w:t>
      </w:r>
    </w:p>
    <w:p w14:paraId="6A067249" w14:textId="77777777" w:rsidR="00612DB6" w:rsidRPr="005F2D90" w:rsidRDefault="00612DB6" w:rsidP="00064067">
      <w:pPr>
        <w:pStyle w:val="Listaszerbekezds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Légzési nehézség (bronchospazmus, hörgőgörcs). </w:t>
      </w:r>
    </w:p>
    <w:p w14:paraId="145B3FFA" w14:textId="77777777" w:rsidR="00612DB6" w:rsidRPr="005F2D90" w:rsidRDefault="00612DB6" w:rsidP="00064067">
      <w:pPr>
        <w:pStyle w:val="Listaszerbekezds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Kiemelkedő kiütések (csalánkiütés), amely a test nagy részét boríthatja, viszketést és duzzanatot okoz. </w:t>
      </w:r>
    </w:p>
    <w:p w14:paraId="0BB20B0D" w14:textId="77777777" w:rsidR="00612DB6" w:rsidRPr="005F2D90" w:rsidRDefault="00612DB6" w:rsidP="00064067">
      <w:pPr>
        <w:pStyle w:val="Listaszerbekezds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Vér vagy cukor a vizeletben. </w:t>
      </w:r>
    </w:p>
    <w:p w14:paraId="485EB229" w14:textId="77777777" w:rsidR="00612DB6" w:rsidRPr="005F2D90" w:rsidRDefault="00612DB6" w:rsidP="00064067">
      <w:pPr>
        <w:pStyle w:val="Listaszerbekezds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Ödéma (folyadékgyülem). </w:t>
      </w:r>
    </w:p>
    <w:p w14:paraId="4DBD7800" w14:textId="5E16558C" w:rsidR="00025ADC" w:rsidRPr="005F2D90" w:rsidRDefault="00612DB6" w:rsidP="00064067">
      <w:pPr>
        <w:numPr>
          <w:ilvl w:val="0"/>
          <w:numId w:val="31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Hidegrázás.</w:t>
      </w:r>
    </w:p>
    <w:p w14:paraId="0089BC17" w14:textId="010C75D7" w:rsidR="00950792" w:rsidRPr="005F2D90" w:rsidRDefault="00950792" w:rsidP="00064067">
      <w:pPr>
        <w:numPr>
          <w:ilvl w:val="0"/>
          <w:numId w:val="31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Fertőzés az injekció</w:t>
      </w:r>
      <w:r w:rsidR="00382B89">
        <w:rPr>
          <w:rFonts w:ascii="Times New Roman" w:hAnsi="Times New Roman"/>
        </w:rPr>
        <w:t>/infúzió</w:t>
      </w:r>
      <w:r w:rsidRPr="005F2D90">
        <w:rPr>
          <w:rFonts w:ascii="Times New Roman" w:hAnsi="Times New Roman"/>
        </w:rPr>
        <w:t xml:space="preserve"> beadásának helyén.</w:t>
      </w:r>
    </w:p>
    <w:p w14:paraId="78B180D2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</w:p>
    <w:p w14:paraId="4CA7FCE9" w14:textId="77777777" w:rsidR="00612DB6" w:rsidRPr="005F2D90" w:rsidRDefault="00612DB6" w:rsidP="005F2D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 xml:space="preserve">Nem ismert gyakoriságú mellékhatások (a gyakoriság a rendelkezésre álló adatokból nem állapítható meg) </w:t>
      </w:r>
    </w:p>
    <w:p w14:paraId="639E63F7" w14:textId="7835D4A0" w:rsidR="00612DB6" w:rsidRPr="005F2D90" w:rsidRDefault="00612DB6" w:rsidP="00064067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>Másodlagos fertőzés, amely előfordulhat, hogy nem reagál a korábban felírt antibiotikumra</w:t>
      </w:r>
      <w:r w:rsidR="004763CD">
        <w:rPr>
          <w:rFonts w:ascii="Times New Roman" w:hAnsi="Times New Roman"/>
        </w:rPr>
        <w:t>.</w:t>
      </w:r>
    </w:p>
    <w:p w14:paraId="4E6DD518" w14:textId="3D6950EC" w:rsidR="00612DB6" w:rsidRPr="005F2D90" w:rsidRDefault="004763CD" w:rsidP="00064067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Bizonyos típusú v</w:t>
      </w:r>
      <w:r w:rsidR="00612DB6" w:rsidRPr="005F2D90">
        <w:rPr>
          <w:rFonts w:ascii="Times New Roman" w:hAnsi="Times New Roman"/>
        </w:rPr>
        <w:t xml:space="preserve">érszegénység, amelyben a vörösvértestek elpusztulnak (hemolitikus anémia). </w:t>
      </w:r>
    </w:p>
    <w:p w14:paraId="6694D5CE" w14:textId="0C524601" w:rsidR="00612DB6" w:rsidRPr="005F2D90" w:rsidRDefault="004763CD" w:rsidP="00064067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Bizonyos f</w:t>
      </w:r>
      <w:r w:rsidRPr="005F2D90">
        <w:rPr>
          <w:rFonts w:ascii="Times New Roman" w:hAnsi="Times New Roman"/>
        </w:rPr>
        <w:t>ehérvérsejt</w:t>
      </w:r>
      <w:r>
        <w:rPr>
          <w:rFonts w:ascii="Times New Roman" w:hAnsi="Times New Roman"/>
        </w:rPr>
        <w:t xml:space="preserve">ek (granulociták) </w:t>
      </w:r>
      <w:r w:rsidRPr="005F2D90">
        <w:rPr>
          <w:rFonts w:ascii="Times New Roman" w:hAnsi="Times New Roman"/>
        </w:rPr>
        <w:t>szám</w:t>
      </w:r>
      <w:r>
        <w:rPr>
          <w:rFonts w:ascii="Times New Roman" w:hAnsi="Times New Roman"/>
        </w:rPr>
        <w:t>ának</w:t>
      </w:r>
      <w:r w:rsidR="00612DB6" w:rsidRPr="005F2D90">
        <w:rPr>
          <w:rFonts w:ascii="Times New Roman" w:hAnsi="Times New Roman"/>
        </w:rPr>
        <w:t xml:space="preserve"> súlyos fokú csökkenése (agranulocitózis). </w:t>
      </w:r>
    </w:p>
    <w:p w14:paraId="76DB22BD" w14:textId="77777777" w:rsidR="00612DB6" w:rsidRPr="005F2D90" w:rsidRDefault="00612DB6" w:rsidP="00064067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Görcsrohamok. </w:t>
      </w:r>
    </w:p>
    <w:p w14:paraId="4FD0A3DF" w14:textId="71CDA3CA" w:rsidR="00612DB6" w:rsidRPr="005F2D90" w:rsidRDefault="00612DB6" w:rsidP="00064067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</w:rPr>
      </w:pPr>
      <w:r w:rsidRPr="005F2D90">
        <w:rPr>
          <w:rFonts w:ascii="Times New Roman" w:hAnsi="Times New Roman"/>
        </w:rPr>
        <w:t xml:space="preserve">Vertigo (forgó </w:t>
      </w:r>
      <w:r w:rsidR="004763CD">
        <w:rPr>
          <w:rFonts w:ascii="Times New Roman" w:hAnsi="Times New Roman"/>
        </w:rPr>
        <w:t xml:space="preserve">jellegű </w:t>
      </w:r>
      <w:r w:rsidRPr="005F2D90">
        <w:rPr>
          <w:rFonts w:ascii="Times New Roman" w:hAnsi="Times New Roman"/>
        </w:rPr>
        <w:t xml:space="preserve">szédülés). </w:t>
      </w:r>
    </w:p>
    <w:p w14:paraId="122B7B8E" w14:textId="4B5446CA" w:rsidR="00612DB6" w:rsidRPr="005F2D90" w:rsidRDefault="00612DB6" w:rsidP="00064067">
      <w:pPr>
        <w:pStyle w:val="Listaszerbekezds"/>
        <w:numPr>
          <w:ilvl w:val="0"/>
          <w:numId w:val="32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 xml:space="preserve">Hasnyálmirigy-gyulladás (pankreatitisz). Ennek jelei többek között a súlyos </w:t>
      </w:r>
      <w:r w:rsidR="004763CD">
        <w:rPr>
          <w:rFonts w:ascii="Times New Roman" w:hAnsi="Times New Roman"/>
        </w:rPr>
        <w:t xml:space="preserve">hasi </w:t>
      </w:r>
      <w:r w:rsidR="004763CD" w:rsidRPr="005F2D90">
        <w:rPr>
          <w:rFonts w:ascii="Times New Roman" w:hAnsi="Times New Roman"/>
        </w:rPr>
        <w:t>fájdalom</w:t>
      </w:r>
      <w:r w:rsidRPr="005F2D90">
        <w:rPr>
          <w:rFonts w:ascii="Times New Roman" w:hAnsi="Times New Roman"/>
        </w:rPr>
        <w:t>, amely a hátba sugárzik.</w:t>
      </w:r>
    </w:p>
    <w:p w14:paraId="292FAC63" w14:textId="77777777" w:rsidR="00612DB6" w:rsidRPr="005F2D90" w:rsidRDefault="00612DB6" w:rsidP="00064067">
      <w:pPr>
        <w:pStyle w:val="Listaszerbekezds"/>
        <w:numPr>
          <w:ilvl w:val="0"/>
          <w:numId w:val="32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A szájnyálkahártya gyulladása (sztomatitisz).</w:t>
      </w:r>
    </w:p>
    <w:p w14:paraId="24F5157A" w14:textId="77777777" w:rsidR="00612DB6" w:rsidRPr="005F2D90" w:rsidRDefault="00612DB6" w:rsidP="00064067">
      <w:pPr>
        <w:pStyle w:val="Listaszerbekezds"/>
        <w:numPr>
          <w:ilvl w:val="0"/>
          <w:numId w:val="32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A nyelv gyulladása (glosszitisz). Ennek jelei többek között a nyelv duzzanata, vörössége és fájdalma.</w:t>
      </w:r>
    </w:p>
    <w:p w14:paraId="6945B60B" w14:textId="3FF520B0" w:rsidR="00612DB6" w:rsidRPr="005F2D90" w:rsidRDefault="00612DB6" w:rsidP="00064067">
      <w:pPr>
        <w:pStyle w:val="Listaszerbekezds"/>
        <w:numPr>
          <w:ilvl w:val="0"/>
          <w:numId w:val="32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Problémák az epehólyaggal és/vagy a májjal, ami fájdalmat, hányingert, hányást, a bőr sárgás elszíneződését, viszketést, szokatlanul sötét színű vizeletet és agyagszínű székletet okozhat.</w:t>
      </w:r>
    </w:p>
    <w:p w14:paraId="3265C433" w14:textId="77777777" w:rsidR="00612DB6" w:rsidRPr="005F2D90" w:rsidRDefault="00612DB6" w:rsidP="00064067">
      <w:pPr>
        <w:pStyle w:val="Listaszerbekezds"/>
        <w:numPr>
          <w:ilvl w:val="0"/>
          <w:numId w:val="32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Neurológiai betegség, amely súlyos sárgaságban szenvedő újszülötteknél fordulhat elő (magikterusz).</w:t>
      </w:r>
    </w:p>
    <w:p w14:paraId="0524AA34" w14:textId="7B2C9696" w:rsidR="00612DB6" w:rsidRPr="005F2D90" w:rsidRDefault="00612DB6" w:rsidP="00064067">
      <w:pPr>
        <w:pStyle w:val="Listaszerbekezds"/>
        <w:numPr>
          <w:ilvl w:val="0"/>
          <w:numId w:val="32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 xml:space="preserve">A </w:t>
      </w:r>
      <w:r w:rsidR="00655552">
        <w:rPr>
          <w:rFonts w:ascii="Times New Roman" w:hAnsi="Times New Roman"/>
        </w:rPr>
        <w:t xml:space="preserve">szilárd </w:t>
      </w:r>
      <w:r w:rsidRPr="005F2D90">
        <w:rPr>
          <w:rFonts w:ascii="Times New Roman" w:hAnsi="Times New Roman"/>
        </w:rPr>
        <w:t xml:space="preserve">kalcium-ceftriaxon </w:t>
      </w:r>
      <w:r w:rsidR="00655552">
        <w:rPr>
          <w:rFonts w:ascii="Times New Roman" w:hAnsi="Times New Roman"/>
        </w:rPr>
        <w:t xml:space="preserve">kiválása </w:t>
      </w:r>
      <w:r w:rsidRPr="005F2D90">
        <w:rPr>
          <w:rFonts w:ascii="Times New Roman" w:hAnsi="Times New Roman"/>
        </w:rPr>
        <w:t>okozta veseproblémák. Vizeléskor fájdalmat vagy alacsony vizeletmennyiséget okozhat.</w:t>
      </w:r>
    </w:p>
    <w:p w14:paraId="6AA23FEA" w14:textId="77777777" w:rsidR="00612DB6" w:rsidRPr="005F2D90" w:rsidRDefault="00612DB6" w:rsidP="00064067">
      <w:pPr>
        <w:pStyle w:val="Listaszerbekezds"/>
        <w:numPr>
          <w:ilvl w:val="0"/>
          <w:numId w:val="32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Álpozitív teszteredmény Coombs-teszten (bizonyos vérproblémák esetén végzett teszt).</w:t>
      </w:r>
    </w:p>
    <w:p w14:paraId="6D7AE898" w14:textId="77777777" w:rsidR="00612DB6" w:rsidRPr="005F2D90" w:rsidRDefault="00612DB6" w:rsidP="00064067">
      <w:pPr>
        <w:pStyle w:val="Listaszerbekezds"/>
        <w:numPr>
          <w:ilvl w:val="0"/>
          <w:numId w:val="32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Álpozitív teszteredmény galaktozémiára (a galaktóz nevű cukor rendellenes felhalmozódása).</w:t>
      </w:r>
    </w:p>
    <w:p w14:paraId="1F3A0156" w14:textId="7899E536" w:rsidR="00612DB6" w:rsidRPr="005F2D90" w:rsidRDefault="00495523" w:rsidP="00064067">
      <w:pPr>
        <w:pStyle w:val="Listaszerbekezds"/>
        <w:numPr>
          <w:ilvl w:val="0"/>
          <w:numId w:val="32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 xml:space="preserve">A </w:t>
      </w:r>
      <w:r w:rsidRPr="005F2D90">
        <w:rPr>
          <w:rFonts w:ascii="Times New Roman" w:hAnsi="Times New Roman"/>
          <w:i/>
        </w:rPr>
        <w:t>Ceftriaxon Noridem</w:t>
      </w:r>
      <w:r w:rsidRPr="005F2D90">
        <w:rPr>
          <w:rFonts w:ascii="Times New Roman" w:hAnsi="Times New Roman"/>
        </w:rPr>
        <w:t xml:space="preserve"> befolyásolhat bizonyos típusú vércukorvizsgálatokat – kérjük, ezt </w:t>
      </w:r>
      <w:r w:rsidR="00655552">
        <w:rPr>
          <w:rFonts w:ascii="Times New Roman" w:hAnsi="Times New Roman"/>
        </w:rPr>
        <w:t>egyeztesse</w:t>
      </w:r>
      <w:r w:rsidR="00655552"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</w:rPr>
        <w:t>kezelőorvosával.</w:t>
      </w:r>
    </w:p>
    <w:p w14:paraId="0F520C4C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</w:p>
    <w:p w14:paraId="59AE8118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/>
          <w:bCs/>
        </w:rPr>
      </w:pPr>
      <w:r w:rsidRPr="005F2D90">
        <w:rPr>
          <w:rFonts w:ascii="Times New Roman" w:hAnsi="Times New Roman"/>
          <w:b/>
        </w:rPr>
        <w:t>Mellékhatások bejelentése</w:t>
      </w:r>
    </w:p>
    <w:p w14:paraId="169B6C7C" w14:textId="3AA18F01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Pr="005F2D90">
          <w:rPr>
            <w:rFonts w:ascii="Times New Roman" w:hAnsi="Times New Roman"/>
            <w:highlight w:val="lightGray"/>
            <w:u w:val="single"/>
          </w:rPr>
          <w:t>V. függelékben</w:t>
        </w:r>
      </w:hyperlink>
      <w:r w:rsidRPr="005F2D90">
        <w:rPr>
          <w:rFonts w:ascii="Times New Roman" w:hAnsi="Times New Roman"/>
          <w:highlight w:val="lightGray"/>
        </w:rPr>
        <w:t xml:space="preserve"> található elérhetőségeken keresztül</w:t>
      </w:r>
      <w:r w:rsidRPr="005F2D90">
        <w:rPr>
          <w:rFonts w:ascii="Times New Roman" w:hAnsi="Times New Roman"/>
        </w:rPr>
        <w:t xml:space="preserve">. A mellékhatások bejelentésével Ön is hozzájárulhat ahhoz, hogy minél több információ álljon rendelkezésre a gyógyszer biztonságos alkalmazásával kapcsolatban. </w:t>
      </w:r>
    </w:p>
    <w:p w14:paraId="639D80B3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</w:p>
    <w:p w14:paraId="28556C2A" w14:textId="77777777" w:rsidR="00CA2ECD" w:rsidRPr="005F2D90" w:rsidRDefault="00CA2ECD" w:rsidP="005F2D90">
      <w:pPr>
        <w:spacing w:after="0" w:line="240" w:lineRule="auto"/>
        <w:rPr>
          <w:rFonts w:ascii="Times New Roman" w:hAnsi="Times New Roman"/>
          <w:bCs/>
        </w:rPr>
      </w:pPr>
    </w:p>
    <w:p w14:paraId="2C5F40F3" w14:textId="030FD527" w:rsidR="00612DB6" w:rsidRPr="005F2D90" w:rsidRDefault="00612DB6" w:rsidP="00064067">
      <w:pPr>
        <w:pStyle w:val="Listaszerbekezds"/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  <w:b/>
        </w:rPr>
        <w:t>Hogyan kell a</w:t>
      </w:r>
      <w:r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  <w:b/>
        </w:rPr>
        <w:t xml:space="preserve">Ceftriaxon Noridemet tárolni? </w:t>
      </w:r>
    </w:p>
    <w:p w14:paraId="5D4B6FA9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</w:p>
    <w:p w14:paraId="320787E1" w14:textId="62F7FC1E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Legfeljebb 25 °C-on tárolandó. A fénytől való védelem érdekében az injekciós üveget tartsa a dobozában.</w:t>
      </w:r>
    </w:p>
    <w:p w14:paraId="65F48247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A gyógyszer gyermekektől elzárva tartandó!</w:t>
      </w:r>
    </w:p>
    <w:p w14:paraId="7036B8D4" w14:textId="5E8FF42C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Az injekciós üvegen és a dobozon feltüntetett lejárati idő (</w:t>
      </w:r>
      <w:r w:rsidR="00C64253">
        <w:rPr>
          <w:rFonts w:ascii="Times New Roman" w:hAnsi="Times New Roman"/>
        </w:rPr>
        <w:t>EXP</w:t>
      </w:r>
      <w:r w:rsidRPr="005F2D90">
        <w:rPr>
          <w:rFonts w:ascii="Times New Roman" w:hAnsi="Times New Roman"/>
        </w:rPr>
        <w:t>) után ne alkalmazza ezt a gyógyszert. A lejárati idő az adott hónap utolsó napjára vonatkozik.</w:t>
      </w:r>
    </w:p>
    <w:p w14:paraId="7E5D9173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</w:p>
    <w:p w14:paraId="66A1F378" w14:textId="24DFE510" w:rsidR="00025ADC" w:rsidRDefault="00025ADC" w:rsidP="005F2D90">
      <w:pPr>
        <w:pStyle w:val="20"/>
        <w:shd w:val="clear" w:color="auto" w:fill="auto"/>
        <w:spacing w:line="240" w:lineRule="auto"/>
        <w:ind w:firstLine="0"/>
        <w:jc w:val="left"/>
      </w:pPr>
      <w:r w:rsidRPr="005F2D90">
        <w:t>Mikrobiológiai szempontból a készítményt azonnal fel kell használni. Ha nem használják fel azonnal, a felbontást követő tárolási idő és körülmények az alkalmazás előtt a felhasználó felelőssége, és nem lehet hosszabb a</w:t>
      </w:r>
      <w:r w:rsidR="00C64253">
        <w:t>z alkalmazási előírás 6.6 pontjában foglalt</w:t>
      </w:r>
      <w:r w:rsidRPr="005F2D90">
        <w:t xml:space="preserve"> felbontást követő kémiai és fizikai stabilitás</w:t>
      </w:r>
      <w:r w:rsidR="00C64253">
        <w:t>i időnél</w:t>
      </w:r>
      <w:r w:rsidRPr="005F2D90">
        <w:t>.</w:t>
      </w:r>
    </w:p>
    <w:p w14:paraId="09D29AC7" w14:textId="77777777" w:rsidR="00C64253" w:rsidRPr="005F2D90" w:rsidRDefault="00C64253" w:rsidP="005F2D90">
      <w:pPr>
        <w:pStyle w:val="20"/>
        <w:shd w:val="clear" w:color="auto" w:fill="auto"/>
        <w:spacing w:line="240" w:lineRule="auto"/>
        <w:ind w:firstLine="0"/>
        <w:jc w:val="left"/>
      </w:pPr>
    </w:p>
    <w:p w14:paraId="6E0624D2" w14:textId="77777777" w:rsidR="00025ADC" w:rsidRPr="005F2D90" w:rsidRDefault="00025ADC" w:rsidP="005F2D90">
      <w:pPr>
        <w:spacing w:after="0" w:line="240" w:lineRule="auto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Semmilyen gyógyszert ne dobjon a szennyvízbe. Kérdezze meg gyógyszerészét, hogy mit tegyen a már nem használt gyógyszereivel. Ezek az intézkedések elősegítik a környezet védelmét.</w:t>
      </w:r>
    </w:p>
    <w:p w14:paraId="7CBF9182" w14:textId="77777777" w:rsidR="00025ADC" w:rsidRPr="005F2D90" w:rsidRDefault="00025ADC" w:rsidP="005F2D90">
      <w:pPr>
        <w:spacing w:after="0" w:line="240" w:lineRule="auto"/>
        <w:rPr>
          <w:rFonts w:ascii="Times New Roman" w:hAnsi="Times New Roman"/>
          <w:bCs/>
          <w:lang w:val="en-US"/>
        </w:rPr>
      </w:pPr>
    </w:p>
    <w:p w14:paraId="18175058" w14:textId="77777777" w:rsidR="00CA2ECD" w:rsidRPr="005F2D90" w:rsidRDefault="00CA2ECD" w:rsidP="005F2D90">
      <w:pPr>
        <w:spacing w:after="0" w:line="240" w:lineRule="auto"/>
        <w:rPr>
          <w:rFonts w:ascii="Times New Roman" w:hAnsi="Times New Roman"/>
          <w:bCs/>
          <w:lang w:val="en-US"/>
        </w:rPr>
      </w:pPr>
    </w:p>
    <w:p w14:paraId="5C3E26EE" w14:textId="77777777" w:rsidR="00612DB6" w:rsidRPr="005F2D90" w:rsidRDefault="00612DB6" w:rsidP="00064067">
      <w:pPr>
        <w:pStyle w:val="Listaszerbekezds"/>
        <w:numPr>
          <w:ilvl w:val="0"/>
          <w:numId w:val="4"/>
        </w:numPr>
        <w:spacing w:after="0" w:line="240" w:lineRule="auto"/>
        <w:ind w:left="567" w:hanging="567"/>
        <w:rPr>
          <w:rFonts w:ascii="Times New Roman" w:hAnsi="Times New Roman"/>
          <w:b/>
          <w:bCs/>
        </w:rPr>
      </w:pPr>
      <w:r w:rsidRPr="005F2D90">
        <w:rPr>
          <w:rFonts w:ascii="Times New Roman" w:hAnsi="Times New Roman"/>
          <w:b/>
        </w:rPr>
        <w:t>A csomagolás tartalma és egyéb információk</w:t>
      </w:r>
    </w:p>
    <w:p w14:paraId="5768584B" w14:textId="77777777" w:rsidR="00612DB6" w:rsidRPr="005F2D90" w:rsidRDefault="00612DB6" w:rsidP="005F2D90">
      <w:pPr>
        <w:pStyle w:val="Listaszerbekezds"/>
        <w:spacing w:after="0" w:line="240" w:lineRule="auto"/>
        <w:ind w:left="426"/>
        <w:rPr>
          <w:rFonts w:ascii="Times New Roman" w:hAnsi="Times New Roman"/>
          <w:b/>
          <w:bCs/>
          <w:lang w:val="en-US"/>
        </w:rPr>
      </w:pPr>
    </w:p>
    <w:p w14:paraId="59101B4C" w14:textId="34CBA0C3" w:rsidR="00612DB6" w:rsidRPr="005F2D90" w:rsidRDefault="00612DB6" w:rsidP="005F2D90">
      <w:pPr>
        <w:spacing w:after="0" w:line="240" w:lineRule="auto"/>
        <w:rPr>
          <w:rFonts w:ascii="Times New Roman" w:hAnsi="Times New Roman"/>
          <w:b/>
          <w:bCs/>
        </w:rPr>
      </w:pPr>
      <w:r w:rsidRPr="005F2D90">
        <w:rPr>
          <w:rFonts w:ascii="Times New Roman" w:hAnsi="Times New Roman"/>
          <w:b/>
        </w:rPr>
        <w:t xml:space="preserve">Mit tartalmaz a Ceftriaxon Noridem? </w:t>
      </w:r>
    </w:p>
    <w:p w14:paraId="59F41B95" w14:textId="3C636603" w:rsidR="00612DB6" w:rsidRPr="005F2D90" w:rsidRDefault="00612DB6" w:rsidP="00064067">
      <w:pPr>
        <w:pStyle w:val="Listaszerbekezds"/>
        <w:numPr>
          <w:ilvl w:val="0"/>
          <w:numId w:val="13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A készítmény hatóanyaga a ceftriaxon (ceftriaxon-nátrium</w:t>
      </w:r>
      <w:r w:rsidR="00C64253">
        <w:rPr>
          <w:rFonts w:ascii="Times New Roman" w:hAnsi="Times New Roman"/>
        </w:rPr>
        <w:t xml:space="preserve"> formájában</w:t>
      </w:r>
      <w:r w:rsidRPr="005F2D90">
        <w:rPr>
          <w:rFonts w:ascii="Times New Roman" w:hAnsi="Times New Roman"/>
        </w:rPr>
        <w:t>). A Ceftriaxon Noridem 1 g ceftriaxont tartalmazó injekciós üvegben kapható.</w:t>
      </w:r>
    </w:p>
    <w:p w14:paraId="04D30F54" w14:textId="1F86550E" w:rsidR="00612DB6" w:rsidRPr="005F2D90" w:rsidRDefault="00612DB6" w:rsidP="00064067">
      <w:pPr>
        <w:pStyle w:val="Listaszerbekezds"/>
        <w:numPr>
          <w:ilvl w:val="0"/>
          <w:numId w:val="13"/>
        </w:numPr>
        <w:spacing w:after="0" w:line="240" w:lineRule="auto"/>
        <w:ind w:left="567" w:hanging="567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 xml:space="preserve">A Ceftriaxon Noridem egyéb összetevőket nem tartalmaz. </w:t>
      </w:r>
    </w:p>
    <w:p w14:paraId="2FFFC815" w14:textId="77777777" w:rsidR="00612DB6" w:rsidRPr="005F2D90" w:rsidRDefault="00612DB6" w:rsidP="005F2D90">
      <w:pPr>
        <w:pStyle w:val="Listaszerbekezds"/>
        <w:tabs>
          <w:tab w:val="left" w:pos="284"/>
        </w:tabs>
        <w:spacing w:after="0" w:line="240" w:lineRule="auto"/>
        <w:ind w:left="0"/>
        <w:rPr>
          <w:rFonts w:ascii="Times New Roman" w:hAnsi="Times New Roman"/>
          <w:bCs/>
          <w:highlight w:val="yellow"/>
        </w:rPr>
      </w:pPr>
    </w:p>
    <w:p w14:paraId="02AB9ACF" w14:textId="7C0C8793" w:rsidR="00612DB6" w:rsidRPr="005F2D90" w:rsidRDefault="00612DB6" w:rsidP="005F2D90">
      <w:pPr>
        <w:pStyle w:val="Listaszerbekezds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/>
          <w:b/>
          <w:noProof/>
        </w:rPr>
      </w:pPr>
      <w:r w:rsidRPr="005F2D90">
        <w:rPr>
          <w:rFonts w:ascii="Times New Roman" w:hAnsi="Times New Roman"/>
          <w:b/>
        </w:rPr>
        <w:t>Milyen a Ceftriaxon Noridem</w:t>
      </w:r>
      <w:r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  <w:b/>
        </w:rPr>
        <w:t>külleme és mit tartalmaz a csomagolás?</w:t>
      </w:r>
    </w:p>
    <w:p w14:paraId="0C5EAE20" w14:textId="4C4D5AB4" w:rsidR="00612DB6" w:rsidRPr="005F2D90" w:rsidRDefault="00495523" w:rsidP="005F2D90">
      <w:pPr>
        <w:pStyle w:val="Listaszerbekezds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/>
          <w:b/>
          <w:noProof/>
        </w:rPr>
      </w:pPr>
      <w:r w:rsidRPr="005F2D90">
        <w:rPr>
          <w:rFonts w:ascii="Times New Roman" w:hAnsi="Times New Roman"/>
        </w:rPr>
        <w:t>A Ceftriaxon Noridem 1 g por oldatos injekcióhoz</w:t>
      </w:r>
      <w:r w:rsidR="00A327AF" w:rsidRPr="005F2D90">
        <w:rPr>
          <w:rFonts w:ascii="Times New Roman" w:hAnsi="Times New Roman"/>
        </w:rPr>
        <w:t>/</w:t>
      </w:r>
      <w:r w:rsidRPr="005F2D90">
        <w:rPr>
          <w:rFonts w:ascii="Times New Roman" w:hAnsi="Times New Roman"/>
        </w:rPr>
        <w:t>infúzióhoz csaknem fehér vagy sárgás színű, kristályos por oldatos injekcióhoz</w:t>
      </w:r>
      <w:r w:rsidR="00C64253">
        <w:rPr>
          <w:rFonts w:ascii="Times New Roman" w:hAnsi="Times New Roman"/>
        </w:rPr>
        <w:t>/</w:t>
      </w:r>
      <w:r w:rsidRPr="005F2D90">
        <w:rPr>
          <w:rFonts w:ascii="Times New Roman" w:hAnsi="Times New Roman"/>
        </w:rPr>
        <w:t xml:space="preserve">infúzióhoz. A készítmény 1 db, 10 db vagy 50 db injekciós üveget tartalmazó kiszerelésben kapható.  </w:t>
      </w:r>
    </w:p>
    <w:p w14:paraId="274ABA93" w14:textId="52FF01A4" w:rsidR="00612DB6" w:rsidRPr="005F2D90" w:rsidRDefault="00612DB6" w:rsidP="005F2D90">
      <w:pPr>
        <w:pStyle w:val="Listaszerbekezds"/>
        <w:tabs>
          <w:tab w:val="left" w:pos="284"/>
        </w:tabs>
        <w:spacing w:after="0" w:line="240" w:lineRule="auto"/>
        <w:ind w:left="0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 xml:space="preserve">A betegnek történő beadás előtt a Ceftriaxon Noridemből az injekciós üvegbe steril folyadék adásával oldatot kell készíteni. Ezután a megfelelő adagot </w:t>
      </w:r>
      <w:r w:rsidR="004B4804">
        <w:rPr>
          <w:rFonts w:ascii="Times New Roman" w:hAnsi="Times New Roman"/>
        </w:rPr>
        <w:t>felszívják</w:t>
      </w:r>
      <w:r w:rsidR="004B4804" w:rsidRPr="005F2D90">
        <w:rPr>
          <w:rFonts w:ascii="Times New Roman" w:hAnsi="Times New Roman"/>
        </w:rPr>
        <w:t xml:space="preserve"> </w:t>
      </w:r>
      <w:r w:rsidRPr="005F2D90">
        <w:rPr>
          <w:rFonts w:ascii="Times New Roman" w:hAnsi="Times New Roman"/>
        </w:rPr>
        <w:t>az injekciós üvegből. A betegnek injekcióval adható be</w:t>
      </w:r>
      <w:r w:rsidR="004B4804">
        <w:rPr>
          <w:rFonts w:ascii="Times New Roman" w:hAnsi="Times New Roman"/>
        </w:rPr>
        <w:t>;</w:t>
      </w:r>
      <w:r w:rsidRPr="005F2D90">
        <w:rPr>
          <w:rFonts w:ascii="Times New Roman" w:hAnsi="Times New Roman"/>
        </w:rPr>
        <w:t xml:space="preserve"> vagy infúziós oldathoz adhatják, amit egy kisméretű csövön át adnak be</w:t>
      </w:r>
      <w:r w:rsidR="004B4804">
        <w:rPr>
          <w:rFonts w:ascii="Times New Roman" w:hAnsi="Times New Roman"/>
        </w:rPr>
        <w:t xml:space="preserve"> a vénába</w:t>
      </w:r>
      <w:r w:rsidRPr="005F2D90">
        <w:rPr>
          <w:rFonts w:ascii="Times New Roman" w:hAnsi="Times New Roman"/>
        </w:rPr>
        <w:t>.</w:t>
      </w:r>
    </w:p>
    <w:p w14:paraId="78E465AB" w14:textId="77777777" w:rsidR="00612DB6" w:rsidRPr="005F2D90" w:rsidRDefault="00612DB6" w:rsidP="005F2D90">
      <w:pPr>
        <w:pStyle w:val="Listaszerbekezds"/>
        <w:tabs>
          <w:tab w:val="left" w:pos="284"/>
        </w:tabs>
        <w:spacing w:after="0" w:line="240" w:lineRule="auto"/>
        <w:ind w:left="0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 xml:space="preserve"> </w:t>
      </w:r>
    </w:p>
    <w:p w14:paraId="6D1D3EA0" w14:textId="39F3CF83" w:rsidR="00612DB6" w:rsidRPr="005F2D90" w:rsidRDefault="00612DB6" w:rsidP="005F2D90">
      <w:pPr>
        <w:pStyle w:val="Listaszerbekezds"/>
        <w:tabs>
          <w:tab w:val="left" w:pos="284"/>
        </w:tabs>
        <w:spacing w:after="0" w:line="240" w:lineRule="auto"/>
        <w:ind w:left="0"/>
        <w:rPr>
          <w:rFonts w:ascii="Times New Roman" w:hAnsi="Times New Roman"/>
          <w:bCs/>
        </w:rPr>
      </w:pPr>
      <w:r w:rsidRPr="005F2D90">
        <w:rPr>
          <w:rFonts w:ascii="Times New Roman" w:hAnsi="Times New Roman"/>
        </w:rPr>
        <w:t>Nem feltétlenül mindegyik kiszerelés kerül kereskedelmi forgalomba.</w:t>
      </w:r>
    </w:p>
    <w:p w14:paraId="15F87F22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Cs/>
        </w:rPr>
      </w:pPr>
    </w:p>
    <w:p w14:paraId="7931EA54" w14:textId="77777777" w:rsidR="00612DB6" w:rsidRPr="005F2D90" w:rsidRDefault="00612DB6" w:rsidP="005F2D90">
      <w:pPr>
        <w:spacing w:after="0" w:line="240" w:lineRule="auto"/>
        <w:rPr>
          <w:rFonts w:ascii="Times New Roman" w:hAnsi="Times New Roman"/>
          <w:b/>
          <w:bCs/>
        </w:rPr>
      </w:pPr>
      <w:r w:rsidRPr="005F2D90">
        <w:rPr>
          <w:rFonts w:ascii="Times New Roman" w:hAnsi="Times New Roman"/>
          <w:b/>
        </w:rPr>
        <w:t>A forgalomba hozatali engedély jogosultja és a gyártó</w:t>
      </w:r>
    </w:p>
    <w:p w14:paraId="7FB83FD3" w14:textId="1BEEC6E6" w:rsidR="00E52113" w:rsidRPr="005F2D90" w:rsidRDefault="00E52113" w:rsidP="005F2D90">
      <w:pPr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>A forgalomba hozatali engedély jogosultja</w:t>
      </w:r>
    </w:p>
    <w:p w14:paraId="5A757B7C" w14:textId="77777777" w:rsidR="00E52113" w:rsidRPr="005F2D90" w:rsidRDefault="00E52113" w:rsidP="005F2D90">
      <w:pPr>
        <w:spacing w:after="0" w:line="240" w:lineRule="auto"/>
        <w:rPr>
          <w:rFonts w:ascii="Times New Roman" w:hAnsi="Times New Roman"/>
          <w:lang w:val="en-US"/>
        </w:rPr>
      </w:pPr>
      <w:r w:rsidRPr="005F2D90">
        <w:rPr>
          <w:rFonts w:ascii="Times New Roman" w:hAnsi="Times New Roman"/>
        </w:rPr>
        <w:t>Noridem Enterprises Limited</w:t>
      </w:r>
      <w:r w:rsidRPr="005F2D90">
        <w:rPr>
          <w:rFonts w:ascii="Times New Roman" w:hAnsi="Times New Roman"/>
          <w:lang w:val="en-US"/>
        </w:rPr>
        <w:t> </w:t>
      </w:r>
    </w:p>
    <w:p w14:paraId="680F2B5F" w14:textId="77777777" w:rsidR="00E52113" w:rsidRPr="005F2D90" w:rsidRDefault="00E52113" w:rsidP="005F2D90">
      <w:pPr>
        <w:spacing w:after="0" w:line="240" w:lineRule="auto"/>
        <w:rPr>
          <w:rFonts w:ascii="Times New Roman" w:hAnsi="Times New Roman"/>
          <w:lang w:val="en-US"/>
        </w:rPr>
      </w:pPr>
      <w:r w:rsidRPr="005F2D90">
        <w:rPr>
          <w:rFonts w:ascii="Times New Roman" w:hAnsi="Times New Roman"/>
        </w:rPr>
        <w:t>Evagorou &amp; Makariou</w:t>
      </w:r>
      <w:r w:rsidRPr="005F2D90">
        <w:rPr>
          <w:rFonts w:ascii="Times New Roman" w:hAnsi="Times New Roman"/>
          <w:lang w:val="en-US"/>
        </w:rPr>
        <w:t> </w:t>
      </w:r>
    </w:p>
    <w:p w14:paraId="28FFC7DC" w14:textId="77777777" w:rsidR="00E52113" w:rsidRPr="005F2D90" w:rsidRDefault="00E52113" w:rsidP="005F2D90">
      <w:pPr>
        <w:spacing w:after="0" w:line="240" w:lineRule="auto"/>
        <w:rPr>
          <w:rFonts w:ascii="Times New Roman" w:hAnsi="Times New Roman"/>
          <w:lang w:val="en-US"/>
        </w:rPr>
      </w:pPr>
      <w:r w:rsidRPr="005F2D90">
        <w:rPr>
          <w:rFonts w:ascii="Times New Roman" w:hAnsi="Times New Roman"/>
        </w:rPr>
        <w:t>Mitsi Building 3, Office 115</w:t>
      </w:r>
      <w:r w:rsidRPr="005F2D90">
        <w:rPr>
          <w:rFonts w:ascii="Times New Roman" w:hAnsi="Times New Roman"/>
          <w:lang w:val="en-US"/>
        </w:rPr>
        <w:t> </w:t>
      </w:r>
    </w:p>
    <w:p w14:paraId="77A30F6C" w14:textId="77777777" w:rsidR="00E52113" w:rsidRPr="005F2D90" w:rsidRDefault="00E52113" w:rsidP="005F2D90">
      <w:pPr>
        <w:spacing w:after="0" w:line="240" w:lineRule="auto"/>
        <w:rPr>
          <w:rFonts w:ascii="Times New Roman" w:hAnsi="Times New Roman"/>
          <w:lang w:val="en-US"/>
        </w:rPr>
      </w:pPr>
      <w:r w:rsidRPr="005F2D90">
        <w:rPr>
          <w:rFonts w:ascii="Times New Roman" w:hAnsi="Times New Roman"/>
        </w:rPr>
        <w:t>1065 Nicosia, Ciprus</w:t>
      </w:r>
      <w:r w:rsidRPr="005F2D90">
        <w:rPr>
          <w:rFonts w:ascii="Times New Roman" w:hAnsi="Times New Roman"/>
          <w:lang w:val="en-US"/>
        </w:rPr>
        <w:t> </w:t>
      </w:r>
    </w:p>
    <w:p w14:paraId="45938D88" w14:textId="77777777" w:rsidR="00E52113" w:rsidRPr="005F2D90" w:rsidRDefault="00E52113" w:rsidP="005F2D90">
      <w:pPr>
        <w:spacing w:after="0" w:line="240" w:lineRule="auto"/>
        <w:rPr>
          <w:rFonts w:ascii="Times New Roman" w:hAnsi="Times New Roman"/>
        </w:rPr>
      </w:pPr>
    </w:p>
    <w:p w14:paraId="48A97871" w14:textId="6DAA0906" w:rsidR="00E52113" w:rsidRPr="005F2D90" w:rsidRDefault="00E52113" w:rsidP="005F2D90">
      <w:pPr>
        <w:spacing w:after="0" w:line="240" w:lineRule="auto"/>
        <w:rPr>
          <w:rFonts w:ascii="Times New Roman" w:hAnsi="Times New Roman"/>
        </w:rPr>
      </w:pPr>
      <w:r w:rsidRPr="005F2D90">
        <w:rPr>
          <w:rFonts w:ascii="Times New Roman" w:hAnsi="Times New Roman"/>
          <w:b/>
        </w:rPr>
        <w:t>Gyártó</w:t>
      </w:r>
    </w:p>
    <w:p w14:paraId="287E5F51" w14:textId="77777777" w:rsidR="00E52113" w:rsidRPr="005F2D90" w:rsidRDefault="00E52113" w:rsidP="005F2D90">
      <w:pPr>
        <w:spacing w:after="0" w:line="240" w:lineRule="auto"/>
        <w:rPr>
          <w:rFonts w:ascii="Times New Roman" w:hAnsi="Times New Roman"/>
          <w:lang w:val="en-US"/>
        </w:rPr>
      </w:pPr>
      <w:r w:rsidRPr="005F2D90">
        <w:rPr>
          <w:rFonts w:ascii="Times New Roman" w:hAnsi="Times New Roman"/>
        </w:rPr>
        <w:t>DEMO S.A. PHARMACEUTICAL INDUSTRY</w:t>
      </w:r>
      <w:r w:rsidRPr="005F2D90">
        <w:rPr>
          <w:rFonts w:ascii="Times New Roman" w:hAnsi="Times New Roman"/>
          <w:lang w:val="en-US"/>
        </w:rPr>
        <w:t> </w:t>
      </w:r>
    </w:p>
    <w:p w14:paraId="131B7F38" w14:textId="77777777" w:rsidR="00E52113" w:rsidRPr="005F2D90" w:rsidRDefault="00E52113" w:rsidP="005F2D90">
      <w:pPr>
        <w:spacing w:after="0" w:line="240" w:lineRule="auto"/>
        <w:rPr>
          <w:rFonts w:ascii="Times New Roman" w:hAnsi="Times New Roman"/>
          <w:lang w:val="en-US"/>
        </w:rPr>
      </w:pPr>
      <w:r w:rsidRPr="005F2D90">
        <w:rPr>
          <w:rFonts w:ascii="Times New Roman" w:hAnsi="Times New Roman"/>
        </w:rPr>
        <w:t>21st Km National Road Athens–Lamia,</w:t>
      </w:r>
      <w:r w:rsidRPr="005F2D90">
        <w:rPr>
          <w:rFonts w:ascii="Times New Roman" w:hAnsi="Times New Roman"/>
          <w:lang w:val="en-US"/>
        </w:rPr>
        <w:t> </w:t>
      </w:r>
    </w:p>
    <w:p w14:paraId="20EC4430" w14:textId="77777777" w:rsidR="00E52113" w:rsidRPr="005F2D90" w:rsidRDefault="00E52113" w:rsidP="005F2D90">
      <w:pPr>
        <w:spacing w:after="0" w:line="240" w:lineRule="auto"/>
        <w:rPr>
          <w:rFonts w:ascii="Times New Roman" w:hAnsi="Times New Roman"/>
          <w:lang w:val="de-DE"/>
        </w:rPr>
      </w:pPr>
      <w:r w:rsidRPr="005F2D90">
        <w:rPr>
          <w:rFonts w:ascii="Times New Roman" w:hAnsi="Times New Roman"/>
        </w:rPr>
        <w:t>14568 Krioneri, Attiki,</w:t>
      </w:r>
      <w:r w:rsidRPr="005F2D90">
        <w:rPr>
          <w:rFonts w:ascii="Times New Roman" w:hAnsi="Times New Roman"/>
          <w:lang w:val="de-DE"/>
        </w:rPr>
        <w:t> </w:t>
      </w:r>
      <w:r w:rsidRPr="005F2D90">
        <w:rPr>
          <w:rFonts w:ascii="Times New Roman" w:hAnsi="Times New Roman"/>
        </w:rPr>
        <w:t>Görögország</w:t>
      </w:r>
      <w:r w:rsidRPr="005F2D90">
        <w:rPr>
          <w:rFonts w:ascii="Times New Roman" w:hAnsi="Times New Roman"/>
          <w:lang w:val="de-DE"/>
        </w:rPr>
        <w:t> </w:t>
      </w:r>
    </w:p>
    <w:p w14:paraId="5706C409" w14:textId="77777777" w:rsidR="00612DB6" w:rsidRPr="005F2D90" w:rsidRDefault="00612DB6" w:rsidP="005F2D90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Times New Roman" w:hAnsi="Times New Roman"/>
          <w:noProof/>
        </w:rPr>
      </w:pPr>
    </w:p>
    <w:p w14:paraId="399B7951" w14:textId="1493FE9A" w:rsidR="00612DB6" w:rsidRPr="005F2D90" w:rsidRDefault="00DB0DD3" w:rsidP="005F2D90">
      <w:pPr>
        <w:spacing w:after="0" w:line="240" w:lineRule="auto"/>
        <w:rPr>
          <w:rFonts w:ascii="Times New Roman" w:eastAsia="Times New Roman" w:hAnsi="Times New Roman"/>
          <w:b/>
          <w:noProof/>
        </w:rPr>
      </w:pPr>
      <w:r w:rsidRPr="005F2D90">
        <w:rPr>
          <w:rFonts w:ascii="Times New Roman" w:hAnsi="Times New Roman"/>
          <w:b/>
        </w:rPr>
        <w:lastRenderedPageBreak/>
        <w:t>Ezt a gyógyszert az Európai Gazdasági Térség tagállamaiban az alábbi neveken engedélyezték:</w:t>
      </w:r>
    </w:p>
    <w:tbl>
      <w:tblPr>
        <w:tblW w:w="8642" w:type="dxa"/>
        <w:tblLook w:val="0000" w:firstRow="0" w:lastRow="0" w:firstColumn="0" w:lastColumn="0" w:noHBand="0" w:noVBand="0"/>
      </w:tblPr>
      <w:tblGrid>
        <w:gridCol w:w="1573"/>
        <w:gridCol w:w="7069"/>
      </w:tblGrid>
      <w:tr w:rsidR="00495523" w:rsidRPr="005F2D90" w14:paraId="5E9DF55D" w14:textId="77777777" w:rsidTr="00E828C2">
        <w:trPr>
          <w:trHeight w:val="414"/>
        </w:trPr>
        <w:tc>
          <w:tcPr>
            <w:tcW w:w="1129" w:type="dxa"/>
          </w:tcPr>
          <w:p w14:paraId="60A5C9AF" w14:textId="43DA2627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Portugália:</w:t>
            </w:r>
          </w:p>
        </w:tc>
        <w:tc>
          <w:tcPr>
            <w:tcW w:w="7513" w:type="dxa"/>
          </w:tcPr>
          <w:p w14:paraId="53373197" w14:textId="77777777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 xml:space="preserve">Ceftriaxona BRADEX </w:t>
            </w:r>
          </w:p>
        </w:tc>
      </w:tr>
      <w:tr w:rsidR="00495523" w:rsidRPr="005F2D90" w14:paraId="4FD74427" w14:textId="77777777" w:rsidTr="00E828C2">
        <w:trPr>
          <w:trHeight w:val="420"/>
        </w:trPr>
        <w:tc>
          <w:tcPr>
            <w:tcW w:w="1129" w:type="dxa"/>
          </w:tcPr>
          <w:p w14:paraId="207C8F39" w14:textId="22F68E2C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Ausztria:</w:t>
            </w:r>
          </w:p>
        </w:tc>
        <w:tc>
          <w:tcPr>
            <w:tcW w:w="7513" w:type="dxa"/>
          </w:tcPr>
          <w:p w14:paraId="658F37C6" w14:textId="77777777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Ceftriaxon BRADEX 1g Pulver zur Herstellung einer Injektions-/Infusionslösung</w:t>
            </w:r>
          </w:p>
        </w:tc>
      </w:tr>
      <w:tr w:rsidR="00495523" w:rsidRPr="005F2D90" w14:paraId="4AC0287E" w14:textId="77777777" w:rsidTr="00E828C2">
        <w:trPr>
          <w:trHeight w:val="630"/>
        </w:trPr>
        <w:tc>
          <w:tcPr>
            <w:tcW w:w="1129" w:type="dxa"/>
          </w:tcPr>
          <w:p w14:paraId="13AF678B" w14:textId="2DA9DF54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Cseh</w:t>
            </w:r>
            <w:r w:rsidR="00634A78">
              <w:rPr>
                <w:rFonts w:ascii="Times New Roman" w:hAnsi="Times New Roman"/>
              </w:rPr>
              <w:t>ország</w:t>
            </w:r>
            <w:r w:rsidRPr="005F2D90">
              <w:rPr>
                <w:rFonts w:ascii="Times New Roman" w:hAnsi="Times New Roman"/>
              </w:rPr>
              <w:t>:</w:t>
            </w:r>
          </w:p>
        </w:tc>
        <w:tc>
          <w:tcPr>
            <w:tcW w:w="7513" w:type="dxa"/>
          </w:tcPr>
          <w:p w14:paraId="4B240148" w14:textId="2EE69A99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Ceftriaxon Noridem</w:t>
            </w:r>
          </w:p>
        </w:tc>
      </w:tr>
      <w:tr w:rsidR="00495523" w:rsidRPr="005F2D90" w14:paraId="7A0FF724" w14:textId="77777777" w:rsidTr="00E828C2">
        <w:trPr>
          <w:trHeight w:val="492"/>
        </w:trPr>
        <w:tc>
          <w:tcPr>
            <w:tcW w:w="1129" w:type="dxa"/>
          </w:tcPr>
          <w:p w14:paraId="15108A77" w14:textId="3B5AB5C8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Németország:</w:t>
            </w:r>
          </w:p>
        </w:tc>
        <w:tc>
          <w:tcPr>
            <w:tcW w:w="7513" w:type="dxa"/>
          </w:tcPr>
          <w:p w14:paraId="369CACA8" w14:textId="77777777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Ceftriaxon Noridem 1g Pulver zur Herstellung einer Injektions-/Infusionslösung</w:t>
            </w:r>
          </w:p>
        </w:tc>
      </w:tr>
      <w:tr w:rsidR="00495523" w:rsidRPr="005F2D90" w14:paraId="2B2839A9" w14:textId="77777777" w:rsidTr="00E828C2">
        <w:trPr>
          <w:trHeight w:val="415"/>
        </w:trPr>
        <w:tc>
          <w:tcPr>
            <w:tcW w:w="1129" w:type="dxa"/>
          </w:tcPr>
          <w:p w14:paraId="14605F37" w14:textId="21FC81F7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Spanyolország:</w:t>
            </w:r>
          </w:p>
        </w:tc>
        <w:tc>
          <w:tcPr>
            <w:tcW w:w="7513" w:type="dxa"/>
          </w:tcPr>
          <w:p w14:paraId="503175E1" w14:textId="463D9C48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Ceftriaxona Noridem 1 g polvo para solución inyectable y para perfusión EFG</w:t>
            </w:r>
          </w:p>
        </w:tc>
      </w:tr>
      <w:tr w:rsidR="00495523" w:rsidRPr="005F2D90" w14:paraId="3A98AB8B" w14:textId="77777777" w:rsidTr="00E828C2">
        <w:trPr>
          <w:trHeight w:val="407"/>
        </w:trPr>
        <w:tc>
          <w:tcPr>
            <w:tcW w:w="1129" w:type="dxa"/>
          </w:tcPr>
          <w:p w14:paraId="3D9F713B" w14:textId="6F129F11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Franciaország:</w:t>
            </w:r>
          </w:p>
        </w:tc>
        <w:tc>
          <w:tcPr>
            <w:tcW w:w="7513" w:type="dxa"/>
          </w:tcPr>
          <w:p w14:paraId="28C7A88C" w14:textId="77777777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CEFTRIAXONE NORIDEM 1g, poudre pour solution injectable/pour perfusion</w:t>
            </w:r>
          </w:p>
        </w:tc>
      </w:tr>
      <w:tr w:rsidR="00495523" w:rsidRPr="005F2D90" w14:paraId="27487F73" w14:textId="77777777" w:rsidTr="00E828C2">
        <w:trPr>
          <w:trHeight w:val="412"/>
        </w:trPr>
        <w:tc>
          <w:tcPr>
            <w:tcW w:w="1129" w:type="dxa"/>
          </w:tcPr>
          <w:p w14:paraId="4280D6D6" w14:textId="386D542D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Magyarország:</w:t>
            </w:r>
          </w:p>
        </w:tc>
        <w:tc>
          <w:tcPr>
            <w:tcW w:w="7513" w:type="dxa"/>
          </w:tcPr>
          <w:p w14:paraId="63BEB8F1" w14:textId="1FE5D009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Ceftriaxon Noridem 1 g por oldatos injekcióhoz</w:t>
            </w:r>
            <w:r w:rsidR="00A327AF" w:rsidRPr="005F2D90">
              <w:rPr>
                <w:rFonts w:ascii="Times New Roman" w:hAnsi="Times New Roman"/>
                <w:lang w:val="en-US"/>
              </w:rPr>
              <w:t>/</w:t>
            </w:r>
            <w:r w:rsidRPr="005F2D90">
              <w:rPr>
                <w:rFonts w:ascii="Times New Roman" w:hAnsi="Times New Roman"/>
              </w:rPr>
              <w:t>infúzióhoz</w:t>
            </w:r>
          </w:p>
        </w:tc>
      </w:tr>
      <w:tr w:rsidR="00495523" w:rsidRPr="005F2D90" w14:paraId="21F68ADE" w14:textId="77777777" w:rsidTr="00E828C2">
        <w:trPr>
          <w:trHeight w:val="416"/>
        </w:trPr>
        <w:tc>
          <w:tcPr>
            <w:tcW w:w="1129" w:type="dxa"/>
          </w:tcPr>
          <w:p w14:paraId="09242AFD" w14:textId="554305B5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Írország:</w:t>
            </w:r>
          </w:p>
        </w:tc>
        <w:tc>
          <w:tcPr>
            <w:tcW w:w="7513" w:type="dxa"/>
          </w:tcPr>
          <w:p w14:paraId="4B91F3C4" w14:textId="77777777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Ceftriaxone 1g powder for solution for injection/infusion</w:t>
            </w:r>
          </w:p>
        </w:tc>
      </w:tr>
      <w:tr w:rsidR="00495523" w:rsidRPr="005F2D90" w14:paraId="5E04885A" w14:textId="77777777" w:rsidTr="00E828C2">
        <w:trPr>
          <w:trHeight w:val="416"/>
        </w:trPr>
        <w:tc>
          <w:tcPr>
            <w:tcW w:w="1129" w:type="dxa"/>
          </w:tcPr>
          <w:p w14:paraId="741157E3" w14:textId="073ED5E9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Olaszország:</w:t>
            </w:r>
          </w:p>
        </w:tc>
        <w:tc>
          <w:tcPr>
            <w:tcW w:w="7513" w:type="dxa"/>
          </w:tcPr>
          <w:p w14:paraId="58658E35" w14:textId="77777777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Ceftriaxon Noridem</w:t>
            </w:r>
          </w:p>
        </w:tc>
      </w:tr>
      <w:tr w:rsidR="00495523" w:rsidRPr="005F2D90" w14:paraId="53F4089B" w14:textId="77777777" w:rsidTr="00E828C2">
        <w:trPr>
          <w:trHeight w:val="422"/>
        </w:trPr>
        <w:tc>
          <w:tcPr>
            <w:tcW w:w="1129" w:type="dxa"/>
          </w:tcPr>
          <w:p w14:paraId="7F9E11BB" w14:textId="10A1075E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Lengyelország:</w:t>
            </w:r>
          </w:p>
        </w:tc>
        <w:tc>
          <w:tcPr>
            <w:tcW w:w="7513" w:type="dxa"/>
          </w:tcPr>
          <w:p w14:paraId="6E1B23D9" w14:textId="77777777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Ceftriaxon Noridem</w:t>
            </w:r>
          </w:p>
        </w:tc>
      </w:tr>
      <w:tr w:rsidR="00E828C2" w:rsidRPr="005F2D90" w14:paraId="66706306" w14:textId="77777777" w:rsidTr="00E828C2">
        <w:trPr>
          <w:trHeight w:val="399"/>
        </w:trPr>
        <w:tc>
          <w:tcPr>
            <w:tcW w:w="1129" w:type="dxa"/>
          </w:tcPr>
          <w:p w14:paraId="5D633E17" w14:textId="68E95DFF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Szlovák</w:t>
            </w:r>
            <w:r w:rsidR="00634A78">
              <w:rPr>
                <w:rFonts w:ascii="Times New Roman" w:hAnsi="Times New Roman"/>
              </w:rPr>
              <w:t>ia</w:t>
            </w:r>
            <w:r w:rsidRPr="005F2D90">
              <w:rPr>
                <w:rFonts w:ascii="Times New Roman" w:hAnsi="Times New Roman"/>
              </w:rPr>
              <w:t>:</w:t>
            </w:r>
          </w:p>
        </w:tc>
        <w:tc>
          <w:tcPr>
            <w:tcW w:w="7513" w:type="dxa"/>
          </w:tcPr>
          <w:p w14:paraId="4351D711" w14:textId="15F93F31" w:rsidR="002A197E" w:rsidRPr="005F2D90" w:rsidRDefault="002A197E" w:rsidP="005F2D90">
            <w:pPr>
              <w:spacing w:after="0" w:line="240" w:lineRule="auto"/>
              <w:rPr>
                <w:rFonts w:ascii="Times New Roman" w:eastAsia="Times New Roman" w:hAnsi="Times New Roman"/>
                <w:noProof/>
              </w:rPr>
            </w:pPr>
            <w:r w:rsidRPr="005F2D90">
              <w:rPr>
                <w:rFonts w:ascii="Times New Roman" w:hAnsi="Times New Roman"/>
              </w:rPr>
              <w:t>Ceftriaxon Noridem</w:t>
            </w:r>
          </w:p>
        </w:tc>
      </w:tr>
    </w:tbl>
    <w:p w14:paraId="1C89EF6C" w14:textId="2D2AD2E2" w:rsidR="00612DB6" w:rsidRPr="005F2D90" w:rsidRDefault="00612DB6" w:rsidP="005F2D90">
      <w:pPr>
        <w:spacing w:after="0" w:line="240" w:lineRule="auto"/>
        <w:rPr>
          <w:rFonts w:ascii="Times New Roman" w:eastAsia="Times New Roman" w:hAnsi="Times New Roman"/>
          <w:noProof/>
          <w:lang w:val="en-US"/>
        </w:rPr>
      </w:pPr>
    </w:p>
    <w:p w14:paraId="477468D6" w14:textId="77777777" w:rsidR="00980F5C" w:rsidRPr="00CD26D1" w:rsidRDefault="00980F5C" w:rsidP="00980F5C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</w:rPr>
      </w:pPr>
      <w:r w:rsidRPr="00CD26D1">
        <w:rPr>
          <w:rFonts w:ascii="Times New Roman" w:hAnsi="Times New Roman"/>
        </w:rPr>
        <w:t>OGYI-T-24700/01</w:t>
      </w:r>
      <w:r>
        <w:rPr>
          <w:rFonts w:ascii="Times New Roman" w:hAnsi="Times New Roman"/>
        </w:rPr>
        <w:tab/>
        <w:t>1×</w:t>
      </w:r>
      <w:r>
        <w:rPr>
          <w:rFonts w:ascii="Times New Roman" w:hAnsi="Times New Roman"/>
        </w:rPr>
        <w:tab/>
        <w:t>I</w:t>
      </w:r>
      <w:r w:rsidRPr="00CD26D1">
        <w:rPr>
          <w:rFonts w:ascii="Times New Roman" w:hAnsi="Times New Roman"/>
        </w:rPr>
        <w:t>II-as típusú injekciós üvegben</w:t>
      </w:r>
    </w:p>
    <w:p w14:paraId="57E6C62A" w14:textId="77777777" w:rsidR="00980F5C" w:rsidRPr="00CD26D1" w:rsidRDefault="00980F5C" w:rsidP="00980F5C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</w:rPr>
      </w:pPr>
      <w:r w:rsidRPr="00CD26D1">
        <w:rPr>
          <w:rFonts w:ascii="Times New Roman" w:hAnsi="Times New Roman"/>
        </w:rPr>
        <w:t>OGYI-T-24700/02</w:t>
      </w:r>
      <w:r>
        <w:rPr>
          <w:rFonts w:ascii="Times New Roman" w:hAnsi="Times New Roman"/>
        </w:rPr>
        <w:tab/>
        <w:t>1</w:t>
      </w:r>
      <w:r w:rsidRPr="00CD26D1">
        <w:rPr>
          <w:rFonts w:ascii="Times New Roman" w:hAnsi="Times New Roman"/>
        </w:rPr>
        <w:t>0</w:t>
      </w:r>
      <w:r>
        <w:rPr>
          <w:rFonts w:ascii="Times New Roman" w:hAnsi="Times New Roman"/>
        </w:rPr>
        <w:t>×</w:t>
      </w:r>
      <w:r>
        <w:rPr>
          <w:rFonts w:ascii="Times New Roman" w:hAnsi="Times New Roman"/>
        </w:rPr>
        <w:tab/>
        <w:t>I</w:t>
      </w:r>
      <w:r w:rsidRPr="00CD26D1">
        <w:rPr>
          <w:rFonts w:ascii="Times New Roman" w:hAnsi="Times New Roman"/>
        </w:rPr>
        <w:t>II-as típusú injekciós üvegben</w:t>
      </w:r>
    </w:p>
    <w:p w14:paraId="4B4D0CBA" w14:textId="77777777" w:rsidR="00980F5C" w:rsidRPr="0019444D" w:rsidRDefault="00980F5C" w:rsidP="00980F5C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b/>
          <w:bCs/>
          <w:lang w:val="pt-PT"/>
        </w:rPr>
      </w:pPr>
      <w:r w:rsidRPr="00CD26D1">
        <w:rPr>
          <w:rFonts w:ascii="Times New Roman" w:hAnsi="Times New Roman"/>
        </w:rPr>
        <w:t>OGYI-T-24700/03</w:t>
      </w:r>
      <w:r>
        <w:rPr>
          <w:rFonts w:ascii="Times New Roman" w:hAnsi="Times New Roman"/>
        </w:rPr>
        <w:tab/>
      </w:r>
      <w:r w:rsidRPr="00CD26D1">
        <w:rPr>
          <w:rFonts w:ascii="Times New Roman" w:hAnsi="Times New Roman"/>
        </w:rPr>
        <w:t>50</w:t>
      </w:r>
      <w:r>
        <w:rPr>
          <w:rFonts w:ascii="Times New Roman" w:hAnsi="Times New Roman"/>
        </w:rPr>
        <w:t>×</w:t>
      </w:r>
      <w:r>
        <w:rPr>
          <w:rFonts w:ascii="Times New Roman" w:hAnsi="Times New Roman"/>
        </w:rPr>
        <w:tab/>
        <w:t>I</w:t>
      </w:r>
      <w:r w:rsidRPr="00CD26D1">
        <w:rPr>
          <w:rFonts w:ascii="Times New Roman" w:hAnsi="Times New Roman"/>
        </w:rPr>
        <w:t>II-as típusú injekciós üvegben</w:t>
      </w:r>
    </w:p>
    <w:p w14:paraId="147B8E78" w14:textId="77777777" w:rsidR="00F96BFA" w:rsidRPr="005F2D90" w:rsidRDefault="00F96BFA" w:rsidP="005F2D90">
      <w:pPr>
        <w:spacing w:after="0" w:line="240" w:lineRule="auto"/>
        <w:rPr>
          <w:rFonts w:ascii="Times New Roman" w:hAnsi="Times New Roman"/>
          <w:b/>
        </w:rPr>
      </w:pPr>
    </w:p>
    <w:p w14:paraId="4C48406B" w14:textId="3597040C" w:rsidR="00612DB6" w:rsidRPr="005F2D90" w:rsidRDefault="00612DB6" w:rsidP="005F2D90">
      <w:pPr>
        <w:spacing w:after="0" w:line="240" w:lineRule="auto"/>
        <w:rPr>
          <w:rFonts w:ascii="Times New Roman" w:hAnsi="Times New Roman"/>
          <w:b/>
          <w:bCs/>
        </w:rPr>
      </w:pPr>
      <w:r w:rsidRPr="005F2D90">
        <w:rPr>
          <w:rFonts w:ascii="Times New Roman" w:hAnsi="Times New Roman"/>
          <w:b/>
        </w:rPr>
        <w:t>A betegtájékoztató legutóbbi felülvizsgálatának dátuma:</w:t>
      </w:r>
      <w:r w:rsidR="005F2D90" w:rsidRPr="00064067">
        <w:rPr>
          <w:rFonts w:ascii="Times New Roman" w:hAnsi="Times New Roman"/>
          <w:bCs/>
        </w:rPr>
        <w:t xml:space="preserve"> 2026.</w:t>
      </w:r>
      <w:r w:rsidR="00980F5C">
        <w:rPr>
          <w:rFonts w:ascii="Times New Roman" w:hAnsi="Times New Roman"/>
          <w:bCs/>
        </w:rPr>
        <w:t xml:space="preserve"> február.</w:t>
      </w:r>
    </w:p>
    <w:sectPr w:rsidR="00612DB6" w:rsidRPr="005F2D90" w:rsidSect="005F2D90">
      <w:footerReference w:type="first" r:id="rId9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80453" w14:textId="77777777" w:rsidR="00B63AAC" w:rsidRDefault="00B63AAC" w:rsidP="005F2D90">
      <w:pPr>
        <w:spacing w:after="0" w:line="240" w:lineRule="auto"/>
      </w:pPr>
      <w:r>
        <w:separator/>
      </w:r>
    </w:p>
  </w:endnote>
  <w:endnote w:type="continuationSeparator" w:id="0">
    <w:p w14:paraId="1368BFC5" w14:textId="77777777" w:rsidR="00B63AAC" w:rsidRDefault="00B63AAC" w:rsidP="005F2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DF63C" w14:textId="2E6990CF" w:rsidR="005F2D90" w:rsidRPr="00064067" w:rsidRDefault="005F2D90">
    <w:pPr>
      <w:pStyle w:val="llb"/>
      <w:rPr>
        <w:rFonts w:ascii="Times New Roman" w:hAnsi="Times New Roman"/>
        <w:sz w:val="18"/>
        <w:szCs w:val="18"/>
      </w:rPr>
    </w:pPr>
    <w:r w:rsidRPr="00064067">
      <w:rPr>
        <w:rFonts w:ascii="Times New Roman" w:hAnsi="Times New Roman"/>
        <w:sz w:val="18"/>
        <w:szCs w:val="18"/>
      </w:rPr>
      <w:t>NNGYK/ETGY/19742/2025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D49AA" w14:textId="77777777" w:rsidR="00B63AAC" w:rsidRDefault="00B63AAC" w:rsidP="005F2D90">
      <w:pPr>
        <w:spacing w:after="0" w:line="240" w:lineRule="auto"/>
      </w:pPr>
      <w:r>
        <w:separator/>
      </w:r>
    </w:p>
  </w:footnote>
  <w:footnote w:type="continuationSeparator" w:id="0">
    <w:p w14:paraId="7A3646B7" w14:textId="77777777" w:rsidR="00B63AAC" w:rsidRDefault="00B63AAC" w:rsidP="005F2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C7830"/>
    <w:multiLevelType w:val="hybridMultilevel"/>
    <w:tmpl w:val="13C007C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366F1"/>
    <w:multiLevelType w:val="hybridMultilevel"/>
    <w:tmpl w:val="E31646F8"/>
    <w:lvl w:ilvl="0" w:tplc="31DAFFF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6464A"/>
    <w:multiLevelType w:val="hybridMultilevel"/>
    <w:tmpl w:val="F90A9C9C"/>
    <w:lvl w:ilvl="0" w:tplc="39FCC6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96440"/>
    <w:multiLevelType w:val="hybridMultilevel"/>
    <w:tmpl w:val="B7AAA4B2"/>
    <w:lvl w:ilvl="0" w:tplc="338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65D9D"/>
    <w:multiLevelType w:val="hybridMultilevel"/>
    <w:tmpl w:val="73F2939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E65AAF"/>
    <w:multiLevelType w:val="hybridMultilevel"/>
    <w:tmpl w:val="524CA67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F5F1C"/>
    <w:multiLevelType w:val="hybridMultilevel"/>
    <w:tmpl w:val="23FA946C"/>
    <w:lvl w:ilvl="0" w:tplc="338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06F1C"/>
    <w:multiLevelType w:val="hybridMultilevel"/>
    <w:tmpl w:val="EC46B7A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2E65AE"/>
    <w:multiLevelType w:val="hybridMultilevel"/>
    <w:tmpl w:val="0896B874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5270C"/>
    <w:multiLevelType w:val="hybridMultilevel"/>
    <w:tmpl w:val="76924A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5D49DA"/>
    <w:multiLevelType w:val="hybridMultilevel"/>
    <w:tmpl w:val="B7165982"/>
    <w:lvl w:ilvl="0" w:tplc="11AEB5F0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6E26CE"/>
    <w:multiLevelType w:val="hybridMultilevel"/>
    <w:tmpl w:val="605AD700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720156"/>
    <w:multiLevelType w:val="hybridMultilevel"/>
    <w:tmpl w:val="DEE23B5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D749E"/>
    <w:multiLevelType w:val="hybridMultilevel"/>
    <w:tmpl w:val="4C62DBE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95807"/>
    <w:multiLevelType w:val="hybridMultilevel"/>
    <w:tmpl w:val="B4AE23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F24D3"/>
    <w:multiLevelType w:val="hybridMultilevel"/>
    <w:tmpl w:val="F048AEF0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53EB2"/>
    <w:multiLevelType w:val="hybridMultilevel"/>
    <w:tmpl w:val="098A5416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51877FB"/>
    <w:multiLevelType w:val="hybridMultilevel"/>
    <w:tmpl w:val="5590CD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A644E5"/>
    <w:multiLevelType w:val="hybridMultilevel"/>
    <w:tmpl w:val="3DAC4DD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438FE"/>
    <w:multiLevelType w:val="multilevel"/>
    <w:tmpl w:val="FAC64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F0A7C6D"/>
    <w:multiLevelType w:val="hybridMultilevel"/>
    <w:tmpl w:val="6804F500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AC0CD3"/>
    <w:multiLevelType w:val="hybridMultilevel"/>
    <w:tmpl w:val="2F646F6C"/>
    <w:lvl w:ilvl="0" w:tplc="338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06871"/>
    <w:multiLevelType w:val="hybridMultilevel"/>
    <w:tmpl w:val="1E421BAA"/>
    <w:lvl w:ilvl="0" w:tplc="89A632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A2800"/>
    <w:multiLevelType w:val="hybridMultilevel"/>
    <w:tmpl w:val="1B749F4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CF4CDE"/>
    <w:multiLevelType w:val="hybridMultilevel"/>
    <w:tmpl w:val="A1D855D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7C1024"/>
    <w:multiLevelType w:val="hybridMultilevel"/>
    <w:tmpl w:val="F612B1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5114CD"/>
    <w:multiLevelType w:val="hybridMultilevel"/>
    <w:tmpl w:val="F1E45C4E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594484"/>
    <w:multiLevelType w:val="hybridMultilevel"/>
    <w:tmpl w:val="27B8228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934026"/>
    <w:multiLevelType w:val="hybridMultilevel"/>
    <w:tmpl w:val="E6D631A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031FD6"/>
    <w:multiLevelType w:val="hybridMultilevel"/>
    <w:tmpl w:val="F8EAD71A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8B3C86"/>
    <w:multiLevelType w:val="hybridMultilevel"/>
    <w:tmpl w:val="9F3C35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7438D"/>
    <w:multiLevelType w:val="hybridMultilevel"/>
    <w:tmpl w:val="84A8B0B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3634D7"/>
    <w:multiLevelType w:val="hybridMultilevel"/>
    <w:tmpl w:val="B3D0BB2A"/>
    <w:lvl w:ilvl="0" w:tplc="11AEB5F0">
      <w:numFmt w:val="bullet"/>
      <w:lvlText w:val="•"/>
      <w:lvlJc w:val="left"/>
      <w:pPr>
        <w:ind w:left="1004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7BBA6CBE"/>
    <w:multiLevelType w:val="hybridMultilevel"/>
    <w:tmpl w:val="F8B262A6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C37BB4"/>
    <w:multiLevelType w:val="hybridMultilevel"/>
    <w:tmpl w:val="B16E4674"/>
    <w:lvl w:ilvl="0" w:tplc="11AEB5F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046902">
    <w:abstractNumId w:val="19"/>
  </w:num>
  <w:num w:numId="2" w16cid:durableId="1965308956">
    <w:abstractNumId w:val="2"/>
  </w:num>
  <w:num w:numId="3" w16cid:durableId="1158765861">
    <w:abstractNumId w:val="12"/>
  </w:num>
  <w:num w:numId="4" w16cid:durableId="611397703">
    <w:abstractNumId w:val="22"/>
  </w:num>
  <w:num w:numId="5" w16cid:durableId="1222593340">
    <w:abstractNumId w:val="4"/>
  </w:num>
  <w:num w:numId="6" w16cid:durableId="287512360">
    <w:abstractNumId w:val="9"/>
  </w:num>
  <w:num w:numId="7" w16cid:durableId="244808153">
    <w:abstractNumId w:val="23"/>
  </w:num>
  <w:num w:numId="8" w16cid:durableId="1083334989">
    <w:abstractNumId w:val="7"/>
  </w:num>
  <w:num w:numId="9" w16cid:durableId="241843003">
    <w:abstractNumId w:val="13"/>
  </w:num>
  <w:num w:numId="10" w16cid:durableId="1952203808">
    <w:abstractNumId w:val="31"/>
  </w:num>
  <w:num w:numId="11" w16cid:durableId="798033266">
    <w:abstractNumId w:val="25"/>
  </w:num>
  <w:num w:numId="12" w16cid:durableId="634523949">
    <w:abstractNumId w:val="17"/>
  </w:num>
  <w:num w:numId="13" w16cid:durableId="234123091">
    <w:abstractNumId w:val="1"/>
  </w:num>
  <w:num w:numId="14" w16cid:durableId="597446092">
    <w:abstractNumId w:val="14"/>
  </w:num>
  <w:num w:numId="15" w16cid:durableId="1547718754">
    <w:abstractNumId w:val="3"/>
  </w:num>
  <w:num w:numId="16" w16cid:durableId="98989092">
    <w:abstractNumId w:val="21"/>
  </w:num>
  <w:num w:numId="17" w16cid:durableId="1732146485">
    <w:abstractNumId w:val="6"/>
  </w:num>
  <w:num w:numId="18" w16cid:durableId="1358850231">
    <w:abstractNumId w:val="30"/>
  </w:num>
  <w:num w:numId="19" w16cid:durableId="2073960513">
    <w:abstractNumId w:val="27"/>
  </w:num>
  <w:num w:numId="20" w16cid:durableId="82146801">
    <w:abstractNumId w:val="18"/>
  </w:num>
  <w:num w:numId="21" w16cid:durableId="1799906498">
    <w:abstractNumId w:val="0"/>
  </w:num>
  <w:num w:numId="22" w16cid:durableId="952371276">
    <w:abstractNumId w:val="20"/>
  </w:num>
  <w:num w:numId="23" w16cid:durableId="1967924093">
    <w:abstractNumId w:val="11"/>
  </w:num>
  <w:num w:numId="24" w16cid:durableId="834881594">
    <w:abstractNumId w:val="29"/>
  </w:num>
  <w:num w:numId="25" w16cid:durableId="552734761">
    <w:abstractNumId w:val="26"/>
  </w:num>
  <w:num w:numId="26" w16cid:durableId="777795763">
    <w:abstractNumId w:val="34"/>
  </w:num>
  <w:num w:numId="27" w16cid:durableId="1917931179">
    <w:abstractNumId w:val="28"/>
  </w:num>
  <w:num w:numId="28" w16cid:durableId="1090932551">
    <w:abstractNumId w:val="8"/>
  </w:num>
  <w:num w:numId="29" w16cid:durableId="382564104">
    <w:abstractNumId w:val="24"/>
  </w:num>
  <w:num w:numId="30" w16cid:durableId="815418602">
    <w:abstractNumId w:val="15"/>
  </w:num>
  <w:num w:numId="31" w16cid:durableId="1801453907">
    <w:abstractNumId w:val="33"/>
  </w:num>
  <w:num w:numId="32" w16cid:durableId="164832784">
    <w:abstractNumId w:val="5"/>
  </w:num>
  <w:num w:numId="33" w16cid:durableId="1453019210">
    <w:abstractNumId w:val="32"/>
  </w:num>
  <w:num w:numId="34" w16cid:durableId="503667436">
    <w:abstractNumId w:val="16"/>
  </w:num>
  <w:num w:numId="35" w16cid:durableId="171233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35"/>
    <w:rsid w:val="0000724E"/>
    <w:rsid w:val="0001102C"/>
    <w:rsid w:val="000118AB"/>
    <w:rsid w:val="00025ADC"/>
    <w:rsid w:val="00043BBD"/>
    <w:rsid w:val="00053989"/>
    <w:rsid w:val="00064067"/>
    <w:rsid w:val="00072C0C"/>
    <w:rsid w:val="00074BCD"/>
    <w:rsid w:val="000762C8"/>
    <w:rsid w:val="0009735A"/>
    <w:rsid w:val="000A234B"/>
    <w:rsid w:val="000A5109"/>
    <w:rsid w:val="000A67B2"/>
    <w:rsid w:val="000D0240"/>
    <w:rsid w:val="000D797B"/>
    <w:rsid w:val="000E01B7"/>
    <w:rsid w:val="000E55D8"/>
    <w:rsid w:val="000F40A1"/>
    <w:rsid w:val="001028A8"/>
    <w:rsid w:val="00106CBE"/>
    <w:rsid w:val="00135531"/>
    <w:rsid w:val="00166E94"/>
    <w:rsid w:val="00185E32"/>
    <w:rsid w:val="0019379A"/>
    <w:rsid w:val="001C5D99"/>
    <w:rsid w:val="001D01AC"/>
    <w:rsid w:val="001D4659"/>
    <w:rsid w:val="001D504E"/>
    <w:rsid w:val="002057B2"/>
    <w:rsid w:val="00222DC8"/>
    <w:rsid w:val="00231B94"/>
    <w:rsid w:val="002459C2"/>
    <w:rsid w:val="00290E4C"/>
    <w:rsid w:val="00295A6E"/>
    <w:rsid w:val="002A197E"/>
    <w:rsid w:val="002B18DE"/>
    <w:rsid w:val="002E11D9"/>
    <w:rsid w:val="002E155E"/>
    <w:rsid w:val="002E66B1"/>
    <w:rsid w:val="002F6D5E"/>
    <w:rsid w:val="0030465F"/>
    <w:rsid w:val="00305F5B"/>
    <w:rsid w:val="003211ED"/>
    <w:rsid w:val="00330271"/>
    <w:rsid w:val="00332E7A"/>
    <w:rsid w:val="00335E36"/>
    <w:rsid w:val="003360AD"/>
    <w:rsid w:val="00336A33"/>
    <w:rsid w:val="003414D3"/>
    <w:rsid w:val="0034538C"/>
    <w:rsid w:val="003555A1"/>
    <w:rsid w:val="0036192C"/>
    <w:rsid w:val="003753BB"/>
    <w:rsid w:val="00375A0F"/>
    <w:rsid w:val="00380C57"/>
    <w:rsid w:val="00382B89"/>
    <w:rsid w:val="00383112"/>
    <w:rsid w:val="003A39B4"/>
    <w:rsid w:val="003C2C86"/>
    <w:rsid w:val="003C5FC8"/>
    <w:rsid w:val="003C7206"/>
    <w:rsid w:val="003D1341"/>
    <w:rsid w:val="003D51E3"/>
    <w:rsid w:val="003D6B50"/>
    <w:rsid w:val="003E120E"/>
    <w:rsid w:val="003E6D74"/>
    <w:rsid w:val="0040343B"/>
    <w:rsid w:val="00426568"/>
    <w:rsid w:val="00452CEB"/>
    <w:rsid w:val="00457356"/>
    <w:rsid w:val="00470FE8"/>
    <w:rsid w:val="004763CD"/>
    <w:rsid w:val="00486D1C"/>
    <w:rsid w:val="004905FC"/>
    <w:rsid w:val="00493B21"/>
    <w:rsid w:val="00495523"/>
    <w:rsid w:val="004B4804"/>
    <w:rsid w:val="004B6D0A"/>
    <w:rsid w:val="004D417B"/>
    <w:rsid w:val="004E15C9"/>
    <w:rsid w:val="004E6C73"/>
    <w:rsid w:val="00505E53"/>
    <w:rsid w:val="00512674"/>
    <w:rsid w:val="00516889"/>
    <w:rsid w:val="00534CCA"/>
    <w:rsid w:val="00544235"/>
    <w:rsid w:val="00550FF9"/>
    <w:rsid w:val="00551A43"/>
    <w:rsid w:val="005645BE"/>
    <w:rsid w:val="00570F01"/>
    <w:rsid w:val="005723F1"/>
    <w:rsid w:val="00575D9A"/>
    <w:rsid w:val="00591B7C"/>
    <w:rsid w:val="00591BC0"/>
    <w:rsid w:val="005929F8"/>
    <w:rsid w:val="005B2129"/>
    <w:rsid w:val="005B6F6F"/>
    <w:rsid w:val="005C7132"/>
    <w:rsid w:val="005F2D90"/>
    <w:rsid w:val="00603752"/>
    <w:rsid w:val="00605A86"/>
    <w:rsid w:val="00612DB6"/>
    <w:rsid w:val="006328EC"/>
    <w:rsid w:val="00634220"/>
    <w:rsid w:val="00634A78"/>
    <w:rsid w:val="006552FD"/>
    <w:rsid w:val="00655552"/>
    <w:rsid w:val="006629BA"/>
    <w:rsid w:val="00664746"/>
    <w:rsid w:val="00667897"/>
    <w:rsid w:val="00671972"/>
    <w:rsid w:val="00671A8D"/>
    <w:rsid w:val="0067213B"/>
    <w:rsid w:val="006746B1"/>
    <w:rsid w:val="006778FA"/>
    <w:rsid w:val="006838BE"/>
    <w:rsid w:val="00686BDC"/>
    <w:rsid w:val="006B7101"/>
    <w:rsid w:val="006E0BF5"/>
    <w:rsid w:val="006E15C4"/>
    <w:rsid w:val="006E6CAD"/>
    <w:rsid w:val="00720B1A"/>
    <w:rsid w:val="0073690F"/>
    <w:rsid w:val="007552D1"/>
    <w:rsid w:val="00756CB9"/>
    <w:rsid w:val="00772083"/>
    <w:rsid w:val="0077607F"/>
    <w:rsid w:val="00784240"/>
    <w:rsid w:val="00796A05"/>
    <w:rsid w:val="007C0733"/>
    <w:rsid w:val="007C0BE3"/>
    <w:rsid w:val="007C53DC"/>
    <w:rsid w:val="00800F1D"/>
    <w:rsid w:val="00820803"/>
    <w:rsid w:val="00833F27"/>
    <w:rsid w:val="008372CD"/>
    <w:rsid w:val="00847FE7"/>
    <w:rsid w:val="00853E4B"/>
    <w:rsid w:val="00854D83"/>
    <w:rsid w:val="00862890"/>
    <w:rsid w:val="00863ED3"/>
    <w:rsid w:val="00870B06"/>
    <w:rsid w:val="00876BAE"/>
    <w:rsid w:val="00877A5F"/>
    <w:rsid w:val="008861AE"/>
    <w:rsid w:val="00895945"/>
    <w:rsid w:val="00895C07"/>
    <w:rsid w:val="008B4D29"/>
    <w:rsid w:val="008D278E"/>
    <w:rsid w:val="008E2AF6"/>
    <w:rsid w:val="008F2108"/>
    <w:rsid w:val="008F21C7"/>
    <w:rsid w:val="008F422B"/>
    <w:rsid w:val="00905EAC"/>
    <w:rsid w:val="0091087A"/>
    <w:rsid w:val="00923210"/>
    <w:rsid w:val="00950792"/>
    <w:rsid w:val="00962152"/>
    <w:rsid w:val="00962FCB"/>
    <w:rsid w:val="00980F5C"/>
    <w:rsid w:val="009854DA"/>
    <w:rsid w:val="009C794D"/>
    <w:rsid w:val="009D08D7"/>
    <w:rsid w:val="009F5C60"/>
    <w:rsid w:val="00A0278F"/>
    <w:rsid w:val="00A327AF"/>
    <w:rsid w:val="00A63387"/>
    <w:rsid w:val="00A72AC9"/>
    <w:rsid w:val="00A8454E"/>
    <w:rsid w:val="00A95CB1"/>
    <w:rsid w:val="00A96D33"/>
    <w:rsid w:val="00AA77A0"/>
    <w:rsid w:val="00AB639B"/>
    <w:rsid w:val="00AC4D28"/>
    <w:rsid w:val="00AD7111"/>
    <w:rsid w:val="00AF7056"/>
    <w:rsid w:val="00B0041B"/>
    <w:rsid w:val="00B07D45"/>
    <w:rsid w:val="00B104E4"/>
    <w:rsid w:val="00B21617"/>
    <w:rsid w:val="00B221F2"/>
    <w:rsid w:val="00B33A2A"/>
    <w:rsid w:val="00B37D48"/>
    <w:rsid w:val="00B41F93"/>
    <w:rsid w:val="00B622DA"/>
    <w:rsid w:val="00B62E37"/>
    <w:rsid w:val="00B63AAC"/>
    <w:rsid w:val="00B70D7E"/>
    <w:rsid w:val="00B85C78"/>
    <w:rsid w:val="00B943FC"/>
    <w:rsid w:val="00BA490A"/>
    <w:rsid w:val="00BA5590"/>
    <w:rsid w:val="00BB01F2"/>
    <w:rsid w:val="00BB6574"/>
    <w:rsid w:val="00BD7871"/>
    <w:rsid w:val="00BF016E"/>
    <w:rsid w:val="00C17629"/>
    <w:rsid w:val="00C308FD"/>
    <w:rsid w:val="00C4133C"/>
    <w:rsid w:val="00C4354F"/>
    <w:rsid w:val="00C50BDC"/>
    <w:rsid w:val="00C54125"/>
    <w:rsid w:val="00C64253"/>
    <w:rsid w:val="00C70D21"/>
    <w:rsid w:val="00C94384"/>
    <w:rsid w:val="00CA2ECD"/>
    <w:rsid w:val="00CB005C"/>
    <w:rsid w:val="00CC4B8D"/>
    <w:rsid w:val="00CD0922"/>
    <w:rsid w:val="00CF1DF3"/>
    <w:rsid w:val="00D07B58"/>
    <w:rsid w:val="00D07BB3"/>
    <w:rsid w:val="00D07EBC"/>
    <w:rsid w:val="00D12AF4"/>
    <w:rsid w:val="00D2331E"/>
    <w:rsid w:val="00D23DAB"/>
    <w:rsid w:val="00D41FB9"/>
    <w:rsid w:val="00D6713F"/>
    <w:rsid w:val="00D672EE"/>
    <w:rsid w:val="00D7387D"/>
    <w:rsid w:val="00DB0DD3"/>
    <w:rsid w:val="00DD1E4D"/>
    <w:rsid w:val="00DF1F1A"/>
    <w:rsid w:val="00DF3959"/>
    <w:rsid w:val="00DF3FB1"/>
    <w:rsid w:val="00E03A99"/>
    <w:rsid w:val="00E266D0"/>
    <w:rsid w:val="00E32867"/>
    <w:rsid w:val="00E33C25"/>
    <w:rsid w:val="00E52113"/>
    <w:rsid w:val="00E6064C"/>
    <w:rsid w:val="00E828C2"/>
    <w:rsid w:val="00E84DF7"/>
    <w:rsid w:val="00EB30DE"/>
    <w:rsid w:val="00EC2ED5"/>
    <w:rsid w:val="00EC418C"/>
    <w:rsid w:val="00EE5712"/>
    <w:rsid w:val="00EF068E"/>
    <w:rsid w:val="00EF1C5B"/>
    <w:rsid w:val="00F041DB"/>
    <w:rsid w:val="00F058CC"/>
    <w:rsid w:val="00F13F8C"/>
    <w:rsid w:val="00F14B46"/>
    <w:rsid w:val="00F201BA"/>
    <w:rsid w:val="00F24215"/>
    <w:rsid w:val="00F4267E"/>
    <w:rsid w:val="00F433EA"/>
    <w:rsid w:val="00F45304"/>
    <w:rsid w:val="00F459CA"/>
    <w:rsid w:val="00F5639F"/>
    <w:rsid w:val="00F60DBD"/>
    <w:rsid w:val="00F61DEF"/>
    <w:rsid w:val="00F62CC6"/>
    <w:rsid w:val="00F72DE5"/>
    <w:rsid w:val="00F741F0"/>
    <w:rsid w:val="00F750AB"/>
    <w:rsid w:val="00F86464"/>
    <w:rsid w:val="00F87255"/>
    <w:rsid w:val="00F96BFA"/>
    <w:rsid w:val="00FA4C9E"/>
    <w:rsid w:val="00FA5445"/>
    <w:rsid w:val="00FA6E4B"/>
    <w:rsid w:val="00FC374E"/>
    <w:rsid w:val="00FE5DF2"/>
    <w:rsid w:val="00FF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E6983"/>
  <w15:chartTrackingRefBased/>
  <w15:docId w15:val="{F43F34C7-C0AE-46BB-A9F3-F0112B736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el-GR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75A0F"/>
    <w:pPr>
      <w:spacing w:after="200" w:line="276" w:lineRule="auto"/>
    </w:pPr>
    <w:rPr>
      <w:sz w:val="22"/>
      <w:szCs w:val="22"/>
      <w:lang w:eastAsia="en-US" w:bidi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4423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A6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67B2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l"/>
    <w:uiPriority w:val="99"/>
    <w:rsid w:val="001C5D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character" w:customStyle="1" w:styleId="FontStyle15">
    <w:name w:val="Font Style15"/>
    <w:uiPriority w:val="99"/>
    <w:rsid w:val="001C5D99"/>
    <w:rPr>
      <w:rFonts w:ascii="Arial" w:hAnsi="Arial" w:cs="Arial"/>
      <w:b/>
      <w:bCs/>
      <w:sz w:val="22"/>
      <w:szCs w:val="22"/>
    </w:rPr>
  </w:style>
  <w:style w:type="character" w:styleId="Hiperhivatkozs">
    <w:name w:val="Hyperlink"/>
    <w:uiPriority w:val="99"/>
    <w:unhideWhenUsed/>
    <w:rsid w:val="004E15C9"/>
    <w:rPr>
      <w:color w:val="0000FF"/>
      <w:u w:val="single"/>
    </w:rPr>
  </w:style>
  <w:style w:type="character" w:styleId="Jegyzethivatkozs">
    <w:name w:val="annotation reference"/>
    <w:semiHidden/>
    <w:unhideWhenUsed/>
    <w:rsid w:val="00BB6574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BB657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BB657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657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BB6574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BB6574"/>
    <w:rPr>
      <w:sz w:val="22"/>
      <w:szCs w:val="22"/>
      <w:lang w:eastAsia="en-US" w:bidi="ar-SA"/>
    </w:rPr>
  </w:style>
  <w:style w:type="character" w:styleId="Sorszma">
    <w:name w:val="line number"/>
    <w:basedOn w:val="Bekezdsalapbettpusa"/>
    <w:uiPriority w:val="99"/>
    <w:semiHidden/>
    <w:unhideWhenUsed/>
    <w:rsid w:val="00516889"/>
  </w:style>
  <w:style w:type="paragraph" w:customStyle="1" w:styleId="Default">
    <w:name w:val="Default"/>
    <w:rsid w:val="003D51E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 w:bidi="ar-SA"/>
    </w:rPr>
  </w:style>
  <w:style w:type="table" w:styleId="Rcsostblzat">
    <w:name w:val="Table Grid"/>
    <w:basedOn w:val="Normltblzat"/>
    <w:uiPriority w:val="59"/>
    <w:rsid w:val="00F72D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Σώμα κειμένου (2)_"/>
    <w:link w:val="20"/>
    <w:rsid w:val="00332E7A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l"/>
    <w:link w:val="2"/>
    <w:rsid w:val="00332E7A"/>
    <w:pPr>
      <w:widowControl w:val="0"/>
      <w:shd w:val="clear" w:color="auto" w:fill="FFFFFF"/>
      <w:spacing w:after="0" w:line="504" w:lineRule="exact"/>
      <w:ind w:hanging="600"/>
      <w:jc w:val="center"/>
    </w:pPr>
    <w:rPr>
      <w:rFonts w:ascii="Times New Roman" w:eastAsia="Times New Roman" w:hAnsi="Times New Roman"/>
      <w:lang w:eastAsia="el-GR" w:bidi="he-IL"/>
    </w:rPr>
  </w:style>
  <w:style w:type="paragraph" w:styleId="lfej">
    <w:name w:val="header"/>
    <w:basedOn w:val="Norml"/>
    <w:link w:val="lfejChar"/>
    <w:uiPriority w:val="99"/>
    <w:unhideWhenUsed/>
    <w:rsid w:val="005F2D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F2D90"/>
    <w:rPr>
      <w:sz w:val="22"/>
      <w:szCs w:val="22"/>
      <w:lang w:eastAsia="en-US" w:bidi="ar-SA"/>
    </w:rPr>
  </w:style>
  <w:style w:type="paragraph" w:styleId="llb">
    <w:name w:val="footer"/>
    <w:basedOn w:val="Norml"/>
    <w:link w:val="llbChar"/>
    <w:uiPriority w:val="99"/>
    <w:unhideWhenUsed/>
    <w:rsid w:val="005F2D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F2D90"/>
    <w:rPr>
      <w:sz w:val="22"/>
      <w:szCs w:val="22"/>
      <w:lang w:eastAsia="en-US" w:bidi="ar-SA"/>
    </w:rPr>
  </w:style>
  <w:style w:type="character" w:styleId="Feloldatlanmegemlts">
    <w:name w:val="Unresolved Mention"/>
    <w:basedOn w:val="Bekezdsalapbettpusa"/>
    <w:uiPriority w:val="99"/>
    <w:semiHidden/>
    <w:unhideWhenUsed/>
    <w:rsid w:val="00796A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1DB14-6860-44E6-B357-49C70F257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2392</Words>
  <Characters>16512</Characters>
  <Application>Microsoft Office Word</Application>
  <DocSecurity>0</DocSecurity>
  <Lines>137</Lines>
  <Paragraphs>37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18867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Athina Vourtsi</dc:creator>
  <cp:keywords/>
  <cp:lastModifiedBy>HU_NNGYK_56.1</cp:lastModifiedBy>
  <cp:revision>25</cp:revision>
  <cp:lastPrinted>2015-05-21T10:56:00Z</cp:lastPrinted>
  <dcterms:created xsi:type="dcterms:W3CDTF">2026-01-13T10:54:00Z</dcterms:created>
  <dcterms:modified xsi:type="dcterms:W3CDTF">2026-02-09T10:04:00Z</dcterms:modified>
</cp:coreProperties>
</file>