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58F9B" w14:textId="77777777" w:rsidR="002370D9" w:rsidRPr="00D458E6" w:rsidRDefault="002370D9" w:rsidP="002370D9">
      <w:pPr>
        <w:spacing w:line="240" w:lineRule="auto"/>
        <w:jc w:val="center"/>
        <w:rPr>
          <w:b/>
          <w:noProof/>
          <w:szCs w:val="22"/>
        </w:rPr>
      </w:pPr>
      <w:r w:rsidRPr="00071EBC">
        <w:rPr>
          <w:b/>
          <w:bCs/>
          <w:lang w:val="hu-HU"/>
        </w:rPr>
        <w:t>Betegtájékoztató</w:t>
      </w:r>
      <w:r>
        <w:rPr>
          <w:b/>
          <w:bCs/>
          <w:lang w:val="hu-HU"/>
        </w:rPr>
        <w:t>:</w:t>
      </w:r>
      <w:r>
        <w:rPr>
          <w:b/>
          <w:bCs/>
          <w:noProof/>
          <w:szCs w:val="22"/>
          <w:lang w:val="hu"/>
        </w:rPr>
        <w:t xml:space="preserve"> Információk a beteg számára</w:t>
      </w:r>
    </w:p>
    <w:p w14:paraId="331307E6" w14:textId="77777777" w:rsidR="002370D9" w:rsidRDefault="002370D9" w:rsidP="002370D9">
      <w:pPr>
        <w:spacing w:line="240" w:lineRule="auto"/>
        <w:jc w:val="center"/>
        <w:rPr>
          <w:b/>
          <w:noProof/>
          <w:szCs w:val="22"/>
        </w:rPr>
      </w:pPr>
    </w:p>
    <w:p w14:paraId="7C22CD2E" w14:textId="77777777" w:rsidR="002370D9" w:rsidRPr="00D458E6" w:rsidRDefault="002370D9" w:rsidP="002370D9">
      <w:pPr>
        <w:spacing w:line="240" w:lineRule="auto"/>
        <w:jc w:val="center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Lunidoc 150 mg lágy kapszula</w:t>
      </w:r>
    </w:p>
    <w:p w14:paraId="5E265A9D" w14:textId="77777777" w:rsidR="002370D9" w:rsidRDefault="002370D9" w:rsidP="002370D9">
      <w:pPr>
        <w:spacing w:line="240" w:lineRule="auto"/>
        <w:jc w:val="center"/>
        <w:rPr>
          <w:noProof/>
          <w:szCs w:val="22"/>
        </w:rPr>
      </w:pPr>
      <w:r>
        <w:rPr>
          <w:noProof/>
          <w:szCs w:val="22"/>
          <w:lang w:val="hu"/>
        </w:rPr>
        <w:t>nintedanib</w:t>
      </w:r>
    </w:p>
    <w:p w14:paraId="006F3173" w14:textId="77777777" w:rsidR="002370D9" w:rsidRDefault="002370D9" w:rsidP="002370D9">
      <w:pPr>
        <w:spacing w:line="240" w:lineRule="auto"/>
        <w:rPr>
          <w:noProof/>
          <w:szCs w:val="22"/>
        </w:rPr>
      </w:pPr>
    </w:p>
    <w:p w14:paraId="44C8B848" w14:textId="77777777" w:rsidR="002370D9" w:rsidRPr="00B3208E" w:rsidRDefault="002370D9" w:rsidP="002370D9">
      <w:pPr>
        <w:keepNext/>
        <w:tabs>
          <w:tab w:val="clear" w:pos="567"/>
        </w:tabs>
        <w:suppressAutoHyphens/>
        <w:spacing w:line="240" w:lineRule="auto"/>
        <w:rPr>
          <w:noProof/>
        </w:rPr>
      </w:pPr>
      <w:r>
        <w:rPr>
          <w:b/>
          <w:bCs/>
          <w:noProof/>
          <w:lang w:val="hu"/>
        </w:rPr>
        <w:t>Mielőtt elkezdi szedni ezt a gyógyszert, olvassa el figyelmesen az alábbi betegtájékoztatót, mert az Ön számára fontos információkat tartalmaz.</w:t>
      </w:r>
    </w:p>
    <w:p w14:paraId="63528224" w14:textId="77777777" w:rsidR="002370D9" w:rsidRDefault="002370D9" w:rsidP="002370D9">
      <w:p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Tartsa meg a betegtájékoztatót, mert a benne szereplő információkra a későbbiekben is szüksége lehet.</w:t>
      </w:r>
    </w:p>
    <w:p w14:paraId="6F57782A" w14:textId="77777777" w:rsidR="002370D9" w:rsidRPr="005131CF" w:rsidRDefault="002370D9" w:rsidP="002370D9">
      <w:p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További kérdéseivel forduljon kezelőorvosához vagy gyógyszerészéhez.</w:t>
      </w:r>
    </w:p>
    <w:p w14:paraId="09A9E257" w14:textId="77777777" w:rsidR="002370D9" w:rsidRPr="005131CF" w:rsidRDefault="002370D9" w:rsidP="002370D9">
      <w:pPr>
        <w:spacing w:line="240" w:lineRule="auto"/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555CD97A" w14:textId="77777777" w:rsidR="002370D9" w:rsidRPr="005131CF" w:rsidRDefault="002370D9" w:rsidP="002370D9">
      <w:pPr>
        <w:spacing w:line="240" w:lineRule="auto"/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Önnél bármilyen mellékhatás jelentkezik, tájékoztassa kezelőorvosát vagy gyógyszerészét. Ez a betegtájékoztatóban fel nem sorolt bármilyen lehetséges mellékhatásra is vonatkozik. Lásd 4. pont.</w:t>
      </w:r>
    </w:p>
    <w:p w14:paraId="66100E29" w14:textId="77777777" w:rsidR="002370D9" w:rsidRPr="005131CF" w:rsidRDefault="002370D9" w:rsidP="002370D9">
      <w:pPr>
        <w:spacing w:line="240" w:lineRule="auto"/>
        <w:rPr>
          <w:noProof/>
          <w:lang w:val="hu"/>
        </w:rPr>
      </w:pPr>
    </w:p>
    <w:p w14:paraId="10FC29DE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A betegtájékoztató tartalma:</w:t>
      </w:r>
    </w:p>
    <w:p w14:paraId="34DEDD80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lang w:val="hu"/>
        </w:rPr>
      </w:pPr>
    </w:p>
    <w:p w14:paraId="64E445A6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lang w:val="hu"/>
        </w:rPr>
      </w:pPr>
      <w:r>
        <w:rPr>
          <w:noProof/>
          <w:lang w:val="hu"/>
        </w:rPr>
        <w:t>1.</w:t>
      </w:r>
      <w:r>
        <w:rPr>
          <w:noProof/>
          <w:lang w:val="hu"/>
        </w:rPr>
        <w:tab/>
        <w:t>Milyen típusú gyógyszer a Lunidoc és milyen betegségek esetén alkalmazható?</w:t>
      </w:r>
    </w:p>
    <w:p w14:paraId="2450DC74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2.</w:t>
      </w:r>
      <w:r>
        <w:rPr>
          <w:noProof/>
          <w:lang w:val="hu"/>
        </w:rPr>
        <w:tab/>
        <w:t>Tudnivalók a Lunidoc szedése előtt</w:t>
      </w:r>
    </w:p>
    <w:p w14:paraId="4D261E3D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3.</w:t>
      </w:r>
      <w:r>
        <w:rPr>
          <w:noProof/>
          <w:lang w:val="hu"/>
        </w:rPr>
        <w:tab/>
        <w:t>Hogyan kell szedni a Lunidoc-ot?</w:t>
      </w:r>
    </w:p>
    <w:p w14:paraId="4A62EAAB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4.</w:t>
      </w:r>
      <w:r>
        <w:rPr>
          <w:noProof/>
          <w:lang w:val="hu"/>
        </w:rPr>
        <w:tab/>
        <w:t>Lehetséges mellékhatások</w:t>
      </w:r>
    </w:p>
    <w:p w14:paraId="4FD17A29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5.</w:t>
      </w:r>
      <w:r>
        <w:rPr>
          <w:noProof/>
          <w:lang w:val="hu"/>
        </w:rPr>
        <w:tab/>
        <w:t>Hogyan kell a Lunidoc-ot tárolni?</w:t>
      </w:r>
    </w:p>
    <w:p w14:paraId="32486125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6.</w:t>
      </w:r>
      <w:r>
        <w:rPr>
          <w:noProof/>
          <w:lang w:val="hu"/>
        </w:rPr>
        <w:tab/>
        <w:t>A csomagolás tartalma és egyéb információk</w:t>
      </w:r>
    </w:p>
    <w:p w14:paraId="1DC391A6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72B75289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7DE64BAD" w14:textId="77777777" w:rsidR="002370D9" w:rsidRPr="004D47E9" w:rsidRDefault="002370D9" w:rsidP="002370D9">
      <w:pPr>
        <w:keepNext/>
        <w:keepLines/>
        <w:spacing w:line="240" w:lineRule="auto"/>
        <w:rPr>
          <w:b/>
          <w:noProof/>
          <w:szCs w:val="22"/>
          <w:lang w:val="es-ES"/>
        </w:rPr>
      </w:pPr>
      <w:r>
        <w:rPr>
          <w:b/>
          <w:bCs/>
          <w:noProof/>
          <w:szCs w:val="22"/>
          <w:lang w:val="hu"/>
        </w:rPr>
        <w:t>1.</w:t>
      </w:r>
      <w:r>
        <w:rPr>
          <w:b/>
          <w:bCs/>
          <w:noProof/>
          <w:szCs w:val="22"/>
          <w:lang w:val="hu"/>
        </w:rPr>
        <w:tab/>
        <w:t>Milyen típusú gyógyszer a Lunidoc és milyen betegségek esetén alkalmazható?</w:t>
      </w:r>
    </w:p>
    <w:p w14:paraId="06F21A12" w14:textId="77777777" w:rsidR="002370D9" w:rsidRPr="004D47E9" w:rsidRDefault="002370D9" w:rsidP="002370D9">
      <w:pPr>
        <w:keepNext/>
        <w:keepLines/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10DEDF83" w14:textId="4F9DEB1E" w:rsidR="002370D9" w:rsidRPr="004D47E9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 xml:space="preserve">A Lunidoc az úgynevezett tirozinkináz-gátlók csoportjába tartozó nintedanib nevű hatóanyagot </w:t>
      </w:r>
      <w:proofErr w:type="gramStart"/>
      <w:r>
        <w:rPr>
          <w:noProof/>
          <w:szCs w:val="22"/>
          <w:lang w:val="hu"/>
        </w:rPr>
        <w:t xml:space="preserve">tartalmazza, </w:t>
      </w:r>
      <w:r w:rsidR="00B37638" w:rsidRPr="004D47E9">
        <w:rPr>
          <w:rFonts w:eastAsiaTheme="minorHAnsi"/>
          <w:color w:val="000000"/>
          <w:szCs w:val="22"/>
          <w:lang w:val="es-ES"/>
        </w:rPr>
        <w:t xml:space="preserve"> </w:t>
      </w:r>
      <w:r w:rsidR="00B37638" w:rsidRPr="004D47E9">
        <w:rPr>
          <w:noProof/>
          <w:szCs w:val="22"/>
          <w:lang w:val="es-ES"/>
        </w:rPr>
        <w:t>amit</w:t>
      </w:r>
      <w:proofErr w:type="gramEnd"/>
      <w:r w:rsidR="00B37638" w:rsidRPr="004D47E9">
        <w:rPr>
          <w:noProof/>
          <w:szCs w:val="22"/>
          <w:lang w:val="es-ES"/>
        </w:rPr>
        <w:t xml:space="preserve"> a következő betegségek kezelésére alkalmaznak:</w:t>
      </w:r>
    </w:p>
    <w:p w14:paraId="51315631" w14:textId="77777777" w:rsidR="002370D9" w:rsidRPr="004D47E9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es-ES"/>
        </w:rPr>
      </w:pPr>
    </w:p>
    <w:p w14:paraId="6CC47914" w14:textId="0625C656" w:rsidR="002370D9" w:rsidRPr="004D47E9" w:rsidRDefault="002370D9" w:rsidP="002370D9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es-ES"/>
        </w:rPr>
      </w:pPr>
      <w:r>
        <w:rPr>
          <w:noProof/>
          <w:szCs w:val="22"/>
          <w:u w:val="single"/>
          <w:lang w:val="hu"/>
        </w:rPr>
        <w:t>Idiopátiás tüdőfibrózis (IPF)</w:t>
      </w:r>
      <w:r w:rsidR="00635187">
        <w:rPr>
          <w:noProof/>
          <w:szCs w:val="22"/>
          <w:u w:val="single"/>
          <w:lang w:val="hu"/>
        </w:rPr>
        <w:t xml:space="preserve"> felnőtteknél</w:t>
      </w:r>
    </w:p>
    <w:p w14:paraId="4865E7F4" w14:textId="796DCEC2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Az IPF </w:t>
      </w:r>
      <w:r w:rsidR="009F671D">
        <w:rPr>
          <w:noProof/>
          <w:szCs w:val="22"/>
          <w:lang w:val="hu"/>
        </w:rPr>
        <w:t xml:space="preserve">egy </w:t>
      </w:r>
      <w:r>
        <w:rPr>
          <w:noProof/>
          <w:szCs w:val="22"/>
          <w:lang w:val="hu"/>
        </w:rPr>
        <w:t>olyan betegség, amelyben a tüdőszövet megvastagszik, merevvé válik, és idővel hegesedik. Ennek következtében a hegesedés csökkenti a tüdőből a véráramba történő oxigénszállítási képességet, és a beteg nehezen tud mély levegőt venni. Ez a gyógyszer segíti mérsékelni a tüdő további hegesedését és merevvé válását.</w:t>
      </w:r>
    </w:p>
    <w:p w14:paraId="088066DE" w14:textId="77777777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40F7035A" w14:textId="784747C4" w:rsidR="002370D9" w:rsidRPr="005131CF" w:rsidRDefault="002370D9" w:rsidP="002370D9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Egyéb, progresszív fenotípusú, krónikus, fibrotikus intersticiális tüdőbetegségek (ILD-k)</w:t>
      </w:r>
      <w:r w:rsidR="00EB3177">
        <w:rPr>
          <w:noProof/>
          <w:szCs w:val="22"/>
          <w:u w:val="single"/>
          <w:lang w:val="hu"/>
        </w:rPr>
        <w:t xml:space="preserve"> felnőtteknél</w:t>
      </w:r>
    </w:p>
    <w:p w14:paraId="5F487015" w14:textId="77777777" w:rsidR="002370D9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Az IPF mellett más olyan betegségek is léteznek, amelyekben a tüdőszövet megvastagszik, merevvé válik, és idővel hegesedik (tüdőfibrózis), és a betegség állapota egyre csak romlik (progresszív fenotípus). Ilyen betegség például a túlérzékenységi pneumonitisz, autoimmun ILD (például a reumatoid artritisszel összefüggésben fellépő ILD), idiopátiás nemspecifikus szövetközi tüdőgyulladás (intersticiális pneumónia), nem besorolható idiopátiás intersticiális pneumónia és egyéb ILD. Ez a gyógyszer segíti mérsékelni a tüdő további hegesedését és merevvé válását.</w:t>
      </w:r>
    </w:p>
    <w:p w14:paraId="09E528CE" w14:textId="77777777" w:rsidR="00DD148D" w:rsidRDefault="00DD148D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65F355BE" w14:textId="7851AF7E" w:rsidR="0071050B" w:rsidRPr="004D47E9" w:rsidRDefault="00DD148D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u w:val="single"/>
          <w:lang w:val="hu"/>
        </w:rPr>
      </w:pPr>
      <w:r w:rsidRPr="004D47E9">
        <w:rPr>
          <w:noProof/>
          <w:szCs w:val="22"/>
          <w:u w:val="single"/>
          <w:lang w:val="hu"/>
        </w:rPr>
        <w:t>Klinikailag jelentős, progresszív, fibrotizáló intersticiális tüdőbetegség 6. és betöltött 18. életév közötti gyermekeknél és serdülőknél</w:t>
      </w:r>
    </w:p>
    <w:p w14:paraId="593E71A7" w14:textId="1F013EB6" w:rsidR="00DD148D" w:rsidRPr="00DD148D" w:rsidRDefault="00DD148D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 w:rsidRPr="004D47E9">
        <w:rPr>
          <w:noProof/>
          <w:szCs w:val="22"/>
          <w:lang w:val="hu"/>
        </w:rPr>
        <w:t xml:space="preserve">Tüdőfibrózis alakulhat ki gyermekkori intersticiális tüdőbetegséggel (chILD) élő betegeknél. Ilyenkor az érintett gyermekek és serdülők tüdőszövete megvastagszik, merevvé válik, és idővel hegesedik. </w:t>
      </w:r>
      <w:r w:rsidR="00F85BEB" w:rsidRPr="007F2FCD">
        <w:rPr>
          <w:noProof/>
          <w:szCs w:val="22"/>
          <w:lang w:val="hu"/>
        </w:rPr>
        <w:t xml:space="preserve">A </w:t>
      </w:r>
      <w:r w:rsidR="007B19AF" w:rsidRPr="007F2FCD">
        <w:rPr>
          <w:noProof/>
          <w:szCs w:val="22"/>
          <w:lang w:val="hu"/>
        </w:rPr>
        <w:t>Lunidoc</w:t>
      </w:r>
      <w:r w:rsidR="00F85BEB" w:rsidRPr="007F2FCD">
        <w:rPr>
          <w:noProof/>
          <w:szCs w:val="22"/>
          <w:lang w:val="hu"/>
        </w:rPr>
        <w:t xml:space="preserve"> </w:t>
      </w:r>
      <w:r w:rsidRPr="004D47E9">
        <w:rPr>
          <w:noProof/>
          <w:szCs w:val="22"/>
          <w:lang w:val="hu"/>
        </w:rPr>
        <w:t>segít mérsékelni a tüdő további hegesedését és merevvé válását.</w:t>
      </w:r>
    </w:p>
    <w:p w14:paraId="7900AE0B" w14:textId="77777777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2A21C2B9" w14:textId="7D91D23C" w:rsidR="002370D9" w:rsidRPr="00F85BEB" w:rsidRDefault="002370D9" w:rsidP="002370D9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Szisztémás szklerózissal társuló intersticiális tüdőbetegség (SSc</w:t>
      </w:r>
      <w:r>
        <w:rPr>
          <w:noProof/>
          <w:szCs w:val="22"/>
          <w:u w:val="single"/>
          <w:lang w:val="hu"/>
        </w:rPr>
        <w:noBreakHyphen/>
        <w:t>ILD)</w:t>
      </w:r>
      <w:r w:rsidR="00F85BEB">
        <w:rPr>
          <w:noProof/>
          <w:szCs w:val="22"/>
          <w:u w:val="single"/>
          <w:lang w:val="hu"/>
        </w:rPr>
        <w:t xml:space="preserve"> felnőtteknél,</w:t>
      </w:r>
      <w:r w:rsidR="00F85BEB" w:rsidRPr="004D47E9">
        <w:rPr>
          <w:rFonts w:eastAsiaTheme="minorHAnsi"/>
          <w:color w:val="000000"/>
          <w:szCs w:val="22"/>
          <w:lang w:val="hu"/>
        </w:rPr>
        <w:t xml:space="preserve"> </w:t>
      </w:r>
      <w:r w:rsidR="00F85BEB" w:rsidRPr="004D47E9">
        <w:rPr>
          <w:noProof/>
          <w:szCs w:val="22"/>
          <w:u w:val="single"/>
          <w:lang w:val="hu"/>
        </w:rPr>
        <w:t>illetve 6 éves és annál idősebb gyermekeknél és serdülőknél</w:t>
      </w:r>
    </w:p>
    <w:p w14:paraId="6C380E3E" w14:textId="2E073048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 szisztémás szklerózis (SSc) vagy szkleroderma </w:t>
      </w:r>
      <w:r w:rsidR="009F671D">
        <w:rPr>
          <w:noProof/>
          <w:szCs w:val="22"/>
          <w:lang w:val="hu"/>
        </w:rPr>
        <w:t xml:space="preserve">egy </w:t>
      </w:r>
      <w:r>
        <w:rPr>
          <w:noProof/>
          <w:szCs w:val="22"/>
          <w:lang w:val="hu"/>
        </w:rPr>
        <w:t>olyan ritka, krónikus autoimmun betegség, amely testszerte érinti a kötőszövetes állományt. Az SSc a bőr és egyéb belső szervek, például a tüdő fibrózisát (hegesedés</w:t>
      </w:r>
      <w:r w:rsidR="009F671D">
        <w:rPr>
          <w:noProof/>
          <w:szCs w:val="22"/>
          <w:lang w:val="hu"/>
        </w:rPr>
        <w:t>ét</w:t>
      </w:r>
      <w:r>
        <w:rPr>
          <w:noProof/>
          <w:szCs w:val="22"/>
          <w:lang w:val="hu"/>
        </w:rPr>
        <w:t xml:space="preserve"> és a szövet megkeményedés</w:t>
      </w:r>
      <w:r w:rsidR="009F671D">
        <w:rPr>
          <w:noProof/>
          <w:szCs w:val="22"/>
          <w:lang w:val="hu"/>
        </w:rPr>
        <w:t>ét</w:t>
      </w:r>
      <w:r>
        <w:rPr>
          <w:noProof/>
          <w:szCs w:val="22"/>
          <w:lang w:val="hu"/>
        </w:rPr>
        <w:t xml:space="preserve">) okozza. Ha a fibrózis érinti a tüdőt, akkor az állapotot intersticiális tüdőbetegségnek (ILD) nevezik, így a betegség neve SSc-ILD. A tüdő fibrózisa </w:t>
      </w:r>
      <w:r>
        <w:rPr>
          <w:noProof/>
          <w:szCs w:val="22"/>
          <w:lang w:val="hu"/>
        </w:rPr>
        <w:lastRenderedPageBreak/>
        <w:t>rontja az oxigén vérbe történő szállításának hatékonyságát, és csökken a légzési kapacitás. Ez a gyógyszer segíti mérsékelni a tüdő további hegesedését és merevvé válását.</w:t>
      </w:r>
    </w:p>
    <w:p w14:paraId="3D8754F6" w14:textId="77777777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BD345B3" w14:textId="77777777" w:rsidR="002370D9" w:rsidRPr="005131CF" w:rsidRDefault="002370D9" w:rsidP="002370D9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43259FD2" w14:textId="77777777" w:rsidR="002370D9" w:rsidRPr="004D47E9" w:rsidRDefault="002370D9" w:rsidP="002370D9">
      <w:pPr>
        <w:keepNext/>
        <w:spacing w:line="240" w:lineRule="auto"/>
        <w:ind w:right="-2"/>
        <w:rPr>
          <w:b/>
          <w:noProof/>
          <w:szCs w:val="22"/>
          <w:lang w:val="es-ES"/>
        </w:rPr>
      </w:pPr>
      <w:r>
        <w:rPr>
          <w:b/>
          <w:bCs/>
          <w:noProof/>
          <w:lang w:val="hu"/>
        </w:rPr>
        <w:t>2.</w:t>
      </w:r>
      <w:r>
        <w:rPr>
          <w:b/>
          <w:bCs/>
          <w:noProof/>
          <w:lang w:val="hu"/>
        </w:rPr>
        <w:tab/>
        <w:t>Tudnivalók a Lunidoc szedése előtt</w:t>
      </w:r>
    </w:p>
    <w:p w14:paraId="1571132F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noProof/>
          <w:szCs w:val="22"/>
          <w:lang w:val="es-ES"/>
        </w:rPr>
      </w:pPr>
    </w:p>
    <w:p w14:paraId="2DF9A806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es-ES"/>
        </w:rPr>
      </w:pPr>
      <w:r>
        <w:rPr>
          <w:b/>
          <w:bCs/>
          <w:noProof/>
          <w:szCs w:val="22"/>
          <w:lang w:val="hu"/>
        </w:rPr>
        <w:t>Ne szedje a Lunidoc-ot</w:t>
      </w:r>
    </w:p>
    <w:p w14:paraId="5DAFBFA0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 allergiás a nintedanibra vagy a gyógyszer (6. pontban felsorolt) egyéb összetevőjére,</w:t>
      </w:r>
    </w:p>
    <w:p w14:paraId="3A5747F9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 Ön terhes.</w:t>
      </w:r>
    </w:p>
    <w:p w14:paraId="4170F60C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259BF4FD" w14:textId="77777777" w:rsidR="002370D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noProof/>
          <w:lang w:val="hu"/>
        </w:rPr>
      </w:pPr>
      <w:r>
        <w:rPr>
          <w:b/>
          <w:bCs/>
          <w:noProof/>
          <w:lang w:val="hu"/>
        </w:rPr>
        <w:t>Figyelmeztetések és óvintézkedések</w:t>
      </w:r>
    </w:p>
    <w:p w14:paraId="6B126473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>A Lunidoc szedése előtt beszéljen kezelőorvosával vagy gyógyszerészével,</w:t>
      </w:r>
    </w:p>
    <w:p w14:paraId="3BA4881D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májproblémái vannak vagy voltak korábban,</w:t>
      </w:r>
    </w:p>
    <w:p w14:paraId="32068F96" w14:textId="24472F52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veseproblémái vannak vagy voltak korábban, vagy vizeletében </w:t>
      </w:r>
      <w:r w:rsidR="009F671D">
        <w:rPr>
          <w:noProof/>
          <w:lang w:val="hu"/>
        </w:rPr>
        <w:t>meg</w:t>
      </w:r>
      <w:r>
        <w:rPr>
          <w:noProof/>
          <w:lang w:val="hu"/>
        </w:rPr>
        <w:t>emelkedett mennyiségű fehérjét mutattak ki,</w:t>
      </w:r>
    </w:p>
    <w:p w14:paraId="40BF392C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véralvadási zavarai vannak vagy voltak korábban,</w:t>
      </w:r>
    </w:p>
    <w:p w14:paraId="030111F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véralvadásgátló gyógyszereket (például warfarint, fenprokumont vagy heparint) szed a vérrögképződés megelőzésének céljából,</w:t>
      </w:r>
    </w:p>
    <w:p w14:paraId="5B1C2247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pirfenidont szed, mivel ez növelheti a hasmenés, hányinger, hányás és májproblémák kockázatát,</w:t>
      </w:r>
    </w:p>
    <w:p w14:paraId="615BD1F0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szívproblémái vannak vagy voltak korábban (például szívroham),</w:t>
      </w:r>
    </w:p>
    <w:p w14:paraId="1A91D45C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a közelmúltban műtéten esett át. A nintedanib befolyásolhatja a sebgyógyulást. </w:t>
      </w:r>
      <w:r w:rsidRPr="00D3522D">
        <w:rPr>
          <w:noProof/>
          <w:lang w:val="hu"/>
        </w:rPr>
        <w:t xml:space="preserve">Ezért a </w:t>
      </w:r>
      <w:r w:rsidRPr="00A6226A">
        <w:rPr>
          <w:noProof/>
          <w:lang w:val="hu"/>
        </w:rPr>
        <w:t>Lunidoc-kezelést</w:t>
      </w:r>
      <w:r>
        <w:rPr>
          <w:noProof/>
          <w:lang w:val="hu"/>
        </w:rPr>
        <w:t xml:space="preserve"> műtét esetén általában leállítják egy időre. Kezelőorvosa dönti el, hogy mikor kezdheti újra a gyógyszer szedését.</w:t>
      </w:r>
    </w:p>
    <w:p w14:paraId="678C7DAC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magas a vérnyomása,</w:t>
      </w:r>
    </w:p>
    <w:p w14:paraId="13BE2EC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 vérnyomása kórosan magas a tüdőereiben (pulmonális magas vérnyomás),</w:t>
      </w:r>
    </w:p>
    <w:p w14:paraId="0215C62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aneurizmája (az érfal kiboltosulása és meggyengülése) vagy érfalrepedése van vagy volt.</w:t>
      </w:r>
    </w:p>
    <w:p w14:paraId="185FF760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es-ES"/>
        </w:rPr>
      </w:pPr>
    </w:p>
    <w:p w14:paraId="34A1E79C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>Ezen információk alapján kezelőorvosa vérvizsgálatokat végeztethet, például ellenőrizheti az Ön májműködését. Kezelőorvosa meg fogja beszélni Önnel a vizsgálatok eredményeit, és eldönti, hogy kaphatja-e a Lunidoc-ot.</w:t>
      </w:r>
    </w:p>
    <w:p w14:paraId="423F0BF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07BAB05E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"/>
        </w:rPr>
      </w:pPr>
      <w:r>
        <w:rPr>
          <w:noProof/>
          <w:lang w:val="hu"/>
        </w:rPr>
        <w:t>A gyógyszer szedése során azonnal közölje kezelőorvosával,</w:t>
      </w:r>
    </w:p>
    <w:p w14:paraId="200CAB04" w14:textId="0765D94D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hasmenése jelentkezik. Fontos a hasmenés korai kezelése (lásd 4. </w:t>
      </w:r>
      <w:r w:rsidR="000D6035">
        <w:rPr>
          <w:noProof/>
          <w:lang w:val="hu"/>
        </w:rPr>
        <w:t>p</w:t>
      </w:r>
      <w:r>
        <w:rPr>
          <w:noProof/>
          <w:lang w:val="hu"/>
        </w:rPr>
        <w:t>ont</w:t>
      </w:r>
      <w:r w:rsidR="003D0DD0">
        <w:rPr>
          <w:noProof/>
          <w:lang w:val="hu"/>
        </w:rPr>
        <w:t xml:space="preserve"> </w:t>
      </w:r>
      <w:r w:rsidR="000D6035">
        <w:rPr>
          <w:noProof/>
          <w:lang w:val="hu"/>
        </w:rPr>
        <w:t>„</w:t>
      </w:r>
      <w:r w:rsidR="003D0DD0">
        <w:rPr>
          <w:noProof/>
          <w:lang w:val="hu"/>
        </w:rPr>
        <w:t>Lehetséges mellékhatások</w:t>
      </w:r>
      <w:r w:rsidR="000D6035">
        <w:rPr>
          <w:noProof/>
          <w:lang w:val="hu"/>
        </w:rPr>
        <w:t>”</w:t>
      </w:r>
      <w:r>
        <w:rPr>
          <w:noProof/>
          <w:lang w:val="hu"/>
        </w:rPr>
        <w:t>);</w:t>
      </w:r>
    </w:p>
    <w:p w14:paraId="21097A05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hány, vagy hányingere van;</w:t>
      </w:r>
    </w:p>
    <w:p w14:paraId="039AC2D3" w14:textId="64D4120C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megmagyarázhatatlan tünetek jelentkeznek, például a bőr vagy a szemfehérje sárga elszíneződése (sárgaság), sötétbarna (teaszínű) vizelet, a has jobb felső részének fájdalma, a szokásosnál könnyebben jelentkező vérzés vagy véraláfutás, </w:t>
      </w:r>
      <w:r w:rsidR="009F671D">
        <w:rPr>
          <w:noProof/>
          <w:lang w:val="hu"/>
        </w:rPr>
        <w:t xml:space="preserve">illetve </w:t>
      </w:r>
      <w:r>
        <w:rPr>
          <w:noProof/>
          <w:lang w:val="hu"/>
        </w:rPr>
        <w:t>fáradtság. Ezek súlyos májbetegségek tünetei lehetnek;</w:t>
      </w:r>
    </w:p>
    <w:p w14:paraId="6330C42F" w14:textId="4869FDF0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erős hasi fájdalma van, láz, hidegrázás, hányinger, hányás jelentkezik, megkeményedik a hasfal vagy haspuffadás lép fel, mivel ezek a bélfal átlyukadásának („emésztőrendszeri perforációnak”) a tünetei lehetnek. Azt is mondja el kezelőorvosának, ha korábban peptikus fekélye vagy divertikulózisa (a vastagbél kiöblösödése) volt, illetve ha jelenleg gyulladáscsökkentő gyógyszerekkel (</w:t>
      </w:r>
      <w:r w:rsidR="009F671D">
        <w:rPr>
          <w:noProof/>
          <w:lang w:val="hu"/>
        </w:rPr>
        <w:t xml:space="preserve">NSAID-okkal, azaz </w:t>
      </w:r>
      <w:r>
        <w:rPr>
          <w:noProof/>
          <w:lang w:val="hu"/>
        </w:rPr>
        <w:t>úgynevezett nem szteroid gyulladáscsökkentő</w:t>
      </w:r>
      <w:r w:rsidR="009F671D">
        <w:rPr>
          <w:noProof/>
          <w:lang w:val="hu"/>
        </w:rPr>
        <w:t xml:space="preserve">kkel, amelyek </w:t>
      </w:r>
      <w:r>
        <w:rPr>
          <w:noProof/>
          <w:lang w:val="hu"/>
        </w:rPr>
        <w:t>fájdalomcsillapításra és a duzzanat kezelésére alkalma</w:t>
      </w:r>
      <w:r w:rsidR="009F671D">
        <w:rPr>
          <w:noProof/>
          <w:lang w:val="hu"/>
        </w:rPr>
        <w:t>sak</w:t>
      </w:r>
      <w:r>
        <w:rPr>
          <w:noProof/>
          <w:lang w:val="hu"/>
        </w:rPr>
        <w:t xml:space="preserve"> vagy szteroidokkal</w:t>
      </w:r>
      <w:r w:rsidR="009F671D">
        <w:rPr>
          <w:noProof/>
          <w:lang w:val="hu"/>
        </w:rPr>
        <w:t>, amelyek</w:t>
      </w:r>
      <w:r>
        <w:rPr>
          <w:noProof/>
          <w:lang w:val="hu"/>
        </w:rPr>
        <w:t xml:space="preserve"> gyulladások és allergiák esetén alkalma</w:t>
      </w:r>
      <w:r w:rsidR="009F671D">
        <w:rPr>
          <w:noProof/>
          <w:lang w:val="hu"/>
        </w:rPr>
        <w:t>zhatóak</w:t>
      </w:r>
      <w:r>
        <w:rPr>
          <w:noProof/>
          <w:lang w:val="hu"/>
        </w:rPr>
        <w:t>) kezelik, mivel ez növelheti ezt a kockázatot;</w:t>
      </w:r>
    </w:p>
    <w:p w14:paraId="60E32D5E" w14:textId="253FB515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súlyos hasi fájdalmat vagy görcsöket tapasztal, és emellett vörös vér</w:t>
      </w:r>
      <w:r w:rsidR="00B77EAE">
        <w:rPr>
          <w:noProof/>
          <w:lang w:val="hu"/>
        </w:rPr>
        <w:t>t észlel</w:t>
      </w:r>
      <w:r>
        <w:rPr>
          <w:noProof/>
          <w:lang w:val="hu"/>
        </w:rPr>
        <w:t xml:space="preserve"> a székletében vagy hasmenése van, mivel ezek a nem megfelelő vérellátásból eredő bélgyulladás tünetei lehetnek;</w:t>
      </w:r>
    </w:p>
    <w:p w14:paraId="06505761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valamelyik végtagjában fájdalom, duzzanat, vörösség, melegség jelentkezik, mivel ezek a vénák (a vérerek egyik típusa) egyikében keletkezett vérrög tünetei lehetnek;</w:t>
      </w:r>
    </w:p>
    <w:p w14:paraId="5334CAC0" w14:textId="1812B8C1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mellkasában, tipikusan a test bal oldalán, nyomás vagy fájdalom, nyak-, állkapocs, váll- vagy karfájdalom</w:t>
      </w:r>
      <w:r w:rsidR="00B77EAE">
        <w:rPr>
          <w:noProof/>
          <w:lang w:val="hu"/>
        </w:rPr>
        <w:t xml:space="preserve"> jelentkezik</w:t>
      </w:r>
      <w:r>
        <w:rPr>
          <w:noProof/>
          <w:lang w:val="hu"/>
        </w:rPr>
        <w:t>, felgyorsult szívverés</w:t>
      </w:r>
      <w:r w:rsidR="00B77EAE">
        <w:rPr>
          <w:noProof/>
          <w:lang w:val="hu"/>
        </w:rPr>
        <w:t>t</w:t>
      </w:r>
      <w:r>
        <w:rPr>
          <w:noProof/>
          <w:lang w:val="hu"/>
        </w:rPr>
        <w:t>, légszomj</w:t>
      </w:r>
      <w:r w:rsidR="00B77EAE">
        <w:rPr>
          <w:noProof/>
          <w:lang w:val="hu"/>
        </w:rPr>
        <w:t>at</w:t>
      </w:r>
      <w:r>
        <w:rPr>
          <w:noProof/>
          <w:lang w:val="hu"/>
        </w:rPr>
        <w:t>, hányinger</w:t>
      </w:r>
      <w:r w:rsidR="00B77EAE">
        <w:rPr>
          <w:noProof/>
          <w:lang w:val="hu"/>
        </w:rPr>
        <w:t>t</w:t>
      </w:r>
      <w:r>
        <w:rPr>
          <w:noProof/>
          <w:lang w:val="hu"/>
        </w:rPr>
        <w:t>, hányás</w:t>
      </w:r>
      <w:r w:rsidR="00B77EAE">
        <w:rPr>
          <w:noProof/>
          <w:lang w:val="hu"/>
        </w:rPr>
        <w:t>t</w:t>
      </w:r>
      <w:r>
        <w:rPr>
          <w:noProof/>
          <w:lang w:val="hu"/>
        </w:rPr>
        <w:t xml:space="preserve"> </w:t>
      </w:r>
      <w:r w:rsidR="00B77EAE">
        <w:rPr>
          <w:noProof/>
          <w:lang w:val="hu"/>
        </w:rPr>
        <w:t>tapasztal</w:t>
      </w:r>
      <w:r>
        <w:rPr>
          <w:noProof/>
          <w:lang w:val="hu"/>
        </w:rPr>
        <w:t>, mivel ez</w:t>
      </w:r>
      <w:r w:rsidR="00B77EAE">
        <w:rPr>
          <w:noProof/>
          <w:lang w:val="hu"/>
        </w:rPr>
        <w:t>ek</w:t>
      </w:r>
      <w:r>
        <w:rPr>
          <w:noProof/>
          <w:lang w:val="hu"/>
        </w:rPr>
        <w:t xml:space="preserve"> a szívroham tünete</w:t>
      </w:r>
      <w:r w:rsidR="00B77EAE">
        <w:rPr>
          <w:noProof/>
          <w:lang w:val="hu"/>
        </w:rPr>
        <w:t>i</w:t>
      </w:r>
      <w:r>
        <w:rPr>
          <w:noProof/>
          <w:lang w:val="hu"/>
        </w:rPr>
        <w:t xml:space="preserve"> lehet</w:t>
      </w:r>
      <w:r w:rsidR="00B77EAE">
        <w:rPr>
          <w:noProof/>
          <w:lang w:val="hu"/>
        </w:rPr>
        <w:t>nek</w:t>
      </w:r>
      <w:r>
        <w:rPr>
          <w:noProof/>
          <w:lang w:val="hu"/>
        </w:rPr>
        <w:t>;</w:t>
      </w:r>
    </w:p>
    <w:p w14:paraId="2B530F87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bármilyen nagyobb vérzése van;</w:t>
      </w:r>
    </w:p>
    <w:p w14:paraId="63CD1FDE" w14:textId="77777777" w:rsidR="001B2972" w:rsidRDefault="002370D9" w:rsidP="001B297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lastRenderedPageBreak/>
        <w:t>-</w:t>
      </w:r>
      <w:r>
        <w:rPr>
          <w:noProof/>
          <w:lang w:val="hu"/>
        </w:rPr>
        <w:tab/>
        <w:t>ha véraláfutást, vérzést, lázat, fáradtságot vagy zavartságot tapasztal. Ez a vérerek károsodásának a jele lehet, amely állapotot trombotikus mikroangiopátiának (TMA) nevezzük;</w:t>
      </w:r>
    </w:p>
    <w:p w14:paraId="5B4EF20E" w14:textId="3701819F" w:rsidR="001B2972" w:rsidRPr="00EE1B14" w:rsidRDefault="001B2972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 xml:space="preserve">- </w:t>
      </w:r>
      <w:r>
        <w:rPr>
          <w:noProof/>
          <w:lang w:val="hu"/>
        </w:rPr>
        <w:tab/>
      </w:r>
      <w:r w:rsidRPr="004D47E9">
        <w:rPr>
          <w:noProof/>
          <w:lang w:val="hu"/>
        </w:rPr>
        <w:t>ha az alábbi tüneteket tapasztalja: fejfájás, látászavar, zavartság, görcsrohamok vagy egyéb idegrendszeri zavarok, mint például a kar vagy láb gyengeségérzése, magas vérnyomással vagy anélkül. Ezek a poszterior reverzibilis enkefalopátia szindrómának (PRES) nevezett, agyat érintő állapot tünetei lehetnek.</w:t>
      </w:r>
    </w:p>
    <w:p w14:paraId="63FF3718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</w:p>
    <w:p w14:paraId="50F18143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Gyermekek és serdülők</w:t>
      </w:r>
    </w:p>
    <w:p w14:paraId="5BF8D69B" w14:textId="6E1AF8A0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 xml:space="preserve">A Lunidoc-ot </w:t>
      </w:r>
      <w:r w:rsidR="003B341D">
        <w:rPr>
          <w:noProof/>
          <w:lang w:val="hu"/>
        </w:rPr>
        <w:t>6</w:t>
      </w:r>
      <w:r>
        <w:rPr>
          <w:noProof/>
          <w:lang w:val="hu"/>
        </w:rPr>
        <w:t xml:space="preserve"> évesnél fiatalabb </w:t>
      </w:r>
      <w:r w:rsidR="006C7759">
        <w:rPr>
          <w:noProof/>
          <w:lang w:val="hu"/>
        </w:rPr>
        <w:t>gyermekek</w:t>
      </w:r>
      <w:r w:rsidR="001E1924">
        <w:rPr>
          <w:noProof/>
          <w:lang w:val="hu"/>
        </w:rPr>
        <w:t xml:space="preserve"> </w:t>
      </w:r>
      <w:r>
        <w:rPr>
          <w:noProof/>
          <w:lang w:val="hu"/>
        </w:rPr>
        <w:t>nem szedhetik.</w:t>
      </w:r>
    </w:p>
    <w:p w14:paraId="3BD0B35C" w14:textId="1BC10F42" w:rsidR="000056F8" w:rsidRPr="000056F8" w:rsidRDefault="000056F8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4D47E9">
        <w:rPr>
          <w:noProof/>
          <w:lang w:val="hu"/>
        </w:rPr>
        <w:t>A kezelőorvosa a fogfejlődés befejeződéséig rendszeres fogászati vizsgálatot rendelhet, legalább 6</w:t>
      </w:r>
      <w:r w:rsidR="00A73050">
        <w:rPr>
          <w:noProof/>
          <w:lang w:val="hu"/>
        </w:rPr>
        <w:t> </w:t>
      </w:r>
      <w:r w:rsidRPr="004D47E9">
        <w:rPr>
          <w:noProof/>
          <w:lang w:val="hu"/>
        </w:rPr>
        <w:t>havonta, és a gyógyszer szedésének ideje alatt évente ellenőrizheti a növekedését (a csontok képalkotó vizsgálata).</w:t>
      </w:r>
    </w:p>
    <w:p w14:paraId="744DEE65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6CBF7CB8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Egyéb gyógyszerek és a Lunidoc</w:t>
      </w:r>
    </w:p>
    <w:p w14:paraId="09208B92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409702BB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7C509D97" w14:textId="587317A3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"/>
        </w:rPr>
      </w:pPr>
      <w:r>
        <w:rPr>
          <w:noProof/>
          <w:lang w:val="hu"/>
        </w:rPr>
        <w:t xml:space="preserve">A Lunidoc kölcsönhatásba léphet bizonyos egyéb gyógyszerekkel. A következő gyógyszerek növelhetik a nintedanib vérben mérhető szintjét, ezáltal fokozhatják a mellékhatások kockázatát (lásd 4. </w:t>
      </w:r>
      <w:r w:rsidR="00A73050">
        <w:rPr>
          <w:noProof/>
          <w:lang w:val="hu"/>
        </w:rPr>
        <w:t>p</w:t>
      </w:r>
      <w:r>
        <w:rPr>
          <w:noProof/>
          <w:lang w:val="hu"/>
        </w:rPr>
        <w:t>ont</w:t>
      </w:r>
      <w:r w:rsidR="00967464">
        <w:rPr>
          <w:noProof/>
          <w:lang w:val="hu"/>
        </w:rPr>
        <w:t xml:space="preserve"> </w:t>
      </w:r>
      <w:r w:rsidR="00A73050">
        <w:rPr>
          <w:noProof/>
          <w:lang w:val="hu"/>
        </w:rPr>
        <w:t>„</w:t>
      </w:r>
      <w:r w:rsidR="00967464">
        <w:rPr>
          <w:noProof/>
          <w:lang w:val="hu"/>
        </w:rPr>
        <w:t>Lehetséges mellékhatások</w:t>
      </w:r>
      <w:r w:rsidR="00A73050">
        <w:rPr>
          <w:noProof/>
          <w:lang w:val="hu"/>
        </w:rPr>
        <w:t>”</w:t>
      </w:r>
      <w:r>
        <w:rPr>
          <w:noProof/>
          <w:lang w:val="hu"/>
        </w:rPr>
        <w:t>):</w:t>
      </w:r>
    </w:p>
    <w:p w14:paraId="3BBAAC02" w14:textId="21467A9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gomb</w:t>
      </w:r>
      <w:r w:rsidR="001A5C48">
        <w:rPr>
          <w:noProof/>
          <w:lang w:val="hu"/>
        </w:rPr>
        <w:t xml:space="preserve">ás </w:t>
      </w:r>
      <w:r>
        <w:rPr>
          <w:noProof/>
          <w:lang w:val="hu"/>
        </w:rPr>
        <w:t>fertőzések kezelésre szolgáló gyógyszer (ketokonazol);</w:t>
      </w:r>
    </w:p>
    <w:p w14:paraId="03658FD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bakteriális fertőzések kezelésre szolgáló gyógyszer (eritromicin);</w:t>
      </w:r>
    </w:p>
    <w:p w14:paraId="6A4BC6AD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az immunrendszerre ható gyógyszer (ciklosporin).</w:t>
      </w:r>
    </w:p>
    <w:p w14:paraId="7811D50D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5F275DBD" w14:textId="77777777" w:rsidR="002370D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rPr>
          <w:noProof/>
          <w:lang w:val="hu"/>
        </w:rPr>
        <w:t>A következő gyógyszerek csökkenthetik a nintedanib vérben mérhető szintjét, ezáltal csökkenthetik a Lunidoc hatásosságát:</w:t>
      </w:r>
    </w:p>
    <w:p w14:paraId="04440BFB" w14:textId="06D38D11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tüdőbaj</w:t>
      </w:r>
      <w:r w:rsidR="001A5C48">
        <w:rPr>
          <w:noProof/>
          <w:lang w:val="hu"/>
        </w:rPr>
        <w:t xml:space="preserve"> (tbc-tuberkulózis)</w:t>
      </w:r>
      <w:r>
        <w:rPr>
          <w:noProof/>
          <w:lang w:val="hu"/>
        </w:rPr>
        <w:t xml:space="preserve"> kezelésére szolgáló antibiotikum (rifampicin);</w:t>
      </w:r>
    </w:p>
    <w:p w14:paraId="418C5A60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görcsrohamok kezelésére szolgáló gyógyszerek (karbamazepin, fenitoin);</w:t>
      </w:r>
    </w:p>
    <w:p w14:paraId="4073E593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depresszió kezelésére alkalmazott gyógynövénykészítmény (közönséges orbáncfű).</w:t>
      </w:r>
    </w:p>
    <w:p w14:paraId="393B03EE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</w:p>
    <w:p w14:paraId="28129EE6" w14:textId="77777777" w:rsidR="002370D9" w:rsidRPr="000E440D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bCs/>
          <w:noProof/>
          <w:lang w:val="hu"/>
        </w:rPr>
        <w:t>Terhesség és szoptatás</w:t>
      </w:r>
    </w:p>
    <w:p w14:paraId="6D66A46F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  <w:lang w:val="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15BF3016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2A475E9" w14:textId="77777777" w:rsidR="002370D9" w:rsidRPr="000E440D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</w:rPr>
      </w:pPr>
      <w:r>
        <w:rPr>
          <w:noProof/>
          <w:u w:val="single"/>
          <w:lang w:val="hu"/>
        </w:rPr>
        <w:t>Terhesség</w:t>
      </w:r>
    </w:p>
    <w:p w14:paraId="5A4C5524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  <w:lang w:val="hu"/>
        </w:rPr>
        <w:t>Terhesség alatt ne szedje ezt a gyógyszert, mivel károsíthatja a méhében fejlődő magzatot, és születési rendellenességeket okozhat.</w:t>
      </w:r>
    </w:p>
    <w:p w14:paraId="3D6B3CB1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56041A61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CE7BF2">
        <w:rPr>
          <w:noProof/>
          <w:lang w:val="hu"/>
        </w:rPr>
        <w:t>A Lunidoc</w:t>
      </w:r>
      <w:r>
        <w:rPr>
          <w:noProof/>
          <w:lang w:val="hu"/>
        </w:rPr>
        <w:t>-kezelés megkezdése előtt terhességi tesztet kell végeznie annak megerősítése céljából, hogy Ön nem terhes. Kérjük, beszéljen kezelőorvosával.</w:t>
      </w:r>
    </w:p>
    <w:p w14:paraId="7674F16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7F5DC10C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  <w:lang w:val="hu"/>
        </w:rPr>
      </w:pPr>
      <w:r>
        <w:rPr>
          <w:noProof/>
          <w:u w:val="single"/>
          <w:lang w:val="hu"/>
        </w:rPr>
        <w:t>Fogamzásgátlás</w:t>
      </w:r>
    </w:p>
    <w:p w14:paraId="4AC3F83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 fogamzóképes korban lévő nőknek a Lunidoc szedésének megkezdésekor, a kezelés alatt, valamint a kezelés abbahagyása után még legalább 3 hónapon át nagy hatékonyságú fogamzásgátló módszert kell alkalmazniuk a terhesség megelőzése céljából.</w:t>
      </w:r>
    </w:p>
    <w:p w14:paraId="5B1771B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Kezelőorvosával meg kell beszélnie, hogy melyek az Ön számára legmegfelelőbb fogamzásgátló módszerek.</w:t>
      </w:r>
    </w:p>
    <w:p w14:paraId="2D723161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 hányás és/vagy a hasmenés, vagy más emésztőrendszeri állapotok hatással lehetnek a szájon át szedett hormonális fogamzásgátlók (például fogamzásgátló tabletták) felszívódására, ezáltal csökkenthetik azok hatékonyságát. Ezért amennyiben ezeket a tüneteket tapasztalja, keresse fel kezelőorvosát, hogy megbeszélhessék egy alternatív, megfelelőbb fogamzásgátló módszer alkalmazását.</w:t>
      </w:r>
    </w:p>
    <w:p w14:paraId="10DD1D0C" w14:textId="27D9A85B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</w:r>
      <w:r w:rsidRPr="00CE7BF2">
        <w:rPr>
          <w:noProof/>
          <w:lang w:val="hu"/>
        </w:rPr>
        <w:t>Ha a Lunidoc</w:t>
      </w:r>
      <w:r>
        <w:rPr>
          <w:noProof/>
          <w:lang w:val="hu"/>
        </w:rPr>
        <w:t xml:space="preserve">-kezelés alatt teherbe esik, vagy </w:t>
      </w:r>
      <w:r w:rsidR="001A5C48">
        <w:rPr>
          <w:noProof/>
          <w:lang w:val="hu"/>
        </w:rPr>
        <w:t>feltételezi</w:t>
      </w:r>
      <w:r>
        <w:rPr>
          <w:noProof/>
          <w:lang w:val="hu"/>
        </w:rPr>
        <w:t>, hogy terhes, azonnal tájékoztassa kezelőorvosát vagy gyógyszerészét.</w:t>
      </w:r>
    </w:p>
    <w:p w14:paraId="0DB021CA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390D0059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  <w:lang w:val="hu"/>
        </w:rPr>
      </w:pPr>
      <w:r>
        <w:rPr>
          <w:noProof/>
          <w:u w:val="single"/>
          <w:lang w:val="hu"/>
        </w:rPr>
        <w:lastRenderedPageBreak/>
        <w:t>Szoptatás</w:t>
      </w:r>
    </w:p>
    <w:p w14:paraId="42D3387D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CE7BF2">
        <w:rPr>
          <w:noProof/>
          <w:lang w:val="hu"/>
        </w:rPr>
        <w:t>A Lunidoc</w:t>
      </w:r>
      <w:r>
        <w:rPr>
          <w:noProof/>
          <w:lang w:val="hu"/>
        </w:rPr>
        <w:t>-kezelés alatt ne szoptasson, mivel fennállhat az újszülött, illetve csecsemő károsodásának kockázata.</w:t>
      </w:r>
    </w:p>
    <w:p w14:paraId="3C2AEB4D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5591C549" w14:textId="77777777" w:rsidR="002370D9" w:rsidRPr="005131CF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A készítmény hatásai a gépjárművezetéshez és a gépek kezeléséhez szükséges képességekre</w:t>
      </w:r>
    </w:p>
    <w:p w14:paraId="544A52F7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3222FC">
        <w:rPr>
          <w:noProof/>
          <w:lang w:val="hu"/>
        </w:rPr>
        <w:t>Ez a gyógyszer kismértékben befolyásolhatja a gépjárművezetéshez és a gépek kezeléséhez</w:t>
      </w:r>
      <w:r>
        <w:rPr>
          <w:noProof/>
          <w:lang w:val="hu"/>
        </w:rPr>
        <w:t xml:space="preserve"> szükséges képességeit. Ne vezessen gépjárművet és ne kezeljen gépeket, ha hányingere van.</w:t>
      </w:r>
    </w:p>
    <w:p w14:paraId="425DB894" w14:textId="77777777" w:rsidR="002370D9" w:rsidRPr="004D47E9" w:rsidRDefault="002370D9" w:rsidP="002370D9">
      <w:pPr>
        <w:spacing w:line="240" w:lineRule="auto"/>
        <w:ind w:right="-2"/>
        <w:rPr>
          <w:noProof/>
          <w:szCs w:val="22"/>
          <w:lang w:val="hu"/>
        </w:rPr>
      </w:pPr>
    </w:p>
    <w:p w14:paraId="207EE05B" w14:textId="77777777" w:rsidR="002370D9" w:rsidRPr="004D47E9" w:rsidRDefault="002370D9" w:rsidP="002370D9">
      <w:pPr>
        <w:spacing w:line="240" w:lineRule="auto"/>
        <w:ind w:right="-2"/>
        <w:rPr>
          <w:noProof/>
          <w:szCs w:val="22"/>
          <w:lang w:val="hu"/>
        </w:rPr>
      </w:pPr>
    </w:p>
    <w:p w14:paraId="3E71CDB0" w14:textId="77777777" w:rsidR="002370D9" w:rsidRPr="004D47E9" w:rsidRDefault="002370D9" w:rsidP="002370D9">
      <w:pPr>
        <w:keepNext/>
        <w:keepLines/>
        <w:spacing w:line="240" w:lineRule="auto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3.</w:t>
      </w:r>
      <w:r>
        <w:rPr>
          <w:b/>
          <w:bCs/>
          <w:noProof/>
          <w:szCs w:val="22"/>
          <w:lang w:val="hu"/>
        </w:rPr>
        <w:tab/>
        <w:t>Hogyan kell szedni a Lunidoc-ot?</w:t>
      </w:r>
    </w:p>
    <w:p w14:paraId="2EECAF7B" w14:textId="77777777" w:rsidR="002370D9" w:rsidRPr="004D47E9" w:rsidRDefault="002370D9" w:rsidP="002370D9">
      <w:pPr>
        <w:keepNext/>
        <w:keepLines/>
        <w:spacing w:line="240" w:lineRule="auto"/>
        <w:rPr>
          <w:noProof/>
          <w:szCs w:val="22"/>
          <w:lang w:val="hu"/>
        </w:rPr>
      </w:pPr>
    </w:p>
    <w:p w14:paraId="4914D3A8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3F08A2EE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495F6891" w14:textId="17D432B6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kapszulákat naponta kétszer, körülbelül 12 órás különbséggel vegye be, minden nap nagyjából azonos időpontban, például egy kapszulát reggel és egy kapszulát este. Ez biztosítja, hogy a nintedanib folyamatosan állandó mennyiségben legyen jelen az Ön vérkeringésében. A kapszulát egészben nyelje le vízzel, és</w:t>
      </w:r>
      <w:r w:rsidR="005C0D93">
        <w:rPr>
          <w:noProof/>
          <w:szCs w:val="22"/>
          <w:lang w:val="hu"/>
        </w:rPr>
        <w:t xml:space="preserve"> ne rágja szét</w:t>
      </w:r>
      <w:r>
        <w:rPr>
          <w:noProof/>
          <w:szCs w:val="22"/>
          <w:lang w:val="hu"/>
        </w:rPr>
        <w:t xml:space="preserve"> </w:t>
      </w:r>
      <w:r w:rsidR="001A5C48">
        <w:rPr>
          <w:noProof/>
          <w:szCs w:val="22"/>
          <w:lang w:val="hu"/>
        </w:rPr>
        <w:t>a kapszulákat</w:t>
      </w:r>
      <w:r>
        <w:rPr>
          <w:noProof/>
          <w:szCs w:val="22"/>
          <w:lang w:val="hu"/>
        </w:rPr>
        <w:t>. A kapszulát étellel javasolt bevennie, vagyis étkezés közben vagy közvetlenül étkezés előtt vagy után. Ne nyissa fel illetve ne törje össze a kapszulát (lásd 5. pont</w:t>
      </w:r>
      <w:r w:rsidR="00397C1B">
        <w:rPr>
          <w:noProof/>
          <w:szCs w:val="22"/>
          <w:lang w:val="hu"/>
        </w:rPr>
        <w:t xml:space="preserve">: </w:t>
      </w:r>
      <w:r w:rsidR="00A73050">
        <w:rPr>
          <w:noProof/>
          <w:szCs w:val="22"/>
          <w:lang w:val="hu"/>
        </w:rPr>
        <w:t>„</w:t>
      </w:r>
      <w:r w:rsidR="00397C1B">
        <w:rPr>
          <w:noProof/>
          <w:szCs w:val="22"/>
          <w:lang w:val="hu"/>
        </w:rPr>
        <w:t>Hogyan kell a Lunidoc-ot tárolni?</w:t>
      </w:r>
      <w:r w:rsidR="00A73050">
        <w:rPr>
          <w:noProof/>
          <w:szCs w:val="22"/>
          <w:lang w:val="hu"/>
        </w:rPr>
        <w:t>”</w:t>
      </w:r>
      <w:r>
        <w:rPr>
          <w:noProof/>
          <w:szCs w:val="22"/>
          <w:lang w:val="hu"/>
        </w:rPr>
        <w:t>).</w:t>
      </w:r>
    </w:p>
    <w:p w14:paraId="32C629FB" w14:textId="6466DD08" w:rsidR="004C74B7" w:rsidRPr="004D47E9" w:rsidRDefault="004C74B7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4D47E9">
        <w:rPr>
          <w:noProof/>
          <w:szCs w:val="22"/>
          <w:lang w:val="hu"/>
        </w:rPr>
        <w:t>A nyelés megkönnyítése érdekében a kapszulákat beveheti kis mennyiségű (egy teáskanálnyi) hideg vagy szoba-hőmérsékletű puha étellel, mint amilyen az almaszósz vagy a csokoládépuding. A kapszulát azonnal, rágás nélkül nyelje le, a kapszula sértetlensége megőrzése érdekében.</w:t>
      </w:r>
    </w:p>
    <w:p w14:paraId="6C3B4FED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3A761B5A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Felnőttek</w:t>
      </w:r>
    </w:p>
    <w:p w14:paraId="60042708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Az ajánlott adag egy 150 mg-os kapszula naponta kétszer (összesen napi 300 mg).</w:t>
      </w:r>
    </w:p>
    <w:p w14:paraId="1A5A47DC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Ne vegyen be többet az ajánlott adagnál, ami naponta két Lunidoc 150 mg kapszula.</w:t>
      </w:r>
    </w:p>
    <w:p w14:paraId="4D545735" w14:textId="77777777" w:rsidR="00577914" w:rsidRDefault="00577914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14837042" w14:textId="0D6833CC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Ha szervezete nem viseli jól a</w:t>
      </w:r>
      <w:r w:rsidR="00C03BD5" w:rsidRPr="00C03BD5">
        <w:rPr>
          <w:noProof/>
          <w:szCs w:val="22"/>
          <w:lang w:val="hu"/>
        </w:rPr>
        <w:t xml:space="preserve"> </w:t>
      </w:r>
      <w:r w:rsidR="00C03BD5">
        <w:rPr>
          <w:noProof/>
          <w:szCs w:val="22"/>
          <w:lang w:val="hu"/>
        </w:rPr>
        <w:t>Lunidoc kapszula</w:t>
      </w:r>
      <w:r>
        <w:rPr>
          <w:noProof/>
          <w:szCs w:val="22"/>
          <w:lang w:val="hu"/>
        </w:rPr>
        <w:t xml:space="preserve"> napi kétszer 150 mg</w:t>
      </w:r>
      <w:r w:rsidR="00C03BD5">
        <w:rPr>
          <w:noProof/>
          <w:szCs w:val="22"/>
          <w:lang w:val="hu"/>
        </w:rPr>
        <w:t xml:space="preserve">-os </w:t>
      </w:r>
      <w:r>
        <w:rPr>
          <w:noProof/>
          <w:szCs w:val="22"/>
          <w:lang w:val="hu"/>
        </w:rPr>
        <w:t>ajánlott adag</w:t>
      </w:r>
      <w:r w:rsidR="000D0834">
        <w:rPr>
          <w:noProof/>
          <w:szCs w:val="22"/>
          <w:lang w:val="hu"/>
        </w:rPr>
        <w:t>ját</w:t>
      </w:r>
      <w:r>
        <w:rPr>
          <w:noProof/>
          <w:szCs w:val="22"/>
          <w:lang w:val="hu"/>
        </w:rPr>
        <w:t xml:space="preserve"> (a lehetséges mellékhatásokat lásd a 4. pontban), akkor kezelőorvosa csökkentheti a Lunidoc napi adagját. Ne csökkentse az adagot</w:t>
      </w:r>
      <w:r w:rsidR="000D0834">
        <w:rPr>
          <w:noProof/>
          <w:szCs w:val="22"/>
          <w:lang w:val="hu"/>
        </w:rPr>
        <w:t xml:space="preserve"> és</w:t>
      </w:r>
      <w:r>
        <w:rPr>
          <w:noProof/>
          <w:szCs w:val="22"/>
          <w:lang w:val="hu"/>
        </w:rPr>
        <w:t xml:space="preserve"> ne hagyja abba a kezelést anélkül, hogy </w:t>
      </w:r>
      <w:r w:rsidR="0038310C">
        <w:rPr>
          <w:noProof/>
          <w:szCs w:val="22"/>
          <w:lang w:val="hu"/>
        </w:rPr>
        <w:t xml:space="preserve">ezt a </w:t>
      </w:r>
      <w:r>
        <w:rPr>
          <w:noProof/>
          <w:szCs w:val="22"/>
          <w:lang w:val="hu"/>
        </w:rPr>
        <w:t>kezelőorvosával</w:t>
      </w:r>
      <w:r w:rsidR="0038310C">
        <w:rPr>
          <w:noProof/>
          <w:szCs w:val="22"/>
          <w:lang w:val="hu"/>
        </w:rPr>
        <w:t xml:space="preserve"> megbeszélné</w:t>
      </w:r>
      <w:r>
        <w:rPr>
          <w:noProof/>
          <w:szCs w:val="22"/>
          <w:lang w:val="hu"/>
        </w:rPr>
        <w:t>!</w:t>
      </w:r>
    </w:p>
    <w:p w14:paraId="1176435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0101E5EE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Kezelőorvosa napi kétszer 100 mg-ra (összesen napi 200 mg) csökkentheti az Ön számára ajánlott adagot. Ebben az esetben kezelőorvosa a Lunidoc 100 mg kapszulát fogja felírni az Ön kezeléséhez. Ha az Ön napi adagját 200 mg-ra csökkentették, akkor ne vegyen be többet az ajánlott adagnál, ami naponta két Lunidoc 100 mg kapszula!</w:t>
      </w:r>
    </w:p>
    <w:p w14:paraId="667FDD6F" w14:textId="77777777" w:rsidR="00CC6363" w:rsidRPr="005131CF" w:rsidRDefault="00CC6363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4705B6F2" w14:textId="7197E2FC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b/>
          <w:bCs/>
          <w:lang w:val="hu"/>
        </w:rPr>
        <w:t>Alkalmazás gyermekeknél és serdülőknél</w:t>
      </w:r>
    </w:p>
    <w:p w14:paraId="41484CD6" w14:textId="6AEBE17E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Az ajánlott adag a beteg testtömegétől függ.</w:t>
      </w:r>
    </w:p>
    <w:p w14:paraId="0DB88F4D" w14:textId="27BFF71B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Tájékoztassa a beteg kezelőorvosát, ha bármikor a kezelés ideje alatt a beteg testtömege 13,5</w:t>
      </w:r>
      <w:r w:rsidR="008616F6">
        <w:rPr>
          <w:lang w:val="hu"/>
        </w:rPr>
        <w:t> </w:t>
      </w:r>
      <w:r w:rsidRPr="004D47E9">
        <w:rPr>
          <w:lang w:val="hu"/>
        </w:rPr>
        <w:t>kg alatti.</w:t>
      </w:r>
    </w:p>
    <w:p w14:paraId="7C5E437A" w14:textId="0A778454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Tájékoztassa a kezelőorvost a beteg májbetegségeiről.</w:t>
      </w:r>
    </w:p>
    <w:p w14:paraId="474F9C9A" w14:textId="261C42DD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A kezelőorvos határozza meg a helyes adagot. A kezelőorvos a kezelés előrehaladtával módosíthatja az adagot.</w:t>
      </w:r>
    </w:p>
    <w:p w14:paraId="70DF274A" w14:textId="77777777" w:rsidR="007106D3" w:rsidRDefault="007106D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54378E65" w14:textId="253DE28B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Ha Ön vagy gyermeke nem tolerálja a</w:t>
      </w:r>
      <w:r w:rsidR="00A613D5" w:rsidRPr="004D47E9">
        <w:rPr>
          <w:lang w:val="hu"/>
        </w:rPr>
        <w:t xml:space="preserve"> </w:t>
      </w:r>
      <w:proofErr w:type="spellStart"/>
      <w:r w:rsidR="00535FAB">
        <w:rPr>
          <w:lang w:val="hu"/>
        </w:rPr>
        <w:t>Lunidoc</w:t>
      </w:r>
      <w:proofErr w:type="spellEnd"/>
      <w:r w:rsidR="00A613D5" w:rsidRPr="004D47E9">
        <w:rPr>
          <w:lang w:val="hu"/>
        </w:rPr>
        <w:t xml:space="preserve"> </w:t>
      </w:r>
      <w:r w:rsidRPr="004D47E9">
        <w:rPr>
          <w:lang w:val="hu"/>
        </w:rPr>
        <w:t>kapszulák napi ajánlott adagját (lásd a lehetséges mellékhatásokat a 4. pontban), a kezelőorvosa csökkentheti a</w:t>
      </w:r>
      <w:r w:rsidR="00A613D5" w:rsidRPr="004D47E9">
        <w:rPr>
          <w:lang w:val="hu"/>
        </w:rPr>
        <w:t xml:space="preserve"> </w:t>
      </w:r>
      <w:proofErr w:type="spellStart"/>
      <w:r w:rsidR="00535FAB">
        <w:rPr>
          <w:lang w:val="hu"/>
        </w:rPr>
        <w:t>Lunidoc</w:t>
      </w:r>
      <w:proofErr w:type="spellEnd"/>
      <w:r w:rsidR="00A613D5" w:rsidRPr="004D47E9">
        <w:rPr>
          <w:lang w:val="hu"/>
        </w:rPr>
        <w:t xml:space="preserve"> </w:t>
      </w:r>
      <w:r w:rsidRPr="004D47E9">
        <w:rPr>
          <w:lang w:val="hu"/>
        </w:rPr>
        <w:t>napi adagját.</w:t>
      </w:r>
    </w:p>
    <w:p w14:paraId="725E9959" w14:textId="5228A232" w:rsidR="00CC6363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Ne csökkentse az adagot és ne hagyja abba a kezelést magától anélkül, hogy először ezt a kezelőorvosával megbeszélné.</w:t>
      </w:r>
    </w:p>
    <w:p w14:paraId="030B4249" w14:textId="77777777" w:rsidR="008616F6" w:rsidRPr="004D47E9" w:rsidRDefault="008616F6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40DE8AF7" w14:textId="32FE287F" w:rsidR="002370D9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4D47E9">
        <w:rPr>
          <w:lang w:val="hu"/>
        </w:rPr>
        <w:t>A</w:t>
      </w:r>
      <w:r w:rsidR="00A613D5" w:rsidRPr="004D47E9">
        <w:rPr>
          <w:lang w:val="hu"/>
        </w:rPr>
        <w:t xml:space="preserve"> </w:t>
      </w:r>
      <w:proofErr w:type="spellStart"/>
      <w:r w:rsidR="00A613D5" w:rsidRPr="004D47E9">
        <w:rPr>
          <w:lang w:val="hu"/>
        </w:rPr>
        <w:t>nintedanib</w:t>
      </w:r>
      <w:proofErr w:type="spellEnd"/>
      <w:r w:rsidR="00A613D5" w:rsidRPr="004D47E9">
        <w:rPr>
          <w:lang w:val="hu"/>
        </w:rPr>
        <w:t xml:space="preserve"> </w:t>
      </w:r>
      <w:r w:rsidRPr="004D47E9">
        <w:rPr>
          <w:lang w:val="hu"/>
        </w:rPr>
        <w:t>kapszulák testtömeg alapú adagolása gyermekek és serdülők esetében:</w:t>
      </w:r>
    </w:p>
    <w:p w14:paraId="33A9D5C2" w14:textId="77777777" w:rsidR="00CC6363" w:rsidRPr="004D47E9" w:rsidRDefault="00CC6363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6"/>
        <w:gridCol w:w="4760"/>
      </w:tblGrid>
      <w:tr w:rsidR="00F229F6" w:rsidRPr="00F229F6" w14:paraId="340B8486" w14:textId="77777777" w:rsidTr="004D47E9">
        <w:trPr>
          <w:trHeight w:val="98"/>
        </w:trPr>
        <w:tc>
          <w:tcPr>
            <w:tcW w:w="4166" w:type="dxa"/>
          </w:tcPr>
          <w:p w14:paraId="73C0DFA4" w14:textId="77777777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proofErr w:type="spellStart"/>
            <w:r w:rsidRPr="00F229F6">
              <w:rPr>
                <w:b/>
                <w:bCs/>
                <w:lang w:val="en-US"/>
              </w:rPr>
              <w:t>Testtömegtartomány</w:t>
            </w:r>
            <w:proofErr w:type="spellEnd"/>
            <w:r w:rsidRPr="00F229F6">
              <w:rPr>
                <w:b/>
                <w:bCs/>
                <w:lang w:val="en-US"/>
              </w:rPr>
              <w:t xml:space="preserve"> </w:t>
            </w:r>
            <w:proofErr w:type="spellStart"/>
            <w:r w:rsidRPr="00F229F6">
              <w:rPr>
                <w:b/>
                <w:bCs/>
                <w:lang w:val="en-US"/>
              </w:rPr>
              <w:t>kilogrammban</w:t>
            </w:r>
            <w:proofErr w:type="spellEnd"/>
            <w:r w:rsidRPr="00F229F6">
              <w:rPr>
                <w:b/>
                <w:bCs/>
                <w:lang w:val="en-US"/>
              </w:rPr>
              <w:t xml:space="preserve"> (kg) </w:t>
            </w:r>
          </w:p>
        </w:tc>
        <w:tc>
          <w:tcPr>
            <w:tcW w:w="4760" w:type="dxa"/>
          </w:tcPr>
          <w:p w14:paraId="49509907" w14:textId="7858ECE7" w:rsidR="00F229F6" w:rsidRPr="00F229F6" w:rsidRDefault="004A07D8" w:rsidP="00F229F6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Nintedanib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 w:rsidR="00F229F6" w:rsidRPr="00F229F6">
              <w:rPr>
                <w:b/>
                <w:bCs/>
                <w:lang w:val="en-US"/>
              </w:rPr>
              <w:t>adagja</w:t>
            </w:r>
            <w:proofErr w:type="spellEnd"/>
            <w:r w:rsidR="00F229F6" w:rsidRPr="00F229F6">
              <w:rPr>
                <w:b/>
                <w:bCs/>
                <w:lang w:val="en-US"/>
              </w:rPr>
              <w:t xml:space="preserve"> </w:t>
            </w:r>
            <w:proofErr w:type="spellStart"/>
            <w:r w:rsidR="00F229F6" w:rsidRPr="00F229F6">
              <w:rPr>
                <w:b/>
                <w:bCs/>
                <w:lang w:val="en-US"/>
              </w:rPr>
              <w:t>milligrammban</w:t>
            </w:r>
            <w:proofErr w:type="spellEnd"/>
            <w:r w:rsidR="00F229F6" w:rsidRPr="00F229F6">
              <w:rPr>
                <w:b/>
                <w:bCs/>
                <w:lang w:val="en-US"/>
              </w:rPr>
              <w:t xml:space="preserve"> (mg) </w:t>
            </w:r>
          </w:p>
        </w:tc>
      </w:tr>
      <w:tr w:rsidR="00F229F6" w:rsidRPr="00F229F6" w14:paraId="2EEF6D41" w14:textId="77777777" w:rsidTr="004D47E9">
        <w:trPr>
          <w:trHeight w:val="240"/>
        </w:trPr>
        <w:tc>
          <w:tcPr>
            <w:tcW w:w="4166" w:type="dxa"/>
          </w:tcPr>
          <w:p w14:paraId="38E7E07F" w14:textId="7BE33EBD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13,5–22,9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kg</w:t>
            </w:r>
          </w:p>
        </w:tc>
        <w:tc>
          <w:tcPr>
            <w:tcW w:w="4760" w:type="dxa"/>
          </w:tcPr>
          <w:p w14:paraId="329C3D7B" w14:textId="65A2DE12" w:rsidR="00F229F6" w:rsidRPr="00F229F6" w:rsidRDefault="00F229F6" w:rsidP="00F229F6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50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 xml:space="preserve">mg (2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25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) </w:t>
            </w:r>
            <w:proofErr w:type="spellStart"/>
            <w:r w:rsidRPr="00F229F6">
              <w:rPr>
                <w:lang w:val="en-US"/>
              </w:rPr>
              <w:t>naponta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kétszer</w:t>
            </w:r>
            <w:proofErr w:type="spellEnd"/>
            <w:r w:rsidRPr="00F229F6">
              <w:rPr>
                <w:lang w:val="en-US"/>
              </w:rPr>
              <w:t xml:space="preserve"> </w:t>
            </w:r>
          </w:p>
        </w:tc>
      </w:tr>
      <w:tr w:rsidR="00F229F6" w:rsidRPr="00F229F6" w14:paraId="6EFF47A8" w14:textId="77777777" w:rsidTr="004D47E9">
        <w:trPr>
          <w:trHeight w:val="240"/>
        </w:trPr>
        <w:tc>
          <w:tcPr>
            <w:tcW w:w="4166" w:type="dxa"/>
          </w:tcPr>
          <w:p w14:paraId="323F1AB9" w14:textId="342E4017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23,0–33,4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kg</w:t>
            </w:r>
          </w:p>
        </w:tc>
        <w:tc>
          <w:tcPr>
            <w:tcW w:w="4760" w:type="dxa"/>
          </w:tcPr>
          <w:p w14:paraId="39F10951" w14:textId="39006A07" w:rsidR="00F229F6" w:rsidRPr="00F229F6" w:rsidRDefault="00F229F6" w:rsidP="00F229F6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75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 xml:space="preserve">mg (3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25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) </w:t>
            </w:r>
            <w:proofErr w:type="spellStart"/>
            <w:r w:rsidRPr="00F229F6">
              <w:rPr>
                <w:lang w:val="en-US"/>
              </w:rPr>
              <w:t>naponta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kétszer</w:t>
            </w:r>
            <w:proofErr w:type="spellEnd"/>
            <w:r w:rsidRPr="00F229F6">
              <w:rPr>
                <w:lang w:val="en-US"/>
              </w:rPr>
              <w:t xml:space="preserve"> </w:t>
            </w:r>
          </w:p>
        </w:tc>
      </w:tr>
      <w:tr w:rsidR="00F229F6" w:rsidRPr="00F229F6" w14:paraId="2876F545" w14:textId="77777777" w:rsidTr="004D47E9">
        <w:trPr>
          <w:trHeight w:val="240"/>
        </w:trPr>
        <w:tc>
          <w:tcPr>
            <w:tcW w:w="4166" w:type="dxa"/>
          </w:tcPr>
          <w:p w14:paraId="526CF310" w14:textId="5FF05499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33,5–57,4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kg</w:t>
            </w:r>
          </w:p>
        </w:tc>
        <w:tc>
          <w:tcPr>
            <w:tcW w:w="4760" w:type="dxa"/>
          </w:tcPr>
          <w:p w14:paraId="38B5908B" w14:textId="3927A8AF" w:rsidR="00F229F6" w:rsidRPr="00F229F6" w:rsidRDefault="00F229F6" w:rsidP="00F229F6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100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 xml:space="preserve">mg (1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100 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vagy</w:t>
            </w:r>
            <w:proofErr w:type="spellEnd"/>
            <w:r w:rsidRPr="00F229F6">
              <w:rPr>
                <w:lang w:val="en-US"/>
              </w:rPr>
              <w:t xml:space="preserve"> 4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25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) </w:t>
            </w:r>
            <w:proofErr w:type="spellStart"/>
            <w:r w:rsidRPr="00F229F6">
              <w:rPr>
                <w:lang w:val="en-US"/>
              </w:rPr>
              <w:t>naponta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kétszer</w:t>
            </w:r>
            <w:proofErr w:type="spellEnd"/>
            <w:r w:rsidRPr="00F229F6">
              <w:rPr>
                <w:lang w:val="en-US"/>
              </w:rPr>
              <w:t xml:space="preserve"> </w:t>
            </w:r>
          </w:p>
        </w:tc>
      </w:tr>
      <w:tr w:rsidR="00F229F6" w:rsidRPr="00F229F6" w14:paraId="31037ABF" w14:textId="77777777" w:rsidTr="004D47E9">
        <w:trPr>
          <w:trHeight w:val="240"/>
        </w:trPr>
        <w:tc>
          <w:tcPr>
            <w:tcW w:w="4166" w:type="dxa"/>
          </w:tcPr>
          <w:p w14:paraId="76AC2A8F" w14:textId="417F1FFC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lastRenderedPageBreak/>
              <w:t>57,5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 xml:space="preserve">kg </w:t>
            </w:r>
            <w:proofErr w:type="spellStart"/>
            <w:r w:rsidRPr="00F229F6">
              <w:rPr>
                <w:lang w:val="en-US"/>
              </w:rPr>
              <w:t>és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afölött</w:t>
            </w:r>
            <w:proofErr w:type="spellEnd"/>
          </w:p>
        </w:tc>
        <w:tc>
          <w:tcPr>
            <w:tcW w:w="4760" w:type="dxa"/>
          </w:tcPr>
          <w:p w14:paraId="45E9AFA1" w14:textId="44A0B10A" w:rsidR="00F229F6" w:rsidRPr="00F229F6" w:rsidRDefault="00F229F6" w:rsidP="00570222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rPr>
                <w:lang w:val="en-US"/>
              </w:rPr>
            </w:pPr>
            <w:r w:rsidRPr="00F229F6">
              <w:rPr>
                <w:lang w:val="en-US"/>
              </w:rPr>
              <w:t>150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 xml:space="preserve">mg (1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150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vagy</w:t>
            </w:r>
            <w:proofErr w:type="spellEnd"/>
            <w:r w:rsidRPr="00F229F6">
              <w:rPr>
                <w:lang w:val="en-US"/>
              </w:rPr>
              <w:t xml:space="preserve"> 6 </w:t>
            </w:r>
            <w:proofErr w:type="spellStart"/>
            <w:r w:rsidRPr="00F229F6">
              <w:rPr>
                <w:lang w:val="en-US"/>
              </w:rPr>
              <w:t>db</w:t>
            </w:r>
            <w:proofErr w:type="spellEnd"/>
            <w:r w:rsidRPr="00F229F6">
              <w:rPr>
                <w:lang w:val="en-US"/>
              </w:rPr>
              <w:t xml:space="preserve"> 25</w:t>
            </w:r>
            <w:r w:rsidR="00570222">
              <w:rPr>
                <w:lang w:val="en-US"/>
              </w:rPr>
              <w:t> </w:t>
            </w:r>
            <w:r w:rsidRPr="00F229F6">
              <w:rPr>
                <w:lang w:val="en-US"/>
              </w:rPr>
              <w:t>mg-</w:t>
            </w:r>
            <w:proofErr w:type="spellStart"/>
            <w:r w:rsidRPr="00F229F6">
              <w:rPr>
                <w:lang w:val="en-US"/>
              </w:rPr>
              <w:t>os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kapszula</w:t>
            </w:r>
            <w:proofErr w:type="spellEnd"/>
            <w:r w:rsidRPr="00F229F6">
              <w:rPr>
                <w:lang w:val="en-US"/>
              </w:rPr>
              <w:t xml:space="preserve">) </w:t>
            </w:r>
            <w:proofErr w:type="spellStart"/>
            <w:r w:rsidRPr="00F229F6">
              <w:rPr>
                <w:lang w:val="en-US"/>
              </w:rPr>
              <w:t>naponta</w:t>
            </w:r>
            <w:proofErr w:type="spellEnd"/>
            <w:r w:rsidRPr="00F229F6">
              <w:rPr>
                <w:lang w:val="en-US"/>
              </w:rPr>
              <w:t xml:space="preserve"> </w:t>
            </w:r>
            <w:proofErr w:type="spellStart"/>
            <w:r w:rsidRPr="00F229F6">
              <w:rPr>
                <w:lang w:val="en-US"/>
              </w:rPr>
              <w:t>kétszer</w:t>
            </w:r>
            <w:proofErr w:type="spellEnd"/>
            <w:r w:rsidRPr="00F229F6">
              <w:rPr>
                <w:lang w:val="en-US"/>
              </w:rPr>
              <w:t xml:space="preserve"> </w:t>
            </w:r>
          </w:p>
        </w:tc>
      </w:tr>
    </w:tbl>
    <w:p w14:paraId="192C7A1D" w14:textId="77777777" w:rsidR="00900C50" w:rsidRDefault="00900C50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"/>
        </w:rPr>
      </w:pPr>
    </w:p>
    <w:p w14:paraId="572EF5FF" w14:textId="19A63ADA" w:rsidR="001F70DE" w:rsidRPr="004D47E9" w:rsidRDefault="00900C50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D47E9">
        <w:rPr>
          <w:lang w:val="hu-HU"/>
        </w:rPr>
        <w:t xml:space="preserve">A </w:t>
      </w:r>
      <w:proofErr w:type="spellStart"/>
      <w:r w:rsidRPr="004D47E9">
        <w:rPr>
          <w:lang w:val="hu-HU"/>
        </w:rPr>
        <w:t>Lunidoc</w:t>
      </w:r>
      <w:proofErr w:type="spellEnd"/>
      <w:r w:rsidRPr="004D47E9">
        <w:rPr>
          <w:lang w:val="hu-HU"/>
        </w:rPr>
        <w:t xml:space="preserve"> 25 mg-os dózisa nem elérhető, ezért ez a készítmény a fenti betegcsoportok kezelésére nem alkalmas. Ezeknek a betegeknek más, 25 mg </w:t>
      </w:r>
      <w:proofErr w:type="spellStart"/>
      <w:r w:rsidRPr="004D47E9">
        <w:rPr>
          <w:lang w:val="hu-HU"/>
        </w:rPr>
        <w:t>nintedanib</w:t>
      </w:r>
      <w:proofErr w:type="spellEnd"/>
      <w:r w:rsidRPr="004D47E9">
        <w:rPr>
          <w:lang w:val="hu-HU"/>
        </w:rPr>
        <w:t>-ot tartalmazó készítmény alkalmazása javasolt.</w:t>
      </w:r>
    </w:p>
    <w:p w14:paraId="27EF5527" w14:textId="77777777" w:rsidR="00900C50" w:rsidRPr="004D47E9" w:rsidRDefault="00900C50" w:rsidP="00CC636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"/>
        </w:rPr>
      </w:pPr>
    </w:p>
    <w:p w14:paraId="348605B7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Ha az előírtnál több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-ot vett be</w:t>
      </w:r>
    </w:p>
    <w:p w14:paraId="14961693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"/>
        </w:rPr>
      </w:pPr>
      <w:r>
        <w:rPr>
          <w:lang w:val="hu"/>
        </w:rPr>
        <w:t>Azonnal forduljon kezelőorvosához vagy gyógyszerészéhez.</w:t>
      </w:r>
    </w:p>
    <w:p w14:paraId="5CECB7C1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"/>
        </w:rPr>
      </w:pPr>
    </w:p>
    <w:p w14:paraId="0052435B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Ha elfelejtette bevenni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-ot</w:t>
      </w:r>
    </w:p>
    <w:p w14:paraId="6EEE9E2C" w14:textId="21037FC6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 xml:space="preserve">Ne vegyen be egyszerre két kapszulát, ha elfelejtette bevenni a korábbi adagját. Vegye be 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következő 150 mg-os adagját a kezelőorvosa, illetve gyógyszerésze által javasolt</w:t>
      </w:r>
      <w:r w:rsidR="001A5C48">
        <w:rPr>
          <w:lang w:val="hu"/>
        </w:rPr>
        <w:t>, soron</w:t>
      </w:r>
      <w:r>
        <w:rPr>
          <w:lang w:val="hu"/>
        </w:rPr>
        <w:t xml:space="preserve"> következő</w:t>
      </w:r>
      <w:r w:rsidR="001A5C48">
        <w:rPr>
          <w:lang w:val="hu"/>
        </w:rPr>
        <w:t>,</w:t>
      </w:r>
      <w:r>
        <w:rPr>
          <w:lang w:val="hu"/>
        </w:rPr>
        <w:t xml:space="preserve"> esedékes időpontban.</w:t>
      </w:r>
    </w:p>
    <w:p w14:paraId="5336ECF4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7D2D3550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Ha idő előtt abbahagyja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 xml:space="preserve"> szedését</w:t>
      </w:r>
    </w:p>
    <w:p w14:paraId="4A6334C0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 xml:space="preserve">Ne hagyja abba 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szedését anélkül, hogy ezt először megbeszélné kezelőorvosával. Fontos, hogy minden nap bevegye a gyógyszert mindaddig, amíg kezelőorvosa rendeli Önnek.</w:t>
      </w:r>
    </w:p>
    <w:p w14:paraId="5AEB78CC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16861C27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Ha bármilyen további kérdése van a gyógyszer alkalmazásával kapcsolatban, kérdezze meg kezelőorvosát vagy gyógyszerészét.</w:t>
      </w:r>
    </w:p>
    <w:p w14:paraId="31F2C92E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4A1CA85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487358D7" w14:textId="77777777" w:rsidR="002370D9" w:rsidRPr="004D47E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lang w:val="hu"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Lehetséges mellékhatások</w:t>
      </w:r>
    </w:p>
    <w:p w14:paraId="0C240946" w14:textId="77777777" w:rsidR="002370D9" w:rsidRPr="004D47E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5D847BC0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Mint minden gyógyszer, így ez a gyógyszer is okozhat mellékhatásokat, amelyek azonban nem mindenkinél jelentkeznek.</w:t>
      </w:r>
    </w:p>
    <w:p w14:paraId="3E8C4CDE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276DAB81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Különösen figyeljen oda, ha a következő mellékhatások alakulnak ki Önnél a Lunidoc-kezelés alatt:</w:t>
      </w:r>
    </w:p>
    <w:p w14:paraId="355938F3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3AEA87E3" w14:textId="77777777" w:rsidR="002370D9" w:rsidRPr="004D47E9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Hasmenés </w:t>
      </w:r>
      <w:r>
        <w:rPr>
          <w:noProof/>
          <w:szCs w:val="22"/>
          <w:lang w:val="hu"/>
        </w:rPr>
        <w:t>(nagyon gyakori, 10-ből több mint 1 beteget érinthet):</w:t>
      </w:r>
    </w:p>
    <w:p w14:paraId="526BDF7D" w14:textId="147B58BD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Amint lehet, kezdjen el megfelelő hasmenés elleni kezelést, például</w:t>
      </w:r>
      <w:r w:rsidR="001A5C48">
        <w:rPr>
          <w:noProof/>
          <w:szCs w:val="22"/>
          <w:lang w:val="hu"/>
        </w:rPr>
        <w:t xml:space="preserve"> </w:t>
      </w:r>
      <w:r>
        <w:rPr>
          <w:noProof/>
          <w:szCs w:val="22"/>
          <w:lang w:val="hu"/>
        </w:rPr>
        <w:t>loperamid</w:t>
      </w:r>
      <w:r w:rsidR="001A5C48">
        <w:rPr>
          <w:noProof/>
          <w:szCs w:val="22"/>
          <w:lang w:val="hu"/>
        </w:rPr>
        <w:t xml:space="preserve"> szedését</w:t>
      </w:r>
      <w:r>
        <w:rPr>
          <w:noProof/>
          <w:szCs w:val="22"/>
          <w:lang w:val="hu"/>
        </w:rPr>
        <w:t>.</w:t>
      </w:r>
    </w:p>
    <w:p w14:paraId="0F6997F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60F72170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A gyógyszer hatóanyagával, a nintedanibbal végzett kezelés során a következő egyéb mellékhatásokat figyelték meg.</w:t>
      </w:r>
    </w:p>
    <w:p w14:paraId="03CAAF91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Ha Önnél bármilyen mellékhatás jelentkezik, tájékoztassa kezelőorvosát.</w:t>
      </w:r>
    </w:p>
    <w:p w14:paraId="11BDF40B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3F47FD79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Idiopátiás tüdőfibrózis (IPF)</w:t>
      </w:r>
    </w:p>
    <w:p w14:paraId="47D3DCA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25C3E5E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6756B6F6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alhasi fájdalom</w:t>
      </w:r>
    </w:p>
    <w:p w14:paraId="04B5ED7D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52647A06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73AA190F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5F904F5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3E404586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42B7F0C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259C1C7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70FCE0D6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304A694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31B4B1AA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7C10926F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22CE97B3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6A9E6CBD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vastagbélgyulladás</w:t>
      </w:r>
    </w:p>
    <w:p w14:paraId="5ABE9023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lastRenderedPageBreak/>
        <w:t>-</w:t>
      </w:r>
      <w:r>
        <w:rPr>
          <w:noProof/>
          <w:szCs w:val="22"/>
          <w:lang w:val="hu"/>
        </w:rPr>
        <w:tab/>
        <w:t>súlyos májproblémák</w:t>
      </w:r>
    </w:p>
    <w:p w14:paraId="5BAC63C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7F7BE98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4FBB015D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sárgaság, ami a bőr és a szemfehérjék magas bilirubinszint miatt kialakuló sárga elszíneződését jelenti</w:t>
      </w:r>
    </w:p>
    <w:p w14:paraId="5430297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56B3D4E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4BFAB85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6C7EE46E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5B0E2F5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4A3B25A6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5A20339C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2068CD80" w14:textId="77777777" w:rsidR="002370D9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71EEAC70" w14:textId="0B82F72F" w:rsidR="00A97E9D" w:rsidRPr="004D47E9" w:rsidRDefault="00FE453D" w:rsidP="00A97E9D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="00A97E9D" w:rsidRPr="004D47E9">
        <w:rPr>
          <w:noProof/>
          <w:szCs w:val="22"/>
          <w:lang w:val="hu"/>
        </w:rPr>
        <w:t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</w:t>
      </w:r>
    </w:p>
    <w:p w14:paraId="4CFDF5DD" w14:textId="6C5A3C1F" w:rsidR="00FE453D" w:rsidRPr="005131CF" w:rsidRDefault="00FE453D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7AB1623B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Egyéb, progresszív fenotípusú, krónikus, fibrotikus intersticiális tüdőbetegségek (ILD-k)</w:t>
      </w:r>
    </w:p>
    <w:p w14:paraId="02127BAE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1A1F7AA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44B06A1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3EE247D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09EB2DB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alhasi fájdalom</w:t>
      </w:r>
    </w:p>
    <w:p w14:paraId="1E45B62D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736A970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5B3056E8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6882F63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032BB5EF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3EEF362A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79FDC6C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súlyos májproblémák</w:t>
      </w:r>
    </w:p>
    <w:p w14:paraId="17BF586C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22AFED9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523AA933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2F79E039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719BA440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7AF9184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vastagbélgyulladás</w:t>
      </w:r>
    </w:p>
    <w:p w14:paraId="4124F3FF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41B14AE3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sárgaság, ami a bőr és a szemfehérjék magas bilirubinszint miatt kialakuló sárga elszíneződését jelenti</w:t>
      </w:r>
    </w:p>
    <w:p w14:paraId="4992CAB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1F77D00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52749EEB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5F01794E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5697A0AB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1FB9937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7C318554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12D4EA1E" w14:textId="77777777" w:rsidR="002370D9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4C8F7762" w14:textId="5B9F23B6" w:rsidR="00D2267B" w:rsidRPr="004D47E9" w:rsidRDefault="00CB30ED" w:rsidP="00D2267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="00D2267B" w:rsidRPr="004D47E9">
        <w:rPr>
          <w:noProof/>
          <w:szCs w:val="22"/>
          <w:lang w:val="hu"/>
        </w:rPr>
        <w:t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</w:t>
      </w:r>
    </w:p>
    <w:p w14:paraId="0D264B75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12970B8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Szisztémás szklerózissal társuló intersticiális tüdőbetegség (SSc</w:t>
      </w:r>
      <w:r>
        <w:rPr>
          <w:noProof/>
          <w:szCs w:val="22"/>
          <w:u w:val="single"/>
          <w:lang w:val="hu"/>
        </w:rPr>
        <w:noBreakHyphen/>
        <w:t>ILD)</w:t>
      </w:r>
    </w:p>
    <w:p w14:paraId="7DD5F292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13C7BFEE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711ACEB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2C79711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alhasi fájdalom</w:t>
      </w:r>
    </w:p>
    <w:p w14:paraId="49F3555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171DE557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70F4024F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5C098A6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750EAAD7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4EBCE0C2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3F07469F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152D1AEE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7E6ED5C7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7D0C31C5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57DE43C8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vastagbélgyulladás</w:t>
      </w:r>
    </w:p>
    <w:p w14:paraId="04DB3B2F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súlyos májproblémák</w:t>
      </w:r>
    </w:p>
    <w:p w14:paraId="697A204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0D3582CA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58E732EF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3899D377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00525181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710D6A19" w14:textId="77777777" w:rsidR="002370D9" w:rsidRPr="005131CF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2AAC2FAE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2AADEBF9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6D42670D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sárgaság, ami a bőr és a szemfehérjék magas bilirubinszint miatt kialakuló sárga elszíneződését jelenti</w:t>
      </w:r>
    </w:p>
    <w:p w14:paraId="27785563" w14:textId="77777777" w:rsidR="002370D9" w:rsidRPr="005131CF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4E706D96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4A28FD4A" w14:textId="77777777" w:rsidR="002370D9" w:rsidRDefault="002370D9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7F21151E" w14:textId="55D3505E" w:rsidR="00D04FC4" w:rsidRPr="004D47E9" w:rsidRDefault="00D04FC4" w:rsidP="00D04FC4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Pr="004D47E9">
        <w:rPr>
          <w:noProof/>
          <w:szCs w:val="22"/>
          <w:lang w:val="hu"/>
        </w:rPr>
        <w:t xml:space="preserve">az alábbi tünetekkel járó, az agyat érintő állapot: fejfájás, látászavar, zavartság, görcsrohamok vagy egyéb idegrendszeri zavarok, mint például a kar vagy láb gyengeségérzése, magas vérnyomással vagy anélkül (poszterior reverzibilis enkefalopátia szindróma) </w:t>
      </w:r>
    </w:p>
    <w:p w14:paraId="5115FFB4" w14:textId="33341D54" w:rsidR="00D04FC4" w:rsidRDefault="00D04FC4" w:rsidP="002370D9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415EFDEE" w14:textId="77777777" w:rsidR="002F77F4" w:rsidRPr="004D47E9" w:rsidRDefault="002F77F4" w:rsidP="002F77F4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u w:val="single"/>
          <w:lang w:val="hu"/>
        </w:rPr>
      </w:pPr>
      <w:r w:rsidRPr="004D47E9">
        <w:rPr>
          <w:noProof/>
          <w:szCs w:val="22"/>
          <w:u w:val="single"/>
          <w:lang w:val="hu"/>
        </w:rPr>
        <w:t xml:space="preserve">Fibrotikus intersticiális tüdőbetegségek (ILD-k) gyermekeknél és serdülőknél </w:t>
      </w:r>
    </w:p>
    <w:p w14:paraId="4FB74FA2" w14:textId="77777777" w:rsidR="00D80C83" w:rsidRDefault="002F77F4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"/>
        </w:rPr>
      </w:pPr>
      <w:r w:rsidRPr="004D47E9">
        <w:rPr>
          <w:noProof/>
          <w:szCs w:val="22"/>
          <w:lang w:val="hu"/>
        </w:rPr>
        <w:t>A gyermekeknél és serdülőknél jelentkező mellékhatások hasonlóak voltak a felnőtteknél tapasztalt</w:t>
      </w:r>
      <w:r w:rsidR="0081628A">
        <w:rPr>
          <w:noProof/>
          <w:szCs w:val="22"/>
          <w:lang w:val="hu"/>
        </w:rPr>
        <w:t xml:space="preserve"> </w:t>
      </w:r>
      <w:r w:rsidRPr="004D47E9">
        <w:rPr>
          <w:noProof/>
          <w:szCs w:val="22"/>
          <w:lang w:val="hu"/>
        </w:rPr>
        <w:t>mellékhatásokhoz.</w:t>
      </w:r>
    </w:p>
    <w:p w14:paraId="2C19E89C" w14:textId="45119CC0" w:rsidR="002F77F4" w:rsidRPr="004D47E9" w:rsidRDefault="002F77F4" w:rsidP="004D47E9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"/>
        </w:rPr>
      </w:pPr>
      <w:r w:rsidRPr="004D47E9">
        <w:rPr>
          <w:noProof/>
          <w:szCs w:val="22"/>
          <w:lang w:val="hu"/>
        </w:rPr>
        <w:t>Tájékoztassa kezelőorvosát, ha bármilyen mellékhatást tapasztal.</w:t>
      </w:r>
    </w:p>
    <w:p w14:paraId="2189EC02" w14:textId="77777777" w:rsidR="002370D9" w:rsidRPr="004D47E9" w:rsidRDefault="002370D9" w:rsidP="002370D9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432FC053" w14:textId="77777777" w:rsidR="002370D9" w:rsidRPr="004D47E9" w:rsidRDefault="002370D9" w:rsidP="002370D9">
      <w:pPr>
        <w:keepNext/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Mellékhatások bejelentése</w:t>
      </w:r>
    </w:p>
    <w:p w14:paraId="19F20174" w14:textId="665E21AF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9" w:history="1">
        <w:r w:rsidR="000542B4" w:rsidRPr="005131CF">
          <w:rPr>
            <w:rStyle w:val="Hiperhivatkozs"/>
            <w:szCs w:val="22"/>
            <w:highlight w:val="lightGray"/>
            <w:lang w:val="hu"/>
          </w:rPr>
          <w:t>V. függelékben</w:t>
        </w:r>
      </w:hyperlink>
      <w:r>
        <w:rPr>
          <w:szCs w:val="22"/>
          <w:lang w:val="hu"/>
        </w:rPr>
        <w:t xml:space="preserve"> </w:t>
      </w:r>
      <w:r>
        <w:rPr>
          <w:lang w:val="hu"/>
        </w:rPr>
        <w:t xml:space="preserve">található elérhetőségeken keresztül. A mellékhatások bejelentésével Ön is hozzájárulhat ahhoz, hogy minél több információ álljon rendelkezésre a gyógyszer biztonságos alkalmazásával </w:t>
      </w:r>
      <w:r>
        <w:rPr>
          <w:noProof/>
          <w:szCs w:val="22"/>
          <w:lang w:val="hu"/>
        </w:rPr>
        <w:t>kapcsolatban.</w:t>
      </w:r>
    </w:p>
    <w:p w14:paraId="742E75B0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3565C3C5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1C142686" w14:textId="77777777" w:rsidR="002370D9" w:rsidRPr="004D47E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5.</w:t>
      </w:r>
      <w:r>
        <w:rPr>
          <w:b/>
          <w:bCs/>
          <w:noProof/>
          <w:szCs w:val="22"/>
          <w:lang w:val="hu"/>
        </w:rPr>
        <w:tab/>
        <w:t>Hogyan kell a Lunidoc-ot tárolni?</w:t>
      </w:r>
    </w:p>
    <w:p w14:paraId="4C16A0DF" w14:textId="77777777" w:rsidR="002370D9" w:rsidRPr="004D47E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1B265BB6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gyógyszer gyermekektől elzárva tartandó!</w:t>
      </w:r>
    </w:p>
    <w:p w14:paraId="299920A6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72863760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dobozon és a buborékcsomagoláson feltüntetett lejárati idő (Exp.) után ne alkalmazza ezt a</w:t>
      </w:r>
      <w:r>
        <w:rPr>
          <w:lang w:val="hu"/>
        </w:rPr>
        <w:t xml:space="preserve"> </w:t>
      </w:r>
      <w:r>
        <w:rPr>
          <w:noProof/>
          <w:szCs w:val="22"/>
          <w:lang w:val="hu"/>
        </w:rPr>
        <w:t>gyógyszert. A lejárati idő az adott hónap utolsó napjára vonatkozik.</w:t>
      </w:r>
    </w:p>
    <w:p w14:paraId="22074B1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CD9B7C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Ez a gyógyszer nem igényel különleges tárolást.</w:t>
      </w:r>
    </w:p>
    <w:p w14:paraId="176D47FC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566F4279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Ne alkalmazza ezt a gyógyszert, ha azt észleli, hogy a kapszulákat tartalmazó buborékcsomagolás kinyílt vagy egy kapszula eltört.</w:t>
      </w:r>
    </w:p>
    <w:p w14:paraId="0555F114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Ha érintkezésbe kerül a kapszula tartalmával, azonnal mosson kezet bő vízzel (lásd 3. pont).</w:t>
      </w:r>
    </w:p>
    <w:p w14:paraId="4D0E4CEE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38AA16E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03EABCF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2F520E00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79EFDBC1" w14:textId="77777777" w:rsidR="002370D9" w:rsidRPr="005131CF" w:rsidRDefault="002370D9" w:rsidP="002370D9">
      <w:pPr>
        <w:keepNext/>
        <w:keepLines/>
        <w:numPr>
          <w:ilvl w:val="12"/>
          <w:numId w:val="0"/>
        </w:numPr>
        <w:spacing w:line="240" w:lineRule="auto"/>
        <w:ind w:right="-2"/>
        <w:rPr>
          <w:b/>
          <w:lang w:val="hu"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A csomagolás tartalma és egyéb információk</w:t>
      </w:r>
    </w:p>
    <w:p w14:paraId="01CE7F71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69FBBD22" w14:textId="77777777" w:rsidR="002370D9" w:rsidRPr="004D47E9" w:rsidRDefault="002370D9" w:rsidP="002370D9">
      <w:pPr>
        <w:keepNext/>
        <w:keepLines/>
        <w:tabs>
          <w:tab w:val="clear" w:pos="567"/>
        </w:tabs>
        <w:spacing w:line="240" w:lineRule="auto"/>
        <w:ind w:right="-2"/>
        <w:rPr>
          <w:i/>
          <w:iCs/>
          <w:noProof/>
          <w:szCs w:val="22"/>
          <w:lang w:val="es-ES"/>
        </w:rPr>
      </w:pPr>
      <w:r>
        <w:rPr>
          <w:b/>
          <w:bCs/>
          <w:lang w:val="hu"/>
        </w:rPr>
        <w:t xml:space="preserve">Mit tartalmaz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?</w:t>
      </w:r>
    </w:p>
    <w:p w14:paraId="7993AC33" w14:textId="77777777" w:rsidR="002370D9" w:rsidRPr="005131CF" w:rsidRDefault="002370D9" w:rsidP="005131CF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A készítmény hatóanyaga a </w:t>
      </w:r>
      <w:proofErr w:type="spellStart"/>
      <w:r>
        <w:rPr>
          <w:lang w:val="hu"/>
        </w:rPr>
        <w:t>nintedanib</w:t>
      </w:r>
      <w:proofErr w:type="spellEnd"/>
      <w:r>
        <w:rPr>
          <w:lang w:val="hu"/>
        </w:rPr>
        <w:t xml:space="preserve">. 150 mg </w:t>
      </w:r>
      <w:proofErr w:type="spellStart"/>
      <w:r>
        <w:rPr>
          <w:lang w:val="hu"/>
        </w:rPr>
        <w:t>nintedanibot</w:t>
      </w:r>
      <w:proofErr w:type="spellEnd"/>
      <w:r>
        <w:rPr>
          <w:lang w:val="hu"/>
        </w:rPr>
        <w:t xml:space="preserve"> tartalmaz </w:t>
      </w:r>
      <w:proofErr w:type="spellStart"/>
      <w:r>
        <w:rPr>
          <w:lang w:val="hu"/>
        </w:rPr>
        <w:t>kapszulánként</w:t>
      </w:r>
      <w:proofErr w:type="spellEnd"/>
      <w:r>
        <w:rPr>
          <w:lang w:val="hu"/>
        </w:rPr>
        <w:t xml:space="preserve"> (</w:t>
      </w:r>
      <w:proofErr w:type="spellStart"/>
      <w:r>
        <w:rPr>
          <w:lang w:val="hu"/>
        </w:rPr>
        <w:t>eszilát</w:t>
      </w:r>
      <w:proofErr w:type="spellEnd"/>
      <w:r>
        <w:rPr>
          <w:lang w:val="hu"/>
        </w:rPr>
        <w:t xml:space="preserve"> formájában).</w:t>
      </w:r>
    </w:p>
    <w:p w14:paraId="3142121F" w14:textId="77777777" w:rsidR="002370D9" w:rsidRPr="005131CF" w:rsidRDefault="002370D9" w:rsidP="005131CF">
      <w:pPr>
        <w:numPr>
          <w:ilvl w:val="12"/>
          <w:numId w:val="0"/>
        </w:numPr>
        <w:spacing w:line="240" w:lineRule="auto"/>
        <w:ind w:left="567" w:right="-2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Egyéb összetevők:</w:t>
      </w:r>
    </w:p>
    <w:p w14:paraId="4EBDF0D3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>A kapszula tartalma: közepes lánchosszúságú trigliceridek, szilárd zsír és poligliceril-3-dioleát.</w:t>
      </w:r>
    </w:p>
    <w:p w14:paraId="67CCA604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 xml:space="preserve">Kapszulahéj: zselatin, glicerin, </w:t>
      </w:r>
      <w:proofErr w:type="spellStart"/>
      <w:r>
        <w:rPr>
          <w:lang w:val="hu"/>
        </w:rPr>
        <w:t>titánium</w:t>
      </w:r>
      <w:proofErr w:type="spellEnd"/>
      <w:r>
        <w:rPr>
          <w:lang w:val="hu"/>
        </w:rPr>
        <w:noBreakHyphen/>
        <w:t>dioxid (E 171), vörös vas-oxid (E 172), sárga vas-oxid (E 172), tisztított víz.</w:t>
      </w:r>
    </w:p>
    <w:p w14:paraId="3109DFB7" w14:textId="0A1048CA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 xml:space="preserve">Jelölőfesték: sellak, </w:t>
      </w:r>
      <w:r w:rsidR="00BC5066">
        <w:rPr>
          <w:lang w:val="hu"/>
        </w:rPr>
        <w:t>fekete vas-oxid (E</w:t>
      </w:r>
      <w:r w:rsidR="00C96FC7">
        <w:rPr>
          <w:lang w:val="hu"/>
        </w:rPr>
        <w:t> </w:t>
      </w:r>
      <w:r w:rsidR="00BC5066">
        <w:rPr>
          <w:lang w:val="hu"/>
        </w:rPr>
        <w:t>172)</w:t>
      </w:r>
      <w:r>
        <w:rPr>
          <w:lang w:val="hu"/>
        </w:rPr>
        <w:t xml:space="preserve">, </w:t>
      </w:r>
      <w:proofErr w:type="spellStart"/>
      <w:r>
        <w:rPr>
          <w:lang w:val="hu"/>
        </w:rPr>
        <w:t>propilénglikol</w:t>
      </w:r>
      <w:proofErr w:type="spellEnd"/>
      <w:r>
        <w:rPr>
          <w:lang w:val="hu"/>
        </w:rPr>
        <w:t xml:space="preserve"> (E 1520), </w:t>
      </w:r>
    </w:p>
    <w:p w14:paraId="62D83769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"/>
        </w:rPr>
      </w:pPr>
    </w:p>
    <w:p w14:paraId="1BD29F5F" w14:textId="77777777" w:rsidR="002370D9" w:rsidRPr="004D47E9" w:rsidRDefault="002370D9" w:rsidP="002370D9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Milyen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 xml:space="preserve"> külleme és mit tartalmaz a csomagolás?</w:t>
      </w:r>
    </w:p>
    <w:p w14:paraId="2318DABB" w14:textId="2DC524AE" w:rsidR="001A5C48" w:rsidRPr="007613CF" w:rsidRDefault="002370D9" w:rsidP="007613C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"/>
        </w:rPr>
      </w:pPr>
      <w:r>
        <w:rPr>
          <w:lang w:val="hu"/>
        </w:rPr>
        <w:t xml:space="preserve">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150 mg lágy kapszula </w:t>
      </w:r>
      <w:r w:rsidR="001A5C48" w:rsidRPr="007613CF">
        <w:rPr>
          <w:lang w:val="hu"/>
        </w:rPr>
        <w:t xml:space="preserve">sárga, viszkózus szuszpenziót tartalmazó barna színű, átlátszatlan, hosszúkás kapszula, </w:t>
      </w:r>
      <w:r w:rsidR="00BC5066">
        <w:rPr>
          <w:lang w:val="hu"/>
        </w:rPr>
        <w:t>fekete</w:t>
      </w:r>
      <w:r w:rsidR="001A5C48" w:rsidRPr="007613CF">
        <w:rPr>
          <w:lang w:val="hu"/>
        </w:rPr>
        <w:t xml:space="preserve"> “NT 150” jelöléssel, mérete körülbelül 17 mm.</w:t>
      </w:r>
    </w:p>
    <w:p w14:paraId="7005D9BD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2B7F1788" w14:textId="0EF36AB1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 xml:space="preserve">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150 mg lágy kapszula OPA/</w:t>
      </w:r>
      <w:proofErr w:type="spellStart"/>
      <w:r>
        <w:rPr>
          <w:lang w:val="hu"/>
        </w:rPr>
        <w:t>Al</w:t>
      </w:r>
      <w:proofErr w:type="spellEnd"/>
      <w:r>
        <w:rPr>
          <w:lang w:val="hu"/>
        </w:rPr>
        <w:t>/PVC</w:t>
      </w:r>
      <w:r>
        <w:rPr>
          <w:lang w:val="hu"/>
        </w:rPr>
        <w:noBreakHyphen/>
        <w:t>alumínium adagonként perforált buborékcsomagolásban</w:t>
      </w:r>
      <w:r w:rsidR="001A5C48">
        <w:rPr>
          <w:lang w:val="hu"/>
        </w:rPr>
        <w:t xml:space="preserve"> és dobozban </w:t>
      </w:r>
      <w:r>
        <w:rPr>
          <w:lang w:val="hu"/>
        </w:rPr>
        <w:t>kerül forgalomba.</w:t>
      </w:r>
    </w:p>
    <w:p w14:paraId="45B6773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0408B61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Kiszerelési egységek:</w:t>
      </w:r>
    </w:p>
    <w:p w14:paraId="5D3EC89A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30 × 1 lágy kapszula</w:t>
      </w:r>
    </w:p>
    <w:p w14:paraId="4CA2AEE3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60 × 1 lágy kapszula</w:t>
      </w:r>
    </w:p>
    <w:p w14:paraId="181C065F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062D1E11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Nem feltétlenül mindegyik kiszerelés kerül kereskedelmi forgalomba.</w:t>
      </w:r>
    </w:p>
    <w:p w14:paraId="0BE72475" w14:textId="77777777" w:rsidR="002370D9" w:rsidRPr="004D47E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3D6E4B69" w14:textId="77777777" w:rsidR="002370D9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"/>
        </w:rPr>
      </w:pPr>
      <w:r>
        <w:rPr>
          <w:b/>
          <w:bCs/>
          <w:lang w:val="hu"/>
        </w:rPr>
        <w:t>A forgalomba hozatali engedély jogosultja</w:t>
      </w:r>
    </w:p>
    <w:p w14:paraId="4B4FC9BE" w14:textId="77777777" w:rsidR="002370D9" w:rsidRPr="00282711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EFB6C9E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Richter Gedeon Nyrt.</w:t>
      </w:r>
    </w:p>
    <w:p w14:paraId="1E82C723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H-1103 Budapest</w:t>
      </w:r>
    </w:p>
    <w:p w14:paraId="1A1E461C" w14:textId="77777777" w:rsidR="002370D9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Gyömrői út 19–21.</w:t>
      </w:r>
    </w:p>
    <w:p w14:paraId="16746316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Magyarország</w:t>
      </w:r>
    </w:p>
    <w:p w14:paraId="0A09FE57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3C6EFDB0" w14:textId="2B50AFCA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hu"/>
        </w:rPr>
      </w:pPr>
      <w:r>
        <w:rPr>
          <w:b/>
          <w:bCs/>
          <w:lang w:val="hu"/>
        </w:rPr>
        <w:t>Gyártó</w:t>
      </w:r>
    </w:p>
    <w:p w14:paraId="0907179E" w14:textId="77777777" w:rsidR="002370D9" w:rsidRPr="005131CF" w:rsidRDefault="002370D9" w:rsidP="002370D9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7021B13B" w14:textId="77777777" w:rsidR="002370D9" w:rsidRPr="000E38F4" w:rsidRDefault="002370D9" w:rsidP="002370D9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noProof/>
          <w:szCs w:val="22"/>
          <w:lang w:val="hu"/>
        </w:rPr>
        <w:t>Pharmadox Healthcare Limited</w:t>
      </w:r>
    </w:p>
    <w:p w14:paraId="57992469" w14:textId="77777777" w:rsidR="002370D9" w:rsidRPr="004D47E9" w:rsidRDefault="002370D9" w:rsidP="002370D9">
      <w:pPr>
        <w:tabs>
          <w:tab w:val="clear" w:pos="567"/>
        </w:tabs>
        <w:spacing w:line="240" w:lineRule="auto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KW20A Kordin Industrial Park</w:t>
      </w:r>
    </w:p>
    <w:p w14:paraId="2916B347" w14:textId="77777777" w:rsidR="002370D9" w:rsidRPr="004D47E9" w:rsidRDefault="002370D9" w:rsidP="002370D9">
      <w:pPr>
        <w:tabs>
          <w:tab w:val="clear" w:pos="567"/>
        </w:tabs>
        <w:spacing w:line="240" w:lineRule="auto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Paola PLA 3000</w:t>
      </w:r>
    </w:p>
    <w:p w14:paraId="66E86A2E" w14:textId="77777777" w:rsidR="002370D9" w:rsidRPr="004D47E9" w:rsidRDefault="002370D9" w:rsidP="002370D9">
      <w:pPr>
        <w:tabs>
          <w:tab w:val="clear" w:pos="567"/>
        </w:tabs>
        <w:spacing w:line="240" w:lineRule="auto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Málta</w:t>
      </w:r>
    </w:p>
    <w:p w14:paraId="7D3E5A2C" w14:textId="77777777" w:rsidR="002370D9" w:rsidRPr="004D47E9" w:rsidRDefault="002370D9" w:rsidP="002370D9">
      <w:p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5C1646AA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proofErr w:type="spellStart"/>
      <w:r w:rsidRPr="000542B4">
        <w:rPr>
          <w:lang w:val="hu"/>
        </w:rPr>
        <w:t>Adalvo</w:t>
      </w:r>
      <w:proofErr w:type="spellEnd"/>
      <w:r w:rsidRPr="000542B4">
        <w:rPr>
          <w:lang w:val="hu"/>
        </w:rPr>
        <w:t xml:space="preserve"> Limited</w:t>
      </w:r>
    </w:p>
    <w:p w14:paraId="5DA1CB30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proofErr w:type="spellStart"/>
      <w:r w:rsidRPr="000542B4">
        <w:rPr>
          <w:lang w:val="hu"/>
        </w:rPr>
        <w:t>Malta</w:t>
      </w:r>
      <w:proofErr w:type="spellEnd"/>
      <w:r w:rsidRPr="000542B4">
        <w:rPr>
          <w:lang w:val="hu"/>
        </w:rPr>
        <w:t xml:space="preserve"> Life </w:t>
      </w:r>
      <w:proofErr w:type="spellStart"/>
      <w:r w:rsidRPr="000542B4">
        <w:rPr>
          <w:lang w:val="hu"/>
        </w:rPr>
        <w:t>Sciences</w:t>
      </w:r>
      <w:proofErr w:type="spellEnd"/>
      <w:r w:rsidRPr="000542B4">
        <w:rPr>
          <w:lang w:val="hu"/>
        </w:rPr>
        <w:t xml:space="preserve"> Park Building 1 </w:t>
      </w:r>
      <w:proofErr w:type="spellStart"/>
      <w:r w:rsidRPr="000542B4">
        <w:rPr>
          <w:lang w:val="hu"/>
        </w:rPr>
        <w:t>Level</w:t>
      </w:r>
      <w:proofErr w:type="spellEnd"/>
      <w:r w:rsidRPr="000542B4">
        <w:rPr>
          <w:lang w:val="hu"/>
        </w:rPr>
        <w:t xml:space="preserve"> 4</w:t>
      </w:r>
    </w:p>
    <w:p w14:paraId="22FCCBB4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 xml:space="preserve">Sir </w:t>
      </w:r>
      <w:proofErr w:type="spellStart"/>
      <w:r w:rsidRPr="000542B4">
        <w:rPr>
          <w:lang w:val="hu"/>
        </w:rPr>
        <w:t>Temi</w:t>
      </w:r>
      <w:proofErr w:type="spellEnd"/>
      <w:r w:rsidRPr="000542B4">
        <w:rPr>
          <w:lang w:val="hu"/>
        </w:rPr>
        <w:t xml:space="preserve"> </w:t>
      </w:r>
      <w:proofErr w:type="spellStart"/>
      <w:r w:rsidRPr="000542B4">
        <w:rPr>
          <w:lang w:val="hu"/>
        </w:rPr>
        <w:t>Zammit</w:t>
      </w:r>
      <w:proofErr w:type="spellEnd"/>
      <w:r w:rsidRPr="000542B4">
        <w:rPr>
          <w:lang w:val="hu"/>
        </w:rPr>
        <w:t xml:space="preserve"> </w:t>
      </w:r>
      <w:proofErr w:type="spellStart"/>
      <w:r w:rsidRPr="000542B4">
        <w:rPr>
          <w:lang w:val="hu"/>
        </w:rPr>
        <w:t>Buildings</w:t>
      </w:r>
      <w:proofErr w:type="spellEnd"/>
    </w:p>
    <w:p w14:paraId="571F7502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 xml:space="preserve">San </w:t>
      </w:r>
      <w:proofErr w:type="spellStart"/>
      <w:r w:rsidRPr="000542B4">
        <w:rPr>
          <w:lang w:val="hu"/>
        </w:rPr>
        <w:t>Gwann</w:t>
      </w:r>
      <w:proofErr w:type="spellEnd"/>
      <w:r w:rsidRPr="000542B4">
        <w:rPr>
          <w:lang w:val="hu"/>
        </w:rPr>
        <w:t xml:space="preserve"> </w:t>
      </w:r>
      <w:proofErr w:type="spellStart"/>
      <w:r w:rsidRPr="000542B4">
        <w:rPr>
          <w:lang w:val="hu"/>
        </w:rPr>
        <w:t>Industrial</w:t>
      </w:r>
      <w:proofErr w:type="spellEnd"/>
      <w:r w:rsidRPr="000542B4">
        <w:rPr>
          <w:lang w:val="hu"/>
        </w:rPr>
        <w:t xml:space="preserve"> </w:t>
      </w:r>
      <w:proofErr w:type="spellStart"/>
      <w:r w:rsidRPr="000542B4">
        <w:rPr>
          <w:lang w:val="hu"/>
        </w:rPr>
        <w:t>Estate</w:t>
      </w:r>
      <w:proofErr w:type="spellEnd"/>
      <w:r w:rsidRPr="000542B4">
        <w:rPr>
          <w:lang w:val="hu"/>
        </w:rPr>
        <w:t>, SGN 3000</w:t>
      </w:r>
    </w:p>
    <w:p w14:paraId="6CD8A58A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>Málta</w:t>
      </w:r>
    </w:p>
    <w:p w14:paraId="4E539AD7" w14:textId="77777777" w:rsidR="002370D9" w:rsidRPr="000542B4" w:rsidRDefault="002370D9" w:rsidP="000542B4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7867FFBF" w14:textId="77777777" w:rsidR="002370D9" w:rsidRPr="000542B4" w:rsidRDefault="002370D9" w:rsidP="000011C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>QUALIMETRIX S.A.</w:t>
      </w:r>
    </w:p>
    <w:p w14:paraId="48CB33D4" w14:textId="77777777" w:rsidR="002370D9" w:rsidRPr="000542B4" w:rsidRDefault="002370D9" w:rsidP="000011C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>579 MESOGEION AVENUE AGIA PARASKEVI,</w:t>
      </w:r>
    </w:p>
    <w:p w14:paraId="36902628" w14:textId="77777777" w:rsidR="002370D9" w:rsidRPr="000542B4" w:rsidRDefault="002370D9" w:rsidP="000011C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>Athén, 15343</w:t>
      </w:r>
    </w:p>
    <w:p w14:paraId="531493B6" w14:textId="77777777" w:rsidR="002370D9" w:rsidRPr="000542B4" w:rsidRDefault="002370D9" w:rsidP="000011C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542B4">
        <w:rPr>
          <w:lang w:val="hu"/>
        </w:rPr>
        <w:t>Görögország</w:t>
      </w:r>
    </w:p>
    <w:p w14:paraId="5C10E033" w14:textId="77777777" w:rsidR="001115FF" w:rsidRPr="005131CF" w:rsidRDefault="001115FF" w:rsidP="002370D9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094351B1" w14:textId="77777777" w:rsidR="002370D9" w:rsidRPr="005131CF" w:rsidRDefault="002370D9" w:rsidP="002370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Ezt a gyógyszert az Európai Gazdasági Térség tagállamaiban az alábbi neveken engedélyezték:</w:t>
      </w:r>
    </w:p>
    <w:p w14:paraId="06BE13DF" w14:textId="77777777" w:rsidR="00D6030A" w:rsidRPr="005131CF" w:rsidRDefault="00D6030A" w:rsidP="00021E54">
      <w:pPr>
        <w:rPr>
          <w:szCs w:val="22"/>
          <w:lang w:val="hu"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560"/>
      </w:tblGrid>
      <w:tr w:rsidR="00D6030A" w:rsidRPr="00ED1C1F" w14:paraId="64199FAA" w14:textId="77777777" w:rsidTr="00ED1C1F">
        <w:tc>
          <w:tcPr>
            <w:tcW w:w="1696" w:type="dxa"/>
          </w:tcPr>
          <w:p w14:paraId="57975811" w14:textId="3F980077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ED1C1F">
              <w:rPr>
                <w:sz w:val="22"/>
                <w:szCs w:val="22"/>
                <w:lang w:eastAsia="hu-HU"/>
              </w:rPr>
              <w:t>Ciprus</w:t>
            </w:r>
            <w:proofErr w:type="spellEnd"/>
          </w:p>
        </w:tc>
        <w:tc>
          <w:tcPr>
            <w:tcW w:w="1560" w:type="dxa"/>
          </w:tcPr>
          <w:p w14:paraId="641A6821" w14:textId="75333B29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Lunidoc</w:t>
            </w:r>
            <w:proofErr w:type="spellEnd"/>
          </w:p>
        </w:tc>
      </w:tr>
      <w:tr w:rsidR="00D6030A" w:rsidRPr="00703C18" w14:paraId="17003EC8" w14:textId="77777777" w:rsidTr="00ED1C1F">
        <w:tc>
          <w:tcPr>
            <w:tcW w:w="1696" w:type="dxa"/>
          </w:tcPr>
          <w:p w14:paraId="460F2941" w14:textId="091CE039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Izland</w:t>
            </w:r>
            <w:proofErr w:type="spellEnd"/>
          </w:p>
        </w:tc>
        <w:tc>
          <w:tcPr>
            <w:tcW w:w="1560" w:type="dxa"/>
          </w:tcPr>
          <w:p w14:paraId="4EAE7D0D" w14:textId="2A24C407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Lunidoc</w:t>
            </w:r>
            <w:proofErr w:type="spellEnd"/>
          </w:p>
        </w:tc>
      </w:tr>
      <w:tr w:rsidR="00D6030A" w:rsidRPr="00703C18" w14:paraId="6E61505A" w14:textId="77777777" w:rsidTr="00ED1C1F">
        <w:tc>
          <w:tcPr>
            <w:tcW w:w="1696" w:type="dxa"/>
          </w:tcPr>
          <w:p w14:paraId="7F753713" w14:textId="1B09958B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Málta</w:t>
            </w:r>
            <w:proofErr w:type="spellEnd"/>
          </w:p>
        </w:tc>
        <w:tc>
          <w:tcPr>
            <w:tcW w:w="1560" w:type="dxa"/>
          </w:tcPr>
          <w:p w14:paraId="4ECECB7D" w14:textId="5B77F01A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Lunidoc</w:t>
            </w:r>
            <w:proofErr w:type="spellEnd"/>
          </w:p>
        </w:tc>
      </w:tr>
      <w:tr w:rsidR="00D6030A" w:rsidRPr="00703C18" w14:paraId="4D2B560C" w14:textId="77777777" w:rsidTr="00ED1C1F">
        <w:tc>
          <w:tcPr>
            <w:tcW w:w="1696" w:type="dxa"/>
          </w:tcPr>
          <w:p w14:paraId="265473A6" w14:textId="6CBB4E95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lastRenderedPageBreak/>
              <w:t>Magyarország</w:t>
            </w:r>
            <w:proofErr w:type="spellEnd"/>
          </w:p>
        </w:tc>
        <w:tc>
          <w:tcPr>
            <w:tcW w:w="1560" w:type="dxa"/>
          </w:tcPr>
          <w:p w14:paraId="10E570F6" w14:textId="363C61D4" w:rsidR="00D6030A" w:rsidRPr="00703C18" w:rsidRDefault="00D6030A" w:rsidP="00021E54">
            <w:pPr>
              <w:rPr>
                <w:sz w:val="22"/>
                <w:szCs w:val="22"/>
                <w:lang w:eastAsia="hu-HU"/>
              </w:rPr>
            </w:pPr>
            <w:proofErr w:type="spellStart"/>
            <w:r w:rsidRPr="00703C18">
              <w:rPr>
                <w:sz w:val="22"/>
                <w:szCs w:val="22"/>
                <w:lang w:eastAsia="hu-HU"/>
              </w:rPr>
              <w:t>Lunidoc</w:t>
            </w:r>
            <w:proofErr w:type="spellEnd"/>
          </w:p>
        </w:tc>
      </w:tr>
    </w:tbl>
    <w:p w14:paraId="0F038C50" w14:textId="77777777" w:rsidR="00D6030A" w:rsidRPr="00021E54" w:rsidRDefault="00D6030A" w:rsidP="00021E54">
      <w:pPr>
        <w:rPr>
          <w:szCs w:val="22"/>
          <w:lang w:eastAsia="hu-HU"/>
        </w:rPr>
      </w:pPr>
    </w:p>
    <w:p w14:paraId="692A420F" w14:textId="7F1D02FF" w:rsidR="000011CE" w:rsidRPr="000011CE" w:rsidRDefault="000011CE" w:rsidP="000011CE">
      <w:pPr>
        <w:rPr>
          <w:szCs w:val="22"/>
          <w:lang w:val="hu-HU" w:eastAsia="hu-HU"/>
        </w:rPr>
      </w:pPr>
      <w:r w:rsidRPr="000011CE">
        <w:rPr>
          <w:szCs w:val="22"/>
          <w:lang w:eastAsia="hu-HU"/>
        </w:rPr>
        <w:t>OGYI-T-24527/02     30</w:t>
      </w:r>
      <w:r w:rsidR="002926E3">
        <w:rPr>
          <w:szCs w:val="22"/>
          <w:lang w:eastAsia="hu-HU"/>
        </w:rPr>
        <w:t>×</w:t>
      </w:r>
      <w:r w:rsidRPr="000011CE">
        <w:rPr>
          <w:szCs w:val="22"/>
          <w:lang w:eastAsia="hu-HU"/>
        </w:rPr>
        <w:t>1    OPA/Al/PVC-</w:t>
      </w:r>
      <w:proofErr w:type="spellStart"/>
      <w:r w:rsidRPr="000011CE">
        <w:rPr>
          <w:szCs w:val="22"/>
          <w:lang w:eastAsia="hu-HU"/>
        </w:rPr>
        <w:t>alumínium</w:t>
      </w:r>
      <w:proofErr w:type="spellEnd"/>
      <w:r w:rsidRPr="000011CE">
        <w:rPr>
          <w:szCs w:val="22"/>
          <w:lang w:eastAsia="hu-HU"/>
        </w:rPr>
        <w:t xml:space="preserve"> </w:t>
      </w:r>
      <w:proofErr w:type="spellStart"/>
      <w:r w:rsidRPr="000011CE">
        <w:rPr>
          <w:szCs w:val="22"/>
          <w:lang w:eastAsia="hu-HU"/>
        </w:rPr>
        <w:t>adagonként</w:t>
      </w:r>
      <w:proofErr w:type="spellEnd"/>
      <w:r w:rsidRPr="000011CE">
        <w:rPr>
          <w:szCs w:val="22"/>
          <w:lang w:eastAsia="hu-HU"/>
        </w:rPr>
        <w:t xml:space="preserve"> </w:t>
      </w:r>
      <w:proofErr w:type="spellStart"/>
      <w:r w:rsidRPr="000011CE">
        <w:rPr>
          <w:szCs w:val="22"/>
          <w:lang w:eastAsia="hu-HU"/>
        </w:rPr>
        <w:t>perforált</w:t>
      </w:r>
      <w:proofErr w:type="spellEnd"/>
      <w:r w:rsidRPr="000011CE">
        <w:rPr>
          <w:szCs w:val="22"/>
          <w:lang w:eastAsia="hu-HU"/>
        </w:rPr>
        <w:t xml:space="preserve"> </w:t>
      </w:r>
      <w:proofErr w:type="spellStart"/>
      <w:r w:rsidRPr="000011CE">
        <w:rPr>
          <w:szCs w:val="22"/>
          <w:lang w:eastAsia="hu-HU"/>
        </w:rPr>
        <w:t>buborékcsomagolásban</w:t>
      </w:r>
      <w:proofErr w:type="spellEnd"/>
    </w:p>
    <w:p w14:paraId="15352114" w14:textId="1708DE09" w:rsidR="000011CE" w:rsidRPr="005131CF" w:rsidRDefault="000011CE" w:rsidP="000011CE">
      <w:pPr>
        <w:rPr>
          <w:szCs w:val="22"/>
          <w:lang w:val="hu-HU" w:eastAsia="hu-HU"/>
        </w:rPr>
      </w:pPr>
      <w:r w:rsidRPr="005131CF">
        <w:rPr>
          <w:szCs w:val="22"/>
          <w:lang w:val="hu-HU" w:eastAsia="hu-HU"/>
        </w:rPr>
        <w:t>OGYI-T-24527/03     60</w:t>
      </w:r>
      <w:r w:rsidR="002926E3" w:rsidRPr="005131CF">
        <w:rPr>
          <w:szCs w:val="22"/>
          <w:lang w:val="hu-HU" w:eastAsia="hu-HU"/>
        </w:rPr>
        <w:t>×</w:t>
      </w:r>
      <w:r w:rsidRPr="005131CF">
        <w:rPr>
          <w:szCs w:val="22"/>
          <w:lang w:val="hu-HU" w:eastAsia="hu-HU"/>
        </w:rPr>
        <w:t>1    OPA/</w:t>
      </w:r>
      <w:proofErr w:type="spellStart"/>
      <w:r w:rsidRPr="005131CF">
        <w:rPr>
          <w:szCs w:val="22"/>
          <w:lang w:val="hu-HU" w:eastAsia="hu-HU"/>
        </w:rPr>
        <w:t>Al</w:t>
      </w:r>
      <w:proofErr w:type="spellEnd"/>
      <w:r w:rsidRPr="005131CF">
        <w:rPr>
          <w:szCs w:val="22"/>
          <w:lang w:val="hu-HU" w:eastAsia="hu-HU"/>
        </w:rPr>
        <w:t>/PVC-alumínium adagonként perforált buborékcsomagolásban</w:t>
      </w:r>
    </w:p>
    <w:p w14:paraId="0D46A003" w14:textId="77777777" w:rsidR="000011CE" w:rsidRDefault="000011CE" w:rsidP="002370D9">
      <w:pPr>
        <w:rPr>
          <w:b/>
          <w:bCs/>
          <w:noProof/>
          <w:szCs w:val="22"/>
          <w:lang w:val="hu"/>
        </w:rPr>
      </w:pPr>
    </w:p>
    <w:p w14:paraId="3FB3599C" w14:textId="6D943513" w:rsidR="00420F17" w:rsidRPr="005131CF" w:rsidRDefault="002370D9" w:rsidP="002370D9">
      <w:pPr>
        <w:rPr>
          <w:lang w:val="hu"/>
        </w:rPr>
      </w:pPr>
      <w:r>
        <w:rPr>
          <w:b/>
          <w:bCs/>
          <w:noProof/>
          <w:szCs w:val="22"/>
          <w:lang w:val="hu"/>
        </w:rPr>
        <w:t>A betegtájékoztató legutóbbi felülvizsgálatának dátuma:</w:t>
      </w:r>
      <w:r w:rsidR="0012305B">
        <w:rPr>
          <w:b/>
          <w:bCs/>
          <w:noProof/>
          <w:szCs w:val="22"/>
          <w:lang w:val="hu"/>
        </w:rPr>
        <w:t xml:space="preserve"> 2025.</w:t>
      </w:r>
      <w:r w:rsidR="00E0694D">
        <w:rPr>
          <w:b/>
          <w:bCs/>
          <w:noProof/>
          <w:szCs w:val="22"/>
          <w:lang w:val="hu"/>
        </w:rPr>
        <w:t xml:space="preserve"> </w:t>
      </w:r>
      <w:r w:rsidR="0012305B">
        <w:rPr>
          <w:b/>
          <w:bCs/>
          <w:noProof/>
          <w:szCs w:val="22"/>
          <w:lang w:val="hu"/>
        </w:rPr>
        <w:t>október.</w:t>
      </w:r>
      <w:r>
        <w:rPr>
          <w:b/>
          <w:bCs/>
          <w:noProof/>
          <w:szCs w:val="22"/>
          <w:lang w:val="hu"/>
        </w:rPr>
        <w:t xml:space="preserve"> </w:t>
      </w:r>
    </w:p>
    <w:sectPr w:rsidR="00420F17" w:rsidRPr="005131CF" w:rsidSect="009F671D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421ED" w14:textId="77777777" w:rsidR="00E07C13" w:rsidRDefault="00E07C13" w:rsidP="009F671D">
      <w:pPr>
        <w:spacing w:line="240" w:lineRule="auto"/>
      </w:pPr>
      <w:r>
        <w:separator/>
      </w:r>
    </w:p>
  </w:endnote>
  <w:endnote w:type="continuationSeparator" w:id="0">
    <w:p w14:paraId="6FFE2D29" w14:textId="77777777" w:rsidR="00E07C13" w:rsidRDefault="00E07C13" w:rsidP="009F671D">
      <w:pPr>
        <w:spacing w:line="240" w:lineRule="auto"/>
      </w:pPr>
      <w:r>
        <w:continuationSeparator/>
      </w:r>
    </w:p>
  </w:endnote>
  <w:endnote w:type="continuationNotice" w:id="1">
    <w:p w14:paraId="6DCF5EF9" w14:textId="77777777" w:rsidR="00E07C13" w:rsidRDefault="00E07C1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BE3A2B" w14:textId="2FB066E0" w:rsidR="009F671D" w:rsidRPr="008F2782" w:rsidRDefault="007A5400">
    <w:pPr>
      <w:pStyle w:val="llb"/>
      <w:rPr>
        <w:sz w:val="18"/>
        <w:szCs w:val="18"/>
      </w:rPr>
    </w:pPr>
    <w:r w:rsidRPr="008F2782">
      <w:rPr>
        <w:sz w:val="18"/>
        <w:szCs w:val="18"/>
      </w:rPr>
      <w:t>NNGYK/ETGY/6897/2026</w:t>
    </w:r>
  </w:p>
  <w:p w14:paraId="1D675C4B" w14:textId="4329A368" w:rsidR="007A5400" w:rsidRPr="008F2782" w:rsidRDefault="007A5400">
    <w:pPr>
      <w:pStyle w:val="llb"/>
      <w:rPr>
        <w:sz w:val="18"/>
        <w:szCs w:val="18"/>
      </w:rPr>
    </w:pPr>
    <w:r w:rsidRPr="008F2782">
      <w:rPr>
        <w:sz w:val="18"/>
        <w:szCs w:val="18"/>
      </w:rPr>
      <w:t>NNGYK/ETGY/6922/2026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11109" w14:textId="77777777" w:rsidR="00E07C13" w:rsidRDefault="00E07C13" w:rsidP="009F671D">
      <w:pPr>
        <w:spacing w:line="240" w:lineRule="auto"/>
      </w:pPr>
      <w:r>
        <w:separator/>
      </w:r>
    </w:p>
  </w:footnote>
  <w:footnote w:type="continuationSeparator" w:id="0">
    <w:p w14:paraId="6A62E7FB" w14:textId="77777777" w:rsidR="00E07C13" w:rsidRDefault="00E07C13" w:rsidP="009F671D">
      <w:pPr>
        <w:spacing w:line="240" w:lineRule="auto"/>
      </w:pPr>
      <w:r>
        <w:continuationSeparator/>
      </w:r>
    </w:p>
  </w:footnote>
  <w:footnote w:type="continuationNotice" w:id="1">
    <w:p w14:paraId="61B1F5A8" w14:textId="77777777" w:rsidR="00E07C13" w:rsidRDefault="00E07C1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786583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8E0CE13" w14:textId="0695F610" w:rsidR="007C5010" w:rsidRPr="007C5010" w:rsidRDefault="007C5010">
        <w:pPr>
          <w:pStyle w:val="lfej"/>
          <w:jc w:val="center"/>
          <w:rPr>
            <w:sz w:val="18"/>
            <w:szCs w:val="18"/>
          </w:rPr>
        </w:pPr>
        <w:r w:rsidRPr="007C5010">
          <w:rPr>
            <w:sz w:val="18"/>
            <w:szCs w:val="18"/>
          </w:rPr>
          <w:fldChar w:fldCharType="begin"/>
        </w:r>
        <w:r w:rsidRPr="007C5010">
          <w:rPr>
            <w:sz w:val="18"/>
            <w:szCs w:val="18"/>
          </w:rPr>
          <w:instrText>PAGE   \* MERGEFORMAT</w:instrText>
        </w:r>
        <w:r w:rsidRPr="007C5010">
          <w:rPr>
            <w:sz w:val="18"/>
            <w:szCs w:val="18"/>
          </w:rPr>
          <w:fldChar w:fldCharType="separate"/>
        </w:r>
        <w:r w:rsidRPr="007C5010">
          <w:rPr>
            <w:sz w:val="18"/>
            <w:szCs w:val="18"/>
            <w:lang w:val="hu-HU"/>
          </w:rPr>
          <w:t>2</w:t>
        </w:r>
        <w:r w:rsidRPr="007C5010">
          <w:rPr>
            <w:sz w:val="18"/>
            <w:szCs w:val="18"/>
          </w:rPr>
          <w:fldChar w:fldCharType="end"/>
        </w:r>
      </w:p>
    </w:sdtContent>
  </w:sdt>
  <w:p w14:paraId="245819F5" w14:textId="77777777" w:rsidR="007C5010" w:rsidRDefault="007C5010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0D9"/>
    <w:rsid w:val="000011CE"/>
    <w:rsid w:val="000056F8"/>
    <w:rsid w:val="00021E54"/>
    <w:rsid w:val="000542B4"/>
    <w:rsid w:val="00093A8D"/>
    <w:rsid w:val="000B1B8E"/>
    <w:rsid w:val="000D0834"/>
    <w:rsid w:val="000D6035"/>
    <w:rsid w:val="000F0F4B"/>
    <w:rsid w:val="00100A8E"/>
    <w:rsid w:val="0011081B"/>
    <w:rsid w:val="001115FF"/>
    <w:rsid w:val="0012305B"/>
    <w:rsid w:val="00131E92"/>
    <w:rsid w:val="001A5C48"/>
    <w:rsid w:val="001B2972"/>
    <w:rsid w:val="001B4957"/>
    <w:rsid w:val="001E1924"/>
    <w:rsid w:val="001F70DE"/>
    <w:rsid w:val="002370D9"/>
    <w:rsid w:val="002737E2"/>
    <w:rsid w:val="002926E3"/>
    <w:rsid w:val="002B54C8"/>
    <w:rsid w:val="002F77F4"/>
    <w:rsid w:val="003215F7"/>
    <w:rsid w:val="00372051"/>
    <w:rsid w:val="0038310C"/>
    <w:rsid w:val="00397C1B"/>
    <w:rsid w:val="003B341D"/>
    <w:rsid w:val="003D0DD0"/>
    <w:rsid w:val="003D7F39"/>
    <w:rsid w:val="003E1FEE"/>
    <w:rsid w:val="00420F17"/>
    <w:rsid w:val="00455A4B"/>
    <w:rsid w:val="004A07D8"/>
    <w:rsid w:val="004C74B7"/>
    <w:rsid w:val="004D08BC"/>
    <w:rsid w:val="004D47E9"/>
    <w:rsid w:val="00506EB8"/>
    <w:rsid w:val="005131CF"/>
    <w:rsid w:val="00535FAB"/>
    <w:rsid w:val="00552437"/>
    <w:rsid w:val="00566CCE"/>
    <w:rsid w:val="00570222"/>
    <w:rsid w:val="00577914"/>
    <w:rsid w:val="005C0D93"/>
    <w:rsid w:val="005C5E29"/>
    <w:rsid w:val="0063063B"/>
    <w:rsid w:val="00635187"/>
    <w:rsid w:val="006C7759"/>
    <w:rsid w:val="00703C18"/>
    <w:rsid w:val="0071050B"/>
    <w:rsid w:val="007106D3"/>
    <w:rsid w:val="00726A68"/>
    <w:rsid w:val="00751F2F"/>
    <w:rsid w:val="007613CF"/>
    <w:rsid w:val="007A5400"/>
    <w:rsid w:val="007A6A3A"/>
    <w:rsid w:val="007A740B"/>
    <w:rsid w:val="007B19AF"/>
    <w:rsid w:val="007C5010"/>
    <w:rsid w:val="007F2FCD"/>
    <w:rsid w:val="00805E01"/>
    <w:rsid w:val="008160E7"/>
    <w:rsid w:val="0081628A"/>
    <w:rsid w:val="008616F6"/>
    <w:rsid w:val="008F2782"/>
    <w:rsid w:val="00900C50"/>
    <w:rsid w:val="00921F8A"/>
    <w:rsid w:val="00967464"/>
    <w:rsid w:val="009F671D"/>
    <w:rsid w:val="00A23285"/>
    <w:rsid w:val="00A26BE8"/>
    <w:rsid w:val="00A56CF5"/>
    <w:rsid w:val="00A613D5"/>
    <w:rsid w:val="00A73050"/>
    <w:rsid w:val="00A940E5"/>
    <w:rsid w:val="00A97E9D"/>
    <w:rsid w:val="00AF64F6"/>
    <w:rsid w:val="00B37638"/>
    <w:rsid w:val="00B5644D"/>
    <w:rsid w:val="00B63C76"/>
    <w:rsid w:val="00B65AA3"/>
    <w:rsid w:val="00B77EAE"/>
    <w:rsid w:val="00B96CAB"/>
    <w:rsid w:val="00BC5066"/>
    <w:rsid w:val="00BD7805"/>
    <w:rsid w:val="00C03BD5"/>
    <w:rsid w:val="00C066A0"/>
    <w:rsid w:val="00C570DD"/>
    <w:rsid w:val="00C90D67"/>
    <w:rsid w:val="00C96FC7"/>
    <w:rsid w:val="00CB30ED"/>
    <w:rsid w:val="00CC6363"/>
    <w:rsid w:val="00D04FC4"/>
    <w:rsid w:val="00D2267B"/>
    <w:rsid w:val="00D3620F"/>
    <w:rsid w:val="00D41BA0"/>
    <w:rsid w:val="00D6030A"/>
    <w:rsid w:val="00D74AC6"/>
    <w:rsid w:val="00D80C83"/>
    <w:rsid w:val="00D875A8"/>
    <w:rsid w:val="00DA1BEC"/>
    <w:rsid w:val="00DD148D"/>
    <w:rsid w:val="00DF699E"/>
    <w:rsid w:val="00E0694D"/>
    <w:rsid w:val="00E07C13"/>
    <w:rsid w:val="00E57FA0"/>
    <w:rsid w:val="00E9330B"/>
    <w:rsid w:val="00EB3177"/>
    <w:rsid w:val="00EB3485"/>
    <w:rsid w:val="00ED1C1F"/>
    <w:rsid w:val="00EE1B14"/>
    <w:rsid w:val="00EF2A84"/>
    <w:rsid w:val="00F03C06"/>
    <w:rsid w:val="00F03F09"/>
    <w:rsid w:val="00F13516"/>
    <w:rsid w:val="00F229F6"/>
    <w:rsid w:val="00F728FA"/>
    <w:rsid w:val="00F85BEB"/>
    <w:rsid w:val="00FB16D8"/>
    <w:rsid w:val="00FB5EB5"/>
    <w:rsid w:val="00FE1E2F"/>
    <w:rsid w:val="00FE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A77E8"/>
  <w15:chartTrackingRefBased/>
  <w15:docId w15:val="{E67051BC-7DBA-407E-8579-80BB1C0E3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70D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2370D9"/>
    <w:rPr>
      <w:color w:val="0000FF"/>
      <w:u w:val="single"/>
    </w:rPr>
  </w:style>
  <w:style w:type="table" w:styleId="Rcsostblzat">
    <w:name w:val="Table Grid"/>
    <w:basedOn w:val="Normltblzat"/>
    <w:uiPriority w:val="39"/>
    <w:rsid w:val="002370D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F671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671D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9F671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671D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9F671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671D"/>
    <w:rPr>
      <w:rFonts w:ascii="Times New Roman" w:eastAsia="Times New Roman" w:hAnsi="Times New Roman" w:cs="Times New Roman"/>
      <w:szCs w:val="20"/>
      <w:lang w:val="en-GB"/>
    </w:rPr>
  </w:style>
  <w:style w:type="paragraph" w:styleId="Vltozat">
    <w:name w:val="Revision"/>
    <w:hidden/>
    <w:uiPriority w:val="99"/>
    <w:semiHidden/>
    <w:rsid w:val="003E1FEE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B63C7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B63C76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B63C7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63C7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63C76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3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A44D8-17C9-4BA8-8D1B-D6AC136654A0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2c325633-5125-4e96-a0a6-9fcd5cfb1c70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891cce82-80a3-4f9d-897f-e31b6bedda7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3D99EA-2B72-4AE5-86E3-B1472F7431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E4965F-95FB-4B3B-9907-8344CC2A6B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2802</Words>
  <Characters>19340</Characters>
  <Application>Microsoft Office Word</Application>
  <DocSecurity>0</DocSecurity>
  <Lines>161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 OGYI 8.2</dc:creator>
  <cp:keywords/>
  <dc:description/>
  <cp:lastModifiedBy>HU_OGYI_64.1</cp:lastModifiedBy>
  <cp:revision>3</cp:revision>
  <dcterms:created xsi:type="dcterms:W3CDTF">2026-03-31T12:37:00Z</dcterms:created>
  <dcterms:modified xsi:type="dcterms:W3CDTF">2026-03-31T12:54:00Z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