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630F35" w14:textId="77777777" w:rsidR="001853FE" w:rsidRDefault="00D633C3">
      <w:pPr>
        <w:tabs>
          <w:tab w:val="clear" w:pos="567"/>
        </w:tabs>
        <w:spacing w:line="240" w:lineRule="auto"/>
        <w:jc w:val="center"/>
        <w:outlineLvl w:val="0"/>
        <w:rPr>
          <w:b/>
          <w:noProof/>
        </w:rPr>
      </w:pPr>
      <w:r>
        <w:rPr>
          <w:b/>
        </w:rPr>
        <w:t>Betegtájékoztató: Információk a beteg számára</w:t>
      </w:r>
    </w:p>
    <w:p w14:paraId="754B62F4" w14:textId="77777777" w:rsidR="001853FE" w:rsidRDefault="001853FE">
      <w:pPr>
        <w:rPr>
          <w:noProof/>
        </w:rPr>
      </w:pPr>
    </w:p>
    <w:p w14:paraId="682030C3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b/>
          <w:bCs/>
          <w:noProof/>
        </w:rPr>
      </w:pPr>
      <w:r>
        <w:rPr>
          <w:b/>
        </w:rPr>
        <w:t>Dacarbazine medac 500 mg por oldatos infúzióhoz</w:t>
      </w:r>
    </w:p>
    <w:p w14:paraId="35FB8813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b/>
          <w:bCs/>
          <w:noProof/>
        </w:rPr>
      </w:pPr>
      <w:r>
        <w:rPr>
          <w:b/>
        </w:rPr>
        <w:t>Dacarbazine medac 1000 mg por oldatos infúzióhoz</w:t>
      </w:r>
    </w:p>
    <w:p w14:paraId="0DA01593" w14:textId="77777777" w:rsidR="001853FE" w:rsidRDefault="001853FE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b/>
          <w:bCs/>
          <w:noProof/>
        </w:rPr>
      </w:pPr>
    </w:p>
    <w:p w14:paraId="5168659E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noProof/>
        </w:rPr>
      </w:pPr>
      <w:r>
        <w:t>dakarbazin</w:t>
      </w:r>
    </w:p>
    <w:p w14:paraId="2D0F4799" w14:textId="77777777" w:rsidR="001853FE" w:rsidRDefault="001853FE">
      <w:pPr>
        <w:tabs>
          <w:tab w:val="clear" w:pos="567"/>
        </w:tabs>
        <w:spacing w:line="240" w:lineRule="auto"/>
        <w:jc w:val="center"/>
        <w:rPr>
          <w:noProof/>
        </w:rPr>
      </w:pPr>
    </w:p>
    <w:p w14:paraId="3E3A9352" w14:textId="77777777" w:rsidR="001853FE" w:rsidRDefault="00D633C3">
      <w:pPr>
        <w:tabs>
          <w:tab w:val="clear" w:pos="567"/>
        </w:tabs>
        <w:suppressAutoHyphens/>
        <w:spacing w:line="240" w:lineRule="auto"/>
        <w:rPr>
          <w:noProof/>
        </w:rPr>
      </w:pPr>
      <w:r>
        <w:rPr>
          <w:b/>
        </w:rPr>
        <w:t>Mielőtt elkezdi alkalmazni ezt a gyógyszert, olvassa el figyelmesen az alábbi betegtájékoztatót, mert az Ön számára fontos információkat tartalmaz.</w:t>
      </w:r>
    </w:p>
    <w:p w14:paraId="6832895A" w14:textId="77777777" w:rsidR="001853FE" w:rsidRDefault="00D633C3">
      <w:pPr>
        <w:tabs>
          <w:tab w:val="clear" w:pos="567"/>
        </w:tabs>
        <w:spacing w:line="240" w:lineRule="auto"/>
        <w:ind w:left="540" w:right="-2" w:hanging="540"/>
        <w:rPr>
          <w:noProof/>
        </w:rPr>
      </w:pPr>
      <w:r>
        <w:t>•</w:t>
      </w:r>
      <w:r>
        <w:tab/>
        <w:t>Tartsa meg a betegtájékoztatót, mert a benne szereplő információkra a későbbiekben is szüksége lehet.</w:t>
      </w:r>
    </w:p>
    <w:p w14:paraId="75CC365B" w14:textId="77777777" w:rsidR="001853FE" w:rsidRDefault="00D633C3">
      <w:pPr>
        <w:tabs>
          <w:tab w:val="clear" w:pos="567"/>
        </w:tabs>
        <w:spacing w:line="240" w:lineRule="auto"/>
        <w:ind w:left="540" w:right="-2" w:hanging="540"/>
        <w:rPr>
          <w:noProof/>
        </w:rPr>
      </w:pPr>
      <w:r>
        <w:t>•</w:t>
      </w:r>
      <w:r>
        <w:tab/>
        <w:t>További kérdéseivel forduljon kezelőorvosához vagy gyógyszerészéhez.</w:t>
      </w:r>
    </w:p>
    <w:p w14:paraId="364E3A25" w14:textId="77777777" w:rsidR="001853FE" w:rsidRDefault="00D633C3">
      <w:pPr>
        <w:tabs>
          <w:tab w:val="clear" w:pos="567"/>
        </w:tabs>
        <w:spacing w:line="240" w:lineRule="auto"/>
        <w:ind w:left="540" w:right="-2" w:hanging="540"/>
      </w:pPr>
      <w:r>
        <w:t>•</w:t>
      </w:r>
      <w:r>
        <w:tab/>
        <w:t>Ha Önnél bármilyen mellékhatás jelentkezik, tájékoztassa erről kezelőorvosát vagy gyógyszerészét. Ez a betegtájékoztatóban fel nem sorolt bármilyen lehetséges mellékhatásra is vonatkozik. Lásd 4. pont.</w:t>
      </w:r>
    </w:p>
    <w:p w14:paraId="7219654B" w14:textId="77777777" w:rsidR="001853FE" w:rsidRDefault="001853FE">
      <w:pPr>
        <w:tabs>
          <w:tab w:val="clear" w:pos="567"/>
        </w:tabs>
        <w:spacing w:line="240" w:lineRule="auto"/>
        <w:ind w:right="-2"/>
        <w:rPr>
          <w:noProof/>
        </w:rPr>
      </w:pPr>
    </w:p>
    <w:p w14:paraId="534FF5DE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noProof/>
        </w:rPr>
      </w:pPr>
      <w:r>
        <w:rPr>
          <w:b/>
        </w:rPr>
        <w:t>A betegtájékoztató tartalma</w:t>
      </w:r>
    </w:p>
    <w:p w14:paraId="3D9816CC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9" w:hanging="567"/>
        <w:rPr>
          <w:noProof/>
        </w:rPr>
      </w:pPr>
      <w:r>
        <w:t>1.</w:t>
      </w:r>
      <w:r>
        <w:tab/>
        <w:t>Milyen típusú gyógyszer a Dacarbazine medac és milyen betegségek esetén alkalmazható?</w:t>
      </w:r>
    </w:p>
    <w:p w14:paraId="0EAF5F16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9" w:hanging="567"/>
        <w:rPr>
          <w:noProof/>
        </w:rPr>
      </w:pPr>
      <w:r>
        <w:t>2.</w:t>
      </w:r>
      <w:r>
        <w:tab/>
        <w:t>Tudnivalók a Dacarbazine medac alkalmazása előtt</w:t>
      </w:r>
    </w:p>
    <w:p w14:paraId="78DF93B3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9" w:hanging="567"/>
        <w:rPr>
          <w:noProof/>
        </w:rPr>
      </w:pPr>
      <w:r>
        <w:t>3.</w:t>
      </w:r>
      <w:r>
        <w:tab/>
        <w:t>Hogyan kell alkalmazni a Dacarbazine medac-ot?</w:t>
      </w:r>
    </w:p>
    <w:p w14:paraId="34322986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9" w:hanging="567"/>
        <w:rPr>
          <w:noProof/>
        </w:rPr>
      </w:pPr>
      <w:r>
        <w:t>4.</w:t>
      </w:r>
      <w:r>
        <w:tab/>
        <w:t>Lehetséges mellékhatások</w:t>
      </w:r>
    </w:p>
    <w:p w14:paraId="036FB7F3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9" w:hanging="567"/>
        <w:rPr>
          <w:noProof/>
        </w:rPr>
      </w:pPr>
      <w:r>
        <w:t>5.</w:t>
      </w:r>
      <w:r>
        <w:tab/>
        <w:t>Hogyan kell a Dacarbazine medac-ot tárolni?</w:t>
      </w:r>
    </w:p>
    <w:p w14:paraId="6FF09694" w14:textId="77777777" w:rsidR="001853FE" w:rsidRDefault="00D633C3">
      <w:pPr>
        <w:tabs>
          <w:tab w:val="clear" w:pos="567"/>
        </w:tabs>
        <w:spacing w:line="240" w:lineRule="auto"/>
        <w:ind w:left="567" w:right="-29" w:hanging="567"/>
        <w:rPr>
          <w:noProof/>
        </w:rPr>
      </w:pPr>
      <w:r>
        <w:t>6.</w:t>
      </w:r>
      <w:r>
        <w:tab/>
        <w:t>A csomagolás tartalma és egyéb információk</w:t>
      </w:r>
    </w:p>
    <w:p w14:paraId="7BCD9988" w14:textId="77777777" w:rsidR="001853FE" w:rsidRDefault="001853FE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</w:rPr>
      </w:pPr>
    </w:p>
    <w:p w14:paraId="1987FAA8" w14:textId="77777777" w:rsidR="001853FE" w:rsidRDefault="001853FE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</w:rPr>
      </w:pPr>
    </w:p>
    <w:p w14:paraId="10A7C970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outlineLvl w:val="0"/>
        <w:rPr>
          <w:b/>
          <w:noProof/>
        </w:rPr>
      </w:pPr>
      <w:r>
        <w:rPr>
          <w:b/>
        </w:rPr>
        <w:t>1.</w:t>
      </w:r>
      <w:r>
        <w:rPr>
          <w:b/>
        </w:rPr>
        <w:tab/>
        <w:t>Milyen típusú gyógyszer a Dacarbazine medac és milyen betegségek esetén alkalmazható?</w:t>
      </w:r>
      <w:bookmarkStart w:id="0" w:name="os_autosavelastposition1811435"/>
      <w:bookmarkEnd w:id="0"/>
    </w:p>
    <w:p w14:paraId="0FE78F54" w14:textId="77777777" w:rsidR="001853FE" w:rsidRDefault="001853FE">
      <w:pPr>
        <w:tabs>
          <w:tab w:val="clear" w:pos="567"/>
        </w:tabs>
        <w:spacing w:line="240" w:lineRule="auto"/>
        <w:ind w:left="567" w:right="-2" w:hanging="567"/>
        <w:rPr>
          <w:noProof/>
        </w:rPr>
      </w:pPr>
    </w:p>
    <w:p w14:paraId="4172417D" w14:textId="77777777" w:rsidR="001853FE" w:rsidRDefault="00D633C3">
      <w:pPr>
        <w:rPr>
          <w:b/>
        </w:rPr>
      </w:pPr>
      <w:r>
        <w:t>A dakarbazin a citosztatikus szerekként ismert gyógyszerek csoportjához tartozik. Ezek a szerek a daganatos sejtek növekedését befolyásolják.</w:t>
      </w:r>
    </w:p>
    <w:p w14:paraId="5747262F" w14:textId="77777777" w:rsidR="001853FE" w:rsidRDefault="001853FE"/>
    <w:p w14:paraId="5F90C7BE" w14:textId="77777777" w:rsidR="001853FE" w:rsidRDefault="00D633C3">
      <w:r>
        <w:t>Kezelőorvosa a Dacarbazine medac</w:t>
      </w:r>
      <w:r>
        <w:noBreakHyphen/>
        <w:t>ot például a következő daganatok valamelyikének kezelése céljából írta fel Önnek:</w:t>
      </w:r>
    </w:p>
    <w:p w14:paraId="504BA8BA" w14:textId="77777777" w:rsidR="001853FE" w:rsidRDefault="00D633C3">
      <w:pPr>
        <w:numPr>
          <w:ilvl w:val="0"/>
          <w:numId w:val="8"/>
        </w:numPr>
        <w:ind w:left="567" w:hanging="567"/>
      </w:pPr>
      <w:r>
        <w:t>előrehaladott rosszindulatú melanoma (bőrrák),</w:t>
      </w:r>
    </w:p>
    <w:p w14:paraId="0194C635" w14:textId="77777777" w:rsidR="001853FE" w:rsidRDefault="00D633C3">
      <w:pPr>
        <w:numPr>
          <w:ilvl w:val="0"/>
          <w:numId w:val="8"/>
        </w:numPr>
        <w:ind w:left="567" w:hanging="567"/>
      </w:pPr>
      <w:r>
        <w:t>Hodgkin-kór (nyirokszöveti daganat),</w:t>
      </w:r>
    </w:p>
    <w:p w14:paraId="4384A28A" w14:textId="77777777" w:rsidR="001853FE" w:rsidRDefault="00D633C3">
      <w:pPr>
        <w:numPr>
          <w:ilvl w:val="0"/>
          <w:numId w:val="8"/>
        </w:numPr>
        <w:ind w:left="567" w:hanging="567"/>
      </w:pPr>
      <w:r>
        <w:t>lágyrészszarkóma (izmokat, zsírszövetet, rostos kötőszövetet, vérereket vagy más kötő- és támasztószövetet érintő daganattípus).</w:t>
      </w:r>
    </w:p>
    <w:p w14:paraId="525C6651" w14:textId="77777777" w:rsidR="001853FE" w:rsidRDefault="00D633C3">
      <w:r>
        <w:t>A Dacarbazine medac adható más citosztatikus hatóanyagokkal együttesen is.</w:t>
      </w:r>
    </w:p>
    <w:p w14:paraId="3DCE2318" w14:textId="77777777" w:rsidR="001853FE" w:rsidRDefault="001853FE"/>
    <w:p w14:paraId="28251840" w14:textId="77777777" w:rsidR="001853FE" w:rsidRDefault="001853FE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</w:rPr>
      </w:pPr>
    </w:p>
    <w:p w14:paraId="3220227F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outlineLvl w:val="0"/>
        <w:rPr>
          <w:b/>
          <w:noProof/>
        </w:rPr>
      </w:pPr>
      <w:r>
        <w:rPr>
          <w:b/>
        </w:rPr>
        <w:t>2.</w:t>
      </w:r>
      <w:r>
        <w:rPr>
          <w:b/>
        </w:rPr>
        <w:tab/>
        <w:t>Tudnivalók a Dacarbazine medac alkalmazása előtt</w:t>
      </w:r>
    </w:p>
    <w:p w14:paraId="15D83469" w14:textId="77777777" w:rsidR="001853FE" w:rsidRDefault="001853F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</w:p>
    <w:p w14:paraId="225F648E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noProof/>
        </w:rPr>
      </w:pPr>
      <w:r>
        <w:rPr>
          <w:b/>
        </w:rPr>
        <w:t>Nem alkalmazhatják Önnél a Dacarbazine medac</w:t>
      </w:r>
      <w:r>
        <w:rPr>
          <w:b/>
        </w:rPr>
        <w:noBreakHyphen/>
        <w:t>ot az alábbi esetekben:</w:t>
      </w:r>
    </w:p>
    <w:p w14:paraId="40A16F35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  <w:rPr>
          <w:noProof/>
        </w:rPr>
      </w:pPr>
      <w:r>
        <w:t>•</w:t>
      </w:r>
      <w:r>
        <w:tab/>
        <w:t xml:space="preserve">ha </w:t>
      </w:r>
      <w:r>
        <w:rPr>
          <w:b/>
        </w:rPr>
        <w:t>allergiás</w:t>
      </w:r>
      <w:r>
        <w:t xml:space="preserve"> a dakarbazinra vagy a gyógyszer (6. pontban felsorolt) egyéb összetevőjére,</w:t>
      </w:r>
    </w:p>
    <w:p w14:paraId="0C341302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</w:pPr>
      <w:r>
        <w:t>•</w:t>
      </w:r>
      <w:r>
        <w:tab/>
        <w:t>ha a vérében túl alacsony a fehérvérsejtek és/vagy vérlemezkék száma (</w:t>
      </w:r>
      <w:r>
        <w:rPr>
          <w:b/>
        </w:rPr>
        <w:t>leukopénia</w:t>
      </w:r>
      <w:r>
        <w:t xml:space="preserve"> és/vagy </w:t>
      </w:r>
      <w:r>
        <w:rPr>
          <w:b/>
        </w:rPr>
        <w:t>trombocitopénia</w:t>
      </w:r>
      <w:r>
        <w:t>),</w:t>
      </w:r>
    </w:p>
    <w:p w14:paraId="44C9E388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</w:pPr>
      <w:r>
        <w:t>•</w:t>
      </w:r>
      <w:r>
        <w:tab/>
        <w:t xml:space="preserve">ha súlyos </w:t>
      </w:r>
      <w:r>
        <w:rPr>
          <w:b/>
        </w:rPr>
        <w:t>májbetegségben vagy vesebetegségben</w:t>
      </w:r>
      <w:r>
        <w:t xml:space="preserve"> szenved,</w:t>
      </w:r>
    </w:p>
    <w:p w14:paraId="102AADE7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</w:pPr>
      <w:r>
        <w:t>•</w:t>
      </w:r>
      <w:r>
        <w:tab/>
        <w:t xml:space="preserve">ha </w:t>
      </w:r>
      <w:r>
        <w:rPr>
          <w:b/>
        </w:rPr>
        <w:t>terhes vagy szoptat</w:t>
      </w:r>
      <w:r>
        <w:t>,</w:t>
      </w:r>
    </w:p>
    <w:p w14:paraId="505E340F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</w:pPr>
      <w:r>
        <w:t>•</w:t>
      </w:r>
      <w:r>
        <w:tab/>
        <w:t>sárgaláz elleni védőoltással kombinációban vagy fotemusztinnal azonos időben.</w:t>
      </w:r>
    </w:p>
    <w:p w14:paraId="490005AE" w14:textId="77777777" w:rsidR="001853FE" w:rsidRDefault="001853F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</w:p>
    <w:p w14:paraId="20E6C313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noProof/>
        </w:rPr>
      </w:pPr>
      <w:r>
        <w:rPr>
          <w:b/>
        </w:rPr>
        <w:t>Figyelmeztetések és óvintézkedések</w:t>
      </w:r>
    </w:p>
    <w:p w14:paraId="4FD661BB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</w:rPr>
      </w:pPr>
      <w:r>
        <w:t>A Dacarbazine medac alkalmazása előtt beszéljen kezelőorvosával vagy gyógyszerészével.</w:t>
      </w:r>
    </w:p>
    <w:p w14:paraId="6E7014C1" w14:textId="77777777" w:rsidR="001853FE" w:rsidRDefault="001853FE">
      <w:pPr>
        <w:numPr>
          <w:ilvl w:val="12"/>
          <w:numId w:val="0"/>
        </w:numPr>
        <w:tabs>
          <w:tab w:val="clear" w:pos="567"/>
        </w:tabs>
        <w:spacing w:line="240" w:lineRule="auto"/>
      </w:pPr>
    </w:p>
    <w:p w14:paraId="5CD91770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</w:rPr>
      </w:pPr>
      <w:r>
        <w:rPr>
          <w:b/>
        </w:rPr>
        <w:t>Tesztek és vizsgálatok</w:t>
      </w:r>
    </w:p>
    <w:p w14:paraId="0F65101D" w14:textId="77777777" w:rsidR="001853FE" w:rsidRDefault="00D633C3">
      <w:pPr>
        <w:numPr>
          <w:ilvl w:val="0"/>
          <w:numId w:val="8"/>
        </w:numPr>
        <w:ind w:left="567" w:hanging="567"/>
      </w:pPr>
      <w:r>
        <w:t>Kezelőorvosa minden beadás előtt ellenőrizni fogja, hogy a vére elegendő vérsejtet tartalmaz</w:t>
      </w:r>
      <w:r>
        <w:noBreakHyphen/>
        <w:t>e a gyógyszer alkalmazásához.</w:t>
      </w:r>
    </w:p>
    <w:p w14:paraId="3327D5A5" w14:textId="77777777" w:rsidR="001853FE" w:rsidRDefault="00D633C3">
      <w:pPr>
        <w:numPr>
          <w:ilvl w:val="0"/>
          <w:numId w:val="8"/>
        </w:numPr>
        <w:ind w:left="567" w:hanging="567"/>
      </w:pPr>
      <w:r>
        <w:t>Májműködését és veseműködését is ellenőrizni fogják.</w:t>
      </w:r>
    </w:p>
    <w:p w14:paraId="1A3BDBC2" w14:textId="77777777" w:rsidR="001853FE" w:rsidRDefault="001853FE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</w:rPr>
      </w:pPr>
    </w:p>
    <w:p w14:paraId="056A5987" w14:textId="77777777" w:rsidR="001853FE" w:rsidRDefault="00D633C3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</w:rPr>
      </w:pPr>
      <w:r>
        <w:rPr>
          <w:b/>
        </w:rPr>
        <w:lastRenderedPageBreak/>
        <w:t>Egyéb gyógyszerek és a Dacarbazine medac</w:t>
      </w:r>
    </w:p>
    <w:p w14:paraId="5BF93E6C" w14:textId="77777777" w:rsidR="001853FE" w:rsidRDefault="00D633C3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</w:pPr>
      <w:r>
        <w:t>Feltétlenül tájékoztassa kezelőorvosát vagy gyógyszerészét a jelenleg vagy nemrégiben szedett, valamint szedni tervezett egyéb gyógyszereiről.</w:t>
      </w:r>
    </w:p>
    <w:p w14:paraId="03DC9FC9" w14:textId="77777777" w:rsidR="001853FE" w:rsidRDefault="001853F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</w:p>
    <w:p w14:paraId="41EAA0BC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  <w:r>
        <w:t>Nem tanácsos semmilyen más orvosi kezelést alkalmazni anélkül, hogy tájékoztatná erről kezelőorvosát, mivel ezen gyógyszer és más gyógyszerek között kölcsönhatások léphetnek fel.</w:t>
      </w:r>
    </w:p>
    <w:p w14:paraId="61252768" w14:textId="77777777" w:rsidR="001853FE" w:rsidRDefault="00D633C3">
      <w:pPr>
        <w:pStyle w:val="Default"/>
        <w:rPr>
          <w:sz w:val="22"/>
          <w:szCs w:val="22"/>
        </w:rPr>
      </w:pPr>
      <w:r>
        <w:rPr>
          <w:sz w:val="22"/>
        </w:rPr>
        <w:t xml:space="preserve">Különösen arról kell tájékoztatnia kezelőorvosát vagy gyógyszerészét, </w:t>
      </w:r>
      <w:r>
        <w:t xml:space="preserve">ha az alábbiak valamelyikét szedi </w:t>
      </w:r>
      <w:r>
        <w:rPr>
          <w:sz w:val="22"/>
        </w:rPr>
        <w:t xml:space="preserve">vagy kapja: </w:t>
      </w:r>
    </w:p>
    <w:p w14:paraId="6965BC30" w14:textId="77777777" w:rsidR="001853FE" w:rsidRDefault="00D633C3">
      <w:pPr>
        <w:pStyle w:val="Default"/>
        <w:ind w:left="567" w:hanging="567"/>
        <w:rPr>
          <w:sz w:val="22"/>
          <w:szCs w:val="22"/>
        </w:rPr>
      </w:pPr>
      <w:r>
        <w:rPr>
          <w:sz w:val="22"/>
        </w:rPr>
        <w:t>•</w:t>
      </w:r>
      <w:r>
        <w:rPr>
          <w:sz w:val="22"/>
        </w:rPr>
        <w:tab/>
        <w:t>Sugárkezelés vagy bármely más gyógyszeres tumorellenes kezelés (kemoterápia). Ezen gyógyszerek és a Dacarbazine medac együttes használatakor fokozódhat a csontvelő károsodása.</w:t>
      </w:r>
    </w:p>
    <w:p w14:paraId="7EF15D7E" w14:textId="64B2F588" w:rsidR="001853FE" w:rsidRDefault="00D633C3">
      <w:pPr>
        <w:pStyle w:val="Default"/>
        <w:ind w:left="567" w:hanging="567"/>
        <w:rPr>
          <w:sz w:val="22"/>
          <w:szCs w:val="22"/>
        </w:rPr>
      </w:pPr>
      <w:r>
        <w:rPr>
          <w:sz w:val="22"/>
        </w:rPr>
        <w:t>•</w:t>
      </w:r>
      <w:r>
        <w:rPr>
          <w:sz w:val="22"/>
        </w:rPr>
        <w:tab/>
        <w:t>Más olyan gyógyszerek, amelyeket a</w:t>
      </w:r>
      <w:r w:rsidR="00215A94">
        <w:rPr>
          <w:sz w:val="22"/>
        </w:rPr>
        <w:t>z úgynevezett</w:t>
      </w:r>
      <w:r>
        <w:rPr>
          <w:sz w:val="22"/>
        </w:rPr>
        <w:t xml:space="preserve"> </w:t>
      </w:r>
      <w:proofErr w:type="spellStart"/>
      <w:r>
        <w:rPr>
          <w:sz w:val="22"/>
        </w:rPr>
        <w:t>citokróm</w:t>
      </w:r>
      <w:proofErr w:type="spellEnd"/>
      <w:r>
        <w:rPr>
          <w:sz w:val="22"/>
        </w:rPr>
        <w:t xml:space="preserve"> P450 májenzimrendszer </w:t>
      </w:r>
      <w:proofErr w:type="spellStart"/>
      <w:r>
        <w:rPr>
          <w:sz w:val="22"/>
        </w:rPr>
        <w:t>metabolizál</w:t>
      </w:r>
      <w:proofErr w:type="spellEnd"/>
      <w:r>
        <w:rPr>
          <w:sz w:val="22"/>
        </w:rPr>
        <w:t>.</w:t>
      </w:r>
    </w:p>
    <w:p w14:paraId="0C9CA5BC" w14:textId="77777777" w:rsidR="001853FE" w:rsidRDefault="00D633C3">
      <w:pPr>
        <w:pStyle w:val="Default"/>
        <w:ind w:left="567" w:hanging="567"/>
        <w:rPr>
          <w:sz w:val="22"/>
          <w:szCs w:val="22"/>
        </w:rPr>
      </w:pPr>
      <w:r>
        <w:rPr>
          <w:sz w:val="22"/>
        </w:rPr>
        <w:t>•</w:t>
      </w:r>
      <w:r>
        <w:rPr>
          <w:sz w:val="22"/>
        </w:rPr>
        <w:tab/>
        <w:t>Metoxi-pszoralén bőrproblémák, például pikkelysömör és ekcéma kezelésére. A Dacarbazine medac és a metoxi-pszoralén együttes alkalmazása érzékenyebbé teheti a napfényre (fotoszenzitizáció).</w:t>
      </w:r>
    </w:p>
    <w:p w14:paraId="708ED39E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  <w:rPr>
          <w:szCs w:val="22"/>
        </w:rPr>
      </w:pPr>
      <w:r>
        <w:t>•</w:t>
      </w:r>
      <w:r>
        <w:tab/>
        <w:t>Fenitoin – a dakarbazin és a fenitoin egyidejű alkalmazása miatt gyakrabban alakulhatnak ki rohamok (görcsrohamok).</w:t>
      </w:r>
    </w:p>
    <w:p w14:paraId="325948B0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  <w:rPr>
          <w:szCs w:val="22"/>
        </w:rPr>
      </w:pPr>
      <w:r>
        <w:t>•</w:t>
      </w:r>
      <w:r>
        <w:tab/>
        <w:t>Ciklosporin vagy takrolimusz – ezek a gyógyszerek csökkenthetik az immunrendszer működését.</w:t>
      </w:r>
    </w:p>
    <w:p w14:paraId="26465E2F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  <w:rPr>
          <w:szCs w:val="22"/>
        </w:rPr>
      </w:pPr>
      <w:r>
        <w:t>•</w:t>
      </w:r>
      <w:r>
        <w:tab/>
        <w:t>Fotemusztin – a tüdőkárosodás elkerülése érdekében a fotemusztin alkalmazása után legalább egy hétig nem kaphat Dacarbazine medac</w:t>
      </w:r>
      <w:r>
        <w:noBreakHyphen/>
        <w:t>ot.</w:t>
      </w:r>
    </w:p>
    <w:p w14:paraId="7497E72B" w14:textId="77777777" w:rsidR="001853FE" w:rsidRDefault="001853F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</w:p>
    <w:p w14:paraId="028C625F" w14:textId="408261A3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  <w:r>
        <w:t>Kemoterápia alatt kerülnie kell az olyan gyógyszereket, amelyek májkáros</w:t>
      </w:r>
      <w:r w:rsidR="00C2254C">
        <w:t>ító hatásúak</w:t>
      </w:r>
      <w:r w:rsidR="000D57CF">
        <w:t xml:space="preserve"> is</w:t>
      </w:r>
      <w:r w:rsidR="00C2254C">
        <w:t xml:space="preserve"> lehetnek</w:t>
      </w:r>
      <w:r>
        <w:t xml:space="preserve"> (például </w:t>
      </w:r>
      <w:proofErr w:type="spellStart"/>
      <w:r>
        <w:t>diazepám</w:t>
      </w:r>
      <w:proofErr w:type="spellEnd"/>
      <w:r>
        <w:t xml:space="preserve">, </w:t>
      </w:r>
      <w:proofErr w:type="spellStart"/>
      <w:r>
        <w:t>imipramin</w:t>
      </w:r>
      <w:proofErr w:type="spellEnd"/>
      <w:r>
        <w:t xml:space="preserve">, </w:t>
      </w:r>
      <w:proofErr w:type="spellStart"/>
      <w:r>
        <w:t>ketokonazol</w:t>
      </w:r>
      <w:proofErr w:type="spellEnd"/>
      <w:r>
        <w:t xml:space="preserve"> vagy karbamazepin).</w:t>
      </w:r>
    </w:p>
    <w:p w14:paraId="5EA692D4" w14:textId="77777777" w:rsidR="001853FE" w:rsidRDefault="001853F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</w:p>
    <w:p w14:paraId="375BB153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  <w:r>
        <w:t>Kezelőorvosa el fogja dönteni, hogy kapjon</w:t>
      </w:r>
      <w:r>
        <w:noBreakHyphen/>
        <w:t>e véráramlást javító gyógyszereket, és ellenőrizni fogja vérének alvadási képességét.</w:t>
      </w:r>
    </w:p>
    <w:p w14:paraId="53AE939E" w14:textId="77777777" w:rsidR="001853FE" w:rsidRDefault="001853F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</w:p>
    <w:p w14:paraId="6B6205C3" w14:textId="77777777" w:rsidR="001853FE" w:rsidRDefault="00D633C3">
      <w:pPr>
        <w:pStyle w:val="Default"/>
        <w:rPr>
          <w:sz w:val="22"/>
          <w:szCs w:val="22"/>
        </w:rPr>
      </w:pPr>
      <w:r>
        <w:rPr>
          <w:sz w:val="22"/>
        </w:rPr>
        <w:t xml:space="preserve">Különböző ajánlások vonatkoznak a különböző típusú oltóanyagokra: </w:t>
      </w:r>
    </w:p>
    <w:p w14:paraId="2A84033A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  <w:rPr>
          <w:szCs w:val="22"/>
        </w:rPr>
      </w:pPr>
      <w:r>
        <w:t>•</w:t>
      </w:r>
      <w:r>
        <w:tab/>
        <w:t>Sárgaláz elleni védőoltás – tilos sárgaláz elleni védőoltást kapnia, ha Dacarbazine medac</w:t>
      </w:r>
      <w:r>
        <w:noBreakHyphen/>
        <w:t>ot kap.</w:t>
      </w:r>
    </w:p>
    <w:p w14:paraId="257C8570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  <w:rPr>
          <w:szCs w:val="22"/>
        </w:rPr>
      </w:pPr>
      <w:r>
        <w:t>•</w:t>
      </w:r>
      <w:r>
        <w:tab/>
        <w:t>Élő kórokozót tartalmazó védőoltások – nem kaphat élő kórokozót tartalmazó védőoltást, ha Dacarbazine medac</w:t>
      </w:r>
      <w:r>
        <w:noBreakHyphen/>
        <w:t>ot kap. Ennek az az oka, hogy a Dacarbazine medac csökkentheti az immunrendszere működését és fogékonyabbá teheti a súlyos fertőzésekkel szemben.</w:t>
      </w:r>
    </w:p>
    <w:p w14:paraId="3517EA76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  <w:rPr>
          <w:szCs w:val="22"/>
        </w:rPr>
      </w:pPr>
      <w:r>
        <w:t>•</w:t>
      </w:r>
      <w:r>
        <w:tab/>
        <w:t>Elölt kórokozót tartalmazó védőoltások – kaphat „elölt” vagy inaktivált kórokozót tartalmazó védőoltást, ha Dacarbazine medac</w:t>
      </w:r>
      <w:r>
        <w:noBreakHyphen/>
        <w:t>ot kap.</w:t>
      </w:r>
    </w:p>
    <w:p w14:paraId="718A835C" w14:textId="77777777" w:rsidR="001853FE" w:rsidRDefault="001853F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</w:p>
    <w:p w14:paraId="69DE6019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  <w:r>
        <w:rPr>
          <w:b/>
        </w:rPr>
        <w:t>Az étel és az alkohol hatása a Dacarbazine medac</w:t>
      </w:r>
      <w:r>
        <w:rPr>
          <w:b/>
        </w:rPr>
        <w:noBreakHyphen/>
        <w:t>ra</w:t>
      </w:r>
    </w:p>
    <w:p w14:paraId="13198CB5" w14:textId="77777777" w:rsidR="001853FE" w:rsidRDefault="00D633C3">
      <w:pPr>
        <w:numPr>
          <w:ilvl w:val="0"/>
          <w:numId w:val="16"/>
        </w:numPr>
        <w:tabs>
          <w:tab w:val="clear" w:pos="567"/>
        </w:tabs>
        <w:spacing w:line="240" w:lineRule="auto"/>
        <w:ind w:left="567" w:right="-2" w:hanging="567"/>
      </w:pPr>
      <w:r>
        <w:t>Ne egyen közvetlenül a Dacarbazine medac alkalmazása előtt. Ez segíthet abban, hogy ne legyen hányingere, illetve ne hányjon.</w:t>
      </w:r>
    </w:p>
    <w:p w14:paraId="5637A543" w14:textId="77777777" w:rsidR="001853FE" w:rsidRDefault="00D633C3">
      <w:pPr>
        <w:numPr>
          <w:ilvl w:val="0"/>
          <w:numId w:val="16"/>
        </w:numPr>
        <w:tabs>
          <w:tab w:val="clear" w:pos="567"/>
        </w:tabs>
        <w:spacing w:line="240" w:lineRule="auto"/>
        <w:ind w:left="567" w:right="-2" w:hanging="567"/>
      </w:pPr>
      <w:r>
        <w:t>Kemoterápia alatt nem szabad alkoholt fogyasztani.</w:t>
      </w:r>
    </w:p>
    <w:p w14:paraId="2FCBED4F" w14:textId="77777777" w:rsidR="001853FE" w:rsidRDefault="001853FE">
      <w:pPr>
        <w:numPr>
          <w:ilvl w:val="12"/>
          <w:numId w:val="0"/>
        </w:numPr>
        <w:tabs>
          <w:tab w:val="clear" w:pos="567"/>
          <w:tab w:val="left" w:pos="1290"/>
        </w:tabs>
        <w:spacing w:line="240" w:lineRule="auto"/>
        <w:ind w:right="-2"/>
        <w:rPr>
          <w:noProof/>
        </w:rPr>
      </w:pPr>
    </w:p>
    <w:p w14:paraId="3D5BADBE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  <w:r>
        <w:rPr>
          <w:b/>
        </w:rPr>
        <w:t>Terhesség, szoptatás és termékenység</w:t>
      </w:r>
      <w:bookmarkStart w:id="1" w:name="_Hlk141371127"/>
      <w:bookmarkStart w:id="2" w:name="_Hlk141371301"/>
    </w:p>
    <w:p w14:paraId="012514CA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</w:rPr>
      </w:pPr>
      <w:r>
        <w:t xml:space="preserve">Ha Ön terhes vagy szoptat, illetve ha fennáll Önnél a terhesség lehetősége vagy gyermeket szeretne, a gyógyszer alkalmazása előtt beszéljen kezelőorvosával. </w:t>
      </w:r>
    </w:p>
    <w:p w14:paraId="069B36CB" w14:textId="77777777" w:rsidR="001853FE" w:rsidRDefault="001853F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</w:rPr>
      </w:pPr>
    </w:p>
    <w:p w14:paraId="0B91C013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</w:rPr>
      </w:pPr>
      <w:r>
        <w:t>A gyógyszer károsíthatja a születendő gyermekét.</w:t>
      </w:r>
    </w:p>
    <w:p w14:paraId="71824BF5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</w:rPr>
      </w:pPr>
      <w:r>
        <w:t>Ne használjon dakarbazint, ha Ön terhes, illetve ha fennáll Önnél a terhesség lehetősége vagy gyermeket szeretne.</w:t>
      </w:r>
    </w:p>
    <w:p w14:paraId="2EA8F9A3" w14:textId="64E86E06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</w:rPr>
      </w:pPr>
      <w:r>
        <w:t xml:space="preserve">Ne szoptasson, ha </w:t>
      </w:r>
      <w:proofErr w:type="spellStart"/>
      <w:r>
        <w:t>Dacarbazine</w:t>
      </w:r>
      <w:proofErr w:type="spellEnd"/>
      <w:r>
        <w:t> </w:t>
      </w:r>
      <w:proofErr w:type="spellStart"/>
      <w:r>
        <w:t>medac</w:t>
      </w:r>
      <w:proofErr w:type="spellEnd"/>
      <w:r>
        <w:noBreakHyphen/>
        <w:t>kezelést kap.</w:t>
      </w:r>
    </w:p>
    <w:p w14:paraId="237DA308" w14:textId="77777777" w:rsidR="001853FE" w:rsidRDefault="001853F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</w:rPr>
      </w:pPr>
    </w:p>
    <w:p w14:paraId="25E421F4" w14:textId="43D1C4C8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Cs/>
          <w:u w:val="single"/>
        </w:rPr>
      </w:pPr>
      <w:r>
        <w:rPr>
          <w:u w:val="single"/>
        </w:rPr>
        <w:t xml:space="preserve">Fogamzóképes nők/fogamzásgátlás </w:t>
      </w:r>
      <w:r w:rsidR="00694FC6">
        <w:rPr>
          <w:u w:val="single"/>
        </w:rPr>
        <w:t xml:space="preserve">nőknél és </w:t>
      </w:r>
      <w:r>
        <w:rPr>
          <w:u w:val="single"/>
        </w:rPr>
        <w:t xml:space="preserve">férfiaknál </w:t>
      </w:r>
    </w:p>
    <w:p w14:paraId="3BF76263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  <w:r>
        <w:t>Ha Ön nő és teherbe szeretne esni, beszéljen kezelőorvosával, aki ajánlhat Önnek egy szakorvost a kezelés tervezett megkezdése előtt és a kezelés után.</w:t>
      </w:r>
    </w:p>
    <w:p w14:paraId="1C863427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  <w:r>
        <w:t>Ha Ön férfi, javasolt konzultálnia a spermiummegőrzésről a kezelés tervezett megkezdése előtt.</w:t>
      </w:r>
    </w:p>
    <w:p w14:paraId="638B7AE2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  <w:r>
        <w:t>A fogamzóképes nőknek hatékony fogamzásgátló módszereket kell alkalmazniuk a dakarbazin</w:t>
      </w:r>
      <w:r>
        <w:noBreakHyphen/>
        <w:t>kezelés alatt és annak befejezését követően még 6 hónapig.</w:t>
      </w:r>
    </w:p>
    <w:p w14:paraId="78F60B36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  <w:r>
        <w:t>A férfiaknak hatékony fogamzásgátló módszereket kell alkalmazniuk és nem szabad gyermeket nemzeniük a dakarbazin</w:t>
      </w:r>
      <w:r>
        <w:noBreakHyphen/>
        <w:t>kezelés alatt és annak befejezését követően 3 hónapig.</w:t>
      </w:r>
      <w:bookmarkEnd w:id="1"/>
      <w:bookmarkEnd w:id="2"/>
    </w:p>
    <w:p w14:paraId="12191207" w14:textId="77777777" w:rsidR="001853FE" w:rsidRDefault="001853FE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2076E8A1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noProof/>
        </w:rPr>
      </w:pPr>
      <w:r>
        <w:rPr>
          <w:b/>
        </w:rPr>
        <w:t>A készítmény hatásai a gépjárművezetéshez és a gépek kezeléséhez szükséges képességekre</w:t>
      </w:r>
    </w:p>
    <w:p w14:paraId="0CC71A9E" w14:textId="77777777" w:rsidR="001853FE" w:rsidRDefault="00D633C3">
      <w:pPr>
        <w:numPr>
          <w:ilvl w:val="12"/>
          <w:numId w:val="8"/>
        </w:numPr>
        <w:tabs>
          <w:tab w:val="clear" w:pos="360"/>
          <w:tab w:val="clear" w:pos="567"/>
          <w:tab w:val="num" w:pos="0"/>
        </w:tabs>
        <w:spacing w:line="240" w:lineRule="auto"/>
        <w:rPr>
          <w:szCs w:val="22"/>
        </w:rPr>
      </w:pPr>
      <w:r>
        <w:t>A központi idegrendszert érintő mellékhatások (az agyra és az idegrendszerre gyakorolt nemkívánatos hatások) vagy hányinger, illetve hányás hatással lehetnek a gépjárművezetéshez és a gépek kezeléséhez szükséges képességeire. Azonban nincs olyan ok, ami miatt ne vezethetne gépjárművet vagy kezelhetne gépeket a terápiás ciklusok között, kivéve ha szédül vagy bizonytalannak érzi magát.</w:t>
      </w:r>
    </w:p>
    <w:p w14:paraId="4D54E6BB" w14:textId="77777777" w:rsidR="001853FE" w:rsidRDefault="001853F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</w:p>
    <w:p w14:paraId="4D246AC6" w14:textId="77777777" w:rsidR="001853FE" w:rsidRDefault="001853F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</w:p>
    <w:p w14:paraId="09211BC7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outlineLvl w:val="0"/>
        <w:rPr>
          <w:b/>
          <w:noProof/>
        </w:rPr>
      </w:pPr>
      <w:r>
        <w:rPr>
          <w:b/>
        </w:rPr>
        <w:t>3.</w:t>
      </w:r>
      <w:r>
        <w:rPr>
          <w:b/>
        </w:rPr>
        <w:tab/>
        <w:t>Hogyan kell alkalmazni a Dacarbazine medac-ot?</w:t>
      </w:r>
    </w:p>
    <w:p w14:paraId="56335FB5" w14:textId="77777777" w:rsidR="001853FE" w:rsidRDefault="001853F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noProof/>
        </w:rPr>
      </w:pPr>
    </w:p>
    <w:p w14:paraId="0BEB885C" w14:textId="5E50094C" w:rsidR="001853FE" w:rsidRDefault="00D633C3">
      <w:r>
        <w:t>Ezt a gyógyszert onkológus (daganatkezelésben jártas) vagy hematológus (</w:t>
      </w:r>
      <w:r w:rsidR="00694FC6">
        <w:t xml:space="preserve">a </w:t>
      </w:r>
      <w:r>
        <w:t>vér</w:t>
      </w:r>
      <w:r w:rsidR="00694FC6">
        <w:t>képz</w:t>
      </w:r>
      <w:r w:rsidR="007B694E">
        <w:t>ő</w:t>
      </w:r>
      <w:r w:rsidR="00694FC6">
        <w:t xml:space="preserve"> </w:t>
      </w:r>
      <w:r w:rsidR="00A42296">
        <w:t>és nyirok</w:t>
      </w:r>
      <w:r w:rsidR="00694FC6">
        <w:t>sze</w:t>
      </w:r>
      <w:r w:rsidR="00A42296">
        <w:t xml:space="preserve">rvek </w:t>
      </w:r>
      <w:r>
        <w:t>betegsége</w:t>
      </w:r>
      <w:r w:rsidR="00A42296">
        <w:t xml:space="preserve">inek </w:t>
      </w:r>
      <w:r>
        <w:t>k</w:t>
      </w:r>
      <w:r w:rsidR="00A42296">
        <w:t>ezelésé</w:t>
      </w:r>
      <w:r>
        <w:t>ben jártas) szakorvos irányítása alatt fogja kapni. Rendszeresen ellenőrizni fogják az állapotát a kezelés alatt és után, az esetleges mellékhatások jeleit figyelve.</w:t>
      </w:r>
    </w:p>
    <w:p w14:paraId="65DAF096" w14:textId="77777777" w:rsidR="001853FE" w:rsidRDefault="001853FE"/>
    <w:p w14:paraId="1B4C890E" w14:textId="77777777" w:rsidR="001853FE" w:rsidRDefault="00D633C3">
      <w:pPr>
        <w:rPr>
          <w:b/>
        </w:rPr>
      </w:pPr>
      <w:r>
        <w:rPr>
          <w:b/>
        </w:rPr>
        <w:t>Hogyan kell beadni a Dacarbazine medac</w:t>
      </w:r>
      <w:r>
        <w:rPr>
          <w:b/>
        </w:rPr>
        <w:noBreakHyphen/>
        <w:t>ot?</w:t>
      </w:r>
    </w:p>
    <w:p w14:paraId="62329A67" w14:textId="77777777" w:rsidR="001853FE" w:rsidRDefault="00D633C3">
      <w:r>
        <w:t>A Dacarbazine medac</w:t>
      </w:r>
      <w:r>
        <w:noBreakHyphen/>
        <w:t>ot a kezelőorvosa vagy a gondozását végző egészségügyi szakember fogja beadni intravénás infúzióként (vénába adott infúzió) – ez 20–30 percig tart majd.</w:t>
      </w:r>
    </w:p>
    <w:p w14:paraId="4A5A43B9" w14:textId="77777777" w:rsidR="001853FE" w:rsidRDefault="001853FE"/>
    <w:p w14:paraId="03E4F60A" w14:textId="77777777" w:rsidR="001853FE" w:rsidRDefault="00D633C3">
      <w:r>
        <w:t>Közvetlenül a gyógyszer beadása előtt a Dacarbazine medac port fel fogják oldani 50 ml injekcióhoz való vízben, majd tovább fogják hígítani 200–300 ml izotóniás nátrium-kloridos vagy 5%-os glükózos infúziós oldattal.</w:t>
      </w:r>
    </w:p>
    <w:p w14:paraId="01BF8B58" w14:textId="77777777" w:rsidR="001853FE" w:rsidRDefault="001853FE">
      <w:pPr>
        <w:rPr>
          <w:b/>
        </w:rPr>
      </w:pPr>
    </w:p>
    <w:p w14:paraId="2C515ACE" w14:textId="507E561D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noProof/>
        </w:rPr>
      </w:pPr>
      <w:r>
        <w:rPr>
          <w:b/>
        </w:rPr>
        <w:t>Mennyi Dacarbazine medac</w:t>
      </w:r>
      <w:r>
        <w:rPr>
          <w:b/>
        </w:rPr>
        <w:noBreakHyphen/>
        <w:t>ot fognak beadni</w:t>
      </w:r>
      <w:r w:rsidR="000D57CF">
        <w:rPr>
          <w:b/>
        </w:rPr>
        <w:t xml:space="preserve"> Önnek</w:t>
      </w:r>
      <w:r>
        <w:rPr>
          <w:b/>
        </w:rPr>
        <w:t>?</w:t>
      </w:r>
    </w:p>
    <w:p w14:paraId="48154E48" w14:textId="33DFB8AB" w:rsidR="001853FE" w:rsidRDefault="00D633C3">
      <w:r>
        <w:t>Az Ön</w:t>
      </w:r>
      <w:r w:rsidR="000D57CF">
        <w:t xml:space="preserve"> számára megfelelő </w:t>
      </w:r>
      <w:r>
        <w:t>adagot a kezelőorvosa fogja kiszámítani. Ez a daganata típusától és előrehaladottságától, a testfelülettől (m²), a vérsejtszámoktól és az egyéb alkalmazott daganatellenes gyógyszerektől és kezelésektől függ. A kezelőorvos szintén egyénileg dönti el, milyen hosszan fogja alkalmazni Önnél a Dacarbazine medac</w:t>
      </w:r>
      <w:r>
        <w:noBreakHyphen/>
        <w:t>ot.</w:t>
      </w:r>
    </w:p>
    <w:p w14:paraId="7468E889" w14:textId="77777777" w:rsidR="001853FE" w:rsidRDefault="001853FE"/>
    <w:p w14:paraId="77ADBB70" w14:textId="77777777" w:rsidR="001853FE" w:rsidRDefault="00D633C3">
      <w:r>
        <w:t>Kezelőorvosa megváltoztathatja az Ön adagját és az adagolása gyakoriságát, ez függ az Ön vérvizsgálati eredményeitől, az általános állapotától, a további kezelésektől, illetve az Ön gyógyszerre adott reakciójától. Ha bármilyen kérdése van a kezelésével kapcsolatban, kérdezze meg kezelőorvosát, gyógyszerészét vagy a gondozását végző egészségügyi szakembert.</w:t>
      </w:r>
    </w:p>
    <w:p w14:paraId="5EFCB8A3" w14:textId="77777777" w:rsidR="001853FE" w:rsidRDefault="001853FE"/>
    <w:p w14:paraId="20443649" w14:textId="77777777" w:rsidR="001853FE" w:rsidRDefault="00D633C3">
      <w:pPr>
        <w:rPr>
          <w:b/>
          <w:bCs/>
          <w:i/>
          <w:iCs/>
          <w:szCs w:val="22"/>
        </w:rPr>
      </w:pPr>
      <w:r>
        <w:rPr>
          <w:b/>
          <w:i/>
        </w:rPr>
        <w:t>Bőrrák (áttétes rosszindulatú melanóma)</w:t>
      </w:r>
    </w:p>
    <w:p w14:paraId="73E345AA" w14:textId="28BC4BD1" w:rsidR="001853FE" w:rsidRDefault="00D633C3">
      <w:pPr>
        <w:rPr>
          <w:b/>
          <w:bCs/>
          <w:iCs/>
          <w:szCs w:val="22"/>
        </w:rPr>
      </w:pPr>
      <w:r>
        <w:t>A készítmény szokásos adagja napi egyszer 200–250 mg/testfelület m². Ezt az adagot 5 </w:t>
      </w:r>
      <w:r w:rsidR="008908F8">
        <w:t xml:space="preserve">egymást követő </w:t>
      </w:r>
      <w:r>
        <w:t>napon keresztül fogja kapni 3 hetente. Gyors intravénás injekcióként vagy lassú, 15–30 percig tartó intravénás infúzióként fogja megkapni.</w:t>
      </w:r>
    </w:p>
    <w:p w14:paraId="70F47EF8" w14:textId="77777777" w:rsidR="001853FE" w:rsidRDefault="00D633C3">
      <w:pPr>
        <w:tabs>
          <w:tab w:val="clear" w:pos="567"/>
        </w:tabs>
        <w:rPr>
          <w:bCs/>
          <w:szCs w:val="22"/>
        </w:rPr>
      </w:pPr>
      <w:r>
        <w:t>Másik lehetőségként egy nagyobb, 850–1000 mg/testfelület m²-es adagot is kaphat 3 hetente. Ezt lassú, intravénás infúzióként fogja megkapni.</w:t>
      </w:r>
    </w:p>
    <w:p w14:paraId="6EB7E5CE" w14:textId="77777777" w:rsidR="001853FE" w:rsidRDefault="001853FE">
      <w:pPr>
        <w:tabs>
          <w:tab w:val="clear" w:pos="567"/>
        </w:tabs>
        <w:rPr>
          <w:bCs/>
          <w:szCs w:val="22"/>
        </w:rPr>
      </w:pPr>
    </w:p>
    <w:p w14:paraId="1FF7F777" w14:textId="77777777" w:rsidR="001853FE" w:rsidRDefault="00D633C3">
      <w:pPr>
        <w:tabs>
          <w:tab w:val="clear" w:pos="567"/>
        </w:tabs>
        <w:rPr>
          <w:bCs/>
          <w:i/>
          <w:szCs w:val="22"/>
        </w:rPr>
      </w:pPr>
      <w:r>
        <w:rPr>
          <w:b/>
          <w:i/>
        </w:rPr>
        <w:t>Nyirokszöveti rák (Hodgkin-kór)</w:t>
      </w:r>
    </w:p>
    <w:p w14:paraId="06DD4BCD" w14:textId="77777777" w:rsidR="001853FE" w:rsidRDefault="00D633C3">
      <w:pPr>
        <w:tabs>
          <w:tab w:val="clear" w:pos="567"/>
        </w:tabs>
        <w:rPr>
          <w:bCs/>
          <w:szCs w:val="22"/>
        </w:rPr>
      </w:pPr>
      <w:r>
        <w:t>A készítmény szokásos adagja 15 naponta 375 mg/testfelület m². Kapni fog doxorubicin, bleomicin és vinblasztin nevű gyógyszereket is (ezt a kombinációt ABVD protokollnak hívják). Lassú intravénás infúzióként fogja megkapni.</w:t>
      </w:r>
    </w:p>
    <w:p w14:paraId="72B1BA75" w14:textId="77777777" w:rsidR="001853FE" w:rsidRDefault="001853FE">
      <w:pPr>
        <w:rPr>
          <w:bCs/>
          <w:szCs w:val="22"/>
        </w:rPr>
      </w:pPr>
    </w:p>
    <w:p w14:paraId="274B032E" w14:textId="77777777" w:rsidR="001853FE" w:rsidRDefault="00D633C3">
      <w:pPr>
        <w:rPr>
          <w:b/>
          <w:bCs/>
          <w:i/>
          <w:iCs/>
          <w:szCs w:val="22"/>
        </w:rPr>
      </w:pPr>
      <w:r>
        <w:rPr>
          <w:b/>
          <w:i/>
        </w:rPr>
        <w:t>Izmokat, zsírszövetet, rostos kötőszövetet, vérereket vagy más kötő- és támasztószövetet érintő daganat (lágyrészszarkóma)</w:t>
      </w:r>
    </w:p>
    <w:p w14:paraId="03C5CC1D" w14:textId="5AB566A4" w:rsidR="001853FE" w:rsidRDefault="00D633C3">
      <w:pPr>
        <w:tabs>
          <w:tab w:val="clear" w:pos="567"/>
        </w:tabs>
        <w:rPr>
          <w:bCs/>
          <w:szCs w:val="22"/>
        </w:rPr>
      </w:pPr>
      <w:r>
        <w:t>A készítmény szokásos adagja napi egyszer 250 mg/testfelület m². Ezt az adagot 5 </w:t>
      </w:r>
      <w:r w:rsidR="00221F47">
        <w:t xml:space="preserve">egymást követő </w:t>
      </w:r>
      <w:r>
        <w:t>napon keresztül fogja kapni 3 hetente. Lassú, 15–30 percig tartó intravénás infúzióként fogja megkapni.</w:t>
      </w:r>
    </w:p>
    <w:p w14:paraId="56342430" w14:textId="77777777" w:rsidR="001853FE" w:rsidRDefault="00D633C3">
      <w:pPr>
        <w:tabs>
          <w:tab w:val="clear" w:pos="567"/>
        </w:tabs>
        <w:rPr>
          <w:bCs/>
          <w:szCs w:val="22"/>
        </w:rPr>
      </w:pPr>
      <w:r>
        <w:t>Kapni fog egy doxorubicin nevű gyógyszert is (ezt a kombinációt ADIC protokollnak hívják).</w:t>
      </w:r>
    </w:p>
    <w:p w14:paraId="295D335C" w14:textId="77777777" w:rsidR="001853FE" w:rsidRDefault="001853FE">
      <w:pPr>
        <w:rPr>
          <w:b/>
          <w:bCs/>
          <w:szCs w:val="22"/>
        </w:rPr>
      </w:pPr>
    </w:p>
    <w:p w14:paraId="778815CD" w14:textId="77777777" w:rsidR="001853FE" w:rsidRDefault="00D633C3">
      <w:pPr>
        <w:rPr>
          <w:b/>
          <w:bCs/>
          <w:iCs/>
          <w:szCs w:val="22"/>
        </w:rPr>
      </w:pPr>
      <w:r>
        <w:rPr>
          <w:b/>
        </w:rPr>
        <w:t>Vese- vagy májproblémákkal élő betegek</w:t>
      </w:r>
    </w:p>
    <w:p w14:paraId="3AB96151" w14:textId="7DBFF202" w:rsidR="001853FE" w:rsidRDefault="00D633C3">
      <w:pPr>
        <w:rPr>
          <w:bCs/>
          <w:szCs w:val="22"/>
        </w:rPr>
      </w:pPr>
      <w:r>
        <w:t>Ha enyhe vagy mérsékelt vese- vagy májproblémákkal küzd, akkor általában nincs szükség a gyógyszer adagjának csökkentésére. Ha vese- és májproblémai is vannak, akkor hosszabb időbe telhet, amíg a szervezete felveszi ezt a gyógyszert, illetve eltávolítja a</w:t>
      </w:r>
      <w:r w:rsidR="00D57CA5">
        <w:t>zt az Ön</w:t>
      </w:r>
      <w:r>
        <w:t xml:space="preserve"> szervezetéből. Előfordulhat, hogy kezelőorvosa kevesebb gyógyszert fog beadni.</w:t>
      </w:r>
    </w:p>
    <w:p w14:paraId="74D74666" w14:textId="77777777" w:rsidR="001853FE" w:rsidRDefault="001853FE">
      <w:pPr>
        <w:rPr>
          <w:b/>
          <w:bCs/>
          <w:szCs w:val="22"/>
        </w:rPr>
      </w:pPr>
    </w:p>
    <w:p w14:paraId="01B4BF6E" w14:textId="77777777" w:rsidR="001853FE" w:rsidRDefault="00D633C3">
      <w:pPr>
        <w:rPr>
          <w:b/>
          <w:bCs/>
          <w:iCs/>
          <w:szCs w:val="22"/>
        </w:rPr>
      </w:pPr>
      <w:r>
        <w:rPr>
          <w:b/>
        </w:rPr>
        <w:t>Idősek</w:t>
      </w:r>
    </w:p>
    <w:p w14:paraId="0E20828E" w14:textId="77777777" w:rsidR="001853FE" w:rsidRDefault="00D633C3">
      <w:pPr>
        <w:rPr>
          <w:bCs/>
          <w:szCs w:val="22"/>
        </w:rPr>
      </w:pPr>
      <w:r>
        <w:t>Nincsenek különleges utasítások a Dacarbazine medac időseknél történő használatára vonatkozóan.</w:t>
      </w:r>
    </w:p>
    <w:p w14:paraId="103D3FC8" w14:textId="77777777" w:rsidR="001853FE" w:rsidRDefault="001853FE">
      <w:pPr>
        <w:rPr>
          <w:b/>
          <w:bCs/>
          <w:szCs w:val="22"/>
        </w:rPr>
      </w:pPr>
    </w:p>
    <w:p w14:paraId="18C49CFF" w14:textId="77777777" w:rsidR="001853FE" w:rsidRDefault="00D633C3">
      <w:r>
        <w:rPr>
          <w:b/>
        </w:rPr>
        <w:t>Alkalmazása gyermekeknél</w:t>
      </w:r>
    </w:p>
    <w:p w14:paraId="41F57050" w14:textId="77777777" w:rsidR="00FA0F1C" w:rsidRPr="00D4497E" w:rsidRDefault="00FA0F1C" w:rsidP="00FA0F1C">
      <w:pPr>
        <w:rPr>
          <w:noProof/>
          <w:szCs w:val="22"/>
        </w:rPr>
      </w:pPr>
      <w:r w:rsidRPr="00D4497E">
        <w:rPr>
          <w:noProof/>
          <w:szCs w:val="22"/>
        </w:rPr>
        <w:t xml:space="preserve">Amíg nem állnak rendelkezésre további adatok, </w:t>
      </w:r>
      <w:r>
        <w:rPr>
          <w:noProof/>
          <w:szCs w:val="22"/>
        </w:rPr>
        <w:t>nem adhatóak</w:t>
      </w:r>
      <w:r w:rsidRPr="00D4497E">
        <w:rPr>
          <w:noProof/>
          <w:szCs w:val="22"/>
        </w:rPr>
        <w:t xml:space="preserve"> külön ajánlások </w:t>
      </w:r>
      <w:r>
        <w:rPr>
          <w:noProof/>
          <w:szCs w:val="22"/>
        </w:rPr>
        <w:t xml:space="preserve">a </w:t>
      </w:r>
      <w:r w:rsidRPr="00D4497E">
        <w:rPr>
          <w:noProof/>
          <w:szCs w:val="22"/>
        </w:rPr>
        <w:t xml:space="preserve">kezelőorvos számára a Dacarbazine </w:t>
      </w:r>
      <w:r>
        <w:rPr>
          <w:noProof/>
          <w:szCs w:val="22"/>
        </w:rPr>
        <w:t>Medac</w:t>
      </w:r>
      <w:r w:rsidRPr="00D4497E">
        <w:rPr>
          <w:noProof/>
          <w:szCs w:val="22"/>
        </w:rPr>
        <w:t xml:space="preserve"> gyermekeknél és serdülőknél történő alkalmazására vonatkozóan.</w:t>
      </w:r>
    </w:p>
    <w:p w14:paraId="0B158E58" w14:textId="77777777" w:rsidR="001853FE" w:rsidRDefault="001853FE"/>
    <w:p w14:paraId="55028CC6" w14:textId="77777777" w:rsidR="001853FE" w:rsidRDefault="00D633C3">
      <w:r>
        <w:rPr>
          <w:b/>
        </w:rPr>
        <w:t>Óvintézkedések az alkalmazás alatt</w:t>
      </w:r>
    </w:p>
    <w:p w14:paraId="5DDF7AB8" w14:textId="5148366D" w:rsidR="001853FE" w:rsidRDefault="00D633C3">
      <w:r>
        <w:t xml:space="preserve">A </w:t>
      </w:r>
      <w:proofErr w:type="spellStart"/>
      <w:r>
        <w:t>dakarbazin</w:t>
      </w:r>
      <w:proofErr w:type="spellEnd"/>
      <w:r>
        <w:t xml:space="preserve"> </w:t>
      </w:r>
      <w:r w:rsidR="00FA0F1C">
        <w:t xml:space="preserve">fényre </w:t>
      </w:r>
      <w:r>
        <w:t>érzékeny a</w:t>
      </w:r>
      <w:r w:rsidR="00FA0F1C">
        <w:t>nyag</w:t>
      </w:r>
      <w:r>
        <w:t>. Az alkalmazás során a gyógyszert Önnek beadó orvos vagy a gondozását végző egészségügyi szakember gondoskodik a dakarbazin fénytől való védelméről.</w:t>
      </w:r>
    </w:p>
    <w:p w14:paraId="6173C92C" w14:textId="77777777" w:rsidR="001853FE" w:rsidRDefault="001853F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</w:p>
    <w:p w14:paraId="31F97F24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noProof/>
        </w:rPr>
      </w:pPr>
      <w:r>
        <w:rPr>
          <w:b/>
        </w:rPr>
        <w:t>Ha az előírtnál több Dacarbazine medac</w:t>
      </w:r>
      <w:r>
        <w:rPr>
          <w:b/>
        </w:rPr>
        <w:noBreakHyphen/>
        <w:t>ot kapott</w:t>
      </w:r>
    </w:p>
    <w:p w14:paraId="4B8F5FF8" w14:textId="77777777" w:rsidR="001853FE" w:rsidRDefault="00D633C3">
      <w:pPr>
        <w:tabs>
          <w:tab w:val="clear" w:pos="567"/>
        </w:tabs>
        <w:spacing w:line="240" w:lineRule="auto"/>
        <w:ind w:right="-2"/>
        <w:rPr>
          <w:noProof/>
          <w:szCs w:val="22"/>
        </w:rPr>
      </w:pPr>
      <w:r>
        <w:t>Ha úgy gondolja, hogy túl sok Dacarbazine medac</w:t>
      </w:r>
      <w:r>
        <w:noBreakHyphen/>
        <w:t>ot kapott, azonnal mondja el kezelőorvosának vagy a gondozását végző egészségügyi szakembernek.</w:t>
      </w:r>
    </w:p>
    <w:p w14:paraId="56618968" w14:textId="464E3568" w:rsidR="001853FE" w:rsidRDefault="00D633C3">
      <w:pPr>
        <w:numPr>
          <w:ilvl w:val="0"/>
          <w:numId w:val="19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  <w:r>
        <w:t>Túladagolás gyanúja esetén ellenőrizni fogják a</w:t>
      </w:r>
      <w:r w:rsidR="00892D1F">
        <w:t>z Ön</w:t>
      </w:r>
      <w:r>
        <w:t xml:space="preserve"> vérsejtszámát, és támogató kezelésre, például vérátömlesztésre lehet szükség.</w:t>
      </w:r>
    </w:p>
    <w:p w14:paraId="76E12C3A" w14:textId="3FB1CCB9" w:rsidR="001853FE" w:rsidRDefault="00D633C3">
      <w:pPr>
        <w:numPr>
          <w:ilvl w:val="0"/>
          <w:numId w:val="2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  <w:r>
        <w:t>A túladagolás súlyos csontvelő-károsodást (csontvelő-toxicitás</w:t>
      </w:r>
      <w:r w:rsidR="00DD4034">
        <w:t>t</w:t>
      </w:r>
      <w:r>
        <w:t>) okozhat. Ennek következtében bekövetkezhet a csontvelő teljes funkcióvesztése (csontvelő-aplázia). Ez a hatás körülbelül 2 héttel később is jelentkezhet.</w:t>
      </w:r>
    </w:p>
    <w:p w14:paraId="376A97EB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  <w:r>
        <w:tab/>
      </w:r>
    </w:p>
    <w:p w14:paraId="0F52ED1D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  <w:r>
        <w:t>Ha bármilyen további kérdése van a gyógyszer alkalmazásával kapcsolatban, kérdezze meg kezelőorvosát vagy gyógyszerészét.</w:t>
      </w:r>
    </w:p>
    <w:p w14:paraId="7B5F23BC" w14:textId="77777777" w:rsidR="001853FE" w:rsidRDefault="001853F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</w:p>
    <w:p w14:paraId="0BEAD7F7" w14:textId="77777777" w:rsidR="001853FE" w:rsidRDefault="001853F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</w:p>
    <w:p w14:paraId="4B6BCB2A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outlineLvl w:val="0"/>
        <w:rPr>
          <w:b/>
          <w:noProof/>
        </w:rPr>
      </w:pPr>
      <w:r>
        <w:rPr>
          <w:b/>
        </w:rPr>
        <w:t>4.</w:t>
      </w:r>
      <w:r>
        <w:rPr>
          <w:b/>
        </w:rPr>
        <w:tab/>
        <w:t>Lehetséges mellékhatások</w:t>
      </w:r>
    </w:p>
    <w:p w14:paraId="015DD916" w14:textId="77777777" w:rsidR="001853FE" w:rsidRDefault="001853F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</w:p>
    <w:p w14:paraId="085DD7C5" w14:textId="77777777" w:rsidR="001853FE" w:rsidRDefault="00D633C3">
      <w:pPr>
        <w:tabs>
          <w:tab w:val="clear" w:pos="567"/>
        </w:tabs>
      </w:pPr>
      <w:r>
        <w:t>Mint minden gyógyszer, így ez a gyógyszer is okozhat mellékhatásokat, amelyek azonban nem mindenkinél jelentkeznek. Kezelőorvosa megbeszéli ezeket Önnel, és elmagyarázza a kezelése kockázatait és előnyeit.</w:t>
      </w:r>
    </w:p>
    <w:p w14:paraId="132B4B94" w14:textId="77777777" w:rsidR="001853FE" w:rsidRDefault="001853FE">
      <w:pPr>
        <w:tabs>
          <w:tab w:val="clear" w:pos="567"/>
        </w:tabs>
      </w:pPr>
    </w:p>
    <w:p w14:paraId="7EFF35C8" w14:textId="77777777" w:rsidR="001853FE" w:rsidRDefault="00D633C3">
      <w:pPr>
        <w:tabs>
          <w:tab w:val="clear" w:pos="567"/>
        </w:tabs>
        <w:rPr>
          <w:b/>
        </w:rPr>
      </w:pPr>
      <w:r>
        <w:rPr>
          <w:b/>
        </w:rPr>
        <w:t>Azonnal szóljon kezelőorvosának, ha az alábbi mellékhatások bármelyikét észleli:</w:t>
      </w:r>
    </w:p>
    <w:p w14:paraId="1FBF2704" w14:textId="1CB602D3" w:rsidR="001853FE" w:rsidRDefault="00D633C3">
      <w:pPr>
        <w:tabs>
          <w:tab w:val="clear" w:pos="567"/>
        </w:tabs>
        <w:ind w:left="540" w:hanging="540"/>
      </w:pPr>
      <w:r>
        <w:t>•</w:t>
      </w:r>
      <w:r>
        <w:tab/>
        <w:t xml:space="preserve">Fertőzésre utaló jelek, például torokfájás vagy </w:t>
      </w:r>
      <w:r w:rsidR="00892D1F">
        <w:t xml:space="preserve">magas </w:t>
      </w:r>
      <w:r>
        <w:t>láz.</w:t>
      </w:r>
    </w:p>
    <w:p w14:paraId="03488F29" w14:textId="77777777" w:rsidR="001853FE" w:rsidRDefault="00D633C3">
      <w:pPr>
        <w:tabs>
          <w:tab w:val="clear" w:pos="567"/>
        </w:tabs>
        <w:ind w:left="540" w:hanging="540"/>
      </w:pPr>
      <w:r>
        <w:t>•</w:t>
      </w:r>
      <w:r>
        <w:tab/>
        <w:t>Rendellenes véraláfutás vagy vérzés.</w:t>
      </w:r>
    </w:p>
    <w:p w14:paraId="11A8CF0B" w14:textId="77777777" w:rsidR="001853FE" w:rsidRDefault="00D633C3">
      <w:pPr>
        <w:tabs>
          <w:tab w:val="clear" w:pos="567"/>
        </w:tabs>
        <w:ind w:left="540" w:hanging="540"/>
      </w:pPr>
      <w:r>
        <w:t>•</w:t>
      </w:r>
      <w:r>
        <w:tab/>
        <w:t>Rendkívüli fáradtság.</w:t>
      </w:r>
    </w:p>
    <w:p w14:paraId="141BA6DA" w14:textId="77777777" w:rsidR="001853FE" w:rsidRDefault="00D633C3">
      <w:pPr>
        <w:tabs>
          <w:tab w:val="clear" w:pos="567"/>
        </w:tabs>
        <w:ind w:left="540" w:hanging="540"/>
      </w:pPr>
      <w:r>
        <w:t>•</w:t>
      </w:r>
      <w:r>
        <w:tab/>
        <w:t>Tartós vagy súlyos hányás vagy hasmenés.</w:t>
      </w:r>
    </w:p>
    <w:p w14:paraId="03DCB91D" w14:textId="77777777" w:rsidR="001853FE" w:rsidRDefault="00D633C3">
      <w:pPr>
        <w:tabs>
          <w:tab w:val="clear" w:pos="567"/>
        </w:tabs>
        <w:ind w:left="540" w:hanging="540"/>
      </w:pPr>
      <w:r>
        <w:t>•</w:t>
      </w:r>
      <w:r>
        <w:tab/>
        <w:t>Súlyos allergiás reakció – tapasztalhat hirtelen fellépő viszkető kiütést, a kéz, lábfej, boka, arc, ajak vagy torok duzzanatát (ami nyelési vagy légzési nehézséget okozhat), illetve esetleg úgy érezheti, hogy mindjárt elájul.</w:t>
      </w:r>
    </w:p>
    <w:p w14:paraId="45B63EB0" w14:textId="77777777" w:rsidR="001853FE" w:rsidRDefault="00D633C3">
      <w:pPr>
        <w:tabs>
          <w:tab w:val="clear" w:pos="567"/>
        </w:tabs>
        <w:ind w:left="540" w:hanging="540"/>
      </w:pPr>
      <w:r>
        <w:t>•</w:t>
      </w:r>
      <w:r>
        <w:tab/>
        <w:t>A bőr és a szemfehérje sárgulása májproblémák miatt.</w:t>
      </w:r>
    </w:p>
    <w:p w14:paraId="7B8FC5C4" w14:textId="5A5CCF29" w:rsidR="001853FE" w:rsidRDefault="00D633C3">
      <w:pPr>
        <w:tabs>
          <w:tab w:val="clear" w:pos="567"/>
        </w:tabs>
        <w:ind w:left="540" w:hanging="540"/>
      </w:pPr>
      <w:r>
        <w:t>•</w:t>
      </w:r>
      <w:r>
        <w:tab/>
      </w:r>
      <w:r w:rsidR="005F62B3">
        <w:t>Idegrendszeri</w:t>
      </w:r>
      <w:r>
        <w:t xml:space="preserve"> problémák, például fejfájás, homályos látás, görcsök, zavarodottság, levertség, illetve az arc zsibbadása vagy bizsergése.</w:t>
      </w:r>
    </w:p>
    <w:p w14:paraId="55A2FC9E" w14:textId="77777777" w:rsidR="001853FE" w:rsidRDefault="00D633C3">
      <w:pPr>
        <w:tabs>
          <w:tab w:val="clear" w:pos="567"/>
        </w:tabs>
        <w:ind w:left="540" w:hanging="540"/>
        <w:rPr>
          <w:szCs w:val="22"/>
        </w:rPr>
      </w:pPr>
      <w:r>
        <w:t>•</w:t>
      </w:r>
      <w:r>
        <w:tab/>
        <w:t>A máj súlyos megbetegedése a máj vérereinek elzáródása miatt (venookkluzív betegség [VOD] vagy Budd–Chiari-szindróma), ami a májsejtek pusztulásával jár, és életveszélyes lehet. Ha felmerül ezen szövődmények gyanúja, kezelőorvosa fog dönteni az Önnek megfelelő kezelésről.</w:t>
      </w:r>
    </w:p>
    <w:p w14:paraId="68C22285" w14:textId="77777777" w:rsidR="001853FE" w:rsidRDefault="001853FE">
      <w:pPr>
        <w:tabs>
          <w:tab w:val="clear" w:pos="567"/>
        </w:tabs>
        <w:ind w:left="540" w:hanging="540"/>
      </w:pPr>
    </w:p>
    <w:p w14:paraId="7AB34272" w14:textId="77777777" w:rsidR="001853FE" w:rsidRDefault="00D633C3">
      <w:pPr>
        <w:tabs>
          <w:tab w:val="clear" w:pos="567"/>
        </w:tabs>
        <w:rPr>
          <w:b/>
        </w:rPr>
      </w:pPr>
      <w:r>
        <w:rPr>
          <w:b/>
        </w:rPr>
        <w:t>Ezek mind súlyos mellékhatások. Sürgős orvosi ellátásra lehet szüksége.</w:t>
      </w:r>
    </w:p>
    <w:p w14:paraId="4A091277" w14:textId="77777777" w:rsidR="001853FE" w:rsidRDefault="001853FE">
      <w:pPr>
        <w:tabs>
          <w:tab w:val="clear" w:pos="567"/>
        </w:tabs>
      </w:pPr>
    </w:p>
    <w:p w14:paraId="59162D3B" w14:textId="77777777" w:rsidR="001853FE" w:rsidRDefault="00D633C3">
      <w:pPr>
        <w:tabs>
          <w:tab w:val="clear" w:pos="567"/>
        </w:tabs>
      </w:pPr>
      <w:r>
        <w:t>Az alábbi egyéb mellékhatások jelentkezhetnek:</w:t>
      </w:r>
    </w:p>
    <w:p w14:paraId="42D20DA5" w14:textId="77777777" w:rsidR="001853FE" w:rsidRDefault="001853FE">
      <w:pPr>
        <w:tabs>
          <w:tab w:val="left" w:pos="993"/>
        </w:tabs>
        <w:ind w:left="567" w:hanging="567"/>
      </w:pPr>
    </w:p>
    <w:p w14:paraId="0F624B49" w14:textId="77777777" w:rsidR="001853FE" w:rsidRDefault="00D633C3">
      <w:pPr>
        <w:tabs>
          <w:tab w:val="clear" w:pos="567"/>
        </w:tabs>
      </w:pPr>
      <w:r>
        <w:rPr>
          <w:b/>
        </w:rPr>
        <w:t xml:space="preserve">Gyakori </w:t>
      </w:r>
      <w:r>
        <w:t>(10</w:t>
      </w:r>
      <w:r>
        <w:noBreakHyphen/>
        <w:t>ből legfeljebb 1 beteget érinthet)</w:t>
      </w:r>
    </w:p>
    <w:p w14:paraId="48EEE8EA" w14:textId="77777777" w:rsidR="001853FE" w:rsidRDefault="00D633C3">
      <w:pPr>
        <w:tabs>
          <w:tab w:val="clear" w:pos="567"/>
        </w:tabs>
        <w:ind w:left="540" w:hanging="540"/>
      </w:pPr>
      <w:r>
        <w:t>•</w:t>
      </w:r>
      <w:r>
        <w:tab/>
        <w:t>A vörösvértestek (anémia), fehérvérsejtek (leukopénia) és/vagy vérlemezkék (trombocitopénia) számának csökkenése a vérben.</w:t>
      </w:r>
    </w:p>
    <w:p w14:paraId="106A3818" w14:textId="2B410D4C" w:rsidR="001853FE" w:rsidRDefault="00D633C3">
      <w:pPr>
        <w:tabs>
          <w:tab w:val="clear" w:pos="567"/>
        </w:tabs>
        <w:ind w:left="567"/>
      </w:pPr>
      <w:r>
        <w:t xml:space="preserve">Ezek a vérsejtszámot érintő változások </w:t>
      </w:r>
      <w:r w:rsidR="005F62B3">
        <w:t xml:space="preserve">az adagoktól </w:t>
      </w:r>
      <w:proofErr w:type="spellStart"/>
      <w:r>
        <w:t>függő</w:t>
      </w:r>
      <w:r w:rsidR="00BE226B">
        <w:t>e</w:t>
      </w:r>
      <w:r>
        <w:t>k</w:t>
      </w:r>
      <w:proofErr w:type="spellEnd"/>
      <w:r>
        <w:t xml:space="preserve"> és késleltetve jelentkeznek, gyakran csak 3–4 hét elteltével érik el a </w:t>
      </w:r>
      <w:r w:rsidR="00BE226B">
        <w:t>legalacsonyabb értéket</w:t>
      </w:r>
      <w:r>
        <w:t>.</w:t>
      </w:r>
    </w:p>
    <w:p w14:paraId="55F6B773" w14:textId="77777777" w:rsidR="001853FE" w:rsidRDefault="00D633C3">
      <w:pPr>
        <w:tabs>
          <w:tab w:val="clear" w:pos="567"/>
        </w:tabs>
        <w:ind w:left="540" w:hanging="540"/>
      </w:pPr>
      <w:r>
        <w:t>•</w:t>
      </w:r>
      <w:r>
        <w:tab/>
        <w:t>Étvágytalanság (anorexia), hányinger és hányás (ezek mindegyike súlyos lehet).</w:t>
      </w:r>
    </w:p>
    <w:p w14:paraId="74E8A299" w14:textId="77777777" w:rsidR="001853FE" w:rsidRDefault="001853FE">
      <w:pPr>
        <w:tabs>
          <w:tab w:val="clear" w:pos="567"/>
        </w:tabs>
        <w:ind w:left="540" w:hanging="540"/>
      </w:pPr>
    </w:p>
    <w:p w14:paraId="1BB2B009" w14:textId="77777777" w:rsidR="001853FE" w:rsidRDefault="00D633C3">
      <w:pPr>
        <w:tabs>
          <w:tab w:val="clear" w:pos="567"/>
        </w:tabs>
      </w:pPr>
      <w:r>
        <w:rPr>
          <w:b/>
        </w:rPr>
        <w:t xml:space="preserve">Nem gyakori </w:t>
      </w:r>
      <w:r>
        <w:t>(100</w:t>
      </w:r>
      <w:r>
        <w:noBreakHyphen/>
        <w:t>ból legfeljebb 1 beteget érinthet)</w:t>
      </w:r>
    </w:p>
    <w:p w14:paraId="311804D7" w14:textId="77777777" w:rsidR="001853FE" w:rsidRDefault="00D633C3">
      <w:pPr>
        <w:tabs>
          <w:tab w:val="clear" w:pos="567"/>
        </w:tabs>
        <w:ind w:left="540" w:hanging="540"/>
      </w:pPr>
      <w:r>
        <w:t>•</w:t>
      </w:r>
      <w:r>
        <w:tab/>
        <w:t>Hajhullás (alopécia).</w:t>
      </w:r>
    </w:p>
    <w:p w14:paraId="017E6F18" w14:textId="77777777" w:rsidR="001853FE" w:rsidRDefault="00D633C3">
      <w:pPr>
        <w:tabs>
          <w:tab w:val="clear" w:pos="567"/>
        </w:tabs>
        <w:ind w:left="540" w:hanging="540"/>
      </w:pPr>
      <w:r>
        <w:t>•</w:t>
      </w:r>
      <w:r>
        <w:tab/>
        <w:t>Fokozott bőrelszíneződés (hiperpigmentáció).</w:t>
      </w:r>
    </w:p>
    <w:p w14:paraId="6A78AE07" w14:textId="77777777" w:rsidR="001853FE" w:rsidRDefault="00D633C3">
      <w:pPr>
        <w:tabs>
          <w:tab w:val="clear" w:pos="567"/>
        </w:tabs>
        <w:ind w:left="540" w:hanging="540"/>
      </w:pPr>
      <w:r>
        <w:t>•</w:t>
      </w:r>
      <w:r>
        <w:tab/>
        <w:t>A bőr fokozott érzékenysége a napfényre (fotoszenzitivitás).</w:t>
      </w:r>
    </w:p>
    <w:p w14:paraId="32B9393B" w14:textId="77777777" w:rsidR="001853FE" w:rsidRDefault="00D633C3">
      <w:pPr>
        <w:tabs>
          <w:tab w:val="clear" w:pos="567"/>
        </w:tabs>
        <w:ind w:left="540" w:hanging="540"/>
      </w:pPr>
      <w:r>
        <w:t>•</w:t>
      </w:r>
      <w:r>
        <w:tab/>
        <w:t>Influenzaszerű tünetek kimerültséggel, hidegrázással, lázzal és izomfájdalommal. Ezek a tünetek jelentkezhetnek a gyógyszer beadása alatt, vagy sokszor csak néhány nappal azt követően. Akkor is kiújulhatnak, amikor megkapja a következő adag dakarbazint.</w:t>
      </w:r>
    </w:p>
    <w:p w14:paraId="06D566F3" w14:textId="77777777" w:rsidR="001853FE" w:rsidRDefault="00D633C3">
      <w:pPr>
        <w:tabs>
          <w:tab w:val="clear" w:pos="567"/>
        </w:tabs>
        <w:ind w:left="540" w:hanging="540"/>
      </w:pPr>
      <w:r>
        <w:t>•</w:t>
      </w:r>
      <w:r>
        <w:tab/>
        <w:t>Fertőzések.</w:t>
      </w:r>
    </w:p>
    <w:p w14:paraId="43DB3BF0" w14:textId="77777777" w:rsidR="001853FE" w:rsidRDefault="001853FE">
      <w:pPr>
        <w:tabs>
          <w:tab w:val="clear" w:pos="567"/>
        </w:tabs>
      </w:pPr>
    </w:p>
    <w:p w14:paraId="4C9740DA" w14:textId="77777777" w:rsidR="001853FE" w:rsidRDefault="00D633C3">
      <w:pPr>
        <w:keepNext/>
        <w:keepLines/>
        <w:tabs>
          <w:tab w:val="clear" w:pos="567"/>
        </w:tabs>
      </w:pPr>
      <w:r>
        <w:rPr>
          <w:b/>
        </w:rPr>
        <w:t xml:space="preserve">Ritka </w:t>
      </w:r>
      <w:r>
        <w:t>(1000</w:t>
      </w:r>
      <w:r>
        <w:noBreakHyphen/>
        <w:t>ből legfeljebb 1 beteget érinthet)</w:t>
      </w:r>
    </w:p>
    <w:p w14:paraId="619FBCCA" w14:textId="79A7F373" w:rsidR="001853FE" w:rsidRDefault="00D633C3">
      <w:pPr>
        <w:keepNext/>
        <w:keepLines/>
        <w:tabs>
          <w:tab w:val="clear" w:pos="567"/>
        </w:tabs>
        <w:ind w:left="540" w:hanging="540"/>
      </w:pPr>
      <w:r>
        <w:t>•</w:t>
      </w:r>
      <w:r>
        <w:tab/>
        <w:t>Minden vérsejttípus csökkent száma (</w:t>
      </w:r>
      <w:proofErr w:type="spellStart"/>
      <w:r>
        <w:t>p</w:t>
      </w:r>
      <w:r w:rsidR="00AF45BA">
        <w:t>a</w:t>
      </w:r>
      <w:r>
        <w:t>ncitopénia</w:t>
      </w:r>
      <w:proofErr w:type="spellEnd"/>
      <w:r>
        <w:t>).</w:t>
      </w:r>
    </w:p>
    <w:p w14:paraId="481A8A2B" w14:textId="77777777" w:rsidR="001853FE" w:rsidRDefault="00D633C3">
      <w:pPr>
        <w:keepNext/>
        <w:keepLines/>
        <w:tabs>
          <w:tab w:val="clear" w:pos="567"/>
        </w:tabs>
        <w:ind w:left="540" w:hanging="540"/>
      </w:pPr>
      <w:r>
        <w:t>•</w:t>
      </w:r>
      <w:r>
        <w:tab/>
        <w:t>A granulociták, a fehérvérsejtek egy speciális típusának súlyosan csökkent száma (agranulocitózis).</w:t>
      </w:r>
    </w:p>
    <w:p w14:paraId="3D3365F8" w14:textId="77777777" w:rsidR="001853FE" w:rsidRDefault="00D633C3">
      <w:pPr>
        <w:keepNext/>
        <w:keepLines/>
        <w:tabs>
          <w:tab w:val="clear" w:pos="567"/>
        </w:tabs>
        <w:ind w:left="540" w:hanging="540"/>
      </w:pPr>
      <w:r>
        <w:t>•</w:t>
      </w:r>
      <w:r>
        <w:tab/>
        <w:t>Súlyos allergiás (anafilaxiás) reakció, amelynek következtében például vérnyomásesés, a kéz, lábfej, boka, arc, ajak vagy torok duzzanata jelentkezhet, ami nyelési vagy légzési nehézséget okozhat, gyors pulzus, csalánkiütés és általános viszketés vagy bőrpír lép fel.</w:t>
      </w:r>
    </w:p>
    <w:p w14:paraId="77DBA678" w14:textId="77777777" w:rsidR="001853FE" w:rsidRDefault="00D633C3">
      <w:pPr>
        <w:tabs>
          <w:tab w:val="clear" w:pos="567"/>
        </w:tabs>
        <w:ind w:left="540" w:hanging="540"/>
      </w:pPr>
      <w:r>
        <w:t>•</w:t>
      </w:r>
      <w:r>
        <w:tab/>
        <w:t>Fejfájás.</w:t>
      </w:r>
    </w:p>
    <w:p w14:paraId="408E3F75" w14:textId="77777777" w:rsidR="001853FE" w:rsidRDefault="00D633C3">
      <w:pPr>
        <w:tabs>
          <w:tab w:val="clear" w:pos="567"/>
        </w:tabs>
        <w:ind w:left="540" w:hanging="540"/>
      </w:pPr>
      <w:r>
        <w:t>•</w:t>
      </w:r>
      <w:r>
        <w:tab/>
        <w:t>Látászavar.</w:t>
      </w:r>
    </w:p>
    <w:p w14:paraId="2C253AB4" w14:textId="77777777" w:rsidR="001853FE" w:rsidRDefault="00D633C3">
      <w:pPr>
        <w:tabs>
          <w:tab w:val="clear" w:pos="567"/>
        </w:tabs>
        <w:ind w:left="540" w:hanging="540"/>
      </w:pPr>
      <w:r>
        <w:t>•</w:t>
      </w:r>
      <w:r>
        <w:tab/>
        <w:t>Zavarodottság.</w:t>
      </w:r>
    </w:p>
    <w:p w14:paraId="2B49E502" w14:textId="77777777" w:rsidR="001853FE" w:rsidRDefault="00D633C3">
      <w:pPr>
        <w:tabs>
          <w:tab w:val="clear" w:pos="567"/>
        </w:tabs>
        <w:ind w:left="540" w:hanging="540"/>
      </w:pPr>
      <w:r>
        <w:t>•</w:t>
      </w:r>
      <w:r>
        <w:tab/>
        <w:t>Levertség.</w:t>
      </w:r>
    </w:p>
    <w:p w14:paraId="4CE33A7E" w14:textId="77777777" w:rsidR="001853FE" w:rsidRDefault="00D633C3">
      <w:pPr>
        <w:tabs>
          <w:tab w:val="clear" w:pos="567"/>
        </w:tabs>
        <w:ind w:left="540" w:hanging="540"/>
      </w:pPr>
      <w:r>
        <w:t>•</w:t>
      </w:r>
      <w:r>
        <w:tab/>
        <w:t>Görcsrohamok.</w:t>
      </w:r>
    </w:p>
    <w:p w14:paraId="4447D987" w14:textId="77777777" w:rsidR="001853FE" w:rsidRDefault="00D633C3">
      <w:pPr>
        <w:tabs>
          <w:tab w:val="clear" w:pos="567"/>
        </w:tabs>
        <w:ind w:left="540" w:hanging="540"/>
      </w:pPr>
      <w:r>
        <w:t>•</w:t>
      </w:r>
      <w:r>
        <w:tab/>
        <w:t>Az arc érzékelészavara (az arc paresztéziája), az arc zsibbadása és kipirulása röviddel az injekció után.</w:t>
      </w:r>
    </w:p>
    <w:p w14:paraId="1370DD26" w14:textId="77777777" w:rsidR="001853FE" w:rsidRDefault="00D633C3">
      <w:pPr>
        <w:tabs>
          <w:tab w:val="clear" w:pos="567"/>
        </w:tabs>
        <w:ind w:left="540" w:hanging="540"/>
      </w:pPr>
      <w:r>
        <w:t>•</w:t>
      </w:r>
      <w:r>
        <w:tab/>
        <w:t>Hasmenés.</w:t>
      </w:r>
    </w:p>
    <w:p w14:paraId="6BE0AAC2" w14:textId="77777777" w:rsidR="001853FE" w:rsidRDefault="00D633C3">
      <w:pPr>
        <w:tabs>
          <w:tab w:val="clear" w:pos="567"/>
        </w:tabs>
        <w:ind w:left="540" w:hanging="540"/>
      </w:pPr>
      <w:r>
        <w:t>•</w:t>
      </w:r>
      <w:r>
        <w:tab/>
        <w:t>Májenzimszintek emelkedése.</w:t>
      </w:r>
    </w:p>
    <w:p w14:paraId="2503B7E9" w14:textId="77777777" w:rsidR="001853FE" w:rsidRDefault="00D633C3">
      <w:pPr>
        <w:tabs>
          <w:tab w:val="clear" w:pos="567"/>
        </w:tabs>
        <w:ind w:left="540" w:hanging="540"/>
      </w:pPr>
      <w:r>
        <w:t>•</w:t>
      </w:r>
      <w:r>
        <w:tab/>
        <w:t>Károsodott veseműködés.</w:t>
      </w:r>
    </w:p>
    <w:p w14:paraId="1AB31A9F" w14:textId="77777777" w:rsidR="001853FE" w:rsidRDefault="00D633C3">
      <w:pPr>
        <w:tabs>
          <w:tab w:val="clear" w:pos="567"/>
        </w:tabs>
        <w:ind w:left="540" w:hanging="540"/>
      </w:pPr>
      <w:r>
        <w:t>•</w:t>
      </w:r>
      <w:r>
        <w:tab/>
        <w:t>Bőrpír (eritéma).</w:t>
      </w:r>
    </w:p>
    <w:p w14:paraId="64110958" w14:textId="77777777" w:rsidR="001853FE" w:rsidRDefault="00D633C3">
      <w:pPr>
        <w:tabs>
          <w:tab w:val="clear" w:pos="567"/>
        </w:tabs>
        <w:ind w:left="540" w:hanging="540"/>
      </w:pPr>
      <w:r>
        <w:t>•</w:t>
      </w:r>
      <w:r>
        <w:tab/>
        <w:t>Bőrkiütések (makulopapuláris exantéma).</w:t>
      </w:r>
    </w:p>
    <w:p w14:paraId="7CA06F06" w14:textId="77777777" w:rsidR="001853FE" w:rsidRDefault="00D633C3">
      <w:pPr>
        <w:tabs>
          <w:tab w:val="clear" w:pos="567"/>
        </w:tabs>
        <w:ind w:left="540" w:hanging="540"/>
      </w:pPr>
      <w:r>
        <w:t>•</w:t>
      </w:r>
      <w:r>
        <w:tab/>
        <w:t>Csalánkiütés (urtikária).</w:t>
      </w:r>
    </w:p>
    <w:p w14:paraId="31D03543" w14:textId="77777777" w:rsidR="001853FE" w:rsidRDefault="00D633C3" w:rsidP="00583BED">
      <w:pPr>
        <w:rPr>
          <w:szCs w:val="22"/>
        </w:rPr>
      </w:pPr>
      <w:r>
        <w:t>•</w:t>
      </w:r>
      <w:r>
        <w:tab/>
        <w:t>Az alkalmazás helyén fellépő irritáció.</w:t>
      </w:r>
    </w:p>
    <w:p w14:paraId="1B981D64" w14:textId="77777777" w:rsidR="001853FE" w:rsidRDefault="001853FE">
      <w:pPr>
        <w:autoSpaceDE w:val="0"/>
        <w:autoSpaceDN w:val="0"/>
        <w:adjustRightInd w:val="0"/>
      </w:pPr>
    </w:p>
    <w:p w14:paraId="35AC34D5" w14:textId="77777777" w:rsidR="001853FE" w:rsidRDefault="00D633C3">
      <w:pPr>
        <w:autoSpaceDE w:val="0"/>
        <w:autoSpaceDN w:val="0"/>
        <w:adjustRightInd w:val="0"/>
        <w:rPr>
          <w:szCs w:val="22"/>
        </w:rPr>
      </w:pPr>
      <w:r>
        <w:t>Ha a gyógyszer véletlenül bejut a véna körüli szövetbe, az fájdalmat okozhat, és szövetkárosodás léphet fel.</w:t>
      </w:r>
    </w:p>
    <w:p w14:paraId="2A73AF5D" w14:textId="77777777" w:rsidR="001853FE" w:rsidRDefault="001853FE">
      <w:pPr>
        <w:tabs>
          <w:tab w:val="clear" w:pos="567"/>
        </w:tabs>
      </w:pPr>
    </w:p>
    <w:p w14:paraId="331B5069" w14:textId="77777777" w:rsidR="001853FE" w:rsidRDefault="00D633C3">
      <w:pPr>
        <w:tabs>
          <w:tab w:val="clear" w:pos="567"/>
        </w:tabs>
        <w:rPr>
          <w:b/>
        </w:rPr>
      </w:pPr>
      <w:r>
        <w:rPr>
          <w:b/>
        </w:rPr>
        <w:t>Ezen tünetek közül tapasztalhat egyet vagy többet. Ha Önnél bármilyen mellékhatás jelentkezik, tájékoztassa kezelőorvosát vagy gyógyszerészét.</w:t>
      </w:r>
    </w:p>
    <w:p w14:paraId="39E8ACE1" w14:textId="77777777" w:rsidR="001853FE" w:rsidRDefault="001853FE">
      <w:pPr>
        <w:tabs>
          <w:tab w:val="clear" w:pos="567"/>
        </w:tabs>
      </w:pPr>
    </w:p>
    <w:p w14:paraId="2E3CFA52" w14:textId="77777777" w:rsidR="001853FE" w:rsidRDefault="00D633C3">
      <w:pPr>
        <w:numPr>
          <w:ilvl w:val="12"/>
          <w:numId w:val="0"/>
        </w:numPr>
        <w:outlineLvl w:val="0"/>
        <w:rPr>
          <w:b/>
          <w:noProof/>
          <w:szCs w:val="22"/>
        </w:rPr>
      </w:pPr>
      <w:r>
        <w:rPr>
          <w:b/>
        </w:rPr>
        <w:t>Mellékhatások bejelentése</w:t>
      </w:r>
    </w:p>
    <w:p w14:paraId="745BF9AC" w14:textId="77777777" w:rsidR="001853FE" w:rsidRDefault="00D633C3">
      <w:pPr>
        <w:numPr>
          <w:ilvl w:val="12"/>
          <w:numId w:val="0"/>
        </w:numPr>
        <w:outlineLvl w:val="0"/>
      </w:pPr>
      <w:r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8" w:history="1">
        <w:r>
          <w:rPr>
            <w:rStyle w:val="Hiperhivatkozs"/>
            <w:highlight w:val="lightGray"/>
          </w:rPr>
          <w:t>V. függelékben</w:t>
        </w:r>
      </w:hyperlink>
      <w:r>
        <w:rPr>
          <w:highlight w:val="lightGray"/>
        </w:rPr>
        <w:t xml:space="preserve"> található elérhetőségeken keresztül </w:t>
      </w:r>
      <w:r>
        <w:t>A mellékhatások bejelentésével Ön is hozzájárulhat ahhoz, hogy minél több információ álljon rendelkezésre a gyógyszer biztonságos alkalmazásával kapcsolatban.</w:t>
      </w:r>
    </w:p>
    <w:p w14:paraId="07862C2E" w14:textId="77777777" w:rsidR="001853FE" w:rsidRDefault="001853FE"/>
    <w:p w14:paraId="41599B61" w14:textId="77777777" w:rsidR="001853FE" w:rsidRDefault="001853F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</w:p>
    <w:p w14:paraId="25AABAB2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outlineLvl w:val="0"/>
        <w:rPr>
          <w:b/>
          <w:noProof/>
        </w:rPr>
      </w:pPr>
      <w:r>
        <w:rPr>
          <w:b/>
        </w:rPr>
        <w:t>5.</w:t>
      </w:r>
      <w:r>
        <w:rPr>
          <w:b/>
        </w:rPr>
        <w:tab/>
        <w:t>Hogyan kell a Dacarbazine medac-ot tárolni?</w:t>
      </w:r>
    </w:p>
    <w:p w14:paraId="21C90C11" w14:textId="77777777" w:rsidR="001853FE" w:rsidRDefault="001853F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</w:p>
    <w:p w14:paraId="38E0B401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  <w:r>
        <w:t>A gyógyszer gyermekektől elzárva tartandó!</w:t>
      </w:r>
    </w:p>
    <w:p w14:paraId="1F665D50" w14:textId="77777777" w:rsidR="001853FE" w:rsidRDefault="001853F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</w:p>
    <w:p w14:paraId="35167C76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  <w:r>
        <w:t>A címkén és dobozon feltüntetett lejárati idő (EXP) után ne alkalmazza ezt a gyógyszert. A lejárati idő az adott hónap utolsó napjára vonatkozik.</w:t>
      </w:r>
    </w:p>
    <w:p w14:paraId="3AB18FC3" w14:textId="77777777" w:rsidR="001853FE" w:rsidRDefault="001853F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</w:p>
    <w:p w14:paraId="48E4FDF6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  <w:r>
        <w:t>Legfeljebb 25 °C-on tárolandó. A fénytől való védelem érdekében az injekciós üveget tartsa a dobozában.</w:t>
      </w:r>
    </w:p>
    <w:p w14:paraId="13EFA335" w14:textId="77777777" w:rsidR="001853FE" w:rsidRDefault="001853F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</w:p>
    <w:p w14:paraId="6B54DDC0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u w:val="single"/>
        </w:rPr>
      </w:pPr>
      <w:r>
        <w:rPr>
          <w:u w:val="single"/>
        </w:rPr>
        <w:t>Az elkészített Dacarbazine medac oldat</w:t>
      </w:r>
    </w:p>
    <w:p w14:paraId="2C3F5F36" w14:textId="77777777" w:rsidR="005F2923" w:rsidRPr="00C205ED" w:rsidRDefault="005F2923" w:rsidP="005F2923">
      <w:pPr>
        <w:widowControl w:val="0"/>
        <w:jc w:val="both"/>
      </w:pPr>
      <w:bookmarkStart w:id="3" w:name="_Hlk96891067"/>
      <w:r w:rsidRPr="00C205ED">
        <w:t>Az elkészített oldat kémiai és fizikai stabilitása 2-8°C között fénytől védve 48 órán át bizonyított</w:t>
      </w:r>
      <w:bookmarkEnd w:id="3"/>
      <w:r w:rsidRPr="00C205ED">
        <w:t>. Mikrobiológiai szempontból az elkészített oldatot azonnal fel kell használni.</w:t>
      </w:r>
    </w:p>
    <w:p w14:paraId="31CC031D" w14:textId="12E4CC9F" w:rsidR="001853FE" w:rsidRDefault="005F2923" w:rsidP="00D21A84">
      <w:pPr>
        <w:widowControl w:val="0"/>
        <w:jc w:val="both"/>
      </w:pPr>
      <w:r w:rsidRPr="00C205ED">
        <w:t xml:space="preserve">Amennyiben nem használják fel azonnal, a felhasználásig az eltartási idő és a tárolási körülmények a felhasználó felelőssége, amely általános esetben 2-8ºC közötti hőmérsékleten tárolva nem haladhatja meg a 24 órát, kivéve, ha a hígítás ellenőrzött és </w:t>
      </w:r>
      <w:r>
        <w:t>hitelesítetten</w:t>
      </w:r>
      <w:r w:rsidRPr="00C205ED">
        <w:t xml:space="preserve"> aszeptikus körülmények között történt.</w:t>
      </w:r>
    </w:p>
    <w:p w14:paraId="7AA04CD1" w14:textId="77777777" w:rsidR="001853FE" w:rsidRDefault="001853F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</w:p>
    <w:p w14:paraId="72AFF398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u w:val="single"/>
        </w:rPr>
      </w:pPr>
      <w:r>
        <w:rPr>
          <w:u w:val="single"/>
        </w:rPr>
        <w:t>Az elkészített és továbbhígított Dacarbazine medac oldat</w:t>
      </w:r>
    </w:p>
    <w:p w14:paraId="067813E2" w14:textId="5A0F3107" w:rsidR="001853FE" w:rsidRDefault="00C23C69" w:rsidP="00D21A84">
      <w:pPr>
        <w:keepNext/>
        <w:jc w:val="both"/>
      </w:pPr>
      <w:r w:rsidRPr="00C205ED">
        <w:t xml:space="preserve">Az injekciós üvegben vagy polietilén tartályban </w:t>
      </w:r>
      <w:r>
        <w:t xml:space="preserve">elkészített és tovább </w:t>
      </w:r>
      <w:r w:rsidRPr="00C205ED">
        <w:t xml:space="preserve">hígított oldat kémiai és fizikai stabilitása 2-8°C között fénytől védve 24 órán át bizonyított. Az elkészített oldat hígítását azonnal el kell végezni, amint a készítmény teljesen feloldódott. </w:t>
      </w:r>
      <w:r>
        <w:t>Az elkészített és tovább hígított Dacarbazine medac oldatot is védeni kell a fénytől és m</w:t>
      </w:r>
      <w:r w:rsidRPr="00C205ED">
        <w:t>ikrobiológiai szempontból azonnal fel kell használni.</w:t>
      </w:r>
    </w:p>
    <w:p w14:paraId="479F68EB" w14:textId="77777777" w:rsidR="001853FE" w:rsidRDefault="001853F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</w:p>
    <w:p w14:paraId="4988D277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  <w:r>
        <w:t>A Dacarbazine medac csak egyszeri felhasználásra szolgál.</w:t>
      </w:r>
    </w:p>
    <w:p w14:paraId="20FF09EE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</w:rPr>
      </w:pPr>
      <w:r>
        <w:t>A felhasználás utáni esetleges maradékokat a kezelőorvosnak kell kidobnia, továbbá azokat az oldatokat is, amelyeknél a készítmény vizuális megjelenése megváltozott. A hígított oldatos infúziót szabad szemmel meg kell vizsgálnia a kezelőorvosnak, és csak a gyakorlatilag részecskéktől mentes, áttetsző oldatok használhatók fel.</w:t>
      </w:r>
    </w:p>
    <w:p w14:paraId="732CBC1C" w14:textId="77777777" w:rsidR="001853FE" w:rsidRDefault="001853FE">
      <w:pPr>
        <w:tabs>
          <w:tab w:val="left" w:pos="993"/>
        </w:tabs>
        <w:rPr>
          <w:szCs w:val="22"/>
        </w:rPr>
      </w:pPr>
    </w:p>
    <w:p w14:paraId="16397769" w14:textId="77777777" w:rsidR="001853FE" w:rsidRDefault="001853FE">
      <w:pPr>
        <w:tabs>
          <w:tab w:val="left" w:pos="993"/>
        </w:tabs>
        <w:rPr>
          <w:szCs w:val="22"/>
        </w:rPr>
      </w:pPr>
    </w:p>
    <w:p w14:paraId="35A6A6BA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outlineLvl w:val="0"/>
        <w:rPr>
          <w:b/>
          <w:noProof/>
        </w:rPr>
      </w:pPr>
      <w:r>
        <w:rPr>
          <w:b/>
        </w:rPr>
        <w:t>6.</w:t>
      </w:r>
      <w:r>
        <w:rPr>
          <w:b/>
        </w:rPr>
        <w:tab/>
        <w:t>A csomagolás tartalma és egyéb információk</w:t>
      </w:r>
    </w:p>
    <w:p w14:paraId="5556EE28" w14:textId="77777777" w:rsidR="001853FE" w:rsidRDefault="001853FE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</w:rPr>
      </w:pPr>
    </w:p>
    <w:p w14:paraId="02FB6467" w14:textId="77777777" w:rsidR="001853FE" w:rsidRDefault="00D633C3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noProof/>
        </w:rPr>
      </w:pPr>
      <w:r>
        <w:rPr>
          <w:b/>
        </w:rPr>
        <w:t>Mit tartalmaz a Dacarbazine medac?</w:t>
      </w:r>
    </w:p>
    <w:p w14:paraId="01477E2A" w14:textId="77777777" w:rsidR="001853FE" w:rsidRDefault="00D633C3">
      <w:pPr>
        <w:keepNext/>
        <w:keepLines/>
        <w:tabs>
          <w:tab w:val="clear" w:pos="567"/>
        </w:tabs>
        <w:spacing w:line="240" w:lineRule="auto"/>
        <w:ind w:left="540" w:hanging="540"/>
        <w:rPr>
          <w:i/>
          <w:iCs/>
        </w:rPr>
      </w:pPr>
      <w:r>
        <w:t>•</w:t>
      </w:r>
      <w:r>
        <w:tab/>
        <w:t>A készítmény hatóanyaga a dakarbazin (dakarbazin-citrát formájában).</w:t>
      </w:r>
    </w:p>
    <w:p w14:paraId="2EBFD453" w14:textId="77777777" w:rsidR="001853FE" w:rsidRDefault="00D633C3">
      <w:pPr>
        <w:keepNext/>
        <w:keepLines/>
        <w:tabs>
          <w:tab w:val="clear" w:pos="567"/>
        </w:tabs>
        <w:spacing w:line="240" w:lineRule="auto"/>
        <w:ind w:left="540" w:hanging="540"/>
      </w:pPr>
      <w:r>
        <w:t>•</w:t>
      </w:r>
      <w:r>
        <w:tab/>
        <w:t>Egyéb összetevők: vízmentes citromsav és mannit.</w:t>
      </w:r>
    </w:p>
    <w:p w14:paraId="10412E12" w14:textId="77777777" w:rsidR="001853FE" w:rsidRDefault="001853FE">
      <w:pPr>
        <w:tabs>
          <w:tab w:val="clear" w:pos="567"/>
        </w:tabs>
        <w:spacing w:line="240" w:lineRule="auto"/>
        <w:ind w:right="-2"/>
      </w:pPr>
    </w:p>
    <w:p w14:paraId="2F911888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noProof/>
        </w:rPr>
      </w:pPr>
      <w:r>
        <w:rPr>
          <w:b/>
        </w:rPr>
        <w:t>Milyen a Dacarbazine medac külleme és mit tartalmaz a csomagolás?</w:t>
      </w:r>
    </w:p>
    <w:p w14:paraId="6C66ED23" w14:textId="7ACB4F41" w:rsidR="001853FE" w:rsidRDefault="00D633C3">
      <w:pPr>
        <w:tabs>
          <w:tab w:val="clear" w:pos="567"/>
        </w:tabs>
      </w:pPr>
      <w:r>
        <w:t>A Dacarbazine medac egy fehér vagy halványsárga por, amely b</w:t>
      </w:r>
      <w:r w:rsidR="00C664B6">
        <w:t xml:space="preserve">arna </w:t>
      </w:r>
      <w:r>
        <w:t>színű (az Európai Gyógyszerkönyv szerinti I. típusú) injekciós üvegben kerül forgalomba.</w:t>
      </w:r>
    </w:p>
    <w:p w14:paraId="43A44419" w14:textId="77777777" w:rsidR="001853FE" w:rsidRDefault="001853FE">
      <w:pPr>
        <w:tabs>
          <w:tab w:val="clear" w:pos="567"/>
        </w:tabs>
      </w:pPr>
    </w:p>
    <w:p w14:paraId="0FD5565E" w14:textId="77777777" w:rsidR="001853FE" w:rsidRDefault="00D633C3">
      <w:pPr>
        <w:tabs>
          <w:tab w:val="clear" w:pos="567"/>
        </w:tabs>
      </w:pPr>
      <w:r>
        <w:t>A Dacarbazine medac 500 mg 500 mg dakarbazint tartalmaz dakarbazin-citrát formájában egyadagos injekciós üvegenként.</w:t>
      </w:r>
    </w:p>
    <w:p w14:paraId="065EFB1D" w14:textId="77777777" w:rsidR="001853FE" w:rsidRDefault="00D633C3">
      <w:pPr>
        <w:tabs>
          <w:tab w:val="clear" w:pos="567"/>
        </w:tabs>
      </w:pPr>
      <w:r>
        <w:t>A feloldás és végleges hígítás után a Dacarbazine medac 500 mg 1,4–2,0 mg dakarbazint tartalmaz milliliterenként.</w:t>
      </w:r>
    </w:p>
    <w:p w14:paraId="04D44C66" w14:textId="77777777" w:rsidR="001853FE" w:rsidRDefault="001853FE">
      <w:pPr>
        <w:tabs>
          <w:tab w:val="clear" w:pos="567"/>
        </w:tabs>
      </w:pPr>
    </w:p>
    <w:p w14:paraId="5F8395C2" w14:textId="77777777" w:rsidR="001853FE" w:rsidRDefault="00D633C3">
      <w:pPr>
        <w:tabs>
          <w:tab w:val="clear" w:pos="567"/>
        </w:tabs>
      </w:pPr>
      <w:r>
        <w:t>A Dacarbazine medac 1000 mg 1000 mg dakarbazint tartalmaz dakarbazin-citrát formájában egyadagos injekciós üvegenként.</w:t>
      </w:r>
    </w:p>
    <w:p w14:paraId="56150FDD" w14:textId="77777777" w:rsidR="001853FE" w:rsidRDefault="00D633C3">
      <w:pPr>
        <w:tabs>
          <w:tab w:val="clear" w:pos="567"/>
        </w:tabs>
      </w:pPr>
      <w:r>
        <w:t>A Dacarbazine medac 1000 mg a feloldást és végleges hígítást követően 2,8–4,0 mg dakarbazint tartalmaz milliliterenként.</w:t>
      </w:r>
    </w:p>
    <w:p w14:paraId="010E69B4" w14:textId="77777777" w:rsidR="001853FE" w:rsidRDefault="00D633C3">
      <w:pPr>
        <w:tabs>
          <w:tab w:val="clear" w:pos="567"/>
          <w:tab w:val="left" w:pos="0"/>
        </w:tabs>
      </w:pPr>
      <w:r>
        <w:t>A Dacarbazine medac injekciós üvegei 1 injekciós üvegenként vannak dobozokba csomagolva.</w:t>
      </w:r>
    </w:p>
    <w:p w14:paraId="20F9DEC2" w14:textId="77777777" w:rsidR="001853FE" w:rsidRDefault="001853F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u w:val="single"/>
        </w:rPr>
      </w:pPr>
    </w:p>
    <w:p w14:paraId="2CE36D14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  <w:r>
        <w:t>Nem feltétlenül mindegyik kiszerelés kerül kereskedelmi forgalomba.</w:t>
      </w:r>
    </w:p>
    <w:p w14:paraId="2BDC6AE0" w14:textId="77777777" w:rsidR="001853FE" w:rsidRDefault="001853F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u w:val="single"/>
        </w:rPr>
      </w:pPr>
    </w:p>
    <w:p w14:paraId="41FCE3F6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</w:rPr>
      </w:pPr>
      <w:r>
        <w:rPr>
          <w:b/>
        </w:rPr>
        <w:t>A forgalomba hozatali engedély jogosultja és a gyártó</w:t>
      </w:r>
    </w:p>
    <w:p w14:paraId="1DC228A0" w14:textId="77777777" w:rsidR="001853FE" w:rsidRDefault="001853F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</w:p>
    <w:p w14:paraId="64399F80" w14:textId="77777777" w:rsidR="0056325A" w:rsidRDefault="00D633C3">
      <w:pPr>
        <w:numPr>
          <w:ilvl w:val="12"/>
          <w:numId w:val="0"/>
        </w:numPr>
        <w:tabs>
          <w:tab w:val="clear" w:pos="567"/>
          <w:tab w:val="left" w:pos="720"/>
          <w:tab w:val="left" w:pos="4860"/>
        </w:tabs>
        <w:spacing w:line="240" w:lineRule="auto"/>
        <w:ind w:right="-2"/>
      </w:pPr>
      <w:r>
        <w:t>medac Gesellschaft für klinische</w:t>
      </w:r>
    </w:p>
    <w:p w14:paraId="3C9D5299" w14:textId="5121E5FD" w:rsidR="001853FE" w:rsidRDefault="00D633C3">
      <w:pPr>
        <w:numPr>
          <w:ilvl w:val="12"/>
          <w:numId w:val="0"/>
        </w:numPr>
        <w:tabs>
          <w:tab w:val="clear" w:pos="567"/>
          <w:tab w:val="left" w:pos="720"/>
          <w:tab w:val="left" w:pos="4860"/>
        </w:tabs>
        <w:spacing w:line="240" w:lineRule="auto"/>
        <w:ind w:right="-2"/>
      </w:pPr>
      <w:r>
        <w:t>Spezialpräparate mbH</w:t>
      </w:r>
      <w:r>
        <w:tab/>
      </w:r>
    </w:p>
    <w:p w14:paraId="7A769491" w14:textId="77777777" w:rsidR="001853FE" w:rsidRDefault="00D633C3">
      <w:pPr>
        <w:numPr>
          <w:ilvl w:val="12"/>
          <w:numId w:val="0"/>
        </w:numPr>
        <w:tabs>
          <w:tab w:val="clear" w:pos="567"/>
          <w:tab w:val="left" w:pos="720"/>
          <w:tab w:val="left" w:pos="4860"/>
        </w:tabs>
        <w:spacing w:line="240" w:lineRule="auto"/>
        <w:ind w:right="-2"/>
      </w:pPr>
      <w:r>
        <w:t xml:space="preserve">Theaterstr. 6 </w:t>
      </w:r>
    </w:p>
    <w:p w14:paraId="322E687A" w14:textId="77777777" w:rsidR="001853FE" w:rsidRDefault="00D633C3">
      <w:pPr>
        <w:numPr>
          <w:ilvl w:val="12"/>
          <w:numId w:val="0"/>
        </w:numPr>
        <w:tabs>
          <w:tab w:val="clear" w:pos="567"/>
          <w:tab w:val="left" w:pos="720"/>
          <w:tab w:val="left" w:pos="4860"/>
        </w:tabs>
        <w:spacing w:line="240" w:lineRule="auto"/>
        <w:ind w:right="-2"/>
      </w:pPr>
      <w:r>
        <w:t>22880 Wedel</w:t>
      </w:r>
    </w:p>
    <w:p w14:paraId="396AD614" w14:textId="77777777" w:rsidR="001853FE" w:rsidRDefault="00D633C3">
      <w:pPr>
        <w:numPr>
          <w:ilvl w:val="12"/>
          <w:numId w:val="0"/>
        </w:numPr>
        <w:tabs>
          <w:tab w:val="clear" w:pos="567"/>
          <w:tab w:val="left" w:pos="720"/>
          <w:tab w:val="left" w:pos="4860"/>
        </w:tabs>
        <w:spacing w:line="240" w:lineRule="auto"/>
        <w:ind w:right="-2"/>
      </w:pPr>
      <w:r>
        <w:t>Németország</w:t>
      </w:r>
    </w:p>
    <w:p w14:paraId="741AE00F" w14:textId="77777777" w:rsidR="001853FE" w:rsidRDefault="001853FE">
      <w:pPr>
        <w:numPr>
          <w:ilvl w:val="12"/>
          <w:numId w:val="0"/>
        </w:numPr>
        <w:tabs>
          <w:tab w:val="clear" w:pos="567"/>
          <w:tab w:val="left" w:pos="720"/>
          <w:tab w:val="left" w:pos="4860"/>
          <w:tab w:val="left" w:pos="5580"/>
        </w:tabs>
        <w:spacing w:line="240" w:lineRule="auto"/>
        <w:ind w:right="-2"/>
      </w:pPr>
    </w:p>
    <w:p w14:paraId="46128248" w14:textId="77777777" w:rsidR="001853FE" w:rsidRDefault="001853F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</w:p>
    <w:p w14:paraId="4F1CCE1C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noProof/>
          <w:szCs w:val="22"/>
        </w:rPr>
      </w:pPr>
      <w:r>
        <w:rPr>
          <w:b/>
        </w:rPr>
        <w:t>Ezt a gyógyszert az Európai Gazdasági Térség tagállamaiban az alábbi neveken engedélyezték:</w:t>
      </w:r>
    </w:p>
    <w:p w14:paraId="1F1BECBA" w14:textId="77777777" w:rsidR="001853FE" w:rsidRDefault="001853F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</w:p>
    <w:p w14:paraId="7461EFFA" w14:textId="416B48CE" w:rsidR="0056325A" w:rsidRDefault="00351509" w:rsidP="00583BED">
      <w:pPr>
        <w:numPr>
          <w:ilvl w:val="12"/>
          <w:numId w:val="0"/>
        </w:numPr>
        <w:tabs>
          <w:tab w:val="clear" w:pos="567"/>
          <w:tab w:val="left" w:pos="708"/>
          <w:tab w:val="left" w:pos="3402"/>
        </w:tabs>
        <w:spacing w:line="240" w:lineRule="auto"/>
        <w:ind w:right="-2"/>
      </w:pPr>
      <w:r w:rsidRPr="00437940">
        <w:rPr>
          <w:szCs w:val="22"/>
        </w:rPr>
        <w:t>Magyarország</w:t>
      </w:r>
      <w:r w:rsidR="0056325A">
        <w:t xml:space="preserve">: </w:t>
      </w:r>
      <w:r w:rsidR="00301795">
        <w:tab/>
      </w:r>
      <w:r w:rsidR="00301795" w:rsidRPr="00301795">
        <w:t>Dacarbazine medac</w:t>
      </w:r>
    </w:p>
    <w:p w14:paraId="0A0335FA" w14:textId="0F757DBB" w:rsidR="0056325A" w:rsidRDefault="00BE48A7" w:rsidP="00583BED">
      <w:pPr>
        <w:numPr>
          <w:ilvl w:val="12"/>
          <w:numId w:val="0"/>
        </w:numPr>
        <w:tabs>
          <w:tab w:val="clear" w:pos="567"/>
          <w:tab w:val="left" w:pos="708"/>
          <w:tab w:val="left" w:pos="3402"/>
        </w:tabs>
        <w:spacing w:line="240" w:lineRule="auto"/>
        <w:ind w:right="-2"/>
      </w:pPr>
      <w:r>
        <w:t>Finnország</w:t>
      </w:r>
      <w:r w:rsidR="0056325A">
        <w:t xml:space="preserve">: </w:t>
      </w:r>
      <w:r w:rsidR="0056325A" w:rsidRPr="0056325A">
        <w:tab/>
        <w:t>Dacarbazine medac 500</w:t>
      </w:r>
      <w:r w:rsidR="00301795">
        <w:t> </w:t>
      </w:r>
      <w:r w:rsidR="0056325A" w:rsidRPr="0056325A">
        <w:t>mg Infuusiokuiva-aine, liuosta varten</w:t>
      </w:r>
    </w:p>
    <w:p w14:paraId="21275E99" w14:textId="643E4CEB" w:rsidR="001853FE" w:rsidRDefault="0056325A" w:rsidP="00583BED">
      <w:pPr>
        <w:numPr>
          <w:ilvl w:val="12"/>
          <w:numId w:val="0"/>
        </w:numPr>
        <w:tabs>
          <w:tab w:val="clear" w:pos="567"/>
          <w:tab w:val="left" w:pos="708"/>
          <w:tab w:val="left" w:pos="3402"/>
        </w:tabs>
        <w:spacing w:line="240" w:lineRule="auto"/>
        <w:ind w:right="-2"/>
        <w:rPr>
          <w:noProof/>
        </w:rPr>
      </w:pPr>
      <w:r w:rsidRPr="0056325A">
        <w:tab/>
      </w:r>
      <w:r>
        <w:tab/>
      </w:r>
      <w:r w:rsidRPr="0056325A">
        <w:t>Dacarbazine medac 1000</w:t>
      </w:r>
      <w:r w:rsidR="00301795">
        <w:t> </w:t>
      </w:r>
      <w:r w:rsidRPr="0056325A">
        <w:t>mg Infuusiokuiva-aine, liuosta varten</w:t>
      </w:r>
      <w:r w:rsidR="00BE48A7">
        <w:t xml:space="preserve"> </w:t>
      </w:r>
    </w:p>
    <w:p w14:paraId="7E64CAA7" w14:textId="1403FD57" w:rsidR="001853FE" w:rsidRDefault="001853FE"/>
    <w:p w14:paraId="0AAEC59F" w14:textId="77777777" w:rsidR="00896619" w:rsidRDefault="00896619" w:rsidP="00896619">
      <w:pPr>
        <w:tabs>
          <w:tab w:val="left" w:pos="850"/>
        </w:tabs>
        <w:ind w:right="-284"/>
        <w:rPr>
          <w:u w:val="single"/>
          <w:lang w:eastAsia="de-DE"/>
        </w:rPr>
      </w:pPr>
      <w:proofErr w:type="spellStart"/>
      <w:r>
        <w:rPr>
          <w:u w:val="single"/>
        </w:rPr>
        <w:t>Dacarbazine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medac</w:t>
      </w:r>
      <w:proofErr w:type="spellEnd"/>
      <w:r>
        <w:rPr>
          <w:u w:val="single"/>
        </w:rPr>
        <w:t xml:space="preserve"> 500 mg por </w:t>
      </w:r>
      <w:proofErr w:type="spellStart"/>
      <w:r>
        <w:rPr>
          <w:u w:val="single"/>
        </w:rPr>
        <w:t>oldatos</w:t>
      </w:r>
      <w:proofErr w:type="spellEnd"/>
      <w:r>
        <w:rPr>
          <w:u w:val="single"/>
        </w:rPr>
        <w:t xml:space="preserve"> infúzióhoz</w:t>
      </w:r>
    </w:p>
    <w:p w14:paraId="6DE015C3" w14:textId="77777777" w:rsidR="00896619" w:rsidRDefault="00896619" w:rsidP="00896619">
      <w:pPr>
        <w:tabs>
          <w:tab w:val="left" w:pos="850"/>
        </w:tabs>
        <w:ind w:right="-284"/>
      </w:pPr>
      <w:r>
        <w:t>OGYI-T-24367/03</w:t>
      </w:r>
      <w:r>
        <w:tab/>
        <w:t>1×</w:t>
      </w:r>
      <w:r>
        <w:tab/>
        <w:t>egyadagos injekciós üvegben</w:t>
      </w:r>
    </w:p>
    <w:p w14:paraId="48AFD219" w14:textId="77777777" w:rsidR="00896619" w:rsidRDefault="00896619" w:rsidP="00896619">
      <w:pPr>
        <w:tabs>
          <w:tab w:val="left" w:pos="850"/>
        </w:tabs>
        <w:ind w:right="-284"/>
      </w:pPr>
    </w:p>
    <w:p w14:paraId="1C1BF774" w14:textId="77777777" w:rsidR="00896619" w:rsidRDefault="00896619" w:rsidP="00896619">
      <w:pPr>
        <w:tabs>
          <w:tab w:val="left" w:pos="850"/>
        </w:tabs>
        <w:ind w:right="-284"/>
        <w:rPr>
          <w:u w:val="single"/>
        </w:rPr>
      </w:pPr>
      <w:proofErr w:type="spellStart"/>
      <w:r>
        <w:rPr>
          <w:u w:val="single"/>
        </w:rPr>
        <w:t>Dacarbazine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medac</w:t>
      </w:r>
      <w:proofErr w:type="spellEnd"/>
      <w:r>
        <w:rPr>
          <w:u w:val="single"/>
        </w:rPr>
        <w:t xml:space="preserve"> 1000 mg por </w:t>
      </w:r>
      <w:proofErr w:type="spellStart"/>
      <w:r>
        <w:rPr>
          <w:u w:val="single"/>
        </w:rPr>
        <w:t>oldatos</w:t>
      </w:r>
      <w:proofErr w:type="spellEnd"/>
      <w:r>
        <w:rPr>
          <w:u w:val="single"/>
        </w:rPr>
        <w:t xml:space="preserve"> infúzióhoz</w:t>
      </w:r>
    </w:p>
    <w:p w14:paraId="77F0E5F8" w14:textId="77777777" w:rsidR="00896619" w:rsidRDefault="00896619" w:rsidP="00896619">
      <w:pPr>
        <w:tabs>
          <w:tab w:val="left" w:pos="850"/>
        </w:tabs>
        <w:ind w:right="-284"/>
        <w:rPr>
          <w:i/>
          <w:szCs w:val="22"/>
        </w:rPr>
      </w:pPr>
      <w:r>
        <w:t>OGYI-T-24367/04</w:t>
      </w:r>
      <w:r>
        <w:tab/>
        <w:t>1×</w:t>
      </w:r>
      <w:r>
        <w:tab/>
        <w:t>egyadagos injekciós üvegben</w:t>
      </w:r>
    </w:p>
    <w:p w14:paraId="026BA9F5" w14:textId="77777777" w:rsidR="00351509" w:rsidRDefault="00351509"/>
    <w:p w14:paraId="7BBF55E9" w14:textId="56B0E09E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</w:pPr>
      <w:r>
        <w:rPr>
          <w:b/>
        </w:rPr>
        <w:t>A betegtájékoztató legutóbbi felülvizsgálatának dátuma: 202</w:t>
      </w:r>
      <w:r w:rsidR="00F02183">
        <w:rPr>
          <w:b/>
        </w:rPr>
        <w:t>4</w:t>
      </w:r>
      <w:r>
        <w:rPr>
          <w:b/>
        </w:rPr>
        <w:t>. </w:t>
      </w:r>
      <w:r w:rsidR="00896619">
        <w:rPr>
          <w:b/>
        </w:rPr>
        <w:t>április.</w:t>
      </w:r>
      <w:bookmarkStart w:id="4" w:name="_GoBack"/>
      <w:bookmarkEnd w:id="4"/>
    </w:p>
    <w:p w14:paraId="764FC58D" w14:textId="77777777" w:rsidR="001853FE" w:rsidRDefault="001853F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</w:p>
    <w:p w14:paraId="6D5AA071" w14:textId="77777777" w:rsidR="001853FE" w:rsidRDefault="001853F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</w:p>
    <w:p w14:paraId="48C9F062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  <w:r>
        <w:t>---------------------------------------------------------------------------------------------------------------------------</w:t>
      </w:r>
    </w:p>
    <w:p w14:paraId="0617B7A5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  <w:r>
        <w:t>Az alábbi információk kizárólag egészségügyi szakembereknek szólnak:</w:t>
      </w:r>
    </w:p>
    <w:p w14:paraId="56ECF8D3" w14:textId="77777777" w:rsidR="001853FE" w:rsidRDefault="001853F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</w:p>
    <w:p w14:paraId="5C12A638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  <w:r>
        <w:rPr>
          <w:u w:val="single"/>
        </w:rPr>
        <w:t>A biztonságos kezelésre vonatkozó ajánlások</w:t>
      </w:r>
    </w:p>
    <w:p w14:paraId="527F9DF1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  <w:r>
        <w:t>A dakarbazin egy daganatellenes szer, és a mutagén, karcinogén és teratogén hatású citosztatikus szerekre vonatozó szokásos eljárások szerint kell kezelni. A munka megkezdése előtt át kell tekinteni a citotoxikus szerekre vonatkozó helyi irányelveket.</w:t>
      </w:r>
    </w:p>
    <w:p w14:paraId="04DAFA1A" w14:textId="77777777" w:rsidR="001853FE" w:rsidRDefault="001853F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</w:p>
    <w:p w14:paraId="5FB958DD" w14:textId="453A61A4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  <w:r>
        <w:t xml:space="preserve">A dakarbazint csak erre képzett személyzet nyithatja fel, és mint minden citotoxikus szer esetén, óvintézkedéseket kell tenni a személyzet expozíciójának megelőzésére. </w:t>
      </w:r>
      <w:r w:rsidR="00A45435">
        <w:t>Terhes nőknek a citotoxikus gyógyszerekkel való munkát általánosságban kerülni kell.</w:t>
      </w:r>
      <w:r>
        <w:t xml:space="preserve"> A beadásra szolgáló oldatok elkészítését kijelölt kezelési területen kell végezni egy mosható tálcán vagy egyszer használatos, műanyag hátlapú abszorbens papíron.</w:t>
      </w:r>
    </w:p>
    <w:p w14:paraId="6492F092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  <w:r>
        <w:t>Megfelelő szemvédőt, egyszer használatos kesztyűt, arcmaszkot és egyszer használatos köpenyt kell viselni. A fecskendőket és az infúziós szerelékeket gondosan kell összeszerelni a szivárgás elkerülése érdekében (Luer-záras csatlakozók használata javasolt).</w:t>
      </w:r>
    </w:p>
    <w:p w14:paraId="74240C85" w14:textId="77777777" w:rsidR="001853FE" w:rsidRDefault="001853F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</w:p>
    <w:p w14:paraId="26013158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  <w:r>
        <w:t xml:space="preserve">A munka befejezése után minden érintett felületet alaposan meg kell tisztítani, illetve kezet és arcot kell mosni. </w:t>
      </w:r>
    </w:p>
    <w:p w14:paraId="16CECD85" w14:textId="77777777" w:rsidR="001853FE" w:rsidRDefault="001853F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</w:p>
    <w:p w14:paraId="16AF24E9" w14:textId="77777777" w:rsidR="001853FE" w:rsidRDefault="00D633C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</w:pPr>
      <w:r>
        <w:t>Az anyag kiömlése esetén a kezelőnek kesztyűt, arcmaszkot, szemvédőt és egyszer használatos köpenyt kell felvennie, majd fel kell törölnie a kiömlött anyagot az ebből a célból a munkaterületre bekészített abszorbens anyaggal. A területet ezután meg kell tisztítani és minden szennyezett anyagot citotoxikus kiömlésekhez használatos tasakba vagy edénybe kell helyezni, vagy lezárt tartályban kell tárolni hulladékégetés céljából.</w:t>
      </w:r>
    </w:p>
    <w:p w14:paraId="5827BDF5" w14:textId="77777777" w:rsidR="001853FE" w:rsidRDefault="001853FE">
      <w:pPr>
        <w:rPr>
          <w:highlight w:val="yellow"/>
        </w:rPr>
      </w:pPr>
    </w:p>
    <w:p w14:paraId="07AF4C81" w14:textId="77777777" w:rsidR="001853FE" w:rsidRDefault="00D633C3">
      <w:pPr>
        <w:tabs>
          <w:tab w:val="left" w:pos="850"/>
        </w:tabs>
        <w:ind w:right="-284"/>
        <w:rPr>
          <w:szCs w:val="22"/>
          <w:u w:val="single"/>
        </w:rPr>
      </w:pPr>
      <w:r>
        <w:rPr>
          <w:u w:val="single"/>
        </w:rPr>
        <w:t>Előkészületek az intravénás beadáshoz</w:t>
      </w:r>
    </w:p>
    <w:p w14:paraId="6B16A4F0" w14:textId="77777777" w:rsidR="001853FE" w:rsidRDefault="00D633C3">
      <w:pPr>
        <w:tabs>
          <w:tab w:val="left" w:pos="850"/>
        </w:tabs>
        <w:ind w:right="-284"/>
        <w:rPr>
          <w:szCs w:val="22"/>
        </w:rPr>
      </w:pPr>
      <w:r>
        <w:t>A dakarbazin-oldatok elkészítése közvetlenül alkalmazás előtt történik.</w:t>
      </w:r>
    </w:p>
    <w:p w14:paraId="5EC26E3E" w14:textId="77777777" w:rsidR="001853FE" w:rsidRDefault="001853FE">
      <w:pPr>
        <w:tabs>
          <w:tab w:val="left" w:pos="850"/>
        </w:tabs>
        <w:ind w:right="-284"/>
        <w:rPr>
          <w:szCs w:val="22"/>
        </w:rPr>
      </w:pPr>
    </w:p>
    <w:p w14:paraId="640C1F75" w14:textId="58064BAC" w:rsidR="001853FE" w:rsidRDefault="00D633C3">
      <w:pPr>
        <w:ind w:right="-427"/>
        <w:rPr>
          <w:szCs w:val="22"/>
        </w:rPr>
      </w:pPr>
      <w:r>
        <w:t xml:space="preserve">A dakarbazin érzékeny a fényexpozícióra. Beadás alatt az infúziós tartályt és a beadásra szolgáló szereléket óvni kell a fénytől </w:t>
      </w:r>
      <w:r w:rsidR="00590911">
        <w:t>például</w:t>
      </w:r>
      <w:r>
        <w:t xml:space="preserve"> fényálló PVC infúziós szerelékek használatával. A normál infúziós szerelékeket </w:t>
      </w:r>
      <w:r w:rsidR="00590911">
        <w:t>például</w:t>
      </w:r>
      <w:r>
        <w:t xml:space="preserve"> UV-álló fóliába kell csomagolni.</w:t>
      </w:r>
    </w:p>
    <w:p w14:paraId="401FAAAA" w14:textId="77777777" w:rsidR="001853FE" w:rsidRDefault="001853FE">
      <w:pPr>
        <w:tabs>
          <w:tab w:val="left" w:pos="1843"/>
          <w:tab w:val="left" w:pos="2127"/>
        </w:tabs>
        <w:ind w:right="-284"/>
        <w:rPr>
          <w:szCs w:val="22"/>
        </w:rPr>
      </w:pPr>
    </w:p>
    <w:p w14:paraId="19E30976" w14:textId="77777777" w:rsidR="001853FE" w:rsidRDefault="00D633C3">
      <w:pPr>
        <w:tabs>
          <w:tab w:val="left" w:pos="850"/>
        </w:tabs>
        <w:ind w:right="-426"/>
        <w:rPr>
          <w:szCs w:val="22"/>
        </w:rPr>
      </w:pPr>
      <w:r>
        <w:t>a) A Dacarbazine medac 500 mg előkészítése:</w:t>
      </w:r>
    </w:p>
    <w:p w14:paraId="35EEB535" w14:textId="77777777" w:rsidR="001853FE" w:rsidRDefault="001853FE">
      <w:pPr>
        <w:tabs>
          <w:tab w:val="left" w:pos="850"/>
        </w:tabs>
        <w:ind w:right="-426"/>
        <w:rPr>
          <w:szCs w:val="22"/>
        </w:rPr>
      </w:pPr>
    </w:p>
    <w:p w14:paraId="21AA74B8" w14:textId="77777777" w:rsidR="001853FE" w:rsidRDefault="00D633C3">
      <w:pPr>
        <w:tabs>
          <w:tab w:val="left" w:pos="850"/>
        </w:tabs>
        <w:ind w:right="-426"/>
        <w:rPr>
          <w:szCs w:val="22"/>
        </w:rPr>
      </w:pPr>
      <w:r>
        <w:t xml:space="preserve">Aszeptikus körülmények között 50 ml injekcióhoz való vizet kell az injekciós üvegbe juttatni és azt oldódásig kell rázni. Az így kapott oldatot, amely 10 mg/ml dakarbazint tartalmaz (az oldat sűrűsége: </w:t>
      </w:r>
      <w:r>
        <w:sym w:font="Symbol" w:char="F072"/>
      </w:r>
      <w:r>
        <w:t> = 1,007 g/ml), tovább kell hígítani 200–300 ml 0,9%</w:t>
      </w:r>
      <w:r>
        <w:noBreakHyphen/>
        <w:t>os nátrium-kloridos vagy 5%</w:t>
      </w:r>
      <w:r>
        <w:noBreakHyphen/>
        <w:t>os glükózos infúziós oldattal. A kapott infúziós oldatot, amely 1,4–2,0 mg/ml dakarbazint tartalmaz, készen áll az iv. beadásra, és 20–30 perc alatt kell beadni.</w:t>
      </w:r>
    </w:p>
    <w:p w14:paraId="234C6EBE" w14:textId="77777777" w:rsidR="001853FE" w:rsidRDefault="001853FE">
      <w:pPr>
        <w:tabs>
          <w:tab w:val="left" w:pos="850"/>
        </w:tabs>
        <w:ind w:right="-426"/>
        <w:rPr>
          <w:szCs w:val="22"/>
        </w:rPr>
      </w:pPr>
    </w:p>
    <w:p w14:paraId="464135D5" w14:textId="77777777" w:rsidR="001853FE" w:rsidRDefault="00D633C3">
      <w:pPr>
        <w:tabs>
          <w:tab w:val="left" w:pos="850"/>
        </w:tabs>
        <w:ind w:right="-426"/>
        <w:rPr>
          <w:szCs w:val="22"/>
        </w:rPr>
      </w:pPr>
      <w:r>
        <w:t>b) A Dacarbazine medac 1000 mg előkészítése:</w:t>
      </w:r>
    </w:p>
    <w:p w14:paraId="4EBAF8CE" w14:textId="77777777" w:rsidR="001853FE" w:rsidRDefault="001853FE">
      <w:pPr>
        <w:tabs>
          <w:tab w:val="left" w:pos="850"/>
        </w:tabs>
        <w:ind w:right="-426"/>
        <w:rPr>
          <w:szCs w:val="22"/>
        </w:rPr>
      </w:pPr>
    </w:p>
    <w:p w14:paraId="75E7DB29" w14:textId="1F601669" w:rsidR="001853FE" w:rsidRDefault="00D633C3">
      <w:pPr>
        <w:tabs>
          <w:tab w:val="left" w:pos="850"/>
        </w:tabs>
        <w:ind w:right="-426"/>
        <w:rPr>
          <w:szCs w:val="22"/>
        </w:rPr>
      </w:pPr>
      <w:r>
        <w:t xml:space="preserve">Aszeptikus körülmények között 50 ml injekcióhoz való vizet kell az injekciós üvegbe juttatni és azt oldódásig kell rázni. Az így kapott oldatot, amely 20 mg/ml dakarbazint tartalmaz (az oldat sűrűsége: </w:t>
      </w:r>
      <w:r>
        <w:sym w:font="Symbol" w:char="F072"/>
      </w:r>
      <w:r>
        <w:t> = 1,015 g/ml), tovább kell hígítani 200–300 ml 0,9%</w:t>
      </w:r>
      <w:r>
        <w:noBreakHyphen/>
        <w:t>os nátrium-kloridos vagy 5%</w:t>
      </w:r>
      <w:r>
        <w:noBreakHyphen/>
        <w:t>os glükózos infúziós oldattal. A kapott infúziós oldat, amely 2,8–4,0 mg/ml dakarbazint tartalmaz, készen áll az iv. beadásra, és 20–30 perc alatt kell azt beadni.</w:t>
      </w:r>
    </w:p>
    <w:p w14:paraId="5ACFBC6A" w14:textId="77777777" w:rsidR="001853FE" w:rsidRDefault="001853FE">
      <w:pPr>
        <w:tabs>
          <w:tab w:val="left" w:pos="850"/>
        </w:tabs>
        <w:ind w:right="-426"/>
        <w:rPr>
          <w:szCs w:val="22"/>
        </w:rPr>
      </w:pPr>
    </w:p>
    <w:p w14:paraId="6E7C068C" w14:textId="77777777" w:rsidR="001853FE" w:rsidRDefault="00D633C3">
      <w:pPr>
        <w:pStyle w:val="Syreaspc"/>
        <w:rPr>
          <w:b/>
          <w:sz w:val="22"/>
          <w:szCs w:val="22"/>
        </w:rPr>
      </w:pPr>
      <w:r>
        <w:rPr>
          <w:sz w:val="22"/>
        </w:rPr>
        <w:t>A</w:t>
      </w:r>
      <w:r>
        <w:rPr>
          <w:sz w:val="22"/>
          <w:vertAlign w:val="superscript"/>
        </w:rPr>
        <w:t xml:space="preserve"> </w:t>
      </w:r>
      <w:r>
        <w:t xml:space="preserve">Dacarbazine medac </w:t>
      </w:r>
      <w:r>
        <w:rPr>
          <w:sz w:val="22"/>
        </w:rPr>
        <w:t>500 mg (1000 mg)</w:t>
      </w:r>
      <w:r>
        <w:rPr>
          <w:b/>
          <w:sz w:val="22"/>
        </w:rPr>
        <w:t xml:space="preserve"> </w:t>
      </w:r>
      <w:r>
        <w:rPr>
          <w:sz w:val="22"/>
        </w:rPr>
        <w:t>csak egyszeri felhasználásra szolgál.</w:t>
      </w:r>
    </w:p>
    <w:p w14:paraId="2714131C" w14:textId="77777777" w:rsidR="001853FE" w:rsidRDefault="00D633C3">
      <w:pPr>
        <w:rPr>
          <w:szCs w:val="22"/>
        </w:rPr>
      </w:pPr>
      <w:r>
        <w:t>A hígított oldatos infúziót szabad szemmel meg kell vizsgálni, és csak a gyakorlatilag részecskéktől mentes, áttetsző oldatok használhatók fel. Nem használható fel az oldat, ha részecskék vannak benne.</w:t>
      </w:r>
    </w:p>
    <w:p w14:paraId="482DE287" w14:textId="77777777" w:rsidR="001853FE" w:rsidRDefault="001853FE">
      <w:pPr>
        <w:tabs>
          <w:tab w:val="left" w:pos="851"/>
        </w:tabs>
        <w:ind w:right="-426"/>
        <w:rPr>
          <w:szCs w:val="22"/>
        </w:rPr>
      </w:pPr>
    </w:p>
    <w:p w14:paraId="23582837" w14:textId="77777777" w:rsidR="001853FE" w:rsidRDefault="00D633C3">
      <w:pPr>
        <w:tabs>
          <w:tab w:val="left" w:pos="851"/>
        </w:tabs>
        <w:ind w:right="-426"/>
        <w:rPr>
          <w:szCs w:val="22"/>
        </w:rPr>
      </w:pPr>
      <w:r>
        <w:t>Bármilyen fel nem használt gyógyszer, illetve hulladékanyag megsemmisítését a gyógyszerekre vonatkozó előírások szerint kell végrehajtani. Ugyanez vonatkozik azon oldatokra is, amelyek vizuális megjelenése megváltozott.</w:t>
      </w:r>
    </w:p>
    <w:p w14:paraId="080B914A" w14:textId="77777777" w:rsidR="001853FE" w:rsidRDefault="001853FE">
      <w:pPr>
        <w:tabs>
          <w:tab w:val="left" w:pos="851"/>
        </w:tabs>
        <w:ind w:right="-426"/>
        <w:rPr>
          <w:lang w:val="en-US"/>
        </w:rPr>
      </w:pPr>
    </w:p>
    <w:sectPr w:rsidR="001853FE">
      <w:foot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0D3E9E" w14:textId="77777777" w:rsidR="00F65DA0" w:rsidRDefault="00F65DA0">
      <w:r>
        <w:separator/>
      </w:r>
    </w:p>
  </w:endnote>
  <w:endnote w:type="continuationSeparator" w:id="0">
    <w:p w14:paraId="6AD1F261" w14:textId="77777777" w:rsidR="00F65DA0" w:rsidRDefault="00F65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altName w:val="Verdan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CB1C3E" w14:textId="6DF60A2D" w:rsidR="003724FD" w:rsidRPr="00856A8C" w:rsidRDefault="003724FD" w:rsidP="00375AE9">
    <w:pPr>
      <w:pStyle w:val="llb"/>
      <w:rPr>
        <w:rFonts w:ascii="Times New Roman" w:hAnsi="Times New Roman"/>
        <w:sz w:val="18"/>
        <w:szCs w:val="18"/>
      </w:rPr>
    </w:pPr>
    <w:r w:rsidRPr="00856A8C">
      <w:rPr>
        <w:rFonts w:ascii="Times New Roman" w:hAnsi="Times New Roman"/>
        <w:sz w:val="18"/>
        <w:szCs w:val="18"/>
      </w:rPr>
      <w:t>N</w:t>
    </w:r>
    <w:r w:rsidR="008A2ABF">
      <w:rPr>
        <w:rFonts w:ascii="Times New Roman" w:hAnsi="Times New Roman"/>
        <w:sz w:val="18"/>
        <w:szCs w:val="18"/>
      </w:rPr>
      <w:t>NGYK/GYSZ/7158</w:t>
    </w:r>
    <w:r w:rsidRPr="00856A8C">
      <w:rPr>
        <w:rFonts w:ascii="Times New Roman" w:hAnsi="Times New Roman"/>
        <w:sz w:val="18"/>
        <w:szCs w:val="18"/>
      </w:rPr>
      <w:t>/2024</w:t>
    </w:r>
  </w:p>
  <w:p w14:paraId="22C59910" w14:textId="3828C98F" w:rsidR="001853FE" w:rsidRDefault="003724FD" w:rsidP="00D21A84">
    <w:pPr>
      <w:pStyle w:val="llb"/>
      <w:tabs>
        <w:tab w:val="clear" w:pos="567"/>
        <w:tab w:val="clear" w:pos="8930"/>
        <w:tab w:val="left" w:pos="0"/>
        <w:tab w:val="right" w:pos="9214"/>
      </w:tabs>
      <w:ind w:right="96"/>
    </w:pPr>
    <w:r w:rsidRPr="00856A8C">
      <w:rPr>
        <w:rFonts w:ascii="Times New Roman" w:hAnsi="Times New Roman"/>
        <w:sz w:val="18"/>
        <w:szCs w:val="18"/>
      </w:rPr>
      <w:t>NNGYK/GYSZ/9244/2024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1C1648" w14:textId="77777777" w:rsidR="001853FE" w:rsidRDefault="00D633C3">
    <w:pPr>
      <w:pStyle w:val="llb"/>
      <w:pBdr>
        <w:top w:val="single" w:sz="4" w:space="1" w:color="auto"/>
      </w:pBdr>
      <w:tabs>
        <w:tab w:val="clear" w:pos="567"/>
        <w:tab w:val="clear" w:pos="8930"/>
        <w:tab w:val="left" w:pos="0"/>
        <w:tab w:val="right" w:pos="9214"/>
      </w:tabs>
      <w:ind w:right="96"/>
      <w:rPr>
        <w:rFonts w:ascii="Times New Roman" w:hAnsi="Times New Roman"/>
        <w:sz w:val="20"/>
      </w:rPr>
    </w:pPr>
    <w:r>
      <w:fldChar w:fldCharType="begin"/>
    </w:r>
    <w:r>
      <w:instrText xml:space="preserve"> EQ </w:instrText>
    </w:r>
    <w:r>
      <w:fldChar w:fldCharType="end"/>
    </w:r>
    <w:r>
      <w:rPr>
        <w:rFonts w:ascii="Times New Roman" w:hAnsi="Times New Roman"/>
        <w:sz w:val="20"/>
      </w:rPr>
      <w:t>pal (közös) Dacarbazine PharmaLex 500 mg/1000 mg, por oldatos infúzióhoz</w:t>
    </w:r>
    <w:r>
      <w:rPr>
        <w:rFonts w:ascii="Times New Roman" w:hAnsi="Times New Roman"/>
        <w:sz w:val="20"/>
      </w:rPr>
      <w:tab/>
    </w:r>
    <w:r>
      <w:rPr>
        <w:rFonts w:ascii="Times New Roman" w:hAnsi="Times New Roman"/>
        <w:sz w:val="20"/>
      </w:rPr>
      <w:fldChar w:fldCharType="begin"/>
    </w:r>
    <w:r>
      <w:rPr>
        <w:rFonts w:ascii="Times New Roman" w:hAnsi="Times New Roman"/>
        <w:sz w:val="20"/>
      </w:rPr>
      <w:instrText>PAGE   \* MERGEFORMAT</w:instrText>
    </w:r>
    <w:r>
      <w:rPr>
        <w:rFonts w:ascii="Times New Roman" w:hAnsi="Times New Roman"/>
        <w:sz w:val="20"/>
      </w:rPr>
      <w:fldChar w:fldCharType="separate"/>
    </w:r>
    <w:r>
      <w:rPr>
        <w:rFonts w:ascii="Times New Roman" w:hAnsi="Times New Roman"/>
        <w:sz w:val="20"/>
      </w:rPr>
      <w:t>1</w:t>
    </w:r>
    <w:r>
      <w:rPr>
        <w:rFonts w:ascii="Times New Roman" w:hAnsi="Times New Roman"/>
        <w:sz w:val="20"/>
      </w:rPr>
      <w:fldChar w:fldCharType="end"/>
    </w:r>
  </w:p>
  <w:p w14:paraId="448F7FFA" w14:textId="77777777" w:rsidR="001853FE" w:rsidRDefault="00D633C3">
    <w:pPr>
      <w:pStyle w:val="llb"/>
      <w:tabs>
        <w:tab w:val="clear" w:pos="567"/>
        <w:tab w:val="clear" w:pos="4536"/>
        <w:tab w:val="clear" w:pos="8930"/>
        <w:tab w:val="left" w:pos="0"/>
        <w:tab w:val="right" w:pos="8931"/>
      </w:tabs>
      <w:ind w:right="96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A közös verzió kelte: 2014. június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12E3CB" w14:textId="77777777" w:rsidR="00F65DA0" w:rsidRDefault="00F65DA0">
      <w:r>
        <w:separator/>
      </w:r>
    </w:p>
  </w:footnote>
  <w:footnote w:type="continuationSeparator" w:id="0">
    <w:p w14:paraId="6071529E" w14:textId="77777777" w:rsidR="00F65DA0" w:rsidRDefault="00F65D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5677DDC"/>
    <w:multiLevelType w:val="hybridMultilevel"/>
    <w:tmpl w:val="4DAA093E"/>
    <w:lvl w:ilvl="0" w:tplc="08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104394"/>
    <w:multiLevelType w:val="hybridMultilevel"/>
    <w:tmpl w:val="B250300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A17EA"/>
    <w:multiLevelType w:val="hybridMultilevel"/>
    <w:tmpl w:val="ADEE33E0"/>
    <w:lvl w:ilvl="0" w:tplc="CC486A1E">
      <w:start w:val="1"/>
      <w:numFmt w:val="bullet"/>
      <w:lvlText w:val="-"/>
      <w:lvlJc w:val="left"/>
      <w:pPr>
        <w:tabs>
          <w:tab w:val="num" w:pos="360"/>
        </w:tabs>
        <w:ind w:left="170" w:hanging="170"/>
      </w:pPr>
      <w:rPr>
        <w:rFonts w:ascii="Times New Roman" w:hAnsi="Times New Roman" w:hint="default"/>
        <w:sz w:val="20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425504"/>
    <w:multiLevelType w:val="hybridMultilevel"/>
    <w:tmpl w:val="974017A4"/>
    <w:lvl w:ilvl="0" w:tplc="CC486A1E">
      <w:start w:val="1"/>
      <w:numFmt w:val="bullet"/>
      <w:lvlText w:val="-"/>
      <w:lvlJc w:val="left"/>
      <w:pPr>
        <w:tabs>
          <w:tab w:val="num" w:pos="360"/>
        </w:tabs>
        <w:ind w:left="170" w:hanging="170"/>
      </w:pPr>
      <w:rPr>
        <w:rFonts w:ascii="Times New Roman" w:hAnsi="Times New Roman" w:hint="default"/>
        <w:sz w:val="2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EC221E"/>
    <w:multiLevelType w:val="hybridMultilevel"/>
    <w:tmpl w:val="1B24B02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2D4308"/>
    <w:multiLevelType w:val="hybridMultilevel"/>
    <w:tmpl w:val="E1F2BC24"/>
    <w:lvl w:ilvl="0" w:tplc="080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071DD2"/>
    <w:multiLevelType w:val="hybridMultilevel"/>
    <w:tmpl w:val="EFD8CBC0"/>
    <w:lvl w:ilvl="0" w:tplc="CC486A1E">
      <w:start w:val="1"/>
      <w:numFmt w:val="bullet"/>
      <w:lvlText w:val="-"/>
      <w:lvlJc w:val="left"/>
      <w:pPr>
        <w:tabs>
          <w:tab w:val="num" w:pos="360"/>
        </w:tabs>
        <w:ind w:left="170" w:hanging="170"/>
      </w:pPr>
      <w:rPr>
        <w:rFonts w:ascii="Times New Roman" w:hAnsi="Times New Roman" w:hint="default"/>
        <w:sz w:val="2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9B56CA"/>
    <w:multiLevelType w:val="hybridMultilevel"/>
    <w:tmpl w:val="6DBE76FE"/>
    <w:lvl w:ilvl="0" w:tplc="2A8EE4FC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372D79EF"/>
    <w:multiLevelType w:val="hybridMultilevel"/>
    <w:tmpl w:val="2C1A34CE"/>
    <w:lvl w:ilvl="0" w:tplc="2A8EE4FC">
      <w:start w:val="1"/>
      <w:numFmt w:val="bullet"/>
      <w:lvlText w:val="•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7963941"/>
    <w:multiLevelType w:val="hybridMultilevel"/>
    <w:tmpl w:val="77B6182E"/>
    <w:lvl w:ilvl="0" w:tplc="080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F357F9"/>
    <w:multiLevelType w:val="hybridMultilevel"/>
    <w:tmpl w:val="AA6EAA70"/>
    <w:lvl w:ilvl="0" w:tplc="2A8EE4FC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525E76"/>
    <w:multiLevelType w:val="hybridMultilevel"/>
    <w:tmpl w:val="77A0D2D0"/>
    <w:lvl w:ilvl="0" w:tplc="0407000B">
      <w:start w:val="1"/>
      <w:numFmt w:val="bullet"/>
      <w:lvlText w:val=""/>
      <w:lvlJc w:val="left"/>
      <w:pPr>
        <w:ind w:left="3552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7872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8592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9312" w:hanging="360"/>
      </w:pPr>
      <w:rPr>
        <w:rFonts w:ascii="Wingdings" w:hAnsi="Wingdings" w:hint="default"/>
      </w:rPr>
    </w:lvl>
  </w:abstractNum>
  <w:abstractNum w:abstractNumId="14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605F5A21"/>
    <w:multiLevelType w:val="hybridMultilevel"/>
    <w:tmpl w:val="FCD87166"/>
    <w:lvl w:ilvl="0" w:tplc="2A8EE4FC">
      <w:start w:val="1"/>
      <w:numFmt w:val="bullet"/>
      <w:lvlText w:val="•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17" w15:restartNumberingAfterBreak="0">
    <w:nsid w:val="6BE206FA"/>
    <w:multiLevelType w:val="hybridMultilevel"/>
    <w:tmpl w:val="A1B8903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D228A5"/>
    <w:multiLevelType w:val="hybridMultilevel"/>
    <w:tmpl w:val="EF4A74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16"/>
  </w:num>
  <w:num w:numId="3">
    <w:abstractNumId w:val="14"/>
  </w:num>
  <w:num w:numId="4">
    <w:abstractNumId w:val="9"/>
  </w:num>
  <w:num w:numId="5">
    <w:abstractNumId w:val="4"/>
  </w:num>
  <w:num w:numId="6">
    <w:abstractNumId w:val="7"/>
  </w:num>
  <w:num w:numId="7">
    <w:abstractNumId w:val="3"/>
  </w:num>
  <w:num w:numId="8">
    <w:abstractNumId w:val="8"/>
  </w:num>
  <w:num w:numId="9">
    <w:abstractNumId w:val="11"/>
  </w:num>
  <w:num w:numId="10">
    <w:abstractNumId w:val="6"/>
  </w:num>
  <w:num w:numId="1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540" w:hanging="360"/>
        </w:pPr>
      </w:lvl>
    </w:lvlOverride>
  </w:num>
  <w:num w:numId="12">
    <w:abstractNumId w:val="17"/>
  </w:num>
  <w:num w:numId="13">
    <w:abstractNumId w:val="18"/>
  </w:num>
  <w:num w:numId="14">
    <w:abstractNumId w:val="1"/>
  </w:num>
  <w:num w:numId="15">
    <w:abstractNumId w:val="2"/>
  </w:num>
  <w:num w:numId="16">
    <w:abstractNumId w:val="12"/>
  </w:num>
  <w:num w:numId="17">
    <w:abstractNumId w:val="5"/>
  </w:num>
  <w:num w:numId="18">
    <w:abstractNumId w:val="13"/>
  </w:num>
  <w:num w:numId="19">
    <w:abstractNumId w:val="10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s_autosavelastposition1811435" w:val="930"/>
    <w:docVar w:name="os_autosavelastposition3739594" w:val="688"/>
  </w:docVars>
  <w:rsids>
    <w:rsidRoot w:val="001853FE"/>
    <w:rsid w:val="000B7AA9"/>
    <w:rsid w:val="000D57CF"/>
    <w:rsid w:val="001201CE"/>
    <w:rsid w:val="001853FE"/>
    <w:rsid w:val="00215A94"/>
    <w:rsid w:val="00221F47"/>
    <w:rsid w:val="002A0FA4"/>
    <w:rsid w:val="002E6CBF"/>
    <w:rsid w:val="00301795"/>
    <w:rsid w:val="00351509"/>
    <w:rsid w:val="003724FD"/>
    <w:rsid w:val="00375AE9"/>
    <w:rsid w:val="0038174E"/>
    <w:rsid w:val="004B7B69"/>
    <w:rsid w:val="0056325A"/>
    <w:rsid w:val="00583BED"/>
    <w:rsid w:val="00590911"/>
    <w:rsid w:val="005F2923"/>
    <w:rsid w:val="005F62B3"/>
    <w:rsid w:val="00627A23"/>
    <w:rsid w:val="006342C3"/>
    <w:rsid w:val="00694FC6"/>
    <w:rsid w:val="006C7052"/>
    <w:rsid w:val="007B694E"/>
    <w:rsid w:val="007F4203"/>
    <w:rsid w:val="008908F8"/>
    <w:rsid w:val="00892D1F"/>
    <w:rsid w:val="00896619"/>
    <w:rsid w:val="008A2ABF"/>
    <w:rsid w:val="00996E77"/>
    <w:rsid w:val="00A42296"/>
    <w:rsid w:val="00A45435"/>
    <w:rsid w:val="00AF45BA"/>
    <w:rsid w:val="00B67D28"/>
    <w:rsid w:val="00B81B6C"/>
    <w:rsid w:val="00BE226B"/>
    <w:rsid w:val="00BE48A7"/>
    <w:rsid w:val="00C2254C"/>
    <w:rsid w:val="00C23C69"/>
    <w:rsid w:val="00C664B6"/>
    <w:rsid w:val="00C90A7D"/>
    <w:rsid w:val="00D21A84"/>
    <w:rsid w:val="00D502C1"/>
    <w:rsid w:val="00D57CA5"/>
    <w:rsid w:val="00D633C3"/>
    <w:rsid w:val="00DD4034"/>
    <w:rsid w:val="00ED6388"/>
    <w:rsid w:val="00F02183"/>
    <w:rsid w:val="00F45EF2"/>
    <w:rsid w:val="00F65DA0"/>
    <w:rsid w:val="00FA0F1C"/>
    <w:rsid w:val="00FA5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9E73782"/>
  <w14:defaultImageDpi w14:val="96"/>
  <w15:docId w15:val="{B26D6AA2-A5C1-43F0-B062-512D18C82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hu-HU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tabs>
        <w:tab w:val="left" w:pos="567"/>
      </w:tabs>
      <w:spacing w:after="0" w:line="260" w:lineRule="exact"/>
    </w:pPr>
    <w:rPr>
      <w:szCs w:val="20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styleId="Oldalszm">
    <w:name w:val="page number"/>
    <w:basedOn w:val="Bekezdsalapbettpusa"/>
    <w:uiPriority w:val="99"/>
    <w:rPr>
      <w:rFonts w:cs="Times New Roman"/>
    </w:rPr>
  </w:style>
  <w:style w:type="character" w:customStyle="1" w:styleId="llbChar">
    <w:name w:val="Élőláb Char"/>
    <w:basedOn w:val="Bekezdsalapbettpusa"/>
    <w:link w:val="llb"/>
    <w:uiPriority w:val="99"/>
    <w:locked/>
    <w:rPr>
      <w:rFonts w:cs="Times New Roman"/>
      <w:sz w:val="20"/>
      <w:szCs w:val="20"/>
      <w:lang w:val="hu-HU" w:eastAsia="en-US"/>
    </w:rPr>
  </w:style>
  <w:style w:type="paragraph" w:styleId="lfej">
    <w:name w:val="header"/>
    <w:basedOn w:val="Norml"/>
    <w:link w:val="lfejChar"/>
    <w:uiPriority w:val="99"/>
    <w:pPr>
      <w:tabs>
        <w:tab w:val="clear" w:pos="567"/>
        <w:tab w:val="center" w:pos="4536"/>
        <w:tab w:val="right" w:pos="9072"/>
      </w:tabs>
    </w:pPr>
  </w:style>
  <w:style w:type="paragraph" w:customStyle="1" w:styleId="Syreaspc">
    <w:name w:val="Syrea spc"/>
    <w:basedOn w:val="Norml"/>
    <w:uiPriority w:val="99"/>
    <w:pPr>
      <w:tabs>
        <w:tab w:val="clear" w:pos="567"/>
      </w:tabs>
      <w:spacing w:line="240" w:lineRule="auto"/>
    </w:pPr>
    <w:rPr>
      <w:kern w:val="28"/>
      <w:sz w:val="24"/>
      <w:lang w:eastAsia="de-DE"/>
    </w:rPr>
  </w:style>
  <w:style w:type="character" w:customStyle="1" w:styleId="lfejChar">
    <w:name w:val="Élőfej Char"/>
    <w:basedOn w:val="Bekezdsalapbettpusa"/>
    <w:link w:val="lfej"/>
    <w:uiPriority w:val="99"/>
    <w:locked/>
    <w:rPr>
      <w:rFonts w:cs="Times New Roman"/>
      <w:sz w:val="20"/>
      <w:szCs w:val="20"/>
      <w:lang w:val="hu-HU" w:eastAsia="en-US"/>
    </w:rPr>
  </w:style>
  <w:style w:type="paragraph" w:styleId="Szvegblokk">
    <w:name w:val="Block Text"/>
    <w:basedOn w:val="Norml"/>
    <w:uiPriority w:val="99"/>
    <w:pPr>
      <w:tabs>
        <w:tab w:val="clear" w:pos="567"/>
        <w:tab w:val="left" w:pos="2127"/>
      </w:tabs>
      <w:spacing w:line="240" w:lineRule="auto"/>
      <w:ind w:left="567" w:right="-284"/>
      <w:jc w:val="both"/>
    </w:pPr>
    <w:rPr>
      <w:rFonts w:ascii="Arial" w:hAnsi="Arial"/>
      <w:color w:val="FF0000"/>
      <w:sz w:val="24"/>
      <w:u w:val="single"/>
      <w:lang w:eastAsia="de-DE"/>
    </w:rPr>
  </w:style>
  <w:style w:type="paragraph" w:styleId="Buborkszveg">
    <w:name w:val="Balloon Text"/>
    <w:basedOn w:val="Norml"/>
    <w:link w:val="BuborkszvegChar"/>
    <w:uiPriority w:val="99"/>
    <w:semiHidden/>
    <w:rPr>
      <w:rFonts w:ascii="Tahoma" w:hAnsi="Tahoma" w:cs="Tahoma"/>
      <w:sz w:val="16"/>
      <w:szCs w:val="16"/>
    </w:rPr>
  </w:style>
  <w:style w:type="character" w:styleId="Jegyzethivatkozs">
    <w:name w:val="annotation reference"/>
    <w:basedOn w:val="Bekezdsalapbettpusa"/>
    <w:uiPriority w:val="99"/>
    <w:semiHidden/>
    <w:rPr>
      <w:rFonts w:cs="Times New Roman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Pr>
      <w:rFonts w:ascii="Tahoma" w:hAnsi="Tahoma" w:cs="Tahoma"/>
      <w:sz w:val="16"/>
      <w:szCs w:val="16"/>
      <w:lang w:val="hu-HU" w:eastAsia="en-US"/>
    </w:rPr>
  </w:style>
  <w:style w:type="paragraph" w:styleId="Jegyzetszveg">
    <w:name w:val="annotation text"/>
    <w:basedOn w:val="Norml"/>
    <w:link w:val="JegyzetszvegChar"/>
    <w:uiPriority w:val="99"/>
    <w:semiHidden/>
    <w:rPr>
      <w:sz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Pr>
      <w:b/>
      <w:bCs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locked/>
    <w:rPr>
      <w:rFonts w:cs="Times New Roman"/>
      <w:sz w:val="20"/>
      <w:szCs w:val="20"/>
      <w:lang w:val="hu-HU" w:eastAsia="en-US"/>
    </w:rPr>
  </w:style>
  <w:style w:type="paragraph" w:styleId="Vltozat">
    <w:name w:val="Revision"/>
    <w:hidden/>
    <w:uiPriority w:val="99"/>
    <w:semiHidden/>
    <w:pPr>
      <w:spacing w:after="0" w:line="240" w:lineRule="auto"/>
    </w:pPr>
    <w:rPr>
      <w:szCs w:val="20"/>
      <w:lang w:eastAsia="en-US"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locked/>
    <w:rPr>
      <w:rFonts w:cs="Times New Roman"/>
      <w:b/>
      <w:bCs/>
      <w:sz w:val="20"/>
      <w:szCs w:val="20"/>
      <w:lang w:val="hu-HU" w:eastAsia="en-US"/>
    </w:rPr>
  </w:style>
  <w:style w:type="character" w:styleId="Hiperhivatkozs">
    <w:name w:val="Hyperlink"/>
    <w:basedOn w:val="Bekezdsalapbettpusa"/>
    <w:uiPriority w:val="99"/>
    <w:rPr>
      <w:rFonts w:cs="Times New Roman"/>
      <w:color w:val="0000FF"/>
      <w:u w:val="single"/>
    </w:rPr>
  </w:style>
  <w:style w:type="paragraph" w:styleId="Szvegtrzsbehzssal">
    <w:name w:val="Body Text Indent"/>
    <w:basedOn w:val="Norml"/>
    <w:link w:val="SzvegtrzsbehzssalChar"/>
    <w:uiPriority w:val="99"/>
    <w:pPr>
      <w:tabs>
        <w:tab w:val="clear" w:pos="567"/>
      </w:tabs>
      <w:spacing w:line="240" w:lineRule="auto"/>
      <w:ind w:left="567"/>
      <w:jc w:val="both"/>
    </w:pPr>
    <w:rPr>
      <w:rFonts w:ascii="Arial" w:hAnsi="Arial"/>
      <w:color w:val="0000FF"/>
      <w:sz w:val="24"/>
      <w:lang w:eastAsia="de-DE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rPr>
      <w:rFonts w:ascii="Arial" w:hAnsi="Arial"/>
      <w:color w:val="0000FF"/>
      <w:sz w:val="24"/>
      <w:szCs w:val="20"/>
      <w:lang w:eastAsia="de-DE"/>
    </w:rPr>
  </w:style>
  <w:style w:type="paragraph" w:styleId="Szvegtrzsbehzssal2">
    <w:name w:val="Body Text Indent 2"/>
    <w:basedOn w:val="Norml"/>
    <w:link w:val="Szvegtrzsbehzssal2Char"/>
    <w:uiPriority w:val="99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basedOn w:val="Bekezdsalapbettpusa"/>
    <w:link w:val="Szvegtrzsbehzssal2"/>
    <w:uiPriority w:val="99"/>
    <w:rPr>
      <w:szCs w:val="20"/>
      <w:lang w:eastAsia="en-US"/>
    </w:rPr>
  </w:style>
  <w:style w:type="paragraph" w:customStyle="1" w:styleId="BodytextAgency">
    <w:name w:val="Body text (Agency)"/>
    <w:basedOn w:val="Norml"/>
    <w:link w:val="BodytextAgencyChar"/>
    <w:pPr>
      <w:tabs>
        <w:tab w:val="clear" w:pos="567"/>
      </w:tabs>
      <w:spacing w:after="140" w:line="280" w:lineRule="atLeast"/>
    </w:pPr>
    <w:rPr>
      <w:rFonts w:ascii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locked/>
    <w:rPr>
      <w:rFonts w:ascii="Verdana" w:hAnsi="Verdana" w:cs="Verdana"/>
      <w:sz w:val="18"/>
      <w:szCs w:val="18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paragraph" w:styleId="Listaszerbekezds">
    <w:name w:val="List Paragraph"/>
    <w:basedOn w:val="Norml"/>
    <w:uiPriority w:val="34"/>
    <w:qFormat/>
    <w:pPr>
      <w:tabs>
        <w:tab w:val="clear" w:pos="567"/>
      </w:tabs>
      <w:spacing w:line="240" w:lineRule="auto"/>
      <w:ind w:left="720"/>
    </w:pPr>
    <w:rPr>
      <w:rFonts w:ascii="Calibri" w:eastAsiaTheme="minorHAns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01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7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00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00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5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7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1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3963A7-9BED-4695-A90F-A8AD37050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8</Pages>
  <Words>2714</Words>
  <Characters>18734</Characters>
  <Application>Microsoft Office Word</Application>
  <DocSecurity>0</DocSecurity>
  <Lines>156</Lines>
  <Paragraphs>42</Paragraphs>
  <ScaleCrop>false</ScaleCrop>
  <HeadingPairs>
    <vt:vector size="8" baseType="variant">
      <vt:variant>
        <vt:lpstr>Titel</vt:lpstr>
      </vt:variant>
      <vt:variant>
        <vt:i4>1</vt:i4>
      </vt:variant>
      <vt:variant>
        <vt:lpstr>Cím</vt:lpstr>
      </vt:variant>
      <vt:variant>
        <vt:i4>1</vt:i4>
      </vt:variant>
      <vt:variant>
        <vt:lpstr>Otsikko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4" baseType="lpstr">
      <vt:lpstr/>
      <vt:lpstr>PACKAGE LEAFLET: INFORMATION FOR THE USER</vt:lpstr>
      <vt:lpstr>PACKAGE LEAFLET: INFORMATION FOR THE USER</vt:lpstr>
      <vt:lpstr>PACKAGE LEAFLET: INFORMATION FOR THE USER</vt:lpstr>
    </vt:vector>
  </TitlesOfParts>
  <Company>mt-g</Company>
  <LinksUpToDate>false</LinksUpToDate>
  <CharactersWithSpaces>21406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mt-g</dc:creator>
  <cp:lastModifiedBy>HU_OGYI_56.1</cp:lastModifiedBy>
  <cp:revision>5</cp:revision>
  <cp:lastPrinted>2007-09-18T08:57:00Z</cp:lastPrinted>
  <dcterms:created xsi:type="dcterms:W3CDTF">2024-04-15T09:51:00Z</dcterms:created>
  <dcterms:modified xsi:type="dcterms:W3CDTF">2024-04-15T14:41:00Z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S_LastOpenTime">
    <vt:lpwstr>1/6/2021 8:38:19 AM</vt:lpwstr>
  </property>
  <property fmtid="{D5CDD505-2E9C-101B-9397-08002B2CF9AE}" pid="3" name="OS_LastOpenUser">
    <vt:lpwstr>NORDSIK</vt:lpwstr>
  </property>
  <property fmtid="{D5CDD505-2E9C-101B-9397-08002B2CF9AE}" pid="4" name="OS_LastSave">
    <vt:lpwstr>9/3/2019 10:10:16 AM</vt:lpwstr>
  </property>
  <property fmtid="{D5CDD505-2E9C-101B-9397-08002B2CF9AE}" pid="5" name="OS_LastSaveUser">
    <vt:lpwstr>BREDEMS</vt:lpwstr>
  </property>
  <property fmtid="{D5CDD505-2E9C-101B-9397-08002B2CF9AE}" pid="6" name="OS_LastDocumentSaved">
    <vt:bool>false</vt:bool>
  </property>
  <property fmtid="{D5CDD505-2E9C-101B-9397-08002B2CF9AE}" pid="7" name="MustSave">
    <vt:bool>false</vt:bool>
  </property>
</Properties>
</file>