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4A02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Betegtájékoztató: Információk a beteg számára</w:t>
      </w:r>
    </w:p>
    <w:p w14:paraId="710074F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3993491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50 mg filmtabletta</w:t>
      </w:r>
    </w:p>
    <w:p w14:paraId="62680E2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100 mg filmtabletta</w:t>
      </w:r>
    </w:p>
    <w:p w14:paraId="4CF5139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150 mg filmtabletta</w:t>
      </w:r>
    </w:p>
    <w:p w14:paraId="70FC6A2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200 mg filmtabletta</w:t>
      </w:r>
    </w:p>
    <w:p w14:paraId="1E8066A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3EEE050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lakozamid</w:t>
      </w:r>
    </w:p>
    <w:p w14:paraId="4C43D5E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6170E7A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Mielőtt elkezdi szedni ezt a gyógyszert, olvassa el figyelmesen az alábbi betegtájékoztatót, mert az Ön számára fontos információkat tartalmaz.</w:t>
      </w:r>
    </w:p>
    <w:p w14:paraId="43733C52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Tartsa meg a betegtájékoztatót, mert a benne szereplő információkra a későbbiekben is szüksége lehet.</w:t>
      </w:r>
    </w:p>
    <w:p w14:paraId="36DDE30B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További kérdéseivel forduljon kezelőorvosához vagy gyógyszerészéhez.</w:t>
      </w:r>
    </w:p>
    <w:p w14:paraId="795BDAE2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3E911A7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F570FC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A04420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betegtájékoztató tartalma:</w:t>
      </w:r>
    </w:p>
    <w:p w14:paraId="50658AAA" w14:textId="0306DF8A" w:rsidR="00B305FD" w:rsidRPr="00F83A7F" w:rsidRDefault="00B305FD" w:rsidP="00F83A7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1.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 xml:space="preserve">Milyen típusú gyógyszer a Lacosamide Grindeks </w:t>
      </w:r>
      <w:r w:rsidR="009E0E81">
        <w:rPr>
          <w:rFonts w:ascii="Times New Roman" w:eastAsia="Calibri" w:hAnsi="Times New Roman" w:cs="Times New Roman"/>
          <w:kern w:val="0"/>
          <w14:ligatures w14:val="none"/>
        </w:rPr>
        <w:t>filmtabletta (</w:t>
      </w:r>
      <w:r w:rsidR="00971E17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="009E0E81">
        <w:rPr>
          <w:rFonts w:ascii="Times New Roman" w:eastAsia="Calibri" w:hAnsi="Times New Roman" w:cs="Times New Roman"/>
          <w:kern w:val="0"/>
          <w14:ligatures w14:val="none"/>
        </w:rPr>
        <w:t xml:space="preserve">továbbiakban Lacosamide Grindeks)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és milyen betegségek esetén alkalmazható?</w:t>
      </w:r>
    </w:p>
    <w:p w14:paraId="6285753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2.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Tudnivalók a Lacosamide Grindeks szedése előtt</w:t>
      </w:r>
    </w:p>
    <w:p w14:paraId="34EEE0E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3.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Hogyan kell szedni a Lacosamide Grindeks-et?</w:t>
      </w:r>
    </w:p>
    <w:p w14:paraId="4B36C58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4.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Lehetséges mellékhatások</w:t>
      </w:r>
    </w:p>
    <w:p w14:paraId="0F457E9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5.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Hogyan kell a Lacosamide Grindeks-et tárolni?</w:t>
      </w:r>
    </w:p>
    <w:p w14:paraId="7815AAC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6.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A csomagolás tartalma és egyéb információk</w:t>
      </w:r>
    </w:p>
    <w:p w14:paraId="7244E11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77D137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4618949" w14:textId="77777777" w:rsidR="00B305FD" w:rsidRPr="004B342C" w:rsidRDefault="00B305FD" w:rsidP="00F83A7F">
      <w:pPr>
        <w:spacing w:after="0" w:line="240" w:lineRule="auto"/>
        <w:ind w:left="570" w:right="-2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1.</w:t>
      </w: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ab/>
        <w:t>Milyen típusú gyógyszer a Lacosamide Grindeks és milyen betegségek esetén alkalmazható?</w:t>
      </w:r>
    </w:p>
    <w:p w14:paraId="5CDC9E6B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6B6541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típusú gyógyszer a Lacosamide Grindeks?</w:t>
      </w:r>
    </w:p>
    <w:p w14:paraId="6BC52C2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lakozamidot tartalmaz. Ez az epilepszia elleni (úgynevezett antiepilepsziás) gyógyszerek csoportjába tartozik. Ezeket a gyógyszereket az epilepszia kezelésére alkalmazzák.</w:t>
      </w:r>
    </w:p>
    <w:p w14:paraId="063AE128" w14:textId="06F251E1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Ön azért kapja ezt a gyógyszert, hogy csökkenjen a görcsrohamainak </w:t>
      </w:r>
      <w:r w:rsidR="00D43469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száma.</w:t>
      </w:r>
    </w:p>
    <w:p w14:paraId="1BDC760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3A9A53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betegségek esetén alkalmazható a Lacosamide Grindeks?</w:t>
      </w:r>
    </w:p>
    <w:p w14:paraId="4E35112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az alábbi esetekben alkalmazzák:</w:t>
      </w:r>
    </w:p>
    <w:p w14:paraId="64E069C6" w14:textId="77777777" w:rsidR="00B305FD" w:rsidRPr="00F83A7F" w:rsidRDefault="00B305FD" w:rsidP="004B342C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134" w:hanging="426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önmagában vagy más epilepszia elleni gyógyszerekkel együtt felnőtteknél, serdülőknél és 2 éves vagy annál idősebb gyermekeknél az epilepszia egy bizonyos típusának (másodlagos generalizációval vagy anélkül fellépő parciális rohamokkal jellemzett) kezelésére. Az epilepszia ezen formájában a rohamok kezdetben az agynak csak az egyik oldalát érintik, később azonban nagyobb területekre terjedhetnek ki az agy mindkét oldalán;</w:t>
      </w:r>
    </w:p>
    <w:p w14:paraId="1046B1E4" w14:textId="77777777" w:rsidR="00B305FD" w:rsidRPr="00F83A7F" w:rsidRDefault="00B305FD" w:rsidP="004B342C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134" w:hanging="426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más epilepszia elleni gyógyszerekkel együtt felnőtteknél, serdülőknél és 2 éves vagy annál idősebb gyermekeknél az elsődleges generalizált tónusos-klónusos görcsrohamok (eszméletvesztéssel járó nagyrohamok) kezelésére idiopátiás generalizált epilepsziában (genetikai okkal bíró epilepsziatípus) szenvedő betegek esetében.</w:t>
      </w:r>
    </w:p>
    <w:p w14:paraId="03232CF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805E2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2A93CB7" w14:textId="77777777" w:rsidR="00B305FD" w:rsidRPr="004B342C" w:rsidRDefault="00B305FD" w:rsidP="00F83A7F">
      <w:pPr>
        <w:keepNext/>
        <w:spacing w:after="0" w:line="240" w:lineRule="auto"/>
        <w:ind w:left="573" w:hanging="573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lastRenderedPageBreak/>
        <w:t>2.</w:t>
      </w: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ab/>
        <w:t>Tudnivalók a Lacosamide Grindeks szedése előtt</w:t>
      </w:r>
    </w:p>
    <w:p w14:paraId="018AFF97" w14:textId="77777777" w:rsidR="00B305FD" w:rsidRPr="00F83A7F" w:rsidRDefault="00B305FD" w:rsidP="004B34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C7C05CB" w14:textId="77777777" w:rsidR="00B305FD" w:rsidRPr="00F83A7F" w:rsidRDefault="00B305FD" w:rsidP="004B34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Ne szedje a Lacosamide Grindeks-et</w:t>
      </w:r>
    </w:p>
    <w:p w14:paraId="4CF71097" w14:textId="77777777" w:rsidR="00B305FD" w:rsidRPr="00F83A7F" w:rsidRDefault="00B305FD" w:rsidP="004B342C">
      <w:pPr>
        <w:keepNext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allergiás a lakozamidra vagy a gyógyszer (6. pontban felsorolt) egyéb összetevőjére. Ha nem biztos benne, hogy allergiás, kérjük, beszélje meg kezelőorvosával.</w:t>
      </w:r>
    </w:p>
    <w:p w14:paraId="3D445FF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egy bizonyos típusú szívritmuszavarban szenved, amit másodfokú vagy harmadfokú AV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noBreakHyphen/>
        <w:t>blokknak hívnak.</w:t>
      </w:r>
    </w:p>
    <w:p w14:paraId="0322BB9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684159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Ne szedje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Grindeks-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et, ha a fentiek bármelyike érvényes Önre. Amennyiben nem biztos benne, a gyógyszer szedésének megkezdése előtt beszéljen kezelőorvosával vagy gyógyszerészével.</w:t>
      </w:r>
    </w:p>
    <w:p w14:paraId="743CBAA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8D1EBD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Figyelmeztetések és óvintézkedések</w:t>
      </w:r>
    </w:p>
    <w:p w14:paraId="085085AC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beszéljen kezelőorvosával:</w:t>
      </w:r>
    </w:p>
    <w:p w14:paraId="1424DBA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Önnek öngyilkossági vagy önkárosító gondolatai vannak. Antiepilepsziás gyógyszerekkel, például lakozamiddal, kezelt néhány betegnél önkárosító vagy öngyilkossági gondolatok fordultak elő. Ha Önnek bármikor ilyen gondolatai jelentkeznének, azonnal tájékoztassa kezelőorvosát.</w:t>
      </w:r>
    </w:p>
    <w:p w14:paraId="650C1433" w14:textId="53DD318A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Önnek olyan szívbetegsége van, ami befolyásolja a szívverését és gyakran fordul elő Önnél lassú, gyors vagy szabálytalan szívverés (például AV-blokk, pitvarfibrilláció és pitvarlebegés).</w:t>
      </w:r>
    </w:p>
    <w:p w14:paraId="1B6FC3A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súlyos szívbetegségben, például szívelégtelenségben szenved vagy volt már szívrohama.</w:t>
      </w:r>
    </w:p>
    <w:p w14:paraId="29B13FA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 gyakran szédül vagy elesik. A Lacosamide Grindeks szédülést okozhat, ami fokozhatja a baleseti sérülés vagy az elesés kockázatát. Emiatt elővigyázatosnak kell lennie mindaddig, amíg nem ismeri jól a gyógyszer esetleges ilyen hatásait.</w:t>
      </w:r>
    </w:p>
    <w:p w14:paraId="0FE296D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érvényes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02C0CAE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Lacosamide Grindeks-et szed, és újfajta görcsrohamokat vagy a görcsrohamok rosszabbodását tapasztalja, beszéljen kezelőorvosával.</w:t>
      </w:r>
    </w:p>
    <w:p w14:paraId="39341CB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Lacosamide Grindeks-et szed, és szabálytalan szívverés tüneteit tapasztalja (például lassú, gyors vagy szabálytalan szívverés, szívdobogásérzés, légszomj, szédülés, ájulás) azonnal forduljon orvoshoz (lásd 4. pont).</w:t>
      </w:r>
    </w:p>
    <w:p w14:paraId="1F3E5F7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6E03D0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Gyermekek</w:t>
      </w:r>
    </w:p>
    <w:p w14:paraId="5393151B" w14:textId="67C26A79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alkalmazása 2 évesnél fiatalabb, </w:t>
      </w:r>
      <w:r w:rsidR="00681B9E">
        <w:rPr>
          <w:rFonts w:ascii="Times New Roman" w:eastAsia="Calibri" w:hAnsi="Times New Roman" w:cs="Times New Roman"/>
          <w:kern w:val="0"/>
          <w14:ligatures w14:val="none"/>
        </w:rPr>
        <w:t>parciális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görcsrohamokkal járó epilepsziában szenvedő, valamint 4 évesnél fiatalabb elsődleges generalizált tónusos-klónusos görcsrohamokban szenvedő gyermekek kezelésére nem javasolt. Ennek az az oka, hogy még nem ismert a Lacosamide Grindeks hatásossága és biztonságossága az ilyen korú gyermekek esetében.</w:t>
      </w:r>
    </w:p>
    <w:p w14:paraId="4C9D908A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3BECEE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Egyéb gyógyszerek és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</w:p>
    <w:p w14:paraId="5A146CC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Feltétlenül tájékoztassa kezelőorvosát vagy gyógyszerészét a jelenleg vagy nemrégiben szedett, valamint szedni tervezett egyéb gyógyszereiről.</w:t>
      </w:r>
    </w:p>
    <w:p w14:paraId="5C9DE79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0CB12E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Különösen fontos, hogy tájékoztassa kezelőorvosát vagy gyógyszerészét, ha az alábbi, szívre ható gyógyszerek bármelyikét szedi. Erre azért van szükség, mert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lakozamid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is hatással van a szívműködésre:</w:t>
      </w:r>
    </w:p>
    <w:p w14:paraId="79A2045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szívproblémák kezelésére szolgáló gyógyszerek;</w:t>
      </w:r>
    </w:p>
    <w:p w14:paraId="578D22D8" w14:textId="483570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olyan gyógyszerek, melyek EKG- (szív-elektrokardiogram-) vizsgálattal kimutatható elváltozást, úgynevezett megnyúlt PR-távolságot okozhatnak, mint például az epilepszia vagy </w:t>
      </w:r>
      <w:r w:rsidR="00BF1EC7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fájdalom kezelésére alkalmazott karbamazepin, lamotrigin, pregabalin;</w:t>
      </w:r>
    </w:p>
    <w:p w14:paraId="5C7E9CF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szívritmuszavar vagy a szívelégtelenség bizonyos típusainak kezelésére szolgáló gyógyszerek.</w:t>
      </w:r>
    </w:p>
    <w:p w14:paraId="0057E00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érvényes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46397C6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6654BF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Arról is tájékoztassa kezelőorvosát vagy gyógyszerészét, ha az alábbi gyógyszerek bármelyikét szedi. Ez azért szükséges, mert ezek a gyógyszerek gyengíthetik, vagy erősíthetik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szervezetére gyakorolt hatását:</w:t>
      </w:r>
    </w:p>
    <w:p w14:paraId="171F0EFB" w14:textId="287BA104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lastRenderedPageBreak/>
        <w:t>gombás fertőzések kezelésére alkalmazott gyógyszerek, például flukonazol, itrakonazol vagy ketokonazol;</w:t>
      </w:r>
    </w:p>
    <w:p w14:paraId="1D8E7007" w14:textId="29DCD000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HIV-fertőzés kezelésére alkalmazott gyógyszer, például ritonavir;</w:t>
      </w:r>
    </w:p>
    <w:p w14:paraId="7C6C82E6" w14:textId="172456A9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bakteriális fertőzések kezelésére alkalmazott gyógyszerek, például klaritromicin, rifampicin;</w:t>
      </w:r>
    </w:p>
    <w:p w14:paraId="69E6A0E5" w14:textId="681D4FE2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enyhe szorongás és depresszió kezelésére alkalmazott gyógynövénytartalmú készítmény, a közönséges orbáncfű</w:t>
      </w:r>
      <w:r w:rsidR="00BF1EC7" w:rsidRPr="00BF1EC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="00BF1EC7" w:rsidRPr="0043030C">
        <w:rPr>
          <w:rFonts w:ascii="Times New Roman" w:eastAsia="Calibri" w:hAnsi="Times New Roman" w:cs="Times New Roman"/>
          <w:color w:val="000000"/>
          <w:kern w:val="0"/>
          <w14:ligatures w14:val="none"/>
        </w:rPr>
        <w:t>(</w:t>
      </w:r>
      <w:r w:rsidR="00661FD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latinul: </w:t>
      </w:r>
      <w:r w:rsidR="00BF1EC7" w:rsidRPr="0043030C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>Hypericum perforatum</w:t>
      </w:r>
      <w:r w:rsidR="00BF1EC7" w:rsidRPr="0043030C">
        <w:rPr>
          <w:rFonts w:ascii="Times New Roman" w:eastAsia="Calibri" w:hAnsi="Times New Roman" w:cs="Times New Roman"/>
          <w:color w:val="000000"/>
          <w:kern w:val="0"/>
          <w14:ligatures w14:val="none"/>
        </w:rPr>
        <w:t>)</w:t>
      </w:r>
      <w:r w:rsidR="00BF1EC7">
        <w:rPr>
          <w:rFonts w:ascii="Times New Roman" w:eastAsia="Calibri" w:hAnsi="Times New Roman" w:cs="Times New Roman"/>
          <w:color w:val="000000"/>
          <w:kern w:val="0"/>
          <w14:ligatures w14:val="none"/>
        </w:rPr>
        <w:t>.</w:t>
      </w:r>
    </w:p>
    <w:p w14:paraId="4FB76E6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vonatkozik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4B13068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3EE9A8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Az alkohol hatása a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Lacosamide Grindeks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-re</w:t>
      </w:r>
    </w:p>
    <w:p w14:paraId="63ABD276" w14:textId="478E7DAC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Elővigyázatosságból ne fogyasszon alkoholt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="00BF1EC7">
        <w:rPr>
          <w:rFonts w:ascii="Times New Roman" w:eastAsia="Calibri" w:hAnsi="Times New Roman" w:cs="Times New Roman"/>
          <w:bCs/>
          <w:kern w:val="0"/>
          <w14:ligatures w14:val="none"/>
        </w:rPr>
        <w:t>-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kezelés alatt.</w:t>
      </w:r>
    </w:p>
    <w:p w14:paraId="51B5DE6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921A74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Terhesség és szoptatás</w:t>
      </w:r>
    </w:p>
    <w:p w14:paraId="2B1A24E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A fogamzóképes nőknek meg kell beszélniük a kezelőorvossal a fogamzásgátlók alkalmazását.</w:t>
      </w:r>
    </w:p>
    <w:p w14:paraId="2507A0C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0AF650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Ön terhes vagy szoptat, illetve ha fennáll Önnél a terhesség lehetősége vagy gyermeket szeretne, a gyógyszer szedése előtt beszéljen kezelőorvosával vagy gyógyszerészével.</w:t>
      </w:r>
    </w:p>
    <w:p w14:paraId="53C3B7FA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675C405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alkalmazása terhesség ideje alatt nem ajánlott, mivel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terhességre és a születendő gyermekre gyakorolt hatásai nem ismertek.</w:t>
      </w:r>
    </w:p>
    <w:p w14:paraId="3EEDB142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Lacosamide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alatt nem ajánlott gyermekét szoptatni, mivel a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bejut-e az anyatejbe.</w:t>
      </w:r>
    </w:p>
    <w:p w14:paraId="3FB608B8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Azonnal mondja el kezelőorvosának, ha Ön terhes vagy gyermeket szeretne; kezelőorvosa fogja eldönteni, hogy szedheti-e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Grindeks-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et.</w:t>
      </w:r>
    </w:p>
    <w:p w14:paraId="45794938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8FAC30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hagyja abba a kezelést anélkül, hogy először kezelőorvosával megbeszélné azt, mivel ez fokozhatja a görcsrohamait. Betegségének romlása is káros hatással lehet a magzatra.</w:t>
      </w:r>
    </w:p>
    <w:p w14:paraId="2718F40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355AC0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készítmény hatásai a gépjárművezetéshez és a gépek kezeléséhez szükséges képességekre</w:t>
      </w:r>
    </w:p>
    <w:p w14:paraId="08B4231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Ne vezessen gépjárművet, ne kerékpározzon vagy ne kezeljen semmilyen eszközt vagy gépet, amíg nem tudja, hogyan hat Önre ez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gyógyszer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. Erre azért van szükség, mert a </w:t>
      </w:r>
      <w:bookmarkStart w:id="0" w:name="_Hlk205283118"/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 w:rsidDel="00A07D68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bookmarkEnd w:id="0"/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szédülést vagy látászavart okozhat.</w:t>
      </w:r>
    </w:p>
    <w:p w14:paraId="111E6E6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77ED9A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871FC7A" w14:textId="407810E4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3.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Hogyan kell szedni a Lacosamide Grindeks-</w:t>
      </w:r>
      <w:r w:rsidR="00970729">
        <w:rPr>
          <w:rFonts w:ascii="Times New Roman" w:eastAsia="Calibri" w:hAnsi="Times New Roman" w:cs="Times New Roman"/>
          <w:b/>
          <w:bCs/>
          <w:kern w:val="0"/>
          <w14:ligatures w14:val="none"/>
        </w:rPr>
        <w:t>e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t?</w:t>
      </w:r>
    </w:p>
    <w:p w14:paraId="07EFA19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F16424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gyógyszert mindig a kezelőorvosa vagy gyógyszerésze által elmondottaknak megfelelően szedje. Amennyiben nem biztos abban, hogy hogyan alkalmazza a gyógyszert, kérdezze meg kezelőorvosát vagy gyógyszerészét. Gyermekek kezelésére a lakozamid más gyógyszerformái alkalmasabbak lehetnek, kérdezze meg erről kezelőorvosát vagy gyógyszerészét.</w:t>
      </w:r>
    </w:p>
    <w:p w14:paraId="63FA126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BA2085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Lacosamide Grindeks alkalmazása</w:t>
      </w:r>
    </w:p>
    <w:p w14:paraId="6226A72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naponta kétszer vegye be, körülbelül 12 órás időközzel.</w:t>
      </w:r>
    </w:p>
    <w:p w14:paraId="7FE864A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Lehetőleg minden nap ugyanabban az időpontban alkalmazza.</w:t>
      </w:r>
    </w:p>
    <w:p w14:paraId="116B404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filmtablettát egy pohár vízzel nyelje le.</w:t>
      </w:r>
    </w:p>
    <w:p w14:paraId="5A8EA2C3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beveheti étkezés közben vagy attól függetlenül is.</w:t>
      </w:r>
    </w:p>
    <w:p w14:paraId="2D06F60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F19F0B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Ön a kezelést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 kis adagjával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fogja elkezdeni, majd kezelőorvosa néhány hétig fokozatosan növelni fogja az adagot. Miután elérte az Önnek megfelelő adagot, amit „fenntartó adagnak” neveznek, azt követően Önnek minden nap ugyanazt a mennyiséget kell bevennie.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-et hosszú távú kezelésként alkalmazzák.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szedését addig folytassa, amíg kezelőorvosa azt nem mondja, hogy hagyja abba.</w:t>
      </w:r>
    </w:p>
    <w:p w14:paraId="21348BD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E4F47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Mennyit kell bevenni?</w:t>
      </w:r>
    </w:p>
    <w:p w14:paraId="2584739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Az alábbiakban felsorolásra kerülnek a különböző korcsoportokra és testtömegekre vonatkozó, általánosan javasolt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-adagok.</w:t>
      </w:r>
    </w:p>
    <w:p w14:paraId="6554595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ettől eltérő adagot is felírhat, amennyiben Önnek vesebetegsége vagy májbetegsége van.</w:t>
      </w:r>
    </w:p>
    <w:p w14:paraId="6FF3B8B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4013B9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Serdülők és 50 kg vagy annál nagyobb testtömegű gyermekek, valamint felnőttek</w:t>
      </w:r>
    </w:p>
    <w:p w14:paraId="6E57C8E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Ha az epilepszia kezelésére Ön kizárólag a </w:t>
      </w:r>
      <w:r w:rsidRPr="00F83A7F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-et szedi</w:t>
      </w:r>
    </w:p>
    <w:p w14:paraId="38C21C0E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szokásos kezdő adagja naponta kétszer 50 mg.</w:t>
      </w:r>
    </w:p>
    <w:p w14:paraId="09BB2778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utasítására a Lacosamide Grindeks kezdő adagja naponta kétszer 100 mg is lehet.</w:t>
      </w:r>
    </w:p>
    <w:p w14:paraId="6BE5ED06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hetente 50 mg-mal megemelheti az Ön napi adagját, amíg Ön el nem éri a napi kétszeri 100 mg és 300 mg közötti, úgynevezett fenntartó adagot.</w:t>
      </w:r>
    </w:p>
    <w:p w14:paraId="6EC2F57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850B56B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Ha Ön a </w:t>
      </w:r>
      <w:r w:rsidRPr="00F83A7F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-et más antiepilepsziás gyógyszerrel együtt szedi</w:t>
      </w:r>
    </w:p>
    <w:p w14:paraId="5B4CB132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szokásos kezdő adagja naponta kétszer 50 mg.</w:t>
      </w:r>
    </w:p>
    <w:p w14:paraId="2836B783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megemelheti az Ön napi adagját hetente 50 mg-mal, amíg Ön el nem éri a napi kétszeri 100 mg és 200 mg közötti, úgynevezett fenntartó adagot.</w:t>
      </w:r>
    </w:p>
    <w:p w14:paraId="562AE917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Amennyiben az Ön testtömege 50 kg vagy annál nagyobb, kezelőorvosa dönthet úgy, hogy a Lacosamide Grindeks-kezelést egyetlen, 200 mg-os „telítő” adaggal kezdi, amelyet körülbelül 12 órával később fenntartó adagolás elindítása követ.</w:t>
      </w:r>
    </w:p>
    <w:p w14:paraId="473D02A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A9B9EB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50 kg-nál kisebb testtömegű gyermekek és serdülők</w:t>
      </w:r>
    </w:p>
    <w:p w14:paraId="0F2437A9" w14:textId="592CD9C3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A </w:t>
      </w:r>
      <w:r w:rsidR="00F81323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parciális </w:t>
      </w: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rohamok kezelésében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Figyelembe kell venni, hogy a Lacosamid Grindeks nem ajánlott 2 évesnél fiatalabb gyermekek számára.</w:t>
      </w:r>
    </w:p>
    <w:p w14:paraId="7B7800D1" w14:textId="28AAED00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Az elsődleges generalizált tónusos-klón</w:t>
      </w:r>
      <w:r w:rsidR="00F81323">
        <w:rPr>
          <w:rFonts w:ascii="Times New Roman" w:eastAsia="Calibri" w:hAnsi="Times New Roman" w:cs="Times New Roman"/>
          <w:i/>
          <w:iCs/>
          <w:kern w:val="0"/>
          <w14:ligatures w14:val="none"/>
        </w:rPr>
        <w:t>usos</w:t>
      </w: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rohamok kezelésében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Figyelembe kell venni, hogy a Lacosamid Grindeks nem ajánlott 4 évesnél fiatalabb gyermekek számára.</w:t>
      </w:r>
    </w:p>
    <w:p w14:paraId="45C45B7E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adag a testtömegtől függ. Általában lakozamid sziruppal fogják a kezelést kezdeni, és csak akkor fognak tablettára váltani, ha a betegek azt be tudják venni, és a különböző hatáserősségű tablettákkal be tudják állítani a megfelelő adagot. A kezelőorvos a leginkább megfelelő gyógyszerformát fogja felírni.</w:t>
      </w:r>
    </w:p>
    <w:p w14:paraId="18F6DD7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9C1A1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Ha az előírtnál több Lacosamide Grindeks-et vett be</w:t>
      </w:r>
    </w:p>
    <w:p w14:paraId="6CA2C79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Azonnal forduljon kezelőorvosához, ha az előírtnál több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Grindeks-et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vett be. Ne vezessen gépjárművet. A következőket tapasztalhatja:</w:t>
      </w:r>
    </w:p>
    <w:p w14:paraId="3BCFCBC4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szédülés,</w:t>
      </w:r>
    </w:p>
    <w:p w14:paraId="2DC8E4D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hányinger vagy hányás,</w:t>
      </w:r>
    </w:p>
    <w:p w14:paraId="0F00B0C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görcsök (görcsrohamok), szívritmuszavarok, például lassú, gyors vagy szabálytalan szívverés, kóma vagy szapora szívveréssel és verejtékezéssel járó vérnyomásesés.</w:t>
      </w:r>
    </w:p>
    <w:p w14:paraId="288A888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5A377E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Ha elfelejtette bevenni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Grindeks-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et</w:t>
      </w:r>
    </w:p>
    <w:p w14:paraId="4B3BDE3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kevesebb mint 6 óra telt el azóta, hogy be kellett volna vennie a Lacosamide Grindeks-et, azonnal vegye be, amint eszébe jut.</w:t>
      </w:r>
    </w:p>
    <w:p w14:paraId="52C8C323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több mint 6 óra telt el azóta, hogy be kellett volna vennie a Lacosamide Grindeks-et, akkor a kihagyott tablettát ne vegye be. A Lacosamide Grindeks-et csak a következő előírt időpontban vegye be.</w:t>
      </w:r>
    </w:p>
    <w:p w14:paraId="7AF309C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vegyen be kétszeres adagot a kihagyott adag pótlására.</w:t>
      </w:r>
    </w:p>
    <w:p w14:paraId="58CAFEF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EA53F1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Ha idő előtt abbahagyja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szedését</w:t>
      </w:r>
    </w:p>
    <w:p w14:paraId="2472805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hagyja abba a Lacosamide Grindeks szedését anélkül, hogy azt kezelőorvosával megbeszélné, mivel az epilepsziája visszatérhet vagy súlyosbodhat.</w:t>
      </w:r>
    </w:p>
    <w:p w14:paraId="57B276E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kezelőorvosa úgy dönt, hogy leállítja az Ön Lacosamide Grindeks-kezelését, tájékoztatni fogja Önt arról, hogyan csökkentheti az adagot fokozatosan.</w:t>
      </w:r>
    </w:p>
    <w:p w14:paraId="74893C7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FE156F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bármilyen további kérdése van a gyógyszer alkalmazásával kapcsolatban, kérdezze meg kezelőorvosát vagy gyógyszerészét.</w:t>
      </w:r>
    </w:p>
    <w:p w14:paraId="12D1B1A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197F89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E281B1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4.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Lehetséges mellékhatások</w:t>
      </w:r>
    </w:p>
    <w:p w14:paraId="33A4D6B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5CEFB2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Mint minden gyógyszer, így ez a gyógyszer is okozhat mellékhatásokat, amelyek azonban nem mindenkinél jelentkeznek.</w:t>
      </w:r>
    </w:p>
    <w:p w14:paraId="0085257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EFAFF1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lastRenderedPageBreak/>
        <w:t>Az idegrendszeri mellékhatások, például a szédülés, „telítő” adag alkalmazása után gyakrabban fordulhatnak elő.</w:t>
      </w:r>
    </w:p>
    <w:p w14:paraId="4E195D1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E16109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Tájékoztassa kezelőorvosát vagy gyógyszerészét, amennyiben az alábbi tünetek bármelyikét észleli:</w:t>
      </w:r>
    </w:p>
    <w:p w14:paraId="6F884EE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B487F3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Nagyon 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mellékhatások: 10 betegből több, mint 1 beteget érinthet </w:t>
      </w:r>
    </w:p>
    <w:p w14:paraId="07442AF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fejfájás;</w:t>
      </w:r>
    </w:p>
    <w:p w14:paraId="5D31B12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 vagy hányinger;</w:t>
      </w:r>
    </w:p>
    <w:p w14:paraId="56661A6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kettőslátás (diplopia).</w:t>
      </w:r>
    </w:p>
    <w:p w14:paraId="2610D21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57A36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mellékhatások: 10 betegből legfeljebb 1 beteget érinthet</w:t>
      </w:r>
    </w:p>
    <w:p w14:paraId="332570D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izmok vagy izomcsoportok rövid rángása (mioklónusos görcsrohamok);</w:t>
      </w:r>
    </w:p>
    <w:p w14:paraId="3E673689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mozgások vagy a járás összehangolásának nehézsége;</w:t>
      </w:r>
    </w:p>
    <w:p w14:paraId="18A3E95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egyensúly megtartásával kapcsolatos problémák, remegés (tremor), bizsergés (paresztézia) vagy izomgörcsök, zúzódásokat eredményező gyakori elesés;</w:t>
      </w:r>
    </w:p>
    <w:p w14:paraId="633C1BC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memóriával, a gondolkodással kapcsolatos vagy szótalálási problémák, zavartság;</w:t>
      </w:r>
    </w:p>
    <w:p w14:paraId="140190D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gyors és nem kontrollálható szemmozgások (nisztagmus), homályos látás;</w:t>
      </w:r>
    </w:p>
    <w:p w14:paraId="1B1E0D6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forgó jellegű szédülés (vertigó), részegség érzése;</w:t>
      </w:r>
    </w:p>
    <w:p w14:paraId="6AF5E47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hányás, szájszárazság, székrekedés, emésztési zavar, túlzott gázképződés a gyomorban vagy a bélben, hasmenés;</w:t>
      </w:r>
    </w:p>
    <w:p w14:paraId="764A893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fonákérzés, csökkent érzékelés a bőrön, a szavak érthető kiejtésének zavara, figyelemzavar;</w:t>
      </w:r>
    </w:p>
    <w:p w14:paraId="247ED0AF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zaj a fülben, például zúgás, csengés vagy sípolás;</w:t>
      </w:r>
    </w:p>
    <w:p w14:paraId="30188AF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ingerlékenység, alvászavarok, depresszió;</w:t>
      </w:r>
    </w:p>
    <w:p w14:paraId="3898D55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álmosság, fáradtság vagy gyengeség (aszténia);</w:t>
      </w:r>
    </w:p>
    <w:p w14:paraId="5A3D44B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viszketés, bőrkiütés.</w:t>
      </w:r>
    </w:p>
    <w:p w14:paraId="7B831A9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F9F1BF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Nem 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mellékhatások: 100 betegből legfeljebb 1 beteget érinthet</w:t>
      </w:r>
    </w:p>
    <w:p w14:paraId="45FFE2B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lassú szívverés, szívdobogásérzés (palpitáció), szabálytalan pulzus vagy a szív elektromos aktivitásával kapcsolatos egyéb rendellenesség (ingerületvezetési zavar);</w:t>
      </w:r>
    </w:p>
    <w:p w14:paraId="04A94B3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emelkedett hangulat, nem létező dolgok látása és/vagy hallása;</w:t>
      </w:r>
    </w:p>
    <w:p w14:paraId="6DB65FE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 szedése okozta allergiás reakció, csalánkiütés;</w:t>
      </w:r>
    </w:p>
    <w:p w14:paraId="088B121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vérvizsgálatokkal kimutatható rendellenes májműködés, májkárosodás;</w:t>
      </w:r>
    </w:p>
    <w:p w14:paraId="5A41D41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öngyilkossági vagy önkárosító gondolatok vagy öngyilkossági kísérlet: ebben az esetben azonnal értesítse kezelőorvosát;</w:t>
      </w:r>
    </w:p>
    <w:p w14:paraId="2A72917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düh vagy izgatottság;</w:t>
      </w:r>
    </w:p>
    <w:p w14:paraId="08430F3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 gondolkodás vagy a valósággal való kapcsolat elvesztése;</w:t>
      </w:r>
    </w:p>
    <w:p w14:paraId="0FAAB4E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súlyos allergiás reakció, amely az arc, a torok, a kéz, a lábfej, a bokák vagy a lábszárak duzzanatát okozza;</w:t>
      </w:r>
    </w:p>
    <w:p w14:paraId="22EABD3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ájulás;</w:t>
      </w:r>
    </w:p>
    <w:p w14:paraId="2268A7E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 akaratlan mozgások (diszkinézia).</w:t>
      </w:r>
    </w:p>
    <w:p w14:paraId="23FE8EC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B943A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Nem ismert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gyakoriságú mellékhatások: a gyakoriság a rendelkezésre álló adatokból nem állapítható meg</w:t>
      </w:r>
    </w:p>
    <w:p w14:paraId="1965878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rendellenesen gyors szívverés (kamrai tahiarritmia);</w:t>
      </w:r>
    </w:p>
    <w:p w14:paraId="670D3DD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torokfájás, magas testhőmérséklet és a szokottnál gyakoribb fertőzések. A vérvizsgálatok bizonyos típusú fehérvérsejtek számának súlyos csökkenését (agranulocitózis) mutathatják;</w:t>
      </w:r>
    </w:p>
    <w:p w14:paraId="020ABF0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súlyos bőrreakció, amely magas testhőmérséklettel és egyéb influenzaszerű tünetekkel, az arcon jelentkező bőrkiütéssel, kiterjedt bőrkiütéssel, duzzadt mirigyekkel (nyirokcsomók duzzanatával) járhat. A vérvizsgálatok a májenzimek szintjének emelkedését és bizonyos típusú fehérvérsejtek számának növekedését (eozinofília) mutathatják;</w:t>
      </w:r>
    </w:p>
    <w:p w14:paraId="714FE39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kiterjedt bőrkiütés hólyagokkal és hámló bőrrel, főként a száj, az orr, a szem és a nemi szervek körül (Stevens–Johnson-szindróma), és ennek egy súlyosabb formája, amely a testfelület több mint 30%-án okoz bőrhámlást (toxikus epidermális nekrolízis);</w:t>
      </w:r>
    </w:p>
    <w:p w14:paraId="20DABC2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görcsroham.</w:t>
      </w:r>
    </w:p>
    <w:p w14:paraId="026FDEE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8C653F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További mellékhatások gyermekeknél</w:t>
      </w:r>
    </w:p>
    <w:p w14:paraId="0B90696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gyermekeknél előforduló további mellékhatások a következők voltak: láz (pirexia), orrfolyás (orrgaratgyulladás), torokfájás (garatgyulladás), a szokásosnál kevesebb étel fogyasztása (csökkent étvágy), viselkedésbeli változás, úgy viselkedik, mintha nem önmaga lenne (rendellenes viselkedés) és energiahiány (letargia). Az álmosság érzése (aluszékonyság) nagyon gyakori mellékhatás gyermekeknél, és 10-ből több mint 1 gyermeket érinthet.</w:t>
      </w:r>
    </w:p>
    <w:p w14:paraId="3E294FA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E126A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Mellékhatások bejelentése</w:t>
      </w:r>
    </w:p>
    <w:p w14:paraId="45940F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hyperlink w:history="1">
        <w:r w:rsidRPr="004B342C">
          <w:rPr>
            <w:rFonts w:ascii="Times New Roman" w:eastAsia="Calibri" w:hAnsi="Times New Roman" w:cs="Times New Roman"/>
            <w:color w:val="0000FF"/>
            <w:kern w:val="0"/>
            <w:highlight w:val="lightGray"/>
            <w:u w:val="single"/>
            <w14:ligatures w14:val="none"/>
          </w:rPr>
          <w:t>V. függelékben</w:t>
        </w:r>
      </w:hyperlink>
      <w:r w:rsidRPr="004B342C">
        <w:rPr>
          <w:rFonts w:ascii="Times New Roman" w:eastAsia="Calibri" w:hAnsi="Times New Roman" w:cs="Times New Roman"/>
          <w:kern w:val="0"/>
          <w:highlight w:val="lightGray"/>
          <w14:ligatures w14:val="none"/>
        </w:rPr>
        <w:t xml:space="preserve"> található elérhetőségeken keresztül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. A mellékhatások bejelentésével Ön is hozzájárulhat ahhoz, hogy minél több információ álljon rendelkezésre a gyógyszer biztonságos alkalmazásával kapcsolatban.</w:t>
      </w:r>
    </w:p>
    <w:p w14:paraId="5C2F54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ED5768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E30A6AD" w14:textId="4052E6B3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5.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 xml:space="preserve">Hogyan kell a 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Grindeks-</w:t>
      </w:r>
      <w:r w:rsidR="000E2FC0">
        <w:rPr>
          <w:rFonts w:ascii="Times New Roman" w:eastAsia="Calibri" w:hAnsi="Times New Roman" w:cs="Times New Roman"/>
          <w:b/>
          <w:bCs/>
          <w:kern w:val="0"/>
          <w14:ligatures w14:val="none"/>
        </w:rPr>
        <w:t>e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 tárolni?</w:t>
      </w:r>
    </w:p>
    <w:p w14:paraId="2B773D4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8776F9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 gyermekektől elzárva tartandó!</w:t>
      </w:r>
    </w:p>
    <w:p w14:paraId="3900CBA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925AD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dobozon és a buborékcsomagoláson feltüntetett lejárati idő után ne alkalmazza ezt a gyógyszert. A lejárati idő az adott hónap utolsó napjára vonatkozik.</w:t>
      </w:r>
    </w:p>
    <w:p w14:paraId="7FB34C9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90DE3E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Ez a gyógyszer nem igényel különleges tárolást.</w:t>
      </w:r>
    </w:p>
    <w:p w14:paraId="67D1A06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00345F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89FF79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BE9194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87B2A4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6.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A csomagolás tartalma és egyéb információk</w:t>
      </w:r>
    </w:p>
    <w:p w14:paraId="2810F6A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DD4167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Mit tartalmaz a 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?</w:t>
      </w:r>
    </w:p>
    <w:p w14:paraId="3C6E1E2F" w14:textId="77777777" w:rsidR="00B305FD" w:rsidRPr="00F83A7F" w:rsidRDefault="00B305FD" w:rsidP="004B342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készítmény hatóanyaga a lakozamid.</w:t>
      </w:r>
    </w:p>
    <w:p w14:paraId="6788B3D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Lacosamide Grindeks 50 mg filmtabletta: 50 mg lakozamidot tartalmaz filmtablettánként.</w:t>
      </w:r>
    </w:p>
    <w:p w14:paraId="0267EC8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Lacosamide Grindeks 100 mg filmtabletta: 100 mg lakozamidot tartalmaz filmtablettánként.</w:t>
      </w:r>
    </w:p>
    <w:p w14:paraId="67E93A4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150 mg filmtabletta: 150 mg lakozamidot tartalmaz filmtablettánként.</w:t>
      </w:r>
    </w:p>
    <w:p w14:paraId="796D83B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200 mg filmtabletta: 200 mg lakozamidot tartalmaz filmtablettánként.</w:t>
      </w:r>
    </w:p>
    <w:p w14:paraId="7963171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979A0E6" w14:textId="77777777" w:rsidR="00B305FD" w:rsidRPr="00F83A7F" w:rsidRDefault="00B305FD" w:rsidP="004B342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Egyéb összetevők:</w:t>
      </w:r>
    </w:p>
    <w:p w14:paraId="7A1E85C5" w14:textId="0A6E30F4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:u w:val="single"/>
          <w14:ligatures w14:val="none"/>
        </w:rPr>
        <w:t>Tablettamag: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mikrokristályos cellulóz, alacsony szubsztitúciós fokú hidroxipropilcellulóz, hidroxipropilcellulóz szilikátos mikrokristályos cellulóz (mikrokristályos cellulóz, vízmentes kolloid szilícium-dioxid), kroszpovidon, magnézium-sztearát.</w:t>
      </w:r>
    </w:p>
    <w:p w14:paraId="7FFEDE2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F9EA89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:u w:val="single"/>
          <w14:ligatures w14:val="none"/>
        </w:rPr>
        <w:t>Filmbevonat:</w:t>
      </w:r>
    </w:p>
    <w:p w14:paraId="34B6518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50 mg filmtabletta</w:t>
      </w:r>
    </w:p>
    <w:p w14:paraId="60001C3A" w14:textId="6A68A560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</w:t>
      </w:r>
      <w:r w:rsidR="0019060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talkum, kalcium-karbonát, glicerin-monokaprilokaprinát, poli(vinil-alkohol), vörös vas-oxid (E172)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kármin (E120), indigókármin alumínium lakk (E132)</w:t>
      </w:r>
    </w:p>
    <w:p w14:paraId="7F47BDF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E4F0E2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100 mg filmtabletta</w:t>
      </w:r>
    </w:p>
    <w:p w14:paraId="39DF108A" w14:textId="7A3736C3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</w:t>
      </w:r>
      <w:r w:rsidR="0019060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talkum, kalcium-karbonát, glicerin-monokaprilokaprinát, poli(vinil-alkohol), sárga vas-oxid (E172)</w:t>
      </w:r>
    </w:p>
    <w:p w14:paraId="3D8A494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D2A567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150 mg filmtabletta</w:t>
      </w:r>
    </w:p>
    <w:p w14:paraId="466913CC" w14:textId="4F2C7AFF" w:rsidR="00B305FD" w:rsidRPr="004B342C" w:rsidRDefault="00B305FD" w:rsidP="005777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makrogol-poli(vinil-alkohol) fésűs kopolimer, talkum, kalcium-karbonát, glicerin-monokaprilokaprinát, poli(vinil-alkohol), 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>vörös</w:t>
      </w:r>
      <w:r w:rsidR="0057771C"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vas-oxid (E172)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 xml:space="preserve">, fekete </w:t>
      </w:r>
      <w:r w:rsidR="0057771C" w:rsidRPr="004B342C">
        <w:rPr>
          <w:rFonts w:ascii="Times New Roman" w:eastAsia="Calibri" w:hAnsi="Times New Roman" w:cs="Times New Roman"/>
          <w:kern w:val="0"/>
          <w14:ligatures w14:val="none"/>
        </w:rPr>
        <w:t>vas-oxid (E172)</w:t>
      </w:r>
    </w:p>
    <w:p w14:paraId="48294B8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34372C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200 mg filmtabletta</w:t>
      </w:r>
    </w:p>
    <w:p w14:paraId="7D96217D" w14:textId="3F74D692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kopolimer, talkum, kalcium-karbonát, glicerin-monokaprilokaprinát, poli(vinil-alkohol), indigókármin alumínium lakk (E132).</w:t>
      </w:r>
    </w:p>
    <w:p w14:paraId="038FAE6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A23425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a Lacosamide Grindeks külleme és mit tartalmaz a csomagolás?</w:t>
      </w:r>
    </w:p>
    <w:p w14:paraId="75B607E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50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Halvány vagy világos rózsaszín, hosszúkás, mindkét oldalán domború filmtabletta, egyik oldalán mélynyomású „50” jelöléssel. A tabletta mérete 10,5 mm × 4,9 mm.</w:t>
      </w:r>
    </w:p>
    <w:p w14:paraId="63594CFB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100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Sárga, hosszúkás, mindkét oldalán domború filmtabletta, egyik oldalán mélynyomású „100” jelöléssel. A tabletta mérete 13,3 mm × 6,2 mm.</w:t>
      </w:r>
    </w:p>
    <w:p w14:paraId="73EB17F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150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Rózsaszín, hosszúkás, mindkét oldalán domború filmtabletta, egyik oldalán mélynyomású „150” jelöléssel. A tabletta mérete 15,4 mm × 7,1 mm.</w:t>
      </w:r>
    </w:p>
    <w:p w14:paraId="1D03565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200 mg filmtabletta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Világoskék vagy kék, hosszúkás, mindkét oldalán domború filmtabletta, egyik oldalán mélynyomású „200” jelöléssel. A tabletta mérete 16,8 mm × 7,8 mm.</w:t>
      </w:r>
    </w:p>
    <w:p w14:paraId="2413375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03FF81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50 mg és 100 mg filmtabletta</w:t>
      </w:r>
    </w:p>
    <w:p w14:paraId="011DC6F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14 db, 56 db vagy 168 db filmtabletta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PVC/PVDC//Al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vagy OPA/Al/PVC//Al buborékcsomagolásban és dobozban.</w:t>
      </w:r>
    </w:p>
    <w:p w14:paraId="6E66396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2B44E0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 mg és 200 mg filmtabletta</w:t>
      </w:r>
    </w:p>
    <w:p w14:paraId="3A223770" w14:textId="005864E0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56 db</w:t>
      </w:r>
      <w:r w:rsidR="009030FF">
        <w:rPr>
          <w:rFonts w:ascii="Times New Roman" w:eastAsia="Calibri" w:hAnsi="Times New Roman" w:cs="Times New Roman"/>
          <w:kern w:val="0"/>
          <w14:ligatures w14:val="none"/>
        </w:rPr>
        <w:t xml:space="preserve"> vagy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168 db filmtabletta</w:t>
      </w:r>
      <w:r w:rsidR="009030FF">
        <w:rPr>
          <w:rFonts w:ascii="Times New Roman" w:eastAsia="Calibri" w:hAnsi="Times New Roman" w:cs="Times New Roman"/>
          <w:kern w:val="0"/>
          <w14:ligatures w14:val="none"/>
        </w:rPr>
        <w:t>,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vagy 168 db-os gyűjtőcsomagolás (3 doboz 56 db filmtablettát tartalmazó csomagolás)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PVC/PVDC//Al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vagy OPA/Al/PVC//Al buborékcsomagolásban és dobozban.</w:t>
      </w:r>
    </w:p>
    <w:p w14:paraId="4DB595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A41030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Nem feltétlenül mindegyik kiszerelés kerül kereskedelmi forgalomba.</w:t>
      </w:r>
    </w:p>
    <w:p w14:paraId="3B1E4C2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45B825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A forgalomba hozatali engedély jogosultja</w:t>
      </w:r>
    </w:p>
    <w:p w14:paraId="15A493E9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AS GRINDEKS</w:t>
      </w:r>
    </w:p>
    <w:p w14:paraId="65CB039F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Krustpils iela 53, </w:t>
      </w:r>
    </w:p>
    <w:p w14:paraId="3856CA85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Rīga, LV-1057, </w:t>
      </w:r>
    </w:p>
    <w:p w14:paraId="74A42F66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Lettország</w:t>
      </w:r>
    </w:p>
    <w:p w14:paraId="59BB492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0F222A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Gyártó</w:t>
      </w:r>
    </w:p>
    <w:p w14:paraId="64273C9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SIEGFRIED BARBERA, S.L.</w:t>
      </w:r>
    </w:p>
    <w:p w14:paraId="504BB52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Ronda de Santa Maria, 158</w:t>
      </w:r>
    </w:p>
    <w:p w14:paraId="0372B2F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08210 BARBERÀ DEL VALLÈS (Barcelona)</w:t>
      </w:r>
    </w:p>
    <w:p w14:paraId="6247FD2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highlight w:val="yellow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Spanyolország</w:t>
      </w:r>
    </w:p>
    <w:p w14:paraId="7EC88C9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highlight w:val="yellow"/>
          <w14:ligatures w14:val="none"/>
        </w:rPr>
      </w:pPr>
    </w:p>
    <w:p w14:paraId="6EC5CC73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AS GRINDEKS</w:t>
      </w:r>
    </w:p>
    <w:p w14:paraId="35414B18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Krustpils iela 53, </w:t>
      </w:r>
    </w:p>
    <w:p w14:paraId="24EAA02D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Rīga, LV-1057, </w:t>
      </w:r>
    </w:p>
    <w:p w14:paraId="580FAAA0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Lettország</w:t>
      </w:r>
    </w:p>
    <w:p w14:paraId="6C11928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92EBC5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Ezt a gyógyszert az Európai Gazdasági Térség tagállamaiban az alábbi neveken engedélyezték:</w:t>
      </w:r>
    </w:p>
    <w:tbl>
      <w:tblPr>
        <w:tblW w:w="942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4"/>
        <w:gridCol w:w="6662"/>
      </w:tblGrid>
      <w:tr w:rsidR="00B305FD" w:rsidRPr="004B342C" w14:paraId="1F824B40" w14:textId="77777777" w:rsidTr="00406882">
        <w:tc>
          <w:tcPr>
            <w:tcW w:w="2764" w:type="dxa"/>
          </w:tcPr>
          <w:p w14:paraId="10FC9FD7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Ausztria, Németország</w:t>
            </w:r>
          </w:p>
        </w:tc>
        <w:tc>
          <w:tcPr>
            <w:tcW w:w="6662" w:type="dxa"/>
          </w:tcPr>
          <w:p w14:paraId="468CB82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 Grindeks 50 mg, 100 mg, 150 mg, 200 mg Filmtabletten</w:t>
            </w:r>
          </w:p>
        </w:tc>
      </w:tr>
      <w:tr w:rsidR="00B305FD" w:rsidRPr="004B342C" w14:paraId="38F87893" w14:textId="77777777" w:rsidTr="00406882">
        <w:tc>
          <w:tcPr>
            <w:tcW w:w="2764" w:type="dxa"/>
          </w:tcPr>
          <w:p w14:paraId="648D92DD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Belgium</w:t>
            </w:r>
          </w:p>
        </w:tc>
        <w:tc>
          <w:tcPr>
            <w:tcW w:w="6662" w:type="dxa"/>
          </w:tcPr>
          <w:p w14:paraId="26482677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comprimés pelliculés</w:t>
            </w:r>
          </w:p>
        </w:tc>
      </w:tr>
      <w:tr w:rsidR="00B305FD" w:rsidRPr="004B342C" w14:paraId="6B122E40" w14:textId="77777777" w:rsidTr="00406882">
        <w:tc>
          <w:tcPr>
            <w:tcW w:w="2764" w:type="dxa"/>
          </w:tcPr>
          <w:p w14:paraId="2F3674F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Bulgária</w:t>
            </w:r>
          </w:p>
        </w:tc>
        <w:tc>
          <w:tcPr>
            <w:tcW w:w="6662" w:type="dxa"/>
          </w:tcPr>
          <w:p w14:paraId="5732389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Лакосамид Гриндекс 50 mg, 100 mg, 150 mg, 200 мг филмирани таблетки</w:t>
            </w:r>
          </w:p>
          <w:p w14:paraId="3CB0F0C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film-coated tablets</w:t>
            </w:r>
          </w:p>
        </w:tc>
      </w:tr>
      <w:tr w:rsidR="00B305FD" w:rsidRPr="004B342C" w14:paraId="0844363E" w14:textId="77777777" w:rsidTr="00406882">
        <w:tc>
          <w:tcPr>
            <w:tcW w:w="2764" w:type="dxa"/>
          </w:tcPr>
          <w:p w14:paraId="3385484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Csehország, Dánia, Észtország, Lengyelország, Olaszország, Norvégia</w:t>
            </w:r>
          </w:p>
        </w:tc>
        <w:tc>
          <w:tcPr>
            <w:tcW w:w="6662" w:type="dxa"/>
          </w:tcPr>
          <w:p w14:paraId="1B32D5E3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</w:t>
            </w:r>
          </w:p>
        </w:tc>
      </w:tr>
      <w:tr w:rsidR="00B305FD" w:rsidRPr="004B342C" w14:paraId="172F7F97" w14:textId="77777777" w:rsidTr="00406882">
        <w:tc>
          <w:tcPr>
            <w:tcW w:w="2764" w:type="dxa"/>
          </w:tcPr>
          <w:p w14:paraId="3BE194A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Finnország</w:t>
            </w:r>
          </w:p>
        </w:tc>
        <w:tc>
          <w:tcPr>
            <w:tcW w:w="6662" w:type="dxa"/>
          </w:tcPr>
          <w:p w14:paraId="5810CA5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kalvopäällysteiset tabletit</w:t>
            </w:r>
          </w:p>
        </w:tc>
      </w:tr>
      <w:tr w:rsidR="00B305FD" w:rsidRPr="004B342C" w14:paraId="4CA3C42C" w14:textId="77777777" w:rsidTr="00406882">
        <w:tc>
          <w:tcPr>
            <w:tcW w:w="2764" w:type="dxa"/>
          </w:tcPr>
          <w:p w14:paraId="143E93BB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lastRenderedPageBreak/>
              <w:t>Franciaország</w:t>
            </w:r>
          </w:p>
        </w:tc>
        <w:tc>
          <w:tcPr>
            <w:tcW w:w="6662" w:type="dxa"/>
          </w:tcPr>
          <w:p w14:paraId="3FB6388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mg, comprimé pelliculé</w:t>
            </w:r>
          </w:p>
        </w:tc>
      </w:tr>
      <w:tr w:rsidR="00B305FD" w:rsidRPr="004B342C" w14:paraId="5AFDE83C" w14:textId="77777777" w:rsidTr="00406882">
        <w:tc>
          <w:tcPr>
            <w:tcW w:w="2764" w:type="dxa"/>
          </w:tcPr>
          <w:p w14:paraId="41A9B51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Görögország</w:t>
            </w:r>
          </w:p>
        </w:tc>
        <w:tc>
          <w:tcPr>
            <w:tcW w:w="6662" w:type="dxa"/>
          </w:tcPr>
          <w:p w14:paraId="2695C6F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LACOSAMIDE/GRINDEKS</w:t>
            </w:r>
          </w:p>
        </w:tc>
      </w:tr>
      <w:tr w:rsidR="00B305FD" w:rsidRPr="004B342C" w14:paraId="3718BE42" w14:textId="77777777" w:rsidTr="00406882">
        <w:tc>
          <w:tcPr>
            <w:tcW w:w="2764" w:type="dxa"/>
          </w:tcPr>
          <w:p w14:paraId="59C33A16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Hollandia</w:t>
            </w:r>
          </w:p>
        </w:tc>
        <w:tc>
          <w:tcPr>
            <w:tcW w:w="6662" w:type="dxa"/>
          </w:tcPr>
          <w:p w14:paraId="3198343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filmomhulde tabletten</w:t>
            </w:r>
          </w:p>
        </w:tc>
      </w:tr>
      <w:tr w:rsidR="00B305FD" w:rsidRPr="004B342C" w14:paraId="7B0834E1" w14:textId="77777777" w:rsidTr="00406882">
        <w:tc>
          <w:tcPr>
            <w:tcW w:w="2764" w:type="dxa"/>
          </w:tcPr>
          <w:p w14:paraId="4B47C95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Horvátország</w:t>
            </w:r>
          </w:p>
        </w:tc>
        <w:tc>
          <w:tcPr>
            <w:tcW w:w="6662" w:type="dxa"/>
          </w:tcPr>
          <w:p w14:paraId="1C04B10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Lakozamid Grindeks 50 mg, 100 mg, 150 mg, 200 mg filmom obložene tablete</w:t>
            </w:r>
          </w:p>
        </w:tc>
      </w:tr>
      <w:tr w:rsidR="00B305FD" w:rsidRPr="004B342C" w14:paraId="593CD04F" w14:textId="77777777" w:rsidTr="00406882">
        <w:tc>
          <w:tcPr>
            <w:tcW w:w="2764" w:type="dxa"/>
          </w:tcPr>
          <w:p w14:paraId="04E185B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Írország</w:t>
            </w:r>
          </w:p>
        </w:tc>
        <w:tc>
          <w:tcPr>
            <w:tcW w:w="6662" w:type="dxa"/>
          </w:tcPr>
          <w:p w14:paraId="5AD284C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film-coated tablets</w:t>
            </w:r>
          </w:p>
        </w:tc>
      </w:tr>
      <w:tr w:rsidR="00B305FD" w:rsidRPr="004B342C" w14:paraId="4E2A5EA4" w14:textId="77777777" w:rsidTr="00406882">
        <w:tc>
          <w:tcPr>
            <w:tcW w:w="2764" w:type="dxa"/>
          </w:tcPr>
          <w:p w14:paraId="0D1056DF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Lettország</w:t>
            </w:r>
          </w:p>
        </w:tc>
        <w:tc>
          <w:tcPr>
            <w:tcW w:w="6662" w:type="dxa"/>
          </w:tcPr>
          <w:p w14:paraId="46E15944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apvalkotās tabletes</w:t>
            </w:r>
          </w:p>
        </w:tc>
      </w:tr>
      <w:tr w:rsidR="00B305FD" w:rsidRPr="004B342C" w14:paraId="13A2EEE3" w14:textId="77777777" w:rsidTr="00406882">
        <w:tc>
          <w:tcPr>
            <w:tcW w:w="2764" w:type="dxa"/>
          </w:tcPr>
          <w:p w14:paraId="4A7DAAB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Litvánia</w:t>
            </w:r>
          </w:p>
        </w:tc>
        <w:tc>
          <w:tcPr>
            <w:tcW w:w="6662" w:type="dxa"/>
          </w:tcPr>
          <w:p w14:paraId="520B395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plėvele dengtos tabletės</w:t>
            </w:r>
          </w:p>
        </w:tc>
      </w:tr>
      <w:tr w:rsidR="00B305FD" w:rsidRPr="004B342C" w14:paraId="5DD54B1D" w14:textId="77777777" w:rsidTr="00406882">
        <w:tc>
          <w:tcPr>
            <w:tcW w:w="2764" w:type="dxa"/>
          </w:tcPr>
          <w:p w14:paraId="6CB323BF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Magyarország</w:t>
            </w:r>
          </w:p>
        </w:tc>
        <w:tc>
          <w:tcPr>
            <w:tcW w:w="6662" w:type="dxa"/>
          </w:tcPr>
          <w:p w14:paraId="2F6F59D0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filmtabletta</w:t>
            </w:r>
          </w:p>
        </w:tc>
      </w:tr>
      <w:tr w:rsidR="00B305FD" w:rsidRPr="004B342C" w14:paraId="100D8E40" w14:textId="77777777" w:rsidTr="00406882">
        <w:tc>
          <w:tcPr>
            <w:tcW w:w="2764" w:type="dxa"/>
          </w:tcPr>
          <w:p w14:paraId="5AAF8D7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Portugália</w:t>
            </w:r>
          </w:p>
        </w:tc>
        <w:tc>
          <w:tcPr>
            <w:tcW w:w="6662" w:type="dxa"/>
          </w:tcPr>
          <w:p w14:paraId="1BD3310D" w14:textId="56F064C1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</w:t>
            </w:r>
            <w:r w:rsidR="009050EE"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a</w:t>
            </w: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Grindeks 50 mg, 100 mg, 150 mg, 200 mg comprimidos revestidos por película</w:t>
            </w:r>
          </w:p>
        </w:tc>
      </w:tr>
      <w:tr w:rsidR="00B305FD" w:rsidRPr="004B342C" w14:paraId="26166CF2" w14:textId="77777777" w:rsidTr="00406882">
        <w:tc>
          <w:tcPr>
            <w:tcW w:w="2764" w:type="dxa"/>
          </w:tcPr>
          <w:p w14:paraId="7316EE8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Spanyolország</w:t>
            </w:r>
          </w:p>
        </w:tc>
        <w:tc>
          <w:tcPr>
            <w:tcW w:w="6662" w:type="dxa"/>
          </w:tcPr>
          <w:p w14:paraId="51C8F97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LACOSAMIDA GRINDEKS 50 mg, 100 mg, 150 mg, 200 mg comprimidos recubiertos con película</w:t>
            </w:r>
          </w:p>
        </w:tc>
      </w:tr>
      <w:tr w:rsidR="00B305FD" w:rsidRPr="004B342C" w14:paraId="3F175064" w14:textId="77777777" w:rsidTr="00406882">
        <w:tc>
          <w:tcPr>
            <w:tcW w:w="2764" w:type="dxa"/>
          </w:tcPr>
          <w:p w14:paraId="455E544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Svédország</w:t>
            </w:r>
          </w:p>
        </w:tc>
        <w:tc>
          <w:tcPr>
            <w:tcW w:w="6662" w:type="dxa"/>
          </w:tcPr>
          <w:p w14:paraId="4ED43C3A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filmdragerade tabletter</w:t>
            </w:r>
          </w:p>
        </w:tc>
      </w:tr>
      <w:tr w:rsidR="00B305FD" w:rsidRPr="004B342C" w14:paraId="3CA3B4A9" w14:textId="77777777" w:rsidTr="00406882">
        <w:tc>
          <w:tcPr>
            <w:tcW w:w="2764" w:type="dxa"/>
          </w:tcPr>
          <w:p w14:paraId="7C73E590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Szlovákia</w:t>
            </w:r>
          </w:p>
        </w:tc>
        <w:tc>
          <w:tcPr>
            <w:tcW w:w="6662" w:type="dxa"/>
          </w:tcPr>
          <w:p w14:paraId="053AD255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filmom obalené tablety</w:t>
            </w:r>
          </w:p>
        </w:tc>
      </w:tr>
      <w:tr w:rsidR="00B305FD" w:rsidRPr="004B342C" w14:paraId="5150280B" w14:textId="77777777" w:rsidTr="00406882">
        <w:tc>
          <w:tcPr>
            <w:tcW w:w="2764" w:type="dxa"/>
          </w:tcPr>
          <w:p w14:paraId="6F56908E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Szlovénia</w:t>
            </w:r>
          </w:p>
        </w:tc>
        <w:tc>
          <w:tcPr>
            <w:tcW w:w="6662" w:type="dxa"/>
          </w:tcPr>
          <w:p w14:paraId="66F49DA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Lakozamid Grindeks 50 mg, 100 mg, 150 mg, 200 mg g filmsko obložene tablete</w:t>
            </w:r>
          </w:p>
        </w:tc>
      </w:tr>
    </w:tbl>
    <w:p w14:paraId="0B1CFFD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F0B4B57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50 mg filmtabletta</w:t>
      </w:r>
    </w:p>
    <w:p w14:paraId="2F562D89" w14:textId="5A975BDF" w:rsidR="00C064FF" w:rsidRPr="005B6C23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OGYI-T-24738/01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14×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181DADF3" w14:textId="21A00FC0" w:rsidR="00C064FF" w:rsidRPr="005B6C23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02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14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45A6FA33" w14:textId="67E05071" w:rsidR="00C064FF" w:rsidRPr="005B6C23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03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31D955D6" w14:textId="3DED5153" w:rsidR="00C064FF" w:rsidRPr="005B6C23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04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79BECE60" w14:textId="7606CF34" w:rsidR="00C064FF" w:rsidRPr="005B6C23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05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28003EB3" w14:textId="28FD46B6" w:rsidR="00C064FF" w:rsidRPr="0043030C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06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5B6C23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5B6C23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2C721C64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</w:p>
    <w:p w14:paraId="30B7E71F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100 mg filmtabletta</w:t>
      </w:r>
    </w:p>
    <w:p w14:paraId="1A2A4BFB" w14:textId="50E358F4" w:rsidR="00C064FF" w:rsidRPr="006D36A1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07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14×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63B1AD1B" w14:textId="562404E3" w:rsidR="00C064FF" w:rsidRPr="006D36A1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OGYI-T-24738/08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14×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324AC53E" w14:textId="263441AA" w:rsidR="00C064FF" w:rsidRPr="006D36A1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OGYI-T-24738/09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797DAC98" w14:textId="36EAD759" w:rsidR="00C064FF" w:rsidRPr="006D36A1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10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65533196" w14:textId="3ABE57BB" w:rsidR="00C064FF" w:rsidRPr="006D36A1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11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43A236C3" w14:textId="194F09A8" w:rsidR="00C064FF" w:rsidRDefault="00C064FF" w:rsidP="00E52C29">
      <w:pPr>
        <w:tabs>
          <w:tab w:val="left" w:pos="2268"/>
          <w:tab w:val="left" w:pos="2977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12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6D36A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D36A1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411BA690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</w:p>
    <w:p w14:paraId="5CD1C657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 mg filmtabletta</w:t>
      </w:r>
    </w:p>
    <w:p w14:paraId="76B2E440" w14:textId="071ABACC" w:rsidR="00C064FF" w:rsidRPr="00CE6E91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13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47EB53A0" w14:textId="7DC30C01" w:rsidR="00C064FF" w:rsidRPr="00CE6E91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14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29F3FC04" w14:textId="11466C30" w:rsidR="00C064FF" w:rsidRPr="00CE6E91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15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1017E598" w14:textId="0831D7EF" w:rsidR="00C064FF" w:rsidRPr="00CE6E91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right="-428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16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168× (3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> 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> 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(gyűjtőcsomagolásban)</w:t>
      </w:r>
    </w:p>
    <w:p w14:paraId="7FCFBE46" w14:textId="556C04C7" w:rsidR="00C064FF" w:rsidRPr="00CE6E91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17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5FC37D43" w14:textId="38CFE0FC" w:rsidR="00C064FF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right="-428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18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168× (3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> 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> 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CE6E91">
        <w:rPr>
          <w:rFonts w:ascii="Times New Roman" w:eastAsia="Calibri" w:hAnsi="Times New Roman" w:cs="Times New Roman"/>
          <w:kern w:val="0"/>
          <w14:ligatures w14:val="none"/>
        </w:rPr>
        <w:t>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OPA/Al/PVC//Al buborékcsomagolásban (gyűjtőcsomagolásban)</w:t>
      </w:r>
    </w:p>
    <w:p w14:paraId="69A95AAA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</w:p>
    <w:p w14:paraId="2108181B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200 mg filmtabletta</w:t>
      </w:r>
    </w:p>
    <w:p w14:paraId="4E91904F" w14:textId="320AA028" w:rsidR="00C064FF" w:rsidRPr="00495A06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OGYI-T-24738/19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415A11FF" w14:textId="3EC8EE34" w:rsidR="00C064FF" w:rsidRPr="00495A06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20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56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377141AC" w14:textId="3573E0E3" w:rsidR="00C064FF" w:rsidRPr="00495A06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21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PVC/PVDC//Al buborékcsomagolásban</w:t>
      </w:r>
    </w:p>
    <w:p w14:paraId="0EF13BC1" w14:textId="108B74C2" w:rsidR="00C064FF" w:rsidRPr="00495A06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right="-428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22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168× (3 × 56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PVC/PVDC//Al buborékcsomagolásban (gyűjtőcsomagolásban)</w:t>
      </w:r>
    </w:p>
    <w:p w14:paraId="578E0D8A" w14:textId="2BA3FCF8" w:rsidR="00C064FF" w:rsidRPr="00495A06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23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168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×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OPA/Al/PVC//Al buborékcsomagolásban</w:t>
      </w:r>
    </w:p>
    <w:p w14:paraId="7FAA4A56" w14:textId="3E1F7D96" w:rsidR="00C064FF" w:rsidRPr="0043030C" w:rsidRDefault="00C064FF" w:rsidP="00E52C29">
      <w:pPr>
        <w:tabs>
          <w:tab w:val="left" w:pos="2268"/>
          <w:tab w:val="left" w:pos="3686"/>
        </w:tabs>
        <w:autoSpaceDE w:val="0"/>
        <w:autoSpaceDN w:val="0"/>
        <w:adjustRightInd w:val="0"/>
        <w:spacing w:after="0" w:line="240" w:lineRule="auto"/>
        <w:ind w:left="567" w:right="-569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24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168× (3 × 56</w:t>
      </w:r>
      <w:r w:rsidR="0057771C" w:rsidRPr="00495A06">
        <w:rPr>
          <w:rFonts w:ascii="Times New Roman" w:eastAsia="Calibri" w:hAnsi="Times New Roman" w:cs="Times New Roman"/>
          <w:kern w:val="0"/>
          <w14:ligatures w14:val="none"/>
        </w:rPr>
        <w:t>)</w:t>
      </w:r>
      <w:r w:rsidR="0057771C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95A06">
        <w:rPr>
          <w:rFonts w:ascii="Times New Roman" w:eastAsia="Calibri" w:hAnsi="Times New Roman" w:cs="Times New Roman"/>
          <w:kern w:val="0"/>
          <w14:ligatures w14:val="none"/>
        </w:rPr>
        <w:t>OPA/Al/PVC//Al buborékcsomagolásban (gyűjtőcsomagolásban)</w:t>
      </w:r>
    </w:p>
    <w:p w14:paraId="42F2B1F7" w14:textId="77777777" w:rsidR="00C064FF" w:rsidRDefault="00C064FF" w:rsidP="00C064F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E1EA96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956B9FA" w14:textId="5B1F5AA3" w:rsidR="00B305FD" w:rsidRPr="004B342C" w:rsidRDefault="00B305FD" w:rsidP="00F83A7F">
      <w:pPr>
        <w:spacing w:after="0" w:line="240" w:lineRule="auto"/>
        <w:ind w:right="-2"/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</w:pPr>
      <w:r w:rsidRPr="004B342C"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  <w:t xml:space="preserve">A betegtájékoztató </w:t>
      </w:r>
      <w:r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legutóbbi felülvizsgálatának</w:t>
      </w:r>
      <w:r w:rsidRPr="004B342C"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  <w:t xml:space="preserve"> dátuma</w:t>
      </w:r>
      <w:r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 xml:space="preserve">: </w:t>
      </w:r>
      <w:r w:rsidR="004A0556"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202</w:t>
      </w:r>
      <w:r w:rsidR="007172A3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6</w:t>
      </w:r>
      <w:r w:rsidR="004A0556"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 xml:space="preserve">. </w:t>
      </w:r>
      <w:r w:rsidR="00C064FF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május.</w:t>
      </w:r>
    </w:p>
    <w:p w14:paraId="4F297D91" w14:textId="77777777" w:rsidR="00B305FD" w:rsidRPr="004B342C" w:rsidRDefault="00B305FD" w:rsidP="004B342C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A91E89E" w14:textId="77777777" w:rsidR="00145300" w:rsidRPr="00F83A7F" w:rsidRDefault="00145300" w:rsidP="00F83A7F">
      <w:pPr>
        <w:spacing w:after="0" w:line="240" w:lineRule="auto"/>
        <w:rPr>
          <w:rFonts w:ascii="Times New Roman" w:hAnsi="Times New Roman" w:cs="Times New Roman"/>
          <w:kern w:val="0"/>
        </w:rPr>
      </w:pPr>
    </w:p>
    <w:sectPr w:rsidR="00145300" w:rsidRPr="00F83A7F" w:rsidSect="004B34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ECC5C" w14:textId="77777777" w:rsidR="00642F66" w:rsidRDefault="00642F66">
      <w:pPr>
        <w:spacing w:after="0" w:line="240" w:lineRule="auto"/>
      </w:pPr>
      <w:r>
        <w:separator/>
      </w:r>
    </w:p>
  </w:endnote>
  <w:endnote w:type="continuationSeparator" w:id="0">
    <w:p w14:paraId="662E328A" w14:textId="77777777" w:rsidR="00642F66" w:rsidRDefault="00642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030BC" w14:textId="77777777" w:rsidR="008448BB" w:rsidRDefault="008448B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A9FA6" w14:textId="77777777" w:rsidR="008448BB" w:rsidRDefault="008448B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5E716" w14:textId="77777777" w:rsidR="008448BB" w:rsidRPr="00160BFA" w:rsidRDefault="008448BB" w:rsidP="008448BB">
    <w:pPr>
      <w:pStyle w:val="llb"/>
      <w:rPr>
        <w:rFonts w:ascii="Times New Roman" w:hAnsi="Times New Roman"/>
        <w:sz w:val="18"/>
        <w:szCs w:val="18"/>
      </w:rPr>
    </w:pPr>
    <w:bookmarkStart w:id="1" w:name="_Hlk210070492"/>
    <w:bookmarkStart w:id="2" w:name="_Hlk210070493"/>
    <w:bookmarkStart w:id="3" w:name="_Hlk210070534"/>
    <w:bookmarkStart w:id="4" w:name="_Hlk210070535"/>
    <w:bookmarkStart w:id="5" w:name="_Hlk210070543"/>
    <w:bookmarkStart w:id="6" w:name="_Hlk210070544"/>
    <w:r w:rsidRPr="00160BFA">
      <w:rPr>
        <w:rFonts w:ascii="Times New Roman" w:hAnsi="Times New Roman"/>
        <w:sz w:val="18"/>
        <w:szCs w:val="18"/>
      </w:rPr>
      <w:t>NNGYK/ETGY/23528/2026</w:t>
    </w:r>
  </w:p>
  <w:p w14:paraId="486F1793" w14:textId="77777777" w:rsidR="008448BB" w:rsidRPr="00160BFA" w:rsidRDefault="008448BB" w:rsidP="008448BB">
    <w:pPr>
      <w:pStyle w:val="llb"/>
      <w:rPr>
        <w:rFonts w:ascii="Times New Roman" w:hAnsi="Times New Roman"/>
        <w:sz w:val="18"/>
        <w:szCs w:val="18"/>
      </w:rPr>
    </w:pPr>
    <w:r w:rsidRPr="00160BFA">
      <w:rPr>
        <w:rFonts w:ascii="Times New Roman" w:hAnsi="Times New Roman"/>
        <w:sz w:val="18"/>
        <w:szCs w:val="18"/>
      </w:rPr>
      <w:t>NNGYK/ETGY/23530/2026</w:t>
    </w:r>
  </w:p>
  <w:p w14:paraId="68E84169" w14:textId="77777777" w:rsidR="008448BB" w:rsidRPr="00160BFA" w:rsidRDefault="008448BB" w:rsidP="008448BB">
    <w:pPr>
      <w:pStyle w:val="llb"/>
      <w:rPr>
        <w:rFonts w:ascii="Times New Roman" w:hAnsi="Times New Roman"/>
        <w:sz w:val="18"/>
        <w:szCs w:val="18"/>
      </w:rPr>
    </w:pPr>
    <w:r w:rsidRPr="00160BFA">
      <w:rPr>
        <w:rFonts w:ascii="Times New Roman" w:hAnsi="Times New Roman"/>
        <w:sz w:val="18"/>
        <w:szCs w:val="18"/>
      </w:rPr>
      <w:t>NNGYK/ETGY/9837/2026</w:t>
    </w:r>
  </w:p>
  <w:p w14:paraId="04820A02" w14:textId="100AB63C" w:rsidR="00B305FD" w:rsidRPr="009E117D" w:rsidRDefault="008448BB" w:rsidP="00B660C0">
    <w:pPr>
      <w:pStyle w:val="llb"/>
      <w:rPr>
        <w:rFonts w:ascii="Times New Roman" w:hAnsi="Times New Roman"/>
        <w:sz w:val="18"/>
        <w:szCs w:val="18"/>
      </w:rPr>
    </w:pPr>
    <w:r w:rsidRPr="00160BFA">
      <w:rPr>
        <w:rFonts w:ascii="Times New Roman" w:hAnsi="Times New Roman"/>
        <w:sz w:val="18"/>
        <w:szCs w:val="18"/>
      </w:rPr>
      <w:t>NNGYK/ETGY/23534/2026</w:t>
    </w:r>
    <w:bookmarkEnd w:id="1"/>
    <w:bookmarkEnd w:id="2"/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29DDC" w14:textId="77777777" w:rsidR="00642F66" w:rsidRDefault="00642F66">
      <w:pPr>
        <w:spacing w:after="0" w:line="240" w:lineRule="auto"/>
      </w:pPr>
      <w:r>
        <w:separator/>
      </w:r>
    </w:p>
  </w:footnote>
  <w:footnote w:type="continuationSeparator" w:id="0">
    <w:p w14:paraId="71BA9685" w14:textId="77777777" w:rsidR="00642F66" w:rsidRDefault="00642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F5AC4" w14:textId="77777777" w:rsidR="008448BB" w:rsidRDefault="008448B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040A" w14:textId="77777777" w:rsidR="00B305FD" w:rsidRPr="00252A5F" w:rsidRDefault="00B305FD" w:rsidP="00252A5F">
    <w:pPr>
      <w:pStyle w:val="lfej"/>
      <w:jc w:val="center"/>
      <w:rPr>
        <w:rFonts w:ascii="Times New Roman" w:hAnsi="Times New Roman"/>
        <w:sz w:val="18"/>
        <w:szCs w:val="18"/>
      </w:rPr>
    </w:pPr>
    <w:r w:rsidRPr="00252A5F">
      <w:rPr>
        <w:rFonts w:ascii="Times New Roman" w:hAnsi="Times New Roman"/>
        <w:sz w:val="18"/>
        <w:szCs w:val="18"/>
      </w:rPr>
      <w:fldChar w:fldCharType="begin"/>
    </w:r>
    <w:r w:rsidRPr="00252A5F">
      <w:rPr>
        <w:rFonts w:ascii="Times New Roman" w:hAnsi="Times New Roman"/>
        <w:sz w:val="18"/>
        <w:szCs w:val="18"/>
      </w:rPr>
      <w:instrText>PAGE   \* MERGEFORMAT</w:instrText>
    </w:r>
    <w:r w:rsidRPr="00252A5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2</w:t>
    </w:r>
    <w:r w:rsidRPr="00252A5F">
      <w:rPr>
        <w:rFonts w:ascii="Times New Roman" w:hAnsi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19966" w14:textId="77777777" w:rsidR="008448BB" w:rsidRDefault="008448B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255F8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4F4FAA"/>
    <w:multiLevelType w:val="hybridMultilevel"/>
    <w:tmpl w:val="F44454E4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F5E1D"/>
    <w:multiLevelType w:val="hybridMultilevel"/>
    <w:tmpl w:val="7D64C26A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2C6842"/>
    <w:multiLevelType w:val="hybridMultilevel"/>
    <w:tmpl w:val="FA984D8C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75D2C"/>
    <w:multiLevelType w:val="hybridMultilevel"/>
    <w:tmpl w:val="C4FA3BAC"/>
    <w:lvl w:ilvl="0" w:tplc="AF1A0BCA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5" w15:restartNumberingAfterBreak="0">
    <w:nsid w:val="0D3D64A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E255FF1"/>
    <w:multiLevelType w:val="hybridMultilevel"/>
    <w:tmpl w:val="F22E8298"/>
    <w:lvl w:ilvl="0" w:tplc="CA301D6A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7" w15:restartNumberingAfterBreak="0">
    <w:nsid w:val="0E767CD5"/>
    <w:multiLevelType w:val="hybridMultilevel"/>
    <w:tmpl w:val="C2081F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813AE"/>
    <w:multiLevelType w:val="hybridMultilevel"/>
    <w:tmpl w:val="7A44133C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9" w15:restartNumberingAfterBreak="0">
    <w:nsid w:val="14C74D04"/>
    <w:multiLevelType w:val="hybridMultilevel"/>
    <w:tmpl w:val="FCBC72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C3672"/>
    <w:multiLevelType w:val="hybridMultilevel"/>
    <w:tmpl w:val="C3DC4AC6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C25D7"/>
    <w:multiLevelType w:val="hybridMultilevel"/>
    <w:tmpl w:val="9312C3E0"/>
    <w:lvl w:ilvl="0" w:tplc="2070EE1E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2" w15:restartNumberingAfterBreak="0">
    <w:nsid w:val="35681BA2"/>
    <w:multiLevelType w:val="hybridMultilevel"/>
    <w:tmpl w:val="8162EB18"/>
    <w:lvl w:ilvl="0" w:tplc="83B2CB68">
      <w:numFmt w:val="bullet"/>
      <w:lvlText w:val="-"/>
      <w:lvlJc w:val="left"/>
      <w:pPr>
        <w:ind w:left="50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3" w15:restartNumberingAfterBreak="0">
    <w:nsid w:val="36355D1B"/>
    <w:multiLevelType w:val="hybridMultilevel"/>
    <w:tmpl w:val="CBE8FBE6"/>
    <w:lvl w:ilvl="0" w:tplc="EBACD9C4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4" w15:restartNumberingAfterBreak="0">
    <w:nsid w:val="386A0C0E"/>
    <w:multiLevelType w:val="hybridMultilevel"/>
    <w:tmpl w:val="16A88E34"/>
    <w:lvl w:ilvl="0" w:tplc="716E1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53A54"/>
    <w:multiLevelType w:val="hybridMultilevel"/>
    <w:tmpl w:val="9BAC8CD4"/>
    <w:lvl w:ilvl="0" w:tplc="2084B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B578D"/>
    <w:multiLevelType w:val="hybridMultilevel"/>
    <w:tmpl w:val="1E5CF73E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80E97"/>
    <w:multiLevelType w:val="hybridMultilevel"/>
    <w:tmpl w:val="CC1CD9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8399C"/>
    <w:multiLevelType w:val="hybridMultilevel"/>
    <w:tmpl w:val="B348679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4C261959"/>
    <w:multiLevelType w:val="hybridMultilevel"/>
    <w:tmpl w:val="61BCE7EE"/>
    <w:lvl w:ilvl="0" w:tplc="83B2CB6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C7FF6"/>
    <w:multiLevelType w:val="hybridMultilevel"/>
    <w:tmpl w:val="9CEA6E8C"/>
    <w:lvl w:ilvl="0" w:tplc="4246E430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1" w15:restartNumberingAfterBreak="0">
    <w:nsid w:val="4ED2213E"/>
    <w:multiLevelType w:val="hybridMultilevel"/>
    <w:tmpl w:val="8B1C5788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2" w15:restartNumberingAfterBreak="0">
    <w:nsid w:val="534A0E9D"/>
    <w:multiLevelType w:val="hybridMultilevel"/>
    <w:tmpl w:val="C1767420"/>
    <w:lvl w:ilvl="0" w:tplc="28385D82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3" w15:restartNumberingAfterBreak="0">
    <w:nsid w:val="53D83F04"/>
    <w:multiLevelType w:val="hybridMultilevel"/>
    <w:tmpl w:val="5C9C1EE4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4" w15:restartNumberingAfterBreak="0">
    <w:nsid w:val="5BF20A63"/>
    <w:multiLevelType w:val="hybridMultilevel"/>
    <w:tmpl w:val="4E98952C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5" w15:restartNumberingAfterBreak="0">
    <w:nsid w:val="5F463EB2"/>
    <w:multiLevelType w:val="hybridMultilevel"/>
    <w:tmpl w:val="C7A6CC72"/>
    <w:lvl w:ilvl="0" w:tplc="83B2CB68">
      <w:numFmt w:val="bullet"/>
      <w:lvlText w:val="-"/>
      <w:lvlJc w:val="left"/>
      <w:pPr>
        <w:ind w:left="170" w:hanging="360"/>
      </w:pPr>
    </w:lvl>
    <w:lvl w:ilvl="1" w:tplc="040E0003" w:tentative="1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30" w:hanging="360"/>
      </w:pPr>
      <w:rPr>
        <w:rFonts w:ascii="Wingdings" w:hAnsi="Wingdings" w:hint="default"/>
      </w:rPr>
    </w:lvl>
  </w:abstractNum>
  <w:abstractNum w:abstractNumId="26" w15:restartNumberingAfterBreak="0">
    <w:nsid w:val="602C3404"/>
    <w:multiLevelType w:val="hybridMultilevel"/>
    <w:tmpl w:val="55F650C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7" w15:restartNumberingAfterBreak="0">
    <w:nsid w:val="66550954"/>
    <w:multiLevelType w:val="hybridMultilevel"/>
    <w:tmpl w:val="F7CCE546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8" w15:restartNumberingAfterBreak="0">
    <w:nsid w:val="71604B7A"/>
    <w:multiLevelType w:val="hybridMultilevel"/>
    <w:tmpl w:val="13947FA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26B5C"/>
    <w:multiLevelType w:val="hybridMultilevel"/>
    <w:tmpl w:val="D06C6C46"/>
    <w:lvl w:ilvl="0" w:tplc="040E000F">
      <w:start w:val="1"/>
      <w:numFmt w:val="decimal"/>
      <w:lvlText w:val="%1."/>
      <w:lvlJc w:val="left"/>
      <w:pPr>
        <w:ind w:left="152" w:hanging="360"/>
      </w:pPr>
    </w:lvl>
    <w:lvl w:ilvl="1" w:tplc="040E0019" w:tentative="1">
      <w:start w:val="1"/>
      <w:numFmt w:val="lowerLetter"/>
      <w:lvlText w:val="%2."/>
      <w:lvlJc w:val="left"/>
      <w:pPr>
        <w:ind w:left="872" w:hanging="360"/>
      </w:pPr>
    </w:lvl>
    <w:lvl w:ilvl="2" w:tplc="040E001B" w:tentative="1">
      <w:start w:val="1"/>
      <w:numFmt w:val="lowerRoman"/>
      <w:lvlText w:val="%3."/>
      <w:lvlJc w:val="right"/>
      <w:pPr>
        <w:ind w:left="1592" w:hanging="180"/>
      </w:pPr>
    </w:lvl>
    <w:lvl w:ilvl="3" w:tplc="040E000F" w:tentative="1">
      <w:start w:val="1"/>
      <w:numFmt w:val="decimal"/>
      <w:lvlText w:val="%4."/>
      <w:lvlJc w:val="left"/>
      <w:pPr>
        <w:ind w:left="2312" w:hanging="360"/>
      </w:pPr>
    </w:lvl>
    <w:lvl w:ilvl="4" w:tplc="040E0019" w:tentative="1">
      <w:start w:val="1"/>
      <w:numFmt w:val="lowerLetter"/>
      <w:lvlText w:val="%5."/>
      <w:lvlJc w:val="left"/>
      <w:pPr>
        <w:ind w:left="3032" w:hanging="360"/>
      </w:pPr>
    </w:lvl>
    <w:lvl w:ilvl="5" w:tplc="040E001B" w:tentative="1">
      <w:start w:val="1"/>
      <w:numFmt w:val="lowerRoman"/>
      <w:lvlText w:val="%6."/>
      <w:lvlJc w:val="right"/>
      <w:pPr>
        <w:ind w:left="3752" w:hanging="180"/>
      </w:pPr>
    </w:lvl>
    <w:lvl w:ilvl="6" w:tplc="040E000F" w:tentative="1">
      <w:start w:val="1"/>
      <w:numFmt w:val="decimal"/>
      <w:lvlText w:val="%7."/>
      <w:lvlJc w:val="left"/>
      <w:pPr>
        <w:ind w:left="4472" w:hanging="360"/>
      </w:pPr>
    </w:lvl>
    <w:lvl w:ilvl="7" w:tplc="040E0019" w:tentative="1">
      <w:start w:val="1"/>
      <w:numFmt w:val="lowerLetter"/>
      <w:lvlText w:val="%8."/>
      <w:lvlJc w:val="left"/>
      <w:pPr>
        <w:ind w:left="5192" w:hanging="360"/>
      </w:pPr>
    </w:lvl>
    <w:lvl w:ilvl="8" w:tplc="040E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30" w15:restartNumberingAfterBreak="0">
    <w:nsid w:val="75A2241C"/>
    <w:multiLevelType w:val="hybridMultilevel"/>
    <w:tmpl w:val="E27EAB3A"/>
    <w:lvl w:ilvl="0" w:tplc="BF3CF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E031A3"/>
    <w:multiLevelType w:val="hybridMultilevel"/>
    <w:tmpl w:val="F20E9FD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num w:numId="1" w16cid:durableId="43604357">
    <w:abstractNumId w:val="16"/>
  </w:num>
  <w:num w:numId="2" w16cid:durableId="2060324383">
    <w:abstractNumId w:val="22"/>
  </w:num>
  <w:num w:numId="3" w16cid:durableId="9719046">
    <w:abstractNumId w:val="29"/>
  </w:num>
  <w:num w:numId="4" w16cid:durableId="324210050">
    <w:abstractNumId w:val="4"/>
  </w:num>
  <w:num w:numId="5" w16cid:durableId="1899702976">
    <w:abstractNumId w:val="20"/>
  </w:num>
  <w:num w:numId="6" w16cid:durableId="1027871584">
    <w:abstractNumId w:val="13"/>
  </w:num>
  <w:num w:numId="7" w16cid:durableId="2090224533">
    <w:abstractNumId w:val="11"/>
  </w:num>
  <w:num w:numId="8" w16cid:durableId="1494100877">
    <w:abstractNumId w:val="6"/>
  </w:num>
  <w:num w:numId="9" w16cid:durableId="53049960">
    <w:abstractNumId w:val="15"/>
  </w:num>
  <w:num w:numId="10" w16cid:durableId="774177043">
    <w:abstractNumId w:val="9"/>
  </w:num>
  <w:num w:numId="11" w16cid:durableId="1500197845">
    <w:abstractNumId w:val="14"/>
  </w:num>
  <w:num w:numId="12" w16cid:durableId="615022010">
    <w:abstractNumId w:val="30"/>
  </w:num>
  <w:num w:numId="13" w16cid:durableId="702169474">
    <w:abstractNumId w:val="2"/>
  </w:num>
  <w:num w:numId="14" w16cid:durableId="1627194856">
    <w:abstractNumId w:val="25"/>
  </w:num>
  <w:num w:numId="15" w16cid:durableId="1395397530">
    <w:abstractNumId w:val="23"/>
  </w:num>
  <w:num w:numId="16" w16cid:durableId="1009720909">
    <w:abstractNumId w:val="26"/>
  </w:num>
  <w:num w:numId="17" w16cid:durableId="937911889">
    <w:abstractNumId w:val="12"/>
  </w:num>
  <w:num w:numId="18" w16cid:durableId="1934584104">
    <w:abstractNumId w:val="3"/>
  </w:num>
  <w:num w:numId="19" w16cid:durableId="2137795848">
    <w:abstractNumId w:val="17"/>
  </w:num>
  <w:num w:numId="20" w16cid:durableId="1263996220">
    <w:abstractNumId w:val="27"/>
  </w:num>
  <w:num w:numId="21" w16cid:durableId="1580217153">
    <w:abstractNumId w:val="24"/>
  </w:num>
  <w:num w:numId="22" w16cid:durableId="1945844610">
    <w:abstractNumId w:val="8"/>
  </w:num>
  <w:num w:numId="23" w16cid:durableId="731730087">
    <w:abstractNumId w:val="31"/>
  </w:num>
  <w:num w:numId="24" w16cid:durableId="1795826338">
    <w:abstractNumId w:val="19"/>
  </w:num>
  <w:num w:numId="25" w16cid:durableId="1497383700">
    <w:abstractNumId w:val="18"/>
  </w:num>
  <w:num w:numId="26" w16cid:durableId="732195011">
    <w:abstractNumId w:val="10"/>
  </w:num>
  <w:num w:numId="27" w16cid:durableId="1308392659">
    <w:abstractNumId w:val="0"/>
  </w:num>
  <w:num w:numId="28" w16cid:durableId="1989245164">
    <w:abstractNumId w:val="5"/>
  </w:num>
  <w:num w:numId="29" w16cid:durableId="1101799524">
    <w:abstractNumId w:val="7"/>
  </w:num>
  <w:num w:numId="30" w16cid:durableId="1256328294">
    <w:abstractNumId w:val="28"/>
  </w:num>
  <w:num w:numId="31" w16cid:durableId="1640258731">
    <w:abstractNumId w:val="1"/>
  </w:num>
  <w:num w:numId="32" w16cid:durableId="13990911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5FD"/>
    <w:rsid w:val="00004650"/>
    <w:rsid w:val="00047097"/>
    <w:rsid w:val="000607BB"/>
    <w:rsid w:val="0009133A"/>
    <w:rsid w:val="000E2FC0"/>
    <w:rsid w:val="000E30E3"/>
    <w:rsid w:val="00145300"/>
    <w:rsid w:val="00190600"/>
    <w:rsid w:val="00256696"/>
    <w:rsid w:val="0026531E"/>
    <w:rsid w:val="002A585E"/>
    <w:rsid w:val="004061C7"/>
    <w:rsid w:val="004A0556"/>
    <w:rsid w:val="004B342C"/>
    <w:rsid w:val="004E51FB"/>
    <w:rsid w:val="00521EDB"/>
    <w:rsid w:val="0057771C"/>
    <w:rsid w:val="00607665"/>
    <w:rsid w:val="00641B06"/>
    <w:rsid w:val="00642F66"/>
    <w:rsid w:val="00661FD3"/>
    <w:rsid w:val="00681B9E"/>
    <w:rsid w:val="006919D2"/>
    <w:rsid w:val="006C1983"/>
    <w:rsid w:val="007172A3"/>
    <w:rsid w:val="008448BB"/>
    <w:rsid w:val="0088357E"/>
    <w:rsid w:val="009030FF"/>
    <w:rsid w:val="009050EE"/>
    <w:rsid w:val="00970729"/>
    <w:rsid w:val="00971E17"/>
    <w:rsid w:val="009E0E81"/>
    <w:rsid w:val="00AD63E0"/>
    <w:rsid w:val="00B305FD"/>
    <w:rsid w:val="00B445AF"/>
    <w:rsid w:val="00B47950"/>
    <w:rsid w:val="00B9699C"/>
    <w:rsid w:val="00BC1AE2"/>
    <w:rsid w:val="00BF1EC7"/>
    <w:rsid w:val="00C064FF"/>
    <w:rsid w:val="00D42318"/>
    <w:rsid w:val="00D43469"/>
    <w:rsid w:val="00D97EA5"/>
    <w:rsid w:val="00E52C29"/>
    <w:rsid w:val="00F40197"/>
    <w:rsid w:val="00F81323"/>
    <w:rsid w:val="00F83A7F"/>
    <w:rsid w:val="00F84D0A"/>
    <w:rsid w:val="00FB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9639B"/>
  <w15:chartTrackingRefBased/>
  <w15:docId w15:val="{61905F43-6DAD-4F44-B0A1-CB54B6B1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3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3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305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3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305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3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3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3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3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305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30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305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305F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305F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305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305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305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305F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3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3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3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3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3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305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305F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305F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305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305F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305FD"/>
    <w:rPr>
      <w:b/>
      <w:bCs/>
      <w:smallCaps/>
      <w:color w:val="2F5496" w:themeColor="accent1" w:themeShade="BF"/>
      <w:spacing w:val="5"/>
    </w:rPr>
  </w:style>
  <w:style w:type="numbering" w:customStyle="1" w:styleId="Nemlista1">
    <w:name w:val="Nem lista1"/>
    <w:next w:val="Nemlista"/>
    <w:uiPriority w:val="99"/>
    <w:semiHidden/>
    <w:unhideWhenUsed/>
    <w:rsid w:val="00B305FD"/>
  </w:style>
  <w:style w:type="paragraph" w:customStyle="1" w:styleId="Default">
    <w:name w:val="Default"/>
    <w:rsid w:val="00B305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305FD"/>
    <w:pPr>
      <w:spacing w:after="0" w:line="240" w:lineRule="auto"/>
    </w:pPr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05FD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Jegyzethivatkozs">
    <w:name w:val="annotation reference"/>
    <w:uiPriority w:val="99"/>
    <w:semiHidden/>
    <w:unhideWhenUsed/>
    <w:rsid w:val="00B305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305FD"/>
    <w:pPr>
      <w:spacing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305FD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305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305FD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305F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B305FD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B305F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B305FD"/>
    <w:rPr>
      <w:rFonts w:ascii="Calibri" w:eastAsia="Calibri" w:hAnsi="Calibri" w:cs="Times New Roman"/>
      <w:kern w:val="0"/>
      <w14:ligatures w14:val="none"/>
    </w:rPr>
  </w:style>
  <w:style w:type="paragraph" w:customStyle="1" w:styleId="Text">
    <w:name w:val="Text"/>
    <w:basedOn w:val="Norml"/>
    <w:rsid w:val="00B305FD"/>
    <w:pPr>
      <w:widowControl w:val="0"/>
      <w:tabs>
        <w:tab w:val="left" w:pos="6521"/>
      </w:tabs>
      <w:spacing w:after="0" w:line="240" w:lineRule="auto"/>
    </w:pPr>
    <w:rPr>
      <w:rFonts w:ascii="Calibri" w:eastAsia="Calibri" w:hAnsi="Calibri" w:cs="Times New Roman"/>
      <w:w w:val="105"/>
      <w:kern w:val="0"/>
      <w:lang w:val="en-US"/>
      <w14:ligatures w14:val="none"/>
    </w:rPr>
  </w:style>
  <w:style w:type="paragraph" w:styleId="Vltozat">
    <w:name w:val="Revision"/>
    <w:hidden/>
    <w:uiPriority w:val="99"/>
    <w:semiHidden/>
    <w:rsid w:val="00B305F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iperhivatkozs">
    <w:name w:val="Hyperlink"/>
    <w:rsid w:val="00B305FD"/>
    <w:rPr>
      <w:rFonts w:cs="Times New Roman"/>
      <w:color w:val="0000FF"/>
      <w:u w:val="single"/>
    </w:rPr>
  </w:style>
  <w:style w:type="table" w:styleId="Rcsostblzat">
    <w:name w:val="Table Grid"/>
    <w:basedOn w:val="Normltblzat"/>
    <w:uiPriority w:val="39"/>
    <w:rsid w:val="00B305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2969</Words>
  <Characters>20490</Characters>
  <Application>Microsoft Office Word</Application>
  <DocSecurity>0</DocSecurity>
  <Lines>170</Lines>
  <Paragraphs>46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OGYI_62.1</cp:lastModifiedBy>
  <cp:revision>20</cp:revision>
  <dcterms:created xsi:type="dcterms:W3CDTF">2025-08-08T08:17:00Z</dcterms:created>
  <dcterms:modified xsi:type="dcterms:W3CDTF">2026-10-19T12:16:00Z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2025-09-08T09:16:48Z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0baa8f0a-b968-4ac4-bdb4-cd9b0133e987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