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84A024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Betegtájékoztató: Információk a beteg számára</w:t>
      </w:r>
    </w:p>
    <w:p w14:paraId="710074F2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</w:p>
    <w:p w14:paraId="39934919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Lacosamide Grindeks 50 mg filmtabletta</w:t>
      </w:r>
    </w:p>
    <w:p w14:paraId="62680E2F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Lacosamide Grindeks 100 mg filmtabletta</w:t>
      </w:r>
    </w:p>
    <w:p w14:paraId="4CF51390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Lacosamide Grindeks 150 mg filmtabletta</w:t>
      </w:r>
    </w:p>
    <w:p w14:paraId="70FC6A21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Lacosamide Grindeks 200 mg filmtabletta</w:t>
      </w:r>
    </w:p>
    <w:p w14:paraId="1E8066A2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</w:p>
    <w:p w14:paraId="3EEE0508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lakozamid</w:t>
      </w:r>
    </w:p>
    <w:p w14:paraId="4C43D5E1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</w:p>
    <w:p w14:paraId="6170E7A3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Mielőtt elkezdi szedni ezt a gyógyszert, olvassa el figyelmesen az alábbi betegtájékoztatót, mert az Ön számára fontos információkat tartalmaz.</w:t>
      </w:r>
    </w:p>
    <w:p w14:paraId="43733C52" w14:textId="77777777" w:rsidR="00B305FD" w:rsidRPr="00F83A7F" w:rsidRDefault="00B305FD" w:rsidP="004B342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Tartsa meg a betegtájékoztatót, mert a benne szereplő információkra a későbbiekben is szüksége lehet.</w:t>
      </w:r>
    </w:p>
    <w:p w14:paraId="36DDE30B" w14:textId="77777777" w:rsidR="00B305FD" w:rsidRPr="00F83A7F" w:rsidRDefault="00B305FD" w:rsidP="004B342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További kérdéseivel forduljon kezelőorvosához vagy gyógyszerészéhez.</w:t>
      </w:r>
    </w:p>
    <w:p w14:paraId="795BDAE2" w14:textId="77777777" w:rsidR="00B305FD" w:rsidRPr="00F83A7F" w:rsidRDefault="00B305FD" w:rsidP="004B342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53E911A7" w14:textId="77777777" w:rsidR="00B305FD" w:rsidRPr="00F83A7F" w:rsidRDefault="00B305FD" w:rsidP="004B342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Ha Önnél bármilyen mellékhatás jelentkezik, tájékoztassa erről kezelőorvosát vagy gyógyszerészét. Ez a betegtájékoztatóban fel nem sorolt bármilyen lehetséges mellékhatásra is vonatkozik. Lásd 4. pont.</w:t>
      </w:r>
    </w:p>
    <w:p w14:paraId="2F570FC2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A044205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A betegtájékoztató tartalma:</w:t>
      </w:r>
    </w:p>
    <w:p w14:paraId="50658AAA" w14:textId="0306DF8A" w:rsidR="00B305FD" w:rsidRPr="00F83A7F" w:rsidRDefault="00B305FD" w:rsidP="00F83A7F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1.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ab/>
        <w:t xml:space="preserve">Milyen típusú gyógyszer a Lacosamide Grindeks </w:t>
      </w:r>
      <w:r w:rsidR="009E0E81">
        <w:rPr>
          <w:rFonts w:ascii="Times New Roman" w:eastAsia="Calibri" w:hAnsi="Times New Roman" w:cs="Times New Roman"/>
          <w:kern w:val="0"/>
          <w14:ligatures w14:val="none"/>
        </w:rPr>
        <w:t>filmtabletta (</w:t>
      </w:r>
      <w:r w:rsidR="00971E17">
        <w:rPr>
          <w:rFonts w:ascii="Times New Roman" w:eastAsia="Calibri" w:hAnsi="Times New Roman" w:cs="Times New Roman"/>
          <w:kern w:val="0"/>
          <w14:ligatures w14:val="none"/>
        </w:rPr>
        <w:t xml:space="preserve">a </w:t>
      </w:r>
      <w:r w:rsidR="009E0E81">
        <w:rPr>
          <w:rFonts w:ascii="Times New Roman" w:eastAsia="Calibri" w:hAnsi="Times New Roman" w:cs="Times New Roman"/>
          <w:kern w:val="0"/>
          <w14:ligatures w14:val="none"/>
        </w:rPr>
        <w:t xml:space="preserve">továbbiakban Lacosamide Grindeks) 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>és milyen betegségek esetén alkalmazható?</w:t>
      </w:r>
    </w:p>
    <w:p w14:paraId="62857538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2.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ab/>
        <w:t>Tudnivalók a Lacosamide Grindeks szedése előtt</w:t>
      </w:r>
    </w:p>
    <w:p w14:paraId="34EEE0E7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3.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ab/>
        <w:t>Hogyan kell szedni a Lacosamide Grindeks-et?</w:t>
      </w:r>
    </w:p>
    <w:p w14:paraId="4B36C58D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4.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ab/>
        <w:t>Lehetséges mellékhatások</w:t>
      </w:r>
    </w:p>
    <w:p w14:paraId="0F457E94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5.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ab/>
        <w:t>Hogyan kell a Lacosamide Grindeks-et tárolni?</w:t>
      </w:r>
    </w:p>
    <w:p w14:paraId="7815AAC3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6.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ab/>
        <w:t>A csomagolás tartalma és egyéb információk</w:t>
      </w:r>
    </w:p>
    <w:p w14:paraId="7244E11D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77D137D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4618949" w14:textId="77777777" w:rsidR="00B305FD" w:rsidRPr="004B342C" w:rsidRDefault="00B305FD" w:rsidP="00F83A7F">
      <w:pPr>
        <w:spacing w:after="0" w:line="240" w:lineRule="auto"/>
        <w:ind w:left="570" w:right="-2" w:hanging="570"/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s-ES_tradnl" w:eastAsia="zh-CN"/>
          <w14:ligatures w14:val="none"/>
        </w:rPr>
      </w:pPr>
      <w:r w:rsidRPr="004B342C"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s-ES_tradnl" w:eastAsia="zh-CN"/>
          <w14:ligatures w14:val="none"/>
        </w:rPr>
        <w:t>1.</w:t>
      </w:r>
      <w:r w:rsidRPr="004B342C"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s-ES_tradnl" w:eastAsia="zh-CN"/>
          <w14:ligatures w14:val="none"/>
        </w:rPr>
        <w:tab/>
        <w:t>Milyen típusú gyógyszer a Lacosamide Grindeks és milyen betegségek esetén alkalmazható?</w:t>
      </w:r>
    </w:p>
    <w:p w14:paraId="5CDC9E6B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6B6541A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Milyen típusú gyógyszer a Lacosamide Grindeks?</w:t>
      </w:r>
    </w:p>
    <w:p w14:paraId="6BC52C21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Lacosamide Grindeks lakozamidot tartalmaz. Ez az epilepszia elleni (úgynevezett antiepilepsziás) gyógyszerek csoportjába tartozik. Ezeket a gyógyszereket az epilepszia kezelésére alkalmazzák.</w:t>
      </w:r>
    </w:p>
    <w:p w14:paraId="063AE128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hanging="720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Ön azért kapja ezt a gyógyszert, hogy csökkenjen a görcsrohamainak száma.</w:t>
      </w:r>
    </w:p>
    <w:p w14:paraId="1BDC760E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3A9A53D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Milyen betegségek esetén alkalmazható a Lacosamide Grindeks?</w:t>
      </w:r>
    </w:p>
    <w:p w14:paraId="4E35112A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hanging="720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Lacosamide Grindeks-et az alábbi esetekben alkalmazzák:</w:t>
      </w:r>
    </w:p>
    <w:p w14:paraId="64E069C6" w14:textId="77777777" w:rsidR="00B305FD" w:rsidRPr="00F83A7F" w:rsidRDefault="00B305FD" w:rsidP="004B342C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1134" w:hanging="426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önmagában vagy más epilepszia elleni gyógyszerekkel együtt felnőtteknél, serdülőknél és 2 éves vagy annál idősebb gyermekeknél az epilepszia egy bizonyos típusának (másodlagos generalizációval vagy anélkül fellépő parciális rohamokkal jellemzett) kezelésére. Az epilepszia ezen formájában a rohamok kezdetben az agynak csak az egyik oldalát érintik, később azonban nagyobb területekre terjedhetnek ki az agy mindkét oldalán;</w:t>
      </w:r>
    </w:p>
    <w:p w14:paraId="1046B1E4" w14:textId="77777777" w:rsidR="00B305FD" w:rsidRPr="00F83A7F" w:rsidRDefault="00B305FD" w:rsidP="004B342C">
      <w:pPr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1134" w:hanging="426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más epilepszia elleni gyógyszerekkel együtt felnőtteknél, serdülőknél és 2 éves vagy annál idősebb gyermekeknél az elsődleges generalizált tónusos-klónusos görcsrohamok (eszméletvesztéssel járó nagyrohamok) kezelésére idiopátiás generalizált epilepsziában (genetikai okkal bíró epilepsziatípus) szenvedő betegek esetében.</w:t>
      </w:r>
    </w:p>
    <w:p w14:paraId="03232CF5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7805E29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2A93CB7" w14:textId="77777777" w:rsidR="00B305FD" w:rsidRPr="004B342C" w:rsidRDefault="00B305FD" w:rsidP="00F83A7F">
      <w:pPr>
        <w:keepNext/>
        <w:spacing w:after="0" w:line="240" w:lineRule="auto"/>
        <w:ind w:left="573" w:hanging="573"/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s-ES_tradnl" w:eastAsia="zh-CN"/>
          <w14:ligatures w14:val="none"/>
        </w:rPr>
      </w:pPr>
      <w:r w:rsidRPr="004B342C"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s-ES_tradnl" w:eastAsia="zh-CN"/>
          <w14:ligatures w14:val="none"/>
        </w:rPr>
        <w:lastRenderedPageBreak/>
        <w:t>2.</w:t>
      </w:r>
      <w:r w:rsidRPr="004B342C">
        <w:rPr>
          <w:rFonts w:ascii="Times New Roman" w:eastAsia="SimSun" w:hAnsi="Times New Roman" w:cs="Times New Roman"/>
          <w:b/>
          <w:noProof/>
          <w:snapToGrid w:val="0"/>
          <w:kern w:val="0"/>
          <w:szCs w:val="24"/>
          <w:lang w:val="es-ES_tradnl" w:eastAsia="zh-CN"/>
          <w14:ligatures w14:val="none"/>
        </w:rPr>
        <w:tab/>
        <w:t>Tudnivalók a Lacosamide Grindeks szedése előtt</w:t>
      </w:r>
    </w:p>
    <w:p w14:paraId="018AFF97" w14:textId="77777777" w:rsidR="00B305FD" w:rsidRPr="00F83A7F" w:rsidRDefault="00B305FD" w:rsidP="004B342C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4C7C05CB" w14:textId="77777777" w:rsidR="00B305FD" w:rsidRPr="00F83A7F" w:rsidRDefault="00B305FD" w:rsidP="004B342C">
      <w:pPr>
        <w:keepNext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Ne szedje a Lacosamide Grindeks-et</w:t>
      </w:r>
    </w:p>
    <w:p w14:paraId="4CF71097" w14:textId="77777777" w:rsidR="00B305FD" w:rsidRPr="00F83A7F" w:rsidRDefault="00B305FD" w:rsidP="004B342C">
      <w:pPr>
        <w:keepNext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ha allergiás a lakozamidra vagy a gyógyszer (6. pontban felsorolt) egyéb összetevőjére. Ha nem biztos benne, hogy allergiás, kérjük, beszélje meg kezelőorvosával.</w:t>
      </w:r>
    </w:p>
    <w:p w14:paraId="3D445FFA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ha egy bizonyos típusú szívritmuszavarban szenved, amit másodfokú vagy harmadfokú AV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noBreakHyphen/>
        <w:t>blokknak hívnak.</w:t>
      </w:r>
    </w:p>
    <w:p w14:paraId="0322BB9D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6841594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Ne szedje 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Grindeks-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>et, ha a fentiek bármelyike érvényes Önre. Amennyiben nem biztos benne, a gyógyszer szedésének megkezdése előtt beszéljen kezelőorvosával vagy gyógyszerészével.</w:t>
      </w:r>
    </w:p>
    <w:p w14:paraId="743CBAA9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8D1EBD1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Figyelmeztetések és óvintézkedések</w:t>
      </w:r>
    </w:p>
    <w:p w14:paraId="085085AC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szedése előtt beszéljen kezelőorvosával:</w:t>
      </w:r>
    </w:p>
    <w:p w14:paraId="1424DBAC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ha Önnek öngyilkossági vagy önkárosító gondolatai vannak. Antiepilepsziás gyógyszerekkel, például lakozamiddal, kezelt néhány betegnél önkárosító vagy öngyilkossági gondolatok fordultak elő. Ha Önnek bármikor ilyen gondolatai jelentkeznének, azonnal tájékoztassa kezelőorvosát.</w:t>
      </w:r>
    </w:p>
    <w:p w14:paraId="650C1433" w14:textId="53DD318A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ha Önnek olyan szívbetegsége van, ami befolyásolja a szívverését és gyakran fordul elő Önnél lassú, gyors vagy szabálytalan szívverés (például AV-blokk, pitvarfibrilláció és pitvarlebegés).</w:t>
      </w:r>
    </w:p>
    <w:p w14:paraId="1B6FC3A5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ha súlyos szívbetegségben, például szívelégtelenségben szenved vagy volt már szívrohama.</w:t>
      </w:r>
    </w:p>
    <w:p w14:paraId="29B13FA0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ha Ön gyakran szédül vagy elesik. A Lacosamide Grindeks szédülést okozhat, ami fokozhatja a baleseti sérülés vagy az elesés kockázatát. Emiatt elővigyázatosnak kell lennie mindaddig, amíg nem ismeri jól a gyógyszer esetleges ilyen hatásait.</w:t>
      </w:r>
    </w:p>
    <w:p w14:paraId="0FE296D3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Ha a fentiek bármelyike érvényes Önre (vagy nem biztos benne), akkor 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szedése előtt beszélje meg kezelőorvosával vagy gyógyszerészével.</w:t>
      </w:r>
    </w:p>
    <w:p w14:paraId="02C0CAE3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Ha Lacosamide Grindeks-et szed, és újfajta görcsrohamokat vagy a görcsrohamok rosszabbodását tapasztalja, beszéljen kezelőorvosával.</w:t>
      </w:r>
    </w:p>
    <w:p w14:paraId="39341CB7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Ha Lacosamide Grindeks-et szed, és szabálytalan szívverés tüneteit tapasztalja (például lassú, gyors vagy szabálytalan szívverés, szívdobogásérzés, légszomj, szédülés, ájulás) azonnal forduljon orvoshoz (lásd 4. pont).</w:t>
      </w:r>
    </w:p>
    <w:p w14:paraId="1F3E5F71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6E03D0E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Gyermekek</w:t>
      </w:r>
    </w:p>
    <w:p w14:paraId="5393151B" w14:textId="67C26A79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alkalmazása 2 évesnél fiatalabb, </w:t>
      </w:r>
      <w:r w:rsidR="00681B9E">
        <w:rPr>
          <w:rFonts w:ascii="Times New Roman" w:eastAsia="Calibri" w:hAnsi="Times New Roman" w:cs="Times New Roman"/>
          <w:kern w:val="0"/>
          <w14:ligatures w14:val="none"/>
        </w:rPr>
        <w:t>parciális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görcsrohamokkal járó epilepsziában szenvedő, valamint 4 évesnél fiatalabb elsődleges generalizált tónusos-klónusos görcsrohamokban szenvedő gyermekek kezelésére nem javasolt. Ennek az az oka, hogy még nem ismert a Lacosamide Grindeks hatásossága és biztonságossága az ilyen korú gyermekek esetében.</w:t>
      </w:r>
    </w:p>
    <w:p w14:paraId="4C9D908A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3BECEE8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Egyéb gyógyszerek és a </w:t>
      </w: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Lacosamide Grindeks</w:t>
      </w:r>
    </w:p>
    <w:p w14:paraId="5A146CC7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Feltétlenül tájékoztassa kezelőorvosát vagy gyógyszerészét a jelenleg vagy nemrégiben szedett, valamint szedni tervezett egyéb gyógyszereiről.</w:t>
      </w:r>
    </w:p>
    <w:p w14:paraId="5C9DE79B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0CB12EE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Különösen fontos, hogy tájékoztassa kezelőorvosát vagy gyógyszerészét, ha az alábbi, szívre ható gyógyszerek bármelyikét szedi. Erre azért van szükség, mert 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lakozamid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is hatással van a szívműködésre:</w:t>
      </w:r>
    </w:p>
    <w:p w14:paraId="79A20455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szívproblémák kezelésére szolgáló gyógyszerek;</w:t>
      </w:r>
    </w:p>
    <w:p w14:paraId="578D22D8" w14:textId="483570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olyan gyógyszerek, melyek EKG- (szív-elektrokardiogram-) vizsgálattal kimutatható elváltozást, úgynevezett megnyúlt PR-távolságot okozhatnak, mint például az epilepszia vagy </w:t>
      </w:r>
      <w:r w:rsidR="00BF1EC7">
        <w:rPr>
          <w:rFonts w:ascii="Times New Roman" w:eastAsia="Calibri" w:hAnsi="Times New Roman" w:cs="Times New Roman"/>
          <w:kern w:val="0"/>
          <w14:ligatures w14:val="none"/>
        </w:rPr>
        <w:t xml:space="preserve">a 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>fájdalom kezelésére alkalmazott karbamazepin, lamotrigin, pregabalin;</w:t>
      </w:r>
    </w:p>
    <w:p w14:paraId="5C7E9CF2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szívritmuszavar vagy a szívelégtelenség bizonyos típusainak kezelésére szolgáló gyógyszerek.</w:t>
      </w:r>
    </w:p>
    <w:p w14:paraId="0057E003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Ha a fentiek bármelyike érvényes Önre (vagy nem biztos benne), akkor 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szedése előtt beszélje meg kezelőorvosával vagy gyógyszerészével.</w:t>
      </w:r>
    </w:p>
    <w:p w14:paraId="46397C60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26654BF0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Arról is tájékoztassa kezelőorvosát vagy gyógyszerészét, ha az alábbi gyógyszerek bármelyikét szedi. Ez azért szükséges, mert ezek a gyógyszerek gyengíthetik, vagy erősíthetik 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szervezetére gyakorolt hatását:</w:t>
      </w:r>
    </w:p>
    <w:p w14:paraId="171F0EFB" w14:textId="287BA104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lastRenderedPageBreak/>
        <w:t>gombás fertőzések kezelésére alkalmazott gyógyszerek, például flukonazol, itrakonazol vagy ketokonazol;</w:t>
      </w:r>
    </w:p>
    <w:p w14:paraId="1D8E7007" w14:textId="29DCD000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HIV-fertőzés kezelésére alkalmazott gyógyszer, például ritonavir;</w:t>
      </w:r>
    </w:p>
    <w:p w14:paraId="7C6C82E6" w14:textId="172456A9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bakteriális fertőzések kezelésére alkalmazott gyógyszerek, például klaritromicin, rifampicin;</w:t>
      </w:r>
    </w:p>
    <w:p w14:paraId="69E6A0E5" w14:textId="681D4FE2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az enyhe szorongás és depresszió kezelésére alkalmazott gyógynövénytartalmú készítmény, a közönséges orbáncfű</w:t>
      </w:r>
      <w:r w:rsidR="00BF1EC7" w:rsidRPr="00BF1EC7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 </w:t>
      </w:r>
      <w:r w:rsidR="00BF1EC7" w:rsidRPr="0043030C">
        <w:rPr>
          <w:rFonts w:ascii="Times New Roman" w:eastAsia="Calibri" w:hAnsi="Times New Roman" w:cs="Times New Roman"/>
          <w:color w:val="000000"/>
          <w:kern w:val="0"/>
          <w14:ligatures w14:val="none"/>
        </w:rPr>
        <w:t>(</w:t>
      </w:r>
      <w:r w:rsidR="00661FD3">
        <w:rPr>
          <w:rFonts w:ascii="Times New Roman" w:eastAsia="Calibri" w:hAnsi="Times New Roman" w:cs="Times New Roman"/>
          <w:color w:val="000000"/>
          <w:kern w:val="0"/>
          <w14:ligatures w14:val="none"/>
        </w:rPr>
        <w:t xml:space="preserve">latinul: </w:t>
      </w:r>
      <w:r w:rsidR="00BF1EC7" w:rsidRPr="0043030C">
        <w:rPr>
          <w:rFonts w:ascii="Times New Roman" w:eastAsia="Calibri" w:hAnsi="Times New Roman" w:cs="Times New Roman"/>
          <w:i/>
          <w:iCs/>
          <w:color w:val="000000"/>
          <w:kern w:val="0"/>
          <w14:ligatures w14:val="none"/>
        </w:rPr>
        <w:t>Hypericum perforatum</w:t>
      </w:r>
      <w:r w:rsidR="00BF1EC7" w:rsidRPr="0043030C">
        <w:rPr>
          <w:rFonts w:ascii="Times New Roman" w:eastAsia="Calibri" w:hAnsi="Times New Roman" w:cs="Times New Roman"/>
          <w:color w:val="000000"/>
          <w:kern w:val="0"/>
          <w14:ligatures w14:val="none"/>
        </w:rPr>
        <w:t>)</w:t>
      </w:r>
      <w:r w:rsidR="00BF1EC7">
        <w:rPr>
          <w:rFonts w:ascii="Times New Roman" w:eastAsia="Calibri" w:hAnsi="Times New Roman" w:cs="Times New Roman"/>
          <w:color w:val="000000"/>
          <w:kern w:val="0"/>
          <w14:ligatures w14:val="none"/>
        </w:rPr>
        <w:t>.</w:t>
      </w:r>
    </w:p>
    <w:p w14:paraId="4FB76E65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Ha a fentiek bármelyike vonatkozik Önre (vagy nem biztos benne), akkor 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szedése előtt beszélje meg kezelőorvosával vagy gyógyszerészével.</w:t>
      </w:r>
    </w:p>
    <w:p w14:paraId="4B130689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3EE9A8D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Az alkohol hatása a</w:t>
      </w: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Lacosamide Grindeks</w:t>
      </w: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-re</w:t>
      </w:r>
    </w:p>
    <w:p w14:paraId="63ABD276" w14:textId="478E7DAC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Elővigyázatosságból ne fogyasszon alkoholt 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="00BF1EC7">
        <w:rPr>
          <w:rFonts w:ascii="Times New Roman" w:eastAsia="Calibri" w:hAnsi="Times New Roman" w:cs="Times New Roman"/>
          <w:bCs/>
          <w:kern w:val="0"/>
          <w14:ligatures w14:val="none"/>
        </w:rPr>
        <w:t>-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kezelés alatt.</w:t>
      </w:r>
    </w:p>
    <w:p w14:paraId="51B5DE65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4921A740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Terhesség és szoptatás</w:t>
      </w:r>
    </w:p>
    <w:p w14:paraId="2B1A24EF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A fogamzóképes nőknek meg kell beszélniük a kezelőorvossal a fogamzásgátlók alkalmazását.</w:t>
      </w:r>
    </w:p>
    <w:p w14:paraId="2507A0C5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0AF6508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Ha Ön terhes vagy szoptat, illetve ha fennáll Önnél a terhesség lehetősége vagy gyermeket szeretne, a gyógyszer szedése előtt beszéljen kezelőorvosával vagy gyógyszerészével.</w:t>
      </w:r>
    </w:p>
    <w:p w14:paraId="53C3B7FA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675C405" w14:textId="77777777" w:rsidR="00B305FD" w:rsidRPr="004B342C" w:rsidRDefault="00B305FD" w:rsidP="004B342C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A </w:t>
      </w:r>
      <w:r w:rsidRPr="004B342C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alkalmazása terhesség ideje alatt nem ajánlott, mivel a </w:t>
      </w:r>
      <w:r w:rsidRPr="004B342C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terhességre és a születendő gyermekre gyakorolt hatásai nem ismertek.</w:t>
      </w:r>
    </w:p>
    <w:p w14:paraId="3EEDB142" w14:textId="77777777" w:rsidR="00B305FD" w:rsidRPr="004B342C" w:rsidRDefault="00B305FD" w:rsidP="004B342C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A Lacosamide </w:t>
      </w:r>
      <w:r w:rsidRPr="004B342C">
        <w:rPr>
          <w:rFonts w:ascii="Times New Roman" w:eastAsia="Calibri" w:hAnsi="Times New Roman" w:cs="Times New Roman"/>
          <w:bCs/>
          <w:kern w:val="0"/>
          <w14:ligatures w14:val="none"/>
        </w:rPr>
        <w:t>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szedése alatt nem ajánlott gyermekét szoptatni, mivel a a </w:t>
      </w:r>
      <w:r w:rsidRPr="004B342C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bejut-e az anyatejbe.</w:t>
      </w:r>
    </w:p>
    <w:p w14:paraId="3FB608B8" w14:textId="77777777" w:rsidR="00B305FD" w:rsidRPr="004B342C" w:rsidRDefault="00B305FD" w:rsidP="004B342C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Azonnal mondja el kezelőorvosának, ha Ön terhes vagy gyermeket szeretne; kezelőorvosa fogja eldönteni, hogy szedheti-e a </w:t>
      </w:r>
      <w:r w:rsidRPr="004B342C">
        <w:rPr>
          <w:rFonts w:ascii="Times New Roman" w:eastAsia="Calibri" w:hAnsi="Times New Roman" w:cs="Times New Roman"/>
          <w:bCs/>
          <w:kern w:val="0"/>
          <w14:ligatures w14:val="none"/>
        </w:rPr>
        <w:t>Lacosamide Grindeks-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>et.</w:t>
      </w:r>
    </w:p>
    <w:p w14:paraId="45794938" w14:textId="77777777" w:rsidR="00B305FD" w:rsidRPr="004B342C" w:rsidRDefault="00B305FD" w:rsidP="004B342C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8FAC308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Ne hagyja abba a kezelést anélkül, hogy először kezelőorvosával megbeszélné azt, mivel ez fokozhatja a görcsrohamait. Betegségének romlása is káros hatással lehet a magzatra.</w:t>
      </w:r>
    </w:p>
    <w:p w14:paraId="2718F402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0355AC00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A készítmény hatásai a gépjárművezetéshez és a gépek kezeléséhez szükséges képességekre</w:t>
      </w:r>
    </w:p>
    <w:p w14:paraId="08B4231E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Ne vezessen gépjárművet, ne kerékpározzon vagy ne kezeljen semmilyen eszközt vagy gépet, amíg nem tudja, hogyan hat Önre ez 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gyógyszer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. Erre azért van szükség, mert a </w:t>
      </w:r>
      <w:bookmarkStart w:id="0" w:name="_Hlk205283118"/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F83A7F" w:rsidDel="00A07D68">
        <w:rPr>
          <w:rFonts w:ascii="Times New Roman" w:eastAsia="Calibri" w:hAnsi="Times New Roman" w:cs="Times New Roman"/>
          <w:bCs/>
          <w:kern w:val="0"/>
          <w14:ligatures w14:val="none"/>
        </w:rPr>
        <w:t xml:space="preserve"> </w:t>
      </w:r>
      <w:bookmarkEnd w:id="0"/>
      <w:r w:rsidRPr="00F83A7F">
        <w:rPr>
          <w:rFonts w:ascii="Times New Roman" w:eastAsia="Calibri" w:hAnsi="Times New Roman" w:cs="Times New Roman"/>
          <w:kern w:val="0"/>
          <w14:ligatures w14:val="none"/>
        </w:rPr>
        <w:t>szédülést vagy látászavart okozhat.</w:t>
      </w:r>
    </w:p>
    <w:p w14:paraId="01B3E256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CFEA5B3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kern w:val="0"/>
          <w14:ligatures w14:val="none"/>
        </w:rPr>
        <w:t>A Lacosamide Grindeks 150 mg filmtabletta sunset yellow FCF (E110) nevű színezőanyagot tartalmaz</w:t>
      </w:r>
    </w:p>
    <w:p w14:paraId="0027C788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gyógyszer 0,022 mg sunset yellow FCF alumínium lakk (E110) színezőanyagot tartalmaz filmtablettánként, amely allergiás reakciókat okozhat.</w:t>
      </w:r>
    </w:p>
    <w:p w14:paraId="111E6E6C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77ED9AF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871FC7A" w14:textId="407810E4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3.</w:t>
      </w: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ab/>
        <w:t>Hogyan kell szedni a Lacosamide Grindeks-</w:t>
      </w:r>
      <w:r w:rsidR="00970729">
        <w:rPr>
          <w:rFonts w:ascii="Times New Roman" w:eastAsia="Calibri" w:hAnsi="Times New Roman" w:cs="Times New Roman"/>
          <w:b/>
          <w:bCs/>
          <w:kern w:val="0"/>
          <w14:ligatures w14:val="none"/>
        </w:rPr>
        <w:t>e</w:t>
      </w: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t?</w:t>
      </w:r>
    </w:p>
    <w:p w14:paraId="07EFA193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0F16424C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gyógyszert mindig a kezelőorvosa vagy gyógyszerésze által elmondottaknak megfelelően szedje. Amennyiben nem biztos abban, hogy hogyan alkalmazza a gyógyszert, kérdezze meg kezelőorvosát vagy gyógyszerészét. Gyermekek kezelésére a lakozamid más gyógyszerformái alkalmasabbak lehetnek, kérdezze meg erről kezelőorvosát vagy gyógyszerészét.</w:t>
      </w:r>
    </w:p>
    <w:p w14:paraId="63FA126F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0BA20857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A Lacosamide Grindeks alkalmazása</w:t>
      </w:r>
    </w:p>
    <w:p w14:paraId="6226A72D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Lacosamide Grindeks-et naponta kétszer vegye be, körülbelül 12 órás időközzel.</w:t>
      </w:r>
    </w:p>
    <w:p w14:paraId="7FE864AD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Lehetőleg minden nap ugyanabban az időpontban alkalmazza.</w:t>
      </w:r>
    </w:p>
    <w:p w14:paraId="116B404E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Lacosamide Grindeks filmtablettát egy pohár vízzel nyelje le.</w:t>
      </w:r>
    </w:p>
    <w:p w14:paraId="5A8EA2C3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Lacosamide Grindeks-et beveheti étkezés közben vagy attól függetlenül is.</w:t>
      </w:r>
    </w:p>
    <w:p w14:paraId="2D06F60C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F19F0B7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Ön a kezelést 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 kis adagjával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 fogja elkezdeni, majd kezelőorvosa néhány hétig fokozatosan növelni fogja az adagot. Miután elérte az Önnek megfelelő adagot, amit „fenntartó adagnak” neveznek, azt követően Önnek minden nap ugyanazt a mennyiséget kell bevennie. 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-et hosszú távú kezelésként alkalmazzák. A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 szedését addig folytassa, amíg kezelőorvosa azt nem mondja, hogy hagyja abba.</w:t>
      </w:r>
    </w:p>
    <w:p w14:paraId="21348BD3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7E4F47E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Mennyit kell bevenni?</w:t>
      </w:r>
    </w:p>
    <w:p w14:paraId="2584739F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Az alábbiakban felsorolásra kerülnek a különböző korcsoportokra és testtömegekre vonatkozó, általánosan javasolt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>-adagok.</w:t>
      </w:r>
    </w:p>
    <w:p w14:paraId="65545953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Kezelőorvosa ettől eltérő adagot is felírhat, amennyiben Önnek vesebetegsége vagy májbetegsége van.</w:t>
      </w:r>
    </w:p>
    <w:p w14:paraId="6FF3B8B0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4013B95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Serdülők és 50 kg vagy annál nagyobb testtömegű gyermekek, valamint felnőttek</w:t>
      </w:r>
    </w:p>
    <w:p w14:paraId="6E57C8E0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:u w:val="single"/>
          <w14:ligatures w14:val="none"/>
        </w:rPr>
        <w:t xml:space="preserve">Ha az epilepszia kezelésére Ön kizárólag a </w:t>
      </w:r>
      <w:r w:rsidRPr="00F83A7F">
        <w:rPr>
          <w:rFonts w:ascii="Times New Roman" w:eastAsia="Calibri" w:hAnsi="Times New Roman" w:cs="Times New Roman"/>
          <w:bCs/>
          <w:kern w:val="0"/>
          <w:u w:val="single"/>
          <w14:ligatures w14:val="none"/>
        </w:rPr>
        <w:t>Lacosamide Grindeks</w:t>
      </w:r>
      <w:r w:rsidRPr="00F83A7F">
        <w:rPr>
          <w:rFonts w:ascii="Times New Roman" w:eastAsia="Calibri" w:hAnsi="Times New Roman" w:cs="Times New Roman"/>
          <w:kern w:val="0"/>
          <w:u w:val="single"/>
          <w14:ligatures w14:val="none"/>
        </w:rPr>
        <w:t>-et szedi</w:t>
      </w:r>
    </w:p>
    <w:p w14:paraId="38C21C0E" w14:textId="77777777" w:rsidR="00B305FD" w:rsidRPr="00F83A7F" w:rsidRDefault="00B305FD" w:rsidP="004B342C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Lacosamide Grindeks szokásos kezdő adagja naponta kétszer 50 mg.</w:t>
      </w:r>
    </w:p>
    <w:p w14:paraId="09BB2778" w14:textId="77777777" w:rsidR="00B305FD" w:rsidRPr="00F83A7F" w:rsidRDefault="00B305FD" w:rsidP="004B342C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Kezelőorvosa utasítására a Lacosamide Grindeks kezdő adagja naponta kétszer 100 mg is lehet.</w:t>
      </w:r>
    </w:p>
    <w:p w14:paraId="6BE5ED06" w14:textId="77777777" w:rsidR="00B305FD" w:rsidRPr="00F83A7F" w:rsidRDefault="00B305FD" w:rsidP="004B342C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Kezelőorvosa hetente 50 mg-mal megemelheti az Ön napi adagját, amíg Ön el nem éri a napi kétszeri 100 mg és 300 mg közötti, úgynevezett fenntartó adagot.</w:t>
      </w:r>
    </w:p>
    <w:p w14:paraId="6EC2F57D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4850B56B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:u w:val="single"/>
          <w14:ligatures w14:val="none"/>
        </w:rPr>
        <w:t xml:space="preserve">Ha Ön a </w:t>
      </w:r>
      <w:r w:rsidRPr="00F83A7F">
        <w:rPr>
          <w:rFonts w:ascii="Times New Roman" w:eastAsia="Calibri" w:hAnsi="Times New Roman" w:cs="Times New Roman"/>
          <w:bCs/>
          <w:kern w:val="0"/>
          <w:u w:val="single"/>
          <w14:ligatures w14:val="none"/>
        </w:rPr>
        <w:t>Lacosamide Grindeks</w:t>
      </w:r>
      <w:r w:rsidRPr="00F83A7F">
        <w:rPr>
          <w:rFonts w:ascii="Times New Roman" w:eastAsia="Calibri" w:hAnsi="Times New Roman" w:cs="Times New Roman"/>
          <w:kern w:val="0"/>
          <w:u w:val="single"/>
          <w14:ligatures w14:val="none"/>
        </w:rPr>
        <w:t>-et más antiepilepsziás gyógyszerrel együtt szedi</w:t>
      </w:r>
    </w:p>
    <w:p w14:paraId="5B4CB132" w14:textId="77777777" w:rsidR="00B305FD" w:rsidRPr="00F83A7F" w:rsidRDefault="00B305FD" w:rsidP="004B342C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Lacosamide Grindeks szokásos kezdő adagja naponta kétszer 50 mg.</w:t>
      </w:r>
    </w:p>
    <w:p w14:paraId="2836B783" w14:textId="77777777" w:rsidR="00B305FD" w:rsidRPr="00F83A7F" w:rsidRDefault="00B305FD" w:rsidP="004B342C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Kezelőorvosa megemelheti az Ön napi adagját hetente 50 mg-mal, amíg Ön el nem éri a napi kétszeri 100 mg és 200 mg közötti, úgynevezett fenntartó adagot.</w:t>
      </w:r>
    </w:p>
    <w:p w14:paraId="562AE917" w14:textId="77777777" w:rsidR="00B305FD" w:rsidRPr="00F83A7F" w:rsidRDefault="00B305FD" w:rsidP="004B342C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567" w:hanging="283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Amennyiben az Ön testtömege 50 kg vagy annál nagyobb, kezelőorvosa dönthet úgy, hogy a Lacosamide Grindeks-kezelést egyetlen, 200 mg-os „telítő” adaggal kezdi, amelyet körülbelül 12 órával később fenntartó adagolás elindítása követ.</w:t>
      </w:r>
    </w:p>
    <w:p w14:paraId="473D02A7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0A9B9EB5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50 kg-nál kisebb testtömegű gyermekek és serdülők</w:t>
      </w:r>
    </w:p>
    <w:p w14:paraId="0F2437A9" w14:textId="592CD9C3" w:rsidR="00B305FD" w:rsidRPr="00F83A7F" w:rsidRDefault="00B305FD" w:rsidP="004B342C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284" w:hanging="283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A </w:t>
      </w:r>
      <w:r w:rsidR="00F81323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parciális </w:t>
      </w:r>
      <w:r w:rsidRPr="00F83A7F">
        <w:rPr>
          <w:rFonts w:ascii="Times New Roman" w:eastAsia="Calibri" w:hAnsi="Times New Roman" w:cs="Times New Roman"/>
          <w:i/>
          <w:iCs/>
          <w:kern w:val="0"/>
          <w14:ligatures w14:val="none"/>
        </w:rPr>
        <w:t>rohamok kezelésében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>: Figyelembe kell venni, hogy a Lacosamid Grindeks nem ajánlott 2 évesnél fiatalabb gyermekek számára.</w:t>
      </w:r>
    </w:p>
    <w:p w14:paraId="7B7800D1" w14:textId="28AAED00" w:rsidR="00B305FD" w:rsidRPr="00F83A7F" w:rsidRDefault="00B305FD" w:rsidP="004B342C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284" w:hanging="283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i/>
          <w:iCs/>
          <w:kern w:val="0"/>
          <w14:ligatures w14:val="none"/>
        </w:rPr>
        <w:t>Az elsődleges generalizált tónusos-klón</w:t>
      </w:r>
      <w:r w:rsidR="00F81323">
        <w:rPr>
          <w:rFonts w:ascii="Times New Roman" w:eastAsia="Calibri" w:hAnsi="Times New Roman" w:cs="Times New Roman"/>
          <w:i/>
          <w:iCs/>
          <w:kern w:val="0"/>
          <w14:ligatures w14:val="none"/>
        </w:rPr>
        <w:t>usos</w:t>
      </w:r>
      <w:r w:rsidRPr="00F83A7F">
        <w:rPr>
          <w:rFonts w:ascii="Times New Roman" w:eastAsia="Calibri" w:hAnsi="Times New Roman" w:cs="Times New Roman"/>
          <w:i/>
          <w:iCs/>
          <w:kern w:val="0"/>
          <w14:ligatures w14:val="none"/>
        </w:rPr>
        <w:t xml:space="preserve"> rohamok kezelésében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>: Figyelembe kell venni, hogy a Lacosamid Grindeks nem ajánlott 4 évesnél fiatalabb gyermekek számára.</w:t>
      </w:r>
    </w:p>
    <w:p w14:paraId="45C45B7E" w14:textId="77777777" w:rsidR="00B305FD" w:rsidRPr="00F83A7F" w:rsidRDefault="00B305FD" w:rsidP="004B342C">
      <w:pPr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ind w:left="284" w:hanging="283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Az adag a testtömegtől függ. Általában lakozamid sziruppal fogják a kezelést kezdeni, és csak akkor fognak tablettára váltani, ha a betegek azt be tudják venni, és a különböző hatáserősségű tablettákkal be tudják állítani a megfelelő adagot. A kezelőorvos a leginkább megfelelő gyógyszerformát fogja felírni.</w:t>
      </w:r>
    </w:p>
    <w:p w14:paraId="18F6DD7F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19C1A1E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Ha az előírtnál több Lacosamide Grindeks-et vett be</w:t>
      </w:r>
    </w:p>
    <w:p w14:paraId="6CA2C797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Azonnal forduljon kezelőorvosához, ha az előírtnál több </w:t>
      </w:r>
      <w:r w:rsidRPr="00F83A7F">
        <w:rPr>
          <w:rFonts w:ascii="Times New Roman" w:eastAsia="Calibri" w:hAnsi="Times New Roman" w:cs="Times New Roman"/>
          <w:bCs/>
          <w:kern w:val="0"/>
          <w14:ligatures w14:val="none"/>
        </w:rPr>
        <w:t>Lacosamide Grindeks-et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 vett be. Ne vezessen gépjárművet. A következőket tapasztalhatja:</w:t>
      </w:r>
    </w:p>
    <w:p w14:paraId="3BCFCBC4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szédülés,</w:t>
      </w:r>
    </w:p>
    <w:p w14:paraId="2DC8E4DD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hányinger vagy hányás,</w:t>
      </w:r>
    </w:p>
    <w:p w14:paraId="0F00B0C7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görcsök (görcsrohamok), szívritmuszavarok, például lassú, gyors vagy szabálytalan szívverés, kóma vagy szapora szívveréssel és verejtékezéssel járó vérnyomásesés.</w:t>
      </w:r>
    </w:p>
    <w:p w14:paraId="288A8881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5A377E8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Ha elfelejtette bevenni a </w:t>
      </w: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Lacosamide Grindeks-</w:t>
      </w: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et</w:t>
      </w:r>
    </w:p>
    <w:p w14:paraId="4B3BDE37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Ha kevesebb mint 6 óra telt el azóta, hogy be kellett volna vennie a Lacosamide Grindeks-et, azonnal vegye be, amint eszébe jut.</w:t>
      </w:r>
    </w:p>
    <w:p w14:paraId="52C8C323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Ha több mint 6 óra telt el azóta, hogy be kellett volna vennie a Lacosamide Grindeks-et, akkor a kihagyott tablettát ne vegye be. A Lacosamide Grindeks-et csak a következő előírt időpontban vegye be.</w:t>
      </w:r>
    </w:p>
    <w:p w14:paraId="7AF309C7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Ne vegyen be kétszeres adagot a kihagyott adag pótlására.</w:t>
      </w:r>
    </w:p>
    <w:p w14:paraId="58CAFEFE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EA53F18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Ha idő előtt abbahagyja a </w:t>
      </w: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szedését</w:t>
      </w:r>
    </w:p>
    <w:p w14:paraId="24728058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Ne hagyja abba a Lacosamide Grindeks szedését anélkül, hogy azt kezelőorvosával megbeszélné, mivel az epilepsziája visszatérhet vagy súlyosbodhat.</w:t>
      </w:r>
    </w:p>
    <w:p w14:paraId="57B276ED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Ha kezelőorvosa úgy dönt, hogy leállítja az Ön Lacosamide Grindeks-kezelését, tájékoztatni fogja Önt arról, hogyan csökkentheti az adagot fokozatosan.</w:t>
      </w:r>
    </w:p>
    <w:p w14:paraId="74893C75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4FE156F4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Ha bármilyen további kérdése van a gyógyszer alkalmazásával kapcsolatban, kérdezze meg kezelőorvosát vagy gyógyszerészét.</w:t>
      </w:r>
    </w:p>
    <w:p w14:paraId="12D1B1A0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197F895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0E281B1D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lastRenderedPageBreak/>
        <w:t>4.</w:t>
      </w: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ab/>
        <w:t>Lehetséges mellékhatások</w:t>
      </w:r>
    </w:p>
    <w:p w14:paraId="33A4D6BE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5CEFB22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Mint minden gyógyszer, így ez a gyógyszer is okozhat mellékhatásokat, amelyek azonban nem mindenkinél jelentkeznek.</w:t>
      </w:r>
    </w:p>
    <w:p w14:paraId="00852577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0EFAFF1B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Az idegrendszeri mellékhatások, például a szédülés, „telítő” adag alkalmazása után gyakrabban fordulhatnak elő.</w:t>
      </w:r>
    </w:p>
    <w:p w14:paraId="4E195D1D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E16109E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Tájékoztassa kezelőorvosát vagy gyógyszerészét, amennyiben az alábbi tünetek bármelyikét észleli:</w:t>
      </w:r>
    </w:p>
    <w:p w14:paraId="6F884EEB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B487F30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Nagyon gyakori 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mellékhatások: 10 betegből több, mint 1 beteget érinthet </w:t>
      </w:r>
    </w:p>
    <w:p w14:paraId="07442AFC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fejfájás;</w:t>
      </w:r>
    </w:p>
    <w:p w14:paraId="5D31B127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szédülés vagy hányinger;</w:t>
      </w:r>
    </w:p>
    <w:p w14:paraId="56661A6E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kettőslátás (diplopia).</w:t>
      </w:r>
    </w:p>
    <w:p w14:paraId="2610D211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E57A36D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Gyakori 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>mellékhatások: 10 betegből legfeljebb 1 beteget érinthet</w:t>
      </w:r>
    </w:p>
    <w:p w14:paraId="332570DA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izmok vagy izomcsoportok rövid rángása (mioklónusos görcsrohamok);</w:t>
      </w:r>
    </w:p>
    <w:p w14:paraId="3E673689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mozgások vagy a járás összehangolásának nehézsége;</w:t>
      </w:r>
    </w:p>
    <w:p w14:paraId="18A3E95C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az egyensúly megtartásával kapcsolatos problémák, remegés (tremor), bizsergés (paresztézia) vagy izomgörcsök, zúzódásokat eredményező gyakori elesés;</w:t>
      </w:r>
    </w:p>
    <w:p w14:paraId="633C1BC0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memóriával, a gondolkodással kapcsolatos vagy szótalálási problémák, zavartság;</w:t>
      </w:r>
    </w:p>
    <w:p w14:paraId="140190D6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gyors és nem kontrollálható szemmozgások (nisztagmus), homályos látás;</w:t>
      </w:r>
    </w:p>
    <w:p w14:paraId="1B1E0D6E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forgó jellegű szédülés (vertigó), részegség érzése;</w:t>
      </w:r>
    </w:p>
    <w:p w14:paraId="6AF5E477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hányás, szájszárazság, székrekedés, emésztési zavar, túlzott gázképződés a gyomorban vagy a bélben, hasmenés;</w:t>
      </w:r>
    </w:p>
    <w:p w14:paraId="764A8936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fonákérzés, csökkent érzékelés a bőrön, a szavak érthető kiejtésének zavara, figyelemzavar;</w:t>
      </w:r>
    </w:p>
    <w:p w14:paraId="247ED0AF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zaj a fülben, például zúgás, csengés vagy sípolás;</w:t>
      </w:r>
    </w:p>
    <w:p w14:paraId="30188AFD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ingerlékenység, alvászavarok, depresszió;</w:t>
      </w:r>
    </w:p>
    <w:p w14:paraId="3898D557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álmosság, fáradtság vagy gyengeség (aszténia);</w:t>
      </w:r>
    </w:p>
    <w:p w14:paraId="5A3D44BE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viszketés, bőrkiütés.</w:t>
      </w:r>
    </w:p>
    <w:p w14:paraId="7B831A91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F9F1BF1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Nem gyakori 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>mellékhatások: 100 betegből legfeljebb 1 beteget érinthet</w:t>
      </w:r>
    </w:p>
    <w:p w14:paraId="45FFE2B6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lassú szívverés, szívdobogásérzés (palpitáció), szabálytalan pulzus vagy a szív elektromos aktivitásával kapcsolatos egyéb rendellenesség (ingerületvezetési zavar);</w:t>
      </w:r>
    </w:p>
    <w:p w14:paraId="04A94B32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emelkedett hangulat, nem létező dolgok látása és/vagy hallása;</w:t>
      </w:r>
    </w:p>
    <w:p w14:paraId="6DB65FEE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gyógyszer szedése okozta allergiás reakció, csalánkiütés;</w:t>
      </w:r>
    </w:p>
    <w:p w14:paraId="088B1218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vérvizsgálatokkal kimutatható rendellenes májműködés, májkárosodás;</w:t>
      </w:r>
    </w:p>
    <w:p w14:paraId="5A41D418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öngyilkossági vagy önkárosító gondolatok vagy öngyilkossági kísérlet: ebben az esetben azonnal értesítse kezelőorvosát;</w:t>
      </w:r>
    </w:p>
    <w:p w14:paraId="2A729175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düh vagy izgatottság;</w:t>
      </w:r>
    </w:p>
    <w:p w14:paraId="08430F32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rendellenes gondolkodás vagy a valósággal való kapcsolat elvesztése;</w:t>
      </w:r>
    </w:p>
    <w:p w14:paraId="0FAAB4E7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súlyos allergiás reakció, amely az arc, a torok, a kéz, a lábfej, a bokák vagy a lábszárak duzzanatát okozza;</w:t>
      </w:r>
    </w:p>
    <w:p w14:paraId="22EABD30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ájulás;</w:t>
      </w:r>
    </w:p>
    <w:p w14:paraId="2268A7EA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rendellenes akaratlan mozgások (diszkinézia).</w:t>
      </w:r>
    </w:p>
    <w:p w14:paraId="23FE8ECE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7B943A8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Nem ismert 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>gyakoriságú mellékhatások: a gyakoriság a rendelkezésre álló adatokból nem állapítható meg</w:t>
      </w:r>
    </w:p>
    <w:p w14:paraId="19658788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rendellenesen gyors szívverés (kamrai tahiarritmia);</w:t>
      </w:r>
    </w:p>
    <w:p w14:paraId="670D3DDA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torokfájás, magas testhőmérséklet és a szokottnál gyakoribb fertőzések. A vérvizsgálatok bizonyos típusú fehérvérsejtek számának súlyos csökkenését (agranulocitózis) mutathatják;</w:t>
      </w:r>
    </w:p>
    <w:p w14:paraId="020ABF0C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súlyos bőrreakció, amely magas testhőmérséklettel és egyéb influenzaszerű tünetekkel, az arcon jelentkező bőrkiütéssel, kiterjedt bőrkiütéssel, duzzadt mirigyekkel (nyirokcsomók 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lastRenderedPageBreak/>
        <w:t>duzzanatával) járhat. A vérvizsgálatok a májenzimek szintjének emelkedését és bizonyos típusú fehérvérsejtek számának növekedését (eozinofília) mutathatják;</w:t>
      </w:r>
    </w:p>
    <w:p w14:paraId="714FE395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kiterjedt bőrkiütés hólyagokkal és hámló bőrrel, főként a száj, az orr, a szem és a nemi szervek körül (Stevens–Johnson-szindróma), és ennek egy súlyosabb formája, amely a testfelület több mint 30%-án okoz bőrhámlást (toxikus epidermális nekrolízis);</w:t>
      </w:r>
    </w:p>
    <w:p w14:paraId="20DABC20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görcsroham.</w:t>
      </w:r>
    </w:p>
    <w:p w14:paraId="026FDEE3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8C653FA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További mellékhatások gyermekeknél</w:t>
      </w:r>
    </w:p>
    <w:p w14:paraId="0B90696E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gyermekeknél előforduló további mellékhatások a következők voltak: láz (pirexia), orrfolyás (orrgaratgyulladás), torokfájás (garatgyulladás), a szokásosnál kevesebb étel fogyasztása (csökkent étvágy), viselkedésbeli változás, úgy viselkedik, mintha nem önmaga lenne (rendellenes viselkedés) és energiahiány (letargia). Az álmosság érzése (aluszékonyság) nagyon gyakori mellékhatás gyermekeknél, és 10-ből több mint 1 gyermeket érinthet.</w:t>
      </w:r>
    </w:p>
    <w:p w14:paraId="3E294FA4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1E126A3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Mellékhatások bejelentése</w:t>
      </w:r>
    </w:p>
    <w:p w14:paraId="45940FCF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</w:t>
      </w:r>
      <w:hyperlink w:history="1">
        <w:r w:rsidRPr="004B342C">
          <w:rPr>
            <w:rFonts w:ascii="Times New Roman" w:eastAsia="Calibri" w:hAnsi="Times New Roman" w:cs="Times New Roman"/>
            <w:color w:val="0000FF"/>
            <w:kern w:val="0"/>
            <w:highlight w:val="lightGray"/>
            <w:u w:val="single"/>
            <w14:ligatures w14:val="none"/>
          </w:rPr>
          <w:t>V. függelékben</w:t>
        </w:r>
      </w:hyperlink>
      <w:r w:rsidRPr="004B342C">
        <w:rPr>
          <w:rFonts w:ascii="Times New Roman" w:eastAsia="Calibri" w:hAnsi="Times New Roman" w:cs="Times New Roman"/>
          <w:kern w:val="0"/>
          <w:highlight w:val="lightGray"/>
          <w14:ligatures w14:val="none"/>
        </w:rPr>
        <w:t xml:space="preserve"> található elérhetőségeken keresztül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>. A mellékhatások bejelentésével Ön is hozzájárulhat ahhoz, hogy minél több információ álljon rendelkezésre a gyógyszer biztonságos alkalmazásával kapcsolatban.</w:t>
      </w:r>
    </w:p>
    <w:p w14:paraId="5C2F54CF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ED57686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E30A6AD" w14:textId="4052E6B3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5.</w:t>
      </w: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ab/>
        <w:t xml:space="preserve">Hogyan kell a </w:t>
      </w: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Lacosamide Grindeks-</w:t>
      </w:r>
      <w:r w:rsidR="000E2FC0">
        <w:rPr>
          <w:rFonts w:ascii="Times New Roman" w:eastAsia="Calibri" w:hAnsi="Times New Roman" w:cs="Times New Roman"/>
          <w:b/>
          <w:bCs/>
          <w:kern w:val="0"/>
          <w14:ligatures w14:val="none"/>
        </w:rPr>
        <w:t>e</w:t>
      </w: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t tárolni?</w:t>
      </w:r>
    </w:p>
    <w:p w14:paraId="2B773D4D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8776F98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gyógyszer gyermekektől elzárva tartandó!</w:t>
      </w:r>
    </w:p>
    <w:p w14:paraId="3900CBAC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E925AD3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dobozon és a buborékcsomagoláson feltüntetett lejárati idő után ne alkalmazza ezt a gyógyszert. A lejárati idő az adott hónap utolsó napjára vonatkozik.</w:t>
      </w:r>
    </w:p>
    <w:p w14:paraId="7FB34C95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C8DDAC1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:u w:val="single"/>
          <w14:ligatures w14:val="none"/>
        </w:rPr>
        <w:t>Lacosamide Grindeks 50 mg, 100 mg és 200 mg filmtabletta</w:t>
      </w:r>
    </w:p>
    <w:p w14:paraId="090DE3E0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Ez a gyógyszer nem igényel különleges tárolást.</w:t>
      </w:r>
    </w:p>
    <w:p w14:paraId="74EBBFF8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33084C2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:u w:val="single"/>
          <w14:ligatures w14:val="none"/>
        </w:rPr>
        <w:t>Lacosamide Grindeks 150 mg filmtabletta (PVC/PVDC//Al buborékcsomagolásban)</w:t>
      </w:r>
    </w:p>
    <w:p w14:paraId="4761BD19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A fénytől való védelem érdekében a buborékcsomagolást tartsa a dobozában.</w:t>
      </w:r>
    </w:p>
    <w:p w14:paraId="0BA051E2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207210DD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:u w:val="single"/>
          <w14:ligatures w14:val="none"/>
        </w:rPr>
        <w:t>Lacosamide Grindeks 150 mg filmtabletta (OPA/Al/PVC//Al buborékcsomagolásban)</w:t>
      </w:r>
    </w:p>
    <w:p w14:paraId="52FDA5E2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A fénytől való védelem érdekében az eredeti csomagolásban tárolandó.</w:t>
      </w:r>
    </w:p>
    <w:p w14:paraId="67D1A066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00345F7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489FF790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BE91944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87B2A41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6.</w:t>
      </w: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ab/>
        <w:t>A csomagolás tartalma és egyéb információk</w:t>
      </w:r>
    </w:p>
    <w:p w14:paraId="2810F6AD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2DD41674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Mit tartalmaz a </w:t>
      </w: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Lacosamide Grindeks</w:t>
      </w:r>
      <w:r w:rsidRPr="00F83A7F">
        <w:rPr>
          <w:rFonts w:ascii="Times New Roman" w:eastAsia="Calibri" w:hAnsi="Times New Roman" w:cs="Times New Roman"/>
          <w:b/>
          <w:bCs/>
          <w:kern w:val="0"/>
          <w14:ligatures w14:val="none"/>
        </w:rPr>
        <w:t>?</w:t>
      </w:r>
    </w:p>
    <w:p w14:paraId="3C6E1E2F" w14:textId="77777777" w:rsidR="00B305FD" w:rsidRPr="00F83A7F" w:rsidRDefault="00B305FD" w:rsidP="004B342C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567" w:hanging="567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A készítmény hatóanyaga a lakozamid.</w:t>
      </w:r>
    </w:p>
    <w:p w14:paraId="6788B3D5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Lacosamide Grindeks 50 mg filmtabletta: 50 mg lakozamidot tartalmaz filmtablettánként.</w:t>
      </w:r>
    </w:p>
    <w:p w14:paraId="0267EC84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Lacosamide Grindeks 100 mg filmtabletta: 100 mg lakozamidot tartalmaz filmtablettánként.</w:t>
      </w:r>
    </w:p>
    <w:p w14:paraId="67E93A46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150 mg filmtabletta: 150 mg lakozamidot tartalmaz filmtablettánként.</w:t>
      </w:r>
    </w:p>
    <w:p w14:paraId="796D83B8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Cs/>
          <w:kern w:val="0"/>
          <w14:ligatures w14:val="none"/>
        </w:rPr>
        <w:t>Lacosamide Grindeks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200 mg filmtabletta: 200 mg lakozamidot tartalmaz filmtablettánként.</w:t>
      </w:r>
    </w:p>
    <w:p w14:paraId="79631716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979A0E6" w14:textId="77777777" w:rsidR="00B305FD" w:rsidRPr="00F83A7F" w:rsidRDefault="00B305FD" w:rsidP="004B342C">
      <w:pPr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left="567" w:hanging="567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Egyéb összetevők:</w:t>
      </w:r>
    </w:p>
    <w:p w14:paraId="7A1E85C5" w14:textId="0A6E30F4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:u w:val="single"/>
          <w14:ligatures w14:val="none"/>
        </w:rPr>
        <w:t>Tablettamag: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mikrokristályos cellulóz, alacsony szubsztitúciós fokú hidroxipropilcellulóz, hidroxipropilcellulóz szilikátos mikrokristályos cellulóz (mikrokristályos cellulóz, vízmentes kolloid szilícium-dioxid), kroszpovidon, magnézium-sztearát.</w:t>
      </w:r>
    </w:p>
    <w:p w14:paraId="7FFEDE2F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F9EA895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:u w:val="single"/>
          <w14:ligatures w14:val="none"/>
        </w:rPr>
        <w:lastRenderedPageBreak/>
        <w:t>Filmbevonat:</w:t>
      </w:r>
    </w:p>
    <w:p w14:paraId="34B6518B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kern w:val="0"/>
          <w:u w:val="single"/>
          <w14:ligatures w14:val="none"/>
        </w:rPr>
      </w:pPr>
      <w:r w:rsidRPr="004B342C">
        <w:rPr>
          <w:rFonts w:ascii="Times New Roman" w:eastAsia="Calibri" w:hAnsi="Times New Roman" w:cs="Times New Roman"/>
          <w:i/>
          <w:iCs/>
          <w:kern w:val="0"/>
          <w:u w:val="single"/>
          <w14:ligatures w14:val="none"/>
        </w:rPr>
        <w:t>Lacosamide Grindeks 50 mg filmtabletta</w:t>
      </w:r>
    </w:p>
    <w:p w14:paraId="51630D3F" w14:textId="6A107A8A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makrogol-poli(vinil-alkohol) fésűs kopolimer</w:t>
      </w:r>
      <w:r w:rsidR="0019060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>talkum, kalcium-karbonát, glicerin-monokaprilokaprinát, poli(vinil-alkohol), vörös vas-oxid (E172)</w:t>
      </w:r>
    </w:p>
    <w:p w14:paraId="60001C3A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kármin (E120), indigókármin alumínium lakk (E132)</w:t>
      </w:r>
    </w:p>
    <w:p w14:paraId="7F47BDF3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kern w:val="0"/>
          <w:u w:val="single"/>
          <w14:ligatures w14:val="none"/>
        </w:rPr>
      </w:pPr>
    </w:p>
    <w:p w14:paraId="7E4F0E28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kern w:val="0"/>
          <w:u w:val="single"/>
          <w14:ligatures w14:val="none"/>
        </w:rPr>
      </w:pPr>
      <w:r w:rsidRPr="004B342C">
        <w:rPr>
          <w:rFonts w:ascii="Times New Roman" w:eastAsia="Calibri" w:hAnsi="Times New Roman" w:cs="Times New Roman"/>
          <w:i/>
          <w:iCs/>
          <w:kern w:val="0"/>
          <w:u w:val="single"/>
          <w14:ligatures w14:val="none"/>
        </w:rPr>
        <w:t>Lacosamide Grindeks 100 mg filmtabletta</w:t>
      </w:r>
    </w:p>
    <w:p w14:paraId="39DF108A" w14:textId="7A7AAFCA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makrogol-poli(vinil-alkohol) fésűs kopolimer</w:t>
      </w:r>
      <w:r w:rsidR="00190600">
        <w:rPr>
          <w:rFonts w:ascii="Times New Roman" w:eastAsia="Calibri" w:hAnsi="Times New Roman" w:cs="Times New Roman"/>
          <w:kern w:val="0"/>
          <w14:ligatures w14:val="none"/>
        </w:rPr>
        <w:t xml:space="preserve">, 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>talkum, kalcium-karbonát, glicerin-monokaprilokaprinát, poli(vinil-alkohol), sárga vas-oxid (E172)</w:t>
      </w:r>
    </w:p>
    <w:p w14:paraId="3D8A4949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kern w:val="0"/>
          <w:u w:val="single"/>
          <w14:ligatures w14:val="none"/>
        </w:rPr>
      </w:pPr>
    </w:p>
    <w:p w14:paraId="7D2A5679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kern w:val="0"/>
          <w:u w:val="single"/>
          <w14:ligatures w14:val="none"/>
        </w:rPr>
      </w:pPr>
      <w:r w:rsidRPr="004B342C">
        <w:rPr>
          <w:rFonts w:ascii="Times New Roman" w:eastAsia="Calibri" w:hAnsi="Times New Roman" w:cs="Times New Roman"/>
          <w:i/>
          <w:iCs/>
          <w:kern w:val="0"/>
          <w:u w:val="single"/>
          <w14:ligatures w14:val="none"/>
        </w:rPr>
        <w:t>Lacosamide Grindeks 150 mg filmtabletta</w:t>
      </w:r>
    </w:p>
    <w:p w14:paraId="5C4461CE" w14:textId="5E90D793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makrogol-poli(vinil-alkohol) fésűs kopolimer, talkum, kalcium-karbonát, glicerin-monokaprilokaprinát, poli(vinil-alkohol), kármin (E120)</w:t>
      </w:r>
    </w:p>
    <w:p w14:paraId="466913CC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sunset yellow FCF alumínium lakk (E110)</w:t>
      </w:r>
    </w:p>
    <w:p w14:paraId="48294B88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kern w:val="0"/>
          <w:u w:val="single"/>
          <w14:ligatures w14:val="none"/>
        </w:rPr>
      </w:pPr>
    </w:p>
    <w:p w14:paraId="734372C0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iCs/>
          <w:kern w:val="0"/>
          <w:u w:val="single"/>
          <w14:ligatures w14:val="none"/>
        </w:rPr>
      </w:pPr>
      <w:r w:rsidRPr="004B342C">
        <w:rPr>
          <w:rFonts w:ascii="Times New Roman" w:eastAsia="Calibri" w:hAnsi="Times New Roman" w:cs="Times New Roman"/>
          <w:i/>
          <w:iCs/>
          <w:kern w:val="0"/>
          <w:u w:val="single"/>
          <w14:ligatures w14:val="none"/>
        </w:rPr>
        <w:t>Lacosamide Grindeks 200 mg filmtabletta</w:t>
      </w:r>
    </w:p>
    <w:p w14:paraId="7D96217D" w14:textId="3F74D692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makrogol-poli(vinil-alkohol) fésűs kopolimer, talkum, kalcium-karbonát, glicerin-monokaprilokaprinát, poli(vinil-alkohol), indigókármin alumínium lakk (E132).</w:t>
      </w:r>
    </w:p>
    <w:p w14:paraId="038FAE6D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A23425F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Milyen a Lacosamide Grindeks külleme és mit tartalmaz a csomagolás?</w:t>
      </w:r>
    </w:p>
    <w:p w14:paraId="75B607E2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i/>
          <w:iCs/>
          <w:kern w:val="0"/>
          <w14:ligatures w14:val="none"/>
        </w:rPr>
        <w:t>Lacosamide Grindeks 50 mg filmtabletta: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 Halvány vagy világos rózsaszín, hosszúkás, mindkét oldalán domború filmtabletta, egyik oldalán mélynyomású „50” jelöléssel. A tabletta mérete 10,5 mm × 4,9 mm.</w:t>
      </w:r>
    </w:p>
    <w:p w14:paraId="63594CFB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i/>
          <w:iCs/>
          <w:kern w:val="0"/>
          <w14:ligatures w14:val="none"/>
        </w:rPr>
        <w:t>Lacosamide Grindeks 100 mg filmtabletta: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 Sárga, hosszúkás, mindkét oldalán domború filmtabletta, egyik oldalán mélynyomású „100” jelöléssel. A tabletta mérete 13,3 mm × 6,2 mm.</w:t>
      </w:r>
    </w:p>
    <w:p w14:paraId="73EB17F7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i/>
          <w:iCs/>
          <w:kern w:val="0"/>
          <w14:ligatures w14:val="none"/>
        </w:rPr>
        <w:t>Lacosamide Grindeks 150 mg filmtabletta: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 Rózsaszín, hosszúkás, mindkét oldalán domború filmtabletta, egyik oldalán mélynyomású „150” jelöléssel. A tabletta mérete 15,4 mm × 7,1 mm.</w:t>
      </w:r>
    </w:p>
    <w:p w14:paraId="1D035652" w14:textId="77777777" w:rsidR="00B305FD" w:rsidRPr="00F83A7F" w:rsidRDefault="00B305FD" w:rsidP="004B342C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i/>
          <w:iCs/>
          <w:kern w:val="0"/>
          <w14:ligatures w14:val="none"/>
        </w:rPr>
        <w:t>Lacosamide Grindeks 200 mg filmtabletta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>: Világoskék vagy kék, hosszúkás, mindkét oldalán domború filmtabletta, egyik oldalán mélynyomású „200” jelöléssel. A tabletta mérete 16,8 mm × 7,8 mm.</w:t>
      </w:r>
    </w:p>
    <w:p w14:paraId="2413375F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03FF81A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:u w:val="single"/>
          <w14:ligatures w14:val="none"/>
        </w:rPr>
        <w:t>Lacosamide Grindeks 50 mg és 100 mg filmtabletta</w:t>
      </w:r>
    </w:p>
    <w:p w14:paraId="011DC6F4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14 db, 56 db vagy 168 db filmtabletta 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PVC/PVDC//Al 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>vagy OPA/Al/PVC//Al buborékcsomagolásban és dobozban.</w:t>
      </w:r>
    </w:p>
    <w:p w14:paraId="6E663962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2B44E06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:u w:val="single"/>
          <w14:ligatures w14:val="none"/>
        </w:rPr>
        <w:t>Lacosamide Grindeks 150 mg és 200 mg filmtabletta</w:t>
      </w:r>
    </w:p>
    <w:p w14:paraId="3A223770" w14:textId="005864E0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56 db</w:t>
      </w:r>
      <w:r w:rsidR="009030FF">
        <w:rPr>
          <w:rFonts w:ascii="Times New Roman" w:eastAsia="Calibri" w:hAnsi="Times New Roman" w:cs="Times New Roman"/>
          <w:kern w:val="0"/>
          <w14:ligatures w14:val="none"/>
        </w:rPr>
        <w:t xml:space="preserve"> vagy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168 db filmtabletta</w:t>
      </w:r>
      <w:r w:rsidR="009030FF">
        <w:rPr>
          <w:rFonts w:ascii="Times New Roman" w:eastAsia="Calibri" w:hAnsi="Times New Roman" w:cs="Times New Roman"/>
          <w:kern w:val="0"/>
          <w14:ligatures w14:val="none"/>
        </w:rPr>
        <w:t>,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 xml:space="preserve"> vagy 168 db-os gyűjtőcsomagolás (3 doboz 56 db filmtablettát tartalmazó csomagolás) </w:t>
      </w:r>
      <w:r w:rsidRPr="00F83A7F">
        <w:rPr>
          <w:rFonts w:ascii="Times New Roman" w:eastAsia="Calibri" w:hAnsi="Times New Roman" w:cs="Times New Roman"/>
          <w:kern w:val="0"/>
          <w14:ligatures w14:val="none"/>
        </w:rPr>
        <w:t xml:space="preserve">PVC/PVDC//Al </w:t>
      </w:r>
      <w:r w:rsidRPr="004B342C">
        <w:rPr>
          <w:rFonts w:ascii="Times New Roman" w:eastAsia="Calibri" w:hAnsi="Times New Roman" w:cs="Times New Roman"/>
          <w:kern w:val="0"/>
          <w14:ligatures w14:val="none"/>
        </w:rPr>
        <w:t>vagy OPA/Al/PVC//Al buborékcsomagolásban és dobozban.</w:t>
      </w:r>
    </w:p>
    <w:p w14:paraId="4DB595CF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4A410309" w14:textId="77777777" w:rsidR="00B305FD" w:rsidRPr="00F83A7F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F83A7F">
        <w:rPr>
          <w:rFonts w:ascii="Times New Roman" w:eastAsia="Calibri" w:hAnsi="Times New Roman" w:cs="Times New Roman"/>
          <w:kern w:val="0"/>
          <w14:ligatures w14:val="none"/>
        </w:rPr>
        <w:t>Nem feltétlenül mindegyik kiszerelés kerül kereskedelmi forgalomba.</w:t>
      </w:r>
    </w:p>
    <w:p w14:paraId="3B1E4C22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45B825B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A forgalomba hozatali engedély jogosultja</w:t>
      </w:r>
    </w:p>
    <w:p w14:paraId="15A493E9" w14:textId="77777777" w:rsidR="00B305FD" w:rsidRPr="004B342C" w:rsidRDefault="00B305FD" w:rsidP="004B342C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</w:pPr>
      <w:r w:rsidRPr="004B342C"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  <w:t>AS GRINDEKS</w:t>
      </w:r>
    </w:p>
    <w:p w14:paraId="65CB039F" w14:textId="77777777" w:rsidR="00B305FD" w:rsidRPr="004B342C" w:rsidRDefault="00B305FD" w:rsidP="004B342C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</w:pPr>
      <w:r w:rsidRPr="004B342C"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  <w:t xml:space="preserve">Krustpils iela 53, </w:t>
      </w:r>
    </w:p>
    <w:p w14:paraId="3856CA85" w14:textId="77777777" w:rsidR="00B305FD" w:rsidRPr="004B342C" w:rsidRDefault="00B305FD" w:rsidP="004B342C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</w:pPr>
      <w:r w:rsidRPr="004B342C"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  <w:t xml:space="preserve">Rīga, LV-1057, </w:t>
      </w:r>
    </w:p>
    <w:p w14:paraId="74A42F66" w14:textId="77777777" w:rsidR="00B305FD" w:rsidRPr="004B342C" w:rsidRDefault="00B305FD" w:rsidP="004B342C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</w:pPr>
      <w:r w:rsidRPr="004B342C"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  <w:t>Lettország</w:t>
      </w:r>
    </w:p>
    <w:p w14:paraId="59BB4926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00F222A1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Gyártó</w:t>
      </w:r>
    </w:p>
    <w:p w14:paraId="64273C93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SIEGFRIED BARBERA, S.L.</w:t>
      </w:r>
    </w:p>
    <w:p w14:paraId="504BB52F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Ronda de Santa Maria, 158</w:t>
      </w:r>
    </w:p>
    <w:p w14:paraId="0372B2F4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08210 BARBERÀ DEL VALLÈS (Barcelona)</w:t>
      </w:r>
    </w:p>
    <w:p w14:paraId="6247FD2D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highlight w:val="yellow"/>
          <w14:ligatures w14:val="none"/>
        </w:rPr>
      </w:pPr>
      <w:r w:rsidRPr="004B342C">
        <w:rPr>
          <w:rFonts w:ascii="Times New Roman" w:eastAsia="Calibri" w:hAnsi="Times New Roman" w:cs="Times New Roman"/>
          <w:kern w:val="0"/>
          <w14:ligatures w14:val="none"/>
        </w:rPr>
        <w:t>Spanyolország</w:t>
      </w:r>
    </w:p>
    <w:p w14:paraId="7EC88C93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:highlight w:val="yellow"/>
          <w14:ligatures w14:val="none"/>
        </w:rPr>
      </w:pPr>
    </w:p>
    <w:p w14:paraId="6EC5CC73" w14:textId="77777777" w:rsidR="00B305FD" w:rsidRPr="004B342C" w:rsidRDefault="00B305FD" w:rsidP="004B342C">
      <w:pPr>
        <w:keepNext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</w:pPr>
      <w:r w:rsidRPr="004B342C"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  <w:t>AS GRINDEKS</w:t>
      </w:r>
    </w:p>
    <w:p w14:paraId="35414B18" w14:textId="77777777" w:rsidR="00B305FD" w:rsidRPr="004B342C" w:rsidRDefault="00B305FD" w:rsidP="004B342C">
      <w:pPr>
        <w:keepNext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</w:pPr>
      <w:r w:rsidRPr="004B342C"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  <w:t xml:space="preserve">Krustpils iela 53, </w:t>
      </w:r>
    </w:p>
    <w:p w14:paraId="24EAA02D" w14:textId="77777777" w:rsidR="00B305FD" w:rsidRPr="004B342C" w:rsidRDefault="00B305FD" w:rsidP="004B342C">
      <w:pPr>
        <w:keepNext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</w:pPr>
      <w:r w:rsidRPr="004B342C"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  <w:t xml:space="preserve">Rīga, LV-1057, </w:t>
      </w:r>
    </w:p>
    <w:p w14:paraId="580FAAA0" w14:textId="77777777" w:rsidR="00B305FD" w:rsidRPr="004B342C" w:rsidRDefault="00B305FD" w:rsidP="004B342C">
      <w:pPr>
        <w:widowControl w:val="0"/>
        <w:tabs>
          <w:tab w:val="left" w:pos="567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</w:pPr>
      <w:r w:rsidRPr="004B342C">
        <w:rPr>
          <w:rFonts w:ascii="Times New Roman" w:eastAsia="Times New Roman" w:hAnsi="Times New Roman" w:cs="Times New Roman"/>
          <w:snapToGrid w:val="0"/>
          <w:kern w:val="0"/>
          <w:szCs w:val="20"/>
          <w:lang w:val="en-US" w:eastAsia="zh-CN"/>
          <w14:ligatures w14:val="none"/>
        </w:rPr>
        <w:t>Lettország</w:t>
      </w:r>
    </w:p>
    <w:p w14:paraId="6C119284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792EBC59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  <w:r w:rsidRPr="004B342C">
        <w:rPr>
          <w:rFonts w:ascii="Times New Roman" w:eastAsia="Calibri" w:hAnsi="Times New Roman" w:cs="Times New Roman"/>
          <w:b/>
          <w:bCs/>
          <w:kern w:val="0"/>
          <w14:ligatures w14:val="none"/>
        </w:rPr>
        <w:t>Ezt a gyógyszert az Európai Gazdasági Térség tagállamaiban az alábbi neveken engedélyezték:</w:t>
      </w:r>
    </w:p>
    <w:tbl>
      <w:tblPr>
        <w:tblW w:w="9426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4"/>
        <w:gridCol w:w="6662"/>
      </w:tblGrid>
      <w:tr w:rsidR="00B305FD" w:rsidRPr="004B342C" w14:paraId="1F824B40" w14:textId="77777777" w:rsidTr="00406882">
        <w:tc>
          <w:tcPr>
            <w:tcW w:w="2764" w:type="dxa"/>
          </w:tcPr>
          <w:p w14:paraId="10FC9FD7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Ausztria, Németország</w:t>
            </w:r>
          </w:p>
        </w:tc>
        <w:tc>
          <w:tcPr>
            <w:tcW w:w="6662" w:type="dxa"/>
          </w:tcPr>
          <w:p w14:paraId="468CB82C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 Grindeks 50 mg, 100 mg, 150 mg, 200 mg Filmtabletten</w:t>
            </w:r>
          </w:p>
        </w:tc>
      </w:tr>
      <w:tr w:rsidR="00B305FD" w:rsidRPr="004B342C" w14:paraId="38F87893" w14:textId="77777777" w:rsidTr="00406882">
        <w:tc>
          <w:tcPr>
            <w:tcW w:w="2764" w:type="dxa"/>
          </w:tcPr>
          <w:p w14:paraId="648D92DD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Belgium</w:t>
            </w:r>
          </w:p>
        </w:tc>
        <w:tc>
          <w:tcPr>
            <w:tcW w:w="6662" w:type="dxa"/>
          </w:tcPr>
          <w:p w14:paraId="26482677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 50 mg, 100 mg, 150 mg, 200 mg comprimés pelliculés</w:t>
            </w:r>
          </w:p>
        </w:tc>
      </w:tr>
      <w:tr w:rsidR="00B305FD" w:rsidRPr="004B342C" w14:paraId="6B122E40" w14:textId="77777777" w:rsidTr="00406882">
        <w:tc>
          <w:tcPr>
            <w:tcW w:w="2764" w:type="dxa"/>
          </w:tcPr>
          <w:p w14:paraId="2F3674F9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Bulgária</w:t>
            </w:r>
          </w:p>
        </w:tc>
        <w:tc>
          <w:tcPr>
            <w:tcW w:w="6662" w:type="dxa"/>
          </w:tcPr>
          <w:p w14:paraId="57323891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Лакосамид Гриндекс 50 mg, 100 mg, 150 mg, 200 мг филмирани таблетки</w:t>
            </w:r>
          </w:p>
          <w:p w14:paraId="3CB0F0C9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 50 mg, 100 mg, 150 mg, 200 mg film-coated tablets</w:t>
            </w:r>
          </w:p>
        </w:tc>
      </w:tr>
      <w:tr w:rsidR="00B305FD" w:rsidRPr="004B342C" w14:paraId="0844363E" w14:textId="77777777" w:rsidTr="00406882">
        <w:tc>
          <w:tcPr>
            <w:tcW w:w="2764" w:type="dxa"/>
          </w:tcPr>
          <w:p w14:paraId="33854849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Csehország, Dánia, Észtország, Lengyelország, Olaszország, Norvégia</w:t>
            </w:r>
          </w:p>
        </w:tc>
        <w:tc>
          <w:tcPr>
            <w:tcW w:w="6662" w:type="dxa"/>
          </w:tcPr>
          <w:p w14:paraId="1B32D5E3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</w:t>
            </w:r>
          </w:p>
        </w:tc>
      </w:tr>
      <w:tr w:rsidR="00B305FD" w:rsidRPr="004B342C" w14:paraId="172F7F97" w14:textId="77777777" w:rsidTr="00406882">
        <w:tc>
          <w:tcPr>
            <w:tcW w:w="2764" w:type="dxa"/>
          </w:tcPr>
          <w:p w14:paraId="3BE194A8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Finnország</w:t>
            </w:r>
          </w:p>
        </w:tc>
        <w:tc>
          <w:tcPr>
            <w:tcW w:w="6662" w:type="dxa"/>
          </w:tcPr>
          <w:p w14:paraId="5810CA58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 50 mg, 100 mg, 150 mg, 200 mg kalvopäällysteiset tabletit</w:t>
            </w:r>
          </w:p>
        </w:tc>
      </w:tr>
      <w:tr w:rsidR="00B305FD" w:rsidRPr="004B342C" w14:paraId="4CA3C42C" w14:textId="77777777" w:rsidTr="00406882">
        <w:tc>
          <w:tcPr>
            <w:tcW w:w="2764" w:type="dxa"/>
          </w:tcPr>
          <w:p w14:paraId="143E93BB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Franciaország</w:t>
            </w:r>
          </w:p>
        </w:tc>
        <w:tc>
          <w:tcPr>
            <w:tcW w:w="6662" w:type="dxa"/>
          </w:tcPr>
          <w:p w14:paraId="3FB63889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 50 mg, 100 mg, 150 mg, 200 mg, comprimé pelliculé</w:t>
            </w:r>
          </w:p>
        </w:tc>
      </w:tr>
      <w:tr w:rsidR="00B305FD" w:rsidRPr="004B342C" w14:paraId="5AFDE83C" w14:textId="77777777" w:rsidTr="00406882">
        <w:tc>
          <w:tcPr>
            <w:tcW w:w="2764" w:type="dxa"/>
          </w:tcPr>
          <w:p w14:paraId="41A9B51C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Görögország</w:t>
            </w:r>
          </w:p>
        </w:tc>
        <w:tc>
          <w:tcPr>
            <w:tcW w:w="6662" w:type="dxa"/>
          </w:tcPr>
          <w:p w14:paraId="2695C6F2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LACOSAMIDE/GRINDEKS</w:t>
            </w:r>
          </w:p>
        </w:tc>
      </w:tr>
      <w:tr w:rsidR="00B305FD" w:rsidRPr="004B342C" w14:paraId="3718BE42" w14:textId="77777777" w:rsidTr="00406882">
        <w:tc>
          <w:tcPr>
            <w:tcW w:w="2764" w:type="dxa"/>
          </w:tcPr>
          <w:p w14:paraId="59C33A16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Hollandia</w:t>
            </w:r>
          </w:p>
        </w:tc>
        <w:tc>
          <w:tcPr>
            <w:tcW w:w="6662" w:type="dxa"/>
          </w:tcPr>
          <w:p w14:paraId="3198343C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 50 mg, 100 mg, 150 mg, 200 mg filmomhulde tabletten</w:t>
            </w:r>
          </w:p>
        </w:tc>
      </w:tr>
      <w:tr w:rsidR="00B305FD" w:rsidRPr="004B342C" w14:paraId="7B0834E1" w14:textId="77777777" w:rsidTr="00406882">
        <w:tc>
          <w:tcPr>
            <w:tcW w:w="2764" w:type="dxa"/>
          </w:tcPr>
          <w:p w14:paraId="4B47C95C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Horvátország</w:t>
            </w:r>
          </w:p>
        </w:tc>
        <w:tc>
          <w:tcPr>
            <w:tcW w:w="6662" w:type="dxa"/>
          </w:tcPr>
          <w:p w14:paraId="1C04B108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Lakozamid Grindeks 50 mg, 100 mg, 150 mg, 200 mg filmom obložene tablete</w:t>
            </w:r>
          </w:p>
        </w:tc>
      </w:tr>
      <w:tr w:rsidR="00B305FD" w:rsidRPr="004B342C" w14:paraId="593CD04F" w14:textId="77777777" w:rsidTr="00406882">
        <w:tc>
          <w:tcPr>
            <w:tcW w:w="2764" w:type="dxa"/>
          </w:tcPr>
          <w:p w14:paraId="04E185B1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Írország</w:t>
            </w:r>
          </w:p>
        </w:tc>
        <w:tc>
          <w:tcPr>
            <w:tcW w:w="6662" w:type="dxa"/>
          </w:tcPr>
          <w:p w14:paraId="5AD284C8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 50 mg, 100 mg, 150 mg, 200 mg film-coated tablets</w:t>
            </w:r>
          </w:p>
        </w:tc>
      </w:tr>
      <w:tr w:rsidR="00B305FD" w:rsidRPr="004B342C" w14:paraId="4E2A5EA4" w14:textId="77777777" w:rsidTr="00406882">
        <w:tc>
          <w:tcPr>
            <w:tcW w:w="2764" w:type="dxa"/>
          </w:tcPr>
          <w:p w14:paraId="0D1056DF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Lettország</w:t>
            </w:r>
          </w:p>
        </w:tc>
        <w:tc>
          <w:tcPr>
            <w:tcW w:w="6662" w:type="dxa"/>
          </w:tcPr>
          <w:p w14:paraId="46E15944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 50 mg, 100 mg, 150 mg, 200 mg apvalkotās tabletes</w:t>
            </w:r>
          </w:p>
        </w:tc>
      </w:tr>
      <w:tr w:rsidR="00B305FD" w:rsidRPr="004B342C" w14:paraId="13A2EEE3" w14:textId="77777777" w:rsidTr="00406882">
        <w:tc>
          <w:tcPr>
            <w:tcW w:w="2764" w:type="dxa"/>
          </w:tcPr>
          <w:p w14:paraId="4A7DAAB8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Litvánia</w:t>
            </w:r>
          </w:p>
        </w:tc>
        <w:tc>
          <w:tcPr>
            <w:tcW w:w="6662" w:type="dxa"/>
          </w:tcPr>
          <w:p w14:paraId="520B3952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 50 mg, 100 mg, 150 mg, 200 mg plėvele dengtos tabletės</w:t>
            </w:r>
          </w:p>
        </w:tc>
      </w:tr>
      <w:tr w:rsidR="00B305FD" w:rsidRPr="004B342C" w14:paraId="5DD54B1D" w14:textId="77777777" w:rsidTr="00406882">
        <w:tc>
          <w:tcPr>
            <w:tcW w:w="2764" w:type="dxa"/>
          </w:tcPr>
          <w:p w14:paraId="6CB323BF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Magyarország</w:t>
            </w:r>
          </w:p>
        </w:tc>
        <w:tc>
          <w:tcPr>
            <w:tcW w:w="6662" w:type="dxa"/>
          </w:tcPr>
          <w:p w14:paraId="2F6F59D0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 50 mg, 100 mg, 150 mg, 200 mg filmtabletta</w:t>
            </w:r>
          </w:p>
        </w:tc>
      </w:tr>
      <w:tr w:rsidR="00B305FD" w:rsidRPr="004B342C" w14:paraId="100D8E40" w14:textId="77777777" w:rsidTr="00406882">
        <w:tc>
          <w:tcPr>
            <w:tcW w:w="2764" w:type="dxa"/>
          </w:tcPr>
          <w:p w14:paraId="5AAF8D79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Portugália</w:t>
            </w:r>
          </w:p>
        </w:tc>
        <w:tc>
          <w:tcPr>
            <w:tcW w:w="6662" w:type="dxa"/>
          </w:tcPr>
          <w:p w14:paraId="1BD3310D" w14:textId="56F064C1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</w:t>
            </w:r>
            <w:r w:rsidR="009050EE"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a</w:t>
            </w: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 Grindeks 50 mg, 100 mg, 150 mg, 200 mg comprimidos revestidos por película</w:t>
            </w:r>
          </w:p>
        </w:tc>
      </w:tr>
      <w:tr w:rsidR="00B305FD" w:rsidRPr="004B342C" w14:paraId="26166CF2" w14:textId="77777777" w:rsidTr="00406882">
        <w:tc>
          <w:tcPr>
            <w:tcW w:w="2764" w:type="dxa"/>
          </w:tcPr>
          <w:p w14:paraId="7316EE82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Spanyolország</w:t>
            </w:r>
          </w:p>
        </w:tc>
        <w:tc>
          <w:tcPr>
            <w:tcW w:w="6662" w:type="dxa"/>
          </w:tcPr>
          <w:p w14:paraId="51C8F972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LACOSAMIDA GRINDEKS 50 mg, 100 mg, 150 mg, 200 mg comprimidos recubiertos con película</w:t>
            </w:r>
          </w:p>
        </w:tc>
      </w:tr>
      <w:tr w:rsidR="00B305FD" w:rsidRPr="004B342C" w14:paraId="3F175064" w14:textId="77777777" w:rsidTr="00406882">
        <w:tc>
          <w:tcPr>
            <w:tcW w:w="2764" w:type="dxa"/>
          </w:tcPr>
          <w:p w14:paraId="455E5449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Svédország</w:t>
            </w:r>
          </w:p>
        </w:tc>
        <w:tc>
          <w:tcPr>
            <w:tcW w:w="6662" w:type="dxa"/>
          </w:tcPr>
          <w:p w14:paraId="4ED43C3A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 50 mg, 100 mg, 150 mg, 200 mg filmdragerade tabletter</w:t>
            </w:r>
          </w:p>
        </w:tc>
      </w:tr>
      <w:tr w:rsidR="00B305FD" w:rsidRPr="004B342C" w14:paraId="3CA3B4A9" w14:textId="77777777" w:rsidTr="00406882">
        <w:tc>
          <w:tcPr>
            <w:tcW w:w="2764" w:type="dxa"/>
          </w:tcPr>
          <w:p w14:paraId="7C73E590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Szlovákia</w:t>
            </w:r>
          </w:p>
        </w:tc>
        <w:tc>
          <w:tcPr>
            <w:tcW w:w="6662" w:type="dxa"/>
          </w:tcPr>
          <w:p w14:paraId="053AD255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Lacosamide Grindeks 50 mg, 100 mg, 150 mg, 200 mg filmom obalené tablety</w:t>
            </w:r>
          </w:p>
        </w:tc>
      </w:tr>
      <w:tr w:rsidR="00B305FD" w:rsidRPr="004B342C" w14:paraId="5150280B" w14:textId="77777777" w:rsidTr="00406882">
        <w:tc>
          <w:tcPr>
            <w:tcW w:w="2764" w:type="dxa"/>
          </w:tcPr>
          <w:p w14:paraId="6F56908E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Szlovénia</w:t>
            </w:r>
          </w:p>
        </w:tc>
        <w:tc>
          <w:tcPr>
            <w:tcW w:w="6662" w:type="dxa"/>
          </w:tcPr>
          <w:p w14:paraId="66F49DA1" w14:textId="77777777" w:rsidR="00B305FD" w:rsidRPr="004B342C" w:rsidRDefault="00B305FD" w:rsidP="004B342C">
            <w:pPr>
              <w:tabs>
                <w:tab w:val="left" w:pos="241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4B342C">
              <w:rPr>
                <w:rFonts w:ascii="Times New Roman" w:eastAsia="Calibri" w:hAnsi="Times New Roman" w:cs="Times New Roman"/>
                <w:kern w:val="0"/>
                <w14:ligatures w14:val="none"/>
              </w:rPr>
              <w:t>Lakozamid Grindeks 50 mg, 100 mg, 150 mg, 200 mg g filmsko obložene tablete</w:t>
            </w:r>
          </w:p>
        </w:tc>
      </w:tr>
    </w:tbl>
    <w:p w14:paraId="0B1CFFD2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F0B4B57" w14:textId="77777777" w:rsidR="00C064FF" w:rsidRPr="0043030C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43030C">
        <w:rPr>
          <w:rFonts w:ascii="Times New Roman" w:eastAsia="Calibri" w:hAnsi="Times New Roman" w:cs="Times New Roman"/>
          <w:kern w:val="0"/>
          <w:u w:val="single"/>
          <w14:ligatures w14:val="none"/>
        </w:rPr>
        <w:t>Lacosamide Grindeks 50 mg filmtabletta</w:t>
      </w:r>
    </w:p>
    <w:p w14:paraId="2F562D89" w14:textId="77777777" w:rsidR="00C064FF" w:rsidRPr="005B6C23" w:rsidRDefault="00C064FF" w:rsidP="00C064FF">
      <w:pPr>
        <w:tabs>
          <w:tab w:val="left" w:pos="2552"/>
          <w:tab w:val="left" w:pos="3544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5B6C23">
        <w:rPr>
          <w:rFonts w:ascii="Times New Roman" w:eastAsia="Calibri" w:hAnsi="Times New Roman" w:cs="Times New Roman"/>
          <w:kern w:val="0"/>
          <w14:ligatures w14:val="none"/>
        </w:rPr>
        <w:t>OGYI-T-24738/01           14×      PVC/PVDC//Al buborékcsomagolásban</w:t>
      </w:r>
    </w:p>
    <w:p w14:paraId="181DADF3" w14:textId="77777777" w:rsidR="00C064FF" w:rsidRPr="005B6C23" w:rsidRDefault="00C064FF" w:rsidP="00C064FF">
      <w:pPr>
        <w:tabs>
          <w:tab w:val="left" w:pos="2552"/>
          <w:tab w:val="left" w:pos="3544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5B6C23">
        <w:rPr>
          <w:rFonts w:ascii="Times New Roman" w:eastAsia="Calibri" w:hAnsi="Times New Roman" w:cs="Times New Roman"/>
          <w:kern w:val="0"/>
          <w14:ligatures w14:val="none"/>
        </w:rPr>
        <w:t>OGYI-T-24738/02           14×      OPA/Al/PVC//Al buborékcsomagolásban</w:t>
      </w:r>
    </w:p>
    <w:p w14:paraId="45A6FA33" w14:textId="77777777" w:rsidR="00C064FF" w:rsidRPr="005B6C23" w:rsidRDefault="00C064FF" w:rsidP="00C064FF">
      <w:pPr>
        <w:tabs>
          <w:tab w:val="left" w:pos="2552"/>
          <w:tab w:val="left" w:pos="3544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5B6C23">
        <w:rPr>
          <w:rFonts w:ascii="Times New Roman" w:eastAsia="Calibri" w:hAnsi="Times New Roman" w:cs="Times New Roman"/>
          <w:kern w:val="0"/>
          <w14:ligatures w14:val="none"/>
        </w:rPr>
        <w:t>OGYI-T-24738/03           56×      PVC/PVDC//Al buborékcsomagolásban</w:t>
      </w:r>
    </w:p>
    <w:p w14:paraId="31D955D6" w14:textId="77777777" w:rsidR="00C064FF" w:rsidRPr="005B6C23" w:rsidRDefault="00C064FF" w:rsidP="00C064FF">
      <w:pPr>
        <w:tabs>
          <w:tab w:val="left" w:pos="2552"/>
          <w:tab w:val="left" w:pos="3544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5B6C23">
        <w:rPr>
          <w:rFonts w:ascii="Times New Roman" w:eastAsia="Calibri" w:hAnsi="Times New Roman" w:cs="Times New Roman"/>
          <w:kern w:val="0"/>
          <w14:ligatures w14:val="none"/>
        </w:rPr>
        <w:t>OGYI-T-24738/04           56×      OPA/Al/PVC//Al buborékcsomagolásban</w:t>
      </w:r>
    </w:p>
    <w:p w14:paraId="79BECE60" w14:textId="77777777" w:rsidR="00C064FF" w:rsidRPr="005B6C23" w:rsidRDefault="00C064FF" w:rsidP="00C064FF">
      <w:pPr>
        <w:tabs>
          <w:tab w:val="left" w:pos="2552"/>
          <w:tab w:val="left" w:pos="3544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5B6C23">
        <w:rPr>
          <w:rFonts w:ascii="Times New Roman" w:eastAsia="Calibri" w:hAnsi="Times New Roman" w:cs="Times New Roman"/>
          <w:kern w:val="0"/>
          <w14:ligatures w14:val="none"/>
        </w:rPr>
        <w:t>OGYI-T-24738/05           168×    PVC/PVDC//Al buborékcsomagolásban</w:t>
      </w:r>
    </w:p>
    <w:p w14:paraId="28003EB3" w14:textId="77777777" w:rsidR="00C064FF" w:rsidRPr="0043030C" w:rsidRDefault="00C064FF" w:rsidP="00C064FF">
      <w:pPr>
        <w:tabs>
          <w:tab w:val="left" w:pos="2552"/>
          <w:tab w:val="left" w:pos="3544"/>
        </w:tabs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5B6C23">
        <w:rPr>
          <w:rFonts w:ascii="Times New Roman" w:eastAsia="Calibri" w:hAnsi="Times New Roman" w:cs="Times New Roman"/>
          <w:kern w:val="0"/>
          <w14:ligatures w14:val="none"/>
        </w:rPr>
        <w:t>OGYI-T-24738/06           168×    OPA/Al/PVC//Al buborékcsomagolásban</w:t>
      </w:r>
    </w:p>
    <w:p w14:paraId="2C721C64" w14:textId="77777777" w:rsidR="00C064FF" w:rsidRPr="0043030C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</w:p>
    <w:p w14:paraId="30B7E71F" w14:textId="77777777" w:rsidR="00C064FF" w:rsidRPr="0043030C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43030C">
        <w:rPr>
          <w:rFonts w:ascii="Times New Roman" w:eastAsia="Calibri" w:hAnsi="Times New Roman" w:cs="Times New Roman"/>
          <w:kern w:val="0"/>
          <w:u w:val="single"/>
          <w14:ligatures w14:val="none"/>
        </w:rPr>
        <w:t>Lacosamide Grindeks 100 mg filmtabletta</w:t>
      </w:r>
    </w:p>
    <w:p w14:paraId="1A2A4BFB" w14:textId="77777777" w:rsidR="00C064FF" w:rsidRPr="006D36A1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6D36A1">
        <w:rPr>
          <w:rFonts w:ascii="Times New Roman" w:eastAsia="Calibri" w:hAnsi="Times New Roman" w:cs="Times New Roman"/>
          <w:kern w:val="0"/>
          <w14:ligatures w14:val="none"/>
        </w:rPr>
        <w:t>OGYI-T-24738/07           14×      PVC/PVDC//Al buborékcsomagolásban</w:t>
      </w:r>
    </w:p>
    <w:p w14:paraId="63B1AD1B" w14:textId="77777777" w:rsidR="00C064FF" w:rsidRPr="006D36A1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6D36A1">
        <w:rPr>
          <w:rFonts w:ascii="Times New Roman" w:eastAsia="Calibri" w:hAnsi="Times New Roman" w:cs="Times New Roman"/>
          <w:kern w:val="0"/>
          <w14:ligatures w14:val="none"/>
        </w:rPr>
        <w:t>OGYI-T-24738/08           14×      OPA/Al/PVC//Al buborékcsomagolásban</w:t>
      </w:r>
    </w:p>
    <w:p w14:paraId="324AC53E" w14:textId="77777777" w:rsidR="00C064FF" w:rsidRPr="006D36A1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6D36A1">
        <w:rPr>
          <w:rFonts w:ascii="Times New Roman" w:eastAsia="Calibri" w:hAnsi="Times New Roman" w:cs="Times New Roman"/>
          <w:kern w:val="0"/>
          <w14:ligatures w14:val="none"/>
        </w:rPr>
        <w:t>OGYI-T-24738/09           56×      PVC/PVDC//Al buborékcsomagolásban</w:t>
      </w:r>
    </w:p>
    <w:p w14:paraId="797DAC98" w14:textId="77777777" w:rsidR="00C064FF" w:rsidRPr="006D36A1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6D36A1">
        <w:rPr>
          <w:rFonts w:ascii="Times New Roman" w:eastAsia="Calibri" w:hAnsi="Times New Roman" w:cs="Times New Roman"/>
          <w:kern w:val="0"/>
          <w14:ligatures w14:val="none"/>
        </w:rPr>
        <w:t>OGYI-T-24738/10           56×      OPA/Al/PVC//Al buborékcsomagolásban</w:t>
      </w:r>
    </w:p>
    <w:p w14:paraId="65533196" w14:textId="77777777" w:rsidR="00C064FF" w:rsidRPr="006D36A1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6D36A1">
        <w:rPr>
          <w:rFonts w:ascii="Times New Roman" w:eastAsia="Calibri" w:hAnsi="Times New Roman" w:cs="Times New Roman"/>
          <w:kern w:val="0"/>
          <w14:ligatures w14:val="none"/>
        </w:rPr>
        <w:t>OGYI-T-24738/11           168×    PVC/PVDC//Al buborékcsomagolásban</w:t>
      </w:r>
    </w:p>
    <w:p w14:paraId="43A236C3" w14:textId="77777777" w:rsidR="00C064FF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6D36A1">
        <w:rPr>
          <w:rFonts w:ascii="Times New Roman" w:eastAsia="Calibri" w:hAnsi="Times New Roman" w:cs="Times New Roman"/>
          <w:kern w:val="0"/>
          <w14:ligatures w14:val="none"/>
        </w:rPr>
        <w:t>OGYI-T-24738/12           168×    OPA/Al/PVC//Al buborékcsomagolásban</w:t>
      </w:r>
    </w:p>
    <w:p w14:paraId="411BA690" w14:textId="77777777" w:rsidR="00C064FF" w:rsidRPr="0043030C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</w:p>
    <w:p w14:paraId="5CD1C657" w14:textId="77777777" w:rsidR="00C064FF" w:rsidRPr="0043030C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43030C">
        <w:rPr>
          <w:rFonts w:ascii="Times New Roman" w:eastAsia="Calibri" w:hAnsi="Times New Roman" w:cs="Times New Roman"/>
          <w:kern w:val="0"/>
          <w:u w:val="single"/>
          <w14:ligatures w14:val="none"/>
        </w:rPr>
        <w:t>Lacosamide Grindeks 150 mg filmtabletta</w:t>
      </w:r>
    </w:p>
    <w:p w14:paraId="76B2E440" w14:textId="77777777" w:rsidR="00C064FF" w:rsidRPr="00CE6E91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CE6E91">
        <w:rPr>
          <w:rFonts w:ascii="Times New Roman" w:eastAsia="Calibri" w:hAnsi="Times New Roman" w:cs="Times New Roman"/>
          <w:kern w:val="0"/>
          <w14:ligatures w14:val="none"/>
        </w:rPr>
        <w:lastRenderedPageBreak/>
        <w:t>OGYI-T-24738/13           56×                  PVC/PVDC//Al buborékcsomagolásban</w:t>
      </w:r>
    </w:p>
    <w:p w14:paraId="47EB53A0" w14:textId="77777777" w:rsidR="00C064FF" w:rsidRPr="00CE6E91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CE6E91">
        <w:rPr>
          <w:rFonts w:ascii="Times New Roman" w:eastAsia="Calibri" w:hAnsi="Times New Roman" w:cs="Times New Roman"/>
          <w:kern w:val="0"/>
          <w14:ligatures w14:val="none"/>
        </w:rPr>
        <w:t>OGYI-T-24738/14           56×                  OPA/Al/PVC//Al buborékcsomagolásban</w:t>
      </w:r>
    </w:p>
    <w:p w14:paraId="29F3FC04" w14:textId="77777777" w:rsidR="00C064FF" w:rsidRPr="00CE6E91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CE6E91">
        <w:rPr>
          <w:rFonts w:ascii="Times New Roman" w:eastAsia="Calibri" w:hAnsi="Times New Roman" w:cs="Times New Roman"/>
          <w:kern w:val="0"/>
          <w14:ligatures w14:val="none"/>
        </w:rPr>
        <w:t>OGYI-T-24738/15           168×                PVC/PVDC//Al buborékcsomagolásban</w:t>
      </w:r>
    </w:p>
    <w:p w14:paraId="1017E598" w14:textId="77777777" w:rsidR="00C064FF" w:rsidRPr="00CE6E91" w:rsidRDefault="00C064FF" w:rsidP="00C064FF">
      <w:pPr>
        <w:autoSpaceDE w:val="0"/>
        <w:autoSpaceDN w:val="0"/>
        <w:adjustRightInd w:val="0"/>
        <w:spacing w:after="0" w:line="240" w:lineRule="auto"/>
        <w:ind w:left="567" w:right="-428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CE6E91">
        <w:rPr>
          <w:rFonts w:ascii="Times New Roman" w:eastAsia="Calibri" w:hAnsi="Times New Roman" w:cs="Times New Roman"/>
          <w:kern w:val="0"/>
          <w14:ligatures w14:val="none"/>
        </w:rPr>
        <w:t>OGYI-T-24738/16           168× (3 × 56)  PVC/PVDC//Al buborékcsomagolásban</w:t>
      </w:r>
      <w:r>
        <w:rPr>
          <w:rFonts w:ascii="Times New Roman" w:eastAsia="Calibri" w:hAnsi="Times New Roman" w:cs="Times New Roman"/>
          <w:kern w:val="0"/>
          <w14:ligatures w14:val="none"/>
        </w:rPr>
        <w:t xml:space="preserve"> </w:t>
      </w:r>
      <w:r w:rsidRPr="00CE6E91">
        <w:rPr>
          <w:rFonts w:ascii="Times New Roman" w:eastAsia="Calibri" w:hAnsi="Times New Roman" w:cs="Times New Roman"/>
          <w:kern w:val="0"/>
          <w14:ligatures w14:val="none"/>
        </w:rPr>
        <w:t>(gyűjtőcsomagolásban)</w:t>
      </w:r>
    </w:p>
    <w:p w14:paraId="7FCFBE46" w14:textId="77777777" w:rsidR="00C064FF" w:rsidRPr="00CE6E91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CE6E91">
        <w:rPr>
          <w:rFonts w:ascii="Times New Roman" w:eastAsia="Calibri" w:hAnsi="Times New Roman" w:cs="Times New Roman"/>
          <w:kern w:val="0"/>
          <w14:ligatures w14:val="none"/>
        </w:rPr>
        <w:t>OGYI-T-24738/17           168×                OPA/Al/PVC//Al buborékcsomagolásban</w:t>
      </w:r>
    </w:p>
    <w:p w14:paraId="5FC37D43" w14:textId="77777777" w:rsidR="00C064FF" w:rsidRDefault="00C064FF" w:rsidP="00C064FF">
      <w:pPr>
        <w:autoSpaceDE w:val="0"/>
        <w:autoSpaceDN w:val="0"/>
        <w:adjustRightInd w:val="0"/>
        <w:spacing w:after="0" w:line="240" w:lineRule="auto"/>
        <w:ind w:right="-428"/>
        <w:rPr>
          <w:rFonts w:ascii="Times New Roman" w:eastAsia="Calibri" w:hAnsi="Times New Roman" w:cs="Times New Roman"/>
          <w:kern w:val="0"/>
          <w14:ligatures w14:val="none"/>
        </w:rPr>
      </w:pPr>
      <w:r w:rsidRPr="00CE6E91">
        <w:rPr>
          <w:rFonts w:ascii="Times New Roman" w:eastAsia="Calibri" w:hAnsi="Times New Roman" w:cs="Times New Roman"/>
          <w:kern w:val="0"/>
          <w14:ligatures w14:val="none"/>
        </w:rPr>
        <w:t>OGYI-T-24738/18           168× (3 × 56)  OPA/Al/PVC//Al buborékcsomagolásban (gyűjtőcsomagolásban)</w:t>
      </w:r>
    </w:p>
    <w:p w14:paraId="69A95AAA" w14:textId="77777777" w:rsidR="00C064FF" w:rsidRPr="0043030C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:u w:val="single"/>
          <w14:ligatures w14:val="none"/>
        </w:rPr>
      </w:pPr>
    </w:p>
    <w:p w14:paraId="2108181B" w14:textId="77777777" w:rsidR="00C064FF" w:rsidRPr="0043030C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:u w:val="single"/>
          <w14:ligatures w14:val="none"/>
        </w:rPr>
      </w:pPr>
      <w:r w:rsidRPr="0043030C">
        <w:rPr>
          <w:rFonts w:ascii="Times New Roman" w:eastAsia="Calibri" w:hAnsi="Times New Roman" w:cs="Times New Roman"/>
          <w:kern w:val="0"/>
          <w:u w:val="single"/>
          <w14:ligatures w14:val="none"/>
        </w:rPr>
        <w:t>Lacosamide Grindeks 200 mg filmtabletta</w:t>
      </w:r>
    </w:p>
    <w:p w14:paraId="4E91904F" w14:textId="77777777" w:rsidR="00C064FF" w:rsidRPr="00495A06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495A06">
        <w:rPr>
          <w:rFonts w:ascii="Times New Roman" w:eastAsia="Calibri" w:hAnsi="Times New Roman" w:cs="Times New Roman"/>
          <w:kern w:val="0"/>
          <w14:ligatures w14:val="none"/>
        </w:rPr>
        <w:t>OGYI-T-24738/19           56×                  PVC/PVDC//Al buborékcsomagolásban</w:t>
      </w:r>
    </w:p>
    <w:p w14:paraId="415A11FF" w14:textId="77777777" w:rsidR="00C064FF" w:rsidRPr="00495A06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495A06">
        <w:rPr>
          <w:rFonts w:ascii="Times New Roman" w:eastAsia="Calibri" w:hAnsi="Times New Roman" w:cs="Times New Roman"/>
          <w:kern w:val="0"/>
          <w14:ligatures w14:val="none"/>
        </w:rPr>
        <w:t>OGYI-T-24738/20           56×                  OPA/Al/PVC//Al buborékcsomagolásban</w:t>
      </w:r>
    </w:p>
    <w:p w14:paraId="377141AC" w14:textId="77777777" w:rsidR="00C064FF" w:rsidRPr="00495A06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495A06">
        <w:rPr>
          <w:rFonts w:ascii="Times New Roman" w:eastAsia="Calibri" w:hAnsi="Times New Roman" w:cs="Times New Roman"/>
          <w:kern w:val="0"/>
          <w14:ligatures w14:val="none"/>
        </w:rPr>
        <w:t>OGYI-T-24738/21           168×                PVC/PVDC//Al buborékcsomagolásban</w:t>
      </w:r>
    </w:p>
    <w:p w14:paraId="0EF13BC1" w14:textId="77777777" w:rsidR="00C064FF" w:rsidRPr="00495A06" w:rsidRDefault="00C064FF" w:rsidP="00C064FF">
      <w:pPr>
        <w:autoSpaceDE w:val="0"/>
        <w:autoSpaceDN w:val="0"/>
        <w:adjustRightInd w:val="0"/>
        <w:spacing w:after="0" w:line="240" w:lineRule="auto"/>
        <w:ind w:left="567" w:right="-711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495A06">
        <w:rPr>
          <w:rFonts w:ascii="Times New Roman" w:eastAsia="Calibri" w:hAnsi="Times New Roman" w:cs="Times New Roman"/>
          <w:kern w:val="0"/>
          <w14:ligatures w14:val="none"/>
        </w:rPr>
        <w:t>OGYI-T-24738/22           168× (3 × 56)  PVC/PVDC//Al buborékcsomagolásban (gyűjtőcsomagolásban)</w:t>
      </w:r>
    </w:p>
    <w:p w14:paraId="578E0D8A" w14:textId="77777777" w:rsidR="00C064FF" w:rsidRPr="00495A06" w:rsidRDefault="00C064FF" w:rsidP="00C064FF">
      <w:pPr>
        <w:autoSpaceDE w:val="0"/>
        <w:autoSpaceDN w:val="0"/>
        <w:adjustRightInd w:val="0"/>
        <w:spacing w:after="0" w:line="240" w:lineRule="auto"/>
        <w:ind w:left="567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495A06">
        <w:rPr>
          <w:rFonts w:ascii="Times New Roman" w:eastAsia="Calibri" w:hAnsi="Times New Roman" w:cs="Times New Roman"/>
          <w:kern w:val="0"/>
          <w14:ligatures w14:val="none"/>
        </w:rPr>
        <w:t>OGYI-T-24738/23           168×                OPA/Al/PVC//Al buborékcsomagolásban</w:t>
      </w:r>
    </w:p>
    <w:p w14:paraId="7FAA4A56" w14:textId="77777777" w:rsidR="00C064FF" w:rsidRPr="0043030C" w:rsidRDefault="00C064FF" w:rsidP="00C064FF">
      <w:pPr>
        <w:autoSpaceDE w:val="0"/>
        <w:autoSpaceDN w:val="0"/>
        <w:adjustRightInd w:val="0"/>
        <w:spacing w:after="0" w:line="240" w:lineRule="auto"/>
        <w:ind w:left="567" w:right="-569" w:hanging="567"/>
        <w:rPr>
          <w:rFonts w:ascii="Times New Roman" w:eastAsia="Calibri" w:hAnsi="Times New Roman" w:cs="Times New Roman"/>
          <w:kern w:val="0"/>
          <w14:ligatures w14:val="none"/>
        </w:rPr>
      </w:pPr>
      <w:r w:rsidRPr="00495A06">
        <w:rPr>
          <w:rFonts w:ascii="Times New Roman" w:eastAsia="Calibri" w:hAnsi="Times New Roman" w:cs="Times New Roman"/>
          <w:kern w:val="0"/>
          <w14:ligatures w14:val="none"/>
        </w:rPr>
        <w:t>OGYI-T-24738/24           168× (3 × 56)  OPA/Al/PVC//Al buborékcsomagolásban (gyűjtőcsomagolásban)</w:t>
      </w:r>
    </w:p>
    <w:p w14:paraId="42F2B1F7" w14:textId="77777777" w:rsidR="00C064FF" w:rsidRDefault="00C064FF" w:rsidP="00C064F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E1EA96E" w14:textId="77777777" w:rsidR="00B305FD" w:rsidRPr="004B342C" w:rsidRDefault="00B305FD" w:rsidP="004B342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956B9FA" w14:textId="5B1F5AA3" w:rsidR="00B305FD" w:rsidRPr="004B342C" w:rsidRDefault="00B305FD" w:rsidP="00F83A7F">
      <w:pPr>
        <w:spacing w:after="0" w:line="240" w:lineRule="auto"/>
        <w:ind w:right="-2"/>
        <w:rPr>
          <w:rFonts w:ascii="Times New Roman" w:eastAsia="Calibri" w:hAnsi="Times New Roman" w:cs="Times New Roman"/>
          <w:b/>
          <w:kern w:val="0"/>
          <w:lang w:val="es-ES_tradnl"/>
          <w14:ligatures w14:val="none"/>
        </w:rPr>
      </w:pPr>
      <w:r w:rsidRPr="004B342C">
        <w:rPr>
          <w:rFonts w:ascii="Times New Roman" w:eastAsia="Calibri" w:hAnsi="Times New Roman" w:cs="Times New Roman"/>
          <w:b/>
          <w:kern w:val="0"/>
          <w:lang w:val="es-ES_tradnl"/>
          <w14:ligatures w14:val="none"/>
        </w:rPr>
        <w:t xml:space="preserve">A betegtájékoztató </w:t>
      </w:r>
      <w:r w:rsidRPr="004B342C">
        <w:rPr>
          <w:rFonts w:ascii="Times New Roman" w:eastAsia="Calibri" w:hAnsi="Times New Roman" w:cs="Times New Roman"/>
          <w:b/>
          <w:noProof/>
          <w:kern w:val="0"/>
          <w:szCs w:val="24"/>
          <w:lang w:val="es-ES_tradnl"/>
          <w14:ligatures w14:val="none"/>
        </w:rPr>
        <w:t>legutóbbi felülvizsgálatának</w:t>
      </w:r>
      <w:r w:rsidRPr="004B342C">
        <w:rPr>
          <w:rFonts w:ascii="Times New Roman" w:eastAsia="Calibri" w:hAnsi="Times New Roman" w:cs="Times New Roman"/>
          <w:b/>
          <w:kern w:val="0"/>
          <w:lang w:val="es-ES_tradnl"/>
          <w14:ligatures w14:val="none"/>
        </w:rPr>
        <w:t xml:space="preserve"> dátuma</w:t>
      </w:r>
      <w:r w:rsidRPr="004B342C">
        <w:rPr>
          <w:rFonts w:ascii="Times New Roman" w:eastAsia="Calibri" w:hAnsi="Times New Roman" w:cs="Times New Roman"/>
          <w:b/>
          <w:noProof/>
          <w:kern w:val="0"/>
          <w:szCs w:val="24"/>
          <w:lang w:val="es-ES_tradnl"/>
          <w14:ligatures w14:val="none"/>
        </w:rPr>
        <w:t xml:space="preserve">: </w:t>
      </w:r>
      <w:r w:rsidR="004A0556" w:rsidRPr="004B342C">
        <w:rPr>
          <w:rFonts w:ascii="Times New Roman" w:eastAsia="Calibri" w:hAnsi="Times New Roman" w:cs="Times New Roman"/>
          <w:b/>
          <w:noProof/>
          <w:kern w:val="0"/>
          <w:szCs w:val="24"/>
          <w:lang w:val="es-ES_tradnl"/>
          <w14:ligatures w14:val="none"/>
        </w:rPr>
        <w:t>202</w:t>
      </w:r>
      <w:r w:rsidR="007172A3">
        <w:rPr>
          <w:rFonts w:ascii="Times New Roman" w:eastAsia="Calibri" w:hAnsi="Times New Roman" w:cs="Times New Roman"/>
          <w:b/>
          <w:noProof/>
          <w:kern w:val="0"/>
          <w:szCs w:val="24"/>
          <w:lang w:val="es-ES_tradnl"/>
          <w14:ligatures w14:val="none"/>
        </w:rPr>
        <w:t>6</w:t>
      </w:r>
      <w:r w:rsidR="004A0556" w:rsidRPr="004B342C">
        <w:rPr>
          <w:rFonts w:ascii="Times New Roman" w:eastAsia="Calibri" w:hAnsi="Times New Roman" w:cs="Times New Roman"/>
          <w:b/>
          <w:noProof/>
          <w:kern w:val="0"/>
          <w:szCs w:val="24"/>
          <w:lang w:val="es-ES_tradnl"/>
          <w14:ligatures w14:val="none"/>
        </w:rPr>
        <w:t xml:space="preserve">. </w:t>
      </w:r>
      <w:r w:rsidR="00C064FF">
        <w:rPr>
          <w:rFonts w:ascii="Times New Roman" w:eastAsia="Calibri" w:hAnsi="Times New Roman" w:cs="Times New Roman"/>
          <w:b/>
          <w:noProof/>
          <w:kern w:val="0"/>
          <w:szCs w:val="24"/>
          <w:lang w:val="es-ES_tradnl"/>
          <w14:ligatures w14:val="none"/>
        </w:rPr>
        <w:t>május.</w:t>
      </w:r>
    </w:p>
    <w:p w14:paraId="4F297D91" w14:textId="77777777" w:rsidR="00B305FD" w:rsidRPr="004B342C" w:rsidRDefault="00B305FD" w:rsidP="004B342C">
      <w:pPr>
        <w:tabs>
          <w:tab w:val="left" w:pos="567"/>
        </w:tabs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1A91E89E" w14:textId="77777777" w:rsidR="00145300" w:rsidRPr="00F83A7F" w:rsidRDefault="00145300" w:rsidP="00F83A7F">
      <w:pPr>
        <w:spacing w:after="0" w:line="240" w:lineRule="auto"/>
        <w:rPr>
          <w:rFonts w:ascii="Times New Roman" w:hAnsi="Times New Roman" w:cs="Times New Roman"/>
          <w:kern w:val="0"/>
        </w:rPr>
      </w:pPr>
    </w:p>
    <w:sectPr w:rsidR="00145300" w:rsidRPr="00F83A7F" w:rsidSect="004B342C">
      <w:headerReference w:type="default" r:id="rId7"/>
      <w:footerReference w:type="first" r:id="rId8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2C551B" w14:textId="77777777" w:rsidR="00F84D0A" w:rsidRDefault="00F84D0A">
      <w:pPr>
        <w:spacing w:after="0" w:line="240" w:lineRule="auto"/>
      </w:pPr>
      <w:r>
        <w:separator/>
      </w:r>
    </w:p>
  </w:endnote>
  <w:endnote w:type="continuationSeparator" w:id="0">
    <w:p w14:paraId="1CEAEA95" w14:textId="77777777" w:rsidR="00F84D0A" w:rsidRDefault="00F84D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D2B5A" w14:textId="77777777" w:rsidR="00F40197" w:rsidRPr="00FC3DD1" w:rsidRDefault="00F40197" w:rsidP="00F40197">
    <w:pPr>
      <w:pStyle w:val="llb"/>
      <w:rPr>
        <w:rFonts w:ascii="Times New Roman" w:hAnsi="Times New Roman"/>
        <w:sz w:val="18"/>
        <w:szCs w:val="18"/>
      </w:rPr>
    </w:pPr>
    <w:r w:rsidRPr="00FC3DD1">
      <w:rPr>
        <w:rFonts w:ascii="Times New Roman" w:hAnsi="Times New Roman"/>
        <w:sz w:val="18"/>
        <w:szCs w:val="18"/>
      </w:rPr>
      <w:t>NNGYK/GYSZ/1002/2024</w:t>
    </w:r>
  </w:p>
  <w:p w14:paraId="56C4D444" w14:textId="77777777" w:rsidR="00F40197" w:rsidRPr="00FC3DD1" w:rsidRDefault="00F40197" w:rsidP="00F40197">
    <w:pPr>
      <w:pStyle w:val="llb"/>
      <w:rPr>
        <w:rFonts w:ascii="Times New Roman" w:hAnsi="Times New Roman"/>
        <w:sz w:val="18"/>
        <w:szCs w:val="18"/>
      </w:rPr>
    </w:pPr>
    <w:r w:rsidRPr="00FC3DD1">
      <w:rPr>
        <w:rFonts w:ascii="Times New Roman" w:hAnsi="Times New Roman"/>
        <w:sz w:val="18"/>
        <w:szCs w:val="18"/>
      </w:rPr>
      <w:t>NNGYK/GYSZ/1003/2024</w:t>
    </w:r>
  </w:p>
  <w:p w14:paraId="581013DC" w14:textId="77777777" w:rsidR="00F40197" w:rsidRPr="00FC3DD1" w:rsidRDefault="00F40197" w:rsidP="00F40197">
    <w:pPr>
      <w:pStyle w:val="llb"/>
      <w:rPr>
        <w:rFonts w:ascii="Times New Roman" w:hAnsi="Times New Roman"/>
        <w:sz w:val="18"/>
        <w:szCs w:val="18"/>
      </w:rPr>
    </w:pPr>
    <w:r w:rsidRPr="00FC3DD1">
      <w:rPr>
        <w:rFonts w:ascii="Times New Roman" w:hAnsi="Times New Roman"/>
        <w:sz w:val="18"/>
        <w:szCs w:val="18"/>
      </w:rPr>
      <w:t>NNGYK/GYSZ/1004/2024</w:t>
    </w:r>
  </w:p>
  <w:p w14:paraId="04820A02" w14:textId="2184A108" w:rsidR="00B305FD" w:rsidRPr="009E117D" w:rsidRDefault="00F40197" w:rsidP="00B660C0">
    <w:pPr>
      <w:pStyle w:val="llb"/>
      <w:rPr>
        <w:rFonts w:ascii="Times New Roman" w:hAnsi="Times New Roman"/>
        <w:sz w:val="18"/>
        <w:szCs w:val="18"/>
      </w:rPr>
    </w:pPr>
    <w:r w:rsidRPr="00FC3DD1">
      <w:rPr>
        <w:rFonts w:ascii="Times New Roman" w:hAnsi="Times New Roman"/>
        <w:sz w:val="18"/>
        <w:szCs w:val="18"/>
      </w:rPr>
      <w:t>NNGYK/GYSZ/1005/2024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4C4CBD" w14:textId="77777777" w:rsidR="00F84D0A" w:rsidRDefault="00F84D0A">
      <w:pPr>
        <w:spacing w:after="0" w:line="240" w:lineRule="auto"/>
      </w:pPr>
      <w:r>
        <w:separator/>
      </w:r>
    </w:p>
  </w:footnote>
  <w:footnote w:type="continuationSeparator" w:id="0">
    <w:p w14:paraId="0A755E9B" w14:textId="77777777" w:rsidR="00F84D0A" w:rsidRDefault="00F84D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3040A" w14:textId="77777777" w:rsidR="00B305FD" w:rsidRPr="00252A5F" w:rsidRDefault="00B305FD" w:rsidP="00252A5F">
    <w:pPr>
      <w:pStyle w:val="lfej"/>
      <w:jc w:val="center"/>
      <w:rPr>
        <w:rFonts w:ascii="Times New Roman" w:hAnsi="Times New Roman"/>
        <w:sz w:val="18"/>
        <w:szCs w:val="18"/>
      </w:rPr>
    </w:pPr>
    <w:r w:rsidRPr="00252A5F">
      <w:rPr>
        <w:rFonts w:ascii="Times New Roman" w:hAnsi="Times New Roman"/>
        <w:sz w:val="18"/>
        <w:szCs w:val="18"/>
      </w:rPr>
      <w:fldChar w:fldCharType="begin"/>
    </w:r>
    <w:r w:rsidRPr="00252A5F">
      <w:rPr>
        <w:rFonts w:ascii="Times New Roman" w:hAnsi="Times New Roman"/>
        <w:sz w:val="18"/>
        <w:szCs w:val="18"/>
      </w:rPr>
      <w:instrText>PAGE   \* MERGEFORMAT</w:instrText>
    </w:r>
    <w:r w:rsidRPr="00252A5F">
      <w:rPr>
        <w:rFonts w:ascii="Times New Roman" w:hAnsi="Times New Roman"/>
        <w:sz w:val="18"/>
        <w:szCs w:val="18"/>
      </w:rPr>
      <w:fldChar w:fldCharType="separate"/>
    </w:r>
    <w:r>
      <w:rPr>
        <w:rFonts w:ascii="Times New Roman" w:hAnsi="Times New Roman"/>
        <w:noProof/>
        <w:sz w:val="18"/>
        <w:szCs w:val="18"/>
      </w:rPr>
      <w:t>2</w:t>
    </w:r>
    <w:r w:rsidRPr="00252A5F">
      <w:rPr>
        <w:rFonts w:ascii="Times New Roman" w:hAnsi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2255F83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4F4FAA"/>
    <w:multiLevelType w:val="hybridMultilevel"/>
    <w:tmpl w:val="F44454E4"/>
    <w:lvl w:ilvl="0" w:tplc="83B2CB68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3F5E1D"/>
    <w:multiLevelType w:val="hybridMultilevel"/>
    <w:tmpl w:val="7D64C26A"/>
    <w:lvl w:ilvl="0" w:tplc="83B2CB68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32C6842"/>
    <w:multiLevelType w:val="hybridMultilevel"/>
    <w:tmpl w:val="FA984D8C"/>
    <w:lvl w:ilvl="0" w:tplc="83B2CB68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175D2C"/>
    <w:multiLevelType w:val="hybridMultilevel"/>
    <w:tmpl w:val="C4FA3BAC"/>
    <w:lvl w:ilvl="0" w:tplc="AF1A0BCA">
      <w:start w:val="1"/>
      <w:numFmt w:val="decimal"/>
      <w:lvlText w:val="%1."/>
      <w:lvlJc w:val="left"/>
      <w:pPr>
        <w:ind w:left="-20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512" w:hanging="360"/>
      </w:pPr>
    </w:lvl>
    <w:lvl w:ilvl="2" w:tplc="040E001B" w:tentative="1">
      <w:start w:val="1"/>
      <w:numFmt w:val="lowerRoman"/>
      <w:lvlText w:val="%3."/>
      <w:lvlJc w:val="right"/>
      <w:pPr>
        <w:ind w:left="1232" w:hanging="180"/>
      </w:pPr>
    </w:lvl>
    <w:lvl w:ilvl="3" w:tplc="040E000F" w:tentative="1">
      <w:start w:val="1"/>
      <w:numFmt w:val="decimal"/>
      <w:lvlText w:val="%4."/>
      <w:lvlJc w:val="left"/>
      <w:pPr>
        <w:ind w:left="1952" w:hanging="360"/>
      </w:pPr>
    </w:lvl>
    <w:lvl w:ilvl="4" w:tplc="040E0019" w:tentative="1">
      <w:start w:val="1"/>
      <w:numFmt w:val="lowerLetter"/>
      <w:lvlText w:val="%5."/>
      <w:lvlJc w:val="left"/>
      <w:pPr>
        <w:ind w:left="2672" w:hanging="360"/>
      </w:pPr>
    </w:lvl>
    <w:lvl w:ilvl="5" w:tplc="040E001B" w:tentative="1">
      <w:start w:val="1"/>
      <w:numFmt w:val="lowerRoman"/>
      <w:lvlText w:val="%6."/>
      <w:lvlJc w:val="right"/>
      <w:pPr>
        <w:ind w:left="3392" w:hanging="180"/>
      </w:pPr>
    </w:lvl>
    <w:lvl w:ilvl="6" w:tplc="040E000F" w:tentative="1">
      <w:start w:val="1"/>
      <w:numFmt w:val="decimal"/>
      <w:lvlText w:val="%7."/>
      <w:lvlJc w:val="left"/>
      <w:pPr>
        <w:ind w:left="4112" w:hanging="360"/>
      </w:pPr>
    </w:lvl>
    <w:lvl w:ilvl="7" w:tplc="040E0019" w:tentative="1">
      <w:start w:val="1"/>
      <w:numFmt w:val="lowerLetter"/>
      <w:lvlText w:val="%8."/>
      <w:lvlJc w:val="left"/>
      <w:pPr>
        <w:ind w:left="4832" w:hanging="360"/>
      </w:pPr>
    </w:lvl>
    <w:lvl w:ilvl="8" w:tplc="040E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5" w15:restartNumberingAfterBreak="0">
    <w:nsid w:val="0D3D64A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E255FF1"/>
    <w:multiLevelType w:val="hybridMultilevel"/>
    <w:tmpl w:val="F22E8298"/>
    <w:lvl w:ilvl="0" w:tplc="CA301D6A">
      <w:start w:val="1"/>
      <w:numFmt w:val="decimal"/>
      <w:lvlText w:val="%1."/>
      <w:lvlJc w:val="left"/>
      <w:pPr>
        <w:ind w:left="-208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512" w:hanging="360"/>
      </w:pPr>
    </w:lvl>
    <w:lvl w:ilvl="2" w:tplc="040E001B" w:tentative="1">
      <w:start w:val="1"/>
      <w:numFmt w:val="lowerRoman"/>
      <w:lvlText w:val="%3."/>
      <w:lvlJc w:val="right"/>
      <w:pPr>
        <w:ind w:left="1232" w:hanging="180"/>
      </w:pPr>
    </w:lvl>
    <w:lvl w:ilvl="3" w:tplc="040E000F" w:tentative="1">
      <w:start w:val="1"/>
      <w:numFmt w:val="decimal"/>
      <w:lvlText w:val="%4."/>
      <w:lvlJc w:val="left"/>
      <w:pPr>
        <w:ind w:left="1952" w:hanging="360"/>
      </w:pPr>
    </w:lvl>
    <w:lvl w:ilvl="4" w:tplc="040E0019" w:tentative="1">
      <w:start w:val="1"/>
      <w:numFmt w:val="lowerLetter"/>
      <w:lvlText w:val="%5."/>
      <w:lvlJc w:val="left"/>
      <w:pPr>
        <w:ind w:left="2672" w:hanging="360"/>
      </w:pPr>
    </w:lvl>
    <w:lvl w:ilvl="5" w:tplc="040E001B" w:tentative="1">
      <w:start w:val="1"/>
      <w:numFmt w:val="lowerRoman"/>
      <w:lvlText w:val="%6."/>
      <w:lvlJc w:val="right"/>
      <w:pPr>
        <w:ind w:left="3392" w:hanging="180"/>
      </w:pPr>
    </w:lvl>
    <w:lvl w:ilvl="6" w:tplc="040E000F" w:tentative="1">
      <w:start w:val="1"/>
      <w:numFmt w:val="decimal"/>
      <w:lvlText w:val="%7."/>
      <w:lvlJc w:val="left"/>
      <w:pPr>
        <w:ind w:left="4112" w:hanging="360"/>
      </w:pPr>
    </w:lvl>
    <w:lvl w:ilvl="7" w:tplc="040E0019" w:tentative="1">
      <w:start w:val="1"/>
      <w:numFmt w:val="lowerLetter"/>
      <w:lvlText w:val="%8."/>
      <w:lvlJc w:val="left"/>
      <w:pPr>
        <w:ind w:left="4832" w:hanging="360"/>
      </w:pPr>
    </w:lvl>
    <w:lvl w:ilvl="8" w:tplc="040E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7" w15:restartNumberingAfterBreak="0">
    <w:nsid w:val="0E767CD5"/>
    <w:multiLevelType w:val="hybridMultilevel"/>
    <w:tmpl w:val="C2081F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E813AE"/>
    <w:multiLevelType w:val="hybridMultilevel"/>
    <w:tmpl w:val="7A44133C"/>
    <w:lvl w:ilvl="0" w:tplc="040E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9" w15:restartNumberingAfterBreak="0">
    <w:nsid w:val="14C74D04"/>
    <w:multiLevelType w:val="hybridMultilevel"/>
    <w:tmpl w:val="FCBC725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C3672"/>
    <w:multiLevelType w:val="hybridMultilevel"/>
    <w:tmpl w:val="C3DC4AC6"/>
    <w:lvl w:ilvl="0" w:tplc="83B2CB68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BC25D7"/>
    <w:multiLevelType w:val="hybridMultilevel"/>
    <w:tmpl w:val="9312C3E0"/>
    <w:lvl w:ilvl="0" w:tplc="2070EE1E">
      <w:start w:val="1"/>
      <w:numFmt w:val="decimal"/>
      <w:lvlText w:val="%1."/>
      <w:lvlJc w:val="left"/>
      <w:pPr>
        <w:ind w:left="-208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512" w:hanging="360"/>
      </w:pPr>
    </w:lvl>
    <w:lvl w:ilvl="2" w:tplc="040E001B" w:tentative="1">
      <w:start w:val="1"/>
      <w:numFmt w:val="lowerRoman"/>
      <w:lvlText w:val="%3."/>
      <w:lvlJc w:val="right"/>
      <w:pPr>
        <w:ind w:left="1232" w:hanging="180"/>
      </w:pPr>
    </w:lvl>
    <w:lvl w:ilvl="3" w:tplc="040E000F" w:tentative="1">
      <w:start w:val="1"/>
      <w:numFmt w:val="decimal"/>
      <w:lvlText w:val="%4."/>
      <w:lvlJc w:val="left"/>
      <w:pPr>
        <w:ind w:left="1952" w:hanging="360"/>
      </w:pPr>
    </w:lvl>
    <w:lvl w:ilvl="4" w:tplc="040E0019" w:tentative="1">
      <w:start w:val="1"/>
      <w:numFmt w:val="lowerLetter"/>
      <w:lvlText w:val="%5."/>
      <w:lvlJc w:val="left"/>
      <w:pPr>
        <w:ind w:left="2672" w:hanging="360"/>
      </w:pPr>
    </w:lvl>
    <w:lvl w:ilvl="5" w:tplc="040E001B" w:tentative="1">
      <w:start w:val="1"/>
      <w:numFmt w:val="lowerRoman"/>
      <w:lvlText w:val="%6."/>
      <w:lvlJc w:val="right"/>
      <w:pPr>
        <w:ind w:left="3392" w:hanging="180"/>
      </w:pPr>
    </w:lvl>
    <w:lvl w:ilvl="6" w:tplc="040E000F" w:tentative="1">
      <w:start w:val="1"/>
      <w:numFmt w:val="decimal"/>
      <w:lvlText w:val="%7."/>
      <w:lvlJc w:val="left"/>
      <w:pPr>
        <w:ind w:left="4112" w:hanging="360"/>
      </w:pPr>
    </w:lvl>
    <w:lvl w:ilvl="7" w:tplc="040E0019" w:tentative="1">
      <w:start w:val="1"/>
      <w:numFmt w:val="lowerLetter"/>
      <w:lvlText w:val="%8."/>
      <w:lvlJc w:val="left"/>
      <w:pPr>
        <w:ind w:left="4832" w:hanging="360"/>
      </w:pPr>
    </w:lvl>
    <w:lvl w:ilvl="8" w:tplc="040E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12" w15:restartNumberingAfterBreak="0">
    <w:nsid w:val="35681BA2"/>
    <w:multiLevelType w:val="hybridMultilevel"/>
    <w:tmpl w:val="8162EB18"/>
    <w:lvl w:ilvl="0" w:tplc="83B2CB68">
      <w:numFmt w:val="bullet"/>
      <w:lvlText w:val="-"/>
      <w:lvlJc w:val="left"/>
      <w:pPr>
        <w:ind w:left="502" w:hanging="360"/>
      </w:pPr>
    </w:lvl>
    <w:lvl w:ilvl="1" w:tplc="040E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13" w15:restartNumberingAfterBreak="0">
    <w:nsid w:val="36355D1B"/>
    <w:multiLevelType w:val="hybridMultilevel"/>
    <w:tmpl w:val="CBE8FBE6"/>
    <w:lvl w:ilvl="0" w:tplc="EBACD9C4">
      <w:start w:val="1"/>
      <w:numFmt w:val="decimal"/>
      <w:lvlText w:val="%1."/>
      <w:lvlJc w:val="left"/>
      <w:pPr>
        <w:ind w:left="-208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512" w:hanging="360"/>
      </w:pPr>
    </w:lvl>
    <w:lvl w:ilvl="2" w:tplc="040E001B" w:tentative="1">
      <w:start w:val="1"/>
      <w:numFmt w:val="lowerRoman"/>
      <w:lvlText w:val="%3."/>
      <w:lvlJc w:val="right"/>
      <w:pPr>
        <w:ind w:left="1232" w:hanging="180"/>
      </w:pPr>
    </w:lvl>
    <w:lvl w:ilvl="3" w:tplc="040E000F" w:tentative="1">
      <w:start w:val="1"/>
      <w:numFmt w:val="decimal"/>
      <w:lvlText w:val="%4."/>
      <w:lvlJc w:val="left"/>
      <w:pPr>
        <w:ind w:left="1952" w:hanging="360"/>
      </w:pPr>
    </w:lvl>
    <w:lvl w:ilvl="4" w:tplc="040E0019" w:tentative="1">
      <w:start w:val="1"/>
      <w:numFmt w:val="lowerLetter"/>
      <w:lvlText w:val="%5."/>
      <w:lvlJc w:val="left"/>
      <w:pPr>
        <w:ind w:left="2672" w:hanging="360"/>
      </w:pPr>
    </w:lvl>
    <w:lvl w:ilvl="5" w:tplc="040E001B" w:tentative="1">
      <w:start w:val="1"/>
      <w:numFmt w:val="lowerRoman"/>
      <w:lvlText w:val="%6."/>
      <w:lvlJc w:val="right"/>
      <w:pPr>
        <w:ind w:left="3392" w:hanging="180"/>
      </w:pPr>
    </w:lvl>
    <w:lvl w:ilvl="6" w:tplc="040E000F" w:tentative="1">
      <w:start w:val="1"/>
      <w:numFmt w:val="decimal"/>
      <w:lvlText w:val="%7."/>
      <w:lvlJc w:val="left"/>
      <w:pPr>
        <w:ind w:left="4112" w:hanging="360"/>
      </w:pPr>
    </w:lvl>
    <w:lvl w:ilvl="7" w:tplc="040E0019" w:tentative="1">
      <w:start w:val="1"/>
      <w:numFmt w:val="lowerLetter"/>
      <w:lvlText w:val="%8."/>
      <w:lvlJc w:val="left"/>
      <w:pPr>
        <w:ind w:left="4832" w:hanging="360"/>
      </w:pPr>
    </w:lvl>
    <w:lvl w:ilvl="8" w:tplc="040E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14" w15:restartNumberingAfterBreak="0">
    <w:nsid w:val="386A0C0E"/>
    <w:multiLevelType w:val="hybridMultilevel"/>
    <w:tmpl w:val="16A88E34"/>
    <w:lvl w:ilvl="0" w:tplc="716E16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053A54"/>
    <w:multiLevelType w:val="hybridMultilevel"/>
    <w:tmpl w:val="9BAC8CD4"/>
    <w:lvl w:ilvl="0" w:tplc="2084BB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DB578D"/>
    <w:multiLevelType w:val="hybridMultilevel"/>
    <w:tmpl w:val="1E5CF73E"/>
    <w:lvl w:ilvl="0" w:tplc="83B2CB68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280E97"/>
    <w:multiLevelType w:val="hybridMultilevel"/>
    <w:tmpl w:val="CC1CD97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58399C"/>
    <w:multiLevelType w:val="hybridMultilevel"/>
    <w:tmpl w:val="B3486792"/>
    <w:lvl w:ilvl="0" w:tplc="83B2CB68">
      <w:numFmt w:val="bullet"/>
      <w:lvlText w:val="-"/>
      <w:lvlJc w:val="left"/>
      <w:pPr>
        <w:ind w:left="152" w:hanging="360"/>
      </w:pPr>
    </w:lvl>
    <w:lvl w:ilvl="1" w:tplc="040E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19" w15:restartNumberingAfterBreak="0">
    <w:nsid w:val="4C261959"/>
    <w:multiLevelType w:val="hybridMultilevel"/>
    <w:tmpl w:val="61BCE7EE"/>
    <w:lvl w:ilvl="0" w:tplc="83B2CB68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CCC7FF6"/>
    <w:multiLevelType w:val="hybridMultilevel"/>
    <w:tmpl w:val="9CEA6E8C"/>
    <w:lvl w:ilvl="0" w:tplc="4246E430">
      <w:start w:val="1"/>
      <w:numFmt w:val="decimal"/>
      <w:lvlText w:val="%1."/>
      <w:lvlJc w:val="left"/>
      <w:pPr>
        <w:ind w:left="-208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512" w:hanging="360"/>
      </w:pPr>
    </w:lvl>
    <w:lvl w:ilvl="2" w:tplc="040E001B" w:tentative="1">
      <w:start w:val="1"/>
      <w:numFmt w:val="lowerRoman"/>
      <w:lvlText w:val="%3."/>
      <w:lvlJc w:val="right"/>
      <w:pPr>
        <w:ind w:left="1232" w:hanging="180"/>
      </w:pPr>
    </w:lvl>
    <w:lvl w:ilvl="3" w:tplc="040E000F" w:tentative="1">
      <w:start w:val="1"/>
      <w:numFmt w:val="decimal"/>
      <w:lvlText w:val="%4."/>
      <w:lvlJc w:val="left"/>
      <w:pPr>
        <w:ind w:left="1952" w:hanging="360"/>
      </w:pPr>
    </w:lvl>
    <w:lvl w:ilvl="4" w:tplc="040E0019" w:tentative="1">
      <w:start w:val="1"/>
      <w:numFmt w:val="lowerLetter"/>
      <w:lvlText w:val="%5."/>
      <w:lvlJc w:val="left"/>
      <w:pPr>
        <w:ind w:left="2672" w:hanging="360"/>
      </w:pPr>
    </w:lvl>
    <w:lvl w:ilvl="5" w:tplc="040E001B" w:tentative="1">
      <w:start w:val="1"/>
      <w:numFmt w:val="lowerRoman"/>
      <w:lvlText w:val="%6."/>
      <w:lvlJc w:val="right"/>
      <w:pPr>
        <w:ind w:left="3392" w:hanging="180"/>
      </w:pPr>
    </w:lvl>
    <w:lvl w:ilvl="6" w:tplc="040E000F" w:tentative="1">
      <w:start w:val="1"/>
      <w:numFmt w:val="decimal"/>
      <w:lvlText w:val="%7."/>
      <w:lvlJc w:val="left"/>
      <w:pPr>
        <w:ind w:left="4112" w:hanging="360"/>
      </w:pPr>
    </w:lvl>
    <w:lvl w:ilvl="7" w:tplc="040E0019" w:tentative="1">
      <w:start w:val="1"/>
      <w:numFmt w:val="lowerLetter"/>
      <w:lvlText w:val="%8."/>
      <w:lvlJc w:val="left"/>
      <w:pPr>
        <w:ind w:left="4832" w:hanging="360"/>
      </w:pPr>
    </w:lvl>
    <w:lvl w:ilvl="8" w:tplc="040E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21" w15:restartNumberingAfterBreak="0">
    <w:nsid w:val="4ED2213E"/>
    <w:multiLevelType w:val="hybridMultilevel"/>
    <w:tmpl w:val="8B1C5788"/>
    <w:lvl w:ilvl="0" w:tplc="040E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22" w15:restartNumberingAfterBreak="0">
    <w:nsid w:val="534A0E9D"/>
    <w:multiLevelType w:val="hybridMultilevel"/>
    <w:tmpl w:val="C1767420"/>
    <w:lvl w:ilvl="0" w:tplc="28385D82">
      <w:numFmt w:val="bullet"/>
      <w:lvlText w:val="•"/>
      <w:lvlJc w:val="left"/>
      <w:pPr>
        <w:ind w:left="-208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3" w15:restartNumberingAfterBreak="0">
    <w:nsid w:val="53D83F04"/>
    <w:multiLevelType w:val="hybridMultilevel"/>
    <w:tmpl w:val="5C9C1EE4"/>
    <w:lvl w:ilvl="0" w:tplc="83B2CB68">
      <w:numFmt w:val="bullet"/>
      <w:lvlText w:val="-"/>
      <w:lvlJc w:val="left"/>
      <w:pPr>
        <w:ind w:left="152" w:hanging="360"/>
      </w:pPr>
    </w:lvl>
    <w:lvl w:ilvl="1" w:tplc="040E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24" w15:restartNumberingAfterBreak="0">
    <w:nsid w:val="5BF20A63"/>
    <w:multiLevelType w:val="hybridMultilevel"/>
    <w:tmpl w:val="4E98952C"/>
    <w:lvl w:ilvl="0" w:tplc="040E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25" w15:restartNumberingAfterBreak="0">
    <w:nsid w:val="5F463EB2"/>
    <w:multiLevelType w:val="hybridMultilevel"/>
    <w:tmpl w:val="C7A6CC72"/>
    <w:lvl w:ilvl="0" w:tplc="83B2CB68">
      <w:numFmt w:val="bullet"/>
      <w:lvlText w:val="-"/>
      <w:lvlJc w:val="left"/>
      <w:pPr>
        <w:ind w:left="170" w:hanging="360"/>
      </w:pPr>
    </w:lvl>
    <w:lvl w:ilvl="1" w:tplc="040E0003" w:tentative="1">
      <w:start w:val="1"/>
      <w:numFmt w:val="bullet"/>
      <w:lvlText w:val="o"/>
      <w:lvlJc w:val="left"/>
      <w:pPr>
        <w:ind w:left="8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6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4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2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30" w:hanging="360"/>
      </w:pPr>
      <w:rPr>
        <w:rFonts w:ascii="Wingdings" w:hAnsi="Wingdings" w:hint="default"/>
      </w:rPr>
    </w:lvl>
  </w:abstractNum>
  <w:abstractNum w:abstractNumId="26" w15:restartNumberingAfterBreak="0">
    <w:nsid w:val="602C3404"/>
    <w:multiLevelType w:val="hybridMultilevel"/>
    <w:tmpl w:val="55F650C2"/>
    <w:lvl w:ilvl="0" w:tplc="83B2CB68">
      <w:numFmt w:val="bullet"/>
      <w:lvlText w:val="-"/>
      <w:lvlJc w:val="left"/>
      <w:pPr>
        <w:ind w:left="152" w:hanging="360"/>
      </w:pPr>
    </w:lvl>
    <w:lvl w:ilvl="1" w:tplc="040E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27" w15:restartNumberingAfterBreak="0">
    <w:nsid w:val="66550954"/>
    <w:multiLevelType w:val="hybridMultilevel"/>
    <w:tmpl w:val="F7CCE546"/>
    <w:lvl w:ilvl="0" w:tplc="040E0001">
      <w:start w:val="1"/>
      <w:numFmt w:val="bullet"/>
      <w:lvlText w:val=""/>
      <w:lvlJc w:val="left"/>
      <w:pPr>
        <w:ind w:left="15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abstractNum w:abstractNumId="28" w15:restartNumberingAfterBreak="0">
    <w:nsid w:val="71604B7A"/>
    <w:multiLevelType w:val="hybridMultilevel"/>
    <w:tmpl w:val="13947FA8"/>
    <w:lvl w:ilvl="0" w:tplc="040E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526B5C"/>
    <w:multiLevelType w:val="hybridMultilevel"/>
    <w:tmpl w:val="D06C6C46"/>
    <w:lvl w:ilvl="0" w:tplc="040E000F">
      <w:start w:val="1"/>
      <w:numFmt w:val="decimal"/>
      <w:lvlText w:val="%1."/>
      <w:lvlJc w:val="left"/>
      <w:pPr>
        <w:ind w:left="152" w:hanging="360"/>
      </w:pPr>
    </w:lvl>
    <w:lvl w:ilvl="1" w:tplc="040E0019" w:tentative="1">
      <w:start w:val="1"/>
      <w:numFmt w:val="lowerLetter"/>
      <w:lvlText w:val="%2."/>
      <w:lvlJc w:val="left"/>
      <w:pPr>
        <w:ind w:left="872" w:hanging="360"/>
      </w:pPr>
    </w:lvl>
    <w:lvl w:ilvl="2" w:tplc="040E001B" w:tentative="1">
      <w:start w:val="1"/>
      <w:numFmt w:val="lowerRoman"/>
      <w:lvlText w:val="%3."/>
      <w:lvlJc w:val="right"/>
      <w:pPr>
        <w:ind w:left="1592" w:hanging="180"/>
      </w:pPr>
    </w:lvl>
    <w:lvl w:ilvl="3" w:tplc="040E000F" w:tentative="1">
      <w:start w:val="1"/>
      <w:numFmt w:val="decimal"/>
      <w:lvlText w:val="%4."/>
      <w:lvlJc w:val="left"/>
      <w:pPr>
        <w:ind w:left="2312" w:hanging="360"/>
      </w:pPr>
    </w:lvl>
    <w:lvl w:ilvl="4" w:tplc="040E0019" w:tentative="1">
      <w:start w:val="1"/>
      <w:numFmt w:val="lowerLetter"/>
      <w:lvlText w:val="%5."/>
      <w:lvlJc w:val="left"/>
      <w:pPr>
        <w:ind w:left="3032" w:hanging="360"/>
      </w:pPr>
    </w:lvl>
    <w:lvl w:ilvl="5" w:tplc="040E001B" w:tentative="1">
      <w:start w:val="1"/>
      <w:numFmt w:val="lowerRoman"/>
      <w:lvlText w:val="%6."/>
      <w:lvlJc w:val="right"/>
      <w:pPr>
        <w:ind w:left="3752" w:hanging="180"/>
      </w:pPr>
    </w:lvl>
    <w:lvl w:ilvl="6" w:tplc="040E000F" w:tentative="1">
      <w:start w:val="1"/>
      <w:numFmt w:val="decimal"/>
      <w:lvlText w:val="%7."/>
      <w:lvlJc w:val="left"/>
      <w:pPr>
        <w:ind w:left="4472" w:hanging="360"/>
      </w:pPr>
    </w:lvl>
    <w:lvl w:ilvl="7" w:tplc="040E0019" w:tentative="1">
      <w:start w:val="1"/>
      <w:numFmt w:val="lowerLetter"/>
      <w:lvlText w:val="%8."/>
      <w:lvlJc w:val="left"/>
      <w:pPr>
        <w:ind w:left="5192" w:hanging="360"/>
      </w:pPr>
    </w:lvl>
    <w:lvl w:ilvl="8" w:tplc="040E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30" w15:restartNumberingAfterBreak="0">
    <w:nsid w:val="75A2241C"/>
    <w:multiLevelType w:val="hybridMultilevel"/>
    <w:tmpl w:val="E27EAB3A"/>
    <w:lvl w:ilvl="0" w:tplc="BF3CF53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E031A3"/>
    <w:multiLevelType w:val="hybridMultilevel"/>
    <w:tmpl w:val="F20E9FD2"/>
    <w:lvl w:ilvl="0" w:tplc="83B2CB68">
      <w:numFmt w:val="bullet"/>
      <w:lvlText w:val="-"/>
      <w:lvlJc w:val="left"/>
      <w:pPr>
        <w:ind w:left="152" w:hanging="360"/>
      </w:pPr>
    </w:lvl>
    <w:lvl w:ilvl="1" w:tplc="040E0003" w:tentative="1">
      <w:start w:val="1"/>
      <w:numFmt w:val="bullet"/>
      <w:lvlText w:val="o"/>
      <w:lvlJc w:val="left"/>
      <w:pPr>
        <w:ind w:left="87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59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31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03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75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47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19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5912" w:hanging="360"/>
      </w:pPr>
      <w:rPr>
        <w:rFonts w:ascii="Wingdings" w:hAnsi="Wingdings" w:hint="default"/>
      </w:rPr>
    </w:lvl>
  </w:abstractNum>
  <w:num w:numId="1" w16cid:durableId="43604357">
    <w:abstractNumId w:val="16"/>
  </w:num>
  <w:num w:numId="2" w16cid:durableId="2060324383">
    <w:abstractNumId w:val="22"/>
  </w:num>
  <w:num w:numId="3" w16cid:durableId="9719046">
    <w:abstractNumId w:val="29"/>
  </w:num>
  <w:num w:numId="4" w16cid:durableId="324210050">
    <w:abstractNumId w:val="4"/>
  </w:num>
  <w:num w:numId="5" w16cid:durableId="1899702976">
    <w:abstractNumId w:val="20"/>
  </w:num>
  <w:num w:numId="6" w16cid:durableId="1027871584">
    <w:abstractNumId w:val="13"/>
  </w:num>
  <w:num w:numId="7" w16cid:durableId="2090224533">
    <w:abstractNumId w:val="11"/>
  </w:num>
  <w:num w:numId="8" w16cid:durableId="1494100877">
    <w:abstractNumId w:val="6"/>
  </w:num>
  <w:num w:numId="9" w16cid:durableId="53049960">
    <w:abstractNumId w:val="15"/>
  </w:num>
  <w:num w:numId="10" w16cid:durableId="774177043">
    <w:abstractNumId w:val="9"/>
  </w:num>
  <w:num w:numId="11" w16cid:durableId="1500197845">
    <w:abstractNumId w:val="14"/>
  </w:num>
  <w:num w:numId="12" w16cid:durableId="615022010">
    <w:abstractNumId w:val="30"/>
  </w:num>
  <w:num w:numId="13" w16cid:durableId="702169474">
    <w:abstractNumId w:val="2"/>
  </w:num>
  <w:num w:numId="14" w16cid:durableId="1627194856">
    <w:abstractNumId w:val="25"/>
  </w:num>
  <w:num w:numId="15" w16cid:durableId="1395397530">
    <w:abstractNumId w:val="23"/>
  </w:num>
  <w:num w:numId="16" w16cid:durableId="1009720909">
    <w:abstractNumId w:val="26"/>
  </w:num>
  <w:num w:numId="17" w16cid:durableId="937911889">
    <w:abstractNumId w:val="12"/>
  </w:num>
  <w:num w:numId="18" w16cid:durableId="1934584104">
    <w:abstractNumId w:val="3"/>
  </w:num>
  <w:num w:numId="19" w16cid:durableId="2137795848">
    <w:abstractNumId w:val="17"/>
  </w:num>
  <w:num w:numId="20" w16cid:durableId="1263996220">
    <w:abstractNumId w:val="27"/>
  </w:num>
  <w:num w:numId="21" w16cid:durableId="1580217153">
    <w:abstractNumId w:val="24"/>
  </w:num>
  <w:num w:numId="22" w16cid:durableId="1945844610">
    <w:abstractNumId w:val="8"/>
  </w:num>
  <w:num w:numId="23" w16cid:durableId="731730087">
    <w:abstractNumId w:val="31"/>
  </w:num>
  <w:num w:numId="24" w16cid:durableId="1795826338">
    <w:abstractNumId w:val="19"/>
  </w:num>
  <w:num w:numId="25" w16cid:durableId="1497383700">
    <w:abstractNumId w:val="18"/>
  </w:num>
  <w:num w:numId="26" w16cid:durableId="732195011">
    <w:abstractNumId w:val="10"/>
  </w:num>
  <w:num w:numId="27" w16cid:durableId="1308392659">
    <w:abstractNumId w:val="0"/>
  </w:num>
  <w:num w:numId="28" w16cid:durableId="1989245164">
    <w:abstractNumId w:val="5"/>
  </w:num>
  <w:num w:numId="29" w16cid:durableId="1101799524">
    <w:abstractNumId w:val="7"/>
  </w:num>
  <w:num w:numId="30" w16cid:durableId="1256328294">
    <w:abstractNumId w:val="28"/>
  </w:num>
  <w:num w:numId="31" w16cid:durableId="1640258731">
    <w:abstractNumId w:val="1"/>
  </w:num>
  <w:num w:numId="32" w16cid:durableId="139909116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05FD"/>
    <w:rsid w:val="00047097"/>
    <w:rsid w:val="000E2FC0"/>
    <w:rsid w:val="00145300"/>
    <w:rsid w:val="00190600"/>
    <w:rsid w:val="00256696"/>
    <w:rsid w:val="0026531E"/>
    <w:rsid w:val="002A585E"/>
    <w:rsid w:val="004061C7"/>
    <w:rsid w:val="004A0556"/>
    <w:rsid w:val="004B342C"/>
    <w:rsid w:val="004E51FB"/>
    <w:rsid w:val="00521EDB"/>
    <w:rsid w:val="00607665"/>
    <w:rsid w:val="00661FD3"/>
    <w:rsid w:val="00681B9E"/>
    <w:rsid w:val="006C1983"/>
    <w:rsid w:val="007172A3"/>
    <w:rsid w:val="0088357E"/>
    <w:rsid w:val="009030FF"/>
    <w:rsid w:val="009050EE"/>
    <w:rsid w:val="00970729"/>
    <w:rsid w:val="00971E17"/>
    <w:rsid w:val="009E0E81"/>
    <w:rsid w:val="00AD63E0"/>
    <w:rsid w:val="00B305FD"/>
    <w:rsid w:val="00B445AF"/>
    <w:rsid w:val="00B47950"/>
    <w:rsid w:val="00B9699C"/>
    <w:rsid w:val="00BC1AE2"/>
    <w:rsid w:val="00BF1EC7"/>
    <w:rsid w:val="00C064FF"/>
    <w:rsid w:val="00D97EA5"/>
    <w:rsid w:val="00F40197"/>
    <w:rsid w:val="00F81323"/>
    <w:rsid w:val="00F83A7F"/>
    <w:rsid w:val="00F84D0A"/>
    <w:rsid w:val="00FB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D9639B"/>
  <w15:chartTrackingRefBased/>
  <w15:docId w15:val="{61905F43-6DAD-4F44-B0A1-CB54B6B1A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B305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305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305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305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305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305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305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305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305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B305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305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305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305FD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305FD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305FD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305FD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305FD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305FD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B305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B305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B305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B305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B305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B305FD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B305F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B305FD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305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305FD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B305FD"/>
    <w:rPr>
      <w:b/>
      <w:bCs/>
      <w:smallCaps/>
      <w:color w:val="2F5496" w:themeColor="accent1" w:themeShade="BF"/>
      <w:spacing w:val="5"/>
    </w:rPr>
  </w:style>
  <w:style w:type="numbering" w:customStyle="1" w:styleId="Nemlista1">
    <w:name w:val="Nem lista1"/>
    <w:next w:val="Nemlista"/>
    <w:uiPriority w:val="99"/>
    <w:semiHidden/>
    <w:unhideWhenUsed/>
    <w:rsid w:val="00B305FD"/>
  </w:style>
  <w:style w:type="paragraph" w:customStyle="1" w:styleId="Default">
    <w:name w:val="Default"/>
    <w:rsid w:val="00B305F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305FD"/>
    <w:pPr>
      <w:spacing w:after="0" w:line="240" w:lineRule="auto"/>
    </w:pPr>
    <w:rPr>
      <w:rFonts w:ascii="Segoe UI" w:eastAsia="Calibri" w:hAnsi="Segoe UI" w:cs="Segoe UI"/>
      <w:kern w:val="0"/>
      <w:sz w:val="18"/>
      <w:szCs w:val="18"/>
      <w14:ligatures w14:val="none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305FD"/>
    <w:rPr>
      <w:rFonts w:ascii="Segoe UI" w:eastAsia="Calibri" w:hAnsi="Segoe UI" w:cs="Segoe UI"/>
      <w:kern w:val="0"/>
      <w:sz w:val="18"/>
      <w:szCs w:val="18"/>
      <w14:ligatures w14:val="none"/>
    </w:rPr>
  </w:style>
  <w:style w:type="character" w:styleId="Jegyzethivatkozs">
    <w:name w:val="annotation reference"/>
    <w:uiPriority w:val="99"/>
    <w:semiHidden/>
    <w:unhideWhenUsed/>
    <w:rsid w:val="00B305F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B305FD"/>
    <w:pPr>
      <w:spacing w:line="240" w:lineRule="auto"/>
    </w:pPr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B305FD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B305F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B305FD"/>
    <w:rPr>
      <w:rFonts w:ascii="Calibri" w:eastAsia="Calibri" w:hAnsi="Calibri" w:cs="Times New Roman"/>
      <w:b/>
      <w:bCs/>
      <w:kern w:val="0"/>
      <w:sz w:val="20"/>
      <w:szCs w:val="20"/>
      <w14:ligatures w14:val="none"/>
    </w:rPr>
  </w:style>
  <w:style w:type="paragraph" w:styleId="lfej">
    <w:name w:val="header"/>
    <w:basedOn w:val="Norml"/>
    <w:link w:val="lfejChar"/>
    <w:uiPriority w:val="99"/>
    <w:unhideWhenUsed/>
    <w:rsid w:val="00B305F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lfejChar">
    <w:name w:val="Élőfej Char"/>
    <w:basedOn w:val="Bekezdsalapbettpusa"/>
    <w:link w:val="lfej"/>
    <w:uiPriority w:val="99"/>
    <w:rsid w:val="00B305FD"/>
    <w:rPr>
      <w:rFonts w:ascii="Calibri" w:eastAsia="Calibri" w:hAnsi="Calibri" w:cs="Times New Roman"/>
      <w:kern w:val="0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B305FD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llbChar">
    <w:name w:val="Élőláb Char"/>
    <w:basedOn w:val="Bekezdsalapbettpusa"/>
    <w:link w:val="llb"/>
    <w:uiPriority w:val="99"/>
    <w:rsid w:val="00B305FD"/>
    <w:rPr>
      <w:rFonts w:ascii="Calibri" w:eastAsia="Calibri" w:hAnsi="Calibri" w:cs="Times New Roman"/>
      <w:kern w:val="0"/>
      <w14:ligatures w14:val="none"/>
    </w:rPr>
  </w:style>
  <w:style w:type="paragraph" w:customStyle="1" w:styleId="Text">
    <w:name w:val="Text"/>
    <w:basedOn w:val="Norml"/>
    <w:rsid w:val="00B305FD"/>
    <w:pPr>
      <w:widowControl w:val="0"/>
      <w:tabs>
        <w:tab w:val="left" w:pos="6521"/>
      </w:tabs>
      <w:spacing w:after="0" w:line="240" w:lineRule="auto"/>
    </w:pPr>
    <w:rPr>
      <w:rFonts w:ascii="Calibri" w:eastAsia="Calibri" w:hAnsi="Calibri" w:cs="Times New Roman"/>
      <w:w w:val="105"/>
      <w:kern w:val="0"/>
      <w:lang w:val="en-US"/>
      <w14:ligatures w14:val="none"/>
    </w:rPr>
  </w:style>
  <w:style w:type="paragraph" w:styleId="Vltozat">
    <w:name w:val="Revision"/>
    <w:hidden/>
    <w:uiPriority w:val="99"/>
    <w:semiHidden/>
    <w:rsid w:val="00B305FD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styleId="Hiperhivatkozs">
    <w:name w:val="Hyperlink"/>
    <w:rsid w:val="00B305FD"/>
    <w:rPr>
      <w:rFonts w:cs="Times New Roman"/>
      <w:color w:val="0000FF"/>
      <w:u w:val="single"/>
    </w:rPr>
  </w:style>
  <w:style w:type="table" w:styleId="Rcsostblzat">
    <w:name w:val="Table Grid"/>
    <w:basedOn w:val="Normltblzat"/>
    <w:uiPriority w:val="39"/>
    <w:rsid w:val="00B305F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hu-H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9</Pages>
  <Words>3099</Words>
  <Characters>21384</Characters>
  <Application>Microsoft Office Word</Application>
  <DocSecurity>0</DocSecurity>
  <Lines>178</Lines>
  <Paragraphs>48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RKV-VV</dc:creator>
  <cp:keywords/>
  <dc:description/>
  <cp:lastModifiedBy>OGYI_62.1</cp:lastModifiedBy>
  <cp:revision>16</cp:revision>
  <dcterms:created xsi:type="dcterms:W3CDTF">2025-08-08T08:17:00Z</dcterms:created>
  <dcterms:modified xsi:type="dcterms:W3CDTF">2026-05-13T11:32:00Z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a256bb-f010-45f7-99b4-329a9a9e7a5c_Enabled">
    <vt:lpwstr>true</vt:lpwstr>
  </property>
  <property fmtid="{D5CDD505-2E9C-101B-9397-08002B2CF9AE}" pid="3" name="MSIP_Label_66a256bb-f010-45f7-99b4-329a9a9e7a5c_SetDate">
    <vt:lpwstr>2025-09-08T09:16:48Z</vt:lpwstr>
  </property>
  <property fmtid="{D5CDD505-2E9C-101B-9397-08002B2CF9AE}" pid="4" name="MSIP_Label_66a256bb-f010-45f7-99b4-329a9a9e7a5c_Method">
    <vt:lpwstr>Standard</vt:lpwstr>
  </property>
  <property fmtid="{D5CDD505-2E9C-101B-9397-08002B2CF9AE}" pid="5" name="MSIP_Label_66a256bb-f010-45f7-99b4-329a9a9e7a5c_Name">
    <vt:lpwstr>Public</vt:lpwstr>
  </property>
  <property fmtid="{D5CDD505-2E9C-101B-9397-08002B2CF9AE}" pid="6" name="MSIP_Label_66a256bb-f010-45f7-99b4-329a9a9e7a5c_SiteId">
    <vt:lpwstr>68b628ab-578a-4367-8d4e-bc98746c4353</vt:lpwstr>
  </property>
  <property fmtid="{D5CDD505-2E9C-101B-9397-08002B2CF9AE}" pid="7" name="MSIP_Label_66a256bb-f010-45f7-99b4-329a9a9e7a5c_ActionId">
    <vt:lpwstr>0baa8f0a-b968-4ac4-bdb4-cd9b0133e987</vt:lpwstr>
  </property>
  <property fmtid="{D5CDD505-2E9C-101B-9397-08002B2CF9AE}" pid="8" name="MSIP_Label_66a256bb-f010-45f7-99b4-329a9a9e7a5c_ContentBits">
    <vt:lpwstr>0</vt:lpwstr>
  </property>
  <property fmtid="{D5CDD505-2E9C-101B-9397-08002B2CF9AE}" pid="9" name="MSIP_Label_66a256bb-f010-45f7-99b4-329a9a9e7a5c_Tag">
    <vt:lpwstr>10, 3, 0, 1</vt:lpwstr>
  </property>
</Properties>
</file>