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2B92C" w14:textId="77777777" w:rsidR="001A05EC" w:rsidRPr="001A05EC" w:rsidRDefault="001A05EC" w:rsidP="001A05EC">
      <w:pPr>
        <w:autoSpaceDE w:val="0"/>
        <w:autoSpaceDN w:val="0"/>
        <w:spacing w:after="0" w:line="240" w:lineRule="auto"/>
        <w:jc w:val="center"/>
        <w:outlineLvl w:val="1"/>
        <w:rPr>
          <w:rFonts w:ascii="Times New Roman" w:eastAsia="Times New Roman" w:hAnsi="Times New Roman" w:cs="Times New Roman"/>
          <w:b/>
          <w:bCs/>
          <w:noProof/>
          <w:kern w:val="0"/>
          <w:lang w:val="hu-HU"/>
          <w14:ligatures w14:val="none"/>
        </w:rPr>
      </w:pPr>
      <w:bookmarkStart w:id="0" w:name="_GoBack"/>
      <w:bookmarkEnd w:id="0"/>
      <w:r w:rsidRPr="001A05EC">
        <w:rPr>
          <w:rFonts w:ascii="Times New Roman" w:eastAsia="Times New Roman" w:hAnsi="Times New Roman" w:cs="Times New Roman"/>
          <w:b/>
          <w:bCs/>
          <w:noProof/>
          <w:kern w:val="0"/>
          <w:lang w:val="hu-HU"/>
          <w14:ligatures w14:val="none"/>
        </w:rPr>
        <w:t>Betegtájékoztató: Információk a beteg számára</w:t>
      </w:r>
    </w:p>
    <w:p w14:paraId="1E36B4C3"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p>
    <w:p w14:paraId="33C16658"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5 mg filmtabletta</w:t>
      </w:r>
    </w:p>
    <w:p w14:paraId="1D801F14"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10 mg filmtabletta</w:t>
      </w:r>
    </w:p>
    <w:p w14:paraId="57350553"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15 mg filmtabletta</w:t>
      </w:r>
    </w:p>
    <w:p w14:paraId="281A30CC"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VORTIOXETINE VIATRIS PHARMA 20 mg filmtabletta</w:t>
      </w:r>
    </w:p>
    <w:p w14:paraId="0FCECE51"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b/>
          <w:noProof/>
          <w:kern w:val="0"/>
          <w:lang w:val="hu-HU"/>
          <w14:ligatures w14:val="none"/>
        </w:rPr>
      </w:pPr>
    </w:p>
    <w:p w14:paraId="0BCDA27D" w14:textId="77777777" w:rsidR="001A05EC" w:rsidRPr="001A05EC" w:rsidRDefault="001A05EC" w:rsidP="001A05EC">
      <w:pPr>
        <w:autoSpaceDE w:val="0"/>
        <w:autoSpaceDN w:val="0"/>
        <w:spacing w:after="0" w:line="240" w:lineRule="auto"/>
        <w:jc w:val="center"/>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vortioxetin (vortioxetinum)</w:t>
      </w:r>
    </w:p>
    <w:p w14:paraId="6ADF5D9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6155A72"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Mielőtt elkezdi szedni ezt a gyógyszert, olvassa el figyelmesen az alábbi betegtájékoztatót, mert az Ön számára fontos információkat tartalmaz.</w:t>
      </w:r>
    </w:p>
    <w:p w14:paraId="4C3B8814"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Tartsa meg a betegtájékoztatót, mert a benne szereplő információkra a későbbiekben is szüksége lehet.</w:t>
      </w:r>
    </w:p>
    <w:p w14:paraId="22E037BE"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További kérdéseivel forduljon kezelőorvosához vagy gyógyszerészéhez.</w:t>
      </w:r>
    </w:p>
    <w:p w14:paraId="0EC72AA6"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Ezt a gyógyszert az orvos kizárólag Önnek írta fel. Ne adja át a készítményt másnak, mert számára ártalmas lehet még abban az esetben is, ha a betegsége tünetei az Önéhez hasonlóak.</w:t>
      </w:r>
    </w:p>
    <w:p w14:paraId="09BBE5BE" w14:textId="77777777" w:rsidR="001A05EC" w:rsidRPr="001A05EC" w:rsidRDefault="001A05EC" w:rsidP="001A05EC">
      <w:pPr>
        <w:widowControl w:val="0"/>
        <w:numPr>
          <w:ilvl w:val="0"/>
          <w:numId w:val="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Önnél bármilyen mellékhatás jelentkezik, tájékoztassa erről kezelőorvosát vagy gyógyszerészét. Ez a betegtájékoztatóban fel nem sorolt bármilyen lehetséges mellékhatásra is vonatkozik. Lásd 4. pont.</w:t>
      </w:r>
    </w:p>
    <w:p w14:paraId="08696FC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FF2299E"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betegtájékoztató tartalma:</w:t>
      </w:r>
    </w:p>
    <w:p w14:paraId="183363B3"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Milyen típusú gyógyszer a VORTIOXETINE VIATRIS PHARMA és milyen betegségek esetén alkalmazható?</w:t>
      </w:r>
    </w:p>
    <w:p w14:paraId="06848094"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Tudnivalók a VORTIOXETINE VIATRIS PHARMA szedése előtt</w:t>
      </w:r>
    </w:p>
    <w:p w14:paraId="24456A3C"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Hogyan kell szedni a VORTIOXETINE VIATRIS PHARMA-t?</w:t>
      </w:r>
    </w:p>
    <w:p w14:paraId="160949AE"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Lehetséges mellékhatások</w:t>
      </w:r>
    </w:p>
    <w:p w14:paraId="7D5C4F6E"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Hogyan kell a VORTIOXETINE VIATRIS PHARMA-t tárolni?</w:t>
      </w:r>
    </w:p>
    <w:p w14:paraId="59602A24" w14:textId="77777777" w:rsidR="001A05EC" w:rsidRPr="001A05EC" w:rsidRDefault="001A05EC" w:rsidP="001A05EC">
      <w:pPr>
        <w:widowControl w:val="0"/>
        <w:numPr>
          <w:ilvl w:val="0"/>
          <w:numId w:val="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csomagolás tartalma és egyéb információk</w:t>
      </w:r>
    </w:p>
    <w:p w14:paraId="593D989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B13E02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348BF9D6"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1.</w:t>
      </w:r>
      <w:r w:rsidRPr="001A05EC">
        <w:rPr>
          <w:rFonts w:ascii="Times New Roman" w:eastAsia="Times New Roman" w:hAnsi="Times New Roman" w:cs="Times New Roman"/>
          <w:b/>
          <w:bCs/>
          <w:noProof/>
          <w:kern w:val="0"/>
          <w:lang w:val="hu-HU"/>
          <w14:ligatures w14:val="none"/>
        </w:rPr>
        <w:tab/>
        <w:t>Milyen típusú gyógyszer a VORTIOXETINE VIATRIS PHARMA és milyen betegségek esetén alkalmazható?</w:t>
      </w:r>
    </w:p>
    <w:p w14:paraId="78FC584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3D2F429" w14:textId="3096AFE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vortioxetin hatóanyagot tartalmaz. Ez a hangulatjavítóknak (</w:t>
      </w:r>
      <w:r w:rsidR="00BB760F" w:rsidRPr="00BB760F">
        <w:rPr>
          <w:rFonts w:ascii="Times New Roman" w:eastAsia="Times New Roman" w:hAnsi="Times New Roman" w:cs="Times New Roman"/>
          <w:noProof/>
          <w:kern w:val="0"/>
          <w:lang w:val="hu-HU"/>
          <w14:ligatures w14:val="none"/>
        </w:rPr>
        <w:t>antidepresszánsoknak</w:t>
      </w:r>
      <w:r w:rsidRPr="001A05EC">
        <w:rPr>
          <w:rFonts w:ascii="Times New Roman" w:eastAsia="Times New Roman" w:hAnsi="Times New Roman" w:cs="Times New Roman"/>
          <w:noProof/>
          <w:kern w:val="0"/>
          <w:lang w:val="hu-HU"/>
          <w14:ligatures w14:val="none"/>
        </w:rPr>
        <w:t>) nevezett gyógyszerek csoportjába tartozik.</w:t>
      </w:r>
    </w:p>
    <w:p w14:paraId="4EED79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74A9FE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a felnőtt betegek major depressziós epizódjainak kezelésére szolgál.</w:t>
      </w:r>
    </w:p>
    <w:p w14:paraId="54E4234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F2A1889" w14:textId="1FE620D5"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bizonyítottan csökkenti a depresszió számos tünetét, így a szomorúság érzését, a belső feszültséget (szorongást), az alvászavarokat (csökkent alvási időt), csökkent étvágyat, koncentrálási nehézséget, az értéktelenség érzését, a </w:t>
      </w:r>
      <w:r w:rsidR="00BB760F">
        <w:rPr>
          <w:rFonts w:ascii="Times New Roman" w:eastAsia="Times New Roman" w:hAnsi="Times New Roman" w:cs="Times New Roman"/>
          <w:noProof/>
          <w:kern w:val="0"/>
          <w:lang w:val="hu-HU"/>
          <w14:ligatures w14:val="none"/>
        </w:rPr>
        <w:t>kedvelt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foglalatosságok iránti érdeklődés elvesztését és a lelassultság érzését.</w:t>
      </w:r>
    </w:p>
    <w:p w14:paraId="1CFC0D0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C8C5D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FDB56B9"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2.</w:t>
      </w:r>
      <w:r w:rsidRPr="001A05EC">
        <w:rPr>
          <w:rFonts w:ascii="Times New Roman" w:eastAsia="Times New Roman" w:hAnsi="Times New Roman" w:cs="Times New Roman"/>
          <w:b/>
          <w:bCs/>
          <w:noProof/>
          <w:kern w:val="0"/>
          <w:lang w:val="hu-HU"/>
          <w14:ligatures w14:val="none"/>
        </w:rPr>
        <w:tab/>
        <w:t>Tudnivalók a VORTIOXETINE VIATRIS PHARMA szedése előtt</w:t>
      </w:r>
    </w:p>
    <w:p w14:paraId="1C9AF99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065A512" w14:textId="77777777" w:rsidR="001A05EC" w:rsidRPr="001A05EC" w:rsidRDefault="001A05EC" w:rsidP="001A05EC">
      <w:pPr>
        <w:keepNext/>
        <w:tabs>
          <w:tab w:val="left" w:pos="805"/>
        </w:tab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Ne szedje a VORTIOXETINE VIATRIS PHARMA-t:</w:t>
      </w:r>
    </w:p>
    <w:p w14:paraId="567A5225" w14:textId="77777777" w:rsidR="001A05EC" w:rsidRPr="001A05EC" w:rsidRDefault="001A05EC" w:rsidP="001A05EC">
      <w:pPr>
        <w:keepNext/>
        <w:widowControl w:val="0"/>
        <w:numPr>
          <w:ilvl w:val="0"/>
          <w:numId w:val="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allergiás a vortioxetinre vagy a gyógyszer (6. pontban felsorolt) egyéb összetevőjére.</w:t>
      </w:r>
    </w:p>
    <w:p w14:paraId="2DAE2E89" w14:textId="6F33DA8B" w:rsidR="001A05EC" w:rsidRPr="001A05EC" w:rsidRDefault="001A05EC" w:rsidP="001A05EC">
      <w:pPr>
        <w:keepNext/>
        <w:widowControl w:val="0"/>
        <w:numPr>
          <w:ilvl w:val="0"/>
          <w:numId w:val="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a depresszió kezelésére szolgáló, nem szelektív monoaminoxidáz-</w:t>
      </w:r>
      <w:r w:rsidR="00BB760F">
        <w:rPr>
          <w:rFonts w:ascii="Times New Roman" w:eastAsia="Times New Roman" w:hAnsi="Times New Roman" w:cs="Times New Roman"/>
          <w:noProof/>
          <w:kern w:val="0"/>
          <w:lang w:val="hu-HU"/>
          <w14:ligatures w14:val="none"/>
        </w:rPr>
        <w:t>gátlóként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 xml:space="preserve">vagy szelektív </w:t>
      </w:r>
      <w:r w:rsidRPr="001A05EC">
        <w:rPr>
          <w:rFonts w:ascii="Times New Roman" w:eastAsia="Times New Roman" w:hAnsi="Times New Roman" w:cs="Times New Roman"/>
          <w:noProof/>
          <w:kern w:val="0"/>
          <w:lang w:val="hu-HU"/>
          <w14:ligatures w14:val="none"/>
        </w:rPr>
        <w:lastRenderedPageBreak/>
        <w:t>MAO-A</w:t>
      </w:r>
      <w:r w:rsidR="00BB760F">
        <w:rPr>
          <w:rFonts w:ascii="Times New Roman" w:eastAsia="Times New Roman" w:hAnsi="Times New Roman" w:cs="Times New Roman"/>
          <w:noProof/>
          <w:kern w:val="0"/>
          <w:lang w:val="hu-HU"/>
          <w14:ligatures w14:val="none"/>
        </w:rPr>
        <w:t>-gátlóként</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ismert egyéb gyógyszereket szed. Ha bizonytalan, kérdezze meg kezelőorvosát.</w:t>
      </w:r>
    </w:p>
    <w:p w14:paraId="0E3BFE83" w14:textId="77777777" w:rsidR="001A05EC" w:rsidRPr="001A05EC" w:rsidRDefault="001A05EC" w:rsidP="001A05EC">
      <w:pPr>
        <w:keepNext/>
        <w:tabs>
          <w:tab w:val="left" w:pos="806"/>
        </w:tabs>
        <w:autoSpaceDE w:val="0"/>
        <w:autoSpaceDN w:val="0"/>
        <w:spacing w:after="0" w:line="240" w:lineRule="auto"/>
        <w:rPr>
          <w:rFonts w:ascii="Times New Roman" w:eastAsia="Times New Roman" w:hAnsi="Times New Roman" w:cs="Times New Roman"/>
          <w:noProof/>
          <w:kern w:val="0"/>
          <w:lang w:val="hu-HU"/>
          <w14:ligatures w14:val="none"/>
        </w:rPr>
      </w:pPr>
    </w:p>
    <w:p w14:paraId="2E9F98AB"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Figyelmeztetések és óvintézkedések</w:t>
      </w:r>
    </w:p>
    <w:p w14:paraId="3BB0B0FD"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szedése előtt beszéljen kezelőorvosával vagy gyógyszerészével, ha:</w:t>
      </w:r>
    </w:p>
    <w:p w14:paraId="04829DB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1E98472" w14:textId="77777777" w:rsidR="001A05EC" w:rsidRPr="001A05EC" w:rsidRDefault="001A05EC" w:rsidP="001A05EC">
      <w:pPr>
        <w:keepNext/>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úgynevezett szerotonerg hatású gyógyszereket szed, mint például a:</w:t>
      </w:r>
    </w:p>
    <w:p w14:paraId="168AD2C6" w14:textId="77777777" w:rsidR="001A05EC" w:rsidRPr="001A05EC" w:rsidRDefault="001A05EC" w:rsidP="001A05EC">
      <w:pPr>
        <w:keepNext/>
        <w:widowControl w:val="0"/>
        <w:numPr>
          <w:ilvl w:val="0"/>
          <w:numId w:val="4"/>
        </w:numPr>
        <w:autoSpaceDE w:val="0"/>
        <w:autoSpaceDN w:val="0"/>
        <w:spacing w:after="0" w:line="240" w:lineRule="auto"/>
        <w:ind w:left="1134"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tramadol és hasonló gyógyszerek (erős fájdalomcsillapítók).</w:t>
      </w:r>
    </w:p>
    <w:p w14:paraId="66C4A2BC" w14:textId="77777777" w:rsidR="001A05EC" w:rsidRPr="001A05EC" w:rsidRDefault="001A05EC" w:rsidP="001A05EC">
      <w:pPr>
        <w:widowControl w:val="0"/>
        <w:numPr>
          <w:ilvl w:val="0"/>
          <w:numId w:val="4"/>
        </w:numPr>
        <w:autoSpaceDE w:val="0"/>
        <w:autoSpaceDN w:val="0"/>
        <w:spacing w:after="0" w:line="240" w:lineRule="auto"/>
        <w:ind w:left="1134"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szumatriptán vagy hasonló, hatóanyaguk elnevezésében „triptán”-ra végződő (a migrén kezelésére szolgáló) gyógyszerek.</w:t>
      </w:r>
    </w:p>
    <w:p w14:paraId="20A3F7F7" w14:textId="3353E85B" w:rsidR="001A05EC" w:rsidRPr="001A05EC" w:rsidRDefault="001A05EC" w:rsidP="001A05EC">
      <w:pPr>
        <w:autoSpaceDE w:val="0"/>
        <w:autoSpaceDN w:val="0"/>
        <w:spacing w:after="0" w:line="240" w:lineRule="auto"/>
        <w:ind w:left="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 gyógyszerek és a VORTIOXETINE VIATRIS PHARMA egyidejű szedése növelheti a szerotonin</w:t>
      </w:r>
      <w:r w:rsidR="00BB760F">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szindróma kialakulásának kockázatát. Ez a tünetegyüttes hallucinációkkal, akaratlan izomrángásokkal, felgyorsult szívveréssel, magas vérnyomással, lázzal, hányingerrel és hasmenéssel járhat együtt.</w:t>
      </w:r>
    </w:p>
    <w:p w14:paraId="4D6C874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78DE896" w14:textId="77777777" w:rsidR="001A05EC" w:rsidRPr="001A05EC" w:rsidRDefault="001A05EC" w:rsidP="001A05EC">
      <w:pPr>
        <w:keepNext/>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korábban előfordultak Önnél görcsrohamok.</w:t>
      </w:r>
    </w:p>
    <w:p w14:paraId="7A2094C3" w14:textId="3505A73A" w:rsidR="001A05EC" w:rsidRPr="001A05EC" w:rsidRDefault="001A05EC" w:rsidP="001A05EC">
      <w:pPr>
        <w:autoSpaceDE w:val="0"/>
        <w:autoSpaceDN w:val="0"/>
        <w:spacing w:after="0" w:line="240" w:lineRule="auto"/>
        <w:ind w:left="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Kezelőorvosa fokozott körültekintéssel kezeli Önt, ha kórelőzményében görcsrohamok szerepelnek, vagy instabil görcsrohamokkal járó betegségben/epilepsziában szenved. A depresszió kezelésére szolgáló gyógyszerek szedésekor fennáll a görcsrohamok </w:t>
      </w:r>
      <w:r w:rsidR="00BB760F">
        <w:rPr>
          <w:rFonts w:ascii="Times New Roman" w:eastAsia="Times New Roman" w:hAnsi="Times New Roman" w:cs="Times New Roman"/>
          <w:noProof/>
          <w:kern w:val="0"/>
          <w:lang w:val="hu-HU"/>
          <w14:ligatures w14:val="none"/>
        </w:rPr>
        <w:t>lehetséges</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kockázata. A kezelést meg kell szakítani azoknál, akiknél görcsrohamok lépnek fel, vagy akiknél a görcsrohamok gyakoribbá válnak.</w:t>
      </w:r>
    </w:p>
    <w:p w14:paraId="4EF7E79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7D45BC"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korábban mániában szenvedett.</w:t>
      </w:r>
    </w:p>
    <w:p w14:paraId="3BE8ECA7"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vérzésre vagy véraláfutások kialakulására hajlamos, vagy ha Ön terhes (lásd a „Terhesség, szoptatás és termékenység” című pontot).</w:t>
      </w:r>
    </w:p>
    <w:p w14:paraId="71CB94B6"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vérében alacsony a nátriumszint.</w:t>
      </w:r>
    </w:p>
    <w:p w14:paraId="2A15065A"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65 éves vagy annál idősebb.</w:t>
      </w:r>
    </w:p>
    <w:p w14:paraId="03A16478"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súlyos vesebetegségben szenved.</w:t>
      </w:r>
    </w:p>
    <w:p w14:paraId="619804CB"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súlyos májbetegségben vagy májzsugornak nevezett májbetegségben szenved.</w:t>
      </w:r>
    </w:p>
    <w:p w14:paraId="1FFCB83D" w14:textId="77777777" w:rsidR="001A05EC" w:rsidRPr="001A05EC" w:rsidRDefault="001A05EC" w:rsidP="001A05EC">
      <w:pPr>
        <w:widowControl w:val="0"/>
        <w:numPr>
          <w:ilvl w:val="0"/>
          <w:numId w:val="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jelenleg magas a szemnyomása, vagy zöldhályogja (glaukómája) van, vagy pedig a múltban előfordult már ezek valamelyike Önnél. Ha a kezelés során fájni kezd a szeme és homályos látást tapasztal, forduljon kezelőorvosához.</w:t>
      </w:r>
    </w:p>
    <w:p w14:paraId="3D34C3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C3C8F9E" w14:textId="0A6826C3"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Mialatt Ön </w:t>
      </w:r>
      <w:r w:rsidR="00BB760F">
        <w:rPr>
          <w:rFonts w:ascii="Times New Roman" w:eastAsia="Times New Roman" w:hAnsi="Times New Roman" w:cs="Times New Roman"/>
          <w:noProof/>
          <w:kern w:val="0"/>
          <w:lang w:val="hu-HU"/>
          <w14:ligatures w14:val="none"/>
        </w:rPr>
        <w:t>antidepresszáns</w:t>
      </w:r>
      <w:r w:rsidR="00BB760F"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kezelésben részesül</w:t>
      </w:r>
      <w:r w:rsidR="00BB760F">
        <w:rPr>
          <w:rFonts w:ascii="Times New Roman" w:eastAsia="Times New Roman" w:hAnsi="Times New Roman" w:cs="Times New Roman"/>
          <w:noProof/>
          <w:kern w:val="0"/>
          <w:lang w:val="hu-HU"/>
          <w14:ligatures w14:val="none"/>
        </w:rPr>
        <w:t xml:space="preserve">, </w:t>
      </w:r>
      <w:r w:rsidR="00BB760F" w:rsidRPr="00BB760F">
        <w:rPr>
          <w:rFonts w:ascii="Times New Roman" w:eastAsia="Times New Roman" w:hAnsi="Times New Roman" w:cs="Times New Roman"/>
          <w:noProof/>
          <w:kern w:val="0"/>
          <w:lang w:val="hu-HU"/>
          <w14:ligatures w14:val="none"/>
        </w:rPr>
        <w:t>beleértve a vortioxetin-kezelést is</w:t>
      </w:r>
      <w:r w:rsidR="00BB760F">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 xml:space="preserve"> előfordulhat, hogy agressziót, nyugtalanságot, dühöt vagy ingerlékenységet érez. Ha ilyet tapasztal, beszéljen kezelőorvosával.</w:t>
      </w:r>
    </w:p>
    <w:p w14:paraId="2A5E67E2"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02C40785"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Öngyilkossági gondolatok és depressziójának súlyosbodása</w:t>
      </w:r>
    </w:p>
    <w:p w14:paraId="3561388F" w14:textId="1B35725A"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depresszióval és/vagy szorongással járó betegségben szenved, előfordulhatnak önkárosít</w:t>
      </w:r>
      <w:r w:rsidR="00BB760F">
        <w:rPr>
          <w:rFonts w:ascii="Times New Roman" w:eastAsia="Times New Roman" w:hAnsi="Times New Roman" w:cs="Times New Roman"/>
          <w:noProof/>
          <w:kern w:val="0"/>
          <w:lang w:val="hu-HU"/>
          <w14:ligatures w14:val="none"/>
        </w:rPr>
        <w:t>ó</w:t>
      </w:r>
      <w:r w:rsidRPr="001A05EC">
        <w:rPr>
          <w:rFonts w:ascii="Times New Roman" w:eastAsia="Times New Roman" w:hAnsi="Times New Roman" w:cs="Times New Roman"/>
          <w:noProof/>
          <w:kern w:val="0"/>
          <w:lang w:val="hu-HU"/>
          <w14:ligatures w14:val="none"/>
        </w:rPr>
        <w:t xml:space="preserve"> vagy öngyilkossági gondolatai. Ezek gyakoribbak lehetnek az antidepressz</w:t>
      </w:r>
      <w:r w:rsidR="00BB760F">
        <w:rPr>
          <w:rFonts w:ascii="Times New Roman" w:eastAsia="Times New Roman" w:hAnsi="Times New Roman" w:cs="Times New Roman"/>
          <w:noProof/>
          <w:kern w:val="0"/>
          <w:lang w:val="hu-HU"/>
          <w14:ligatures w14:val="none"/>
        </w:rPr>
        <w:t>áns</w:t>
      </w:r>
      <w:r w:rsidRPr="001A05EC">
        <w:rPr>
          <w:rFonts w:ascii="Times New Roman" w:eastAsia="Times New Roman" w:hAnsi="Times New Roman" w:cs="Times New Roman"/>
          <w:noProof/>
          <w:kern w:val="0"/>
          <w:lang w:val="hu-HU"/>
          <w14:ligatures w14:val="none"/>
        </w:rPr>
        <w:t xml:space="preserve"> kezelés kezdeti szakaszában, mert ezeknél a gyógyszereknél a hatás kialakulásához időre van szükség. Ez általában két hét, de olykor hosszabb időbe is telhet.</w:t>
      </w:r>
    </w:p>
    <w:p w14:paraId="6DC3851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0D69F1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Nagyobb valószínűséggel lehetnek ilyen gondolatai:</w:t>
      </w:r>
    </w:p>
    <w:p w14:paraId="44A25BC5" w14:textId="77777777" w:rsidR="001A05EC" w:rsidRPr="001A05EC" w:rsidRDefault="001A05EC" w:rsidP="001A05EC">
      <w:pPr>
        <w:keepNext/>
        <w:widowControl w:val="0"/>
        <w:numPr>
          <w:ilvl w:val="0"/>
          <w:numId w:val="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korábban voltak már öngyilkossági vagy önkárosító gondolatai.</w:t>
      </w:r>
    </w:p>
    <w:p w14:paraId="23A77EAB" w14:textId="77777777" w:rsidR="001A05EC" w:rsidRPr="001A05EC" w:rsidRDefault="001A05EC" w:rsidP="001A05EC">
      <w:pPr>
        <w:widowControl w:val="0"/>
        <w:numPr>
          <w:ilvl w:val="0"/>
          <w:numId w:val="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egy fiatal felnőtt.</w:t>
      </w:r>
    </w:p>
    <w:p w14:paraId="6BB32CD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3CC9304" w14:textId="485600F1" w:rsidR="001A05EC" w:rsidRPr="001A05EC" w:rsidRDefault="00BB760F" w:rsidP="001A05EC">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 k</w:t>
      </w:r>
      <w:r w:rsidR="001A05EC" w:rsidRPr="001A05EC">
        <w:rPr>
          <w:rFonts w:ascii="Times New Roman" w:eastAsia="Times New Roman" w:hAnsi="Times New Roman" w:cs="Times New Roman"/>
          <w:noProof/>
          <w:kern w:val="0"/>
          <w:lang w:val="hu-HU"/>
          <w14:ligatures w14:val="none"/>
        </w:rPr>
        <w:t xml:space="preserve">linikai vizsgálatokból származó információk </w:t>
      </w:r>
      <w:r w:rsidRPr="00F2733D">
        <w:rPr>
          <w:rFonts w:ascii="Times New Roman" w:eastAsia="Times New Roman" w:hAnsi="Times New Roman" w:cs="Times New Roman"/>
          <w:lang w:val="hu-HU"/>
        </w:rPr>
        <w:t xml:space="preserve">azt mutatták, hogy a 25 évesnél fiatalabb, </w:t>
      </w:r>
      <w:r w:rsidR="001A05EC" w:rsidRPr="001A05EC">
        <w:rPr>
          <w:rFonts w:ascii="Times New Roman" w:eastAsia="Times New Roman" w:hAnsi="Times New Roman" w:cs="Times New Roman"/>
          <w:noProof/>
          <w:kern w:val="0"/>
          <w:lang w:val="hu-HU"/>
          <w14:ligatures w14:val="none"/>
        </w:rPr>
        <w:t>pszichiátriai betegségben szenvedő</w:t>
      </w:r>
      <w:r w:rsidRPr="00F2733D">
        <w:rPr>
          <w:rFonts w:ascii="Times New Roman" w:eastAsia="Times New Roman" w:hAnsi="Times New Roman" w:cs="Times New Roman"/>
          <w:lang w:val="hu-HU"/>
        </w:rPr>
        <w:t>, an</w:t>
      </w:r>
      <w:r>
        <w:rPr>
          <w:rFonts w:ascii="Times New Roman" w:eastAsia="Times New Roman" w:hAnsi="Times New Roman" w:cs="Times New Roman"/>
          <w:lang w:val="hu-HU"/>
        </w:rPr>
        <w:t xml:space="preserve">tidepresszánssal kezelt </w:t>
      </w:r>
      <w:r w:rsidR="001A05EC" w:rsidRPr="001A05EC">
        <w:rPr>
          <w:rFonts w:ascii="Times New Roman" w:eastAsia="Times New Roman" w:hAnsi="Times New Roman" w:cs="Times New Roman"/>
          <w:noProof/>
          <w:kern w:val="0"/>
          <w:lang w:val="hu-HU"/>
          <w14:ligatures w14:val="none"/>
        </w:rPr>
        <w:t xml:space="preserve">felnőttek </w:t>
      </w:r>
      <w:r>
        <w:rPr>
          <w:rFonts w:ascii="Times New Roman" w:eastAsia="Times New Roman" w:hAnsi="Times New Roman" w:cs="Times New Roman"/>
          <w:lang w:val="hu-HU"/>
        </w:rPr>
        <w:t xml:space="preserve">esetében megnőtt </w:t>
      </w:r>
      <w:r w:rsidR="001A05EC" w:rsidRPr="001A05EC">
        <w:rPr>
          <w:rFonts w:ascii="Times New Roman" w:eastAsia="Times New Roman" w:hAnsi="Times New Roman" w:cs="Times New Roman"/>
          <w:noProof/>
          <w:kern w:val="0"/>
          <w:lang w:val="hu-HU"/>
          <w14:ligatures w14:val="none"/>
        </w:rPr>
        <w:t xml:space="preserve">az öngyilkos magatartás kialakulásának </w:t>
      </w:r>
      <w:r>
        <w:rPr>
          <w:rFonts w:ascii="Times New Roman" w:eastAsia="Times New Roman" w:hAnsi="Times New Roman" w:cs="Times New Roman"/>
          <w:noProof/>
          <w:kern w:val="0"/>
          <w:lang w:val="hu-HU"/>
          <w14:ligatures w14:val="none"/>
        </w:rPr>
        <w:t>kockázata</w:t>
      </w:r>
      <w:r w:rsidR="001A05EC" w:rsidRPr="001A05EC">
        <w:rPr>
          <w:rFonts w:ascii="Times New Roman" w:eastAsia="Times New Roman" w:hAnsi="Times New Roman" w:cs="Times New Roman"/>
          <w:noProof/>
          <w:kern w:val="0"/>
          <w:lang w:val="hu-HU"/>
          <w14:ligatures w14:val="none"/>
        </w:rPr>
        <w:t>.</w:t>
      </w:r>
    </w:p>
    <w:p w14:paraId="6A30E8F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166A791" w14:textId="515F19AE"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bármikor önkárosít</w:t>
      </w:r>
      <w:r w:rsidR="001D2571">
        <w:rPr>
          <w:rFonts w:ascii="Times New Roman" w:eastAsia="Times New Roman" w:hAnsi="Times New Roman" w:cs="Times New Roman"/>
          <w:noProof/>
          <w:kern w:val="0"/>
          <w:lang w:val="hu-HU"/>
          <w14:ligatures w14:val="none"/>
        </w:rPr>
        <w:t>ó</w:t>
      </w:r>
      <w:r w:rsidRPr="001A05EC">
        <w:rPr>
          <w:rFonts w:ascii="Times New Roman" w:eastAsia="Times New Roman" w:hAnsi="Times New Roman" w:cs="Times New Roman"/>
          <w:noProof/>
          <w:kern w:val="0"/>
          <w:lang w:val="hu-HU"/>
          <w14:ligatures w14:val="none"/>
        </w:rPr>
        <w:t xml:space="preserve"> vagy öngyilkossági gondolatai támadnak, azonnal keresse fel </w:t>
      </w:r>
      <w:r w:rsidR="001D2571">
        <w:rPr>
          <w:rFonts w:ascii="Times New Roman" w:eastAsia="Times New Roman" w:hAnsi="Times New Roman" w:cs="Times New Roman"/>
          <w:noProof/>
          <w:kern w:val="0"/>
          <w:lang w:val="hu-HU"/>
          <w14:ligatures w14:val="none"/>
        </w:rPr>
        <w:t>kezelő</w:t>
      </w:r>
      <w:r w:rsidRPr="001A05EC">
        <w:rPr>
          <w:rFonts w:ascii="Times New Roman" w:eastAsia="Times New Roman" w:hAnsi="Times New Roman" w:cs="Times New Roman"/>
          <w:noProof/>
          <w:kern w:val="0"/>
          <w:lang w:val="hu-HU"/>
          <w14:ligatures w14:val="none"/>
        </w:rPr>
        <w:t>orvosát, vagy menjen kórházba. Hasznos lehet, ha egy rokonának vagy közeli barátjának beszámol depressziójáról vagy szorongásos betegségéről, és megkéri, hogy olvass</w:t>
      </w:r>
      <w:r w:rsidR="001D2571">
        <w:rPr>
          <w:rFonts w:ascii="Times New Roman" w:eastAsia="Times New Roman" w:hAnsi="Times New Roman" w:cs="Times New Roman"/>
          <w:noProof/>
          <w:kern w:val="0"/>
          <w:lang w:val="hu-HU"/>
          <w14:ligatures w14:val="none"/>
        </w:rPr>
        <w:t>a</w:t>
      </w:r>
      <w:r w:rsidRPr="001A05EC">
        <w:rPr>
          <w:rFonts w:ascii="Times New Roman" w:eastAsia="Times New Roman" w:hAnsi="Times New Roman" w:cs="Times New Roman"/>
          <w:noProof/>
          <w:kern w:val="0"/>
          <w:lang w:val="hu-HU"/>
          <w14:ligatures w14:val="none"/>
        </w:rPr>
        <w:t xml:space="preserve"> el ezt a betegtájékoztatót. Megkérheti őket, hogy közöljék Önnel, ha úgy gondolják, hogy depressziója vagy szorongása súlyosbodott, vagy ha az Ön magatartásában bekövetkező változások aggasztók.</w:t>
      </w:r>
    </w:p>
    <w:p w14:paraId="0A37635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9EA7EE3"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Gyermekek és serdülők</w:t>
      </w:r>
    </w:p>
    <w:p w14:paraId="04127720" w14:textId="4868FE6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Mivel a hatásosságot nem igazolták, </w:t>
      </w:r>
      <w:r w:rsidR="001D2571">
        <w:rPr>
          <w:rFonts w:ascii="Times New Roman" w:eastAsia="Times New Roman" w:hAnsi="Times New Roman" w:cs="Times New Roman"/>
          <w:noProof/>
          <w:kern w:val="0"/>
          <w:lang w:val="hu-HU"/>
          <w14:ligatures w14:val="none"/>
        </w:rPr>
        <w:t>ezért</w:t>
      </w:r>
      <w:r w:rsidR="001D2571"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a VORTIOXETINE VIATRIS PHARMA nem alkalmazható (18 éves életkor alatti) gyermekek és serdülők esetén. A VORTIOXETINE VIATRIS PHARMA 7–17 éves gyermekeknél és serdülőknél történő alkalmazásának biztonságosságáról lásd a 4. pontot.</w:t>
      </w:r>
    </w:p>
    <w:p w14:paraId="5370C3F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81BB80C"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Egyéb gyógyszerek és a VORTIOXETINE VIATRIS PHARMA</w:t>
      </w:r>
    </w:p>
    <w:p w14:paraId="4A7076D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Feltétlenül tájékoztassa kezelőorvosát vagy gyógyszerészét a jelenleg vagy nemrégiben szedett, valamint szedni tervezett egyéb gyógyszereiről.</w:t>
      </w:r>
    </w:p>
    <w:p w14:paraId="578C88D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56BC0A2"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Feltétlenül tájékoztassa kezelőorvosát, amennyiben az alábbi gyógyszerek valamelyikét szedi:</w:t>
      </w:r>
    </w:p>
    <w:p w14:paraId="51C9D6B9" w14:textId="7EF3A4BA"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fenelzin, iproniazid, izokarboxazid, nialamid, tranilcipromin (nem szelektív monoaminoxidáz-</w:t>
      </w:r>
      <w:r w:rsidR="001D2571">
        <w:rPr>
          <w:rFonts w:ascii="Times New Roman" w:eastAsia="Times New Roman" w:hAnsi="Times New Roman" w:cs="Times New Roman"/>
          <w:noProof/>
          <w:kern w:val="0"/>
          <w:lang w:val="hu-HU"/>
          <w14:ligatures w14:val="none"/>
        </w:rPr>
        <w:t>gátlóknak</w:t>
      </w:r>
      <w:r w:rsidR="001D2571" w:rsidRPr="001A05EC">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nevezett, a depresszió kezelésére szolgáló gyógyszerek); ezeket a gyógyszereket tilos a VORTIOXETINE VIATRIS PHARMA-val együtt szednie. Amennyiben e gyógyszerek bármelyikét szedte, a kezelés befejezése után még 14 napot kell várnia, mielőtt elkezdené a</w:t>
      </w:r>
      <w:r w:rsidRPr="001A05EC">
        <w:rPr>
          <w:rFonts w:ascii="Times New Roman" w:eastAsia="Times New Roman" w:hAnsi="Times New Roman" w:cs="Times New Roman"/>
          <w:noProof/>
          <w:kern w:val="0"/>
          <w:lang w:val="ru-RU"/>
          <w14:ligatures w14:val="none"/>
        </w:rPr>
        <w:t xml:space="preserve"> </w:t>
      </w:r>
      <w:r w:rsidRPr="001A05EC">
        <w:rPr>
          <w:rFonts w:ascii="Times New Roman" w:eastAsia="Times New Roman" w:hAnsi="Times New Roman" w:cs="Times New Roman"/>
          <w:noProof/>
          <w:kern w:val="0"/>
          <w:lang w:val="hu-HU"/>
          <w14:ligatures w14:val="none"/>
        </w:rPr>
        <w:t>VORTIOXETINE VIATRIS PHARMA-t szedni. A VORTIOXETINE VIATRIS PHARMA szedésének abbahagyása után 14 napnak kell eltelnie, mielőtt e gyógyszerek bármelyikét elkezdené szedni.</w:t>
      </w:r>
    </w:p>
    <w:p w14:paraId="473F692C"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moklobemid (a depresszió kezelésére szolgáló gyógyszer).</w:t>
      </w:r>
    </w:p>
    <w:p w14:paraId="66B2A163"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szelegilin, razagilin (a Parkinson-kór kezelésére szolgáló gyógyszerek).</w:t>
      </w:r>
    </w:p>
    <w:p w14:paraId="6DE63C16"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linezolid (a bakteriális fertőzések kezelésére szolgáló gyógyszer).</w:t>
      </w:r>
    </w:p>
    <w:p w14:paraId="349C1220"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szerotoninerg hatású gyógyszerek, például tramadol és hasonló gyógyszerek (erős fájdalomcsillapítók); valamint szumatriptán vagy hasonló, hatóanyaguk elnevezésében</w:t>
      </w:r>
    </w:p>
    <w:p w14:paraId="62703276" w14:textId="64037D70"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„triptán”-ra végződő (a migrén kezelésére szolgáló) gyógyszerek. E gyógyszerek és a VORTIOXETINE VIATRIS PHARMA egyidejű szedése növelheti a szerotonin</w:t>
      </w:r>
      <w:r w:rsidR="001D2571">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szindróma kialakulásának kockázatát (lásd a Figyelmeztetések és óvintézkedések című részt).</w:t>
      </w:r>
    </w:p>
    <w:p w14:paraId="054CB4BC"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lítium (a depresszió és mentális zavarok kezelésére szolgáló gyógyszer) vagy triptofán.</w:t>
      </w:r>
    </w:p>
    <w:p w14:paraId="6ABE37EF"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gyógyszerek, amelyek ismerten alacsony nátriumszintet okoznak.</w:t>
      </w:r>
    </w:p>
    <w:p w14:paraId="1E74A90A"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rifampicin (a tüdőgümőkór [tuberkulózis] és más fertőzések kezelésére szolgáló gyógyszer).</w:t>
      </w:r>
    </w:p>
    <w:p w14:paraId="7C85969B" w14:textId="77777777" w:rsidR="001A05EC" w:rsidRPr="001A05EC" w:rsidRDefault="001A05EC" w:rsidP="001A05EC">
      <w:pPr>
        <w:keepNext/>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karbamazepin, fenitoin (az epilepszia vagy más betegségek kezelésére szolgáló gyógyszerek).</w:t>
      </w:r>
    </w:p>
    <w:p w14:paraId="2BEFBE6F" w14:textId="77777777" w:rsidR="001A05EC" w:rsidRPr="001A05EC" w:rsidRDefault="001A05EC" w:rsidP="001A05EC">
      <w:pPr>
        <w:widowControl w:val="0"/>
        <w:numPr>
          <w:ilvl w:val="0"/>
          <w:numId w:val="6"/>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warfarin, dipiridamol, fenprokumon, bizonyos antipszichotikumok, fenotiazinok, triciklusos antidepresszánsok, alacsony adagban alkalmazott acetilszalicilsav és nem-szteroid gyulladáscsökkentők (vérhígító gyógyszerek és fájdalomcsillapítók). Ezek fokozhatják a vérzési hajlamot.</w:t>
      </w:r>
    </w:p>
    <w:p w14:paraId="2769613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0C28FD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görcsrohamok kialakulásának kockázatát növelő gyógyszerek:</w:t>
      </w:r>
    </w:p>
    <w:p w14:paraId="1314C1F6" w14:textId="74F013EA" w:rsidR="001A05EC" w:rsidRPr="001A05EC" w:rsidRDefault="001A05EC" w:rsidP="00F37D9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szumatriptán vagy az ahhoz hasonló, elnevezésében „triptán”-ra végződő </w:t>
      </w:r>
      <w:r w:rsidR="001D2571" w:rsidRPr="001D2571">
        <w:rPr>
          <w:rFonts w:ascii="Times New Roman" w:eastAsia="Times New Roman" w:hAnsi="Times New Roman" w:cs="Times New Roman"/>
          <w:noProof/>
          <w:kern w:val="0"/>
          <w:lang w:val="hu-HU"/>
          <w14:ligatures w14:val="none"/>
        </w:rPr>
        <w:t xml:space="preserve">hatóanyagot tartalmazó </w:t>
      </w:r>
      <w:r w:rsidRPr="001A05EC">
        <w:rPr>
          <w:rFonts w:ascii="Times New Roman" w:eastAsia="Times New Roman" w:hAnsi="Times New Roman" w:cs="Times New Roman"/>
          <w:noProof/>
          <w:kern w:val="0"/>
          <w:lang w:val="hu-HU"/>
          <w14:ligatures w14:val="none"/>
        </w:rPr>
        <w:t>gyógyszerek.</w:t>
      </w:r>
    </w:p>
    <w:p w14:paraId="1E61BD35"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tramadol (erős fájdalomcsillapító).</w:t>
      </w:r>
    </w:p>
    <w:p w14:paraId="26A44EA1"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meflokin (a malária megelőzésére és kezelésére szolgáló gyógyszer).</w:t>
      </w:r>
    </w:p>
    <w:p w14:paraId="08694F0F"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bupropion (a depresszió kezelésére, valamint a dohányzásról való leszoktatásra szolgáló gyógyszer).</w:t>
      </w:r>
    </w:p>
    <w:p w14:paraId="4B0A9A63" w14:textId="5A5798C6" w:rsidR="001A05EC" w:rsidRPr="001A05EC" w:rsidRDefault="001A05EC" w:rsidP="00F37D9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fluoxetin, paroxetin és egyéb, </w:t>
      </w:r>
      <w:r w:rsidR="001D2571" w:rsidRPr="001D2571">
        <w:rPr>
          <w:rFonts w:ascii="Times New Roman" w:eastAsia="Times New Roman" w:hAnsi="Times New Roman" w:cs="Times New Roman"/>
          <w:noProof/>
          <w:kern w:val="0"/>
          <w:lang w:val="hu-HU"/>
          <w14:ligatures w14:val="none"/>
        </w:rPr>
        <w:t xml:space="preserve">a depresszió kezelésére szolgáló </w:t>
      </w:r>
      <w:r w:rsidRPr="001A05EC">
        <w:rPr>
          <w:rFonts w:ascii="Times New Roman" w:eastAsia="Times New Roman" w:hAnsi="Times New Roman" w:cs="Times New Roman"/>
          <w:noProof/>
          <w:kern w:val="0"/>
          <w:lang w:val="hu-HU"/>
          <w14:ligatures w14:val="none"/>
        </w:rPr>
        <w:t>SSRI-knek/SNRI-knek, triciklusos antidepressz</w:t>
      </w:r>
      <w:r w:rsidR="001D2571">
        <w:rPr>
          <w:rFonts w:ascii="Times New Roman" w:eastAsia="Times New Roman" w:hAnsi="Times New Roman" w:cs="Times New Roman"/>
          <w:noProof/>
          <w:kern w:val="0"/>
          <w:lang w:val="hu-HU"/>
          <w14:ligatures w14:val="none"/>
        </w:rPr>
        <w:t>áns</w:t>
      </w:r>
      <w:r w:rsidRPr="001A05EC">
        <w:rPr>
          <w:rFonts w:ascii="Times New Roman" w:eastAsia="Times New Roman" w:hAnsi="Times New Roman" w:cs="Times New Roman"/>
          <w:noProof/>
          <w:kern w:val="0"/>
          <w:lang w:val="hu-HU"/>
          <w14:ligatures w14:val="none"/>
        </w:rPr>
        <w:t>oknak nevezett</w:t>
      </w:r>
      <w:r w:rsidR="001D2571">
        <w:rPr>
          <w:rFonts w:ascii="Times New Roman" w:eastAsia="Times New Roman" w:hAnsi="Times New Roman" w:cs="Times New Roman"/>
          <w:noProof/>
          <w:kern w:val="0"/>
          <w:lang w:val="hu-HU"/>
          <w14:ligatures w14:val="none"/>
        </w:rPr>
        <w:t xml:space="preserve"> </w:t>
      </w:r>
      <w:r w:rsidRPr="001A05EC">
        <w:rPr>
          <w:rFonts w:ascii="Times New Roman" w:eastAsia="Times New Roman" w:hAnsi="Times New Roman" w:cs="Times New Roman"/>
          <w:noProof/>
          <w:kern w:val="0"/>
          <w:lang w:val="hu-HU"/>
          <w14:ligatures w14:val="none"/>
        </w:rPr>
        <w:t>gyógyszerek.</w:t>
      </w:r>
    </w:p>
    <w:p w14:paraId="70D19AAF"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közönséges orbáncfű (Hypericum perforatum) (a depresszió kezelésére szolgáló gyógynövény).</w:t>
      </w:r>
    </w:p>
    <w:p w14:paraId="342819CB" w14:textId="77777777" w:rsidR="001A05EC" w:rsidRPr="001A05EC" w:rsidRDefault="001A05EC" w:rsidP="001A05EC">
      <w:pPr>
        <w:keepNext/>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kinidin (a szívritmuszavarok kezelésére szolgáló gyógyszer).</w:t>
      </w:r>
    </w:p>
    <w:p w14:paraId="01726215" w14:textId="77777777" w:rsidR="001A05EC" w:rsidRPr="001A05EC" w:rsidRDefault="001A05EC" w:rsidP="001A05EC">
      <w:pPr>
        <w:widowControl w:val="0"/>
        <w:numPr>
          <w:ilvl w:val="0"/>
          <w:numId w:val="7"/>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klórpromazin, klórprotixén, haloperidol (a fenotiazinok, tioxantének, butirofenonok csoportjába tartozó, mentális zavarok kezelésére szolgáló gyógyszerek).</w:t>
      </w:r>
    </w:p>
    <w:p w14:paraId="1C29713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CE9C7B6" w14:textId="4C3C1605"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Kérjük, tájékoztassa kezelőorvosát, ha a fenti gyógyszerek közül bármelyiket szedi, mivel kezelőorvosának tisztában kell lennie azzal, hogy Önnél nagyobb a görcsrohamok kockázata.</w:t>
      </w:r>
    </w:p>
    <w:p w14:paraId="2F9F904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6FFA3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Önnél vizeletdrogtesztet végeznek, a VORTIOXETINE VIATRIS PHARMA szedése miatt bizonyos tesztmódszerek alkalmazása esetén a teszt pozitív eredményt jelezhet metadonra olyankor is, ha Ön nem vett be metadont. Ilyen esetben egy célirányosabb tesztet végezhetnek Önnél.</w:t>
      </w:r>
    </w:p>
    <w:p w14:paraId="3DE00AA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7061C69"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VORTIOXETINE VIATRIS PHARMA egyidejű bevétele alkohollal</w:t>
      </w:r>
    </w:p>
    <w:p w14:paraId="207CBD4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Ezt a gyógyszert nem ajánlott alkohollal egyidejűleg alkalmazni.</w:t>
      </w:r>
    </w:p>
    <w:p w14:paraId="6C759A5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6AFD89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Terhesség, szoptatás és termékenység</w:t>
      </w:r>
    </w:p>
    <w:p w14:paraId="531628E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terhes vagy szoptat, illetve ha fennáll Önnél a terhesség lehetősége vagy gyermeket szeretne, a gyógyszer alkalmazása előtt beszéljen kezelőorvosával.</w:t>
      </w:r>
    </w:p>
    <w:p w14:paraId="142BD101"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6FFDD7D8"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Terhesség</w:t>
      </w:r>
    </w:p>
    <w:p w14:paraId="784E7A6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nem alkalmazható a terhesség alatt, csak ha az orvos ezt feltétlenül szükségesnek tartja.</w:t>
      </w:r>
    </w:p>
    <w:p w14:paraId="75BB4BE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5D13C6" w14:textId="3825AAFD"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a terhesség utolsó 3 hónapjában a depresszió kezelésére szolgáló gyógyszereket – köztük VORTIOXETINE VIATRIS PHARMA-t – szed, tisztában kell lennie azzal, hogy újszülött gyermekénél a következő hatások léphetnek fel: légzési nehézség, a bőr kékes elszíneződése, görcsrohamok, a testhőmérséklet változásai, táplálási nehézségek, hányás, alacsony vércukorszint, az izmok merevsége vagy petyhüdtsége, élénk reflexek, remegés, nyugtalanság, ingerlékenység, levertség, állandó sírás, álmosság és alvászavarok. Azonnal forduljon kezelőorvosához, ha újszülött gyermekénél a felsorolt tünetek bármelyikét észleli.</w:t>
      </w:r>
    </w:p>
    <w:p w14:paraId="66CC67D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AB7DBC6" w14:textId="7FC54631"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Győződjön meg arról, hogy a</w:t>
      </w:r>
      <w:r w:rsidR="001C3490">
        <w:rPr>
          <w:rFonts w:ascii="Times New Roman" w:eastAsia="Times New Roman" w:hAnsi="Times New Roman" w:cs="Times New Roman"/>
          <w:noProof/>
          <w:kern w:val="0"/>
          <w:lang w:val="hu-HU"/>
          <w14:ligatures w14:val="none"/>
        </w:rPr>
        <w:t>z Ön</w:t>
      </w:r>
      <w:r w:rsidRPr="001A05EC">
        <w:rPr>
          <w:rFonts w:ascii="Times New Roman" w:eastAsia="Times New Roman" w:hAnsi="Times New Roman" w:cs="Times New Roman"/>
          <w:noProof/>
          <w:kern w:val="0"/>
          <w:lang w:val="hu-HU"/>
          <w14:ligatures w14:val="none"/>
        </w:rPr>
        <w:t xml:space="preserve"> szülész szakorvos</w:t>
      </w:r>
      <w:r w:rsidR="001C3490">
        <w:rPr>
          <w:rFonts w:ascii="Times New Roman" w:eastAsia="Times New Roman" w:hAnsi="Times New Roman" w:cs="Times New Roman"/>
          <w:noProof/>
          <w:kern w:val="0"/>
          <w:lang w:val="hu-HU"/>
          <w14:ligatures w14:val="none"/>
        </w:rPr>
        <w:t>a/szülésznője</w:t>
      </w:r>
      <w:r w:rsidRPr="001A05EC">
        <w:rPr>
          <w:rFonts w:ascii="Times New Roman" w:eastAsia="Times New Roman" w:hAnsi="Times New Roman" w:cs="Times New Roman"/>
          <w:noProof/>
          <w:kern w:val="0"/>
          <w:lang w:val="hu-HU"/>
          <w14:ligatures w14:val="none"/>
        </w:rPr>
        <w:t xml:space="preserve"> tudja, hogy Ön VORTIOXETINE VIATRIS PHARMA</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kezelés alatt áll. Amennyiben terhesség alatt, különösen annak utolsó 3 hónapjában történik kezelés VORTIOXETINE VIATRIS PHARMA-val, növekedhet a csecsemőnél bizonyos súlyos állapot kialakulásának kockázata, amelyet újszülöttkori perzisztáló pulmonális hipertenziónak (PPHN) neveznek, a csecsemő légzése ilyenkor szapora, és bőre kékessé válik. Ezek a tünetek általában a születés utáni első 24 órában jelentkeznek. Amennyiben ez az Ön csecsemőjénél alakul ki, azonnal vegye fel a kapcsolatot a</w:t>
      </w:r>
      <w:r w:rsidR="001C3490">
        <w:rPr>
          <w:rFonts w:ascii="Times New Roman" w:eastAsia="Times New Roman" w:hAnsi="Times New Roman" w:cs="Times New Roman"/>
          <w:noProof/>
          <w:kern w:val="0"/>
          <w:lang w:val="hu-HU"/>
          <w14:ligatures w14:val="none"/>
        </w:rPr>
        <w:t>z Ön szülésznőjével</w:t>
      </w:r>
      <w:r w:rsidRPr="001A05EC">
        <w:rPr>
          <w:rFonts w:ascii="Times New Roman" w:eastAsia="Times New Roman" w:hAnsi="Times New Roman" w:cs="Times New Roman"/>
          <w:noProof/>
          <w:kern w:val="0"/>
          <w:lang w:val="hu-HU"/>
          <w14:ligatures w14:val="none"/>
        </w:rPr>
        <w:t xml:space="preserve"> és/vagy kezelőorvosával.</w:t>
      </w:r>
    </w:p>
    <w:p w14:paraId="0A7717C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5D7961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Ön a terhességének vége felé veszi be a VORTIOXETINE VIATRIS PHARMA-t, röviddel a szülés után megnövekedhet az erős hüvelyi vérzés kockázata, különösen, ha az Ön kórelőzményében előfordult vérzési zavar. Kezelőorvosának vagy a szülésznőjének tudnia kell, hogy Ön VORTIOXETINE VIATRIS PHARMA-t is szed, hogy tanácsot tudjon adni Önnek.</w:t>
      </w:r>
    </w:p>
    <w:p w14:paraId="0AA4D82E" w14:textId="77777777" w:rsidR="001A05EC" w:rsidRPr="001A05EC" w:rsidRDefault="001A05EC" w:rsidP="001A05EC">
      <w:pPr>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7106138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Szoptatás</w:t>
      </w:r>
    </w:p>
    <w:p w14:paraId="11292D4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összetevői valószínűleg átjutnak az anyatejbe. A VORTIOXETINE VIATRIS PHARMA nem alkalmazható a szoptatás időszakában. A kezelőorvosa dönti el, hogy abba kell-e hagynia a szoptatást vagy le kell-e állnia VORTIOXETINE VIATRIS PHARMA szedésével, figyelembe véve a szoptatás előnyét a gyermekére nézve, illetve a kezelés előnyét Önre nézve.</w:t>
      </w:r>
    </w:p>
    <w:p w14:paraId="73BB4FB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3EE0588"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készítmény hatásai a gépjárművezetéshez és a gépek kezeléséhez szükséges képességekre</w:t>
      </w:r>
    </w:p>
    <w:p w14:paraId="0D571B8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nem, vagy csak elhanyagolható mértékben befolyásolja a gépjárművezetéshez és a gépek kezeléséhez szükséges képességeket. Mivel azonban mellékhatásokról, például szédülésről számoltak be, fokozott óvatosság javasolt az ilyen tevékenységek során a VORTIOXETINE VIATRIS PHARMA-kezelés megkezdésekor vagy az adag megváltoztatásakor.</w:t>
      </w:r>
    </w:p>
    <w:p w14:paraId="61C8044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157EEE7"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VORTIOXETINE VIATRIS PHARMA nátriumot tartalmaz</w:t>
      </w:r>
    </w:p>
    <w:p w14:paraId="3575041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 a gyógyszer kevesebb mint 1 mmol (23 mg) nátriumot tartalmaz filmtablettánként, azaz gyakorlatilag „nátriummentes”.</w:t>
      </w:r>
    </w:p>
    <w:p w14:paraId="652A969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E0B79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0F0CCD1"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3.</w:t>
      </w:r>
      <w:r w:rsidRPr="001A05EC">
        <w:rPr>
          <w:rFonts w:ascii="Times New Roman" w:eastAsia="Times New Roman" w:hAnsi="Times New Roman" w:cs="Times New Roman"/>
          <w:b/>
          <w:bCs/>
          <w:noProof/>
          <w:kern w:val="0"/>
          <w:lang w:val="hu-HU"/>
          <w14:ligatures w14:val="none"/>
        </w:rPr>
        <w:tab/>
        <w:t>Hogyan kell szedni a VORTIOXETINE VIATRIS PHARMA-t?</w:t>
      </w:r>
    </w:p>
    <w:p w14:paraId="50EE2C0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5C1C6BB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gyógyszert mindig a kezelőorvosa által elmondottaknak megfelelően szedje. Amennyiben nem biztos az adagolást illetően, kérdezze meg kezelőorvosát vagy gyógyszerészét.</w:t>
      </w:r>
    </w:p>
    <w:p w14:paraId="495D8E3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525D76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ajánlott adagja 65 évesnél fiatalabb felnőttek számára napi egyszer 10 mg vortioxetin. Kezelőorvosa az Ön kezelésre adott válaszától függően az adagot legfeljebb napi 20 mg vortioxetinre emelheti, vagy minimum napi 5 mg vortioxetinre csökkentheti.</w:t>
      </w:r>
    </w:p>
    <w:p w14:paraId="37C57B3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E13A213" w14:textId="4E22C40E"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65 éves vagy annál idősebb betegek számára a kezdő adag napi egyszer 5 mg vortioxetin.</w:t>
      </w:r>
    </w:p>
    <w:p w14:paraId="423D913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EF99EEF"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Az alkalmazás módja</w:t>
      </w:r>
    </w:p>
    <w:p w14:paraId="595325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Vegyen be egy tablettát egy pohár vízzel.</w:t>
      </w:r>
    </w:p>
    <w:p w14:paraId="65D2377A" w14:textId="26C82979"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tablettát </w:t>
      </w:r>
      <w:r w:rsidR="001C3490">
        <w:rPr>
          <w:rFonts w:ascii="Times New Roman" w:eastAsia="Times New Roman" w:hAnsi="Times New Roman" w:cs="Times New Roman"/>
          <w:noProof/>
          <w:kern w:val="0"/>
          <w:lang w:val="hu-HU"/>
          <w14:ligatures w14:val="none"/>
        </w:rPr>
        <w:t>étkezés közben</w:t>
      </w:r>
      <w:r w:rsidRPr="001A05EC">
        <w:rPr>
          <w:rFonts w:ascii="Times New Roman" w:eastAsia="Times New Roman" w:hAnsi="Times New Roman" w:cs="Times New Roman"/>
          <w:noProof/>
          <w:kern w:val="0"/>
          <w:lang w:val="hu-HU"/>
          <w14:ligatures w14:val="none"/>
        </w:rPr>
        <w:t>, illetve étkezéstől függetlenül is be lehet venni.</w:t>
      </w:r>
    </w:p>
    <w:p w14:paraId="4CA721F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2CE774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kezelés időtartama</w:t>
      </w:r>
    </w:p>
    <w:p w14:paraId="05C3301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szedését mindaddig folytassa, amíg ezt kezelőorvosa javasolja.</w:t>
      </w:r>
    </w:p>
    <w:p w14:paraId="2C17E26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B5473C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Folytassa a VORTIOXETINE VIATRIS PHARMA szedését még akkor is, ha kezdetben nem érez javulást állapotában.</w:t>
      </w:r>
    </w:p>
    <w:p w14:paraId="61EAC9F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7533B23" w14:textId="67EBDF5F"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kezelést még legalább 6 hónapig kell folytatni azt követően, hogy </w:t>
      </w:r>
      <w:r w:rsidR="001C3490">
        <w:rPr>
          <w:rFonts w:ascii="Times New Roman" w:eastAsia="Times New Roman" w:hAnsi="Times New Roman" w:cs="Times New Roman"/>
          <w:noProof/>
          <w:kern w:val="0"/>
          <w:lang w:val="hu-HU"/>
          <w14:ligatures w14:val="none"/>
        </w:rPr>
        <w:t>újra jól érzi magát</w:t>
      </w:r>
      <w:r w:rsidRPr="001A05EC">
        <w:rPr>
          <w:rFonts w:ascii="Times New Roman" w:eastAsia="Times New Roman" w:hAnsi="Times New Roman" w:cs="Times New Roman"/>
          <w:noProof/>
          <w:kern w:val="0"/>
          <w:lang w:val="hu-HU"/>
          <w14:ligatures w14:val="none"/>
        </w:rPr>
        <w:t>.</w:t>
      </w:r>
    </w:p>
    <w:p w14:paraId="1F1073DA"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5392645"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az előírtnál több VORTIOXETINE VIATRIS PHARMA-t vett be</w:t>
      </w:r>
    </w:p>
    <w:p w14:paraId="0C7E0820" w14:textId="5EE5263D"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Ha az előírtnál több VORTIOXETINE VIATRIS PHARMA-t vett be, haladéktalanul keresse fel kezelőorvosát vagy a legközelebbi kórház sürgősségi osztályát. Vigye magával a </w:t>
      </w:r>
      <w:r w:rsidR="001C3490">
        <w:rPr>
          <w:rFonts w:ascii="Times New Roman" w:eastAsia="Times New Roman" w:hAnsi="Times New Roman" w:cs="Times New Roman"/>
          <w:noProof/>
          <w:kern w:val="0"/>
          <w:lang w:val="hu-HU"/>
          <w14:ligatures w14:val="none"/>
        </w:rPr>
        <w:t xml:space="preserve">gyógyszer </w:t>
      </w:r>
      <w:r w:rsidRPr="001A05EC">
        <w:rPr>
          <w:rFonts w:ascii="Times New Roman" w:eastAsia="Times New Roman" w:hAnsi="Times New Roman" w:cs="Times New Roman"/>
          <w:noProof/>
          <w:kern w:val="0"/>
          <w:lang w:val="hu-HU"/>
          <w14:ligatures w14:val="none"/>
        </w:rPr>
        <w:t>csomagolás</w:t>
      </w:r>
      <w:r w:rsidR="001C3490">
        <w:rPr>
          <w:rFonts w:ascii="Times New Roman" w:eastAsia="Times New Roman" w:hAnsi="Times New Roman" w:cs="Times New Roman"/>
          <w:noProof/>
          <w:kern w:val="0"/>
          <w:lang w:val="hu-HU"/>
          <w14:ligatures w14:val="none"/>
        </w:rPr>
        <w:t>á</w:t>
      </w:r>
      <w:r w:rsidRPr="001A05EC">
        <w:rPr>
          <w:rFonts w:ascii="Times New Roman" w:eastAsia="Times New Roman" w:hAnsi="Times New Roman" w:cs="Times New Roman"/>
          <w:noProof/>
          <w:kern w:val="0"/>
          <w:lang w:val="hu-HU"/>
          <w14:ligatures w14:val="none"/>
        </w:rPr>
        <w:t xml:space="preserve">t és az összes megmaradt tablettát. Ezt akkor is tegye meg, ha nem érzi magát rosszul. A túladagolás </w:t>
      </w:r>
      <w:r w:rsidR="001C3490">
        <w:rPr>
          <w:rFonts w:ascii="Times New Roman" w:eastAsia="Times New Roman" w:hAnsi="Times New Roman" w:cs="Times New Roman"/>
          <w:noProof/>
          <w:kern w:val="0"/>
          <w:lang w:val="hu-HU"/>
          <w14:ligatures w14:val="none"/>
        </w:rPr>
        <w:t>jelei lehetnek</w:t>
      </w:r>
      <w:r w:rsidRPr="001A05EC">
        <w:rPr>
          <w:rFonts w:ascii="Times New Roman" w:eastAsia="Times New Roman" w:hAnsi="Times New Roman" w:cs="Times New Roman"/>
          <w:noProof/>
          <w:kern w:val="0"/>
          <w:lang w:val="hu-HU"/>
          <w14:ligatures w14:val="none"/>
        </w:rPr>
        <w:t xml:space="preserve"> a szédülés, hányinger, hasmenés, gyomortáji kellemetlen érzés, testszerte jelentkező viszketés, álmosság és kipirulás.</w:t>
      </w:r>
    </w:p>
    <w:p w14:paraId="5A0A6C0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CDFD995" w14:textId="3EE20BBB"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Az előírt </w:t>
      </w:r>
      <w:r w:rsidR="001C3490" w:rsidRPr="001C3490">
        <w:rPr>
          <w:rFonts w:ascii="Times New Roman" w:eastAsia="Times New Roman" w:hAnsi="Times New Roman" w:cs="Times New Roman"/>
          <w:noProof/>
          <w:kern w:val="0"/>
          <w:lang w:val="hu-HU"/>
          <w14:ligatures w14:val="none"/>
        </w:rPr>
        <w:t xml:space="preserve">adagot többszörösen meghaladó </w:t>
      </w:r>
      <w:r w:rsidRPr="001A05EC">
        <w:rPr>
          <w:rFonts w:ascii="Times New Roman" w:eastAsia="Times New Roman" w:hAnsi="Times New Roman" w:cs="Times New Roman"/>
          <w:noProof/>
          <w:kern w:val="0"/>
          <w:lang w:val="hu-HU"/>
          <w14:ligatures w14:val="none"/>
        </w:rPr>
        <w:t>adagok bevételét követően rángógörcsök (görcsrohamok) és egy szerotonin</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szindrómának nevezett ritka állapot előfordulásáról számoltak be.</w:t>
      </w:r>
    </w:p>
    <w:p w14:paraId="12AAFF1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5083C7E"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elfelejtette bevenni a VORTIOXETINE VIATRIS PHARMA-t</w:t>
      </w:r>
    </w:p>
    <w:p w14:paraId="6805774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következő adagot a szokásos időpontban vegye be. Ne vegyen be kétszeres adagot a kihagyott adag pótlására.</w:t>
      </w:r>
    </w:p>
    <w:p w14:paraId="34BDBFE7"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6E77C3F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Ha idő előtt abbahagyja a VORTIOXETINE VIATRIS PHARMA szedését</w:t>
      </w:r>
    </w:p>
    <w:p w14:paraId="03A63D7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 hagyja abba a VORTIOXETINE VIATRIS PHARMA szedését anélkül, hogy azt előzőleg megbeszélné kezelőorvosával.</w:t>
      </w:r>
    </w:p>
    <w:p w14:paraId="1B90CA9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CB8937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Kezelőorvosa dönthet úgy, hogy csökkenti az adagot, mielőtt végleg abbahagyja a gyógyszer szedését.</w:t>
      </w:r>
    </w:p>
    <w:p w14:paraId="6FFF08AF" w14:textId="2A7EC81A"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Néhány beteg</w:t>
      </w:r>
      <w:r w:rsidR="001C3490">
        <w:rPr>
          <w:rFonts w:ascii="Times New Roman" w:eastAsia="Times New Roman" w:hAnsi="Times New Roman" w:cs="Times New Roman"/>
          <w:noProof/>
          <w:kern w:val="0"/>
          <w:lang w:val="hu-HU"/>
          <w14:ligatures w14:val="none"/>
        </w:rPr>
        <w:t>nél</w:t>
      </w:r>
      <w:r w:rsidRPr="001A05EC">
        <w:rPr>
          <w:rFonts w:ascii="Times New Roman" w:eastAsia="Times New Roman" w:hAnsi="Times New Roman" w:cs="Times New Roman"/>
          <w:noProof/>
          <w:kern w:val="0"/>
          <w:lang w:val="hu-HU"/>
          <w14:ligatures w14:val="none"/>
        </w:rPr>
        <w:t>, akik abbahagyt</w:t>
      </w:r>
      <w:r w:rsidR="001C3490">
        <w:rPr>
          <w:rFonts w:ascii="Times New Roman" w:eastAsia="Times New Roman" w:hAnsi="Times New Roman" w:cs="Times New Roman"/>
          <w:noProof/>
          <w:kern w:val="0"/>
          <w:lang w:val="hu-HU"/>
          <w14:ligatures w14:val="none"/>
        </w:rPr>
        <w:t>ák</w:t>
      </w:r>
      <w:r w:rsidRPr="001A05EC">
        <w:rPr>
          <w:rFonts w:ascii="Times New Roman" w:eastAsia="Times New Roman" w:hAnsi="Times New Roman" w:cs="Times New Roman"/>
          <w:noProof/>
          <w:kern w:val="0"/>
          <w:lang w:val="hu-HU"/>
          <w14:ligatures w14:val="none"/>
        </w:rPr>
        <w:t xml:space="preserve"> a VORTIOXETINE VIATRIS PHARMA szedését, olyan tünetek </w:t>
      </w:r>
      <w:r w:rsidR="001C3490">
        <w:rPr>
          <w:rFonts w:ascii="Times New Roman" w:eastAsia="Times New Roman" w:hAnsi="Times New Roman" w:cs="Times New Roman"/>
          <w:noProof/>
          <w:kern w:val="0"/>
          <w:lang w:val="hu-HU"/>
          <w14:ligatures w14:val="none"/>
        </w:rPr>
        <w:t>jelentkeztek</w:t>
      </w:r>
      <w:r w:rsidRPr="001A05EC">
        <w:rPr>
          <w:rFonts w:ascii="Times New Roman" w:eastAsia="Times New Roman" w:hAnsi="Times New Roman" w:cs="Times New Roman"/>
          <w:noProof/>
          <w:kern w:val="0"/>
          <w:lang w:val="hu-HU"/>
          <w14:ligatures w14:val="none"/>
        </w:rPr>
        <w:t>, mint szédülés, fejfájás, tűszúrásszerű bizsergés vagy áramütésszerű érzés (különösen a fejben), alvászavar, hányinger vagy hányás, szorongás, ingerlékenység vagy izgatottság, fáradtságérzet vagy remegés. Ezek a tünetek a VORTIOXETINE VIATRIS PHARMA</w:t>
      </w:r>
      <w:r w:rsidR="001C3490">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hu-HU"/>
          <w14:ligatures w14:val="none"/>
        </w:rPr>
        <w:t>kezelés abbahagyását követő első héten belül jelentkezhetnek.</w:t>
      </w:r>
    </w:p>
    <w:p w14:paraId="25FD1F7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AAC84F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 bármilyen további kérdése van a gyógyszer alkalmazásával kapcsolatban, kérdezze meg kezelőorvosát vagy gyógyszerészét.</w:t>
      </w:r>
    </w:p>
    <w:p w14:paraId="47762A8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B49A65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37F9E76"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4.</w:t>
      </w:r>
      <w:r w:rsidRPr="001A05EC">
        <w:rPr>
          <w:rFonts w:ascii="Times New Roman" w:eastAsia="Times New Roman" w:hAnsi="Times New Roman" w:cs="Times New Roman"/>
          <w:b/>
          <w:bCs/>
          <w:noProof/>
          <w:kern w:val="0"/>
          <w:lang w:val="hu-HU"/>
          <w14:ligatures w14:val="none"/>
        </w:rPr>
        <w:tab/>
        <w:t>Lehetséges mellékhatások</w:t>
      </w:r>
    </w:p>
    <w:p w14:paraId="01EF17EC"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C75605F"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Mint minden gyógyszer, így ez a gyógyszer is okozhat mellékhatásokat, amelyek azonban nem mindenkinél jelentkeznek.</w:t>
      </w:r>
    </w:p>
    <w:p w14:paraId="4DFEF9B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9BF1D8D"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megfigyelt mellékhatások általában enyhék vagy közepesen súlyosak voltak, és a kezelés első két hetében jelentkeztek. A reakciók rendszerint átmenetiek voltak, és nem vezettek a terápia megszakításához.</w:t>
      </w:r>
    </w:p>
    <w:p w14:paraId="43DD80EA"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3A770EB"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Az alább felsorolt mellékhatásokról számoltak be a megadott gyakorisággal.</w:t>
      </w:r>
    </w:p>
    <w:p w14:paraId="69A3AE0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7582765"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Nagyon gyakori: 10 betegből több mint 1-et érinthet</w:t>
      </w:r>
    </w:p>
    <w:p w14:paraId="1BEC3A44" w14:textId="77777777" w:rsidR="001A05EC" w:rsidRPr="001A05EC" w:rsidRDefault="001A05EC" w:rsidP="001A05EC">
      <w:pPr>
        <w:widowControl w:val="0"/>
        <w:numPr>
          <w:ilvl w:val="0"/>
          <w:numId w:val="8"/>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hányinger</w:t>
      </w:r>
    </w:p>
    <w:p w14:paraId="5083FDB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2AA6751"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Gyakori: 10 betegből legfeljebb 1-et érinthet</w:t>
      </w:r>
    </w:p>
    <w:p w14:paraId="0E4A93F4" w14:textId="77777777" w:rsidR="001A05EC" w:rsidRPr="001A05EC" w:rsidRDefault="001A05EC" w:rsidP="001A05EC">
      <w:pPr>
        <w:keepNext/>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hasmenés, székrekedés, hányás</w:t>
      </w:r>
    </w:p>
    <w:p w14:paraId="5E1A9F20"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szédülés</w:t>
      </w:r>
    </w:p>
    <w:p w14:paraId="3E578443"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testszerte jelentkező viszketés</w:t>
      </w:r>
    </w:p>
    <w:p w14:paraId="3E79DEEC"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kóros álmok</w:t>
      </w:r>
    </w:p>
    <w:p w14:paraId="6469E2BE" w14:textId="77777777" w:rsidR="001A05EC" w:rsidRPr="001A05EC" w:rsidRDefault="001A05EC" w:rsidP="001A05EC">
      <w:pPr>
        <w:keepNext/>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fokozott izzadás</w:t>
      </w:r>
    </w:p>
    <w:p w14:paraId="4D2C7926" w14:textId="77777777" w:rsidR="001A05EC" w:rsidRPr="001A05EC" w:rsidRDefault="001A05EC" w:rsidP="001A05EC">
      <w:pPr>
        <w:widowControl w:val="0"/>
        <w:numPr>
          <w:ilvl w:val="0"/>
          <w:numId w:val="9"/>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emésztési zavar</w:t>
      </w:r>
    </w:p>
    <w:p w14:paraId="3E3096B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69140576"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gyakori: 100 betegből legfeljebb 1-et érinthet</w:t>
      </w:r>
    </w:p>
    <w:p w14:paraId="4022652C" w14:textId="77777777" w:rsidR="001A05EC" w:rsidRPr="001A05EC" w:rsidRDefault="001A05EC" w:rsidP="001A05EC">
      <w:pPr>
        <w:keepNext/>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kipirulás</w:t>
      </w:r>
    </w:p>
    <w:p w14:paraId="029012A5" w14:textId="77777777" w:rsidR="001A05EC" w:rsidRPr="001A05EC" w:rsidRDefault="001A05EC"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éjszakai izzadás</w:t>
      </w:r>
    </w:p>
    <w:p w14:paraId="6C27E642" w14:textId="77777777" w:rsidR="001A05EC" w:rsidRPr="001A05EC" w:rsidRDefault="001A05EC" w:rsidP="001A05EC">
      <w:pPr>
        <w:keepNext/>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homályos látás</w:t>
      </w:r>
    </w:p>
    <w:p w14:paraId="51B95329" w14:textId="77777777" w:rsidR="001A05EC" w:rsidRDefault="001A05EC"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akaratlan remegés (tremor)</w:t>
      </w:r>
    </w:p>
    <w:p w14:paraId="15BE32B7" w14:textId="5CCF5BB5" w:rsidR="001A05EC" w:rsidRPr="001A05EC" w:rsidRDefault="001C3490" w:rsidP="001A05EC">
      <w:pPr>
        <w:widowControl w:val="0"/>
        <w:numPr>
          <w:ilvl w:val="0"/>
          <w:numId w:val="10"/>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14:ligatures w14:val="none"/>
        </w:rPr>
        <w:t>h</w:t>
      </w:r>
      <w:r w:rsidR="001A05EC" w:rsidRPr="001A05EC">
        <w:rPr>
          <w:rFonts w:ascii="Times New Roman" w:eastAsia="Times New Roman" w:hAnsi="Times New Roman" w:cs="Times New Roman"/>
          <w:noProof/>
          <w:kern w:val="0"/>
          <w14:ligatures w14:val="none"/>
        </w:rPr>
        <w:t>allucinációk (nem létező dolgok látása, hallása vagy érzékelése)</w:t>
      </w:r>
    </w:p>
    <w:p w14:paraId="4DB82CE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DA0628E"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Ritka: 1000 betegből legfeljebb 1-et érinthet</w:t>
      </w:r>
    </w:p>
    <w:p w14:paraId="7CF1AEFC" w14:textId="77777777" w:rsidR="001A05EC" w:rsidRPr="001A05EC" w:rsidRDefault="001A05EC" w:rsidP="001A05EC">
      <w:pPr>
        <w:widowControl w:val="0"/>
        <w:numPr>
          <w:ilvl w:val="0"/>
          <w:numId w:val="11"/>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kitágult pupillák (midriázis), ami növelheti a zöldhályog (glaukóma) kockázatát (lásd 2. pont)</w:t>
      </w:r>
    </w:p>
    <w:p w14:paraId="5ED2EBB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CAA849B"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ismert: a gyakoriság a rendelkezésre álló adatokból nem állapítható meg</w:t>
      </w:r>
    </w:p>
    <w:p w14:paraId="14AE0B13" w14:textId="19FE112D" w:rsidR="001A05EC" w:rsidRPr="001A05EC" w:rsidRDefault="001C3490" w:rsidP="001A05EC">
      <w:pPr>
        <w:keepNext/>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lacsony nátriumszint a vérben (a tünetek a következők lehetnek: szédülés, gyengeség, zavartság, álmosság, illetve erős fáradtság vagy hányinger és hányás; súlyosabb tünet az ájulás, görcsrohamok vagy elesés)</w:t>
      </w:r>
    </w:p>
    <w:p w14:paraId="73EB866E" w14:textId="7E8670C2"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1A05EC" w:rsidRPr="001A05EC">
        <w:rPr>
          <w:rFonts w:ascii="Times New Roman" w:eastAsia="Times New Roman" w:hAnsi="Times New Roman" w:cs="Times New Roman"/>
          <w:noProof/>
          <w:kern w:val="0"/>
          <w:lang w:val="hu-HU"/>
          <w14:ligatures w14:val="none"/>
        </w:rPr>
        <w:t>zerotonin</w:t>
      </w:r>
      <w:r>
        <w:rPr>
          <w:rFonts w:ascii="Times New Roman" w:eastAsia="Times New Roman" w:hAnsi="Times New Roman" w:cs="Times New Roman"/>
          <w:noProof/>
          <w:kern w:val="0"/>
          <w:lang w:val="hu-HU"/>
          <w14:ligatures w14:val="none"/>
        </w:rPr>
        <w:t>-</w:t>
      </w:r>
      <w:r w:rsidR="001A05EC" w:rsidRPr="001A05EC">
        <w:rPr>
          <w:rFonts w:ascii="Times New Roman" w:eastAsia="Times New Roman" w:hAnsi="Times New Roman" w:cs="Times New Roman"/>
          <w:noProof/>
          <w:kern w:val="0"/>
          <w:lang w:val="hu-HU"/>
          <w14:ligatures w14:val="none"/>
        </w:rPr>
        <w:t>szindróma (lásd 2. pont)</w:t>
      </w:r>
    </w:p>
    <w:p w14:paraId="2D912272" w14:textId="1966417F"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 xml:space="preserve">z arc, </w:t>
      </w:r>
      <w:r>
        <w:rPr>
          <w:rFonts w:ascii="Times New Roman" w:eastAsia="Times New Roman" w:hAnsi="Times New Roman" w:cs="Times New Roman"/>
          <w:noProof/>
          <w:kern w:val="0"/>
          <w:lang w:val="hu-HU"/>
          <w14:ligatures w14:val="none"/>
        </w:rPr>
        <w:t xml:space="preserve">az </w:t>
      </w:r>
      <w:r w:rsidR="001A05EC" w:rsidRPr="001A05EC">
        <w:rPr>
          <w:rFonts w:ascii="Times New Roman" w:eastAsia="Times New Roman" w:hAnsi="Times New Roman" w:cs="Times New Roman"/>
          <w:noProof/>
          <w:kern w:val="0"/>
          <w:lang w:val="hu-HU"/>
          <w14:ligatures w14:val="none"/>
        </w:rPr>
        <w:t xml:space="preserve">ajkak, </w:t>
      </w:r>
      <w:r>
        <w:rPr>
          <w:rFonts w:ascii="Times New Roman" w:eastAsia="Times New Roman" w:hAnsi="Times New Roman" w:cs="Times New Roman"/>
          <w:noProof/>
          <w:kern w:val="0"/>
          <w:lang w:val="hu-HU"/>
          <w14:ligatures w14:val="none"/>
        </w:rPr>
        <w:t xml:space="preserve">a </w:t>
      </w:r>
      <w:r w:rsidR="001A05EC" w:rsidRPr="001A05EC">
        <w:rPr>
          <w:rFonts w:ascii="Times New Roman" w:eastAsia="Times New Roman" w:hAnsi="Times New Roman" w:cs="Times New Roman"/>
          <w:noProof/>
          <w:kern w:val="0"/>
          <w:lang w:val="hu-HU"/>
          <w14:ligatures w14:val="none"/>
        </w:rPr>
        <w:t xml:space="preserve">nyelv vagy </w:t>
      </w:r>
      <w:r>
        <w:rPr>
          <w:rFonts w:ascii="Times New Roman" w:eastAsia="Times New Roman" w:hAnsi="Times New Roman" w:cs="Times New Roman"/>
          <w:noProof/>
          <w:kern w:val="0"/>
          <w:lang w:val="hu-HU"/>
          <w14:ligatures w14:val="none"/>
        </w:rPr>
        <w:t xml:space="preserve">a </w:t>
      </w:r>
      <w:r w:rsidR="001A05EC" w:rsidRPr="001A05EC">
        <w:rPr>
          <w:rFonts w:ascii="Times New Roman" w:eastAsia="Times New Roman" w:hAnsi="Times New Roman" w:cs="Times New Roman"/>
          <w:noProof/>
          <w:kern w:val="0"/>
          <w:lang w:val="hu-HU"/>
          <w14:ligatures w14:val="none"/>
        </w:rPr>
        <w:t>torok duzzanatához, légzési vagy nyelési nehezítettséghez és/vagy hirtelen</w:t>
      </w:r>
      <w:r w:rsidRPr="001A05EC">
        <w:rPr>
          <w:rFonts w:ascii="Times New Roman" w:eastAsia="Times New Roman" w:hAnsi="Times New Roman" w:cs="Times New Roman"/>
          <w:noProof/>
          <w:kern w:val="0"/>
          <w:lang w:val="hu-HU"/>
          <w14:ligatures w14:val="none"/>
        </w:rPr>
        <w:t xml:space="preserve"> vérnyomás</w:t>
      </w:r>
      <w:r w:rsidR="001A05EC" w:rsidRPr="001A05EC">
        <w:rPr>
          <w:rFonts w:ascii="Times New Roman" w:eastAsia="Times New Roman" w:hAnsi="Times New Roman" w:cs="Times New Roman"/>
          <w:noProof/>
          <w:kern w:val="0"/>
          <w:lang w:val="hu-HU"/>
          <w14:ligatures w14:val="none"/>
        </w:rPr>
        <w:t>eséshez vezető (ettől szédülést, ájulásérzést tapasztalhat) allergiás reakciók, amelyek súlyosak is lehetnek</w:t>
      </w:r>
    </w:p>
    <w:p w14:paraId="33E34C40" w14:textId="02EB5D69" w:rsidR="001A05EC" w:rsidRPr="001A05EC" w:rsidRDefault="001C3490"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c</w:t>
      </w:r>
      <w:r w:rsidR="001A05EC" w:rsidRPr="001A05EC">
        <w:rPr>
          <w:rFonts w:ascii="Times New Roman" w:eastAsia="Times New Roman" w:hAnsi="Times New Roman" w:cs="Times New Roman"/>
          <w:noProof/>
          <w:kern w:val="0"/>
          <w:lang w:val="hu-HU"/>
          <w14:ligatures w14:val="none"/>
        </w:rPr>
        <w:t>salánkiütés</w:t>
      </w:r>
    </w:p>
    <w:p w14:paraId="31F10F1D" w14:textId="1A6B486F"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e</w:t>
      </w:r>
      <w:r w:rsidR="001A05EC" w:rsidRPr="001A05EC">
        <w:rPr>
          <w:rFonts w:ascii="Times New Roman" w:eastAsia="Times New Roman" w:hAnsi="Times New Roman" w:cs="Times New Roman"/>
          <w:noProof/>
          <w:kern w:val="0"/>
          <w:lang w:val="hu-HU"/>
          <w14:ligatures w14:val="none"/>
        </w:rPr>
        <w:t>rős vagy megmagyarázatlan vérzés (ide tartozik a véraláfutás, orrvérzés, emésztőrendszeri, illetve hüvelyi vérzés)</w:t>
      </w:r>
    </w:p>
    <w:p w14:paraId="07DD998A" w14:textId="20C68226"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1A05EC" w:rsidRPr="001A05EC">
        <w:rPr>
          <w:rFonts w:ascii="Times New Roman" w:eastAsia="Times New Roman" w:hAnsi="Times New Roman" w:cs="Times New Roman"/>
          <w:noProof/>
          <w:kern w:val="0"/>
          <w:lang w:val="hu-HU"/>
          <w14:ligatures w14:val="none"/>
        </w:rPr>
        <w:t>őrkiütés</w:t>
      </w:r>
    </w:p>
    <w:p w14:paraId="5B57F9FB" w14:textId="7A7BC2A5"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1A05EC" w:rsidRPr="001A05EC">
        <w:rPr>
          <w:rFonts w:ascii="Times New Roman" w:eastAsia="Times New Roman" w:hAnsi="Times New Roman" w:cs="Times New Roman"/>
          <w:noProof/>
          <w:kern w:val="0"/>
          <w:lang w:val="hu-HU"/>
          <w14:ligatures w14:val="none"/>
        </w:rPr>
        <w:t>lvászavarok (álmatlanság)</w:t>
      </w:r>
    </w:p>
    <w:p w14:paraId="591DEA86" w14:textId="78E721C8" w:rsidR="001A05EC" w:rsidRPr="001A05EC" w:rsidRDefault="00FB5C04"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001A05EC" w:rsidRPr="001A05EC">
        <w:rPr>
          <w:rFonts w:ascii="Times New Roman" w:eastAsia="Times New Roman" w:hAnsi="Times New Roman" w:cs="Times New Roman"/>
          <w:noProof/>
          <w:kern w:val="0"/>
          <w:lang w:val="hu-HU"/>
          <w14:ligatures w14:val="none"/>
        </w:rPr>
        <w:t>yugtalanság és agresszió. Ha ilyen mellékhatásokat észlel, forduljon kezelőorvosához (lásd 2. pont)</w:t>
      </w:r>
    </w:p>
    <w:p w14:paraId="6BBAF670"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fejfájás</w:t>
      </w:r>
    </w:p>
    <w:p w14:paraId="7E8D05C5"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prolaktin nevű hormon emelkedett vérszintje</w:t>
      </w:r>
    </w:p>
    <w:p w14:paraId="032343BE"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állandó mozgáskényszer (akatízia)</w:t>
      </w:r>
    </w:p>
    <w:p w14:paraId="7AEA7629"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fogcsikorgatás (bruxizmus)</w:t>
      </w:r>
    </w:p>
    <w:p w14:paraId="0FC3EE33"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szájnyitási korlátozottság (szájzár/trizmus)</w:t>
      </w:r>
    </w:p>
    <w:p w14:paraId="6A95C2E9" w14:textId="77777777" w:rsidR="001A05EC" w:rsidRPr="001A05EC" w:rsidRDefault="001A05EC" w:rsidP="001A05EC">
      <w:pPr>
        <w:keepNext/>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nyugtalanláb-szindróma (fájdalmas vagy furcsa érzések megszüntetése érdekében a lábak mozgatására irányuló késztetés, ami gyakran éjszaka jelentkezik)</w:t>
      </w:r>
    </w:p>
    <w:p w14:paraId="0E63612E" w14:textId="77777777" w:rsidR="001A05EC" w:rsidRPr="001A05EC" w:rsidRDefault="001A05EC" w:rsidP="001A05EC">
      <w:pPr>
        <w:widowControl w:val="0"/>
        <w:numPr>
          <w:ilvl w:val="0"/>
          <w:numId w:val="1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rendellenes tejszerű váladékozás az emlőből (galaktorrea).</w:t>
      </w:r>
    </w:p>
    <w:p w14:paraId="1593D0D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62BFAB9C"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vortioxetinnel azonos típusú gyógyszerek alkalmazásakor a csonttörések fokozott kockázatát figyelték meg.</w:t>
      </w:r>
    </w:p>
    <w:p w14:paraId="6E2761E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7E3B9C6" w14:textId="560800F2"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szexuális diszfunkció fokozott kockázatáról számoltak be a 20 mg-os adaggal </w:t>
      </w:r>
      <w:r w:rsidR="00FB5C04">
        <w:rPr>
          <w:rFonts w:ascii="Times New Roman" w:eastAsia="Times New Roman" w:hAnsi="Times New Roman" w:cs="Times New Roman"/>
          <w:noProof/>
          <w:kern w:val="0"/>
          <w:lang w:val="hu-HU"/>
          <w14:ligatures w14:val="none"/>
        </w:rPr>
        <w:t>kezelt betegeknél</w:t>
      </w:r>
      <w:r w:rsidRPr="001A05EC">
        <w:rPr>
          <w:rFonts w:ascii="Times New Roman" w:eastAsia="Times New Roman" w:hAnsi="Times New Roman" w:cs="Times New Roman"/>
          <w:noProof/>
          <w:kern w:val="0"/>
          <w:lang w:val="hu-HU"/>
          <w14:ligatures w14:val="none"/>
        </w:rPr>
        <w:t>, és néhány betegnél ezt a mellékhatást alacsonyabb adagoknál is megfigyelték.</w:t>
      </w:r>
    </w:p>
    <w:p w14:paraId="765ADFA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4229B0"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További mellékhatások gyermekeknél és serdülőknél</w:t>
      </w:r>
    </w:p>
    <w:p w14:paraId="604604B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 gyermekeknél és serdülőknél megfigyelt mellékhatásai hasonlóak voltak a felnőtteknél tapasztaltakhoz, kivéve a hasi fájdalommal kapcsolatos eseményeket, amelyeket gyakrabban figyeltek meg, mint felnőtteknél, és az öngyilkossági gondolatokat, amelyeket serdülőknél gyakrabban figyeltek meg, mint felnőtteknél.</w:t>
      </w:r>
    </w:p>
    <w:p w14:paraId="792F36F8"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35CB02C"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Mellékhatások bejelentése</w:t>
      </w:r>
    </w:p>
    <w:p w14:paraId="35DF4700"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Pr="001A05EC">
          <w:rPr>
            <w:rFonts w:ascii="Times New Roman" w:eastAsia="Times New Roman" w:hAnsi="Times New Roman" w:cs="Times New Roman"/>
            <w:noProof/>
            <w:color w:val="0000FF"/>
            <w:kern w:val="0"/>
            <w:u w:val="single"/>
            <w:shd w:val="clear" w:color="auto" w:fill="C0C0C0"/>
            <w:lang w:val="hu-HU"/>
            <w14:ligatures w14:val="none"/>
          </w:rPr>
          <w:t>V. függelékben</w:t>
        </w:r>
      </w:hyperlink>
      <w:r w:rsidRPr="001A05EC">
        <w:rPr>
          <w:rFonts w:ascii="Times New Roman" w:eastAsia="Times New Roman" w:hAnsi="Times New Roman" w:cs="Times New Roman"/>
          <w:noProof/>
          <w:color w:val="0000FF"/>
          <w:kern w:val="0"/>
          <w:u w:val="single" w:color="0000FF"/>
          <w:shd w:val="clear" w:color="auto" w:fill="C0C0C0"/>
          <w:lang w:val="hu-HU"/>
          <w14:ligatures w14:val="none"/>
        </w:rPr>
        <w:t xml:space="preserve"> </w:t>
      </w:r>
      <w:r w:rsidRPr="001A05EC">
        <w:rPr>
          <w:rFonts w:ascii="Times New Roman" w:eastAsia="Times New Roman" w:hAnsi="Times New Roman" w:cs="Times New Roman"/>
          <w:noProof/>
          <w:color w:val="000000"/>
          <w:kern w:val="0"/>
          <w:shd w:val="clear" w:color="auto" w:fill="C0C0C0"/>
          <w:lang w:val="hu-HU"/>
          <w14:ligatures w14:val="none"/>
        </w:rPr>
        <w:t>található elérhetőségeken keresztül</w:t>
      </w:r>
      <w:r w:rsidRPr="001A05EC">
        <w:rPr>
          <w:rFonts w:ascii="Times New Roman" w:eastAsia="Times New Roman" w:hAnsi="Times New Roman" w:cs="Times New Roman"/>
          <w:noProof/>
          <w:color w:val="000000"/>
          <w:kern w:val="0"/>
          <w:lang w:val="hu-HU"/>
          <w14:ligatures w14:val="none"/>
        </w:rPr>
        <w:t>.</w:t>
      </w:r>
      <w:r w:rsidRPr="001A05EC">
        <w:rPr>
          <w:rFonts w:ascii="Times New Roman" w:eastAsia="Times New Roman" w:hAnsi="Times New Roman" w:cs="Times New Roman"/>
          <w:noProof/>
          <w:kern w:val="0"/>
          <w:lang w:val="hu-HU"/>
          <w14:ligatures w14:val="none"/>
        </w:rPr>
        <w:t xml:space="preserve"> A mellékhatások bejelentésével Ön is hozzájárulhat ahhoz, hogy minél több információ álljon rendelkezésre a gyógyszer biztonságos alkalmazásával kapcsolatban.</w:t>
      </w:r>
    </w:p>
    <w:p w14:paraId="51B39B9F"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2660DAE"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027D421"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5.</w:t>
      </w:r>
      <w:r w:rsidRPr="001A05EC">
        <w:rPr>
          <w:rFonts w:ascii="Times New Roman" w:eastAsia="Times New Roman" w:hAnsi="Times New Roman" w:cs="Times New Roman"/>
          <w:b/>
          <w:bCs/>
          <w:noProof/>
          <w:kern w:val="0"/>
          <w:lang w:val="hu-HU"/>
          <w14:ligatures w14:val="none"/>
        </w:rPr>
        <w:tab/>
        <w:t>Hogyan kell a VORTIOXETINE VIATRIS PHARMA-t tárolni?</w:t>
      </w:r>
    </w:p>
    <w:p w14:paraId="2301E30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A6EA89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gyógyszer gyermekektől elzárva tartandó!</w:t>
      </w:r>
    </w:p>
    <w:p w14:paraId="2246225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7A01EA5"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dobozon vagy buborékcsomagoláson feltüntetett lejárati idő (EXP) után ne szedje ezt a gyógyszert. A lejárati idő az adott hónap utolsó napjára vonatkozik.</w:t>
      </w:r>
    </w:p>
    <w:p w14:paraId="54C4A53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703F466"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Ez a gyógyszer nem igényel különleges tárolást.</w:t>
      </w:r>
    </w:p>
    <w:p w14:paraId="0DC39B5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242BFC0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Semmilyen gyógyszert ne dobjon a szennyvízbe vagy a háztartási hulladékba. Kérdezze meg gyógyszerészét, hogy mit tegyen a már nem használt gyógyszereivel. Ezek az intézkedések elősegítik a környezet védelmét.</w:t>
      </w:r>
    </w:p>
    <w:p w14:paraId="466F7533"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3CF0004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5E470944" w14:textId="77777777" w:rsidR="001A05EC" w:rsidRPr="001A05EC" w:rsidRDefault="001A05EC" w:rsidP="001A05EC">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6.</w:t>
      </w:r>
      <w:r w:rsidRPr="001A05EC">
        <w:rPr>
          <w:rFonts w:ascii="Times New Roman" w:eastAsia="Times New Roman" w:hAnsi="Times New Roman" w:cs="Times New Roman"/>
          <w:b/>
          <w:bCs/>
          <w:noProof/>
          <w:kern w:val="0"/>
          <w:lang w:val="hu-HU"/>
          <w14:ligatures w14:val="none"/>
        </w:rPr>
        <w:tab/>
        <w:t>A csomagolás tartalma és egyéb információk</w:t>
      </w:r>
    </w:p>
    <w:p w14:paraId="663B6A5D"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106C6ADF" w14:textId="77777777" w:rsidR="001A05EC" w:rsidRPr="001A05EC" w:rsidRDefault="001A05EC" w:rsidP="001A05EC">
      <w:pPr>
        <w:keepNext/>
        <w:tabs>
          <w:tab w:val="left" w:pos="805"/>
        </w:tab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Mit tartalmaz a VORTIOXETINE VIATRIS PHARMA?</w:t>
      </w:r>
    </w:p>
    <w:p w14:paraId="2A4CB4DF" w14:textId="3A0DE7D3" w:rsidR="001A05EC" w:rsidRPr="001A05EC" w:rsidRDefault="001A05EC" w:rsidP="001A05EC">
      <w:pPr>
        <w:keepNext/>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készítmény hatóanyaga a vortioxetin. 5 mg, 10 mg, 15 mg vagy 20 mg vortioxetint tartalmaz (</w:t>
      </w:r>
      <w:r w:rsidR="00B20B07" w:rsidRPr="00A53012">
        <w:rPr>
          <w:rFonts w:ascii="Times New Roman" w:eastAsia="Times New Roman" w:hAnsi="Times New Roman" w:cs="Times New Roman"/>
          <w:noProof/>
          <w:kern w:val="0"/>
          <w:lang w:val="hu-HU"/>
          <w14:ligatures w14:val="none"/>
        </w:rPr>
        <w:t>vortioxetin-</w:t>
      </w:r>
      <w:r w:rsidRPr="001A05EC">
        <w:rPr>
          <w:rFonts w:ascii="Times New Roman" w:eastAsia="Times New Roman" w:hAnsi="Times New Roman" w:cs="Times New Roman"/>
          <w:noProof/>
          <w:kern w:val="0"/>
          <w:lang w:val="hu-HU"/>
          <w14:ligatures w14:val="none"/>
        </w:rPr>
        <w:t>hidrobromid formájában) filmtablettánként.</w:t>
      </w:r>
    </w:p>
    <w:p w14:paraId="5BC389E7" w14:textId="3E741A4C"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5 mg filmtabletta egyéb összetevői: mannit, mikrokristályos cellulóz, karboximetilkeményítő-nátrium (A-típus), hidroxipropilcellulóz, magnézium-sztearát és hipromellóz, titán-dioxid (E171), makrogol és vörös vas-oxid (E172).</w:t>
      </w:r>
    </w:p>
    <w:p w14:paraId="778E5A47" w14:textId="32885E1F"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10 mg filmtabletta egyéb összetevői: mannit, mikrokristályos cellulóz, karboximetilkeményítő-nátrium (A-típus), hidroxipropilcellulóz, magnézium-sztearát, hipromellóz, titán-dioxid (E171), makrogol és sárga vas-oxid (E172).</w:t>
      </w:r>
    </w:p>
    <w:p w14:paraId="2B2A3D32" w14:textId="060E2480" w:rsidR="001A05EC" w:rsidRPr="001A05EC" w:rsidRDefault="001A05EC" w:rsidP="001A05EC">
      <w:pPr>
        <w:keepNext/>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15 mg filmtabletta egyéb összetevői: mannit, mikrokristályos cellulóz, karboximetilkeményítő-nátrium (A-típus), hidroxipropilcellulóz, magnézium-sztearát, hipromellóz, titán-dioxid (E171), makrogol, sárga vas-oxid (E172) és vörös vas-oxid (E172).</w:t>
      </w:r>
    </w:p>
    <w:p w14:paraId="0E7A741E" w14:textId="3EBE8AC9" w:rsidR="001A05EC" w:rsidRPr="001A05EC" w:rsidRDefault="001A05EC" w:rsidP="001A05EC">
      <w:pPr>
        <w:widowControl w:val="0"/>
        <w:numPr>
          <w:ilvl w:val="0"/>
          <w:numId w:val="13"/>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20 mg filmtabletta egyéb összetevői: mannit, mikrokristályos cellulóz, karboximetilkeményítő-nátrium (A-típus), hidroxipropilcellulóz, magnézium-sztearát, hipromellóz, titán-dioxid (E171), talkum, makrogol és vörös vas-oxid (E172).</w:t>
      </w:r>
    </w:p>
    <w:p w14:paraId="0AC56B48" w14:textId="77777777" w:rsidR="001A05EC" w:rsidRPr="001A05EC" w:rsidRDefault="001A05EC" w:rsidP="001A05EC">
      <w:pPr>
        <w:autoSpaceDE w:val="0"/>
        <w:autoSpaceDN w:val="0"/>
        <w:spacing w:after="0" w:line="240" w:lineRule="auto"/>
        <w:outlineLvl w:val="1"/>
        <w:rPr>
          <w:rFonts w:ascii="Times New Roman" w:eastAsia="Times New Roman" w:hAnsi="Times New Roman" w:cs="Times New Roman"/>
          <w:b/>
          <w:bCs/>
          <w:noProof/>
          <w:kern w:val="0"/>
          <w:lang w:val="hu-HU"/>
          <w14:ligatures w14:val="none"/>
        </w:rPr>
      </w:pPr>
    </w:p>
    <w:p w14:paraId="52B16E77" w14:textId="77777777" w:rsidR="001A05EC" w:rsidRPr="001A05EC" w:rsidRDefault="001A05EC" w:rsidP="001A05EC">
      <w:pPr>
        <w:keepNext/>
        <w:keepLines/>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Milyen a VORTIOXETINE VIATRIS PHARMA külleme és mit tartalmaz a csomagolás?</w:t>
      </w:r>
    </w:p>
    <w:p w14:paraId="7BE7A5BE" w14:textId="40723775" w:rsidR="001A05EC" w:rsidRPr="001A05EC" w:rsidRDefault="001A05EC" w:rsidP="001A05EC">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5 mg filmtabletta rózsaszín, ovális filmtabletta, egyik oldalán </w:t>
      </w:r>
      <w:r w:rsidR="00B20B07" w:rsidRPr="00B20B07">
        <w:rPr>
          <w:rFonts w:ascii="Times New Roman" w:eastAsia="Times New Roman" w:hAnsi="Times New Roman" w:cs="Times New Roman"/>
          <w:noProof/>
          <w:kern w:val="0"/>
          <w:lang w:val="hu-HU"/>
          <w14:ligatures w14:val="none"/>
        </w:rPr>
        <w:t>mélynyomású „5” jelzés</w:t>
      </w:r>
      <w:r w:rsidR="00B20B07">
        <w:rPr>
          <w:rFonts w:ascii="Times New Roman" w:eastAsia="Times New Roman" w:hAnsi="Times New Roman" w:cs="Times New Roman"/>
          <w:noProof/>
          <w:kern w:val="0"/>
          <w:lang w:val="hu-HU"/>
          <w14:ligatures w14:val="none"/>
        </w:rPr>
        <w:t>sel ellátva, másik oldalán sima</w:t>
      </w:r>
      <w:r w:rsidRPr="001A05EC">
        <w:rPr>
          <w:rFonts w:ascii="Times New Roman" w:eastAsia="Times New Roman" w:hAnsi="Times New Roman" w:cs="Times New Roman"/>
          <w:noProof/>
          <w:kern w:val="0"/>
          <w:lang w:val="hu-HU"/>
          <w14:ligatures w14:val="none"/>
        </w:rPr>
        <w:t>.</w:t>
      </w:r>
    </w:p>
    <w:p w14:paraId="61421891" w14:textId="695348DC" w:rsidR="00B20B07" w:rsidRPr="00A53012" w:rsidRDefault="001A05EC" w:rsidP="00B20B07">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10 mg filmtabletta sárga, ovális filmtabletta, egyik oldalán </w:t>
      </w:r>
      <w:r w:rsidR="00B20B07">
        <w:rPr>
          <w:rFonts w:ascii="Times New Roman" w:eastAsia="Times New Roman" w:hAnsi="Times New Roman" w:cs="Times New Roman"/>
          <w:noProof/>
          <w:kern w:val="0"/>
          <w:lang w:val="hu-HU"/>
          <w14:ligatures w14:val="none"/>
        </w:rPr>
        <w:t>mélynyomású</w:t>
      </w:r>
      <w:r w:rsidR="00B20B07" w:rsidRPr="00A53012">
        <w:rPr>
          <w:rFonts w:ascii="Times New Roman" w:eastAsia="Times New Roman" w:hAnsi="Times New Roman" w:cs="Times New Roman"/>
          <w:noProof/>
          <w:kern w:val="0"/>
          <w:lang w:val="hu-HU"/>
          <w14:ligatures w14:val="none"/>
        </w:rPr>
        <w:t xml:space="preserve"> „10” </w:t>
      </w:r>
      <w:r w:rsidR="00B20B07">
        <w:rPr>
          <w:rFonts w:ascii="Times New Roman" w:eastAsia="Times New Roman" w:hAnsi="Times New Roman" w:cs="Times New Roman"/>
          <w:noProof/>
          <w:kern w:val="0"/>
          <w:lang w:val="hu-HU"/>
          <w14:ligatures w14:val="none"/>
        </w:rPr>
        <w:t>jelzéssel ellátva</w:t>
      </w:r>
      <w:r w:rsidR="00B20B07" w:rsidRPr="00A53012">
        <w:rPr>
          <w:rFonts w:ascii="Times New Roman" w:eastAsia="Times New Roman" w:hAnsi="Times New Roman" w:cs="Times New Roman"/>
          <w:noProof/>
          <w:kern w:val="0"/>
          <w:lang w:val="hu-HU"/>
          <w14:ligatures w14:val="none"/>
        </w:rPr>
        <w:t>, másik oldal</w:t>
      </w:r>
      <w:r w:rsidR="00B20B07">
        <w:rPr>
          <w:rFonts w:ascii="Times New Roman" w:eastAsia="Times New Roman" w:hAnsi="Times New Roman" w:cs="Times New Roman"/>
          <w:noProof/>
          <w:kern w:val="0"/>
          <w:lang w:val="hu-HU"/>
          <w14:ligatures w14:val="none"/>
        </w:rPr>
        <w:t>án</w:t>
      </w:r>
      <w:r w:rsidR="00B20B07" w:rsidRPr="00A53012">
        <w:rPr>
          <w:rFonts w:ascii="Times New Roman" w:eastAsia="Times New Roman" w:hAnsi="Times New Roman" w:cs="Times New Roman"/>
          <w:noProof/>
          <w:kern w:val="0"/>
          <w:lang w:val="hu-HU"/>
          <w14:ligatures w14:val="none"/>
        </w:rPr>
        <w:t xml:space="preserve"> sima.</w:t>
      </w:r>
    </w:p>
    <w:p w14:paraId="067B2B1A" w14:textId="65E2AC1D" w:rsidR="001A05EC" w:rsidRPr="001A05EC" w:rsidRDefault="001A05EC" w:rsidP="001A05EC">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15 mg filmtabletta </w:t>
      </w:r>
      <w:r w:rsidR="00B20B07">
        <w:rPr>
          <w:rFonts w:ascii="Times New Roman" w:eastAsia="Times New Roman" w:hAnsi="Times New Roman" w:cs="Times New Roman"/>
          <w:noProof/>
          <w:kern w:val="0"/>
          <w:lang w:val="hu-HU"/>
          <w14:ligatures w14:val="none"/>
        </w:rPr>
        <w:t>narancssárga</w:t>
      </w:r>
      <w:r w:rsidRPr="001A05EC">
        <w:rPr>
          <w:rFonts w:ascii="Times New Roman" w:eastAsia="Times New Roman" w:hAnsi="Times New Roman" w:cs="Times New Roman"/>
          <w:noProof/>
          <w:kern w:val="0"/>
          <w:lang w:val="hu-HU"/>
          <w14:ligatures w14:val="none"/>
        </w:rPr>
        <w:t xml:space="preserve">, kerek filmtabletta, egyik oldalán </w:t>
      </w:r>
      <w:r w:rsidR="00B20B07" w:rsidRPr="00B20B07">
        <w:rPr>
          <w:rFonts w:ascii="Times New Roman" w:eastAsia="Times New Roman" w:hAnsi="Times New Roman" w:cs="Times New Roman"/>
          <w:noProof/>
          <w:kern w:val="0"/>
          <w:lang w:val="hu-HU"/>
          <w14:ligatures w14:val="none"/>
        </w:rPr>
        <w:t>mélynyomású „15” jelzés</w:t>
      </w:r>
      <w:r w:rsidR="00B20B07">
        <w:rPr>
          <w:rFonts w:ascii="Times New Roman" w:eastAsia="Times New Roman" w:hAnsi="Times New Roman" w:cs="Times New Roman"/>
          <w:noProof/>
          <w:kern w:val="0"/>
          <w:lang w:val="hu-HU"/>
          <w14:ligatures w14:val="none"/>
        </w:rPr>
        <w:t>sel ellátva, másik oldalán sima</w:t>
      </w:r>
      <w:r w:rsidRPr="001A05EC">
        <w:rPr>
          <w:rFonts w:ascii="Times New Roman" w:eastAsia="Times New Roman" w:hAnsi="Times New Roman" w:cs="Times New Roman"/>
          <w:noProof/>
          <w:kern w:val="0"/>
          <w:lang w:val="hu-HU"/>
          <w14:ligatures w14:val="none"/>
        </w:rPr>
        <w:t>.</w:t>
      </w:r>
    </w:p>
    <w:p w14:paraId="6DC391A7" w14:textId="08EC1059" w:rsidR="00B20B07" w:rsidRPr="00A53012" w:rsidRDefault="001A05EC" w:rsidP="00B20B07">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 xml:space="preserve">A VORTIOXETINE VIATRIS PHARMA 20 mg filmtabletta piros, ovális filmtabletta, egyik oldalán </w:t>
      </w:r>
      <w:r w:rsidR="00B20B07">
        <w:rPr>
          <w:rFonts w:ascii="Times New Roman" w:eastAsia="Times New Roman" w:hAnsi="Times New Roman" w:cs="Times New Roman"/>
          <w:noProof/>
          <w:kern w:val="0"/>
          <w:lang w:val="hu-HU"/>
          <w14:ligatures w14:val="none"/>
        </w:rPr>
        <w:t>mélynyomású</w:t>
      </w:r>
      <w:r w:rsidR="00B20B07" w:rsidRPr="00A53012">
        <w:rPr>
          <w:rFonts w:ascii="Times New Roman" w:eastAsia="Times New Roman" w:hAnsi="Times New Roman" w:cs="Times New Roman"/>
          <w:noProof/>
          <w:kern w:val="0"/>
          <w:lang w:val="hu-HU"/>
          <w14:ligatures w14:val="none"/>
        </w:rPr>
        <w:t xml:space="preserve"> „20” </w:t>
      </w:r>
      <w:r w:rsidR="00B20B07">
        <w:rPr>
          <w:rFonts w:ascii="Times New Roman" w:eastAsia="Times New Roman" w:hAnsi="Times New Roman" w:cs="Times New Roman"/>
          <w:noProof/>
          <w:kern w:val="0"/>
          <w:lang w:val="hu-HU"/>
          <w14:ligatures w14:val="none"/>
        </w:rPr>
        <w:t>jelzéssel ellátva</w:t>
      </w:r>
      <w:r w:rsidR="00B20B07" w:rsidRPr="00A53012">
        <w:rPr>
          <w:rFonts w:ascii="Times New Roman" w:eastAsia="Times New Roman" w:hAnsi="Times New Roman" w:cs="Times New Roman"/>
          <w:noProof/>
          <w:kern w:val="0"/>
          <w:lang w:val="hu-HU"/>
          <w14:ligatures w14:val="none"/>
        </w:rPr>
        <w:t>, másik oldal</w:t>
      </w:r>
      <w:r w:rsidR="00B20B07">
        <w:rPr>
          <w:rFonts w:ascii="Times New Roman" w:eastAsia="Times New Roman" w:hAnsi="Times New Roman" w:cs="Times New Roman"/>
          <w:noProof/>
          <w:kern w:val="0"/>
          <w:lang w:val="hu-HU"/>
          <w14:ligatures w14:val="none"/>
        </w:rPr>
        <w:t>án</w:t>
      </w:r>
      <w:r w:rsidR="00B20B07" w:rsidRPr="00A53012">
        <w:rPr>
          <w:rFonts w:ascii="Times New Roman" w:eastAsia="Times New Roman" w:hAnsi="Times New Roman" w:cs="Times New Roman"/>
          <w:noProof/>
          <w:kern w:val="0"/>
          <w:lang w:val="hu-HU"/>
          <w14:ligatures w14:val="none"/>
        </w:rPr>
        <w:t xml:space="preserve"> sima.</w:t>
      </w:r>
    </w:p>
    <w:p w14:paraId="4B5BC540" w14:textId="77777777" w:rsidR="00B20B07" w:rsidRPr="001A05EC" w:rsidRDefault="00B20B07"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4E2B737"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5 mg filmtabletta az alábbi kiszerelésekben kapható:</w:t>
      </w:r>
    </w:p>
    <w:p w14:paraId="089B5D53" w14:textId="24BFAC4E" w:rsidR="001A05EC" w:rsidRPr="001A05EC" w:rsidRDefault="001A05EC" w:rsidP="001A05EC">
      <w:pPr>
        <w:keepNext/>
        <w:widowControl w:val="0"/>
        <w:numPr>
          <w:ilvl w:val="0"/>
          <w:numId w:val="1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28 </w:t>
      </w:r>
      <w:r w:rsidR="00E8456D">
        <w:rPr>
          <w:rFonts w:ascii="Times New Roman" w:eastAsia="Times New Roman" w:hAnsi="Times New Roman" w:cs="Times New Roman"/>
          <w:noProof/>
          <w:kern w:val="0"/>
          <w:lang w:val="hu-HU"/>
          <w14:ligatures w14:val="none"/>
        </w:rPr>
        <w:t xml:space="preserve">vagy 56 </w:t>
      </w:r>
      <w:r w:rsidRPr="001A05EC">
        <w:rPr>
          <w:rFonts w:ascii="Times New Roman" w:eastAsia="Times New Roman" w:hAnsi="Times New Roman" w:cs="Times New Roman"/>
          <w:noProof/>
          <w:kern w:val="0"/>
          <w:lang w:val="hu-HU"/>
          <w14:ligatures w14:val="none"/>
        </w:rPr>
        <w:t>db filmtablettát tartalmazó buborékcsomagolás</w:t>
      </w:r>
    </w:p>
    <w:p w14:paraId="4B57FBCC" w14:textId="77777777" w:rsidR="001A05EC" w:rsidRPr="001A05EC" w:rsidRDefault="001A05EC" w:rsidP="001A05EC">
      <w:pPr>
        <w:widowControl w:val="0"/>
        <w:numPr>
          <w:ilvl w:val="0"/>
          <w:numId w:val="14"/>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14</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vagy 28</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db filmtablettát tartalmazó adagonként perforált buborékcsomagolás</w:t>
      </w:r>
    </w:p>
    <w:p w14:paraId="096395FD"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4C7DBE89"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A VORTIOXETINE VIATRIS PHARMA 10 mg, 15 mg és 20 mg filmtabletta az alábbi kiszerelésekben kapható:</w:t>
      </w:r>
    </w:p>
    <w:p w14:paraId="0F036D62" w14:textId="74147D0C" w:rsidR="001A05EC" w:rsidRPr="001A05EC" w:rsidRDefault="001A05EC" w:rsidP="001A05EC">
      <w:pPr>
        <w:keepNext/>
        <w:widowControl w:val="0"/>
        <w:numPr>
          <w:ilvl w:val="0"/>
          <w:numId w:val="1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28 </w:t>
      </w:r>
      <w:r w:rsidR="00E8456D">
        <w:rPr>
          <w:rFonts w:ascii="Times New Roman" w:eastAsia="Times New Roman" w:hAnsi="Times New Roman" w:cs="Times New Roman"/>
          <w:noProof/>
          <w:kern w:val="0"/>
          <w:lang w:val="hu-HU"/>
          <w14:ligatures w14:val="none"/>
        </w:rPr>
        <w:t xml:space="preserve">vagy 56 </w:t>
      </w:r>
      <w:r w:rsidRPr="001A05EC">
        <w:rPr>
          <w:rFonts w:ascii="Times New Roman" w:eastAsia="Times New Roman" w:hAnsi="Times New Roman" w:cs="Times New Roman"/>
          <w:noProof/>
          <w:kern w:val="0"/>
          <w:lang w:val="hu-HU"/>
          <w14:ligatures w14:val="none"/>
        </w:rPr>
        <w:t>db filmtablettát tartalmazó buborékcsomagolás</w:t>
      </w:r>
    </w:p>
    <w:p w14:paraId="1187F364" w14:textId="77777777" w:rsidR="001A05EC" w:rsidRPr="001A05EC" w:rsidRDefault="001A05EC" w:rsidP="001A05EC">
      <w:pPr>
        <w:widowControl w:val="0"/>
        <w:numPr>
          <w:ilvl w:val="0"/>
          <w:numId w:val="15"/>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28</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w:t>
      </w:r>
      <w:r w:rsidRPr="001A05EC">
        <w:rPr>
          <w:rFonts w:ascii="Times New Roman" w:eastAsia="Times New Roman" w:hAnsi="Times New Roman" w:cs="Times New Roman"/>
          <w:noProof/>
          <w:kern w:val="0"/>
          <w:lang w:val="ru-RU"/>
          <w14:ligatures w14:val="none"/>
        </w:rPr>
        <w:t> </w:t>
      </w:r>
      <w:r w:rsidRPr="001A05EC">
        <w:rPr>
          <w:rFonts w:ascii="Times New Roman" w:eastAsia="Times New Roman" w:hAnsi="Times New Roman" w:cs="Times New Roman"/>
          <w:noProof/>
          <w:kern w:val="0"/>
          <w:lang w:val="hu-HU"/>
          <w14:ligatures w14:val="none"/>
        </w:rPr>
        <w:t>1 db filmtablettát tartalmazó adagonként perforált buborékcsomagolás</w:t>
      </w:r>
    </w:p>
    <w:p w14:paraId="2790EBF1"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DB84142"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Nem feltétlenül mindegyik kiszerelés kerül kereskedelmi forgalomba.</w:t>
      </w:r>
    </w:p>
    <w:p w14:paraId="20AC7079"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263903A" w14:textId="77777777"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forgalomba hozatali engedély jogosultja</w:t>
      </w:r>
    </w:p>
    <w:p w14:paraId="3EC60965" w14:textId="4FF674E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Viatris Limited </w:t>
      </w:r>
    </w:p>
    <w:p w14:paraId="4E632D99"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Damastown Industrial Park </w:t>
      </w:r>
    </w:p>
    <w:p w14:paraId="4DD9327A"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Mulhuddart, Dublin 15 </w:t>
      </w:r>
    </w:p>
    <w:p w14:paraId="207261BE" w14:textId="77777777" w:rsidR="00E26AD8" w:rsidRPr="00E26AD8" w:rsidRDefault="00E26AD8" w:rsidP="00E26AD8">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DUBLIN </w:t>
      </w:r>
    </w:p>
    <w:p w14:paraId="10A0B260" w14:textId="5F1C6D52" w:rsidR="001A05EC" w:rsidRPr="001A05EC" w:rsidRDefault="00E26AD8" w:rsidP="00E26AD8">
      <w:pPr>
        <w:autoSpaceDE w:val="0"/>
        <w:autoSpaceDN w:val="0"/>
        <w:spacing w:after="0" w:line="240" w:lineRule="auto"/>
        <w:rPr>
          <w:rFonts w:ascii="Times New Roman" w:eastAsia="Times New Roman" w:hAnsi="Times New Roman" w:cs="Times New Roman"/>
          <w:noProof/>
          <w:kern w:val="0"/>
          <w:lang w:val="hu-HU"/>
          <w14:ligatures w14:val="none"/>
        </w:rPr>
      </w:pPr>
      <w:r w:rsidRPr="00E26AD8">
        <w:rPr>
          <w:rFonts w:ascii="Times New Roman" w:eastAsia="Times New Roman" w:hAnsi="Times New Roman" w:cs="Times New Roman"/>
          <w:noProof/>
          <w:kern w:val="0"/>
          <w14:ligatures w14:val="none"/>
        </w:rPr>
        <w:t>Írország</w:t>
      </w:r>
    </w:p>
    <w:p w14:paraId="7FE7D447"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BC7ABF7"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Gyártó</w:t>
      </w:r>
    </w:p>
    <w:p w14:paraId="361D0C75"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ELPEN Pharmaceutical Co. Inc.</w:t>
      </w:r>
    </w:p>
    <w:p w14:paraId="1373A35F"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Marathonos Ave. 95,</w:t>
      </w:r>
    </w:p>
    <w:p w14:paraId="564F3632" w14:textId="77777777" w:rsidR="001A05EC" w:rsidRPr="001A05EC" w:rsidRDefault="001A05EC" w:rsidP="001A05EC">
      <w:pPr>
        <w:keepNext/>
        <w:autoSpaceDE w:val="0"/>
        <w:autoSpaceDN w:val="0"/>
        <w:adjustRightInd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Pikermi Attiki, 19009,</w:t>
      </w:r>
    </w:p>
    <w:p w14:paraId="37DF0F5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color w:val="000000"/>
          <w:kern w:val="0"/>
          <w:lang w:val="hu-HU" w:eastAsia="en-GB"/>
          <w14:ligatures w14:val="none"/>
        </w:rPr>
      </w:pPr>
      <w:r w:rsidRPr="001A05EC">
        <w:rPr>
          <w:rFonts w:ascii="Times New Roman" w:eastAsia="Times New Roman" w:hAnsi="Times New Roman" w:cs="Times New Roman"/>
          <w:noProof/>
          <w:color w:val="000000"/>
          <w:kern w:val="0"/>
          <w:lang w:val="hu-HU" w:eastAsia="en-GB"/>
          <w14:ligatures w14:val="none"/>
        </w:rPr>
        <w:t>Görögország</w:t>
      </w:r>
    </w:p>
    <w:p w14:paraId="035BEA54" w14:textId="77777777" w:rsidR="001A05EC" w:rsidRP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78393FB3" w14:textId="77777777" w:rsidR="001A05EC" w:rsidRPr="001A05EC" w:rsidRDefault="001A05EC" w:rsidP="001A05EC">
      <w:pPr>
        <w:keepNext/>
        <w:autoSpaceDE w:val="0"/>
        <w:autoSpaceDN w:val="0"/>
        <w:spacing w:after="0" w:line="240" w:lineRule="auto"/>
        <w:rPr>
          <w:rFonts w:ascii="Times New Roman" w:eastAsia="Times New Roman" w:hAnsi="Times New Roman" w:cs="Times New Roman"/>
          <w:b/>
          <w:noProof/>
          <w:kern w:val="0"/>
          <w:lang w:val="hu-HU"/>
          <w14:ligatures w14:val="none"/>
        </w:rPr>
      </w:pPr>
      <w:r w:rsidRPr="001A05EC">
        <w:rPr>
          <w:rFonts w:ascii="Times New Roman" w:eastAsia="Times New Roman" w:hAnsi="Times New Roman" w:cs="Times New Roman"/>
          <w:b/>
          <w:noProof/>
          <w:kern w:val="0"/>
          <w:lang w:val="hu-HU"/>
          <w14:ligatures w14:val="none"/>
        </w:rPr>
        <w:t>Ezt a gyógyszert az Európai Gazdasági Térség tagállamaiban az alábbi neveken engedélyezték:</w:t>
      </w:r>
    </w:p>
    <w:p w14:paraId="474DB628"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Horvátország, Magyarország és Hollandia</w:t>
      </w:r>
      <w:r w:rsidRPr="001A05EC">
        <w:rPr>
          <w:rFonts w:ascii="Times New Roman" w:eastAsia="Times New Roman" w:hAnsi="Times New Roman" w:cs="Times New Roman"/>
          <w:noProof/>
          <w:kern w:val="0"/>
          <w:lang w:val="hu-HU"/>
          <w14:ligatures w14:val="none"/>
        </w:rPr>
        <w:tab/>
        <w:t>VORTIOXETINE VIATRIS PHARMA</w:t>
      </w:r>
    </w:p>
    <w:p w14:paraId="0B51E763"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Görögország</w:t>
      </w:r>
      <w:r w:rsidRPr="001A05EC">
        <w:rPr>
          <w:rFonts w:ascii="Times New Roman" w:eastAsia="Times New Roman" w:hAnsi="Times New Roman" w:cs="Times New Roman"/>
          <w:noProof/>
          <w:kern w:val="0"/>
          <w:lang w:val="hu-HU"/>
          <w14:ligatures w14:val="none"/>
        </w:rPr>
        <w:tab/>
        <w:t>Vortioxetine/Viatris</w:t>
      </w:r>
    </w:p>
    <w:p w14:paraId="6026860C" w14:textId="77777777" w:rsidR="001A05EC" w:rsidRPr="001A05EC" w:rsidRDefault="001A05EC" w:rsidP="001A05EC">
      <w:pPr>
        <w:keepNext/>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Lengyelország</w:t>
      </w:r>
      <w:r w:rsidRPr="001A05EC">
        <w:rPr>
          <w:rFonts w:ascii="Times New Roman" w:eastAsia="Times New Roman" w:hAnsi="Times New Roman" w:cs="Times New Roman"/>
          <w:noProof/>
          <w:kern w:val="0"/>
          <w:lang w:val="hu-HU"/>
          <w14:ligatures w14:val="none"/>
        </w:rPr>
        <w:tab/>
        <w:t>Vortioxetine Viatris Pharma</w:t>
      </w:r>
    </w:p>
    <w:p w14:paraId="40F16655" w14:textId="77777777" w:rsidR="001A05EC" w:rsidRPr="001A05EC" w:rsidRDefault="001A05EC" w:rsidP="001A05EC">
      <w:pPr>
        <w:numPr>
          <w:ilvl w:val="12"/>
          <w:numId w:val="0"/>
        </w:numPr>
        <w:tabs>
          <w:tab w:val="right" w:pos="8931"/>
        </w:tabs>
        <w:spacing w:after="0" w:line="240" w:lineRule="auto"/>
        <w:rPr>
          <w:rFonts w:ascii="Times New Roman" w:eastAsia="Times New Roman" w:hAnsi="Times New Roman" w:cs="Times New Roman"/>
          <w:noProof/>
          <w:kern w:val="0"/>
          <w:lang w:val="hu-HU"/>
          <w14:ligatures w14:val="none"/>
        </w:rPr>
      </w:pPr>
      <w:r w:rsidRPr="001A05EC">
        <w:rPr>
          <w:rFonts w:ascii="Times New Roman" w:eastAsia="Times New Roman" w:hAnsi="Times New Roman" w:cs="Times New Roman"/>
          <w:noProof/>
          <w:kern w:val="0"/>
          <w:lang w:val="hu-HU"/>
          <w14:ligatures w14:val="none"/>
        </w:rPr>
        <w:t>Portugália</w:t>
      </w:r>
      <w:r w:rsidRPr="001A05EC">
        <w:rPr>
          <w:rFonts w:ascii="Times New Roman" w:eastAsia="Times New Roman" w:hAnsi="Times New Roman" w:cs="Times New Roman"/>
          <w:noProof/>
          <w:kern w:val="0"/>
          <w:lang w:val="hu-HU"/>
          <w14:ligatures w14:val="none"/>
        </w:rPr>
        <w:tab/>
        <w:t>Vortioxetina Anova</w:t>
      </w:r>
    </w:p>
    <w:p w14:paraId="07EF9AE8" w14:textId="621453C1" w:rsidR="001A05EC" w:rsidRDefault="001A05EC"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1E0EA47A"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5 mg filmtabletta</w:t>
      </w:r>
    </w:p>
    <w:p w14:paraId="32C88CE0"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OGYI-T-24731/01</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6785FBDF" w14:textId="77777777" w:rsidR="00E8456D" w:rsidRPr="004672D9" w:rsidRDefault="00E8456D" w:rsidP="00E8456D">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GYI-T-24731/05</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52D13BD3"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3FF0EE4F"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10 mg filmtabletta</w:t>
      </w:r>
    </w:p>
    <w:p w14:paraId="18F332AE"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OGYI-T-24731/02</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20968867" w14:textId="77777777" w:rsidR="00E8456D" w:rsidRPr="004672D9" w:rsidRDefault="00E8456D" w:rsidP="00E8456D">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GYI-T-24731/06</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44EBF8DB"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2BB6B384"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15 mg filmtabletta</w:t>
      </w:r>
    </w:p>
    <w:p w14:paraId="1B118D25"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OGYI-T-24731/03</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769FEE94" w14:textId="77777777" w:rsidR="00E8456D" w:rsidRPr="004672D9" w:rsidRDefault="00E8456D" w:rsidP="00E8456D">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GYI-T-24731/07</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0B609525"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p>
    <w:p w14:paraId="1346519C" w14:textId="77777777" w:rsidR="00FC54D7" w:rsidRDefault="00FC54D7" w:rsidP="00FC54D7">
      <w:pPr>
        <w:autoSpaceDE w:val="0"/>
        <w:autoSpaceDN w:val="0"/>
        <w:spacing w:after="0" w:line="240" w:lineRule="auto"/>
        <w:rPr>
          <w:rFonts w:ascii="Times New Roman" w:eastAsia="Times New Roman" w:hAnsi="Times New Roman" w:cs="Times New Roman"/>
          <w:noProof/>
          <w:kern w:val="0"/>
          <w:u w:val="single"/>
          <w:lang w:val="hu-HU"/>
          <w14:ligatures w14:val="none"/>
        </w:rPr>
      </w:pPr>
      <w:r>
        <w:rPr>
          <w:rFonts w:ascii="Times New Roman" w:eastAsia="Times New Roman" w:hAnsi="Times New Roman" w:cs="Times New Roman"/>
          <w:noProof/>
          <w:kern w:val="0"/>
          <w:u w:val="single"/>
          <w:lang w:val="hu-HU"/>
          <w14:ligatures w14:val="none"/>
        </w:rPr>
        <w:t>Vortioxetine Viatris Pharma 20 mg filmtabletta</w:t>
      </w:r>
    </w:p>
    <w:p w14:paraId="0BB584BF" w14:textId="77777777" w:rsidR="00FC54D7" w:rsidRDefault="00FC54D7" w:rsidP="00FC54D7">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OGYI-T-24731/04</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t>PVC/PVDC//Al buborékcsomagolásban</w:t>
      </w:r>
    </w:p>
    <w:p w14:paraId="7F962F0E" w14:textId="77777777" w:rsidR="00E8456D" w:rsidRPr="004672D9" w:rsidRDefault="00E8456D" w:rsidP="00E8456D">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GYI-T-24731/08</w:t>
      </w:r>
      <w:r>
        <w:rPr>
          <w:rFonts w:ascii="Times New Roman" w:eastAsia="Times New Roman" w:hAnsi="Times New Roman" w:cs="Times New Roman"/>
          <w:noProof/>
          <w:kern w:val="0"/>
          <w:lang w:val="hu-HU"/>
          <w14:ligatures w14:val="none"/>
        </w:rPr>
        <w:tab/>
        <w:t>56×</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40DE0322" w14:textId="77777777" w:rsidR="00FC54D7" w:rsidRPr="001A05EC" w:rsidRDefault="00FC54D7" w:rsidP="001A05EC">
      <w:pPr>
        <w:autoSpaceDE w:val="0"/>
        <w:autoSpaceDN w:val="0"/>
        <w:spacing w:after="0" w:line="240" w:lineRule="auto"/>
        <w:rPr>
          <w:rFonts w:ascii="Times New Roman" w:eastAsia="Times New Roman" w:hAnsi="Times New Roman" w:cs="Times New Roman"/>
          <w:noProof/>
          <w:kern w:val="0"/>
          <w:lang w:val="hu-HU"/>
          <w14:ligatures w14:val="none"/>
        </w:rPr>
      </w:pPr>
    </w:p>
    <w:p w14:paraId="0CD889AB" w14:textId="1AF50B72" w:rsidR="001A05EC" w:rsidRPr="001A05EC" w:rsidRDefault="001A05EC" w:rsidP="001A05EC">
      <w:pPr>
        <w:keepNext/>
        <w:autoSpaceDE w:val="0"/>
        <w:autoSpaceDN w:val="0"/>
        <w:spacing w:after="0" w:line="240" w:lineRule="auto"/>
        <w:outlineLvl w:val="1"/>
        <w:rPr>
          <w:rFonts w:ascii="Times New Roman" w:eastAsia="Times New Roman" w:hAnsi="Times New Roman" w:cs="Times New Roman"/>
          <w:b/>
          <w:bCs/>
          <w:noProof/>
          <w:kern w:val="0"/>
          <w:lang w:val="hu-HU"/>
          <w14:ligatures w14:val="none"/>
        </w:rPr>
      </w:pPr>
      <w:r w:rsidRPr="001A05EC">
        <w:rPr>
          <w:rFonts w:ascii="Times New Roman" w:eastAsia="Times New Roman" w:hAnsi="Times New Roman" w:cs="Times New Roman"/>
          <w:b/>
          <w:bCs/>
          <w:noProof/>
          <w:kern w:val="0"/>
          <w:lang w:val="hu-HU"/>
          <w14:ligatures w14:val="none"/>
        </w:rPr>
        <w:t>A betegtájékoztató legutóbbi felülvizsgálatának dátuma:</w:t>
      </w:r>
      <w:r w:rsidR="00FC54D7">
        <w:rPr>
          <w:rFonts w:ascii="Times New Roman" w:eastAsia="Times New Roman" w:hAnsi="Times New Roman" w:cs="Times New Roman"/>
          <w:b/>
          <w:bCs/>
          <w:noProof/>
          <w:kern w:val="0"/>
          <w:lang w:val="hu-HU"/>
          <w14:ligatures w14:val="none"/>
        </w:rPr>
        <w:t xml:space="preserve"> 2026. április.</w:t>
      </w:r>
    </w:p>
    <w:p w14:paraId="54DA951A" w14:textId="77777777" w:rsidR="00704558" w:rsidRDefault="00704558"/>
    <w:sectPr w:rsidR="00704558" w:rsidSect="00F37D9C">
      <w:headerReference w:type="default" r:id="rId8"/>
      <w:footerReference w:type="first" r:id="rId9"/>
      <w:pgSz w:w="12240" w:h="15840"/>
      <w:pgMar w:top="1440" w:right="1440" w:bottom="1440" w:left="1440"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75ACC" w14:textId="77777777" w:rsidR="00FB5C04" w:rsidRDefault="00FB5C04" w:rsidP="00FB5C04">
      <w:pPr>
        <w:spacing w:after="0" w:line="240" w:lineRule="auto"/>
      </w:pPr>
      <w:r>
        <w:separator/>
      </w:r>
    </w:p>
  </w:endnote>
  <w:endnote w:type="continuationSeparator" w:id="0">
    <w:p w14:paraId="24ECC4E3" w14:textId="77777777" w:rsidR="00FB5C04" w:rsidRDefault="00FB5C04" w:rsidP="00FB5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7663B" w14:textId="77777777" w:rsidR="00E8456D" w:rsidRPr="00F37D9C" w:rsidRDefault="00E8456D" w:rsidP="00E8456D">
    <w:pPr>
      <w:pStyle w:val="llb"/>
      <w:rPr>
        <w:rFonts w:ascii="Times New Roman" w:hAnsi="Times New Roman" w:cs="Times New Roman"/>
        <w:sz w:val="18"/>
        <w:szCs w:val="18"/>
      </w:rPr>
    </w:pPr>
    <w:r w:rsidRPr="00E8456D">
      <w:rPr>
        <w:rFonts w:ascii="Times New Roman" w:hAnsi="Times New Roman" w:cs="Times New Roman"/>
        <w:sz w:val="18"/>
        <w:szCs w:val="18"/>
      </w:rPr>
      <w:t>NNGYK/ETGY/6163/2026</w:t>
    </w:r>
  </w:p>
  <w:p w14:paraId="2259FF66" w14:textId="77777777" w:rsidR="00E8456D" w:rsidRPr="00E8456D" w:rsidRDefault="00E8456D" w:rsidP="00E8456D">
    <w:pPr>
      <w:pStyle w:val="llb"/>
      <w:rPr>
        <w:rFonts w:ascii="Times New Roman" w:hAnsi="Times New Roman" w:cs="Times New Roman"/>
        <w:sz w:val="18"/>
        <w:szCs w:val="18"/>
      </w:rPr>
    </w:pPr>
    <w:r w:rsidRPr="00E8456D">
      <w:rPr>
        <w:rFonts w:ascii="Times New Roman" w:hAnsi="Times New Roman" w:cs="Times New Roman"/>
        <w:sz w:val="18"/>
        <w:szCs w:val="18"/>
      </w:rPr>
      <w:t>NNGYK/ETGY/6177/2026</w:t>
    </w:r>
  </w:p>
  <w:p w14:paraId="19428F2E" w14:textId="77777777" w:rsidR="00E8456D" w:rsidRPr="00E8456D" w:rsidRDefault="00E8456D" w:rsidP="00E8456D">
    <w:pPr>
      <w:pStyle w:val="llb"/>
      <w:rPr>
        <w:rFonts w:ascii="Times New Roman" w:hAnsi="Times New Roman" w:cs="Times New Roman"/>
        <w:sz w:val="18"/>
        <w:szCs w:val="18"/>
      </w:rPr>
    </w:pPr>
    <w:r w:rsidRPr="00E8456D">
      <w:rPr>
        <w:rFonts w:ascii="Times New Roman" w:hAnsi="Times New Roman" w:cs="Times New Roman"/>
        <w:sz w:val="18"/>
        <w:szCs w:val="18"/>
      </w:rPr>
      <w:t>NNGYK/ETGY/6185/2026</w:t>
    </w:r>
  </w:p>
  <w:p w14:paraId="4519BE42" w14:textId="44503ED5" w:rsidR="00FB5C04" w:rsidRPr="00F37D9C" w:rsidRDefault="00E8456D" w:rsidP="00E8456D">
    <w:pPr>
      <w:pStyle w:val="llb"/>
      <w:rPr>
        <w:rFonts w:ascii="Times New Roman" w:hAnsi="Times New Roman" w:cs="Times New Roman"/>
        <w:sz w:val="18"/>
        <w:szCs w:val="18"/>
      </w:rPr>
    </w:pPr>
    <w:r>
      <w:rPr>
        <w:rFonts w:ascii="Times New Roman" w:hAnsi="Times New Roman" w:cs="Times New Roman"/>
        <w:sz w:val="18"/>
        <w:szCs w:val="18"/>
      </w:rPr>
      <w:t>NNGYK/ETGY/6191/2026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B94F7" w14:textId="77777777" w:rsidR="00FB5C04" w:rsidRDefault="00FB5C04" w:rsidP="00FB5C04">
      <w:pPr>
        <w:spacing w:after="0" w:line="240" w:lineRule="auto"/>
      </w:pPr>
      <w:r>
        <w:separator/>
      </w:r>
    </w:p>
  </w:footnote>
  <w:footnote w:type="continuationSeparator" w:id="0">
    <w:p w14:paraId="31D6C822" w14:textId="77777777" w:rsidR="00FB5C04" w:rsidRDefault="00FB5C04" w:rsidP="00FB5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322119"/>
      <w:docPartObj>
        <w:docPartGallery w:val="Page Numbers (Top of Page)"/>
        <w:docPartUnique/>
      </w:docPartObj>
    </w:sdtPr>
    <w:sdtEndPr>
      <w:rPr>
        <w:rFonts w:ascii="Times New Roman" w:hAnsi="Times New Roman" w:cs="Times New Roman"/>
        <w:sz w:val="18"/>
        <w:szCs w:val="18"/>
      </w:rPr>
    </w:sdtEndPr>
    <w:sdtContent>
      <w:p w14:paraId="7B26C31A" w14:textId="5F706E11" w:rsidR="00FB5C04" w:rsidRPr="00F37D9C" w:rsidRDefault="00FB5C04" w:rsidP="00F37D9C">
        <w:pPr>
          <w:pStyle w:val="lfej"/>
          <w:jc w:val="center"/>
          <w:rPr>
            <w:rFonts w:ascii="Times New Roman" w:hAnsi="Times New Roman" w:cs="Times New Roman"/>
            <w:sz w:val="18"/>
            <w:szCs w:val="18"/>
          </w:rPr>
        </w:pPr>
        <w:r w:rsidRPr="00F37D9C">
          <w:rPr>
            <w:rFonts w:ascii="Times New Roman" w:hAnsi="Times New Roman" w:cs="Times New Roman"/>
            <w:sz w:val="18"/>
            <w:szCs w:val="18"/>
          </w:rPr>
          <w:fldChar w:fldCharType="begin"/>
        </w:r>
        <w:r w:rsidRPr="00F37D9C">
          <w:rPr>
            <w:rFonts w:ascii="Times New Roman" w:hAnsi="Times New Roman" w:cs="Times New Roman"/>
            <w:sz w:val="18"/>
            <w:szCs w:val="18"/>
          </w:rPr>
          <w:instrText>PAGE   \* MERGEFORMAT</w:instrText>
        </w:r>
        <w:r w:rsidRPr="00F37D9C">
          <w:rPr>
            <w:rFonts w:ascii="Times New Roman" w:hAnsi="Times New Roman" w:cs="Times New Roman"/>
            <w:sz w:val="18"/>
            <w:szCs w:val="18"/>
          </w:rPr>
          <w:fldChar w:fldCharType="separate"/>
        </w:r>
        <w:r w:rsidR="00D02762" w:rsidRPr="00D02762">
          <w:rPr>
            <w:rFonts w:ascii="Times New Roman" w:hAnsi="Times New Roman" w:cs="Times New Roman"/>
            <w:noProof/>
            <w:sz w:val="18"/>
            <w:szCs w:val="18"/>
            <w:lang w:val="hu-HU"/>
          </w:rPr>
          <w:t>9</w:t>
        </w:r>
        <w:r w:rsidRPr="00F37D9C">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430F5"/>
    <w:multiLevelType w:val="hybridMultilevel"/>
    <w:tmpl w:val="BDB082A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2476"/>
    <w:multiLevelType w:val="hybridMultilevel"/>
    <w:tmpl w:val="F232EDA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C559E"/>
    <w:multiLevelType w:val="hybridMultilevel"/>
    <w:tmpl w:val="D1288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4B557F"/>
    <w:multiLevelType w:val="hybridMultilevel"/>
    <w:tmpl w:val="6D3021D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8B63FB"/>
    <w:multiLevelType w:val="hybridMultilevel"/>
    <w:tmpl w:val="C99C12B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E0A2B"/>
    <w:multiLevelType w:val="hybridMultilevel"/>
    <w:tmpl w:val="AE14AB1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FA4CE9"/>
    <w:multiLevelType w:val="hybridMultilevel"/>
    <w:tmpl w:val="71E85FFA"/>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234E4C"/>
    <w:multiLevelType w:val="hybridMultilevel"/>
    <w:tmpl w:val="0E46E0B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5400E"/>
    <w:multiLevelType w:val="hybridMultilevel"/>
    <w:tmpl w:val="14B2541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D8036B"/>
    <w:multiLevelType w:val="hybridMultilevel"/>
    <w:tmpl w:val="9A68129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814966"/>
    <w:multiLevelType w:val="hybridMultilevel"/>
    <w:tmpl w:val="02BAD36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3B168D"/>
    <w:multiLevelType w:val="hybridMultilevel"/>
    <w:tmpl w:val="9274F2A4"/>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7822AE"/>
    <w:multiLevelType w:val="hybridMultilevel"/>
    <w:tmpl w:val="2E26B78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45A18"/>
    <w:multiLevelType w:val="hybridMultilevel"/>
    <w:tmpl w:val="1F822FA8"/>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BB330F"/>
    <w:multiLevelType w:val="hybridMultilevel"/>
    <w:tmpl w:val="02E217E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0"/>
  </w:num>
  <w:num w:numId="4">
    <w:abstractNumId w:val="1"/>
  </w:num>
  <w:num w:numId="5">
    <w:abstractNumId w:val="5"/>
  </w:num>
  <w:num w:numId="6">
    <w:abstractNumId w:val="4"/>
  </w:num>
  <w:num w:numId="7">
    <w:abstractNumId w:val="14"/>
  </w:num>
  <w:num w:numId="8">
    <w:abstractNumId w:val="8"/>
  </w:num>
  <w:num w:numId="9">
    <w:abstractNumId w:val="12"/>
  </w:num>
  <w:num w:numId="10">
    <w:abstractNumId w:val="7"/>
  </w:num>
  <w:num w:numId="11">
    <w:abstractNumId w:val="10"/>
  </w:num>
  <w:num w:numId="12">
    <w:abstractNumId w:val="6"/>
  </w:num>
  <w:num w:numId="13">
    <w:abstractNumId w:val="9"/>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5EC"/>
    <w:rsid w:val="00113EF8"/>
    <w:rsid w:val="001A05EC"/>
    <w:rsid w:val="001C3490"/>
    <w:rsid w:val="001D2571"/>
    <w:rsid w:val="00381121"/>
    <w:rsid w:val="006C6EE4"/>
    <w:rsid w:val="00704558"/>
    <w:rsid w:val="0072620B"/>
    <w:rsid w:val="008F29AF"/>
    <w:rsid w:val="00996785"/>
    <w:rsid w:val="009B63B8"/>
    <w:rsid w:val="00A25EB3"/>
    <w:rsid w:val="00B20B07"/>
    <w:rsid w:val="00BB760F"/>
    <w:rsid w:val="00D02762"/>
    <w:rsid w:val="00E26AD8"/>
    <w:rsid w:val="00E8456D"/>
    <w:rsid w:val="00F37D9C"/>
    <w:rsid w:val="00F74DF5"/>
    <w:rsid w:val="00FB5C04"/>
    <w:rsid w:val="00FC5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6736"/>
  <w15:chartTrackingRefBased/>
  <w15:docId w15:val="{5FD5CD11-0C1F-4451-8088-3CA1D6AA7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1A0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1A0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1A05E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1A05E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1A05E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1A05EC"/>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1A05EC"/>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1A05EC"/>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1A05EC"/>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A05E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1A05E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1A05E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1A05E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1A05E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1A05E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1A05E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1A05E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1A05EC"/>
    <w:rPr>
      <w:rFonts w:eastAsiaTheme="majorEastAsia" w:cstheme="majorBidi"/>
      <w:color w:val="272727" w:themeColor="text1" w:themeTint="D8"/>
    </w:rPr>
  </w:style>
  <w:style w:type="paragraph" w:styleId="Cm">
    <w:name w:val="Title"/>
    <w:basedOn w:val="Norml"/>
    <w:next w:val="Norml"/>
    <w:link w:val="CmChar"/>
    <w:uiPriority w:val="10"/>
    <w:qFormat/>
    <w:rsid w:val="001A0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A05E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1A05E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1A05E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1A05EC"/>
    <w:pPr>
      <w:spacing w:before="160"/>
      <w:jc w:val="center"/>
    </w:pPr>
    <w:rPr>
      <w:i/>
      <w:iCs/>
      <w:color w:val="404040" w:themeColor="text1" w:themeTint="BF"/>
    </w:rPr>
  </w:style>
  <w:style w:type="character" w:customStyle="1" w:styleId="IdzetChar">
    <w:name w:val="Idézet Char"/>
    <w:basedOn w:val="Bekezdsalapbettpusa"/>
    <w:link w:val="Idzet"/>
    <w:uiPriority w:val="29"/>
    <w:rsid w:val="001A05EC"/>
    <w:rPr>
      <w:i/>
      <w:iCs/>
      <w:color w:val="404040" w:themeColor="text1" w:themeTint="BF"/>
    </w:rPr>
  </w:style>
  <w:style w:type="paragraph" w:styleId="Listaszerbekezds">
    <w:name w:val="List Paragraph"/>
    <w:basedOn w:val="Norml"/>
    <w:uiPriority w:val="34"/>
    <w:qFormat/>
    <w:rsid w:val="001A05EC"/>
    <w:pPr>
      <w:ind w:left="720"/>
      <w:contextualSpacing/>
    </w:pPr>
  </w:style>
  <w:style w:type="character" w:styleId="Erskiemels">
    <w:name w:val="Intense Emphasis"/>
    <w:basedOn w:val="Bekezdsalapbettpusa"/>
    <w:uiPriority w:val="21"/>
    <w:qFormat/>
    <w:rsid w:val="001A05EC"/>
    <w:rPr>
      <w:i/>
      <w:iCs/>
      <w:color w:val="0F4761" w:themeColor="accent1" w:themeShade="BF"/>
    </w:rPr>
  </w:style>
  <w:style w:type="paragraph" w:styleId="Kiemeltidzet">
    <w:name w:val="Intense Quote"/>
    <w:basedOn w:val="Norml"/>
    <w:next w:val="Norml"/>
    <w:link w:val="KiemeltidzetChar"/>
    <w:uiPriority w:val="30"/>
    <w:qFormat/>
    <w:rsid w:val="001A0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1A05EC"/>
    <w:rPr>
      <w:i/>
      <w:iCs/>
      <w:color w:val="0F4761" w:themeColor="accent1" w:themeShade="BF"/>
    </w:rPr>
  </w:style>
  <w:style w:type="character" w:styleId="Ershivatkozs">
    <w:name w:val="Intense Reference"/>
    <w:basedOn w:val="Bekezdsalapbettpusa"/>
    <w:uiPriority w:val="32"/>
    <w:qFormat/>
    <w:rsid w:val="001A05EC"/>
    <w:rPr>
      <w:b/>
      <w:bCs/>
      <w:smallCaps/>
      <w:color w:val="0F4761" w:themeColor="accent1" w:themeShade="BF"/>
      <w:spacing w:val="5"/>
    </w:rPr>
  </w:style>
  <w:style w:type="paragraph" w:styleId="Vltozat">
    <w:name w:val="Revision"/>
    <w:hidden/>
    <w:uiPriority w:val="99"/>
    <w:semiHidden/>
    <w:rsid w:val="001A05EC"/>
    <w:pPr>
      <w:spacing w:after="0" w:line="240" w:lineRule="auto"/>
    </w:pPr>
  </w:style>
  <w:style w:type="paragraph" w:styleId="Buborkszveg">
    <w:name w:val="Balloon Text"/>
    <w:basedOn w:val="Norml"/>
    <w:link w:val="BuborkszvegChar"/>
    <w:uiPriority w:val="99"/>
    <w:semiHidden/>
    <w:unhideWhenUsed/>
    <w:rsid w:val="00BB760F"/>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B760F"/>
    <w:rPr>
      <w:rFonts w:ascii="Segoe UI" w:hAnsi="Segoe UI" w:cs="Segoe UI"/>
      <w:sz w:val="18"/>
      <w:szCs w:val="18"/>
    </w:rPr>
  </w:style>
  <w:style w:type="paragraph" w:styleId="lfej">
    <w:name w:val="header"/>
    <w:basedOn w:val="Norml"/>
    <w:link w:val="lfejChar"/>
    <w:uiPriority w:val="99"/>
    <w:unhideWhenUsed/>
    <w:rsid w:val="00FB5C04"/>
    <w:pPr>
      <w:tabs>
        <w:tab w:val="center" w:pos="4536"/>
        <w:tab w:val="right" w:pos="9072"/>
      </w:tabs>
      <w:spacing w:after="0" w:line="240" w:lineRule="auto"/>
    </w:pPr>
  </w:style>
  <w:style w:type="character" w:customStyle="1" w:styleId="lfejChar">
    <w:name w:val="Élőfej Char"/>
    <w:basedOn w:val="Bekezdsalapbettpusa"/>
    <w:link w:val="lfej"/>
    <w:uiPriority w:val="99"/>
    <w:rsid w:val="00FB5C04"/>
  </w:style>
  <w:style w:type="paragraph" w:styleId="llb">
    <w:name w:val="footer"/>
    <w:basedOn w:val="Norml"/>
    <w:link w:val="llbChar"/>
    <w:uiPriority w:val="99"/>
    <w:unhideWhenUsed/>
    <w:rsid w:val="00FB5C04"/>
    <w:pPr>
      <w:tabs>
        <w:tab w:val="center" w:pos="4536"/>
        <w:tab w:val="right" w:pos="9072"/>
      </w:tabs>
      <w:spacing w:after="0" w:line="240" w:lineRule="auto"/>
    </w:pPr>
  </w:style>
  <w:style w:type="character" w:customStyle="1" w:styleId="llbChar">
    <w:name w:val="Élőláb Char"/>
    <w:basedOn w:val="Bekezdsalapbettpusa"/>
    <w:link w:val="llb"/>
    <w:uiPriority w:val="99"/>
    <w:rsid w:val="00FB5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825802">
      <w:bodyDiv w:val="1"/>
      <w:marLeft w:val="0"/>
      <w:marRight w:val="0"/>
      <w:marTop w:val="0"/>
      <w:marBottom w:val="0"/>
      <w:divBdr>
        <w:top w:val="none" w:sz="0" w:space="0" w:color="auto"/>
        <w:left w:val="none" w:sz="0" w:space="0" w:color="auto"/>
        <w:bottom w:val="none" w:sz="0" w:space="0" w:color="auto"/>
        <w:right w:val="none" w:sz="0" w:space="0" w:color="auto"/>
      </w:divBdr>
    </w:div>
    <w:div w:id="893008862">
      <w:bodyDiv w:val="1"/>
      <w:marLeft w:val="0"/>
      <w:marRight w:val="0"/>
      <w:marTop w:val="0"/>
      <w:marBottom w:val="0"/>
      <w:divBdr>
        <w:top w:val="none" w:sz="0" w:space="0" w:color="auto"/>
        <w:left w:val="none" w:sz="0" w:space="0" w:color="auto"/>
        <w:bottom w:val="none" w:sz="0" w:space="0" w:color="auto"/>
        <w:right w:val="none" w:sz="0" w:space="0" w:color="auto"/>
      </w:divBdr>
    </w:div>
    <w:div w:id="213701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2839</Words>
  <Characters>19593</Characters>
  <Application>Microsoft Office Word</Application>
  <DocSecurity>0</DocSecurity>
  <Lines>163</Lines>
  <Paragraphs>44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Viatris HU Affiliate</dc:creator>
  <cp:keywords/>
  <dc:description/>
  <cp:lastModifiedBy>HU_OGYI_50.1</cp:lastModifiedBy>
  <cp:revision>2</cp:revision>
  <dcterms:created xsi:type="dcterms:W3CDTF">2026-07-03T10:31:00Z</dcterms:created>
  <dcterms:modified xsi:type="dcterms:W3CDTF">2026-07-03T10:31:00Z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6ee2b5-6f31-444f-a952-51f9d8d772b6_Enabled">
    <vt:lpwstr>true</vt:lpwstr>
  </property>
  <property fmtid="{D5CDD505-2E9C-101B-9397-08002B2CF9AE}" pid="3" name="MSIP_Label_d56ee2b5-6f31-444f-a952-51f9d8d772b6_SetDate">
    <vt:lpwstr>2025-08-19T14:59:43Z</vt:lpwstr>
  </property>
  <property fmtid="{D5CDD505-2E9C-101B-9397-08002B2CF9AE}" pid="4" name="MSIP_Label_d56ee2b5-6f31-444f-a952-51f9d8d772b6_Method">
    <vt:lpwstr>Privileged</vt:lpwstr>
  </property>
  <property fmtid="{D5CDD505-2E9C-101B-9397-08002B2CF9AE}" pid="5" name="MSIP_Label_d56ee2b5-6f31-444f-a952-51f9d8d772b6_Name">
    <vt:lpwstr>Confidential</vt:lpwstr>
  </property>
  <property fmtid="{D5CDD505-2E9C-101B-9397-08002B2CF9AE}" pid="6" name="MSIP_Label_d56ee2b5-6f31-444f-a952-51f9d8d772b6_SiteId">
    <vt:lpwstr>b7dcea4e-d150-4ba1-8b2a-c8b27a75525c</vt:lpwstr>
  </property>
  <property fmtid="{D5CDD505-2E9C-101B-9397-08002B2CF9AE}" pid="7" name="MSIP_Label_d56ee2b5-6f31-444f-a952-51f9d8d772b6_ActionId">
    <vt:lpwstr>3de84592-0f71-48ed-812a-014dc10d5976</vt:lpwstr>
  </property>
  <property fmtid="{D5CDD505-2E9C-101B-9397-08002B2CF9AE}" pid="8" name="MSIP_Label_d56ee2b5-6f31-444f-a952-51f9d8d772b6_ContentBits">
    <vt:lpwstr>0</vt:lpwstr>
  </property>
</Properties>
</file>