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0D842" w14:textId="77777777" w:rsidR="00F45C51" w:rsidRPr="00F06234" w:rsidRDefault="00F45C51" w:rsidP="00082A8E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</w:p>
    <w:p w14:paraId="70353849" w14:textId="35A8625C" w:rsidR="00F45C51" w:rsidRDefault="00D05999" w:rsidP="00082A8E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4"/>
          <w:lang w:val="en-US"/>
        </w:rPr>
      </w:pPr>
      <w:r w:rsidRPr="00F06234">
        <w:rPr>
          <w:b/>
          <w:noProof/>
          <w:szCs w:val="24"/>
          <w:lang w:val="en-US"/>
        </w:rPr>
        <w:t>Betegtájékoztató: Információk a beteg</w:t>
      </w:r>
      <w:r w:rsidR="000F31E9">
        <w:rPr>
          <w:b/>
          <w:noProof/>
          <w:szCs w:val="24"/>
          <w:lang w:val="en-US"/>
        </w:rPr>
        <w:t xml:space="preserve"> </w:t>
      </w:r>
      <w:r w:rsidRPr="00F06234">
        <w:rPr>
          <w:b/>
          <w:noProof/>
          <w:szCs w:val="24"/>
          <w:lang w:val="en-US"/>
        </w:rPr>
        <w:t>számára</w:t>
      </w:r>
    </w:p>
    <w:p w14:paraId="17DF1B1C" w14:textId="77777777" w:rsidR="000F31E9" w:rsidRPr="00F06234" w:rsidRDefault="000F31E9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</w:p>
    <w:p w14:paraId="38DF5A6B" w14:textId="65072584" w:rsidR="000F31E9" w:rsidRPr="000F31E9" w:rsidRDefault="00881A95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b/>
          <w:bCs/>
          <w:snapToGrid/>
          <w:szCs w:val="22"/>
          <w:lang w:val="en-US" w:eastAsia="en-GB"/>
        </w:rPr>
      </w:pPr>
      <w:r>
        <w:rPr>
          <w:rFonts w:eastAsia="TimesNewRoman,Bold"/>
          <w:b/>
          <w:bCs/>
          <w:snapToGrid/>
          <w:szCs w:val="22"/>
          <w:lang w:val="en-US" w:eastAsia="en-GB"/>
        </w:rPr>
        <w:t>Dapagliflozin/Metformin PharmaPath</w:t>
      </w:r>
      <w:r w:rsidR="00A370C7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5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/850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filmtabletta</w:t>
      </w:r>
    </w:p>
    <w:p w14:paraId="6B9C8BB7" w14:textId="0252F1E3" w:rsidR="000F31E9" w:rsidRDefault="00881A95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b/>
          <w:bCs/>
          <w:snapToGrid/>
          <w:szCs w:val="22"/>
          <w:lang w:val="en-US" w:eastAsia="en-GB"/>
        </w:rPr>
      </w:pPr>
      <w:r>
        <w:rPr>
          <w:rFonts w:eastAsia="TimesNewRoman,Bold"/>
          <w:b/>
          <w:bCs/>
          <w:snapToGrid/>
          <w:szCs w:val="22"/>
          <w:lang w:val="en-US" w:eastAsia="en-GB"/>
        </w:rPr>
        <w:t>Dapagliflozin/Metformin PharmaPath</w:t>
      </w:r>
      <w:r w:rsidR="00A370C7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5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>/1000</w:t>
      </w:r>
      <w:r w:rsidR="00777B82">
        <w:rPr>
          <w:rFonts w:eastAsia="TimesNewRoman,Bold"/>
          <w:b/>
          <w:bCs/>
          <w:snapToGrid/>
          <w:szCs w:val="22"/>
          <w:lang w:val="en-US" w:eastAsia="en-GB"/>
        </w:rPr>
        <w:t> mg</w:t>
      </w:r>
      <w:r w:rsidR="000F31E9" w:rsidRPr="000F31E9">
        <w:rPr>
          <w:rFonts w:eastAsia="TimesNewRoman,Bold"/>
          <w:b/>
          <w:bCs/>
          <w:snapToGrid/>
          <w:szCs w:val="22"/>
          <w:lang w:val="en-US" w:eastAsia="en-GB"/>
        </w:rPr>
        <w:t xml:space="preserve"> filmtabletta</w:t>
      </w:r>
    </w:p>
    <w:p w14:paraId="6D85BCBB" w14:textId="77777777" w:rsidR="00564572" w:rsidRPr="00564572" w:rsidRDefault="00564572" w:rsidP="000F31E9">
      <w:pPr>
        <w:tabs>
          <w:tab w:val="clear" w:pos="567"/>
        </w:tabs>
        <w:autoSpaceDE w:val="0"/>
        <w:autoSpaceDN w:val="0"/>
        <w:adjustRightInd w:val="0"/>
        <w:spacing w:line="240" w:lineRule="auto"/>
        <w:jc w:val="center"/>
        <w:rPr>
          <w:rFonts w:eastAsia="TimesNewRoman,Bold"/>
          <w:snapToGrid/>
          <w:szCs w:val="22"/>
          <w:lang w:val="en-US" w:eastAsia="en-GB"/>
        </w:rPr>
      </w:pPr>
    </w:p>
    <w:p w14:paraId="44BD4054" w14:textId="6FA8EB4E" w:rsidR="00F45C51" w:rsidRPr="000F31E9" w:rsidRDefault="000F31E9" w:rsidP="000F31E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  <w:r w:rsidRPr="000F31E9">
        <w:rPr>
          <w:rFonts w:eastAsia="TimesNewRoman,Bold"/>
          <w:snapToGrid/>
          <w:szCs w:val="22"/>
          <w:lang w:val="en-US" w:eastAsia="en-GB"/>
        </w:rPr>
        <w:t>dapagliflozin/metformin-hidroklorid</w:t>
      </w:r>
    </w:p>
    <w:p w14:paraId="50D4A3EB" w14:textId="77777777" w:rsidR="00F45C51" w:rsidRPr="00F06234" w:rsidRDefault="00F45C51" w:rsidP="00B311B8">
      <w:pPr>
        <w:tabs>
          <w:tab w:val="clear" w:pos="567"/>
        </w:tabs>
        <w:spacing w:line="240" w:lineRule="auto"/>
        <w:rPr>
          <w:lang w:val="en-US"/>
        </w:rPr>
      </w:pPr>
    </w:p>
    <w:p w14:paraId="248A9581" w14:textId="770B2017" w:rsidR="00F45C51" w:rsidRPr="00F06234" w:rsidRDefault="00111AC4" w:rsidP="00082A8E">
      <w:pPr>
        <w:spacing w:line="240" w:lineRule="auto"/>
        <w:rPr>
          <w:b/>
          <w:lang w:val="hu-HU"/>
        </w:rPr>
      </w:pPr>
      <w:r w:rsidRPr="00F06234">
        <w:rPr>
          <w:b/>
          <w:lang w:val="hu-HU"/>
        </w:rPr>
        <w:t>Mielőtt elkezd</w:t>
      </w:r>
      <w:r w:rsidR="00127C1D" w:rsidRPr="00F06234">
        <w:rPr>
          <w:b/>
          <w:lang w:val="hu-HU"/>
        </w:rPr>
        <w:t>i</w:t>
      </w:r>
      <w:r w:rsidRPr="00F06234">
        <w:rPr>
          <w:b/>
          <w:lang w:val="hu-HU"/>
        </w:rPr>
        <w:t xml:space="preserve"> szedni ezt a gyógyszert, olvassa el figyelmesen az alábbi </w:t>
      </w:r>
      <w:r w:rsidRPr="00F06234">
        <w:rPr>
          <w:b/>
          <w:noProof/>
          <w:szCs w:val="24"/>
          <w:lang w:val="hu-HU"/>
        </w:rPr>
        <w:t xml:space="preserve">betegtájékoztatót, </w:t>
      </w:r>
      <w:r w:rsidR="00F172C9" w:rsidRPr="00F06234">
        <w:rPr>
          <w:b/>
          <w:noProof/>
          <w:szCs w:val="24"/>
          <w:lang w:val="hu-HU"/>
        </w:rPr>
        <w:t>me</w:t>
      </w:r>
      <w:r w:rsidR="000C1738" w:rsidRPr="00F06234">
        <w:rPr>
          <w:b/>
          <w:noProof/>
          <w:szCs w:val="24"/>
          <w:lang w:val="hu-HU"/>
        </w:rPr>
        <w:t>rt</w:t>
      </w:r>
      <w:r w:rsidR="00C66261" w:rsidRPr="00F06234">
        <w:rPr>
          <w:b/>
          <w:noProof/>
          <w:szCs w:val="24"/>
          <w:lang w:val="hu-HU"/>
        </w:rPr>
        <w:t xml:space="preserve"> </w:t>
      </w:r>
      <w:r w:rsidRPr="00F06234">
        <w:rPr>
          <w:b/>
          <w:noProof/>
          <w:szCs w:val="24"/>
          <w:lang w:val="hu-HU"/>
        </w:rPr>
        <w:t>az Ön számára</w:t>
      </w:r>
      <w:r w:rsidR="00F172C9" w:rsidRPr="00F06234">
        <w:rPr>
          <w:b/>
          <w:noProof/>
          <w:szCs w:val="24"/>
          <w:lang w:val="hu-HU"/>
        </w:rPr>
        <w:t xml:space="preserve"> fontos információkat tartalmaz</w:t>
      </w:r>
      <w:r w:rsidRPr="00F06234">
        <w:rPr>
          <w:b/>
          <w:lang w:val="hu-HU"/>
        </w:rPr>
        <w:t>.</w:t>
      </w:r>
    </w:p>
    <w:p w14:paraId="7396468F" w14:textId="77777777" w:rsidR="00F45C51" w:rsidRPr="00F06234" w:rsidRDefault="00D05999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Tartsa meg a betegtájékoztatót, mert a benne szereplő információkra a </w:t>
      </w:r>
      <w:r w:rsidRPr="00F06234">
        <w:rPr>
          <w:noProof/>
          <w:szCs w:val="24"/>
          <w:lang w:val="hu-HU"/>
        </w:rPr>
        <w:t>későbbiekben</w:t>
      </w:r>
      <w:r w:rsidRPr="00F06234">
        <w:rPr>
          <w:lang w:val="hu-HU"/>
        </w:rPr>
        <w:t xml:space="preserve"> is szüksége lehet.</w:t>
      </w:r>
    </w:p>
    <w:p w14:paraId="671DCDD7" w14:textId="44746C75" w:rsidR="00F45C51" w:rsidRPr="00F06234" w:rsidRDefault="00D05999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További kérdéseivel forduljon </w:t>
      </w:r>
      <w:r w:rsidRPr="00F06234">
        <w:rPr>
          <w:noProof/>
          <w:szCs w:val="24"/>
          <w:lang w:val="hu-HU"/>
        </w:rPr>
        <w:t>kezelőorvosához</w:t>
      </w:r>
      <w:r w:rsidR="000F31E9">
        <w:rPr>
          <w:noProof/>
          <w:szCs w:val="24"/>
          <w:lang w:val="hu-HU"/>
        </w:rPr>
        <w:t xml:space="preserve">, </w:t>
      </w:r>
      <w:r w:rsidRPr="00F06234">
        <w:rPr>
          <w:lang w:val="hu-HU"/>
        </w:rPr>
        <w:t>gyógyszerészéhez</w:t>
      </w:r>
      <w:r w:rsidR="000F31E9">
        <w:rPr>
          <w:noProof/>
          <w:szCs w:val="24"/>
          <w:lang w:val="hu-HU"/>
        </w:rPr>
        <w:t xml:space="preserve"> </w:t>
      </w:r>
      <w:r w:rsidR="000C1738" w:rsidRPr="00F06234">
        <w:rPr>
          <w:lang w:val="hu-HU"/>
        </w:rPr>
        <w:t>vagy a gondozását végző egészségügyi szakemberhez</w:t>
      </w:r>
      <w:r w:rsidR="000F31E9">
        <w:rPr>
          <w:lang w:val="hu-HU"/>
        </w:rPr>
        <w:t>.</w:t>
      </w:r>
    </w:p>
    <w:p w14:paraId="7D6E8E8A" w14:textId="3E13D04E" w:rsidR="00F45C51" w:rsidRPr="00F06234" w:rsidRDefault="00D05999" w:rsidP="00082A8E">
      <w:pPr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>-</w:t>
      </w:r>
      <w:r w:rsidRPr="00F06234">
        <w:rPr>
          <w:lang w:val="hu-HU"/>
        </w:rPr>
        <w:tab/>
      </w:r>
      <w:r w:rsidR="00111AC4" w:rsidRPr="00F06234">
        <w:rPr>
          <w:lang w:val="hu-HU"/>
        </w:rPr>
        <w:t>Ezt a gyógyszert az orvos</w:t>
      </w:r>
      <w:r w:rsidR="00111AC4" w:rsidRPr="00F06234">
        <w:rPr>
          <w:noProof/>
          <w:szCs w:val="24"/>
          <w:lang w:val="hu-HU"/>
        </w:rPr>
        <w:t xml:space="preserve"> kizárólag</w:t>
      </w:r>
      <w:r w:rsidR="00111AC4" w:rsidRPr="00F06234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F06234">
        <w:rPr>
          <w:noProof/>
          <w:szCs w:val="24"/>
          <w:lang w:val="hu-HU"/>
        </w:rPr>
        <w:t>a betegség</w:t>
      </w:r>
      <w:r w:rsidR="00C66261" w:rsidRPr="00F06234">
        <w:rPr>
          <w:noProof/>
          <w:szCs w:val="24"/>
          <w:lang w:val="hu-HU"/>
        </w:rPr>
        <w:t>e</w:t>
      </w:r>
      <w:r w:rsidR="00111AC4" w:rsidRPr="00F06234">
        <w:rPr>
          <w:noProof/>
          <w:szCs w:val="24"/>
          <w:lang w:val="hu-HU"/>
        </w:rPr>
        <w:t xml:space="preserve"> </w:t>
      </w:r>
      <w:r w:rsidR="00C66261" w:rsidRPr="00F06234">
        <w:rPr>
          <w:lang w:val="hu-HU"/>
        </w:rPr>
        <w:t xml:space="preserve">tünetei </w:t>
      </w:r>
      <w:r w:rsidR="00111AC4" w:rsidRPr="00F06234">
        <w:rPr>
          <w:lang w:val="hu-HU"/>
        </w:rPr>
        <w:t>az Önéhez hasonlóak.</w:t>
      </w:r>
    </w:p>
    <w:p w14:paraId="155F3162" w14:textId="33DA37F7" w:rsidR="000C1738" w:rsidRPr="00F06234" w:rsidRDefault="00D05999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F06234">
        <w:rPr>
          <w:lang w:val="hu-HU"/>
        </w:rPr>
        <w:t xml:space="preserve">Ha </w:t>
      </w:r>
      <w:r w:rsidRPr="00F06234">
        <w:rPr>
          <w:noProof/>
          <w:szCs w:val="24"/>
          <w:lang w:val="hu-HU"/>
        </w:rPr>
        <w:t>Önnél bármilyen</w:t>
      </w:r>
      <w:r w:rsidRPr="00F06234">
        <w:rPr>
          <w:lang w:val="hu-HU"/>
        </w:rPr>
        <w:t xml:space="preserve"> mellékhatás </w:t>
      </w:r>
      <w:r w:rsidRPr="00F06234">
        <w:rPr>
          <w:noProof/>
          <w:szCs w:val="24"/>
          <w:lang w:val="hu-HU"/>
        </w:rPr>
        <w:t xml:space="preserve">jelentkezik, tájékoztassa erről </w:t>
      </w:r>
      <w:r w:rsidR="006E375F">
        <w:rPr>
          <w:noProof/>
          <w:szCs w:val="24"/>
          <w:lang w:val="hu-HU"/>
        </w:rPr>
        <w:t>kezelőorvosát</w:t>
      </w:r>
      <w:r w:rsidR="006431C7">
        <w:rPr>
          <w:noProof/>
          <w:szCs w:val="24"/>
          <w:lang w:val="hu-HU"/>
        </w:rPr>
        <w:t xml:space="preserve"> vagy</w:t>
      </w:r>
      <w:r w:rsidR="006E375F">
        <w:rPr>
          <w:noProof/>
          <w:szCs w:val="24"/>
          <w:lang w:val="hu-HU"/>
        </w:rPr>
        <w:t xml:space="preserve"> </w:t>
      </w:r>
      <w:r w:rsidRPr="00F06234">
        <w:rPr>
          <w:noProof/>
          <w:szCs w:val="24"/>
          <w:lang w:val="hu-HU"/>
        </w:rPr>
        <w:t>gyógyszerészét</w:t>
      </w:r>
      <w:r w:rsidR="006E375F">
        <w:rPr>
          <w:lang w:val="hu-HU"/>
        </w:rPr>
        <w:t>.</w:t>
      </w:r>
    </w:p>
    <w:p w14:paraId="7FF629C8" w14:textId="169604F2" w:rsidR="00F45C51" w:rsidRPr="00F06234" w:rsidRDefault="00D05999" w:rsidP="00082A8E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F06234">
        <w:rPr>
          <w:noProof/>
          <w:szCs w:val="24"/>
          <w:lang w:val="hu-HU"/>
        </w:rPr>
        <w:t>Ez</w:t>
      </w:r>
      <w:r w:rsidRPr="00F06234">
        <w:rPr>
          <w:lang w:val="hu-HU"/>
        </w:rPr>
        <w:t xml:space="preserve"> a betegtájékoztatóban </w:t>
      </w:r>
      <w:r w:rsidRPr="00F06234">
        <w:rPr>
          <w:noProof/>
          <w:szCs w:val="24"/>
          <w:lang w:val="hu-HU"/>
        </w:rPr>
        <w:t>fel nem sorolt bármilyen lehetséges mellékhatásra is vonatkozik.</w:t>
      </w:r>
      <w:r w:rsidR="000C1738" w:rsidRPr="00F06234">
        <w:rPr>
          <w:lang w:val="hu-HU"/>
        </w:rPr>
        <w:t xml:space="preserve"> Lásd 4. pont</w:t>
      </w:r>
      <w:r w:rsidR="00905D16" w:rsidRPr="00F06234">
        <w:rPr>
          <w:lang w:val="hu-HU"/>
        </w:rPr>
        <w:t>.</w:t>
      </w:r>
    </w:p>
    <w:p w14:paraId="3BBBF06E" w14:textId="77777777" w:rsidR="00F45C51" w:rsidRPr="00F06234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340375FE" w14:textId="77777777" w:rsidR="00F45C51" w:rsidRPr="00564572" w:rsidRDefault="00D05999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64572">
        <w:rPr>
          <w:rFonts w:eastAsia="Times New Roman"/>
          <w:b/>
          <w:snapToGrid/>
          <w:lang w:val="hu-HU" w:eastAsia="en-US"/>
        </w:rPr>
        <w:t>A betegtájékoztató tartalma:</w:t>
      </w:r>
    </w:p>
    <w:p w14:paraId="03D25670" w14:textId="77777777" w:rsidR="00FD7383" w:rsidRPr="00564572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374AACE7" w14:textId="5E3B9713" w:rsidR="00F45C51" w:rsidRPr="00564572" w:rsidRDefault="00D05999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 xml:space="preserve">Milyen típusú gyógyszer a </w:t>
      </w:r>
      <w:r w:rsidR="00881A95">
        <w:rPr>
          <w:lang w:val="hu-HU"/>
        </w:rPr>
        <w:t>Dapagliflozin/Metformin PharmaPath</w:t>
      </w:r>
      <w:r w:rsidR="00882E27">
        <w:rPr>
          <w:lang w:val="hu-HU"/>
        </w:rPr>
        <w:t xml:space="preserve"> filmtabletta (továbbiakban </w:t>
      </w:r>
      <w:r w:rsidR="00881A95">
        <w:rPr>
          <w:lang w:val="hu-HU"/>
        </w:rPr>
        <w:t>Dapagliflozin/Metformin PharmaPath</w:t>
      </w:r>
      <w:r w:rsidR="00882E27">
        <w:rPr>
          <w:lang w:val="hu-HU"/>
        </w:rPr>
        <w:t>)</w:t>
      </w:r>
      <w:r w:rsidRPr="00564572">
        <w:rPr>
          <w:lang w:val="hu-HU"/>
        </w:rPr>
        <w:t xml:space="preserve"> és milyen betegségek esetén alkalmazható?</w:t>
      </w:r>
    </w:p>
    <w:p w14:paraId="46D7E5D2" w14:textId="68D56076" w:rsidR="00F45C51" w:rsidRPr="00564572" w:rsidRDefault="00D05999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 xml:space="preserve">Tudnivalók a </w:t>
      </w:r>
      <w:r w:rsidR="00881A95">
        <w:rPr>
          <w:lang w:val="hu-HU"/>
        </w:rPr>
        <w:t>Dapagliflozin/Metformin PharmaPath</w:t>
      </w:r>
      <w:r w:rsidRPr="00564572">
        <w:rPr>
          <w:lang w:val="hu-HU"/>
        </w:rPr>
        <w:t xml:space="preserve"> szedése előtt</w:t>
      </w:r>
    </w:p>
    <w:p w14:paraId="63988333" w14:textId="76954561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3.</w:t>
      </w:r>
      <w:r w:rsidRPr="00564572">
        <w:rPr>
          <w:lang w:val="hu-HU"/>
        </w:rPr>
        <w:tab/>
        <w:t>Hogyan kell szedni</w:t>
      </w:r>
      <w:r w:rsidR="006F6DDD" w:rsidRPr="00564572">
        <w:rPr>
          <w:lang w:val="hu-HU"/>
        </w:rPr>
        <w:t xml:space="preserve"> a</w:t>
      </w:r>
      <w:r w:rsidRPr="00564572">
        <w:rPr>
          <w:lang w:val="hu-HU"/>
        </w:rPr>
        <w:t xml:space="preserve"> </w:t>
      </w:r>
      <w:r w:rsidR="00881A95">
        <w:rPr>
          <w:lang w:val="hu-HU"/>
        </w:rPr>
        <w:t>Dapagliflozin/Metformin PharmaPath</w:t>
      </w:r>
      <w:r w:rsidRPr="00564572">
        <w:rPr>
          <w:lang w:val="hu-HU"/>
        </w:rPr>
        <w:t>-t?</w:t>
      </w:r>
    </w:p>
    <w:p w14:paraId="6CEE3A87" w14:textId="77777777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4.</w:t>
      </w:r>
      <w:r w:rsidRPr="00564572">
        <w:rPr>
          <w:lang w:val="hu-HU"/>
        </w:rPr>
        <w:tab/>
        <w:t>Lehetséges mellékhatások</w:t>
      </w:r>
    </w:p>
    <w:p w14:paraId="0A4848AE" w14:textId="50CA3E90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5</w:t>
      </w:r>
      <w:r w:rsidR="008957AC" w:rsidRPr="00564572">
        <w:rPr>
          <w:noProof/>
          <w:szCs w:val="24"/>
          <w:lang w:val="hu-HU"/>
        </w:rPr>
        <w:t>.</w:t>
      </w:r>
      <w:r w:rsidRPr="00564572">
        <w:rPr>
          <w:lang w:val="hu-HU"/>
        </w:rPr>
        <w:tab/>
        <w:t xml:space="preserve">Hogyan kell a </w:t>
      </w:r>
      <w:r w:rsidR="00881A95">
        <w:rPr>
          <w:lang w:val="hu-HU"/>
        </w:rPr>
        <w:t>Dapagliflozin/Metformin PharmaPath</w:t>
      </w:r>
      <w:r w:rsidRPr="00564572">
        <w:rPr>
          <w:lang w:val="hu-HU"/>
        </w:rPr>
        <w:t>-et tárolni?</w:t>
      </w:r>
    </w:p>
    <w:p w14:paraId="1218E39A" w14:textId="77777777" w:rsidR="00F45C51" w:rsidRPr="00564572" w:rsidRDefault="00D05999" w:rsidP="00082A8E">
      <w:pPr>
        <w:spacing w:line="240" w:lineRule="auto"/>
        <w:ind w:left="567" w:right="-29" w:hanging="567"/>
        <w:rPr>
          <w:lang w:val="hu-HU"/>
        </w:rPr>
      </w:pPr>
      <w:r w:rsidRPr="00564572">
        <w:rPr>
          <w:lang w:val="hu-HU"/>
        </w:rPr>
        <w:t>6.</w:t>
      </w:r>
      <w:r w:rsidRPr="00564572">
        <w:rPr>
          <w:lang w:val="hu-HU"/>
        </w:rPr>
        <w:tab/>
      </w:r>
      <w:r w:rsidRPr="00564572">
        <w:rPr>
          <w:noProof/>
          <w:szCs w:val="24"/>
          <w:lang w:val="hu-HU"/>
        </w:rPr>
        <w:t xml:space="preserve">A csomagolás tartalma és egyéb </w:t>
      </w:r>
      <w:r w:rsidRPr="00564572">
        <w:rPr>
          <w:lang w:val="hu-HU"/>
        </w:rPr>
        <w:t>információk</w:t>
      </w:r>
    </w:p>
    <w:p w14:paraId="5FE03ABF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_tradnl"/>
        </w:rPr>
      </w:pPr>
    </w:p>
    <w:p w14:paraId="383AAD3E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3E150707" w14:textId="15CC5312" w:rsidR="00F45C51" w:rsidRPr="00F06234" w:rsidRDefault="00D05999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es-ES_tradnl"/>
        </w:rPr>
      </w:pPr>
      <w:r w:rsidRPr="00A370C7">
        <w:rPr>
          <w:b/>
          <w:noProof/>
          <w:szCs w:val="24"/>
          <w:lang w:val="es-ES_tradnl"/>
        </w:rPr>
        <w:t xml:space="preserve">Milyen </w:t>
      </w:r>
      <w:r w:rsidRPr="008B1118">
        <w:rPr>
          <w:b/>
          <w:noProof/>
          <w:szCs w:val="24"/>
          <w:lang w:val="hu-HU"/>
        </w:rPr>
        <w:t>típusú</w:t>
      </w:r>
      <w:r w:rsidRPr="008B1118">
        <w:rPr>
          <w:b/>
          <w:lang w:val="hu-HU"/>
        </w:rPr>
        <w:t xml:space="preserve"> gyógyszer </w:t>
      </w:r>
      <w:r w:rsidRPr="008B1118">
        <w:rPr>
          <w:b/>
          <w:noProof/>
          <w:szCs w:val="24"/>
          <w:lang w:val="hu-HU"/>
        </w:rPr>
        <w:t xml:space="preserve">a </w:t>
      </w:r>
      <w:r w:rsidR="00881A95">
        <w:rPr>
          <w:b/>
          <w:lang w:val="hu-HU"/>
        </w:rPr>
        <w:t>Dapagliflozin/Metformin PharmaPath</w:t>
      </w:r>
      <w:r w:rsidR="00A370C7" w:rsidRPr="008B1118">
        <w:rPr>
          <w:b/>
          <w:lang w:val="hu-HU"/>
        </w:rPr>
        <w:t xml:space="preserve"> </w:t>
      </w:r>
      <w:r w:rsidRPr="008B1118">
        <w:rPr>
          <w:b/>
          <w:noProof/>
          <w:szCs w:val="24"/>
          <w:lang w:val="hu-HU"/>
        </w:rPr>
        <w:t>és milyen betegségek esetén</w:t>
      </w:r>
      <w:r w:rsidRPr="008B1118">
        <w:rPr>
          <w:b/>
          <w:lang w:val="hu-HU"/>
        </w:rPr>
        <w:t xml:space="preserve"> alkalmazható</w:t>
      </w:r>
      <w:r w:rsidRPr="008B1118">
        <w:rPr>
          <w:b/>
          <w:noProof/>
          <w:szCs w:val="24"/>
          <w:lang w:val="hu-HU"/>
        </w:rPr>
        <w:t>?</w:t>
      </w:r>
    </w:p>
    <w:p w14:paraId="47BB79C6" w14:textId="77777777" w:rsidR="00F45C51" w:rsidRPr="00F06234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30F8D12E" w14:textId="176E8541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Ez a gyógyszer két különböző hatóanyagot tartalmaz, ezeket dapagliflozinnak és metforminnak hívják. Mindkettő az úgynevezett orális antidiabetikumok, azaz a szájon át szedhető vércukorszint-csökkentő gyógyszerek csoportjába tartozik. Ezek a cukorbetegségre szájon át szedett gyógyszerek.</w:t>
      </w:r>
    </w:p>
    <w:p w14:paraId="03EB8762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E2877CB" w14:textId="20D33235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 xml:space="preserve">A </w:t>
      </w:r>
      <w:r w:rsidR="00881A95">
        <w:rPr>
          <w:lang w:val="hu-HU"/>
        </w:rPr>
        <w:t>Dapagliflozin/Metformin PharmaPath</w:t>
      </w:r>
      <w:r w:rsidRPr="00AC46B7">
        <w:rPr>
          <w:snapToGrid/>
          <w:szCs w:val="22"/>
          <w:lang w:val="hu-HU" w:eastAsia="en-GB"/>
        </w:rPr>
        <w:t>-t felnőtt betegeknél (18 éves</w:t>
      </w:r>
      <w:r w:rsidR="00A80238">
        <w:rPr>
          <w:snapToGrid/>
          <w:szCs w:val="22"/>
          <w:lang w:val="hu-HU" w:eastAsia="en-GB"/>
        </w:rPr>
        <w:t xml:space="preserve"> és idősebb kor</w:t>
      </w:r>
      <w:r w:rsidRPr="00AC46B7">
        <w:rPr>
          <w:snapToGrid/>
          <w:szCs w:val="22"/>
          <w:lang w:val="hu-HU" w:eastAsia="en-GB"/>
        </w:rPr>
        <w:t>) a cukorbetegség egy olyan típusában alkalmazzák, amit „2-es típusú diabétesz”-nek neveznek, és ami rendszerint idősebb korban alakul ki. Ha Önnek 2-es típusú diabétesze van, akkor a hasnyálmirigye nem termel elegendő inzulint, vagy a szervezete nem képes az általa megfelelő mennyiségben termelt inzulint felhasználni. Ez magas vércukorszinthez (glükózszint) vezet.</w:t>
      </w:r>
    </w:p>
    <w:p w14:paraId="30A22C11" w14:textId="36B03CCD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A dapagliflozin úgy hat, hogy a vizeletén keresztül távolítja el a szervezetében lévő, felesleges mennyiségű cukrot, és csökkenti a vérében lévő cukor mennyiségét. Ez a gyógyszer segíthet megelőzni a szívbetegséget is.</w:t>
      </w:r>
    </w:p>
    <w:p w14:paraId="4BA24093" w14:textId="4107C2F6" w:rsidR="00F45C51" w:rsidRPr="00AC46B7" w:rsidRDefault="00AC46B7" w:rsidP="00AC46B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C46B7">
        <w:rPr>
          <w:snapToGrid/>
          <w:szCs w:val="22"/>
          <w:lang w:val="hu-HU" w:eastAsia="en-GB"/>
        </w:rPr>
        <w:t>A metformin főként úgy hat, hogy gátolja a májban a cukortermelést.</w:t>
      </w:r>
    </w:p>
    <w:p w14:paraId="2A94194D" w14:textId="77777777" w:rsidR="00C9380B" w:rsidRPr="00FE53B7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5C3DBF4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A cukorbetegség kezelése:</w:t>
      </w:r>
    </w:p>
    <w:p w14:paraId="25DA19DA" w14:textId="0B497FDC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Ezt a gyógyszert a diéta és a testmozgás mellett szedik.</w:t>
      </w:r>
    </w:p>
    <w:p w14:paraId="1BC0EE38" w14:textId="482EB05D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 xml:space="preserve">Ezt a gyógyszert akkor alkalmazzák, ha a cukorbetegség nem </w:t>
      </w:r>
      <w:r w:rsidR="006E375F">
        <w:rPr>
          <w:snapToGrid/>
          <w:szCs w:val="22"/>
          <w:lang w:val="hu-HU" w:eastAsia="en-GB"/>
        </w:rPr>
        <w:t>megfelelően kontrollálható</w:t>
      </w:r>
      <w:r w:rsidRPr="00AC46B7">
        <w:rPr>
          <w:snapToGrid/>
          <w:szCs w:val="22"/>
          <w:lang w:val="hu-HU" w:eastAsia="en-GB"/>
        </w:rPr>
        <w:t xml:space="preserve"> az egyéb,</w:t>
      </w:r>
      <w:r w:rsidR="00634311"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diabéteszben alkalmazott gyógyszerekkel.</w:t>
      </w:r>
    </w:p>
    <w:p w14:paraId="4CBB97FB" w14:textId="7F0C7B62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Kezelőorvosa kérheti Önt, hogy a gyógyszert önmagában vagy más, a cukorbetegség kezelésére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alkalmazott gyógyszerrel együtt szedje. Ez lehet egy másik, szájon át szedett gyógyszer és/vagy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injekcióban adott gyógyszer, mint például az inzulin vagy egy GLP-1-receptor agonista (segítik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növelni az inzulintermelést szervezetében, amikor magas a vércukorszintje).</w:t>
      </w:r>
    </w:p>
    <w:p w14:paraId="0D733CD9" w14:textId="77777777" w:rsidR="00564572" w:rsidRDefault="00564572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BE9A332" w14:textId="04BF0AF3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Ha Ön már dapagliflozint és metformint is szed különálló tabletták formájában, kezelőorvosa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 xml:space="preserve">kérheti Önt, hogy váltson át erre a gyógyszerre. A túladagolás elkerülése érdekében ne folytassa a dapagliflozin és a metformin tabletták szedését, ha a </w:t>
      </w:r>
      <w:r w:rsidR="00881A95">
        <w:rPr>
          <w:lang w:val="hu-HU"/>
        </w:rPr>
        <w:t>Dapagliflozin/Metformin PharmaPath</w:t>
      </w:r>
      <w:r w:rsidRPr="00AC46B7">
        <w:rPr>
          <w:snapToGrid/>
          <w:szCs w:val="22"/>
          <w:lang w:val="hu-HU" w:eastAsia="en-GB"/>
        </w:rPr>
        <w:t>-t szedi.</w:t>
      </w:r>
    </w:p>
    <w:p w14:paraId="17C73A6F" w14:textId="77777777" w:rsidR="00564572" w:rsidRDefault="00564572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63801CDB" w14:textId="18F2056F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Fontos, hogy továbbra is betartsa a kezelőorvosa, a gyógyszerésze vagy a gondozását végző egészségügyi</w:t>
      </w:r>
      <w:r>
        <w:rPr>
          <w:snapToGrid/>
          <w:szCs w:val="22"/>
          <w:lang w:val="hu-HU" w:eastAsia="en-GB"/>
        </w:rPr>
        <w:t xml:space="preserve"> </w:t>
      </w:r>
      <w:r w:rsidRPr="00AC46B7">
        <w:rPr>
          <w:snapToGrid/>
          <w:szCs w:val="22"/>
          <w:lang w:val="hu-HU" w:eastAsia="en-GB"/>
        </w:rPr>
        <w:t>szakember által adott, a diétára és a testmozgásra vonatkozó tanácsokat.</w:t>
      </w:r>
    </w:p>
    <w:p w14:paraId="68C8246F" w14:textId="77777777" w:rsidR="00AC46B7" w:rsidRDefault="00AC46B7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D4D5A5D" w14:textId="77777777" w:rsidR="00AC46B7" w:rsidRPr="00AC46B7" w:rsidRDefault="00AC46B7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0E9B66E8" w14:textId="01D55399" w:rsidR="00F45C51" w:rsidRPr="00A370C7" w:rsidRDefault="00D05999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370C7">
        <w:rPr>
          <w:b/>
          <w:noProof/>
          <w:szCs w:val="24"/>
          <w:lang w:val="hu-HU"/>
        </w:rPr>
        <w:t xml:space="preserve">Tudnivalók a </w:t>
      </w:r>
      <w:r w:rsidR="00881A95">
        <w:rPr>
          <w:b/>
          <w:lang w:val="hu-HU"/>
        </w:rPr>
        <w:t>Dapagliflozin/Metformin PharmaPath</w:t>
      </w:r>
      <w:r w:rsidR="00A370C7" w:rsidRPr="00A370C7">
        <w:rPr>
          <w:b/>
          <w:lang w:val="hu-HU"/>
        </w:rPr>
        <w:t xml:space="preserve"> </w:t>
      </w:r>
      <w:r w:rsidRPr="00A370C7">
        <w:rPr>
          <w:b/>
          <w:noProof/>
          <w:szCs w:val="24"/>
          <w:lang w:val="hu-HU"/>
        </w:rPr>
        <w:t>szedése előtt</w:t>
      </w:r>
    </w:p>
    <w:p w14:paraId="7AC79424" w14:textId="77777777" w:rsidR="00F45C51" w:rsidRPr="00FE53B7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0829A88A" w14:textId="1CD9B70F" w:rsidR="00AC46B7" w:rsidRPr="00A370C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Ne szedje a </w:t>
      </w:r>
      <w:r w:rsidR="00881A95">
        <w:rPr>
          <w:b/>
          <w:bCs/>
          <w:lang w:val="hu-HU"/>
        </w:rPr>
        <w:t>Dapagliflozin/Metformin PharmaPath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</w:t>
      </w:r>
    </w:p>
    <w:p w14:paraId="6DFF84FA" w14:textId="3A27BF36" w:rsidR="00AC46B7" w:rsidRPr="00AC46B7" w:rsidRDefault="00AC46B7" w:rsidP="00AC46B7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allergiás a dapagliflozinra, a metforminra vagy a gyógyszer (6. pontban felsorolt) egyéb összetevőjére.</w:t>
      </w:r>
    </w:p>
    <w:p w14:paraId="7E9D60D4" w14:textId="1A6948C2" w:rsidR="00AC46B7" w:rsidRPr="00AC46B7" w:rsidRDefault="00AC46B7" w:rsidP="00AC46B7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valaha diabéteszes kómája volt.</w:t>
      </w:r>
    </w:p>
    <w:p w14:paraId="75A477E5" w14:textId="1D3BFA83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 xml:space="preserve">ha nem </w:t>
      </w:r>
      <w:r w:rsidR="00DC5D25">
        <w:rPr>
          <w:rFonts w:eastAsia="TimesNewRoman,Bold"/>
          <w:snapToGrid/>
          <w:szCs w:val="22"/>
          <w:lang w:val="hu-HU" w:eastAsia="en-GB"/>
        </w:rPr>
        <w:t xml:space="preserve">megfelelően </w:t>
      </w:r>
      <w:r w:rsidRPr="00AC46B7">
        <w:rPr>
          <w:rFonts w:eastAsia="TimesNewRoman,Bold"/>
          <w:snapToGrid/>
          <w:szCs w:val="22"/>
          <w:lang w:val="hu-HU" w:eastAsia="en-GB"/>
        </w:rPr>
        <w:t>beállított diabétesze (cukorbetegsége) van, amely például súlyos hiperglikémiával (magas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vércukorszinttel), hányingerrel, hányással, hasmenéssel, gyors súlyvesztéssel, laktátacidózissal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(tejsavas acidózissal) </w:t>
      </w:r>
      <w:r w:rsidR="00DC5D25">
        <w:rPr>
          <w:rFonts w:eastAsia="TimesNewRoman,Bold"/>
          <w:snapToGrid/>
          <w:szCs w:val="22"/>
          <w:lang w:val="hu-HU" w:eastAsia="en-GB"/>
        </w:rPr>
        <w:t>(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lásd „A laktátacidózis </w:t>
      </w:r>
      <w:r w:rsidR="00DC5D25">
        <w:rPr>
          <w:rFonts w:eastAsia="TimesNewRoman,Bold"/>
          <w:snapToGrid/>
          <w:szCs w:val="22"/>
          <w:lang w:val="hu-HU" w:eastAsia="en-GB"/>
        </w:rPr>
        <w:t>[</w:t>
      </w:r>
      <w:r w:rsidRPr="00AC46B7">
        <w:rPr>
          <w:rFonts w:eastAsia="TimesNewRoman,Bold"/>
          <w:snapToGrid/>
          <w:szCs w:val="22"/>
          <w:lang w:val="hu-HU" w:eastAsia="en-GB"/>
        </w:rPr>
        <w:t>tejsavas acidózis</w:t>
      </w:r>
      <w:r w:rsidR="00DC5D25">
        <w:rPr>
          <w:rFonts w:eastAsia="TimesNewRoman,Bold"/>
          <w:snapToGrid/>
          <w:szCs w:val="22"/>
          <w:lang w:val="hu-HU" w:eastAsia="en-GB"/>
        </w:rPr>
        <w:t>]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 kockázata” című részt</w:t>
      </w:r>
      <w:r w:rsidR="00DC5D25">
        <w:rPr>
          <w:rFonts w:eastAsia="TimesNewRoman,Bold"/>
          <w:snapToGrid/>
          <w:szCs w:val="22"/>
          <w:lang w:val="hu-HU" w:eastAsia="en-GB"/>
        </w:rPr>
        <w:t>)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 vagy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ketoacidózissal jár. A ketoacidózis lényege, hogy a ketontesteknek nevezett anyagok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felszaporodnak a vérben, ami diabéteszes prekómához (a kómát megelőző állapothoz) vezethet.</w:t>
      </w:r>
    </w:p>
    <w:p w14:paraId="10359FB8" w14:textId="580AE020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Ennek tünetei közé tartozik a hasi fájdalom, a gyors és mély légzés, az aluszékonyság, vagy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szokatlan, gyümölcsös szagú lehelet.</w:t>
      </w:r>
    </w:p>
    <w:p w14:paraId="743D1ED2" w14:textId="6A32A0BF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veseműködése súlyosan csökkent.</w:t>
      </w:r>
    </w:p>
    <w:p w14:paraId="67D45B58" w14:textId="0F7EF9CB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súlyos fertőzése van.</w:t>
      </w:r>
    </w:p>
    <w:p w14:paraId="03CD4445" w14:textId="3E865638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szervezete sok vizet veszített (kiszáradás), például hosszan tartó vagy súlyos hasmenés miatt,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vagy ha egymás után többször hányt.</w:t>
      </w:r>
    </w:p>
    <w:p w14:paraId="22632046" w14:textId="75FE8F5E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nemrégiben szívrohama volt, vagy ha szívelégtelensége vagy súlyos vérkeringési zavara vagy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nehézlégzése van.</w:t>
      </w:r>
    </w:p>
    <w:p w14:paraId="4FD9D51A" w14:textId="06A1C97D" w:rsidR="00AC46B7" w:rsidRPr="00AC46B7" w:rsidRDefault="00AC46B7" w:rsidP="00AC46B7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>ha májbetegségben szenved.</w:t>
      </w:r>
    </w:p>
    <w:p w14:paraId="768D3345" w14:textId="13B39D87" w:rsidR="002D5C1B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Pr="00AC46B7">
        <w:rPr>
          <w:rFonts w:eastAsia="TimesNewRoman,Bold"/>
          <w:snapToGrid/>
          <w:szCs w:val="22"/>
          <w:lang w:val="hu-HU" w:eastAsia="en-GB"/>
        </w:rPr>
        <w:t xml:space="preserve">ha nagy mennyiségű alkoholt iszik (akár minden nap, akár csak alkalmanként) (kérjük, nézze meg </w:t>
      </w:r>
      <w:r w:rsidR="002D5C1B">
        <w:rPr>
          <w:rFonts w:eastAsia="TimesNewRoman,Bold"/>
          <w:snapToGrid/>
          <w:szCs w:val="22"/>
          <w:lang w:val="hu-HU" w:eastAsia="en-GB"/>
        </w:rPr>
        <w:t>„</w:t>
      </w:r>
      <w:r w:rsidR="002D5C1B" w:rsidRPr="002D5C1B">
        <w:rPr>
          <w:rFonts w:eastAsia="TimesNewRoman,Bold"/>
          <w:snapToGrid/>
          <w:szCs w:val="22"/>
          <w:lang w:val="hu-HU" w:eastAsia="en-GB"/>
        </w:rPr>
        <w:t xml:space="preserve">Az alkohol hatása a </w:t>
      </w:r>
      <w:r w:rsidR="00881A95">
        <w:rPr>
          <w:rFonts w:eastAsia="TimesNewRoman,Bold"/>
          <w:snapToGrid/>
          <w:szCs w:val="22"/>
          <w:lang w:val="hu-HU" w:eastAsia="en-GB"/>
        </w:rPr>
        <w:t>Dapagliflozin/Metformin PharmaPath</w:t>
      </w:r>
      <w:r w:rsidR="002D5C1B" w:rsidRPr="002D5C1B">
        <w:rPr>
          <w:rFonts w:eastAsia="TimesNewRoman,Bold"/>
          <w:snapToGrid/>
          <w:szCs w:val="22"/>
          <w:lang w:val="hu-HU" w:eastAsia="en-GB"/>
        </w:rPr>
        <w:t>-ra” részt.</w:t>
      </w:r>
    </w:p>
    <w:p w14:paraId="3EBBEC38" w14:textId="77777777" w:rsidR="002D5C1B" w:rsidRPr="00AC46B7" w:rsidRDefault="002D5C1B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</w:p>
    <w:p w14:paraId="7CA49F62" w14:textId="5166537A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snapToGrid/>
          <w:szCs w:val="22"/>
          <w:lang w:val="hu-HU" w:eastAsia="en-GB"/>
        </w:rPr>
        <w:t>Ne szedje ezt a gyógyszert, ha a fentiek bármelyike vonatkozik Önre.</w:t>
      </w:r>
    </w:p>
    <w:p w14:paraId="1611EF05" w14:textId="77777777" w:rsid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</w:p>
    <w:p w14:paraId="6029D8A8" w14:textId="77777777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C46B7">
        <w:rPr>
          <w:rFonts w:eastAsia="TimesNewRoman,Bold"/>
          <w:b/>
          <w:bCs/>
          <w:snapToGrid/>
          <w:szCs w:val="22"/>
          <w:lang w:val="hu-HU" w:eastAsia="en-GB"/>
        </w:rPr>
        <w:t>Figyelmeztetések és óvintézkedések</w:t>
      </w:r>
    </w:p>
    <w:p w14:paraId="40699580" w14:textId="77777777" w:rsidR="00AC46B7" w:rsidRPr="00564572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u w:val="single"/>
          <w:lang w:val="hu-HU" w:eastAsia="en-GB"/>
        </w:rPr>
      </w:pPr>
      <w:r w:rsidRPr="00564572">
        <w:rPr>
          <w:rFonts w:eastAsia="TimesNewRoman,Bold"/>
          <w:snapToGrid/>
          <w:szCs w:val="22"/>
          <w:u w:val="single"/>
          <w:lang w:val="hu-HU" w:eastAsia="en-GB"/>
        </w:rPr>
        <w:t>A laktátacidózis (tejsavas acidózis) kockázata</w:t>
      </w:r>
    </w:p>
    <w:p w14:paraId="7D8E2A89" w14:textId="0D4ADBDA" w:rsidR="00AC46B7" w:rsidRPr="00AC46B7" w:rsidRDefault="00AC46B7" w:rsidP="00AC46B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 xml:space="preserve">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egy nagyon ritka, de nagyon súlyos mellékhatást, az úgynevezett laktátacidózist (tejsavas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acidózist) okozhat, különösen, ha az Ön veséi nem működnek megfelelően. A laktátacidózis (tejsavas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acidózis) kialakulásának esélye szintén fokozódik nem </w:t>
      </w:r>
      <w:r w:rsidR="00DC5D25">
        <w:rPr>
          <w:rFonts w:eastAsia="TimesNewRoman,Bold"/>
          <w:snapToGrid/>
          <w:szCs w:val="22"/>
          <w:lang w:val="hu-HU" w:eastAsia="en-GB"/>
        </w:rPr>
        <w:t xml:space="preserve">megfelelően </w:t>
      </w:r>
      <w:r w:rsidRPr="00AC46B7">
        <w:rPr>
          <w:rFonts w:eastAsia="TimesNewRoman,Bold"/>
          <w:snapToGrid/>
          <w:szCs w:val="22"/>
          <w:lang w:val="hu-HU" w:eastAsia="en-GB"/>
        </w:rPr>
        <w:t>beállított diabétesz (cukorbetegség), súlyos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fertőzés, tartós éhezés vagy alkoholfogyasztás, dehidratáció (testfolyadékhiány; további tájékoztatást lásd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 xml:space="preserve">alább), májproblémák és minden olyan betegség esetén, amelyben a test egy részének </w:t>
      </w:r>
      <w:r w:rsidR="00DC5D25">
        <w:rPr>
          <w:rFonts w:eastAsia="TimesNewRoman,Bold"/>
          <w:snapToGrid/>
          <w:szCs w:val="22"/>
          <w:lang w:val="hu-HU" w:eastAsia="en-GB"/>
        </w:rPr>
        <w:t>az ox</w:t>
      </w:r>
      <w:r w:rsidRPr="00AC46B7">
        <w:rPr>
          <w:rFonts w:eastAsia="TimesNewRoman,Bold"/>
          <w:snapToGrid/>
          <w:szCs w:val="22"/>
          <w:lang w:val="hu-HU" w:eastAsia="en-GB"/>
        </w:rPr>
        <w:t>igénellátása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AC46B7">
        <w:rPr>
          <w:rFonts w:eastAsia="TimesNewRoman,Bold"/>
          <w:snapToGrid/>
          <w:szCs w:val="22"/>
          <w:lang w:val="hu-HU" w:eastAsia="en-GB"/>
        </w:rPr>
        <w:t>csökken (mint például súlyos akut szívbetegségben).</w:t>
      </w:r>
    </w:p>
    <w:p w14:paraId="2C8DD208" w14:textId="5202CF5E" w:rsidR="00AC46B7" w:rsidRPr="00AC46B7" w:rsidRDefault="00AC46B7" w:rsidP="00AC46B7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AC46B7">
        <w:rPr>
          <w:rFonts w:eastAsia="TimesNewRoman,Bold"/>
          <w:snapToGrid/>
          <w:szCs w:val="22"/>
          <w:lang w:val="hu-HU" w:eastAsia="en-GB"/>
        </w:rPr>
        <w:t>Ha a fentiek közül bármelyik Önre vonatkozik, további utasításért forduljon kezelőorvosához.</w:t>
      </w:r>
    </w:p>
    <w:p w14:paraId="0A1675F2" w14:textId="77777777" w:rsidR="00AC46B7" w:rsidRPr="009F02A4" w:rsidRDefault="00AC46B7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9987CC4" w14:textId="4D448597" w:rsidR="00AC46B7" w:rsidRPr="00564572" w:rsidRDefault="00AC46B7" w:rsidP="009F02A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Rövid ideig hagyja abba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ha olyan betegsége van, amely dehidratációval (jelentős</w:t>
      </w:r>
      <w:r w:rsidR="009F02A4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testfolyadékhiánnyal) járhat, például súlyos hányás, hasmenés, láz vagy hőhatás, vagy ha a szokásosnál</w:t>
      </w:r>
      <w:r w:rsidR="009F02A4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kevesebb folyadékot fogyaszt. További utasításért forduljon kezelőorvosához.</w:t>
      </w:r>
    </w:p>
    <w:p w14:paraId="29C6B940" w14:textId="77777777" w:rsidR="009F02A4" w:rsidRPr="00564572" w:rsidRDefault="009F02A4" w:rsidP="00B311B8">
      <w:pPr>
        <w:spacing w:line="240" w:lineRule="auto"/>
        <w:ind w:right="-2"/>
        <w:rPr>
          <w:noProof/>
          <w:szCs w:val="24"/>
          <w:lang w:val="hu-HU"/>
        </w:rPr>
      </w:pPr>
    </w:p>
    <w:p w14:paraId="3F116C8C" w14:textId="36EABFEC" w:rsidR="009F02A4" w:rsidRPr="007F1CA2" w:rsidRDefault="009F02A4" w:rsidP="009F02A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haladéktalanul forduljon orvoshoz vagy keresse fel a</w:t>
      </w:r>
      <w:r w:rsidR="007F1CA2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legközelebbi kórházat, ha a laktátacidózis (tejsavas acidózis) tünetei közül néhányat tapasztal, mivel</w:t>
      </w:r>
      <w:r w:rsidR="007F1CA2" w:rsidRPr="0056457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az állapot</w:t>
      </w:r>
      <w:r w:rsidRPr="009F02A4">
        <w:rPr>
          <w:rFonts w:eastAsia="TimesNewRoman,Bold"/>
          <w:snapToGrid/>
          <w:szCs w:val="22"/>
          <w:lang w:val="hu-HU" w:eastAsia="en-GB"/>
        </w:rPr>
        <w:t xml:space="preserve"> kómához vezethet.</w:t>
      </w:r>
    </w:p>
    <w:p w14:paraId="10DCD0BB" w14:textId="58423315" w:rsidR="009F02A4" w:rsidRPr="006F6DDD" w:rsidRDefault="009F02A4" w:rsidP="006F6DD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9F02A4">
        <w:rPr>
          <w:rFonts w:eastAsia="TimesNewRoman,Bold"/>
          <w:snapToGrid/>
          <w:szCs w:val="22"/>
          <w:lang w:val="hu-HU" w:eastAsia="en-GB"/>
        </w:rPr>
        <w:t>A laktátacidózis (tejsavas acidózis) tünetei: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rFonts w:eastAsia="TimesNewRoman,Bold"/>
          <w:snapToGrid/>
          <w:szCs w:val="22"/>
          <w:lang w:val="hu-HU" w:eastAsia="en-GB"/>
        </w:rPr>
        <w:t>hányás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rFonts w:eastAsia="TimesNewRoman,Bold"/>
          <w:snapToGrid/>
          <w:szCs w:val="22"/>
          <w:lang w:val="hu-HU" w:eastAsia="en-GB"/>
        </w:rPr>
        <w:t>hasi fájdalom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rFonts w:eastAsia="TimesNewRoman,Bold"/>
          <w:snapToGrid/>
          <w:szCs w:val="22"/>
          <w:lang w:val="hu-HU" w:eastAsia="en-GB"/>
        </w:rPr>
        <w:t>izomgörcsök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súlyos fáradtságérzéssel járó általános rosszullét</w:t>
      </w:r>
      <w:r w:rsidR="006F6DDD">
        <w:rPr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légzési nehézség</w:t>
      </w:r>
      <w:r w:rsidR="006F6DDD">
        <w:rPr>
          <w:snapToGrid/>
          <w:szCs w:val="22"/>
          <w:lang w:val="hu-HU" w:eastAsia="en-GB"/>
        </w:rPr>
        <w:t xml:space="preserve">; </w:t>
      </w:r>
      <w:r w:rsidRPr="00FE53B7">
        <w:rPr>
          <w:snapToGrid/>
          <w:szCs w:val="22"/>
          <w:lang w:val="hu-HU" w:eastAsia="en-GB"/>
        </w:rPr>
        <w:t>csökkent testhőmérséklet és lassú szívverés.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snapToGrid/>
          <w:szCs w:val="22"/>
          <w:lang w:val="hu-HU" w:eastAsia="en-GB"/>
        </w:rPr>
        <w:t>A laktátacidózis (tejsavas acidózis) sürgősségi állapot, amely kórházi kezelést igényel.</w:t>
      </w:r>
    </w:p>
    <w:p w14:paraId="61FCE809" w14:textId="77777777" w:rsidR="009F02A4" w:rsidRDefault="009F02A4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0DDBDDD5" w14:textId="77777777" w:rsidR="00D21FBD" w:rsidRPr="00D21FBD" w:rsidRDefault="00D21FBD" w:rsidP="00D21FBD">
      <w:pPr>
        <w:spacing w:line="240" w:lineRule="auto"/>
        <w:ind w:right="-2"/>
        <w:rPr>
          <w:bCs/>
          <w:noProof/>
          <w:szCs w:val="24"/>
          <w:lang w:val="hu-HU"/>
        </w:rPr>
      </w:pPr>
      <w:r w:rsidRPr="00D21FBD">
        <w:rPr>
          <w:bCs/>
          <w:noProof/>
          <w:szCs w:val="24"/>
          <w:lang w:val="hu-HU"/>
        </w:rPr>
        <w:t>További tennivalókért azonnal forduljon kezelőorvosához, ha:</w:t>
      </w:r>
    </w:p>
    <w:p w14:paraId="46D9FF62" w14:textId="77777777" w:rsidR="00D21FBD" w:rsidRPr="00D21FBD" w:rsidRDefault="00D21FBD" w:rsidP="00D21FBD">
      <w:pPr>
        <w:spacing w:line="240" w:lineRule="auto"/>
        <w:ind w:right="-2"/>
        <w:rPr>
          <w:bCs/>
          <w:noProof/>
          <w:szCs w:val="24"/>
          <w:lang w:val="hu-HU"/>
        </w:rPr>
      </w:pPr>
      <w:r w:rsidRPr="00D21FBD">
        <w:rPr>
          <w:bCs/>
          <w:noProof/>
          <w:szCs w:val="24"/>
          <w:lang w:val="hu-HU"/>
        </w:rPr>
        <w:t>•</w:t>
      </w:r>
      <w:r w:rsidRPr="00D21FBD">
        <w:rPr>
          <w:bCs/>
          <w:noProof/>
          <w:szCs w:val="24"/>
          <w:lang w:val="hu-HU"/>
        </w:rPr>
        <w:tab/>
        <w:t xml:space="preserve">ismert, hogy Ön egy genetikailag öröklődő, mitokondriumokat (a sejtekben lévő energiatermelő alkotóelemek) érintő betegségben szenved, ilyen például a MELAS szindróma (mitokondriális agyvelőbántalom [mitokondriális enkefalopátia], izomkárosodás [miopátia], tejsavas acidózis és sztrókszerű események) vagy az anyai ágon öröklődő cukorbetegség és süketség (angol rövidítése: MIDD). </w:t>
      </w:r>
    </w:p>
    <w:p w14:paraId="3D539E4C" w14:textId="342725A0" w:rsidR="00D21FBD" w:rsidRDefault="00D21FBD" w:rsidP="00D21FBD">
      <w:pPr>
        <w:spacing w:line="240" w:lineRule="auto"/>
        <w:ind w:right="-2"/>
        <w:rPr>
          <w:bCs/>
          <w:noProof/>
          <w:szCs w:val="24"/>
          <w:lang w:val="hu-HU"/>
        </w:rPr>
      </w:pPr>
      <w:r w:rsidRPr="00D21FBD">
        <w:rPr>
          <w:bCs/>
          <w:noProof/>
          <w:szCs w:val="24"/>
          <w:lang w:val="hu-HU"/>
        </w:rPr>
        <w:t>•</w:t>
      </w:r>
      <w:r w:rsidRPr="00D21FBD">
        <w:rPr>
          <w:bCs/>
          <w:noProof/>
          <w:szCs w:val="24"/>
          <w:lang w:val="hu-HU"/>
        </w:rPr>
        <w:tab/>
        <w:t>a metformin-kezelés megkezdése után az alábbi tünetek bármelyikét tapasztalja: görcsroham, gondolkodást igénylő (kognitív) képességek romlása, mozgások vagy mozdulatok kivitelezésével kapcsolatos nehézségek, idegkárosodást jelző tünetek (például fájdalom vagy zsibbadás), migrén, süketség.</w:t>
      </w:r>
    </w:p>
    <w:p w14:paraId="400AE3A0" w14:textId="77777777" w:rsidR="00D21FBD" w:rsidRPr="009F02A4" w:rsidRDefault="00D21FBD" w:rsidP="00B311B8">
      <w:pPr>
        <w:spacing w:line="240" w:lineRule="auto"/>
        <w:ind w:right="-2"/>
        <w:rPr>
          <w:bCs/>
          <w:noProof/>
          <w:szCs w:val="24"/>
          <w:lang w:val="hu-HU"/>
        </w:rPr>
      </w:pPr>
    </w:p>
    <w:p w14:paraId="745B6AB3" w14:textId="12ED0206" w:rsidR="007F1CA2" w:rsidRPr="00564572" w:rsidRDefault="007F1CA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szedése előtt és alkalmazása során beszéljen kezelőorvosával, gyógyszerészével vagy a gondozását végző egészségügyi szakemberrel:</w:t>
      </w:r>
    </w:p>
    <w:p w14:paraId="071053F9" w14:textId="4B0F06AA" w:rsidR="00564572" w:rsidRDefault="007F1CA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 w:rsidR="00564572">
        <w:rPr>
          <w:rFonts w:eastAsia="TimesNewRoman,Bold"/>
          <w:snapToGrid/>
          <w:szCs w:val="22"/>
          <w:lang w:val="hu-HU" w:eastAsia="en-GB"/>
        </w:rPr>
        <w:tab/>
      </w:r>
      <w:r w:rsidRPr="007F1CA2">
        <w:rPr>
          <w:rFonts w:eastAsia="TimesNewRoman,Bold"/>
          <w:snapToGrid/>
          <w:szCs w:val="22"/>
          <w:lang w:val="hu-HU" w:eastAsia="en-GB"/>
        </w:rPr>
        <w:t>ha „1-es típusú cukorbetegsége” van, ez a típus rendszerint fiatal korban kezdődik, és a szervezete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7F1CA2">
        <w:rPr>
          <w:rFonts w:eastAsia="TimesNewRoman,Bold"/>
          <w:snapToGrid/>
          <w:szCs w:val="22"/>
          <w:lang w:val="hu-HU" w:eastAsia="en-GB"/>
        </w:rPr>
        <w:t xml:space="preserve">egyáltalán nem termel inzulint.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7F1CA2">
        <w:rPr>
          <w:rFonts w:eastAsia="TimesNewRoman,Bold"/>
          <w:snapToGrid/>
          <w:szCs w:val="22"/>
          <w:lang w:val="hu-HU" w:eastAsia="en-GB"/>
        </w:rPr>
        <w:t>nem alkalmazható ennek a betegségnek a kezelésére.</w:t>
      </w:r>
    </w:p>
    <w:p w14:paraId="3FED56ED" w14:textId="6CAF0335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Ön gyors fogyást, hányingert vagy hányást, hasi fájdalmat, túlzott szomjúságot, gyors és mély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légzést, zavartságot, szokatlan álmosságot vagy fáradtságot észlel, édeskés szagúvá vált a lehelete,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édes vagy fémes szájízt érez a szájában, vagy a vizeletének vagy a verejtékének </w:t>
      </w:r>
      <w:r w:rsidR="00883A58">
        <w:rPr>
          <w:rFonts w:eastAsia="TimesNewRoman,Bold"/>
          <w:snapToGrid/>
          <w:szCs w:val="22"/>
          <w:lang w:val="hu-HU" w:eastAsia="en-GB"/>
        </w:rPr>
        <w:t xml:space="preserve">a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szokásostól eltérő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szaga van, azonnal forduljon orvoshoz vagy keresse fel a legközelebbi kórházat. Ezek a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„diabéteszes ketoacidózis” tünetei lehetnek, </w:t>
      </w:r>
      <w:r w:rsidR="00D07C7A">
        <w:rPr>
          <w:rFonts w:eastAsia="TimesNewRoman,Bold"/>
          <w:snapToGrid/>
          <w:szCs w:val="22"/>
          <w:lang w:val="hu-HU" w:eastAsia="en-GB"/>
        </w:rPr>
        <w:t xml:space="preserve">ami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egy olyan ritka, de súlyos, néha életet veszélyeztető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D07C7A">
        <w:rPr>
          <w:rFonts w:eastAsia="TimesNewRoman,Bold"/>
          <w:snapToGrid/>
          <w:szCs w:val="22"/>
          <w:lang w:val="hu-HU" w:eastAsia="en-GB"/>
        </w:rPr>
        <w:t>állapot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, ami a cukorbetegségben, a vizeletében vagy a vérében található „ketontestek”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emelkedett szintje következtében alakulhat ki, amit vizsgálatokkal lehet kimutatni. A diabéteszes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ketoacidózis kialakulásának kockázata megnövekedhet a tartós koplalás, a túlzott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alkoholfogyasztás, a kiszáradás, az inzulinadag hirtelen csökkentése, illetve nagyobb műtéti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beavatkozás vagy súlyos betegség miatti magasabb inzulinszükséglet következtében.</w:t>
      </w:r>
    </w:p>
    <w:p w14:paraId="2D4DD66E" w14:textId="77777777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vesebetegségben szenved. Kezelőorvosa ellenőrizni fogja a veseműködését.</w:t>
      </w:r>
    </w:p>
    <w:p w14:paraId="482054D5" w14:textId="013F0027" w:rsidR="007F1CA2" w:rsidRPr="007F1CA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nagyon magas a vércukorszintje, ami kiszáradáshoz vezethet (szervezete túl sok testnedvet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veszít). A szervezetből történő folyadékvesztés (dehidráció) lehetséges jelei a 4. pontban vannak</w:t>
      </w:r>
      <w:r w:rsidR="007F1CA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felsorolva. A gyógyszer szedésének elkezdése előtt mondja el kezelőorvosának, ha ezeknek a</w:t>
      </w:r>
      <w:r w:rsidR="007F1CA2">
        <w:rPr>
          <w:rFonts w:eastAsia="TimesNewRoman,Bold"/>
          <w:snapToGrid/>
          <w:szCs w:val="22"/>
          <w:lang w:val="hu-HU" w:eastAsia="en-GB"/>
        </w:rPr>
        <w:t> 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tüneteknek bármelyike fennáll Önnél.</w:t>
      </w:r>
    </w:p>
    <w:p w14:paraId="568D5E54" w14:textId="29CC4E8C" w:rsidR="007F1CA2" w:rsidRPr="007F1CA2" w:rsidRDefault="001337D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olyan gyógyszereket szed, amelyek csökkentik a vérnyomását (vérnyomáscsökkentők,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antihipertenzív gyógyszerek), és a kórtörténetében alacsonyvérnyomás</w:t>
      </w:r>
      <w:r w:rsidR="00883A58">
        <w:rPr>
          <w:rFonts w:eastAsia="TimesNewRoman,Bold"/>
          <w:snapToGrid/>
          <w:szCs w:val="22"/>
          <w:lang w:val="hu-HU" w:eastAsia="en-GB"/>
        </w:rPr>
        <w:t>-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betegség szerepel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(hipotenzió). További információkat alább, az „Egyéb gyógyszerek és a </w:t>
      </w:r>
      <w:r w:rsidR="00881A95">
        <w:rPr>
          <w:lang w:val="hu-HU"/>
        </w:rPr>
        <w:t>Dapagliflozin/Metformin PharmaPath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” részben talál.</w:t>
      </w:r>
    </w:p>
    <w:p w14:paraId="754439F5" w14:textId="77777777" w:rsidR="00564572" w:rsidRDefault="001337D2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7F1CA2" w:rsidRPr="007F1CA2">
        <w:rPr>
          <w:rFonts w:eastAsia="TimesNewRoman,Bold"/>
          <w:snapToGrid/>
          <w:szCs w:val="22"/>
          <w:lang w:val="hu-HU" w:eastAsia="en-GB"/>
        </w:rPr>
        <w:t>ha gyakran van húgyúti fertőzése. Ez a gyógyszer húgyúti fertőzést okozhat, és lehet, hogy</w:t>
      </w:r>
      <w:r w:rsidR="006F6DDD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kezelőorvosa szorosabban akarja ellenőrizni Önt. Lehet, hogy kezelőorvosa mérlegeli a kezelése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átmeneti módosítását, ha súlyos fertőzés alakul ki Önnél.</w:t>
      </w:r>
    </w:p>
    <w:p w14:paraId="27C01597" w14:textId="77777777" w:rsidR="00883A58" w:rsidRDefault="00883A58" w:rsidP="00564572">
      <w:pPr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</w:p>
    <w:p w14:paraId="714D290E" w14:textId="71E8FFBB" w:rsidR="007F1CA2" w:rsidRPr="007F1CA2" w:rsidRDefault="00883A58" w:rsidP="001E0D2A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H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a Önnek nagyobb műtétre van szüksége, a beavatkozás idejére és azt követően egy bizonyos időre fel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kell függesztenie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szedését. Kezelőorvosa dönt arról, hogy mikor kell abbahagynia, és mikor kell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 xml:space="preserve">újra elkezdenie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="007F1CA2" w:rsidRPr="007F1CA2">
        <w:rPr>
          <w:rFonts w:eastAsia="TimesNewRoman,Bold"/>
          <w:snapToGrid/>
          <w:szCs w:val="22"/>
          <w:lang w:val="hu-HU" w:eastAsia="en-GB"/>
        </w:rPr>
        <w:t>szedését.</w:t>
      </w:r>
    </w:p>
    <w:p w14:paraId="695FEF0B" w14:textId="77777777" w:rsidR="00564572" w:rsidRDefault="0056457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E0232A3" w14:textId="7D2757CB" w:rsidR="007F1CA2" w:rsidRPr="001337D2" w:rsidRDefault="007F1CA2" w:rsidP="007F1CA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7F1CA2">
        <w:rPr>
          <w:rFonts w:eastAsia="TimesNewRoman,Bold"/>
          <w:snapToGrid/>
          <w:szCs w:val="22"/>
          <w:lang w:val="hu-HU" w:eastAsia="en-GB"/>
        </w:rPr>
        <w:t>Fontos, hogy rendszeresen ellenőrizze lábait, és kövesse a gondozását végző egészségügyi szakember</w:t>
      </w:r>
      <w:r w:rsid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1337D2">
        <w:rPr>
          <w:rFonts w:eastAsia="TimesNewRoman,Bold"/>
          <w:snapToGrid/>
          <w:szCs w:val="22"/>
          <w:lang w:val="hu-HU" w:eastAsia="en-GB"/>
        </w:rPr>
        <w:t>lábápolásra vonatkozó tanácsait.</w:t>
      </w:r>
    </w:p>
    <w:p w14:paraId="12995564" w14:textId="03027AFC" w:rsidR="007F1CA2" w:rsidRDefault="007F1CA2" w:rsidP="001337D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1337D2">
        <w:rPr>
          <w:rFonts w:eastAsia="TimesNewRoman,Bold"/>
          <w:snapToGrid/>
          <w:szCs w:val="22"/>
          <w:lang w:val="hu-HU" w:eastAsia="en-GB"/>
        </w:rPr>
        <w:t>Ha a fentiek bármelyike igaz Önre, (vagy</w:t>
      </w:r>
      <w:r w:rsidR="001337D2" w:rsidRPr="001337D2">
        <w:rPr>
          <w:rFonts w:eastAsia="TimesNewRoman,Bold"/>
          <w:snapToGrid/>
          <w:szCs w:val="22"/>
          <w:lang w:val="hu-HU" w:eastAsia="en-GB"/>
        </w:rPr>
        <w:t xml:space="preserve"> </w:t>
      </w:r>
      <w:r w:rsidR="001337D2" w:rsidRPr="001337D2">
        <w:rPr>
          <w:snapToGrid/>
          <w:szCs w:val="22"/>
          <w:lang w:val="hu-HU" w:eastAsia="en-GB"/>
        </w:rPr>
        <w:t>nem biztos benne), akkor a gyógyszer alkalmazása előtt</w:t>
      </w:r>
      <w:r w:rsidR="001337D2">
        <w:rPr>
          <w:snapToGrid/>
          <w:szCs w:val="22"/>
          <w:lang w:val="hu-HU" w:eastAsia="en-GB"/>
        </w:rPr>
        <w:t xml:space="preserve"> </w:t>
      </w:r>
      <w:r w:rsidR="001337D2" w:rsidRPr="001337D2">
        <w:rPr>
          <w:snapToGrid/>
          <w:szCs w:val="22"/>
          <w:lang w:val="hu-HU" w:eastAsia="en-GB"/>
        </w:rPr>
        <w:t>beszéljen kezelőorvosával, gyógyszerészével vagy a gondozását végző egészségügyi szakemberrel.</w:t>
      </w:r>
    </w:p>
    <w:p w14:paraId="301F47B8" w14:textId="77777777" w:rsidR="001337D2" w:rsidRPr="005769AE" w:rsidRDefault="001337D2" w:rsidP="001337D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F9BFFFB" w14:textId="44E2EAE0" w:rsidR="001337D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Azonnal forduljon kezelőorvosához, ha a nemi szervein vagy a nemi szervek és a végbélnyílás közötti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területen fájdalmat, érzékenységet, bőrpírt vagy duzzanatot tapasztal, láz vagy rossz általános közérzet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mellett. Ezek a tünetek egy ritka, de súlyos vagy akár életveszélyes fertőzés jelei is lehetnek, amelynek 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gát nektrotizáló faszciitisze vagy Fournier-gangréna a neve, és amely elpusztítja a bőr alatti szöveteket. 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Fournier-gangréna azonnali kezelést igényel.</w:t>
      </w:r>
    </w:p>
    <w:p w14:paraId="1380147B" w14:textId="7777777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2077BEC" w14:textId="7777777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lastRenderedPageBreak/>
        <w:t>Veseműködés</w:t>
      </w:r>
    </w:p>
    <w:p w14:paraId="6015354E" w14:textId="41619FE1" w:rsid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A </w:t>
      </w:r>
      <w:r w:rsidR="00881A95">
        <w:rPr>
          <w:lang w:val="hu-HU"/>
        </w:rPr>
        <w:t>Dapagliflozin/Metformin PharmaPath</w:t>
      </w:r>
      <w:r w:rsidRPr="005769AE">
        <w:rPr>
          <w:rFonts w:eastAsia="TimesNewRoman,Bold"/>
          <w:snapToGrid/>
          <w:szCs w:val="22"/>
          <w:lang w:val="hu-HU" w:eastAsia="en-GB"/>
        </w:rPr>
        <w:t>-kezelés során kezelőorvosa legalább évente egyszer ellenőrzi az Ön veseműködését. Gyakoribb ellenőrzésekre lehet szükség idős vagy romló veseműködésű betegeknél.</w:t>
      </w:r>
    </w:p>
    <w:p w14:paraId="552A9E2D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4F779FE1" w14:textId="2CED599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Vizelet</w:t>
      </w:r>
      <w:r w:rsidR="00B7021B">
        <w:rPr>
          <w:rFonts w:eastAsia="TimesNewRoman,Bold"/>
          <w:snapToGrid/>
          <w:szCs w:val="22"/>
          <w:lang w:val="hu-HU" w:eastAsia="en-GB"/>
        </w:rPr>
        <w:t>-</w:t>
      </w:r>
      <w:r w:rsidRPr="00564572">
        <w:rPr>
          <w:rFonts w:eastAsia="TimesNewRoman,Bold"/>
          <w:snapToGrid/>
          <w:szCs w:val="22"/>
          <w:lang w:val="hu-HU" w:eastAsia="en-GB"/>
        </w:rPr>
        <w:t>glükóz</w:t>
      </w:r>
      <w:r w:rsidR="00B7021B">
        <w:rPr>
          <w:rFonts w:eastAsia="TimesNewRoman,Bold"/>
          <w:snapToGrid/>
          <w:szCs w:val="22"/>
          <w:lang w:val="hu-HU" w:eastAsia="en-GB"/>
        </w:rPr>
        <w:t>tartalom</w:t>
      </w:r>
    </w:p>
    <w:p w14:paraId="3958B528" w14:textId="1D43D9A2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A gyógyszer hatása miatt a gyógyszer szedésének ideje alatt a vizelet cukor</w:t>
      </w:r>
      <w:r w:rsidR="0017147B">
        <w:rPr>
          <w:rFonts w:eastAsia="TimesNewRoman,Bold"/>
          <w:snapToGrid/>
          <w:szCs w:val="22"/>
          <w:lang w:val="hu-HU" w:eastAsia="en-GB"/>
        </w:rPr>
        <w:t xml:space="preserve">tartalom </w:t>
      </w:r>
      <w:r w:rsidRPr="005769AE">
        <w:rPr>
          <w:rFonts w:eastAsia="TimesNewRoman,Bold"/>
          <w:snapToGrid/>
          <w:szCs w:val="22"/>
          <w:lang w:val="hu-HU" w:eastAsia="en-GB"/>
        </w:rPr>
        <w:t>vizsgálatának eredménye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pozitív lesz.</w:t>
      </w:r>
    </w:p>
    <w:p w14:paraId="6128B0DD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1B2A8E0F" w14:textId="61FA7A0A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Gyermekek és serdülők</w:t>
      </w:r>
    </w:p>
    <w:p w14:paraId="5ADAA5F9" w14:textId="111AE6D1" w:rsidR="005769AE" w:rsidRPr="005769AE" w:rsidRDefault="0017147B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Ez a</w:t>
      </w:r>
      <w:r w:rsidR="005769AE" w:rsidRPr="005769AE">
        <w:rPr>
          <w:rFonts w:eastAsia="TimesNewRoman,Bold"/>
          <w:snapToGrid/>
          <w:szCs w:val="22"/>
          <w:lang w:val="hu-HU" w:eastAsia="en-GB"/>
        </w:rPr>
        <w:t xml:space="preserve"> gyógyszer nem javasolt 18 éves kor alatti gyermekek és serdülők számára, mert ilyen betegek esetén azt</w:t>
      </w:r>
      <w:r w:rsidR="005769AE">
        <w:rPr>
          <w:rFonts w:eastAsia="TimesNewRoman,Bold"/>
          <w:snapToGrid/>
          <w:szCs w:val="22"/>
          <w:lang w:val="hu-HU" w:eastAsia="en-GB"/>
        </w:rPr>
        <w:t xml:space="preserve"> </w:t>
      </w:r>
      <w:r w:rsidR="005769AE" w:rsidRPr="005769AE">
        <w:rPr>
          <w:rFonts w:eastAsia="TimesNewRoman,Bold"/>
          <w:snapToGrid/>
          <w:szCs w:val="22"/>
          <w:lang w:val="hu-HU" w:eastAsia="en-GB"/>
        </w:rPr>
        <w:t>nem vizsgálták.</w:t>
      </w:r>
    </w:p>
    <w:p w14:paraId="30656DFF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111E23D7" w14:textId="6FEF88AA" w:rsidR="005769AE" w:rsidRPr="00A370C7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Egyéb gyógyszerek és a </w:t>
      </w:r>
      <w:r w:rsidR="00881A95">
        <w:rPr>
          <w:b/>
          <w:bCs/>
          <w:lang w:val="hu-HU"/>
        </w:rPr>
        <w:t>Dapagliflozin/Metformin PharmaPath</w:t>
      </w:r>
    </w:p>
    <w:p w14:paraId="14A9DD66" w14:textId="1A620BA8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Ha Önnél kontrasztanyagos röntgenvizsgálatra vagy más képalkotó vizsgálatra van szükség, amelynek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során vérkeringésébe jódtartalmú kontrasztanyagot juttatnak, a vizsgálatot megelőzően vagy a vizsgálat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idejére fel kell függesztenie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szedését. Kezelőorvosa dönt arról, hogy mikor kell abbahagynia, és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mikor kell újra elkezdenie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szedését.</w:t>
      </w:r>
    </w:p>
    <w:p w14:paraId="24239713" w14:textId="77777777" w:rsid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90792BB" w14:textId="66E89CA0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Feltétlenül tájékoztassa kezelőorvosát a jelenleg vagy nemrégiben szedett, valamint szedni tervezett egyéb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gyógyszereiről. Gyakoribb vércukorszint- és veseműködés-ellenőrzésekre lehet szüksége, illetve lehet,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 xml:space="preserve">hogy kezelőorvosa módosítja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769AE">
        <w:rPr>
          <w:snapToGrid/>
          <w:szCs w:val="22"/>
          <w:lang w:val="hu-HU" w:eastAsia="en-GB"/>
        </w:rPr>
        <w:t>dózisát. Különösen fontos, hogy megemlítse az alábbiakat:</w:t>
      </w:r>
    </w:p>
    <w:p w14:paraId="4E58E7AC" w14:textId="50159C64" w:rsidR="00564572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vizeletürítést fokozó gyógyszereket (vízhajtó) szed</w:t>
      </w:r>
      <w:r w:rsidR="0017147B">
        <w:rPr>
          <w:snapToGrid/>
          <w:szCs w:val="22"/>
          <w:lang w:val="hu-HU" w:eastAsia="en-GB"/>
        </w:rPr>
        <w:t>;</w:t>
      </w:r>
    </w:p>
    <w:p w14:paraId="2F7044E1" w14:textId="681D9892" w:rsidR="00564572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="005769AE" w:rsidRPr="005769AE">
        <w:rPr>
          <w:snapToGrid/>
          <w:szCs w:val="22"/>
          <w:lang w:val="hu-HU" w:eastAsia="en-GB"/>
        </w:rPr>
        <w:t>ha olyan más gyógyszerekkel is kezelik, amelyek csökkentik a vérében lévő cukor mennyiségét,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mint például az inzulin vagy egy „szulfonilurea” típusú gyógyszer. Lehet, hogy kezelőorvosa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csökkenteni akarja ezeknek az egyéb gyógyszereknek az adagját, hogy megelőzze a túl alacsony</w:t>
      </w:r>
      <w:r w:rsidR="005769AE">
        <w:rPr>
          <w:snapToGrid/>
          <w:szCs w:val="22"/>
          <w:lang w:val="hu-HU" w:eastAsia="en-GB"/>
        </w:rPr>
        <w:t xml:space="preserve"> </w:t>
      </w:r>
      <w:r w:rsidR="005769AE" w:rsidRPr="005769AE">
        <w:rPr>
          <w:snapToGrid/>
          <w:szCs w:val="22"/>
          <w:lang w:val="hu-HU" w:eastAsia="en-GB"/>
        </w:rPr>
        <w:t>vércukorszint kialakulását (hipoglikémia)</w:t>
      </w:r>
      <w:r w:rsidR="0017147B">
        <w:rPr>
          <w:snapToGrid/>
          <w:szCs w:val="22"/>
          <w:lang w:val="hu-HU" w:eastAsia="en-GB"/>
        </w:rPr>
        <w:t>;</w:t>
      </w:r>
    </w:p>
    <w:p w14:paraId="4A88F0BB" w14:textId="6058D75A" w:rsidR="0017147B" w:rsidRDefault="0017147B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ab/>
        <w:t xml:space="preserve">ha lítiumot szed, mert a </w:t>
      </w:r>
      <w:r w:rsidR="00881A95">
        <w:rPr>
          <w:snapToGrid/>
          <w:szCs w:val="22"/>
          <w:lang w:val="hu-HU" w:eastAsia="en-GB"/>
        </w:rPr>
        <w:t>Dapagliflozin/Metformin PharmaPath</w:t>
      </w:r>
      <w:r>
        <w:rPr>
          <w:snapToGrid/>
          <w:szCs w:val="22"/>
          <w:lang w:val="hu-HU" w:eastAsia="en-GB"/>
        </w:rPr>
        <w:t xml:space="preserve"> csökkentheti a lítiumszintet a vérében;</w:t>
      </w:r>
    </w:p>
    <w:p w14:paraId="53822E04" w14:textId="5272F6A0" w:rsidR="005769AE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="005769AE" w:rsidRPr="005769AE">
        <w:rPr>
          <w:snapToGrid/>
          <w:szCs w:val="22"/>
          <w:lang w:val="hu-HU" w:eastAsia="en-GB"/>
        </w:rPr>
        <w:t>ha cimetidint szed, ami egy, a gyomorpanaszok kezelésére alkalmazott gyógyszer</w:t>
      </w:r>
      <w:r w:rsidR="0017147B">
        <w:rPr>
          <w:snapToGrid/>
          <w:szCs w:val="22"/>
          <w:lang w:val="hu-HU" w:eastAsia="en-GB"/>
        </w:rPr>
        <w:t>;</w:t>
      </w:r>
    </w:p>
    <w:p w14:paraId="71BE0762" w14:textId="1F6C2CF2" w:rsidR="005769AE" w:rsidRP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hörgőtágítókat (béta-2 agonistákat) alkalmaz, amelyekkel az asztmát kezelik</w:t>
      </w:r>
      <w:r w:rsidR="0017147B">
        <w:rPr>
          <w:snapToGrid/>
          <w:szCs w:val="22"/>
          <w:lang w:val="hu-HU" w:eastAsia="en-GB"/>
        </w:rPr>
        <w:t>;</w:t>
      </w:r>
    </w:p>
    <w:p w14:paraId="6153B0DC" w14:textId="14050B12" w:rsidR="005769AE" w:rsidRPr="005769AE" w:rsidRDefault="005769AE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ha kortikoszteroidokat alkalmaz (gyulladás kezelésére használják olyan betegségekben, mint az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asztma és az ízületi gyulladás), amelyeket szájon át vagy injekcióban adnak vagy belélegeznek</w:t>
      </w:r>
      <w:r w:rsidR="0017147B">
        <w:rPr>
          <w:snapToGrid/>
          <w:szCs w:val="22"/>
          <w:lang w:val="hu-HU" w:eastAsia="en-GB"/>
        </w:rPr>
        <w:t>;</w:t>
      </w:r>
    </w:p>
    <w:p w14:paraId="32D81EE3" w14:textId="20866C23" w:rsidR="005769AE" w:rsidRDefault="005769AE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 xml:space="preserve">fájdalom- és gyulladáscsökkentő gyógyszerek (nem-szteroid gyulladáscsökkentők és </w:t>
      </w:r>
      <w:r w:rsidR="00A56050">
        <w:rPr>
          <w:lang w:val="hu-HU"/>
        </w:rPr>
        <w:t>COX</w:t>
      </w:r>
      <w:r w:rsidRPr="005769AE">
        <w:rPr>
          <w:snapToGrid/>
          <w:szCs w:val="22"/>
          <w:lang w:val="hu-HU" w:eastAsia="en-GB"/>
        </w:rPr>
        <w:t>-2-gátlók,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például ibuprofén és celeko</w:t>
      </w:r>
      <w:r w:rsidR="005B1E2E">
        <w:rPr>
          <w:snapToGrid/>
          <w:szCs w:val="22"/>
          <w:lang w:val="hu-HU" w:eastAsia="en-GB"/>
        </w:rPr>
        <w:t>x</w:t>
      </w:r>
      <w:r w:rsidRPr="005769AE">
        <w:rPr>
          <w:snapToGrid/>
          <w:szCs w:val="22"/>
          <w:lang w:val="hu-HU" w:eastAsia="en-GB"/>
        </w:rPr>
        <w:t>ib)</w:t>
      </w:r>
      <w:r w:rsidR="0017147B">
        <w:rPr>
          <w:snapToGrid/>
          <w:szCs w:val="22"/>
          <w:lang w:val="hu-HU" w:eastAsia="en-GB"/>
        </w:rPr>
        <w:t>;</w:t>
      </w:r>
    </w:p>
    <w:p w14:paraId="37DFBEAA" w14:textId="5FEF2FD6" w:rsid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5769AE">
        <w:rPr>
          <w:snapToGrid/>
          <w:szCs w:val="22"/>
          <w:lang w:val="hu-HU" w:eastAsia="en-GB"/>
        </w:rPr>
        <w:t>egyes vérnyomáscsökkentő gyógyszerek (ACE-gátlók és angiotenzin-II-receptor-blokkolók)</w:t>
      </w:r>
      <w:r w:rsidR="0017147B">
        <w:rPr>
          <w:snapToGrid/>
          <w:szCs w:val="22"/>
          <w:lang w:val="hu-HU" w:eastAsia="en-GB"/>
        </w:rPr>
        <w:t>;</w:t>
      </w:r>
    </w:p>
    <w:p w14:paraId="362C5B0F" w14:textId="77777777" w:rsidR="005769AE" w:rsidRPr="005769AE" w:rsidRDefault="005769AE" w:rsidP="005769AE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DC5872D" w14:textId="01B0496C" w:rsidR="005769AE" w:rsidRPr="00A370C7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A</w:t>
      </w:r>
      <w:r w:rsidR="00A56050">
        <w:rPr>
          <w:rFonts w:eastAsia="TimesNewRoman,Bold"/>
          <w:b/>
          <w:bCs/>
          <w:snapToGrid/>
          <w:szCs w:val="22"/>
          <w:lang w:val="hu-HU" w:eastAsia="en-GB"/>
        </w:rPr>
        <w:t>z alkohol hatása a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 </w:t>
      </w:r>
      <w:r w:rsidR="00881A95">
        <w:rPr>
          <w:b/>
          <w:bCs/>
          <w:lang w:val="hu-HU"/>
        </w:rPr>
        <w:t>Dapagliflozin/Metformin PharmaPath</w:t>
      </w:r>
      <w:r w:rsidR="00A56050">
        <w:rPr>
          <w:b/>
          <w:bCs/>
          <w:lang w:val="hu-HU"/>
        </w:rPr>
        <w:t>-ra</w:t>
      </w:r>
    </w:p>
    <w:p w14:paraId="24967642" w14:textId="2B64469E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 xml:space="preserve">Kerülje a túlzott alkoholfogyasztást a </w:t>
      </w:r>
      <w:r w:rsidR="00881A95">
        <w:rPr>
          <w:lang w:val="hu-HU"/>
        </w:rPr>
        <w:t>Dapagliflozin/Metformin PharmaPath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 szedése idején, mivel az alkohol megnövelheti a</w:t>
      </w:r>
      <w:r>
        <w:rPr>
          <w:rFonts w:eastAsia="TimesNewRoman,Bold"/>
          <w:snapToGrid/>
          <w:szCs w:val="22"/>
          <w:lang w:val="hu-HU" w:eastAsia="en-GB"/>
        </w:rPr>
        <w:t> </w:t>
      </w:r>
      <w:r w:rsidRPr="005769AE">
        <w:rPr>
          <w:rFonts w:eastAsia="TimesNewRoman,Bold"/>
          <w:snapToGrid/>
          <w:szCs w:val="22"/>
          <w:lang w:val="hu-HU" w:eastAsia="en-GB"/>
        </w:rPr>
        <w:t>laktátacidózis (tejsavas acidózis) előfordulásának kockázatát (lásd a "Figyelmeztetések és óvintézkedések"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című részt).</w:t>
      </w:r>
    </w:p>
    <w:p w14:paraId="47E846AE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3B439140" w14:textId="264BE04A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Terhesség és szoptatás</w:t>
      </w:r>
    </w:p>
    <w:p w14:paraId="3671DC01" w14:textId="77777777" w:rsid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Ha Ön terhes vagy szoptat, illetve ha fennáll Önnél a terhesség lehetősége vagy gyermeket szeretne, a</w:t>
      </w:r>
      <w:r>
        <w:rPr>
          <w:rFonts w:eastAsia="TimesNewRoman,Bold"/>
          <w:snapToGrid/>
          <w:szCs w:val="22"/>
          <w:lang w:val="hu-HU" w:eastAsia="en-GB"/>
        </w:rPr>
        <w:t> </w:t>
      </w:r>
      <w:r w:rsidRPr="005769AE">
        <w:rPr>
          <w:rFonts w:eastAsia="TimesNewRoman,Bold"/>
          <w:snapToGrid/>
          <w:szCs w:val="22"/>
          <w:lang w:val="hu-HU" w:eastAsia="en-GB"/>
        </w:rPr>
        <w:t>gyógyszer alkalmazása előtt beszéljen kezelőorvosával vagy gyógyszerészével.</w:t>
      </w:r>
    </w:p>
    <w:p w14:paraId="7A1BD7AE" w14:textId="65E49A2A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Ha teherbe esik, abba kell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hagynia a gyógyszer szedését, mivel az a terhesség második és harmadik harmada alatt (az utolsó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6 hónapban) nem javasolt. Beszéljen kezelőorvosával arról, hogy mi a terhessége alatti vércukorszint</w:t>
      </w:r>
      <w:r w:rsidR="00AF5A53">
        <w:rPr>
          <w:rFonts w:eastAsia="TimesNewRoman,Bold"/>
          <w:snapToGrid/>
          <w:szCs w:val="22"/>
          <w:lang w:val="hu-HU" w:eastAsia="en-GB"/>
        </w:rPr>
        <w:t>-</w:t>
      </w:r>
      <w:r w:rsidRPr="005769AE">
        <w:rPr>
          <w:rFonts w:eastAsia="TimesNewRoman,Bold"/>
          <w:snapToGrid/>
          <w:szCs w:val="22"/>
          <w:lang w:val="hu-HU" w:eastAsia="en-GB"/>
        </w:rPr>
        <w:t>beállítás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legjobb módja.</w:t>
      </w:r>
    </w:p>
    <w:p w14:paraId="5B12C7A1" w14:textId="6158994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A gyógyszer szedése előtt beszéljen kezelőorvosával, ha szoptatni szeretne vagy ha szoptat. Ha szoptat,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nem alkalmazhatja ezt a gyógyszert. A metformin kis mennyiségben bejut az anyatejbe. </w:t>
      </w:r>
      <w:r w:rsidRPr="00FE53B7">
        <w:rPr>
          <w:rFonts w:eastAsia="TimesNewRoman,Bold"/>
          <w:snapToGrid/>
          <w:szCs w:val="22"/>
          <w:lang w:val="hu-HU" w:eastAsia="en-GB"/>
        </w:rPr>
        <w:t xml:space="preserve">Nem </w:t>
      </w:r>
      <w:r w:rsidRPr="005769AE">
        <w:rPr>
          <w:rFonts w:eastAsia="TimesNewRoman,Bold"/>
          <w:snapToGrid/>
          <w:szCs w:val="22"/>
          <w:lang w:val="hu-HU" w:eastAsia="en-GB"/>
        </w:rPr>
        <w:t>ismeretes, hogy a dapagliflozin bejut-e az anyatejbe.</w:t>
      </w:r>
    </w:p>
    <w:p w14:paraId="4F9D7309" w14:textId="77777777" w:rsidR="005769AE" w:rsidRDefault="005769AE" w:rsidP="005769AE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16C20BC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5769AE">
        <w:rPr>
          <w:rFonts w:eastAsia="TimesNewRoman,Bold"/>
          <w:b/>
          <w:bCs/>
          <w:snapToGrid/>
          <w:szCs w:val="22"/>
          <w:lang w:val="hu-HU" w:eastAsia="en-GB"/>
        </w:rPr>
        <w:t>A készítmény hatásai a gépjárművezetéshez és a gépek kezeléséhez szükséges képességekre</w:t>
      </w:r>
    </w:p>
    <w:p w14:paraId="230C4B14" w14:textId="33082249" w:rsid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769AE">
        <w:rPr>
          <w:rFonts w:eastAsia="TimesNewRoman,Bold"/>
          <w:snapToGrid/>
          <w:szCs w:val="22"/>
          <w:lang w:val="hu-HU" w:eastAsia="en-GB"/>
        </w:rPr>
        <w:t>Ez a gyógyszer nem vagy csak elhanyagolható mértékben befolyásolja a gépjárművezetéshez és a gépek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kezeléséhez szükséges képességeket. Más gyógyszerekkel, amelyek csökkentik a vérében lévő </w:t>
      </w:r>
      <w:r w:rsidRPr="005769AE">
        <w:rPr>
          <w:rFonts w:eastAsia="TimesNewRoman,Bold"/>
          <w:snapToGrid/>
          <w:szCs w:val="22"/>
          <w:lang w:val="hu-HU" w:eastAsia="en-GB"/>
        </w:rPr>
        <w:lastRenderedPageBreak/>
        <w:t>cukor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mennyiségét, mint például az inzulinnal vagy egy „szulfonilurea” gyógyszerrel történő együttes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alkalmazása túl alacsony vércukorszintet (hipoglikémia) okozhat, ami olyan tüneteket idézhet elő, mint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gyengeség, a szédülés, a fokozott verejtékezés, a gyors szívverés, a látásában bekövetkező változás vagy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koncentrálási nehézségek, és befolyásolhatja az Ön gépjárművezetéshez vagy a gépek kezeléséhez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 xml:space="preserve">szükséges képességeit. Ha </w:t>
      </w:r>
      <w:r w:rsidR="00AF5A53">
        <w:rPr>
          <w:rFonts w:eastAsia="TimesNewRoman,Bold"/>
          <w:snapToGrid/>
          <w:szCs w:val="22"/>
          <w:lang w:val="hu-HU" w:eastAsia="en-GB"/>
        </w:rPr>
        <w:t xml:space="preserve">a </w:t>
      </w:r>
      <w:r w:rsidR="00881A95">
        <w:rPr>
          <w:rFonts w:eastAsia="TimesNewRoman,Bold"/>
          <w:snapToGrid/>
          <w:szCs w:val="22"/>
          <w:lang w:val="hu-HU" w:eastAsia="en-GB"/>
        </w:rPr>
        <w:t>Dapagliflozin/Metformin PharmaPath</w:t>
      </w:r>
      <w:r w:rsidR="00AF5A53">
        <w:rPr>
          <w:rFonts w:eastAsia="TimesNewRoman,Bold"/>
          <w:snapToGrid/>
          <w:szCs w:val="22"/>
          <w:lang w:val="hu-HU" w:eastAsia="en-GB"/>
        </w:rPr>
        <w:t xml:space="preserve"> szedése alatt </w:t>
      </w:r>
      <w:r w:rsidRPr="005769AE">
        <w:rPr>
          <w:rFonts w:eastAsia="TimesNewRoman,Bold"/>
          <w:snapToGrid/>
          <w:szCs w:val="22"/>
          <w:lang w:val="hu-HU" w:eastAsia="en-GB"/>
        </w:rPr>
        <w:t>ezeket a tüneteket kezdi érezni, ne vezessen gépjárművet, vagy ne kezeljen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5769AE">
        <w:rPr>
          <w:rFonts w:eastAsia="TimesNewRoman,Bold"/>
          <w:snapToGrid/>
          <w:szCs w:val="22"/>
          <w:lang w:val="hu-HU" w:eastAsia="en-GB"/>
        </w:rPr>
        <w:t>semmilyen szerszámot vagy gépet.</w:t>
      </w:r>
    </w:p>
    <w:p w14:paraId="7E0A8706" w14:textId="6BB069A9" w:rsidR="00AF5A53" w:rsidRPr="00AF5A53" w:rsidRDefault="00AF5A53" w:rsidP="00AF5A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F5A53">
        <w:rPr>
          <w:noProof/>
          <w:szCs w:val="24"/>
          <w:lang w:val="hu-HU"/>
        </w:rPr>
        <w:t xml:space="preserve">A </w:t>
      </w:r>
      <w:r w:rsidR="00881A95">
        <w:rPr>
          <w:noProof/>
          <w:szCs w:val="24"/>
          <w:lang w:val="hu-HU"/>
        </w:rPr>
        <w:t>Dapagliflozin/Metformin PharmaPath</w:t>
      </w:r>
      <w:r w:rsidRPr="00AF5A53">
        <w:rPr>
          <w:noProof/>
          <w:szCs w:val="24"/>
          <w:lang w:val="hu-HU"/>
        </w:rPr>
        <w:t xml:space="preserve"> nátriumot tartalmaz</w:t>
      </w:r>
    </w:p>
    <w:p w14:paraId="74EAED68" w14:textId="3D0D3373" w:rsidR="00AF5A53" w:rsidRPr="00AF5A53" w:rsidRDefault="00AF5A53" w:rsidP="00AF5A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F5A53">
        <w:rPr>
          <w:noProof/>
          <w:szCs w:val="24"/>
          <w:lang w:val="hu-HU"/>
        </w:rPr>
        <w:t>Ez a gyógyszer kevesebb mint 1</w:t>
      </w:r>
      <w:r w:rsidR="00BB5C97">
        <w:rPr>
          <w:noProof/>
          <w:szCs w:val="24"/>
          <w:lang w:val="hu-HU"/>
        </w:rPr>
        <w:t> </w:t>
      </w:r>
      <w:r w:rsidRPr="00AF5A53">
        <w:rPr>
          <w:noProof/>
          <w:szCs w:val="24"/>
          <w:lang w:val="hu-HU"/>
        </w:rPr>
        <w:t>mmol (23</w:t>
      </w:r>
      <w:r w:rsidR="00BB5C97">
        <w:rPr>
          <w:noProof/>
          <w:szCs w:val="24"/>
          <w:lang w:val="hu-HU"/>
        </w:rPr>
        <w:t> </w:t>
      </w:r>
      <w:r w:rsidRPr="00AF5A53">
        <w:rPr>
          <w:noProof/>
          <w:szCs w:val="24"/>
          <w:lang w:val="hu-HU"/>
        </w:rPr>
        <w:t>mg) nátriumot tartalmaz adagonként, azaz gyakorlatilag</w:t>
      </w:r>
    </w:p>
    <w:p w14:paraId="04659867" w14:textId="73A2B546" w:rsidR="00F45C51" w:rsidRPr="00FE53B7" w:rsidRDefault="00AF5A53" w:rsidP="00AF5A5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AF5A53">
        <w:rPr>
          <w:noProof/>
          <w:szCs w:val="24"/>
          <w:lang w:val="hu-HU"/>
        </w:rPr>
        <w:t>„nátriummentes”.</w:t>
      </w:r>
    </w:p>
    <w:p w14:paraId="429A170D" w14:textId="77777777" w:rsidR="005769AE" w:rsidRDefault="005769AE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3B367448" w14:textId="77777777" w:rsidR="00BB5C97" w:rsidRPr="00FE53B7" w:rsidRDefault="00BB5C97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8944C22" w14:textId="4766F9FD" w:rsidR="00F45C51" w:rsidRPr="00A370C7" w:rsidRDefault="00D05999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A370C7">
        <w:rPr>
          <w:b/>
          <w:noProof/>
          <w:szCs w:val="24"/>
          <w:lang w:val="hu-HU"/>
        </w:rPr>
        <w:t xml:space="preserve">Hogyan kell szedni a </w:t>
      </w:r>
      <w:r w:rsidR="00881A95">
        <w:rPr>
          <w:b/>
          <w:lang w:val="hu-HU"/>
        </w:rPr>
        <w:t>Dapagliflozin/Metformin PharmaPath</w:t>
      </w:r>
      <w:r w:rsidRPr="00A370C7">
        <w:rPr>
          <w:b/>
          <w:lang w:val="hu-HU"/>
        </w:rPr>
        <w:t>-t</w:t>
      </w:r>
      <w:r w:rsidRPr="00A370C7">
        <w:rPr>
          <w:b/>
          <w:noProof/>
          <w:szCs w:val="24"/>
          <w:lang w:val="hu-HU"/>
        </w:rPr>
        <w:t>?</w:t>
      </w:r>
    </w:p>
    <w:p w14:paraId="2CF954FD" w14:textId="77777777" w:rsidR="00F45C51" w:rsidRPr="00FE53B7" w:rsidRDefault="00F45C51" w:rsidP="00082A8E">
      <w:pPr>
        <w:spacing w:line="240" w:lineRule="auto"/>
        <w:ind w:right="-2"/>
        <w:rPr>
          <w:lang w:val="hu-HU"/>
        </w:rPr>
      </w:pPr>
    </w:p>
    <w:p w14:paraId="76D74B26" w14:textId="760B1CA0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 xml:space="preserve">A gyógyszert mindig a kezelőorvosa által elmondottaknak megfelelően szedje. Amennyiben nem biztos </w:t>
      </w:r>
      <w:r w:rsidR="003960EB">
        <w:rPr>
          <w:snapToGrid/>
          <w:szCs w:val="22"/>
          <w:lang w:val="hu-HU" w:eastAsia="en-GB"/>
        </w:rPr>
        <w:t>abban, hogyan alkalmazza a gyógyszert</w:t>
      </w:r>
      <w:r w:rsidRPr="005769AE">
        <w:rPr>
          <w:snapToGrid/>
          <w:szCs w:val="22"/>
          <w:lang w:val="hu-HU" w:eastAsia="en-GB"/>
        </w:rPr>
        <w:t>, kérdezze meg kezelőorvosát vagy gyógyszerészét.</w:t>
      </w:r>
    </w:p>
    <w:p w14:paraId="1275B489" w14:textId="77777777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C6AE4B8" w14:textId="77777777" w:rsidR="005769AE" w:rsidRPr="00564572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Mennyit kell szednie?</w:t>
      </w:r>
    </w:p>
    <w:p w14:paraId="1E96896E" w14:textId="1C8C0C50" w:rsidR="005769AE" w:rsidRPr="005769AE" w:rsidRDefault="005769AE" w:rsidP="00564572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 Ön által szedett gyógyszer mennyisége a betegségétől és attól függően változik, hogy jelenleg</w:t>
      </w:r>
      <w:r w:rsidR="00564572"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mennyi metformint és/vagy különálló dapagliflozin és metformin tablettát szed. Kezelőorvosa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pontosan meg fogja mondani Önnek, hogy melyik hatáserősségű gyógyszert szedje.</w:t>
      </w:r>
    </w:p>
    <w:p w14:paraId="64D89A85" w14:textId="77777777" w:rsidR="00564572" w:rsidRDefault="00564572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1022F6D6" w14:textId="6290B765" w:rsidR="005769AE" w:rsidRPr="005769AE" w:rsidRDefault="005769AE" w:rsidP="0056457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Az ajánlott adag naponta kétszer egy tabletta.</w:t>
      </w:r>
    </w:p>
    <w:p w14:paraId="54F4F998" w14:textId="77777777" w:rsidR="00564572" w:rsidRPr="00564572" w:rsidRDefault="00564572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28643A39" w14:textId="64ACD1AE" w:rsidR="005769AE" w:rsidRPr="00564572" w:rsidRDefault="005769AE" w:rsidP="00A370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 gyógyszer szedése</w:t>
      </w:r>
    </w:p>
    <w:p w14:paraId="281A6550" w14:textId="282D8E27" w:rsidR="005769AE" w:rsidRPr="005769AE" w:rsidRDefault="005769AE" w:rsidP="00A370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tablettát egészben, fél pohár vízzel kell lenyelni.</w:t>
      </w:r>
    </w:p>
    <w:p w14:paraId="17AD8847" w14:textId="56994980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tablettát étkezés közben vegye be. Ez csökkenti a gyomorra gyakorolt mellékhatások kockázatát.</w:t>
      </w:r>
    </w:p>
    <w:p w14:paraId="5A027E6A" w14:textId="1A957182" w:rsidR="005769AE" w:rsidRPr="005769AE" w:rsidRDefault="005769AE" w:rsidP="005769A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769AE">
        <w:rPr>
          <w:snapToGrid/>
          <w:szCs w:val="22"/>
          <w:lang w:val="hu-HU" w:eastAsia="en-GB"/>
        </w:rPr>
        <w:t>A tablettákat naponta kétszer vegye be, egyet reggel (reggeli közben), egyet pedig este (vacsora</w:t>
      </w:r>
      <w:r>
        <w:rPr>
          <w:snapToGrid/>
          <w:szCs w:val="22"/>
          <w:lang w:val="hu-HU" w:eastAsia="en-GB"/>
        </w:rPr>
        <w:t xml:space="preserve"> </w:t>
      </w:r>
      <w:r w:rsidRPr="005769AE">
        <w:rPr>
          <w:snapToGrid/>
          <w:szCs w:val="22"/>
          <w:lang w:val="hu-HU" w:eastAsia="en-GB"/>
        </w:rPr>
        <w:t>közben).</w:t>
      </w:r>
    </w:p>
    <w:p w14:paraId="414A3584" w14:textId="77777777" w:rsidR="005769AE" w:rsidRPr="002B382A" w:rsidRDefault="005769AE" w:rsidP="00082A8E">
      <w:pPr>
        <w:spacing w:line="240" w:lineRule="auto"/>
        <w:ind w:right="-2"/>
        <w:rPr>
          <w:lang w:val="hu-HU"/>
        </w:rPr>
      </w:pPr>
    </w:p>
    <w:p w14:paraId="2B148C62" w14:textId="20888531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2B382A">
        <w:rPr>
          <w:snapToGrid/>
          <w:szCs w:val="22"/>
          <w:lang w:val="hu-HU" w:eastAsia="en-GB"/>
        </w:rPr>
        <w:t>Lehet, hogy kezelőorvosa más gyógyszerekkel együtt írja fel ezt a gyógyszert, a vérében lévő cukor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mennyiségének csökkentésére. Ezek lehetnek szájon át szedett vagy injekcióban adott gyógyszerek, mint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például az inzulin vagy egy GLP-1-receptor agonista. Ne felejtse, hogy ezeket az egyéb gyógyszereket a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kezelőorvosa által elmondottaknak megfelelően alkalmazza. Ez segít az egészsége szempontjából a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legjobb eredményt elérni.</w:t>
      </w:r>
    </w:p>
    <w:p w14:paraId="7F7372A5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2F698164" w14:textId="77777777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Diéta és testmozgás</w:t>
      </w:r>
    </w:p>
    <w:p w14:paraId="44757131" w14:textId="235617F1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A cukorbetegség kézbentartása érdekében továbbra is diétáznia és mozognia kell, még akkor is, ha ezt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gyógyszert szedi. Ezért fontos, hogy betartsa kezelőorvosa, a gyógyszerésze vagy a gondozását végző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 xml:space="preserve">egészségügyi szakember által adott, a diétára és testmozgásra vonatkozó </w:t>
      </w:r>
      <w:r w:rsidR="003960EB">
        <w:rPr>
          <w:rFonts w:eastAsia="TimesNewRoman,Bold"/>
          <w:snapToGrid/>
          <w:szCs w:val="22"/>
          <w:lang w:val="hu-HU" w:eastAsia="en-GB"/>
        </w:rPr>
        <w:t>ajánlást</w:t>
      </w:r>
      <w:r w:rsidRPr="002B382A">
        <w:rPr>
          <w:rFonts w:eastAsia="TimesNewRoman,Bold"/>
          <w:snapToGrid/>
          <w:szCs w:val="22"/>
          <w:lang w:val="hu-HU" w:eastAsia="en-GB"/>
        </w:rPr>
        <w:t>. Különösen fontos,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hogy ha diabéteszes súlycsökkentő étrendet tart, azt továbbra is tartsa be, amíg ezt a gyógyszert szedi.</w:t>
      </w:r>
    </w:p>
    <w:p w14:paraId="1793D38C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68843F76" w14:textId="61FE9223" w:rsidR="002B382A" w:rsidRPr="00A370C7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az előírtnál több </w:t>
      </w:r>
      <w:r w:rsidR="00881A95">
        <w:rPr>
          <w:b/>
          <w:bCs/>
          <w:lang w:val="hu-HU"/>
        </w:rPr>
        <w:t>Dapagliflozin/Metformin PharmaPath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 vett be</w:t>
      </w:r>
    </w:p>
    <w:p w14:paraId="6CC6EA76" w14:textId="7256C317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 xml:space="preserve">Ha az előírtnál több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tablettát vett be, laktátacidózist tapasztalhat. A tejsavas acidózis tünetei közé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tartoznak az émelygés vagy az erős hányinger, a hányás, a hasi fájdalom, az izomgörcsök, a nagyfokú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fáradtság vagy a nehézlégzés. Ha ez történik Önnel, sürgősen kórházi kezelésre lehet szüksége, mivel 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laktátacidózis kómához vezethet. Azonnal hagyja abba a gyógyszer szedését, és rögtön forduljon orvoshoz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vagy keresse fel a legközelebbi kórházat (lásd 2. pont). Vigye magával a gyógyszere csomagolását.</w:t>
      </w:r>
    </w:p>
    <w:p w14:paraId="4E311944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04EFA68E" w14:textId="2F99E1AB" w:rsidR="002B382A" w:rsidRPr="00A370C7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elfelejtette bevenni a </w:t>
      </w:r>
      <w:r w:rsidR="00881A95">
        <w:rPr>
          <w:b/>
          <w:bCs/>
          <w:lang w:val="hu-HU"/>
        </w:rPr>
        <w:t>Dapagliflozin/Metformin PharmaPath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-t</w:t>
      </w:r>
    </w:p>
    <w:p w14:paraId="229EE6A8" w14:textId="5FB4A8D4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Ha kihagy egy adagot, vegye be, amint eszébe jut. Ha a következő adag bevételéig nem jut eszébe, hagyja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ki az elfelejtett adagot, és térjen vissza a szokásos bevételi rendjéhez. Ne vegyen be kétszeres adag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gyógyszert a kihagyott adag pótlására.</w:t>
      </w:r>
    </w:p>
    <w:p w14:paraId="100D76F0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45038882" w14:textId="03A69FDE" w:rsidR="002B382A" w:rsidRPr="00A370C7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 xml:space="preserve">Ha idő előtt abbahagyja a </w:t>
      </w:r>
      <w:r w:rsidR="00881A95">
        <w:rPr>
          <w:b/>
          <w:bCs/>
          <w:lang w:val="hu-HU"/>
        </w:rPr>
        <w:t>Dapagliflozin/Metformin PharmaPath</w:t>
      </w:r>
      <w:r w:rsidR="00A370C7" w:rsidRPr="00A370C7">
        <w:rPr>
          <w:b/>
          <w:bCs/>
          <w:lang w:val="hu-HU"/>
        </w:rPr>
        <w:t xml:space="preserve"> </w:t>
      </w:r>
      <w:r w:rsidRPr="00A370C7">
        <w:rPr>
          <w:rFonts w:eastAsia="TimesNewRoman,Bold"/>
          <w:b/>
          <w:bCs/>
          <w:snapToGrid/>
          <w:szCs w:val="22"/>
          <w:lang w:val="hu-HU" w:eastAsia="en-GB"/>
        </w:rPr>
        <w:t>szedését</w:t>
      </w:r>
    </w:p>
    <w:p w14:paraId="048BD302" w14:textId="32177866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lastRenderedPageBreak/>
        <w:t>Ne hagyja abba úgy a gyógyszer szedését, hogy nem beszélt előbb kezelőorvosával. Vércukorszintje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megemelkedhet a gyógyszer nélkül.</w:t>
      </w:r>
    </w:p>
    <w:p w14:paraId="23AFD109" w14:textId="77777777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0454B76E" w14:textId="1F1C81E4" w:rsid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Ha bármilyen további kérdése van a gyógyszer alkalmazásával kapcsolatban, kérdezze meg kezelőorvosát,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2B382A">
        <w:rPr>
          <w:rFonts w:eastAsia="TimesNewRoman,Bold"/>
          <w:snapToGrid/>
          <w:szCs w:val="22"/>
          <w:lang w:val="hu-HU" w:eastAsia="en-GB"/>
        </w:rPr>
        <w:t>gyógyszerészét vagy a gondozását végző egészségügyi szakembert.</w:t>
      </w:r>
    </w:p>
    <w:p w14:paraId="16A822B7" w14:textId="77777777" w:rsidR="00F45C51" w:rsidRPr="002B382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B48754F" w14:textId="77777777" w:rsidR="00F45C51" w:rsidRPr="002B382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C945B2" w14:textId="77777777" w:rsidR="00F45C51" w:rsidRPr="00FE53B7" w:rsidRDefault="00D05999" w:rsidP="00082A8E">
      <w:pPr>
        <w:spacing w:line="240" w:lineRule="auto"/>
        <w:ind w:left="567" w:right="-2" w:hanging="567"/>
        <w:rPr>
          <w:b/>
          <w:lang w:val="hu-HU"/>
        </w:rPr>
      </w:pPr>
      <w:r w:rsidRPr="00FE53B7">
        <w:rPr>
          <w:b/>
          <w:lang w:val="hu-HU"/>
        </w:rPr>
        <w:t>4.</w:t>
      </w:r>
      <w:r w:rsidRPr="00FE53B7">
        <w:rPr>
          <w:b/>
          <w:lang w:val="hu-HU"/>
        </w:rPr>
        <w:tab/>
      </w:r>
      <w:r w:rsidRPr="00FE53B7">
        <w:rPr>
          <w:b/>
          <w:noProof/>
          <w:szCs w:val="24"/>
          <w:lang w:val="hu-HU"/>
        </w:rPr>
        <w:t>Lehetséges mellékhatások</w:t>
      </w:r>
    </w:p>
    <w:p w14:paraId="05838A05" w14:textId="77777777" w:rsidR="00F45C51" w:rsidRPr="00FE53B7" w:rsidRDefault="00F45C51" w:rsidP="00082A8E">
      <w:pPr>
        <w:spacing w:line="240" w:lineRule="auto"/>
        <w:ind w:right="-29"/>
        <w:rPr>
          <w:lang w:val="hu-HU"/>
        </w:rPr>
      </w:pPr>
    </w:p>
    <w:p w14:paraId="47296C71" w14:textId="5E7FDB0A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2B382A">
        <w:rPr>
          <w:snapToGrid/>
          <w:szCs w:val="22"/>
          <w:lang w:val="hu-HU" w:eastAsia="en-GB"/>
        </w:rPr>
        <w:t>Mint minden gyógyszer, így ez a gyógyszer is okozhat mellékhatásokat, amelyek azonban nem</w:t>
      </w:r>
      <w:r>
        <w:rPr>
          <w:snapToGrid/>
          <w:szCs w:val="22"/>
          <w:lang w:val="hu-HU" w:eastAsia="en-GB"/>
        </w:rPr>
        <w:t xml:space="preserve"> </w:t>
      </w:r>
      <w:r w:rsidRPr="002B382A">
        <w:rPr>
          <w:snapToGrid/>
          <w:szCs w:val="22"/>
          <w:lang w:val="hu-HU" w:eastAsia="en-GB"/>
        </w:rPr>
        <w:t>mindenkinél jelentkeznek.</w:t>
      </w:r>
    </w:p>
    <w:p w14:paraId="18E5B88B" w14:textId="77777777" w:rsidR="002B382A" w:rsidRPr="002B382A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669C8B66" w14:textId="50F85EB8" w:rsidR="002B382A" w:rsidRPr="003F4E33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 xml:space="preserve">Hagyja abba a </w:t>
      </w:r>
      <w:r w:rsidR="00881A95">
        <w:rPr>
          <w:b/>
          <w:bCs/>
          <w:lang w:val="hu-HU"/>
        </w:rPr>
        <w:t>Dapagliflozin/Metformin PharmaPath</w:t>
      </w:r>
      <w:r w:rsidR="00A370C7" w:rsidRPr="003F4E33">
        <w:rPr>
          <w:b/>
          <w:bCs/>
          <w:lang w:val="hu-HU"/>
        </w:rPr>
        <w:t xml:space="preserve"> </w:t>
      </w: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szedését, és azonnal forduljon orvoshoz, ha az alábbi súlyos vagy lehetségesen súlyos mellékhatások bármelyikét észleli:</w:t>
      </w:r>
    </w:p>
    <w:p w14:paraId="1E9CAEA2" w14:textId="3B9A71A6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Laktátacidózis</w:t>
      </w:r>
      <w:r w:rsidRPr="00564572">
        <w:rPr>
          <w:snapToGrid/>
          <w:szCs w:val="22"/>
          <w:lang w:val="hu-HU" w:eastAsia="en-GB"/>
        </w:rPr>
        <w:t>, ami nagyon ritkán észlelhető (10 000 -ből legfeljebb 1 beteget érinthet).</w:t>
      </w:r>
    </w:p>
    <w:p w14:paraId="32407799" w14:textId="184922CF" w:rsidR="00F45C51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564572">
        <w:rPr>
          <w:snapToGrid/>
          <w:szCs w:val="22"/>
          <w:lang w:val="hu-HU" w:eastAsia="en-GB"/>
        </w:rPr>
        <w:t xml:space="preserve">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snapToGrid/>
          <w:szCs w:val="22"/>
          <w:lang w:val="hu-HU" w:eastAsia="en-GB"/>
        </w:rPr>
        <w:t xml:space="preserve">egy nagyon ritka, de nagyon súlyos mellékhatást, az úgynevezett laktátacidózist (tejsavas acidózist) okozhat (lásd a </w:t>
      </w:r>
      <w:r w:rsidR="007C226E">
        <w:rPr>
          <w:snapToGrid/>
          <w:szCs w:val="22"/>
          <w:lang w:val="hu-HU" w:eastAsia="en-GB"/>
        </w:rPr>
        <w:t xml:space="preserve">2. pont </w:t>
      </w:r>
      <w:r w:rsidRPr="00564572">
        <w:rPr>
          <w:snapToGrid/>
          <w:szCs w:val="22"/>
          <w:lang w:val="hu-HU" w:eastAsia="en-GB"/>
        </w:rPr>
        <w:t xml:space="preserve">"Figyelmeztetések és óvintézkedések" című részt). Ha ez bekövetkezik, </w:t>
      </w: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haladéktalanul forduljon orvoshoz vagy keresse fel a</w:t>
      </w:r>
      <w:r w:rsidRPr="00564572">
        <w:rPr>
          <w:snapToGrid/>
          <w:szCs w:val="22"/>
          <w:lang w:val="hu-HU" w:eastAsia="en-GB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legközelebbi kórházat</w:t>
      </w:r>
      <w:r w:rsidRPr="00564572">
        <w:rPr>
          <w:snapToGrid/>
          <w:szCs w:val="22"/>
          <w:lang w:val="hu-HU" w:eastAsia="en-GB"/>
        </w:rPr>
        <w:t>, mivel a laktátacidózis kómához vezethet.</w:t>
      </w:r>
    </w:p>
    <w:p w14:paraId="0FCDE35A" w14:textId="77777777" w:rsidR="002B382A" w:rsidRPr="00564572" w:rsidRDefault="002B382A" w:rsidP="00082A8E">
      <w:pPr>
        <w:spacing w:line="240" w:lineRule="auto"/>
        <w:ind w:right="-29"/>
        <w:rPr>
          <w:lang w:val="hu-HU"/>
        </w:rPr>
      </w:pPr>
    </w:p>
    <w:p w14:paraId="4797407D" w14:textId="322A2C37" w:rsidR="002B382A" w:rsidRP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Azonnal forduljon orvoshoz vagy keresse fel a legközelebbi kórházat, ha az alábbi mellékhatások bármelyikét észleli:</w:t>
      </w:r>
    </w:p>
    <w:p w14:paraId="1091E54A" w14:textId="599718F3" w:rsidR="002B382A" w:rsidRPr="00564572" w:rsidRDefault="002B382A" w:rsidP="00564572">
      <w:pPr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Diabéteszes ketoacidózis ritkán fordul elő (1000 -ből legfeljebb 1 beteget érinthet).</w:t>
      </w:r>
    </w:p>
    <w:p w14:paraId="0FD58CD6" w14:textId="77777777" w:rsidR="00564572" w:rsidRDefault="002B382A" w:rsidP="002B382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2B382A">
        <w:rPr>
          <w:rFonts w:eastAsia="TimesNewRoman,Bold"/>
          <w:snapToGrid/>
          <w:szCs w:val="22"/>
          <w:lang w:val="hu-HU" w:eastAsia="en-GB"/>
        </w:rPr>
        <w:t>A diabéteszes ketoacidózis tünetei a következők (szintén lásd 2 pont „Figyelmeztetések és óvintézkedések”):</w:t>
      </w:r>
    </w:p>
    <w:p w14:paraId="1DE3A9ED" w14:textId="2D63B313" w:rsidR="002B382A" w:rsidRPr="00E84B7C" w:rsidRDefault="00564572" w:rsidP="00564572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rFonts w:eastAsia="TimesNewRoman,Bold"/>
          <w:snapToGrid/>
          <w:szCs w:val="22"/>
          <w:lang w:val="hu-HU" w:eastAsia="en-GB"/>
        </w:rPr>
        <w:t>-</w:t>
      </w:r>
      <w:r>
        <w:rPr>
          <w:rFonts w:eastAsia="TimesNewRoman,Bold"/>
          <w:snapToGrid/>
          <w:szCs w:val="22"/>
          <w:lang w:val="hu-HU" w:eastAsia="en-GB"/>
        </w:rPr>
        <w:tab/>
      </w:r>
      <w:r w:rsidR="002B382A" w:rsidRPr="002B382A">
        <w:rPr>
          <w:rFonts w:eastAsia="TimesNewRoman,Bold"/>
          <w:snapToGrid/>
          <w:szCs w:val="22"/>
          <w:lang w:val="hu-HU" w:eastAsia="en-GB"/>
        </w:rPr>
        <w:t xml:space="preserve">vizeletében </w:t>
      </w:r>
      <w:r w:rsidR="002B382A" w:rsidRPr="002B382A">
        <w:rPr>
          <w:snapToGrid/>
          <w:szCs w:val="22"/>
          <w:lang w:val="hu-HU" w:eastAsia="en-GB"/>
        </w:rPr>
        <w:t>vagy vérében magasabb a „ketontestek” szintje</w:t>
      </w:r>
      <w:r w:rsidR="002B382A" w:rsidRPr="002B382A">
        <w:rPr>
          <w:rFonts w:eastAsia="TimesNewRoman,Bold"/>
          <w:snapToGrid/>
          <w:szCs w:val="22"/>
          <w:lang w:val="hu-HU" w:eastAsia="en-GB"/>
        </w:rPr>
        <w:t xml:space="preserve">, </w:t>
      </w:r>
      <w:r w:rsidR="002B382A" w:rsidRPr="002B382A">
        <w:rPr>
          <w:snapToGrid/>
          <w:szCs w:val="22"/>
          <w:lang w:val="hu-HU" w:eastAsia="en-GB"/>
        </w:rPr>
        <w:t>- gyors fogyás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hányinger, hányás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hasi fájdalom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túlzott szomjúság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gyors és mély légzés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zavartság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>szokatlan álmosság vagy fáradtság</w:t>
      </w:r>
      <w:r w:rsidR="00EF7FA8">
        <w:rPr>
          <w:snapToGrid/>
          <w:szCs w:val="22"/>
          <w:lang w:val="hu-HU" w:eastAsia="en-GB"/>
        </w:rPr>
        <w:t xml:space="preserve">; </w:t>
      </w:r>
      <w:r w:rsidR="002B382A" w:rsidRPr="002B382A">
        <w:rPr>
          <w:snapToGrid/>
          <w:szCs w:val="22"/>
          <w:lang w:val="hu-HU" w:eastAsia="en-GB"/>
        </w:rPr>
        <w:t xml:space="preserve">édeskés szagú lehelet, édes vagy fémes szájíz, vagy a vizelet vagy a verejték </w:t>
      </w:r>
      <w:r w:rsidR="002B382A" w:rsidRPr="00E84B7C">
        <w:rPr>
          <w:snapToGrid/>
          <w:szCs w:val="22"/>
          <w:lang w:val="hu-HU" w:eastAsia="en-GB"/>
        </w:rPr>
        <w:t>szokásostól eltérő</w:t>
      </w:r>
      <w:r w:rsidR="00EF7FA8" w:rsidRPr="00E84B7C">
        <w:rPr>
          <w:snapToGrid/>
          <w:szCs w:val="22"/>
          <w:lang w:val="hu-HU" w:eastAsia="en-GB"/>
        </w:rPr>
        <w:t xml:space="preserve">; </w:t>
      </w:r>
      <w:r w:rsidR="002B382A" w:rsidRPr="00E84B7C">
        <w:rPr>
          <w:snapToGrid/>
          <w:szCs w:val="22"/>
          <w:lang w:val="hu-HU" w:eastAsia="en-GB"/>
        </w:rPr>
        <w:t>szaga.</w:t>
      </w:r>
    </w:p>
    <w:p w14:paraId="4329CDFC" w14:textId="66AA33D3" w:rsidR="002B382A" w:rsidRPr="00E84B7C" w:rsidRDefault="00E84B7C" w:rsidP="0056457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E84B7C">
        <w:rPr>
          <w:snapToGrid/>
          <w:szCs w:val="22"/>
          <w:lang w:val="hu-HU" w:eastAsia="en-GB"/>
        </w:rPr>
        <w:t>A tünetek a vércukorszinttől függetlenül alakulnak ki. Kezelőorvosa úgy határozhat, hogy átmenetileg</w:t>
      </w:r>
      <w:r>
        <w:rPr>
          <w:snapToGrid/>
          <w:szCs w:val="22"/>
          <w:lang w:val="hu-HU" w:eastAsia="en-GB"/>
        </w:rPr>
        <w:t xml:space="preserve"> </w:t>
      </w:r>
      <w:r w:rsidRPr="00E84B7C">
        <w:rPr>
          <w:snapToGrid/>
          <w:szCs w:val="22"/>
          <w:lang w:val="hu-HU" w:eastAsia="en-GB"/>
        </w:rPr>
        <w:t xml:space="preserve">vagy tartósan leállítja a </w:t>
      </w:r>
      <w:r w:rsidR="00881A95">
        <w:rPr>
          <w:lang w:val="hu-HU"/>
        </w:rPr>
        <w:t>Dapagliflozin/Metformin PharmaPath</w:t>
      </w:r>
      <w:r w:rsidRPr="00E84B7C">
        <w:rPr>
          <w:snapToGrid/>
          <w:szCs w:val="22"/>
          <w:lang w:val="hu-HU" w:eastAsia="en-GB"/>
        </w:rPr>
        <w:t>-kezelést.</w:t>
      </w:r>
    </w:p>
    <w:p w14:paraId="07ECA8B0" w14:textId="77777777" w:rsidR="002B382A" w:rsidRPr="00E84B7C" w:rsidRDefault="002B382A" w:rsidP="00082A8E">
      <w:pPr>
        <w:spacing w:line="240" w:lineRule="auto"/>
        <w:ind w:right="-29"/>
        <w:rPr>
          <w:lang w:val="hu-HU"/>
        </w:rPr>
      </w:pPr>
    </w:p>
    <w:p w14:paraId="0E8B1C96" w14:textId="3FA3832C" w:rsidR="002B382A" w:rsidRPr="00564572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A gát nekrotizáló faszciitisze vagy Fournier-gangréna, amely a nemi szervek vagy a nemi szervek és a végbélnyílás közötti terület súlyos lágyrészfertőzése, nagyon ritkán fordul elő.</w:t>
      </w:r>
    </w:p>
    <w:p w14:paraId="357A8F03" w14:textId="77777777" w:rsidR="002B382A" w:rsidRPr="00E84B7C" w:rsidRDefault="002B382A" w:rsidP="00082A8E">
      <w:pPr>
        <w:spacing w:line="240" w:lineRule="auto"/>
        <w:ind w:right="-29"/>
        <w:rPr>
          <w:lang w:val="hu-HU"/>
        </w:rPr>
      </w:pPr>
    </w:p>
    <w:p w14:paraId="14CE87B5" w14:textId="68FAE16B" w:rsidR="00E84B7C" w:rsidRPr="00564572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 xml:space="preserve">Hagyja abba a </w:t>
      </w:r>
      <w:r w:rsidR="00881A95">
        <w:rPr>
          <w:lang w:val="hu-HU"/>
        </w:rPr>
        <w:t>Dapagliflozin/Metformin PharmaPath</w:t>
      </w:r>
      <w:r w:rsidR="00A370C7" w:rsidRPr="00564572">
        <w:rPr>
          <w:lang w:val="hu-HU"/>
        </w:rPr>
        <w:t xml:space="preserve"> </w:t>
      </w:r>
      <w:r w:rsidRPr="00564572">
        <w:rPr>
          <w:rFonts w:eastAsia="TimesNewRoman,Bold"/>
          <w:snapToGrid/>
          <w:szCs w:val="22"/>
          <w:lang w:val="hu-HU" w:eastAsia="en-GB"/>
        </w:rPr>
        <w:t>szedését, és azonnal forduljon orvoshoz, ha az alábbi súlyos vagy lehetségesen súlyos mellékhatások bármelyikét észleli:</w:t>
      </w:r>
    </w:p>
    <w:p w14:paraId="33BFDD34" w14:textId="7473D4E5" w:rsidR="00E84B7C" w:rsidRPr="00564572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  <w:r w:rsidRPr="00564572">
        <w:rPr>
          <w:rFonts w:eastAsia="TimesNewRoman,Bold"/>
          <w:snapToGrid/>
          <w:szCs w:val="22"/>
          <w:lang w:val="hu-HU" w:eastAsia="en-GB"/>
        </w:rPr>
        <w:t>Húgyúti fertőzés, ami gyakran észlelhető (10-ből legfeljebb 1 beteget érinthet).</w:t>
      </w:r>
    </w:p>
    <w:p w14:paraId="62FC9ED8" w14:textId="38E7A5AA" w:rsidR="00E84B7C" w:rsidRPr="00B55AFA" w:rsidRDefault="00E84B7C" w:rsidP="00B55AFA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 w:rsidRPr="00B55AFA">
        <w:rPr>
          <w:snapToGrid/>
          <w:szCs w:val="22"/>
          <w:lang w:val="hu-HU" w:eastAsia="en-GB"/>
        </w:rPr>
        <w:t>A súlyos húgyúti fertőzés jelei a következők: láz és/vagy hidegrázás; vizeletürítés közben jelentkező égő érzés; hát- vagy derékfájás.</w:t>
      </w:r>
    </w:p>
    <w:p w14:paraId="2C9EEDCA" w14:textId="1066A85A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  <w:r w:rsidRPr="00E84B7C">
        <w:rPr>
          <w:snapToGrid/>
          <w:szCs w:val="22"/>
          <w:lang w:val="hu-HU" w:eastAsia="en-GB"/>
        </w:rPr>
        <w:t>Bár nem gyakori, ha vért lát a vizeletében, azonnal szóljon kezelőorvosának.</w:t>
      </w:r>
    </w:p>
    <w:p w14:paraId="0C100E73" w14:textId="77777777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</w:p>
    <w:p w14:paraId="62530969" w14:textId="77777777" w:rsidR="00E84B7C" w:rsidRPr="00B55AFA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Mielőbb forduljon kezelőorvosához, ha az alábbi mellékhatások bármelyikét észleli:</w:t>
      </w:r>
    </w:p>
    <w:p w14:paraId="5BE291FD" w14:textId="1ABB455D" w:rsidR="00E84B7C" w:rsidRPr="00E84B7C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Alacsony vércukorszint (hipoglikémia), ami nagyon gyakran észlelhető (10-ből több mint 1 beteget</w:t>
      </w:r>
      <w:r w:rsidRPr="00E84B7C">
        <w:rPr>
          <w:rFonts w:eastAsia="TimesNewRoman,Bold"/>
          <w:snapToGrid/>
          <w:szCs w:val="22"/>
          <w:lang w:val="hu-HU" w:eastAsia="en-GB"/>
        </w:rPr>
        <w:t xml:space="preserve"> érinthet) - amikor olyan más gyógyszerekkel is kezelik, amelyek csökkentik a vérében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lévő cukor mennyiségét, mint például a szulfonilurea vagy az inzulin.</w:t>
      </w:r>
    </w:p>
    <w:p w14:paraId="3CB0B3D3" w14:textId="77777777" w:rsidR="00B55AFA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E84B7C">
        <w:rPr>
          <w:rFonts w:eastAsia="TimesNewRoman,Bold"/>
          <w:snapToGrid/>
          <w:szCs w:val="22"/>
          <w:lang w:val="hu-HU" w:eastAsia="en-GB"/>
        </w:rPr>
        <w:t>Az alacsony vércukorszint jelei a következők:</w:t>
      </w:r>
    </w:p>
    <w:p w14:paraId="7C259B2E" w14:textId="2AE17872" w:rsidR="00E84B7C" w:rsidRPr="00B55AFA" w:rsidRDefault="00E84B7C" w:rsidP="00B55AFA">
      <w:pPr>
        <w:pStyle w:val="Listaszerbekezds"/>
        <w:numPr>
          <w:ilvl w:val="0"/>
          <w:numId w:val="25"/>
        </w:numPr>
        <w:tabs>
          <w:tab w:val="clear" w:pos="360"/>
          <w:tab w:val="num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TimesNewRoman,Bold"/>
          <w:snapToGrid/>
          <w:szCs w:val="22"/>
          <w:lang w:val="hu-HU" w:eastAsia="en-GB"/>
        </w:rPr>
      </w:pPr>
      <w:r w:rsidRPr="00B55AFA">
        <w:rPr>
          <w:rFonts w:eastAsia="TimesNewRoman,Bold"/>
          <w:snapToGrid/>
          <w:szCs w:val="22"/>
          <w:lang w:val="hu-HU" w:eastAsia="en-GB"/>
        </w:rPr>
        <w:t>remegés, verejtékezés, kifejezett nyugtalanságérzés, gyors szívverés; éhségérzet, fejfájás, a látásban bekövetkező változás; a hangulat megváltozása vagy zavartság.</w:t>
      </w:r>
    </w:p>
    <w:p w14:paraId="07A698CA" w14:textId="61CF69B3" w:rsidR="00E84B7C" w:rsidRPr="00E84B7C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E84B7C">
        <w:rPr>
          <w:rFonts w:eastAsia="TimesNewRoman,Bold"/>
          <w:snapToGrid/>
          <w:szCs w:val="22"/>
          <w:lang w:val="hu-HU" w:eastAsia="en-GB"/>
        </w:rPr>
        <w:t>Kezelőorvosa elmondja Önnek, miként kezelje az alacsony vércukorszintet, és mit tegyen, ha a fenti jelek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bármelyikét észleli. Ha Önnél az alacsony vércukorszint tünetei jelentkeznek, egyen glükóz tablettát,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magas cukortartalmú ételt vagy igyon gyümölcslevet. Ha lehetséges, mérje meg vércukorszintjét és</w:t>
      </w:r>
      <w:r>
        <w:rPr>
          <w:rFonts w:eastAsia="TimesNewRoman,Bold"/>
          <w:snapToGrid/>
          <w:szCs w:val="22"/>
          <w:lang w:val="hu-HU" w:eastAsia="en-GB"/>
        </w:rPr>
        <w:t xml:space="preserve"> </w:t>
      </w:r>
      <w:r w:rsidRPr="00FE53B7">
        <w:rPr>
          <w:rFonts w:eastAsia="TimesNewRoman,Bold"/>
          <w:snapToGrid/>
          <w:szCs w:val="22"/>
          <w:lang w:val="hu-HU" w:eastAsia="en-GB"/>
        </w:rPr>
        <w:t>pihenjen.</w:t>
      </w:r>
    </w:p>
    <w:p w14:paraId="2CA631AC" w14:textId="77777777" w:rsidR="00E84B7C" w:rsidRPr="00E84B7C" w:rsidRDefault="00E84B7C" w:rsidP="00E84B7C">
      <w:pPr>
        <w:spacing w:line="240" w:lineRule="auto"/>
        <w:ind w:right="-29"/>
        <w:rPr>
          <w:szCs w:val="22"/>
          <w:lang w:val="hu-HU"/>
        </w:rPr>
      </w:pPr>
    </w:p>
    <w:p w14:paraId="527573A4" w14:textId="77777777" w:rsidR="00E84B7C" w:rsidRPr="003F4E33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b/>
          <w:bCs/>
          <w:snapToGrid/>
          <w:szCs w:val="22"/>
          <w:lang w:val="hu-HU" w:eastAsia="en-GB"/>
        </w:rPr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Egyéb mellékhatások közé tartoznak:</w:t>
      </w:r>
    </w:p>
    <w:p w14:paraId="20DF936A" w14:textId="431AD701" w:rsidR="00E84B7C" w:rsidRPr="00054858" w:rsidRDefault="00E84B7C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Nagyon gyakori:</w:t>
      </w:r>
      <w:r w:rsidRPr="00054858">
        <w:rPr>
          <w:rFonts w:eastAsia="TimesNewRoman,Bold"/>
          <w:snapToGrid/>
          <w:szCs w:val="22"/>
          <w:lang w:val="hu-HU" w:eastAsia="en-GB"/>
        </w:rPr>
        <w:t xml:space="preserve"> hányinger, hányás; hasmenés vagy hasi fájdalom; étvágytalanság.</w:t>
      </w:r>
    </w:p>
    <w:p w14:paraId="433C2DBF" w14:textId="77777777" w:rsidR="00E84B7C" w:rsidRPr="00E84B7C" w:rsidRDefault="00E84B7C" w:rsidP="00E84B7C">
      <w:pPr>
        <w:spacing w:line="240" w:lineRule="auto"/>
        <w:ind w:right="-29"/>
        <w:rPr>
          <w:szCs w:val="22"/>
          <w:lang w:val="hu-HU"/>
        </w:rPr>
      </w:pPr>
    </w:p>
    <w:p w14:paraId="0A11DBCD" w14:textId="1637548F" w:rsidR="00E84B7C" w:rsidRPr="00E84B7C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Gyakori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="00DE45CF">
        <w:rPr>
          <w:rFonts w:eastAsia="TimesNewRoman,Bold"/>
          <w:snapToGrid/>
          <w:szCs w:val="22"/>
          <w:lang w:val="hu-HU" w:eastAsia="en-GB"/>
        </w:rPr>
        <w:t>(</w:t>
      </w:r>
      <w:r w:rsidR="00DE45CF" w:rsidRPr="00DE45CF">
        <w:rPr>
          <w:rFonts w:eastAsia="TimesNewRoman,Bold"/>
          <w:snapToGrid/>
          <w:szCs w:val="22"/>
          <w:lang w:val="hu-HU" w:eastAsia="en-GB"/>
        </w:rPr>
        <w:t>10 betegből legfeljebb 1 beteget érinthet</w:t>
      </w:r>
      <w:r w:rsidR="00DE45CF">
        <w:rPr>
          <w:rFonts w:eastAsia="TimesNewRoman,Bold"/>
          <w:snapToGrid/>
          <w:szCs w:val="22"/>
          <w:lang w:val="hu-HU" w:eastAsia="en-GB"/>
        </w:rPr>
        <w:t>)</w:t>
      </w:r>
      <w:r w:rsidR="00252726">
        <w:rPr>
          <w:rFonts w:eastAsia="TimesNewRoman,Bold"/>
          <w:snapToGrid/>
          <w:szCs w:val="22"/>
          <w:lang w:val="hu-HU" w:eastAsia="en-GB"/>
        </w:rPr>
        <w:t>:</w:t>
      </w:r>
      <w:r w:rsidR="00DE45CF" w:rsidRPr="00DE45CF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a hímvessző vagy a hüvely fertőzése (hüvelygomba) (a tünetek között irritáció, viszketés, illetve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szokatlan váladékozás vagy szag szerepelhet)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hátfájás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vizeletürítés közben kellemetlen érzés, a szokásosnál nagyobb mennyiségű vizelet ürítése vagy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gyakoribb vizeletürítés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vér koleszterin- vagy zsírszintjének a megváltozása (vérvizsgálatok jelzik)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vörösvértestek számának növekedése a vérében (vérvizsgálatok jelzik)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veseműködést jelző kreatinin-klírensz csökkenése (vérvizsgálatok jelzik) a kezelés elkezdésekor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ízérzés-változások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szédülés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bőrkiütés.</w:t>
      </w:r>
      <w:r w:rsidR="00B84BA4">
        <w:rPr>
          <w:rFonts w:eastAsia="TimesNewRoman,Bold"/>
          <w:snapToGrid/>
          <w:szCs w:val="22"/>
          <w:lang w:val="hu-HU" w:eastAsia="en-GB"/>
        </w:rPr>
        <w:t xml:space="preserve"> C</w:t>
      </w:r>
      <w:r w:rsidR="00B84BA4" w:rsidRPr="00B84BA4">
        <w:rPr>
          <w:rFonts w:eastAsia="TimesNewRoman,Bold"/>
          <w:snapToGrid/>
          <w:szCs w:val="22"/>
          <w:lang w:val="hu-HU" w:eastAsia="en-GB"/>
        </w:rPr>
        <w:t>sökkent vagy alacsony B</w:t>
      </w:r>
      <w:r w:rsidR="00B84BA4" w:rsidRPr="00B84BA4">
        <w:rPr>
          <w:rFonts w:eastAsia="TimesNewRoman,Bold"/>
          <w:snapToGrid/>
          <w:szCs w:val="22"/>
          <w:vertAlign w:val="subscript"/>
          <w:lang w:val="hu-HU" w:eastAsia="en-GB"/>
        </w:rPr>
        <w:t>12</w:t>
      </w:r>
      <w:r w:rsidR="00B84BA4" w:rsidRPr="00B84BA4">
        <w:rPr>
          <w:rFonts w:eastAsia="TimesNewRoman,Bold"/>
          <w:snapToGrid/>
          <w:szCs w:val="22"/>
          <w:lang w:val="hu-HU" w:eastAsia="en-GB"/>
        </w:rPr>
        <w:t>-vitaminszint a vérben (a tünetek közé tartozhat az extrém fáradtság, a nyelv gyulladása és kivörösödése (glosszitisz), bizsergés és zsibbadás (paresztézia), sápadt vagy sárga bőr). Kezelőorvosa bizonyos vizsgálatokat írhat elő, hogy kiderítse a tüneteinek okát, mivel ezek egy részét a cukorbetegség vagy más, nem kapcsolódó egészségügyi probléma is okozhatja.</w:t>
      </w:r>
    </w:p>
    <w:p w14:paraId="35F1E477" w14:textId="77777777" w:rsidR="00E84B7C" w:rsidRPr="00E84B7C" w:rsidRDefault="00E84B7C" w:rsidP="00E84B7C">
      <w:pPr>
        <w:spacing w:line="240" w:lineRule="auto"/>
        <w:ind w:right="-29"/>
        <w:rPr>
          <w:rFonts w:eastAsia="TimesNewRoman,Bold"/>
          <w:snapToGrid/>
          <w:szCs w:val="22"/>
          <w:lang w:val="hu-HU" w:eastAsia="en-GB"/>
        </w:rPr>
      </w:pPr>
    </w:p>
    <w:p w14:paraId="0E0AAB40" w14:textId="36A41DB1" w:rsidR="00E84B7C" w:rsidRPr="00E84B7C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Nem gyakori</w:t>
      </w:r>
      <w:r w:rsidR="00CF3C82">
        <w:rPr>
          <w:rFonts w:eastAsia="TimesNewRoman,Bold"/>
          <w:snapToGrid/>
          <w:szCs w:val="22"/>
          <w:lang w:val="hu-HU" w:eastAsia="en-GB"/>
        </w:rPr>
        <w:t xml:space="preserve"> </w:t>
      </w:r>
      <w:r w:rsidRPr="00054858">
        <w:rPr>
          <w:rFonts w:eastAsia="TimesNewRoman,Bold"/>
          <w:snapToGrid/>
          <w:szCs w:val="22"/>
          <w:lang w:val="hu-HU" w:eastAsia="en-GB"/>
        </w:rPr>
        <w:t xml:space="preserve">(100 </w:t>
      </w:r>
      <w:r w:rsidR="00CF3C82">
        <w:rPr>
          <w:rFonts w:eastAsia="TimesNewRoman,Bold"/>
          <w:snapToGrid/>
          <w:szCs w:val="22"/>
          <w:lang w:val="hu-HU" w:eastAsia="en-GB"/>
        </w:rPr>
        <w:t>betegből</w:t>
      </w:r>
      <w:r w:rsidRPr="00054858">
        <w:rPr>
          <w:rFonts w:eastAsia="TimesNewRoman,Bold"/>
          <w:snapToGrid/>
          <w:szCs w:val="22"/>
          <w:lang w:val="hu-HU" w:eastAsia="en-GB"/>
        </w:rPr>
        <w:t xml:space="preserve"> legfeljebb 1 beteget érinthet)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: </w:t>
      </w:r>
      <w:r w:rsidRPr="00E84B7C">
        <w:rPr>
          <w:rFonts w:eastAsia="TimesNewRoman,Bold"/>
          <w:snapToGrid/>
          <w:szCs w:val="22"/>
          <w:lang w:val="hu-HU" w:eastAsia="en-GB"/>
        </w:rPr>
        <w:t>túl sok folyadék elvesztése a szervezetből (kiszáradás, a tünetei közé tartozhat a nagyon száraz vagy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 </w:t>
      </w:r>
      <w:r w:rsidRPr="00E84B7C">
        <w:rPr>
          <w:rFonts w:eastAsia="TimesNewRoman,Bold"/>
          <w:snapToGrid/>
          <w:szCs w:val="22"/>
          <w:lang w:val="hu-HU" w:eastAsia="en-GB"/>
        </w:rPr>
        <w:t>összeragadó száj, a kevés vagy teljesen elmaradó vizelet, gyors szívverés)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szomjúság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székrekedés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éjszakai felébredés, mert vizelnie kell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szájszárazság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nem szándékos testtömegcsökkenés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kreatininszint növekedése (laboratóriumi vértesztben) a kezelés elkezdésekor</w:t>
      </w:r>
      <w:r w:rsidR="00054858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E84B7C">
        <w:rPr>
          <w:rFonts w:eastAsia="TimesNewRoman,Bold"/>
          <w:snapToGrid/>
          <w:szCs w:val="22"/>
          <w:lang w:val="hu-HU" w:eastAsia="en-GB"/>
        </w:rPr>
        <w:t>a karbamidszint emelkedése (laboratóriumi vérvizsgálatok jelzik).</w:t>
      </w:r>
    </w:p>
    <w:p w14:paraId="6685C422" w14:textId="77777777" w:rsidR="00054858" w:rsidRPr="00054858" w:rsidRDefault="00054858" w:rsidP="00E84B7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7FFC78C6" w14:textId="2EF28B2C" w:rsidR="00D40696" w:rsidRPr="00E46868" w:rsidRDefault="00E84B7C" w:rsidP="00363FFA">
      <w:pPr>
        <w:widowControl w:val="0"/>
        <w:tabs>
          <w:tab w:val="clear" w:pos="567"/>
          <w:tab w:val="left" w:pos="965"/>
          <w:tab w:val="left" w:pos="966"/>
        </w:tabs>
        <w:autoSpaceDE w:val="0"/>
        <w:autoSpaceDN w:val="0"/>
        <w:spacing w:line="269" w:lineRule="exact"/>
      </w:pPr>
      <w:r w:rsidRPr="003F4E33">
        <w:rPr>
          <w:rFonts w:eastAsia="TimesNewRoman,Bold"/>
          <w:b/>
          <w:bCs/>
          <w:snapToGrid/>
          <w:szCs w:val="22"/>
          <w:lang w:val="hu-HU" w:eastAsia="en-GB"/>
        </w:rPr>
        <w:t>Nagyon ritka</w:t>
      </w:r>
      <w:r w:rsidR="00054858" w:rsidRPr="00363FFA">
        <w:rPr>
          <w:rFonts w:eastAsia="TimesNewRoman,Bold"/>
          <w:snapToGrid/>
          <w:szCs w:val="22"/>
          <w:lang w:val="hu-HU" w:eastAsia="en-GB"/>
        </w:rPr>
        <w:t xml:space="preserve"> </w:t>
      </w:r>
      <w:r w:rsidR="000B2E1C" w:rsidRPr="00363FFA">
        <w:rPr>
          <w:rFonts w:eastAsia="TimesNewRoman,Bold"/>
          <w:snapToGrid/>
          <w:szCs w:val="22"/>
          <w:lang w:val="hu-HU" w:eastAsia="en-GB"/>
        </w:rPr>
        <w:t>(10 000 betegből legfeljebb 1 beteget érinthet)</w:t>
      </w:r>
      <w:r w:rsidR="00252726" w:rsidRPr="00363FFA">
        <w:rPr>
          <w:rFonts w:eastAsia="TimesNewRoman,Bold"/>
          <w:snapToGrid/>
          <w:szCs w:val="22"/>
          <w:lang w:val="hu-HU" w:eastAsia="en-GB"/>
        </w:rPr>
        <w:t>:</w:t>
      </w:r>
      <w:r w:rsidR="001714F2">
        <w:rPr>
          <w:rFonts w:eastAsia="TimesNewRoman,Bold"/>
          <w:snapToGrid/>
          <w:szCs w:val="22"/>
          <w:lang w:val="hu-HU" w:eastAsia="en-GB"/>
        </w:rPr>
        <w:t xml:space="preserve"> kóros eltérések a májfunkciós tesztekben,</w:t>
      </w:r>
      <w:r w:rsidR="000B2E1C" w:rsidRPr="00363FFA">
        <w:rPr>
          <w:rFonts w:eastAsia="TimesNewRoman,Bold"/>
          <w:snapToGrid/>
          <w:szCs w:val="22"/>
          <w:lang w:val="hu-HU" w:eastAsia="en-GB"/>
        </w:rPr>
        <w:t xml:space="preserve"> </w:t>
      </w:r>
      <w:r w:rsidRPr="00363FFA">
        <w:rPr>
          <w:rFonts w:eastAsia="TimesNewRoman,Bold"/>
          <w:snapToGrid/>
          <w:szCs w:val="22"/>
          <w:lang w:val="hu-HU" w:eastAsia="en-GB"/>
        </w:rPr>
        <w:t>májgyulladás (hepatitisz)</w:t>
      </w:r>
      <w:r w:rsidR="00054858" w:rsidRPr="00363FFA">
        <w:rPr>
          <w:rFonts w:eastAsia="TimesNewRoman,Bold"/>
          <w:snapToGrid/>
          <w:szCs w:val="22"/>
          <w:lang w:val="hu-HU" w:eastAsia="en-GB"/>
        </w:rPr>
        <w:t xml:space="preserve">; </w:t>
      </w:r>
      <w:r w:rsidRPr="00363FFA">
        <w:rPr>
          <w:rFonts w:eastAsia="TimesNewRoman,Bold"/>
          <w:snapToGrid/>
          <w:szCs w:val="22"/>
          <w:lang w:val="hu-HU" w:eastAsia="en-GB"/>
        </w:rPr>
        <w:t>a bőr kivörösödése (eritéma), viszketése vagy viszkető bőrkiütések (csalánkiütés)</w:t>
      </w:r>
      <w:r w:rsidR="00D40696" w:rsidRPr="00363FFA">
        <w:rPr>
          <w:rFonts w:eastAsia="TimesNewRoman,Bold"/>
          <w:snapToGrid/>
          <w:szCs w:val="22"/>
          <w:lang w:val="hu-HU" w:eastAsia="en-GB"/>
        </w:rPr>
        <w:t xml:space="preserve">, </w:t>
      </w:r>
      <w:r w:rsidR="00D40696" w:rsidRPr="00E46868">
        <w:t>vesegyulladás (tubulointersticiális</w:t>
      </w:r>
      <w:r w:rsidR="00D40696" w:rsidRPr="00363FFA">
        <w:rPr>
          <w:spacing w:val="-1"/>
        </w:rPr>
        <w:t xml:space="preserve"> </w:t>
      </w:r>
      <w:r w:rsidR="00D40696" w:rsidRPr="00E46868">
        <w:t>nefritisz).</w:t>
      </w:r>
    </w:p>
    <w:p w14:paraId="3EA301CF" w14:textId="13B235C0" w:rsidR="00E84B7C" w:rsidRPr="00054858" w:rsidRDefault="00E84B7C" w:rsidP="0005485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,Bold"/>
          <w:snapToGrid/>
          <w:szCs w:val="22"/>
          <w:lang w:val="hu-HU" w:eastAsia="en-GB"/>
        </w:rPr>
      </w:pPr>
    </w:p>
    <w:p w14:paraId="1F81C496" w14:textId="77777777" w:rsidR="00054858" w:rsidRPr="00054858" w:rsidRDefault="00054858" w:rsidP="00082A8E">
      <w:pPr>
        <w:spacing w:line="240" w:lineRule="auto"/>
        <w:ind w:right="-29"/>
        <w:rPr>
          <w:szCs w:val="22"/>
          <w:lang w:val="hu-HU"/>
        </w:rPr>
      </w:pPr>
    </w:p>
    <w:p w14:paraId="6E38E845" w14:textId="189F9F47" w:rsidR="001E64D1" w:rsidRPr="00E84B7C" w:rsidRDefault="00D05999" w:rsidP="00082A8E">
      <w:pPr>
        <w:spacing w:line="240" w:lineRule="auto"/>
        <w:ind w:right="-29"/>
        <w:rPr>
          <w:b/>
          <w:bCs/>
          <w:szCs w:val="22"/>
          <w:lang w:val="hu-HU"/>
        </w:rPr>
      </w:pPr>
      <w:r w:rsidRPr="00E84B7C">
        <w:rPr>
          <w:b/>
          <w:bCs/>
          <w:szCs w:val="22"/>
          <w:lang w:val="hu-HU"/>
        </w:rPr>
        <w:t>Mellékhatások bejelentése</w:t>
      </w:r>
    </w:p>
    <w:p w14:paraId="172C30D1" w14:textId="21778572" w:rsidR="001E64D1" w:rsidRPr="00054858" w:rsidRDefault="00D05999" w:rsidP="00E320A0">
      <w:pPr>
        <w:spacing w:line="240" w:lineRule="auto"/>
        <w:ind w:right="-2"/>
        <w:rPr>
          <w:noProof/>
          <w:szCs w:val="22"/>
          <w:lang w:val="hu-HU"/>
        </w:rPr>
      </w:pPr>
      <w:r w:rsidRPr="00E84B7C">
        <w:rPr>
          <w:szCs w:val="22"/>
          <w:lang w:val="hu-HU"/>
        </w:rPr>
        <w:t xml:space="preserve">Ha </w:t>
      </w:r>
      <w:r w:rsidRPr="00E84B7C">
        <w:rPr>
          <w:noProof/>
          <w:szCs w:val="22"/>
          <w:lang w:val="hu-HU"/>
        </w:rPr>
        <w:t>Önnél bármilyen</w:t>
      </w:r>
      <w:r w:rsidRPr="00E84B7C">
        <w:rPr>
          <w:szCs w:val="22"/>
          <w:lang w:val="hu-HU"/>
        </w:rPr>
        <w:t xml:space="preserve"> mellékhatás </w:t>
      </w:r>
      <w:r w:rsidRPr="00E84B7C">
        <w:rPr>
          <w:noProof/>
          <w:szCs w:val="22"/>
          <w:lang w:val="hu-HU"/>
        </w:rPr>
        <w:t>jelentkezik, tájékoztassa</w:t>
      </w:r>
      <w:r w:rsidR="00054858">
        <w:rPr>
          <w:noProof/>
          <w:szCs w:val="22"/>
          <w:lang w:val="hu-HU"/>
        </w:rPr>
        <w:t xml:space="preserve"> </w:t>
      </w:r>
      <w:r w:rsidRPr="00E84B7C">
        <w:rPr>
          <w:noProof/>
          <w:szCs w:val="22"/>
          <w:lang w:val="hu-HU"/>
        </w:rPr>
        <w:t>kezelőorvosát</w:t>
      </w:r>
      <w:r w:rsidR="00054858">
        <w:rPr>
          <w:noProof/>
          <w:szCs w:val="22"/>
          <w:lang w:val="hu-HU"/>
        </w:rPr>
        <w:t xml:space="preserve">, </w:t>
      </w:r>
      <w:r w:rsidRPr="00E84B7C">
        <w:rPr>
          <w:noProof/>
          <w:szCs w:val="22"/>
          <w:lang w:val="hu-HU"/>
        </w:rPr>
        <w:t>gyógyszerészét</w:t>
      </w:r>
      <w:r w:rsidR="00054858">
        <w:rPr>
          <w:noProof/>
          <w:szCs w:val="22"/>
          <w:lang w:val="hu-HU"/>
        </w:rPr>
        <w:t xml:space="preserve"> </w:t>
      </w:r>
      <w:r w:rsidR="00111AC4" w:rsidRPr="00E84B7C">
        <w:rPr>
          <w:szCs w:val="22"/>
          <w:lang w:val="hu-HU"/>
        </w:rPr>
        <w:t>vagy gondozását végző egészségügyi szakembert.</w:t>
      </w:r>
      <w:r w:rsidR="00111AC4" w:rsidRPr="002B382A">
        <w:rPr>
          <w:lang w:val="hu-HU"/>
        </w:rPr>
        <w:t xml:space="preserve"> </w:t>
      </w:r>
      <w:r w:rsidRPr="002B382A">
        <w:rPr>
          <w:noProof/>
          <w:szCs w:val="24"/>
          <w:lang w:val="hu-HU"/>
        </w:rPr>
        <w:t>Ez</w:t>
      </w:r>
      <w:r w:rsidRPr="002B382A">
        <w:rPr>
          <w:lang w:val="hu-HU"/>
        </w:rPr>
        <w:t xml:space="preserve"> a betegtájékoztatóban </w:t>
      </w:r>
      <w:r w:rsidRPr="002B382A">
        <w:rPr>
          <w:noProof/>
          <w:szCs w:val="24"/>
          <w:lang w:val="hu-HU"/>
        </w:rPr>
        <w:t>fel nem sorolt bármilyen lehetséges mellékhatásra is vonatkozik.</w:t>
      </w:r>
      <w:r w:rsidR="00111AC4" w:rsidRPr="002B382A">
        <w:rPr>
          <w:noProof/>
          <w:szCs w:val="24"/>
          <w:lang w:val="hu-HU"/>
        </w:rPr>
        <w:t xml:space="preserve"> </w:t>
      </w:r>
      <w:r w:rsidR="00111AC4" w:rsidRPr="002B382A">
        <w:rPr>
          <w:lang w:val="hu-HU"/>
        </w:rPr>
        <w:t xml:space="preserve">A mellékhatásokat közvetlenül a hatóság részére is bejelentheti az </w:t>
      </w:r>
      <w:hyperlink r:id="rId10" w:history="1">
        <w:r w:rsidR="00111AC4" w:rsidRPr="002B382A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2B382A">
        <w:rPr>
          <w:highlight w:val="lightGray"/>
          <w:lang w:val="hu-HU"/>
        </w:rPr>
        <w:t xml:space="preserve"> található elérhetőségeken keresztül</w:t>
      </w:r>
      <w:r w:rsidR="002D1F2D" w:rsidRPr="002B382A">
        <w:rPr>
          <w:color w:val="008000"/>
          <w:lang w:val="hu-HU"/>
        </w:rPr>
        <w:t>.</w:t>
      </w:r>
    </w:p>
    <w:p w14:paraId="47D6E2C2" w14:textId="77777777" w:rsidR="005B1E2E" w:rsidRDefault="005B1E2E" w:rsidP="00B311B8">
      <w:pPr>
        <w:spacing w:line="240" w:lineRule="auto"/>
        <w:ind w:right="-2"/>
        <w:rPr>
          <w:lang w:val="hu-HU"/>
        </w:rPr>
      </w:pPr>
    </w:p>
    <w:p w14:paraId="15598AFC" w14:textId="14D4EEB9" w:rsidR="001E64D1" w:rsidRPr="002B382A" w:rsidRDefault="00D05999" w:rsidP="00B311B8">
      <w:pPr>
        <w:spacing w:line="240" w:lineRule="auto"/>
        <w:ind w:right="-2"/>
        <w:rPr>
          <w:lang w:val="hu-HU"/>
        </w:rPr>
      </w:pPr>
      <w:r w:rsidRPr="002B382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9728E7E" w14:textId="77777777" w:rsidR="00F45C51" w:rsidRPr="00F06234" w:rsidRDefault="00F45C51" w:rsidP="00E320A0">
      <w:pPr>
        <w:spacing w:line="240" w:lineRule="auto"/>
        <w:ind w:right="-2"/>
        <w:rPr>
          <w:lang w:val="hu-HU"/>
        </w:rPr>
      </w:pPr>
    </w:p>
    <w:p w14:paraId="7AD13BA8" w14:textId="77777777" w:rsidR="00C9380B" w:rsidRPr="00F06234" w:rsidRDefault="00C9380B" w:rsidP="00E320A0">
      <w:pPr>
        <w:spacing w:line="240" w:lineRule="auto"/>
        <w:ind w:right="-2"/>
        <w:rPr>
          <w:lang w:val="hu-HU"/>
        </w:rPr>
      </w:pPr>
    </w:p>
    <w:p w14:paraId="47EA8B99" w14:textId="47B91C32" w:rsidR="00F45C51" w:rsidRPr="005B1E2E" w:rsidRDefault="00D05999" w:rsidP="00B311B8">
      <w:pPr>
        <w:spacing w:line="240" w:lineRule="auto"/>
        <w:ind w:left="567" w:right="-2" w:hanging="567"/>
        <w:rPr>
          <w:b/>
          <w:lang w:val="nb-NO"/>
        </w:rPr>
      </w:pPr>
      <w:r w:rsidRPr="005B1E2E">
        <w:rPr>
          <w:b/>
          <w:lang w:val="nb-NO"/>
        </w:rPr>
        <w:t>5.</w:t>
      </w:r>
      <w:r w:rsidRPr="005B1E2E">
        <w:rPr>
          <w:b/>
          <w:lang w:val="nb-NO"/>
        </w:rPr>
        <w:tab/>
      </w:r>
      <w:r w:rsidRPr="005B1E2E">
        <w:rPr>
          <w:b/>
          <w:noProof/>
          <w:szCs w:val="24"/>
          <w:lang w:val="nb-NO"/>
        </w:rPr>
        <w:t xml:space="preserve">Hogyan kell a </w:t>
      </w:r>
      <w:r w:rsidR="00881A95">
        <w:rPr>
          <w:b/>
          <w:lang w:val="hu-HU"/>
        </w:rPr>
        <w:t>Dapagliflozin/Metformin PharmaPath</w:t>
      </w:r>
      <w:r w:rsidRPr="005B1E2E">
        <w:rPr>
          <w:b/>
          <w:noProof/>
          <w:szCs w:val="24"/>
          <w:lang w:val="nb-NO"/>
        </w:rPr>
        <w:t>-t tárolni</w:t>
      </w:r>
      <w:r w:rsidRPr="005B1E2E">
        <w:rPr>
          <w:b/>
          <w:lang w:val="nb-NO"/>
        </w:rPr>
        <w:t>?</w:t>
      </w:r>
    </w:p>
    <w:p w14:paraId="7C9EFF62" w14:textId="77777777" w:rsidR="00054858" w:rsidRPr="00BA38B2" w:rsidRDefault="00054858" w:rsidP="00B311B8">
      <w:pPr>
        <w:spacing w:line="240" w:lineRule="auto"/>
        <w:ind w:right="-2"/>
        <w:rPr>
          <w:lang w:val="hu-HU"/>
        </w:rPr>
      </w:pPr>
    </w:p>
    <w:p w14:paraId="450B8BF8" w14:textId="16EC26F3" w:rsidR="00F45C51" w:rsidRPr="00BA38B2" w:rsidRDefault="00D05999" w:rsidP="00B311B8">
      <w:pPr>
        <w:spacing w:line="240" w:lineRule="auto"/>
        <w:ind w:right="-2"/>
        <w:rPr>
          <w:lang w:val="hu-HU"/>
        </w:rPr>
      </w:pPr>
      <w:r w:rsidRPr="00BA38B2">
        <w:rPr>
          <w:lang w:val="hu-HU"/>
        </w:rPr>
        <w:t>A gyógyszer gyermekektől elzárva tartandó!</w:t>
      </w:r>
    </w:p>
    <w:p w14:paraId="67057AB0" w14:textId="77777777" w:rsidR="00F45C51" w:rsidRDefault="00F45C51" w:rsidP="00082A8E">
      <w:pPr>
        <w:spacing w:line="240" w:lineRule="auto"/>
        <w:ind w:right="-2"/>
        <w:rPr>
          <w:lang w:val="hu-HU"/>
        </w:rPr>
      </w:pPr>
    </w:p>
    <w:p w14:paraId="361FC676" w14:textId="64926B16" w:rsidR="002C6C0B" w:rsidRDefault="002C6C0B" w:rsidP="00082A8E">
      <w:pPr>
        <w:spacing w:line="240" w:lineRule="auto"/>
        <w:ind w:right="-2"/>
        <w:rPr>
          <w:lang w:val="hu-HU"/>
        </w:rPr>
      </w:pPr>
      <w:r w:rsidRPr="002C6C0B">
        <w:rPr>
          <w:lang w:val="hu-HU"/>
        </w:rPr>
        <w:t>Ez a gyógyszer nem igényel különleges tárolást.</w:t>
      </w:r>
    </w:p>
    <w:p w14:paraId="5891E9BE" w14:textId="77777777" w:rsidR="002C6C0B" w:rsidRPr="00BA38B2" w:rsidRDefault="002C6C0B" w:rsidP="00082A8E">
      <w:pPr>
        <w:spacing w:line="240" w:lineRule="auto"/>
        <w:ind w:right="-2"/>
        <w:rPr>
          <w:lang w:val="hu-HU"/>
        </w:rPr>
      </w:pPr>
    </w:p>
    <w:p w14:paraId="4B5C6A35" w14:textId="38149227" w:rsidR="00BA38B2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A buborékcsomagoláson vagy a dobozon feltüntetett lejárati idő (</w:t>
      </w:r>
      <w:r w:rsidR="00AF543B">
        <w:rPr>
          <w:snapToGrid/>
          <w:szCs w:val="22"/>
          <w:lang w:val="hu-HU" w:eastAsia="en-GB"/>
        </w:rPr>
        <w:t>EXP</w:t>
      </w:r>
      <w:r w:rsidR="005B1E2E">
        <w:rPr>
          <w:snapToGrid/>
          <w:szCs w:val="22"/>
          <w:lang w:val="hu-HU" w:eastAsia="en-GB"/>
        </w:rPr>
        <w:t xml:space="preserve">) </w:t>
      </w:r>
      <w:r w:rsidRPr="00BA38B2">
        <w:rPr>
          <w:snapToGrid/>
          <w:szCs w:val="22"/>
          <w:lang w:val="hu-HU" w:eastAsia="en-GB"/>
        </w:rPr>
        <w:t>után ne</w:t>
      </w:r>
      <w:r>
        <w:rPr>
          <w:snapToGrid/>
          <w:szCs w:val="22"/>
          <w:lang w:val="hu-HU" w:eastAsia="en-GB"/>
        </w:rPr>
        <w:t xml:space="preserve"> </w:t>
      </w:r>
      <w:r w:rsidRPr="00BA38B2">
        <w:rPr>
          <w:snapToGrid/>
          <w:szCs w:val="22"/>
          <w:lang w:val="hu-HU" w:eastAsia="en-GB"/>
        </w:rPr>
        <w:t>alkalmazza ezt a gyógyszert. A lejárati idő az adott hónap utolsó napjára vonatkozik.</w:t>
      </w:r>
    </w:p>
    <w:p w14:paraId="0135DCA0" w14:textId="77777777" w:rsidR="00AF543B" w:rsidRDefault="00AF543B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36342E7" w14:textId="5611BABE" w:rsidR="00BA38B2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Ez a gyógyszer nem igényel különleges tárolást.</w:t>
      </w:r>
    </w:p>
    <w:p w14:paraId="1E0D73A3" w14:textId="77777777" w:rsid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CFF7098" w14:textId="7C680D7C" w:rsidR="00F45C51" w:rsidRPr="00BA38B2" w:rsidRDefault="00BA38B2" w:rsidP="00BA38B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BA38B2">
        <w:rPr>
          <w:snapToGrid/>
          <w:szCs w:val="22"/>
          <w:lang w:val="hu-HU" w:eastAsia="en-GB"/>
        </w:rPr>
        <w:t>Semmilyen gyógyszert ne dobjon a szennyvízbe vagy a háztartási hulladékba. Kérdezze meg</w:t>
      </w:r>
      <w:r>
        <w:rPr>
          <w:snapToGrid/>
          <w:szCs w:val="22"/>
          <w:lang w:val="hu-HU" w:eastAsia="en-GB"/>
        </w:rPr>
        <w:t xml:space="preserve"> </w:t>
      </w:r>
      <w:r w:rsidRPr="00BA38B2">
        <w:rPr>
          <w:snapToGrid/>
          <w:szCs w:val="22"/>
          <w:lang w:val="hu-HU" w:eastAsia="en-GB"/>
        </w:rPr>
        <w:t>gyógyszerészét, hogy mit tegyen a már nem használt gyógyszereivel. Ezek az intézkedések elősegítik a környezet védelmét.</w:t>
      </w:r>
    </w:p>
    <w:p w14:paraId="7E8F5E77" w14:textId="77777777" w:rsidR="00F45C51" w:rsidRPr="00FE53B7" w:rsidRDefault="00F45C51" w:rsidP="00082A8E">
      <w:pPr>
        <w:spacing w:line="240" w:lineRule="auto"/>
        <w:ind w:right="-2"/>
        <w:rPr>
          <w:lang w:val="hu-HU"/>
        </w:rPr>
      </w:pPr>
    </w:p>
    <w:p w14:paraId="58D8F4E8" w14:textId="77777777" w:rsidR="00BA38B2" w:rsidRPr="00FE53B7" w:rsidRDefault="00BA38B2" w:rsidP="00082A8E">
      <w:pPr>
        <w:spacing w:line="240" w:lineRule="auto"/>
        <w:ind w:right="-2"/>
        <w:rPr>
          <w:lang w:val="hu-HU"/>
        </w:rPr>
      </w:pPr>
    </w:p>
    <w:p w14:paraId="5D2806F8" w14:textId="77777777" w:rsidR="00F45C51" w:rsidRPr="00FE53B7" w:rsidRDefault="00D05999" w:rsidP="00082A8E">
      <w:pPr>
        <w:spacing w:line="240" w:lineRule="auto"/>
        <w:ind w:left="567" w:right="-2" w:hanging="567"/>
        <w:rPr>
          <w:b/>
          <w:lang w:val="hu-HU"/>
        </w:rPr>
      </w:pPr>
      <w:r w:rsidRPr="00FE53B7">
        <w:rPr>
          <w:b/>
          <w:lang w:val="hu-HU"/>
        </w:rPr>
        <w:t>6.</w:t>
      </w:r>
      <w:r w:rsidRPr="00FE53B7">
        <w:rPr>
          <w:b/>
          <w:lang w:val="hu-HU"/>
        </w:rPr>
        <w:tab/>
      </w:r>
      <w:r w:rsidRPr="00FE53B7">
        <w:rPr>
          <w:b/>
          <w:noProof/>
          <w:szCs w:val="24"/>
          <w:lang w:val="hu-HU"/>
        </w:rPr>
        <w:t>A csomagolás tartalma és egyéb információk</w:t>
      </w:r>
    </w:p>
    <w:p w14:paraId="63A04F27" w14:textId="77777777" w:rsidR="00F45C51" w:rsidRPr="00FE53B7" w:rsidRDefault="00F45C51" w:rsidP="00082A8E">
      <w:pPr>
        <w:spacing w:line="240" w:lineRule="auto"/>
        <w:rPr>
          <w:lang w:val="hu-HU"/>
        </w:rPr>
      </w:pPr>
    </w:p>
    <w:p w14:paraId="18097D10" w14:textId="5483EC09" w:rsidR="00F45C51" w:rsidRPr="005B1E2E" w:rsidRDefault="00D05999" w:rsidP="00082A8E">
      <w:pPr>
        <w:spacing w:line="240" w:lineRule="auto"/>
        <w:rPr>
          <w:b/>
          <w:lang w:val="hu-HU"/>
        </w:rPr>
      </w:pPr>
      <w:r w:rsidRPr="005B1E2E">
        <w:rPr>
          <w:b/>
          <w:lang w:val="hu-HU"/>
        </w:rPr>
        <w:t>Mit tartalmaz a</w:t>
      </w:r>
      <w:r w:rsidR="00A370C7" w:rsidRPr="005B1E2E">
        <w:rPr>
          <w:b/>
          <w:lang w:val="hu-HU"/>
        </w:rPr>
        <w:t xml:space="preserve"> </w:t>
      </w:r>
      <w:r w:rsidR="00881A95">
        <w:rPr>
          <w:b/>
          <w:lang w:val="hu-HU"/>
        </w:rPr>
        <w:t>Dapagliflozin/Metformin PharmaPath</w:t>
      </w:r>
      <w:r w:rsidR="00905D16" w:rsidRPr="005B1E2E">
        <w:rPr>
          <w:b/>
          <w:lang w:val="hu-HU"/>
        </w:rPr>
        <w:t>?</w:t>
      </w:r>
    </w:p>
    <w:p w14:paraId="788C6D7E" w14:textId="5F8A979E" w:rsidR="00741C3B" w:rsidRPr="005B1E2E" w:rsidRDefault="00881A95" w:rsidP="00082A8E">
      <w:pPr>
        <w:spacing w:line="240" w:lineRule="auto"/>
        <w:rPr>
          <w:bCs/>
          <w:u w:val="single"/>
          <w:lang w:val="hu-HU"/>
        </w:rPr>
      </w:pPr>
      <w:r>
        <w:rPr>
          <w:u w:val="single"/>
          <w:lang w:val="hu-HU"/>
        </w:rPr>
        <w:t>Dapagliflozin/Metformin PharmaPath</w:t>
      </w:r>
      <w:r w:rsidR="00741C3B" w:rsidRPr="005B1E2E">
        <w:rPr>
          <w:bCs/>
          <w:u w:val="single"/>
          <w:lang w:val="hu-HU"/>
        </w:rPr>
        <w:t xml:space="preserve"> 5</w:t>
      </w:r>
      <w:r w:rsidR="00777B82">
        <w:rPr>
          <w:bCs/>
          <w:u w:val="single"/>
          <w:lang w:val="hu-HU"/>
        </w:rPr>
        <w:t> mg</w:t>
      </w:r>
      <w:r w:rsidR="00741C3B" w:rsidRPr="005B1E2E">
        <w:rPr>
          <w:bCs/>
          <w:u w:val="single"/>
          <w:lang w:val="hu-HU"/>
        </w:rPr>
        <w:t>/850</w:t>
      </w:r>
      <w:r w:rsidR="00777B82">
        <w:rPr>
          <w:bCs/>
          <w:u w:val="single"/>
          <w:lang w:val="hu-HU"/>
        </w:rPr>
        <w:t> mg</w:t>
      </w:r>
      <w:r w:rsidR="00741C3B" w:rsidRPr="005B1E2E">
        <w:rPr>
          <w:bCs/>
          <w:snapToGrid/>
          <w:szCs w:val="22"/>
          <w:u w:val="single"/>
          <w:lang w:val="hu-HU" w:eastAsia="en-GB"/>
        </w:rPr>
        <w:t xml:space="preserve"> filmtabletta</w:t>
      </w:r>
    </w:p>
    <w:p w14:paraId="19D9C8D1" w14:textId="3C071C77" w:rsidR="00BA38B2" w:rsidRPr="007477A9" w:rsidRDefault="00BA38B2" w:rsidP="00BA38B2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>-</w:t>
      </w:r>
      <w:r w:rsidRPr="007477A9">
        <w:rPr>
          <w:snapToGrid/>
          <w:szCs w:val="22"/>
          <w:lang w:val="hu-HU" w:eastAsia="en-GB"/>
        </w:rPr>
        <w:tab/>
      </w:r>
      <w:r w:rsidRPr="003F4E33">
        <w:rPr>
          <w:snapToGrid/>
          <w:szCs w:val="22"/>
          <w:lang w:val="hu-HU" w:eastAsia="en-GB"/>
        </w:rPr>
        <w:t>A hatóanyagok</w:t>
      </w:r>
      <w:r w:rsidRPr="0016326B">
        <w:rPr>
          <w:snapToGrid/>
          <w:szCs w:val="22"/>
          <w:lang w:val="hu-HU" w:eastAsia="en-GB"/>
        </w:rPr>
        <w:t xml:space="preserve"> a</w:t>
      </w:r>
      <w:r w:rsidRPr="007477A9">
        <w:rPr>
          <w:snapToGrid/>
          <w:szCs w:val="22"/>
          <w:lang w:val="hu-HU" w:eastAsia="en-GB"/>
        </w:rPr>
        <w:t xml:space="preserve"> dapagliflozin és a metformin-hidroklorid.</w:t>
      </w:r>
    </w:p>
    <w:p w14:paraId="59FDAA6E" w14:textId="6553E5EE" w:rsidR="00BA38B2" w:rsidRDefault="00BA38B2" w:rsidP="005B1E2E">
      <w:pPr>
        <w:autoSpaceDE w:val="0"/>
        <w:autoSpaceDN w:val="0"/>
        <w:adjustRightInd w:val="0"/>
        <w:spacing w:line="240" w:lineRule="auto"/>
        <w:ind w:left="567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lastRenderedPageBreak/>
        <w:t xml:space="preserve">Minden </w:t>
      </w:r>
      <w:r w:rsidR="00881A95">
        <w:rPr>
          <w:lang w:val="hu-HU"/>
        </w:rPr>
        <w:t>Dapagliflozin/Metformin PharmaPath</w:t>
      </w:r>
      <w:r w:rsidRPr="007477A9">
        <w:rPr>
          <w:snapToGrid/>
          <w:szCs w:val="22"/>
          <w:lang w:val="hu-HU" w:eastAsia="en-GB"/>
        </w:rPr>
        <w:t xml:space="preserve"> filmtabletta 5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dapagliflozin</w:t>
      </w:r>
      <w:r w:rsidR="00634311">
        <w:rPr>
          <w:snapToGrid/>
          <w:szCs w:val="22"/>
          <w:lang w:val="hu-HU" w:eastAsia="en-GB"/>
        </w:rPr>
        <w:t>t</w:t>
      </w:r>
      <w:r w:rsidRPr="007477A9">
        <w:rPr>
          <w:snapToGrid/>
          <w:szCs w:val="22"/>
          <w:lang w:val="hu-HU" w:eastAsia="en-GB"/>
        </w:rPr>
        <w:t xml:space="preserve"> és 850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metformin-hidrokloridot tartalmaz.</w:t>
      </w:r>
    </w:p>
    <w:p w14:paraId="157A0BA5" w14:textId="77777777" w:rsidR="00012311" w:rsidRDefault="00012311" w:rsidP="00012311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7477A9">
        <w:rPr>
          <w:snapToGrid/>
          <w:szCs w:val="22"/>
          <w:lang w:val="hu-HU" w:eastAsia="en-GB"/>
        </w:rPr>
        <w:t>Egyéb összetevők:</w:t>
      </w:r>
    </w:p>
    <w:p w14:paraId="61F53B90" w14:textId="77777777" w:rsidR="004F42DF" w:rsidRPr="004F42DF" w:rsidRDefault="00012311" w:rsidP="004F42DF">
      <w:pPr>
        <w:autoSpaceDE w:val="0"/>
        <w:autoSpaceDN w:val="0"/>
        <w:adjustRightInd w:val="0"/>
        <w:spacing w:line="240" w:lineRule="auto"/>
        <w:ind w:left="1440" w:hanging="306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="004F42DF" w:rsidRPr="004F42DF">
        <w:rPr>
          <w:i/>
          <w:iCs/>
          <w:snapToGrid/>
          <w:szCs w:val="22"/>
          <w:lang w:val="hu-HU" w:eastAsia="en-GB"/>
        </w:rPr>
        <w:t>Tabletta mag</w:t>
      </w:r>
      <w:r w:rsidR="004F42DF" w:rsidRPr="004F42DF">
        <w:rPr>
          <w:snapToGrid/>
          <w:szCs w:val="22"/>
          <w:lang w:val="hu-HU" w:eastAsia="en-GB"/>
        </w:rPr>
        <w:t>: mikrokristályos cellulóz (101-es típus), kroszkarmellóz nátrium, kopovidon K25-31, magnézium-sztearát.</w:t>
      </w:r>
    </w:p>
    <w:p w14:paraId="09ACF27D" w14:textId="09F6E441" w:rsidR="00012311" w:rsidRDefault="004F42DF" w:rsidP="004F42DF">
      <w:pPr>
        <w:autoSpaceDE w:val="0"/>
        <w:autoSpaceDN w:val="0"/>
        <w:adjustRightInd w:val="0"/>
        <w:spacing w:line="240" w:lineRule="auto"/>
        <w:ind w:left="1440" w:hanging="306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4F42DF">
        <w:rPr>
          <w:i/>
          <w:iCs/>
          <w:snapToGrid/>
          <w:szCs w:val="22"/>
          <w:lang w:val="hu-HU" w:eastAsia="en-GB"/>
        </w:rPr>
        <w:t>Bevonat</w:t>
      </w:r>
      <w:r w:rsidRPr="004F42DF">
        <w:rPr>
          <w:snapToGrid/>
          <w:szCs w:val="22"/>
          <w:lang w:val="hu-HU" w:eastAsia="en-GB"/>
        </w:rPr>
        <w:t>: poli(vinil-alkohol), titán-dioxid (E171), makrogol (3350-es típus), talkum, sárga vas-oxid (E172), vörös vas-oxid (E172).</w:t>
      </w:r>
    </w:p>
    <w:p w14:paraId="53448454" w14:textId="77777777" w:rsidR="004F42DF" w:rsidRPr="007477A9" w:rsidRDefault="004F42DF" w:rsidP="004F42DF">
      <w:pPr>
        <w:autoSpaceDE w:val="0"/>
        <w:autoSpaceDN w:val="0"/>
        <w:adjustRightInd w:val="0"/>
        <w:spacing w:line="240" w:lineRule="auto"/>
        <w:ind w:left="1440" w:hanging="306"/>
        <w:rPr>
          <w:snapToGrid/>
          <w:szCs w:val="22"/>
          <w:lang w:val="hu-HU" w:eastAsia="en-GB"/>
        </w:rPr>
      </w:pPr>
    </w:p>
    <w:p w14:paraId="64C5941D" w14:textId="0A4E507E" w:rsidR="00012311" w:rsidRPr="005B1E2E" w:rsidRDefault="00881A95" w:rsidP="00012311">
      <w:pPr>
        <w:spacing w:line="240" w:lineRule="auto"/>
        <w:rPr>
          <w:bCs/>
          <w:u w:val="single"/>
          <w:lang w:val="hu-HU"/>
        </w:rPr>
      </w:pPr>
      <w:r>
        <w:rPr>
          <w:u w:val="single"/>
          <w:lang w:val="hu-HU"/>
        </w:rPr>
        <w:t>Dapagliflozin/Metformin PharmaPath</w:t>
      </w:r>
      <w:r w:rsidR="005B1E2E" w:rsidRPr="005B1E2E">
        <w:rPr>
          <w:u w:val="single"/>
          <w:lang w:val="hu-HU"/>
        </w:rPr>
        <w:t xml:space="preserve"> </w:t>
      </w:r>
      <w:r w:rsidR="00012311" w:rsidRPr="005B1E2E">
        <w:rPr>
          <w:bCs/>
          <w:u w:val="single"/>
          <w:lang w:val="hu-HU"/>
        </w:rPr>
        <w:t>5</w:t>
      </w:r>
      <w:r w:rsidR="00777B82">
        <w:rPr>
          <w:bCs/>
          <w:u w:val="single"/>
          <w:lang w:val="hu-HU"/>
        </w:rPr>
        <w:t> mg</w:t>
      </w:r>
      <w:r w:rsidR="00012311" w:rsidRPr="005B1E2E">
        <w:rPr>
          <w:bCs/>
          <w:u w:val="single"/>
          <w:lang w:val="hu-HU"/>
        </w:rPr>
        <w:t>/1000</w:t>
      </w:r>
      <w:r w:rsidR="00777B82">
        <w:rPr>
          <w:bCs/>
          <w:u w:val="single"/>
          <w:lang w:val="hu-HU"/>
        </w:rPr>
        <w:t> mg</w:t>
      </w:r>
      <w:r w:rsidR="00012311" w:rsidRPr="005B1E2E">
        <w:rPr>
          <w:bCs/>
          <w:snapToGrid/>
          <w:szCs w:val="22"/>
          <w:u w:val="single"/>
          <w:lang w:val="hu-HU" w:eastAsia="en-GB"/>
        </w:rPr>
        <w:t xml:space="preserve"> filmtabletta</w:t>
      </w:r>
    </w:p>
    <w:p w14:paraId="2244706C" w14:textId="4501F449" w:rsidR="00012311" w:rsidRPr="007477A9" w:rsidRDefault="00012311" w:rsidP="00012311">
      <w:pPr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>-</w:t>
      </w:r>
      <w:r w:rsidRPr="007477A9">
        <w:rPr>
          <w:snapToGrid/>
          <w:szCs w:val="22"/>
          <w:lang w:val="hu-HU" w:eastAsia="en-GB"/>
        </w:rPr>
        <w:tab/>
      </w:r>
      <w:r w:rsidRPr="003F4E33">
        <w:rPr>
          <w:snapToGrid/>
          <w:szCs w:val="22"/>
          <w:lang w:val="hu-HU" w:eastAsia="en-GB"/>
        </w:rPr>
        <w:t>A hatóanyagok</w:t>
      </w:r>
      <w:r w:rsidRPr="007477A9">
        <w:rPr>
          <w:snapToGrid/>
          <w:szCs w:val="22"/>
          <w:lang w:val="hu-HU" w:eastAsia="en-GB"/>
        </w:rPr>
        <w:t xml:space="preserve"> a dapagliflozin és a metformin-hidroklorid.</w:t>
      </w:r>
    </w:p>
    <w:p w14:paraId="3699A020" w14:textId="3D99612A" w:rsidR="00012311" w:rsidRDefault="00012311" w:rsidP="00B93ADD">
      <w:pPr>
        <w:autoSpaceDE w:val="0"/>
        <w:autoSpaceDN w:val="0"/>
        <w:adjustRightInd w:val="0"/>
        <w:spacing w:line="240" w:lineRule="auto"/>
        <w:ind w:left="567"/>
        <w:rPr>
          <w:snapToGrid/>
          <w:szCs w:val="22"/>
          <w:lang w:val="hu-HU" w:eastAsia="en-GB"/>
        </w:rPr>
      </w:pPr>
      <w:r w:rsidRPr="007477A9">
        <w:rPr>
          <w:snapToGrid/>
          <w:szCs w:val="22"/>
          <w:lang w:val="hu-HU" w:eastAsia="en-GB"/>
        </w:rPr>
        <w:t xml:space="preserve">Minden </w:t>
      </w:r>
      <w:r w:rsidR="00881A95">
        <w:rPr>
          <w:lang w:val="hu-HU"/>
        </w:rPr>
        <w:t>Dapagliflozin/Metformin PharmaPath</w:t>
      </w:r>
      <w:r w:rsidR="005B1E2E" w:rsidRPr="00564572">
        <w:rPr>
          <w:lang w:val="hu-HU"/>
        </w:rPr>
        <w:t xml:space="preserve"> </w:t>
      </w:r>
      <w:r w:rsidRPr="007477A9">
        <w:rPr>
          <w:snapToGrid/>
          <w:szCs w:val="22"/>
          <w:lang w:val="hu-HU" w:eastAsia="en-GB"/>
        </w:rPr>
        <w:t>filmtabletta 5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dapagliflozin</w:t>
      </w:r>
      <w:r w:rsidR="00D507C6">
        <w:rPr>
          <w:snapToGrid/>
          <w:szCs w:val="22"/>
          <w:lang w:val="hu-HU" w:eastAsia="en-GB"/>
        </w:rPr>
        <w:t>t</w:t>
      </w:r>
      <w:r w:rsidRPr="007477A9">
        <w:rPr>
          <w:snapToGrid/>
          <w:szCs w:val="22"/>
          <w:lang w:val="hu-HU" w:eastAsia="en-GB"/>
        </w:rPr>
        <w:t xml:space="preserve"> és </w:t>
      </w:r>
      <w:r>
        <w:rPr>
          <w:snapToGrid/>
          <w:szCs w:val="22"/>
          <w:lang w:val="hu-HU" w:eastAsia="en-GB"/>
        </w:rPr>
        <w:t>100</w:t>
      </w:r>
      <w:r w:rsidRPr="007477A9">
        <w:rPr>
          <w:snapToGrid/>
          <w:szCs w:val="22"/>
          <w:lang w:val="hu-HU" w:eastAsia="en-GB"/>
        </w:rPr>
        <w:t>0</w:t>
      </w:r>
      <w:r w:rsidR="00777B82">
        <w:rPr>
          <w:snapToGrid/>
          <w:szCs w:val="22"/>
          <w:lang w:val="hu-HU" w:eastAsia="en-GB"/>
        </w:rPr>
        <w:t> mg</w:t>
      </w:r>
      <w:r w:rsidRPr="007477A9">
        <w:rPr>
          <w:snapToGrid/>
          <w:szCs w:val="22"/>
          <w:lang w:val="hu-HU" w:eastAsia="en-GB"/>
        </w:rPr>
        <w:t xml:space="preserve"> metformin-hidrokloridot tartalmaz.</w:t>
      </w:r>
    </w:p>
    <w:p w14:paraId="693C2B64" w14:textId="77777777" w:rsidR="005B1E2E" w:rsidRDefault="005B1E2E" w:rsidP="005B1E2E">
      <w:pPr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7477A9">
        <w:rPr>
          <w:snapToGrid/>
          <w:szCs w:val="22"/>
          <w:lang w:val="hu-HU" w:eastAsia="en-GB"/>
        </w:rPr>
        <w:t>Egyéb összetevők:</w:t>
      </w:r>
    </w:p>
    <w:p w14:paraId="0049DBE2" w14:textId="306E0042" w:rsidR="00CD6757" w:rsidRPr="00CD6757" w:rsidRDefault="00CD6757" w:rsidP="001B54CB">
      <w:pPr>
        <w:keepNext/>
        <w:tabs>
          <w:tab w:val="clear" w:pos="567"/>
        </w:tabs>
        <w:spacing w:line="240" w:lineRule="auto"/>
        <w:ind w:left="567" w:right="-2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CD6757">
        <w:rPr>
          <w:i/>
          <w:iCs/>
          <w:snapToGrid/>
          <w:szCs w:val="22"/>
          <w:lang w:val="hu-HU" w:eastAsia="en-GB"/>
        </w:rPr>
        <w:t>Tabletta mag</w:t>
      </w:r>
      <w:r w:rsidRPr="00CD6757">
        <w:rPr>
          <w:snapToGrid/>
          <w:szCs w:val="22"/>
          <w:lang w:val="hu-HU" w:eastAsia="en-GB"/>
        </w:rPr>
        <w:t>: mikrokristályos cellulóz (101-es típus), kroszkarmellóz nátrium, kopovidon K25-31, magnézium-sztearát.</w:t>
      </w:r>
    </w:p>
    <w:p w14:paraId="08BF0BD0" w14:textId="77069E82" w:rsidR="00BA38B2" w:rsidRDefault="00CD6757" w:rsidP="001B54CB">
      <w:pPr>
        <w:keepNext/>
        <w:tabs>
          <w:tab w:val="clear" w:pos="567"/>
        </w:tabs>
        <w:spacing w:line="240" w:lineRule="auto"/>
        <w:ind w:left="567" w:right="-2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-</w:t>
      </w:r>
      <w:r>
        <w:rPr>
          <w:snapToGrid/>
          <w:szCs w:val="22"/>
          <w:lang w:val="hu-HU" w:eastAsia="en-GB"/>
        </w:rPr>
        <w:tab/>
      </w:r>
      <w:r w:rsidRPr="00CD6757">
        <w:rPr>
          <w:i/>
          <w:iCs/>
          <w:snapToGrid/>
          <w:szCs w:val="22"/>
          <w:lang w:val="hu-HU" w:eastAsia="en-GB"/>
        </w:rPr>
        <w:t>Bevonat</w:t>
      </w:r>
      <w:r w:rsidRPr="00CD6757">
        <w:rPr>
          <w:snapToGrid/>
          <w:szCs w:val="22"/>
          <w:lang w:val="hu-HU" w:eastAsia="en-GB"/>
        </w:rPr>
        <w:t>: poli(vinil-alkohol), titán-dioxid (E171), makrogol (3350-es típus), talkum, sárga vas-oxid (E172)</w:t>
      </w:r>
    </w:p>
    <w:p w14:paraId="044E1DDB" w14:textId="77777777" w:rsidR="00CD6757" w:rsidRPr="007477A9" w:rsidRDefault="00CD6757" w:rsidP="00CD6757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75D1D4D2" w14:textId="5113DE33" w:rsidR="00F45C51" w:rsidRPr="005B1E2E" w:rsidRDefault="00D05999" w:rsidP="00B311B8">
      <w:pPr>
        <w:spacing w:line="240" w:lineRule="auto"/>
        <w:rPr>
          <w:b/>
          <w:lang w:val="hu-HU"/>
        </w:rPr>
      </w:pPr>
      <w:r w:rsidRPr="005B1E2E">
        <w:rPr>
          <w:b/>
          <w:lang w:val="hu-HU"/>
        </w:rPr>
        <w:t xml:space="preserve">Milyen a </w:t>
      </w:r>
      <w:r w:rsidR="00881A95">
        <w:rPr>
          <w:b/>
          <w:lang w:val="hu-HU"/>
        </w:rPr>
        <w:t>Dapagliflozin/Metformin PharmaPath</w:t>
      </w:r>
      <w:r w:rsidRPr="005B1E2E">
        <w:rPr>
          <w:b/>
          <w:lang w:val="hu-HU"/>
        </w:rPr>
        <w:t xml:space="preserve"> külleme és mit tartalmaz a csomagolás</w:t>
      </w:r>
      <w:r w:rsidR="00905D16" w:rsidRPr="005B1E2E">
        <w:rPr>
          <w:b/>
          <w:lang w:val="hu-HU"/>
        </w:rPr>
        <w:t>?</w:t>
      </w:r>
    </w:p>
    <w:p w14:paraId="2750F29A" w14:textId="3F93EEE6" w:rsidR="00012311" w:rsidRPr="005B1E2E" w:rsidRDefault="00881A95" w:rsidP="00012311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Dapagliflozin/Metformin PharmaPath</w:t>
      </w:r>
      <w:r w:rsidR="005B1E2E" w:rsidRPr="005B1E2E">
        <w:rPr>
          <w:snapToGrid/>
          <w:szCs w:val="22"/>
          <w:u w:val="single"/>
          <w:lang w:val="hu-HU" w:eastAsia="en-GB"/>
        </w:rPr>
        <w:t xml:space="preserve"> </w:t>
      </w:r>
      <w:r w:rsidR="00012311" w:rsidRPr="005B1E2E">
        <w:rPr>
          <w:u w:val="single"/>
          <w:lang w:val="hu-HU"/>
        </w:rPr>
        <w:t>5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>/850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 xml:space="preserve"> filmtabletta</w:t>
      </w:r>
    </w:p>
    <w:p w14:paraId="6FEF2495" w14:textId="34273720" w:rsidR="00012311" w:rsidRDefault="004C7765" w:rsidP="00012311">
      <w:pPr>
        <w:spacing w:line="240" w:lineRule="auto"/>
        <w:rPr>
          <w:lang w:val="hu-HU"/>
        </w:rPr>
      </w:pPr>
      <w:r w:rsidRPr="004C7765">
        <w:rPr>
          <w:lang w:val="hu-HU"/>
        </w:rPr>
        <w:t>Barna, ovális (kb. 9,7 mm x 20,4 mm), mindkét oldalán domború, sima, filmbevonatos tabletták.</w:t>
      </w:r>
    </w:p>
    <w:p w14:paraId="29BA3024" w14:textId="77777777" w:rsidR="004C7765" w:rsidRPr="00012311" w:rsidRDefault="004C7765" w:rsidP="00012311">
      <w:pPr>
        <w:spacing w:line="240" w:lineRule="auto"/>
        <w:rPr>
          <w:lang w:val="hu-HU"/>
        </w:rPr>
      </w:pPr>
    </w:p>
    <w:p w14:paraId="445B5BBE" w14:textId="36B52DC7" w:rsidR="00012311" w:rsidRPr="005B1E2E" w:rsidRDefault="00881A95" w:rsidP="00B93ADD">
      <w:pPr>
        <w:keepNext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Dapagliflozin/Metformin PharmaPath</w:t>
      </w:r>
      <w:r w:rsidR="005B1E2E" w:rsidRPr="005B1E2E">
        <w:rPr>
          <w:snapToGrid/>
          <w:szCs w:val="22"/>
          <w:u w:val="single"/>
          <w:lang w:val="hu-HU" w:eastAsia="en-GB"/>
        </w:rPr>
        <w:t xml:space="preserve"> </w:t>
      </w:r>
      <w:r w:rsidR="00012311" w:rsidRPr="005B1E2E">
        <w:rPr>
          <w:u w:val="single"/>
          <w:lang w:val="hu-HU"/>
        </w:rPr>
        <w:t>5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>/1000</w:t>
      </w:r>
      <w:r w:rsidR="00777B82">
        <w:rPr>
          <w:u w:val="single"/>
          <w:lang w:val="hu-HU"/>
        </w:rPr>
        <w:t> mg</w:t>
      </w:r>
      <w:r w:rsidR="00012311" w:rsidRPr="005B1E2E">
        <w:rPr>
          <w:u w:val="single"/>
          <w:lang w:val="hu-HU"/>
        </w:rPr>
        <w:t xml:space="preserve"> filmtabletta</w:t>
      </w:r>
    </w:p>
    <w:p w14:paraId="5AC5D420" w14:textId="29D1395B" w:rsidR="004C7765" w:rsidRPr="004C7765" w:rsidRDefault="004C7765" w:rsidP="004C7765">
      <w:pPr>
        <w:spacing w:line="240" w:lineRule="auto"/>
        <w:rPr>
          <w:lang w:val="hu-HU"/>
        </w:rPr>
      </w:pPr>
      <w:r w:rsidRPr="004C7765">
        <w:rPr>
          <w:lang w:val="hu-HU"/>
        </w:rPr>
        <w:t>Sárga, ovális (kb. 10,6 mm x 21,6 mm), mindkét oldalán domború filmbevonatos tabletták, az egyik oldalon "5/1000" bevéséssel, a másik oldal sima.</w:t>
      </w:r>
    </w:p>
    <w:p w14:paraId="192B5815" w14:textId="77777777" w:rsidR="004C7765" w:rsidRPr="00012311" w:rsidRDefault="004C7765" w:rsidP="00012311">
      <w:pPr>
        <w:spacing w:line="240" w:lineRule="auto"/>
        <w:rPr>
          <w:lang w:val="hu-HU"/>
        </w:rPr>
      </w:pPr>
    </w:p>
    <w:p w14:paraId="3FC0788A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PVC/PCTFE//Al buborékcsomagolásban, dobozban.</w:t>
      </w:r>
    </w:p>
    <w:p w14:paraId="55DD2238" w14:textId="77777777" w:rsidR="0082572E" w:rsidRPr="0082572E" w:rsidRDefault="0082572E" w:rsidP="0082572E">
      <w:pPr>
        <w:spacing w:line="240" w:lineRule="auto"/>
        <w:rPr>
          <w:lang w:val="hu-HU"/>
        </w:rPr>
      </w:pPr>
    </w:p>
    <w:p w14:paraId="1F76A140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Csomagolás méretek</w:t>
      </w:r>
    </w:p>
    <w:p w14:paraId="2514E519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7 db, 10 db, 14 db, 28 db, 30 db, 56 db, 60 db és 90 db filmtabletta.</w:t>
      </w:r>
    </w:p>
    <w:p w14:paraId="2DA5C98C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10 db filmtabletta {Nap/Hold szimbólum}.</w:t>
      </w:r>
    </w:p>
    <w:p w14:paraId="4C31D50D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7 db, 14 db filmtabletta: H., K., Sze., Csüt., P., Szo., Vas{Nap/Hold szimbólum}.</w:t>
      </w:r>
    </w:p>
    <w:p w14:paraId="2EC741B8" w14:textId="77777777" w:rsidR="0082572E" w:rsidRPr="0082572E" w:rsidRDefault="0082572E" w:rsidP="0082572E">
      <w:pPr>
        <w:spacing w:line="240" w:lineRule="auto"/>
        <w:rPr>
          <w:lang w:val="hu-HU"/>
        </w:rPr>
      </w:pPr>
      <w:r w:rsidRPr="0082572E">
        <w:rPr>
          <w:lang w:val="hu-HU"/>
        </w:rPr>
        <w:t>60×1 db filmtabletta adagonként perforált buborékcsomagolásban.</w:t>
      </w:r>
    </w:p>
    <w:p w14:paraId="3ED72B26" w14:textId="2D30FC32" w:rsidR="007477A9" w:rsidRPr="007477A9" w:rsidRDefault="0082572E" w:rsidP="0082572E">
      <w:pPr>
        <w:spacing w:line="240" w:lineRule="auto"/>
        <w:rPr>
          <w:snapToGrid/>
          <w:szCs w:val="22"/>
          <w:lang w:val="hu-HU" w:eastAsia="en-GB"/>
        </w:rPr>
      </w:pPr>
      <w:r w:rsidRPr="0082572E">
        <w:rPr>
          <w:lang w:val="hu-HU"/>
        </w:rPr>
        <w:t>Gyűjtőcsomagolás, mely 196 db (2 csomag 98 db) filmtablettát tartalmaz.</w:t>
      </w:r>
      <w:r w:rsidR="0092524F">
        <w:rPr>
          <w:snapToGrid/>
          <w:szCs w:val="22"/>
          <w:lang w:val="hu-HU" w:eastAsia="en-GB"/>
        </w:rPr>
        <w:t xml:space="preserve">Nem </w:t>
      </w:r>
      <w:r w:rsidR="007477A9" w:rsidRPr="007477A9">
        <w:rPr>
          <w:snapToGrid/>
          <w:szCs w:val="22"/>
          <w:lang w:val="hu-HU" w:eastAsia="en-GB"/>
        </w:rPr>
        <w:t>feltétlenül mindegyik kiszerelés kerül kereskedelmi forgalomba.</w:t>
      </w:r>
    </w:p>
    <w:p w14:paraId="357CA37B" w14:textId="77777777" w:rsidR="007477A9" w:rsidRPr="00301BBD" w:rsidRDefault="007477A9" w:rsidP="007477A9">
      <w:pPr>
        <w:spacing w:line="240" w:lineRule="auto"/>
        <w:rPr>
          <w:bCs/>
          <w:lang w:val="hu-HU"/>
        </w:rPr>
      </w:pPr>
    </w:p>
    <w:p w14:paraId="5C6C0F0A" w14:textId="36094CBB" w:rsidR="00F45C51" w:rsidRDefault="00D05999" w:rsidP="00B311B8">
      <w:pPr>
        <w:spacing w:line="240" w:lineRule="auto"/>
        <w:rPr>
          <w:b/>
          <w:lang w:val="hu-HU"/>
        </w:rPr>
      </w:pPr>
      <w:r w:rsidRPr="007477A9">
        <w:rPr>
          <w:b/>
          <w:lang w:val="hu-HU"/>
        </w:rPr>
        <w:t>A forgalomba hozatali engedély jogosultja és a gyártó</w:t>
      </w:r>
    </w:p>
    <w:p w14:paraId="2A8C345B" w14:textId="77777777" w:rsidR="006B581B" w:rsidRPr="007477A9" w:rsidRDefault="006B581B" w:rsidP="00B311B8">
      <w:pPr>
        <w:spacing w:line="240" w:lineRule="auto"/>
        <w:rPr>
          <w:b/>
          <w:lang w:val="hu-HU"/>
        </w:rPr>
      </w:pPr>
    </w:p>
    <w:p w14:paraId="68CB9FE2" w14:textId="77777777" w:rsidR="00A11660" w:rsidRPr="00A11660" w:rsidRDefault="00A11660" w:rsidP="00A11660">
      <w:pPr>
        <w:spacing w:line="240" w:lineRule="auto"/>
        <w:ind w:right="-2"/>
        <w:rPr>
          <w:rFonts w:eastAsia="Calibri"/>
          <w:lang w:val="hu-HU" w:eastAsia="pl-PL"/>
        </w:rPr>
      </w:pPr>
      <w:r w:rsidRPr="00A11660">
        <w:rPr>
          <w:rFonts w:eastAsia="Calibri"/>
          <w:lang w:val="hu-HU" w:eastAsia="pl-PL"/>
        </w:rPr>
        <w:t>PharmaPath S.A.</w:t>
      </w:r>
    </w:p>
    <w:p w14:paraId="66C19EE7" w14:textId="77777777" w:rsidR="00A11660" w:rsidRPr="00A11660" w:rsidRDefault="00A11660" w:rsidP="00A11660">
      <w:pPr>
        <w:spacing w:line="240" w:lineRule="auto"/>
        <w:ind w:right="-2"/>
        <w:rPr>
          <w:rFonts w:eastAsia="Calibri"/>
          <w:lang w:val="hu-HU" w:eastAsia="pl-PL"/>
        </w:rPr>
      </w:pPr>
      <w:r w:rsidRPr="00A11660">
        <w:rPr>
          <w:rFonts w:eastAsia="Calibri"/>
          <w:lang w:val="hu-HU" w:eastAsia="pl-PL"/>
        </w:rPr>
        <w:t xml:space="preserve">28is Oktovriou 1, </w:t>
      </w:r>
    </w:p>
    <w:p w14:paraId="2CFA0326" w14:textId="77777777" w:rsidR="00A11660" w:rsidRPr="00A11660" w:rsidRDefault="00A11660" w:rsidP="00A11660">
      <w:pPr>
        <w:spacing w:line="240" w:lineRule="auto"/>
        <w:ind w:right="-2"/>
        <w:rPr>
          <w:rFonts w:eastAsia="Calibri"/>
          <w:lang w:val="hu-HU" w:eastAsia="pl-PL"/>
        </w:rPr>
      </w:pPr>
      <w:r w:rsidRPr="00A11660">
        <w:rPr>
          <w:rFonts w:eastAsia="Calibri"/>
          <w:lang w:val="hu-HU" w:eastAsia="pl-PL"/>
        </w:rPr>
        <w:t>Agia Varvara, 123 51,</w:t>
      </w:r>
    </w:p>
    <w:p w14:paraId="7864F193" w14:textId="0E578C9E" w:rsidR="00B311B8" w:rsidRDefault="00A11660" w:rsidP="00A11660">
      <w:pPr>
        <w:spacing w:line="240" w:lineRule="auto"/>
        <w:ind w:right="-2"/>
        <w:rPr>
          <w:rFonts w:eastAsia="Calibri"/>
          <w:lang w:val="hu-HU" w:eastAsia="pl-PL"/>
        </w:rPr>
      </w:pPr>
      <w:r w:rsidRPr="00A11660">
        <w:rPr>
          <w:rFonts w:eastAsia="Calibri"/>
          <w:lang w:val="hu-HU" w:eastAsia="pl-PL"/>
        </w:rPr>
        <w:t>Görögország</w:t>
      </w:r>
    </w:p>
    <w:p w14:paraId="1DD0D88D" w14:textId="77777777" w:rsidR="00A11660" w:rsidRPr="001A076A" w:rsidRDefault="00A11660" w:rsidP="00A11660">
      <w:pPr>
        <w:spacing w:line="240" w:lineRule="auto"/>
        <w:ind w:right="-2"/>
        <w:rPr>
          <w:lang w:val="hu-HU"/>
        </w:rPr>
      </w:pPr>
    </w:p>
    <w:p w14:paraId="53948A44" w14:textId="21C58FD1" w:rsidR="00F3760A" w:rsidRDefault="00D05999" w:rsidP="008F0EF9">
      <w:pPr>
        <w:spacing w:line="240" w:lineRule="auto"/>
        <w:ind w:right="-2"/>
        <w:rPr>
          <w:b/>
          <w:lang w:val="hu-HU"/>
        </w:rPr>
      </w:pPr>
      <w:r w:rsidRPr="00F06234">
        <w:rPr>
          <w:b/>
          <w:lang w:val="hu-HU"/>
        </w:rPr>
        <w:t>Ezt a gyógyszert az Európai Gazdasági Térség tagállamaiban</w:t>
      </w:r>
      <w:r w:rsidR="0069715A" w:rsidRPr="00F06234">
        <w:rPr>
          <w:b/>
          <w:lang w:val="hu-HU"/>
        </w:rPr>
        <w:t xml:space="preserve"> </w:t>
      </w:r>
      <w:r w:rsidRPr="00F06234">
        <w:rPr>
          <w:b/>
          <w:lang w:val="hu-HU"/>
        </w:rPr>
        <w:t>az alábbi neveken engedélyezték:</w:t>
      </w:r>
    </w:p>
    <w:p w14:paraId="663B0456" w14:textId="77777777" w:rsidR="00A11660" w:rsidRDefault="00A11660" w:rsidP="008F0EF9">
      <w:pPr>
        <w:spacing w:line="240" w:lineRule="auto"/>
        <w:ind w:right="-2"/>
        <w:rPr>
          <w:b/>
          <w:lang w:val="hu-HU"/>
        </w:rPr>
      </w:pPr>
    </w:p>
    <w:p w14:paraId="36EC7C30" w14:textId="77777777" w:rsidR="00881A95" w:rsidRPr="00881A95" w:rsidRDefault="00881A95" w:rsidP="00CD62C7">
      <w:pPr>
        <w:numPr>
          <w:ilvl w:val="12"/>
          <w:numId w:val="0"/>
        </w:numPr>
        <w:tabs>
          <w:tab w:val="clear" w:pos="567"/>
        </w:tabs>
        <w:spacing w:line="240" w:lineRule="auto"/>
        <w:ind w:right="-1"/>
        <w:rPr>
          <w:lang w:val="hu-HU"/>
        </w:rPr>
      </w:pPr>
      <w:r w:rsidRPr="00881A95">
        <w:rPr>
          <w:lang w:val="hu-HU"/>
        </w:rPr>
        <w:t>Franciaország</w:t>
      </w:r>
      <w:r w:rsidRPr="00881A95">
        <w:rPr>
          <w:lang w:val="hu-HU"/>
        </w:rPr>
        <w:tab/>
        <w:t>Dapagliflozin/Metformin PharmaPath 5 mg/850 mg &amp; 5 mg/1000 mg, comprimé pelliculé</w:t>
      </w:r>
    </w:p>
    <w:p w14:paraId="6A28234D" w14:textId="29651C00" w:rsidR="00A11660" w:rsidRDefault="00881A95" w:rsidP="00881A9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  <w:r w:rsidRPr="00881A95">
        <w:rPr>
          <w:lang w:val="hu-HU"/>
        </w:rPr>
        <w:t xml:space="preserve">Magyarország </w:t>
      </w:r>
      <w:r w:rsidRPr="00881A95">
        <w:rPr>
          <w:lang w:val="hu-HU"/>
        </w:rPr>
        <w:tab/>
        <w:t>Dapagliflozin/Metformin PharmaPath 5 mg/850 mg &amp; 5 mg/1000 mg filmtabletta</w:t>
      </w:r>
    </w:p>
    <w:p w14:paraId="3593DEEA" w14:textId="77777777" w:rsidR="00881A95" w:rsidRDefault="00881A95" w:rsidP="00881A9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8562FEF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u w:val="single"/>
          <w:lang w:val="hu-HU"/>
        </w:rPr>
      </w:pPr>
      <w:r w:rsidRPr="00E53E7C">
        <w:rPr>
          <w:szCs w:val="23"/>
          <w:u w:val="single"/>
          <w:lang w:val="hu-HU"/>
        </w:rPr>
        <w:t>Dapagliflozin/Metformin PharmaPath 5 mg/850 mg filmtabletta</w:t>
      </w:r>
    </w:p>
    <w:p w14:paraId="6D799486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OGYI-T-24710/01       7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  PVC/PCTFE//Al buborékcsomagolásban</w:t>
      </w:r>
    </w:p>
    <w:p w14:paraId="6C43DB6D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OGYI-T-24710/02        7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  PVC/PCTFE//Al naptárjelzéses buborékcsomagolásban</w:t>
      </w:r>
    </w:p>
    <w:p w14:paraId="0245E375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OGYI-T-24710/03        10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4E33A08C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OGYI-T-24710/04        14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2DA2F8AC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OGYI-T-24710/05        14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naptárjelzéses buborékcsomagolásban</w:t>
      </w:r>
    </w:p>
    <w:p w14:paraId="602AB8D9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OGYI-T-24710/06       28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620238EB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OGYI-T-24710/07        30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0A4E7248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lastRenderedPageBreak/>
        <w:t>OGYI-T-24710/08        56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7E82DEA3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OGYI-T-24710/09        60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7DA4130A" w14:textId="77777777" w:rsidR="00A626D7" w:rsidRPr="00E53E7C" w:rsidRDefault="00A626D7" w:rsidP="00A626D7">
      <w:pPr>
        <w:tabs>
          <w:tab w:val="clear" w:pos="567"/>
          <w:tab w:val="left" w:pos="0"/>
        </w:tabs>
        <w:spacing w:line="240" w:lineRule="auto"/>
        <w:ind w:right="-285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OGYI-T-24710/10        60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1                     PVC/PCTFE//Al adagonként perforált buborékcsomagolásban</w:t>
      </w:r>
    </w:p>
    <w:p w14:paraId="1A7B6258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OGYI-T-24710/11        90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0A787941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OGYI-T-24710/12        196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(2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98)          PVC/PCTFE//Al buborékcsomagolásban</w:t>
      </w:r>
    </w:p>
    <w:p w14:paraId="4AD05754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(gyűjtőcsomagolásban)</w:t>
      </w:r>
    </w:p>
    <w:p w14:paraId="35B30B81" w14:textId="77777777" w:rsidR="00A626D7" w:rsidRPr="00E53E7C" w:rsidRDefault="00A626D7" w:rsidP="00A626D7">
      <w:pPr>
        <w:spacing w:line="240" w:lineRule="auto"/>
        <w:outlineLvl w:val="0"/>
        <w:rPr>
          <w:szCs w:val="23"/>
          <w:lang w:val="hu-HU"/>
        </w:rPr>
      </w:pPr>
    </w:p>
    <w:p w14:paraId="30CD3379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u w:val="single"/>
          <w:lang w:val="hu-HU"/>
        </w:rPr>
      </w:pPr>
      <w:r w:rsidRPr="00E53E7C">
        <w:rPr>
          <w:szCs w:val="23"/>
          <w:u w:val="single"/>
          <w:lang w:val="hu-HU"/>
        </w:rPr>
        <w:t>Dapagliflozin/Metformin PharmaPath 5 mg/1000 mg filmtabletta</w:t>
      </w:r>
    </w:p>
    <w:p w14:paraId="4B3C7A1B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OGYI-T-24710/13       7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  PVC/PCTFE//Al buborékcsomagolásban</w:t>
      </w:r>
    </w:p>
    <w:p w14:paraId="6A252CC8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OGYI-T-24710/14        7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  PVC/PCTFE//Al naptárjelzéses buborékcsomagolásban</w:t>
      </w:r>
    </w:p>
    <w:p w14:paraId="2F33DFBB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OGYI-T-24710/15        10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741AD210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OGYI-T-24710/16        14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43F99471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OGYI-T-24710/17        14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naptárjelzéses buborékcsomagolásban</w:t>
      </w:r>
    </w:p>
    <w:p w14:paraId="58C08ACA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OGYI-T-24710/18       28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6D995C1E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OGYI-T-24710/19        30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2F6FEAF4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OGYI-T-24710/20        56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73955673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OGYI-T-24710/21        60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43226261" w14:textId="77777777" w:rsidR="00A626D7" w:rsidRPr="00E53E7C" w:rsidRDefault="00A626D7" w:rsidP="00A626D7">
      <w:pPr>
        <w:spacing w:line="240" w:lineRule="auto"/>
        <w:ind w:left="567" w:right="-285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OGYI-T-24710/22        60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1                     PVC/PCTFE//Al adagonként perforált buborékcsomagolásban</w:t>
      </w:r>
    </w:p>
    <w:p w14:paraId="1924EC99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OGYI-T-24710/23        90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 xml:space="preserve">                       PVC/PCTFE//Al buborékcsomagolásban</w:t>
      </w:r>
    </w:p>
    <w:p w14:paraId="38955664" w14:textId="77777777" w:rsidR="00A626D7" w:rsidRPr="00E53E7C" w:rsidRDefault="00A626D7" w:rsidP="00A626D7">
      <w:pPr>
        <w:spacing w:line="240" w:lineRule="auto"/>
        <w:ind w:left="567" w:hanging="567"/>
        <w:outlineLvl w:val="0"/>
        <w:rPr>
          <w:szCs w:val="23"/>
          <w:lang w:val="hu-HU"/>
        </w:rPr>
      </w:pPr>
      <w:r w:rsidRPr="00E53E7C">
        <w:rPr>
          <w:szCs w:val="23"/>
          <w:lang w:val="hu-HU"/>
        </w:rPr>
        <w:t>OGYI-T-24710/24        196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(2</w:t>
      </w:r>
      <w:r>
        <w:rPr>
          <w:szCs w:val="23"/>
          <w:lang w:val="hu-HU"/>
        </w:rPr>
        <w:t>×</w:t>
      </w:r>
      <w:r w:rsidRPr="00E53E7C">
        <w:rPr>
          <w:szCs w:val="23"/>
          <w:lang w:val="hu-HU"/>
        </w:rPr>
        <w:t>98)          PVC/PCTFE//Al buborékcsomagolásban</w:t>
      </w:r>
    </w:p>
    <w:p w14:paraId="542005A1" w14:textId="77777777" w:rsidR="00A626D7" w:rsidRDefault="00A626D7" w:rsidP="00A626D7">
      <w:pPr>
        <w:spacing w:line="240" w:lineRule="auto"/>
        <w:ind w:left="567" w:hanging="567"/>
        <w:outlineLvl w:val="0"/>
        <w:rPr>
          <w:bCs/>
          <w:lang w:val="hu-HU"/>
        </w:rPr>
      </w:pPr>
      <w:r w:rsidRPr="00E53E7C">
        <w:rPr>
          <w:szCs w:val="23"/>
          <w:lang w:val="hu-HU"/>
        </w:rPr>
        <w:t>(gyűjtőcsomagolásban)</w:t>
      </w:r>
    </w:p>
    <w:p w14:paraId="11F9F12B" w14:textId="77777777" w:rsidR="0010310D" w:rsidRPr="004A66F2" w:rsidRDefault="0010310D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43E977D" w14:textId="6C690F57" w:rsidR="00F45C51" w:rsidRPr="001A076A" w:rsidRDefault="00D05999" w:rsidP="00082A8E">
      <w:pPr>
        <w:spacing w:line="240" w:lineRule="auto"/>
        <w:ind w:right="-2"/>
        <w:rPr>
          <w:bCs/>
          <w:lang w:val="hu-HU"/>
        </w:rPr>
      </w:pPr>
      <w:r w:rsidRPr="001A076A">
        <w:rPr>
          <w:b/>
          <w:lang w:val="hu-HU"/>
        </w:rPr>
        <w:t xml:space="preserve">A betegtájékoztató </w:t>
      </w:r>
      <w:r w:rsidRPr="001A076A">
        <w:rPr>
          <w:b/>
          <w:noProof/>
          <w:szCs w:val="24"/>
          <w:lang w:val="hu-HU"/>
        </w:rPr>
        <w:t>legutóbbi felülvizsgálatának</w:t>
      </w:r>
      <w:r w:rsidRPr="001A076A">
        <w:rPr>
          <w:b/>
          <w:lang w:val="hu-HU"/>
        </w:rPr>
        <w:t xml:space="preserve"> dátuma</w:t>
      </w:r>
      <w:r w:rsidRPr="001A076A">
        <w:rPr>
          <w:b/>
          <w:noProof/>
          <w:szCs w:val="24"/>
          <w:lang w:val="hu-HU"/>
        </w:rPr>
        <w:t>:</w:t>
      </w:r>
      <w:r w:rsidR="0010310D">
        <w:rPr>
          <w:b/>
          <w:noProof/>
          <w:szCs w:val="24"/>
          <w:lang w:val="hu-HU"/>
        </w:rPr>
        <w:t xml:space="preserve"> </w:t>
      </w:r>
      <w:r w:rsidR="00541F77">
        <w:rPr>
          <w:b/>
          <w:noProof/>
          <w:szCs w:val="24"/>
          <w:lang w:val="hu-HU"/>
        </w:rPr>
        <w:t xml:space="preserve">2026. </w:t>
      </w:r>
      <w:r w:rsidR="006D1CB4">
        <w:rPr>
          <w:b/>
          <w:noProof/>
          <w:szCs w:val="24"/>
          <w:lang w:val="hu-HU"/>
        </w:rPr>
        <w:t>február.</w:t>
      </w:r>
    </w:p>
    <w:sectPr w:rsidR="00F45C51" w:rsidRPr="001A076A" w:rsidSect="002D1F2D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2D877" w14:textId="77777777" w:rsidR="003E5E26" w:rsidRDefault="003E5E26">
      <w:pPr>
        <w:spacing w:line="240" w:lineRule="auto"/>
      </w:pPr>
      <w:r>
        <w:separator/>
      </w:r>
    </w:p>
  </w:endnote>
  <w:endnote w:type="continuationSeparator" w:id="0">
    <w:p w14:paraId="47D69E8B" w14:textId="77777777" w:rsidR="003E5E26" w:rsidRDefault="003E5E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Yu Gothic"/>
    <w:charset w:val="00"/>
    <w:family w:val="roman"/>
    <w:pitch w:val="default"/>
    <w:sig w:usb0="00000081" w:usb1="08070000" w:usb2="00000010" w:usb3="00000000" w:csb0="00020008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,Bold">
    <w:altName w:val="Yu Gothic"/>
    <w:panose1 w:val="00000000000000000000"/>
    <w:charset w:val="00"/>
    <w:family w:val="auto"/>
    <w:notTrueType/>
    <w:pitch w:val="default"/>
    <w:sig w:usb0="00000083" w:usb1="00000000" w:usb2="00000000" w:usb3="00000000" w:csb0="00000009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57A5" w14:textId="573FC261" w:rsidR="00E320A0" w:rsidRPr="006A2191" w:rsidRDefault="00E320A0" w:rsidP="006A2191">
    <w:pPr>
      <w:pStyle w:val="llb"/>
      <w:jc w:val="right"/>
      <w:rPr>
        <w:rFonts w:ascii="Times New Roman" w:hAnsi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D31D1" w14:textId="77777777" w:rsidR="002C1198" w:rsidRPr="002C1198" w:rsidRDefault="002C1198" w:rsidP="002C1198">
    <w:pPr>
      <w:pStyle w:val="llb"/>
      <w:rPr>
        <w:rFonts w:ascii="Times New Roman" w:hAnsi="Times New Roman"/>
        <w:noProof w:val="0"/>
        <w:sz w:val="18"/>
        <w:szCs w:val="18"/>
        <w:lang w:val="en-GB"/>
      </w:rPr>
    </w:pPr>
    <w:r w:rsidRPr="002C1198">
      <w:rPr>
        <w:rFonts w:ascii="Times New Roman" w:hAnsi="Times New Roman"/>
        <w:noProof w:val="0"/>
        <w:sz w:val="18"/>
        <w:szCs w:val="18"/>
        <w:lang w:val="en-GB"/>
      </w:rPr>
      <w:t>OGYÉI/65645/2023</w:t>
    </w:r>
  </w:p>
  <w:p w14:paraId="0B03E9E9" w14:textId="323CE9EE" w:rsidR="00230C1A" w:rsidRPr="002C1198" w:rsidRDefault="002C1198" w:rsidP="002C1198">
    <w:pPr>
      <w:pStyle w:val="llb"/>
    </w:pPr>
    <w:r w:rsidRPr="002C1198">
      <w:rPr>
        <w:rFonts w:ascii="Times New Roman" w:hAnsi="Times New Roman"/>
        <w:noProof w:val="0"/>
        <w:sz w:val="18"/>
        <w:szCs w:val="18"/>
        <w:lang w:val="en-GB"/>
      </w:rPr>
      <w:t>OGYÉI/65646/2023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89B64" w14:textId="77777777" w:rsidR="003E5E26" w:rsidRDefault="003E5E26">
      <w:pPr>
        <w:spacing w:line="240" w:lineRule="auto"/>
      </w:pPr>
      <w:r>
        <w:separator/>
      </w:r>
    </w:p>
  </w:footnote>
  <w:footnote w:type="continuationSeparator" w:id="0">
    <w:p w14:paraId="19E955EC" w14:textId="77777777" w:rsidR="003E5E26" w:rsidRDefault="003E5E2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844791"/>
      <w:docPartObj>
        <w:docPartGallery w:val="Page Numbers (Top of Page)"/>
        <w:docPartUnique/>
      </w:docPartObj>
    </w:sdtPr>
    <w:sdtEndPr/>
    <w:sdtContent>
      <w:p w14:paraId="7DD4A745" w14:textId="4EC3771E" w:rsidR="008424E5" w:rsidRDefault="008424E5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u-HU"/>
          </w:rPr>
          <w:t>2</w:t>
        </w:r>
        <w:r>
          <w:fldChar w:fldCharType="end"/>
        </w:r>
      </w:p>
    </w:sdtContent>
  </w:sdt>
  <w:p w14:paraId="44AC4986" w14:textId="77777777" w:rsidR="00920BB1" w:rsidRDefault="00920BB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886C56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F2253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0D0F586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14A7968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934F87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E1643A78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F125F72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164CFFC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B14A151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774D12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F8600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C4B8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5EE4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A6ABC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E6ADAC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A5E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C65A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D8D0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52A84F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40A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347B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5CF0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8ECB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4A43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4213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5824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A7073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240477"/>
    <w:multiLevelType w:val="hybridMultilevel"/>
    <w:tmpl w:val="1E52A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1040CBD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69C25B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A42E7B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85D851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823EEC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7081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3C67AA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03C1E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D7808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4B5F379E"/>
    <w:multiLevelType w:val="hybridMultilevel"/>
    <w:tmpl w:val="D130B9BE"/>
    <w:lvl w:ilvl="0" w:tplc="41DAA1AA">
      <w:numFmt w:val="bullet"/>
      <w:lvlText w:val=""/>
      <w:lvlJc w:val="left"/>
      <w:pPr>
        <w:ind w:left="965" w:hanging="567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871A8696">
      <w:numFmt w:val="bullet"/>
      <w:lvlText w:val="-"/>
      <w:lvlJc w:val="left"/>
      <w:pPr>
        <w:ind w:left="96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en-US"/>
      </w:rPr>
    </w:lvl>
    <w:lvl w:ilvl="2" w:tplc="C69280E8">
      <w:numFmt w:val="bullet"/>
      <w:lvlText w:val="•"/>
      <w:lvlJc w:val="left"/>
      <w:pPr>
        <w:ind w:left="2146" w:hanging="128"/>
      </w:pPr>
      <w:rPr>
        <w:rFonts w:hint="default"/>
        <w:lang w:val="en-US" w:eastAsia="en-US" w:bidi="en-US"/>
      </w:rPr>
    </w:lvl>
    <w:lvl w:ilvl="3" w:tplc="D50E04FC">
      <w:numFmt w:val="bullet"/>
      <w:lvlText w:val="•"/>
      <w:lvlJc w:val="left"/>
      <w:pPr>
        <w:ind w:left="3193" w:hanging="128"/>
      </w:pPr>
      <w:rPr>
        <w:rFonts w:hint="default"/>
        <w:lang w:val="en-US" w:eastAsia="en-US" w:bidi="en-US"/>
      </w:rPr>
    </w:lvl>
    <w:lvl w:ilvl="4" w:tplc="7B5AA31C">
      <w:numFmt w:val="bullet"/>
      <w:lvlText w:val="•"/>
      <w:lvlJc w:val="left"/>
      <w:pPr>
        <w:ind w:left="4240" w:hanging="128"/>
      </w:pPr>
      <w:rPr>
        <w:rFonts w:hint="default"/>
        <w:lang w:val="en-US" w:eastAsia="en-US" w:bidi="en-US"/>
      </w:rPr>
    </w:lvl>
    <w:lvl w:ilvl="5" w:tplc="E23A5788">
      <w:numFmt w:val="bullet"/>
      <w:lvlText w:val="•"/>
      <w:lvlJc w:val="left"/>
      <w:pPr>
        <w:ind w:left="5287" w:hanging="128"/>
      </w:pPr>
      <w:rPr>
        <w:rFonts w:hint="default"/>
        <w:lang w:val="en-US" w:eastAsia="en-US" w:bidi="en-US"/>
      </w:rPr>
    </w:lvl>
    <w:lvl w:ilvl="6" w:tplc="5072A188">
      <w:numFmt w:val="bullet"/>
      <w:lvlText w:val="•"/>
      <w:lvlJc w:val="left"/>
      <w:pPr>
        <w:ind w:left="6334" w:hanging="128"/>
      </w:pPr>
      <w:rPr>
        <w:rFonts w:hint="default"/>
        <w:lang w:val="en-US" w:eastAsia="en-US" w:bidi="en-US"/>
      </w:rPr>
    </w:lvl>
    <w:lvl w:ilvl="7" w:tplc="630A0136">
      <w:numFmt w:val="bullet"/>
      <w:lvlText w:val="•"/>
      <w:lvlJc w:val="left"/>
      <w:pPr>
        <w:ind w:left="7381" w:hanging="128"/>
      </w:pPr>
      <w:rPr>
        <w:rFonts w:hint="default"/>
        <w:lang w:val="en-US" w:eastAsia="en-US" w:bidi="en-US"/>
      </w:rPr>
    </w:lvl>
    <w:lvl w:ilvl="8" w:tplc="E4D441AC">
      <w:numFmt w:val="bullet"/>
      <w:lvlText w:val="•"/>
      <w:lvlJc w:val="left"/>
      <w:pPr>
        <w:ind w:left="8428" w:hanging="128"/>
      </w:pPr>
      <w:rPr>
        <w:rFonts w:hint="default"/>
        <w:lang w:val="en-US" w:eastAsia="en-US" w:bidi="en-US"/>
      </w:rPr>
    </w:lvl>
  </w:abstractNum>
  <w:abstractNum w:abstractNumId="23" w15:restartNumberingAfterBreak="0">
    <w:nsid w:val="500F0A91"/>
    <w:multiLevelType w:val="hybridMultilevel"/>
    <w:tmpl w:val="2B94116C"/>
    <w:lvl w:ilvl="0" w:tplc="A58C8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08E7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DC62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0D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22C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42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C9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B65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64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DB780D9E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B3695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E69A5C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25033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46A824A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4724B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28819E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AAC75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AA0678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F9E672E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54B1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8A1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E2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7A0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A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C65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BA54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1423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E4A793F"/>
    <w:multiLevelType w:val="multilevel"/>
    <w:tmpl w:val="78E421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4380B46"/>
    <w:multiLevelType w:val="hybridMultilevel"/>
    <w:tmpl w:val="BE58B898"/>
    <w:lvl w:ilvl="0" w:tplc="E1DC3DAE">
      <w:start w:val="4"/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BD52A5E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F217CA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10600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ED61C4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376A0D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26E4A2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4BADCFC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02CA71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8A889E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B90C9D7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560C9A0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5BE62034">
      <w:start w:val="1"/>
      <w:numFmt w:val="lowerRoman"/>
      <w:lvlText w:val="%3."/>
      <w:lvlJc w:val="right"/>
      <w:pPr>
        <w:ind w:left="2160" w:hanging="180"/>
      </w:pPr>
    </w:lvl>
    <w:lvl w:ilvl="3" w:tplc="DFEE486A">
      <w:start w:val="1"/>
      <w:numFmt w:val="decimal"/>
      <w:lvlText w:val="%4."/>
      <w:lvlJc w:val="left"/>
      <w:pPr>
        <w:ind w:left="2880" w:hanging="360"/>
      </w:pPr>
    </w:lvl>
    <w:lvl w:ilvl="4" w:tplc="950ED6FA">
      <w:start w:val="1"/>
      <w:numFmt w:val="lowerLetter"/>
      <w:lvlText w:val="%5."/>
      <w:lvlJc w:val="left"/>
      <w:pPr>
        <w:ind w:left="3600" w:hanging="360"/>
      </w:pPr>
    </w:lvl>
    <w:lvl w:ilvl="5" w:tplc="B8F2C9DC">
      <w:start w:val="1"/>
      <w:numFmt w:val="lowerRoman"/>
      <w:lvlText w:val="%6."/>
      <w:lvlJc w:val="right"/>
      <w:pPr>
        <w:ind w:left="4320" w:hanging="180"/>
      </w:pPr>
    </w:lvl>
    <w:lvl w:ilvl="6" w:tplc="8B640656">
      <w:start w:val="1"/>
      <w:numFmt w:val="decimal"/>
      <w:lvlText w:val="%7."/>
      <w:lvlJc w:val="left"/>
      <w:pPr>
        <w:ind w:left="5040" w:hanging="360"/>
      </w:pPr>
    </w:lvl>
    <w:lvl w:ilvl="7" w:tplc="88269F86">
      <w:start w:val="1"/>
      <w:numFmt w:val="lowerLetter"/>
      <w:lvlText w:val="%8."/>
      <w:lvlJc w:val="left"/>
      <w:pPr>
        <w:ind w:left="5760" w:hanging="360"/>
      </w:pPr>
    </w:lvl>
    <w:lvl w:ilvl="8" w:tplc="72B6117C">
      <w:start w:val="1"/>
      <w:numFmt w:val="lowerRoman"/>
      <w:lvlText w:val="%9."/>
      <w:lvlJc w:val="right"/>
      <w:pPr>
        <w:ind w:left="6480" w:hanging="180"/>
      </w:pPr>
    </w:lvl>
  </w:abstractNum>
  <w:num w:numId="1" w16cid:durableId="64769115">
    <w:abstractNumId w:val="12"/>
  </w:num>
  <w:num w:numId="2" w16cid:durableId="196964883">
    <w:abstractNumId w:val="29"/>
  </w:num>
  <w:num w:numId="3" w16cid:durableId="12519900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36802705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40364384">
    <w:abstractNumId w:val="30"/>
  </w:num>
  <w:num w:numId="6" w16cid:durableId="716009551">
    <w:abstractNumId w:val="25"/>
  </w:num>
  <w:num w:numId="7" w16cid:durableId="1296257061">
    <w:abstractNumId w:val="18"/>
  </w:num>
  <w:num w:numId="8" w16cid:durableId="863640895">
    <w:abstractNumId w:val="20"/>
  </w:num>
  <w:num w:numId="9" w16cid:durableId="1033073008">
    <w:abstractNumId w:val="33"/>
  </w:num>
  <w:num w:numId="10" w16cid:durableId="1021593641">
    <w:abstractNumId w:val="11"/>
  </w:num>
  <w:num w:numId="11" w16cid:durableId="556090096">
    <w:abstractNumId w:val="31"/>
  </w:num>
  <w:num w:numId="12" w16cid:durableId="1807889320">
    <w:abstractNumId w:val="19"/>
  </w:num>
  <w:num w:numId="13" w16cid:durableId="202448555">
    <w:abstractNumId w:val="17"/>
  </w:num>
  <w:num w:numId="14" w16cid:durableId="1712997230">
    <w:abstractNumId w:val="15"/>
  </w:num>
  <w:num w:numId="15" w16cid:durableId="1090195362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551844555">
    <w:abstractNumId w:val="32"/>
  </w:num>
  <w:num w:numId="17" w16cid:durableId="1093279683">
    <w:abstractNumId w:val="21"/>
  </w:num>
  <w:num w:numId="18" w16cid:durableId="1685981564">
    <w:abstractNumId w:val="24"/>
  </w:num>
  <w:num w:numId="19" w16cid:durableId="1259830039">
    <w:abstractNumId w:val="14"/>
  </w:num>
  <w:num w:numId="20" w16cid:durableId="17756624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932389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7598857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992479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1479564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2709494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63529493">
    <w:abstractNumId w:val="8"/>
  </w:num>
  <w:num w:numId="27" w16cid:durableId="481193370">
    <w:abstractNumId w:val="9"/>
  </w:num>
  <w:num w:numId="28" w16cid:durableId="26523423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73017596">
    <w:abstractNumId w:val="1"/>
  </w:num>
  <w:num w:numId="30" w16cid:durableId="1640915009">
    <w:abstractNumId w:val="2"/>
  </w:num>
  <w:num w:numId="31" w16cid:durableId="669136824">
    <w:abstractNumId w:val="3"/>
  </w:num>
  <w:num w:numId="32" w16cid:durableId="1755860708">
    <w:abstractNumId w:val="4"/>
  </w:num>
  <w:num w:numId="33" w16cid:durableId="439301256">
    <w:abstractNumId w:val="5"/>
  </w:num>
  <w:num w:numId="34" w16cid:durableId="2092695972">
    <w:abstractNumId w:val="6"/>
  </w:num>
  <w:num w:numId="35" w16cid:durableId="1495367019">
    <w:abstractNumId w:val="7"/>
  </w:num>
  <w:num w:numId="36" w16cid:durableId="1267158168">
    <w:abstractNumId w:val="8"/>
  </w:num>
  <w:num w:numId="37" w16cid:durableId="1952933179">
    <w:abstractNumId w:val="9"/>
  </w:num>
  <w:num w:numId="38" w16cid:durableId="883368141">
    <w:abstractNumId w:val="10"/>
  </w:num>
  <w:num w:numId="39" w16cid:durableId="616258310">
    <w:abstractNumId w:val="23"/>
  </w:num>
  <w:num w:numId="40" w16cid:durableId="1165828278">
    <w:abstractNumId w:val="13"/>
  </w:num>
  <w:num w:numId="41" w16cid:durableId="2899017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749278275">
    <w:abstractNumId w:val="26"/>
  </w:num>
  <w:num w:numId="43" w16cid:durableId="1245914692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813525977">
    <w:abstractNumId w:val="28"/>
  </w:num>
  <w:num w:numId="45" w16cid:durableId="1689603585">
    <w:abstractNumId w:val="16"/>
  </w:num>
  <w:num w:numId="46" w16cid:durableId="1430002939">
    <w:abstractNumId w:val="27"/>
  </w:num>
  <w:num w:numId="47" w16cid:durableId="16425349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2311"/>
    <w:rsid w:val="00014C02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858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2573"/>
    <w:rsid w:val="000631FD"/>
    <w:rsid w:val="00067D12"/>
    <w:rsid w:val="00070B1E"/>
    <w:rsid w:val="00071071"/>
    <w:rsid w:val="00071F8A"/>
    <w:rsid w:val="00073E04"/>
    <w:rsid w:val="0007628D"/>
    <w:rsid w:val="00076459"/>
    <w:rsid w:val="00077267"/>
    <w:rsid w:val="0007752B"/>
    <w:rsid w:val="00080AB8"/>
    <w:rsid w:val="00081DAB"/>
    <w:rsid w:val="0008235E"/>
    <w:rsid w:val="00082A8E"/>
    <w:rsid w:val="000855CA"/>
    <w:rsid w:val="00090DD6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182"/>
    <w:rsid w:val="000B1F4B"/>
    <w:rsid w:val="000B2E1C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2B2C"/>
    <w:rsid w:val="000D3856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1E9"/>
    <w:rsid w:val="000F3F94"/>
    <w:rsid w:val="00100B54"/>
    <w:rsid w:val="00101CAD"/>
    <w:rsid w:val="0010310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37D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5B48"/>
    <w:rsid w:val="00151BA4"/>
    <w:rsid w:val="00151E9D"/>
    <w:rsid w:val="00152F3B"/>
    <w:rsid w:val="0015704C"/>
    <w:rsid w:val="00161E87"/>
    <w:rsid w:val="00162EDD"/>
    <w:rsid w:val="0016326B"/>
    <w:rsid w:val="00163C3A"/>
    <w:rsid w:val="00163D6C"/>
    <w:rsid w:val="0016566C"/>
    <w:rsid w:val="0017147B"/>
    <w:rsid w:val="001714F2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6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4CB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6FB8"/>
    <w:rsid w:val="001E0CC1"/>
    <w:rsid w:val="001E0D2A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0453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972"/>
    <w:rsid w:val="00222BB9"/>
    <w:rsid w:val="002258D6"/>
    <w:rsid w:val="00226DFC"/>
    <w:rsid w:val="002274FB"/>
    <w:rsid w:val="002309D2"/>
    <w:rsid w:val="00230C1A"/>
    <w:rsid w:val="0023315B"/>
    <w:rsid w:val="002347FE"/>
    <w:rsid w:val="00235DA3"/>
    <w:rsid w:val="0024178D"/>
    <w:rsid w:val="002421D4"/>
    <w:rsid w:val="00242E8C"/>
    <w:rsid w:val="00245DCF"/>
    <w:rsid w:val="00246C65"/>
    <w:rsid w:val="00250841"/>
    <w:rsid w:val="0025261B"/>
    <w:rsid w:val="00252726"/>
    <w:rsid w:val="00252FFB"/>
    <w:rsid w:val="002542A8"/>
    <w:rsid w:val="00260A11"/>
    <w:rsid w:val="00260EC2"/>
    <w:rsid w:val="0026169A"/>
    <w:rsid w:val="0026249E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82A"/>
    <w:rsid w:val="002B3935"/>
    <w:rsid w:val="002B406A"/>
    <w:rsid w:val="002B41D4"/>
    <w:rsid w:val="002B543F"/>
    <w:rsid w:val="002B7D73"/>
    <w:rsid w:val="002C06E3"/>
    <w:rsid w:val="002C0801"/>
    <w:rsid w:val="002C1198"/>
    <w:rsid w:val="002C33B3"/>
    <w:rsid w:val="002C44B0"/>
    <w:rsid w:val="002C4E07"/>
    <w:rsid w:val="002C676D"/>
    <w:rsid w:val="002C69DA"/>
    <w:rsid w:val="002C6C0B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5C1B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1BBD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22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0E9F"/>
    <w:rsid w:val="00341F90"/>
    <w:rsid w:val="00342AD6"/>
    <w:rsid w:val="00345EDE"/>
    <w:rsid w:val="003471F9"/>
    <w:rsid w:val="00347776"/>
    <w:rsid w:val="00351453"/>
    <w:rsid w:val="00351A91"/>
    <w:rsid w:val="003520C4"/>
    <w:rsid w:val="003520E6"/>
    <w:rsid w:val="003533AE"/>
    <w:rsid w:val="00355E14"/>
    <w:rsid w:val="003563B1"/>
    <w:rsid w:val="003571CF"/>
    <w:rsid w:val="00361280"/>
    <w:rsid w:val="003615F1"/>
    <w:rsid w:val="00361A6E"/>
    <w:rsid w:val="00362983"/>
    <w:rsid w:val="00363D7F"/>
    <w:rsid w:val="00363FFA"/>
    <w:rsid w:val="00367C66"/>
    <w:rsid w:val="0037233D"/>
    <w:rsid w:val="003728DD"/>
    <w:rsid w:val="003736EF"/>
    <w:rsid w:val="003737E3"/>
    <w:rsid w:val="00374F4A"/>
    <w:rsid w:val="00380997"/>
    <w:rsid w:val="00380D80"/>
    <w:rsid w:val="00381E38"/>
    <w:rsid w:val="00385A7E"/>
    <w:rsid w:val="00386C66"/>
    <w:rsid w:val="003906F8"/>
    <w:rsid w:val="003935EE"/>
    <w:rsid w:val="0039408A"/>
    <w:rsid w:val="003960EB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39B"/>
    <w:rsid w:val="003B255B"/>
    <w:rsid w:val="003B3317"/>
    <w:rsid w:val="003B4947"/>
    <w:rsid w:val="003B52D4"/>
    <w:rsid w:val="003B5947"/>
    <w:rsid w:val="003B5AD5"/>
    <w:rsid w:val="003B6FF3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5E26"/>
    <w:rsid w:val="003E6CA0"/>
    <w:rsid w:val="003F2FDE"/>
    <w:rsid w:val="003F330B"/>
    <w:rsid w:val="003F4471"/>
    <w:rsid w:val="003F4E33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72E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6A0C"/>
    <w:rsid w:val="00457946"/>
    <w:rsid w:val="00457BB9"/>
    <w:rsid w:val="00457D8B"/>
    <w:rsid w:val="00460A17"/>
    <w:rsid w:val="00464B3D"/>
    <w:rsid w:val="00470CB5"/>
    <w:rsid w:val="00471AEB"/>
    <w:rsid w:val="00471EAB"/>
    <w:rsid w:val="004723EE"/>
    <w:rsid w:val="0047320A"/>
    <w:rsid w:val="0047451B"/>
    <w:rsid w:val="00475A92"/>
    <w:rsid w:val="00477BB9"/>
    <w:rsid w:val="00477FC7"/>
    <w:rsid w:val="00484793"/>
    <w:rsid w:val="00487366"/>
    <w:rsid w:val="004873E4"/>
    <w:rsid w:val="00487A61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66F2"/>
    <w:rsid w:val="004A77B0"/>
    <w:rsid w:val="004A7CB0"/>
    <w:rsid w:val="004B1CED"/>
    <w:rsid w:val="004B34A7"/>
    <w:rsid w:val="004B35FC"/>
    <w:rsid w:val="004B3B06"/>
    <w:rsid w:val="004B4643"/>
    <w:rsid w:val="004B4AD0"/>
    <w:rsid w:val="004B7F67"/>
    <w:rsid w:val="004C1994"/>
    <w:rsid w:val="004C4484"/>
    <w:rsid w:val="004C7765"/>
    <w:rsid w:val="004D4080"/>
    <w:rsid w:val="004E05FD"/>
    <w:rsid w:val="004E1A0D"/>
    <w:rsid w:val="004E23F5"/>
    <w:rsid w:val="004E63E5"/>
    <w:rsid w:val="004E6B76"/>
    <w:rsid w:val="004E7BF4"/>
    <w:rsid w:val="004F0419"/>
    <w:rsid w:val="004F3540"/>
    <w:rsid w:val="004F3AB1"/>
    <w:rsid w:val="004F42DF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1F77"/>
    <w:rsid w:val="00547538"/>
    <w:rsid w:val="00553BFA"/>
    <w:rsid w:val="00553D8D"/>
    <w:rsid w:val="00554789"/>
    <w:rsid w:val="0055608E"/>
    <w:rsid w:val="00557755"/>
    <w:rsid w:val="0056077E"/>
    <w:rsid w:val="00561B0E"/>
    <w:rsid w:val="00561E41"/>
    <w:rsid w:val="005629EE"/>
    <w:rsid w:val="00564572"/>
    <w:rsid w:val="005648FA"/>
    <w:rsid w:val="00564D50"/>
    <w:rsid w:val="005655B6"/>
    <w:rsid w:val="00567346"/>
    <w:rsid w:val="0057371B"/>
    <w:rsid w:val="005737B4"/>
    <w:rsid w:val="00574616"/>
    <w:rsid w:val="005748C1"/>
    <w:rsid w:val="00575EB8"/>
    <w:rsid w:val="005769AE"/>
    <w:rsid w:val="00582A9B"/>
    <w:rsid w:val="005832AB"/>
    <w:rsid w:val="0058437C"/>
    <w:rsid w:val="0058606E"/>
    <w:rsid w:val="00587706"/>
    <w:rsid w:val="005935F4"/>
    <w:rsid w:val="005A058D"/>
    <w:rsid w:val="005A346E"/>
    <w:rsid w:val="005A73CF"/>
    <w:rsid w:val="005B14D5"/>
    <w:rsid w:val="005B1E2E"/>
    <w:rsid w:val="005B310C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0432"/>
    <w:rsid w:val="006221CD"/>
    <w:rsid w:val="006237D8"/>
    <w:rsid w:val="006266A9"/>
    <w:rsid w:val="00630426"/>
    <w:rsid w:val="006316C1"/>
    <w:rsid w:val="00631ED4"/>
    <w:rsid w:val="00633BC7"/>
    <w:rsid w:val="00634000"/>
    <w:rsid w:val="00634311"/>
    <w:rsid w:val="00635E9C"/>
    <w:rsid w:val="00637163"/>
    <w:rsid w:val="00637B41"/>
    <w:rsid w:val="006414EE"/>
    <w:rsid w:val="00641AE3"/>
    <w:rsid w:val="00642D0A"/>
    <w:rsid w:val="006431C7"/>
    <w:rsid w:val="00645BC8"/>
    <w:rsid w:val="00646130"/>
    <w:rsid w:val="00646FE1"/>
    <w:rsid w:val="006470ED"/>
    <w:rsid w:val="00647E20"/>
    <w:rsid w:val="00660727"/>
    <w:rsid w:val="00661140"/>
    <w:rsid w:val="00665502"/>
    <w:rsid w:val="00667893"/>
    <w:rsid w:val="006710DD"/>
    <w:rsid w:val="006714D3"/>
    <w:rsid w:val="00672D61"/>
    <w:rsid w:val="00673200"/>
    <w:rsid w:val="0067501E"/>
    <w:rsid w:val="006773D2"/>
    <w:rsid w:val="00681A41"/>
    <w:rsid w:val="006821B2"/>
    <w:rsid w:val="00682EC4"/>
    <w:rsid w:val="006836F9"/>
    <w:rsid w:val="006838C0"/>
    <w:rsid w:val="0068465D"/>
    <w:rsid w:val="00685901"/>
    <w:rsid w:val="00685BB9"/>
    <w:rsid w:val="00685D08"/>
    <w:rsid w:val="00690127"/>
    <w:rsid w:val="00691BFF"/>
    <w:rsid w:val="00692915"/>
    <w:rsid w:val="00695227"/>
    <w:rsid w:val="006953C1"/>
    <w:rsid w:val="00695916"/>
    <w:rsid w:val="00695A54"/>
    <w:rsid w:val="00696175"/>
    <w:rsid w:val="00696EB2"/>
    <w:rsid w:val="0069715A"/>
    <w:rsid w:val="006A16E9"/>
    <w:rsid w:val="006A18FE"/>
    <w:rsid w:val="006A2191"/>
    <w:rsid w:val="006A5450"/>
    <w:rsid w:val="006A61BF"/>
    <w:rsid w:val="006B0199"/>
    <w:rsid w:val="006B0A32"/>
    <w:rsid w:val="006B0BD8"/>
    <w:rsid w:val="006B22A3"/>
    <w:rsid w:val="006B285F"/>
    <w:rsid w:val="006B3279"/>
    <w:rsid w:val="006B581B"/>
    <w:rsid w:val="006B7CDB"/>
    <w:rsid w:val="006C0251"/>
    <w:rsid w:val="006C2B9A"/>
    <w:rsid w:val="006C38EA"/>
    <w:rsid w:val="006C39BB"/>
    <w:rsid w:val="006C4502"/>
    <w:rsid w:val="006C6C63"/>
    <w:rsid w:val="006D159F"/>
    <w:rsid w:val="006D1CB4"/>
    <w:rsid w:val="006D2F02"/>
    <w:rsid w:val="006D5E91"/>
    <w:rsid w:val="006D75DA"/>
    <w:rsid w:val="006E0A30"/>
    <w:rsid w:val="006E14E6"/>
    <w:rsid w:val="006E15AD"/>
    <w:rsid w:val="006E1AEE"/>
    <w:rsid w:val="006E1F6F"/>
    <w:rsid w:val="006E23AC"/>
    <w:rsid w:val="006E375F"/>
    <w:rsid w:val="006E3B9C"/>
    <w:rsid w:val="006E51A2"/>
    <w:rsid w:val="006F0DE2"/>
    <w:rsid w:val="006F3495"/>
    <w:rsid w:val="006F417D"/>
    <w:rsid w:val="006F5C83"/>
    <w:rsid w:val="006F67CC"/>
    <w:rsid w:val="006F6DDD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0DD7"/>
    <w:rsid w:val="007139E1"/>
    <w:rsid w:val="00713CB5"/>
    <w:rsid w:val="007153E5"/>
    <w:rsid w:val="0071558B"/>
    <w:rsid w:val="00721189"/>
    <w:rsid w:val="007221C3"/>
    <w:rsid w:val="00722F2C"/>
    <w:rsid w:val="00722F99"/>
    <w:rsid w:val="007253A4"/>
    <w:rsid w:val="007254D1"/>
    <w:rsid w:val="00725B32"/>
    <w:rsid w:val="00725B3C"/>
    <w:rsid w:val="007264B0"/>
    <w:rsid w:val="00727C8B"/>
    <w:rsid w:val="00733D54"/>
    <w:rsid w:val="00736A4F"/>
    <w:rsid w:val="00736E76"/>
    <w:rsid w:val="00737753"/>
    <w:rsid w:val="00740CE9"/>
    <w:rsid w:val="00741C3B"/>
    <w:rsid w:val="007428E3"/>
    <w:rsid w:val="00743511"/>
    <w:rsid w:val="0074394E"/>
    <w:rsid w:val="00745159"/>
    <w:rsid w:val="007471D2"/>
    <w:rsid w:val="007477A9"/>
    <w:rsid w:val="00750ABC"/>
    <w:rsid w:val="00750D0A"/>
    <w:rsid w:val="00751863"/>
    <w:rsid w:val="00751D93"/>
    <w:rsid w:val="00752300"/>
    <w:rsid w:val="007546E6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B82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226E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A1D"/>
    <w:rsid w:val="007E5BD8"/>
    <w:rsid w:val="007E6601"/>
    <w:rsid w:val="007E697B"/>
    <w:rsid w:val="007E7BF9"/>
    <w:rsid w:val="007F0212"/>
    <w:rsid w:val="007F02BC"/>
    <w:rsid w:val="007F1A40"/>
    <w:rsid w:val="007F1CA2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2CB0"/>
    <w:rsid w:val="0082327D"/>
    <w:rsid w:val="0082433D"/>
    <w:rsid w:val="0082572E"/>
    <w:rsid w:val="00826509"/>
    <w:rsid w:val="0083354D"/>
    <w:rsid w:val="0083561B"/>
    <w:rsid w:val="0083685F"/>
    <w:rsid w:val="00836C13"/>
    <w:rsid w:val="008371F6"/>
    <w:rsid w:val="00837D78"/>
    <w:rsid w:val="00840D79"/>
    <w:rsid w:val="008424E5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1A95"/>
    <w:rsid w:val="00882E27"/>
    <w:rsid w:val="00883A58"/>
    <w:rsid w:val="00885273"/>
    <w:rsid w:val="00885F2C"/>
    <w:rsid w:val="00886386"/>
    <w:rsid w:val="0088701C"/>
    <w:rsid w:val="00887BA4"/>
    <w:rsid w:val="00890810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118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0EF9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20B"/>
    <w:rsid w:val="00911D39"/>
    <w:rsid w:val="00912B9F"/>
    <w:rsid w:val="00917C0F"/>
    <w:rsid w:val="00917D2A"/>
    <w:rsid w:val="0092040E"/>
    <w:rsid w:val="00920BB1"/>
    <w:rsid w:val="00920C6C"/>
    <w:rsid w:val="00921986"/>
    <w:rsid w:val="009227D9"/>
    <w:rsid w:val="0092524F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F27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79F"/>
    <w:rsid w:val="00980FE0"/>
    <w:rsid w:val="00983A15"/>
    <w:rsid w:val="00983D7E"/>
    <w:rsid w:val="0098741F"/>
    <w:rsid w:val="009927BB"/>
    <w:rsid w:val="009928B7"/>
    <w:rsid w:val="0099321A"/>
    <w:rsid w:val="009960B7"/>
    <w:rsid w:val="00996898"/>
    <w:rsid w:val="00997986"/>
    <w:rsid w:val="009A09F6"/>
    <w:rsid w:val="009A1B3A"/>
    <w:rsid w:val="009A324E"/>
    <w:rsid w:val="009A3D53"/>
    <w:rsid w:val="009B39D3"/>
    <w:rsid w:val="009B4F11"/>
    <w:rsid w:val="009B536C"/>
    <w:rsid w:val="009B6496"/>
    <w:rsid w:val="009B6837"/>
    <w:rsid w:val="009B69D5"/>
    <w:rsid w:val="009C01DA"/>
    <w:rsid w:val="009C070E"/>
    <w:rsid w:val="009C20CC"/>
    <w:rsid w:val="009C3558"/>
    <w:rsid w:val="009C562E"/>
    <w:rsid w:val="009C61FF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02A4"/>
    <w:rsid w:val="009F1789"/>
    <w:rsid w:val="009F36D2"/>
    <w:rsid w:val="009F4504"/>
    <w:rsid w:val="009F502C"/>
    <w:rsid w:val="009F603B"/>
    <w:rsid w:val="009F6910"/>
    <w:rsid w:val="009F6987"/>
    <w:rsid w:val="009F720F"/>
    <w:rsid w:val="00A00CFB"/>
    <w:rsid w:val="00A010E7"/>
    <w:rsid w:val="00A01A17"/>
    <w:rsid w:val="00A01A60"/>
    <w:rsid w:val="00A02C07"/>
    <w:rsid w:val="00A0391D"/>
    <w:rsid w:val="00A04E05"/>
    <w:rsid w:val="00A04F67"/>
    <w:rsid w:val="00A076F9"/>
    <w:rsid w:val="00A07997"/>
    <w:rsid w:val="00A07F87"/>
    <w:rsid w:val="00A11660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0C7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050"/>
    <w:rsid w:val="00A56800"/>
    <w:rsid w:val="00A56D7E"/>
    <w:rsid w:val="00A5729F"/>
    <w:rsid w:val="00A57404"/>
    <w:rsid w:val="00A575BD"/>
    <w:rsid w:val="00A57AB2"/>
    <w:rsid w:val="00A60EEC"/>
    <w:rsid w:val="00A626D7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238"/>
    <w:rsid w:val="00A80DD3"/>
    <w:rsid w:val="00A827A3"/>
    <w:rsid w:val="00A85357"/>
    <w:rsid w:val="00A902DD"/>
    <w:rsid w:val="00A91617"/>
    <w:rsid w:val="00A920F9"/>
    <w:rsid w:val="00A921B2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299"/>
    <w:rsid w:val="00AA3688"/>
    <w:rsid w:val="00AA5887"/>
    <w:rsid w:val="00AA7213"/>
    <w:rsid w:val="00AB19F8"/>
    <w:rsid w:val="00AB2A61"/>
    <w:rsid w:val="00AB3A12"/>
    <w:rsid w:val="00AB4B65"/>
    <w:rsid w:val="00AB5A8D"/>
    <w:rsid w:val="00AB5C95"/>
    <w:rsid w:val="00AB5FA4"/>
    <w:rsid w:val="00AB60C9"/>
    <w:rsid w:val="00AB6642"/>
    <w:rsid w:val="00AC2EFE"/>
    <w:rsid w:val="00AC3930"/>
    <w:rsid w:val="00AC3AB1"/>
    <w:rsid w:val="00AC46B7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E10"/>
    <w:rsid w:val="00AF438E"/>
    <w:rsid w:val="00AF45CA"/>
    <w:rsid w:val="00AF543B"/>
    <w:rsid w:val="00AF5856"/>
    <w:rsid w:val="00AF5A53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5F44"/>
    <w:rsid w:val="00B2724E"/>
    <w:rsid w:val="00B277D7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5AFA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021B"/>
    <w:rsid w:val="00B7215C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4BA4"/>
    <w:rsid w:val="00B86608"/>
    <w:rsid w:val="00B87847"/>
    <w:rsid w:val="00B87F4C"/>
    <w:rsid w:val="00B90477"/>
    <w:rsid w:val="00B92AA5"/>
    <w:rsid w:val="00B93ADD"/>
    <w:rsid w:val="00B96744"/>
    <w:rsid w:val="00BA38B2"/>
    <w:rsid w:val="00BA3A41"/>
    <w:rsid w:val="00BA6419"/>
    <w:rsid w:val="00BA6550"/>
    <w:rsid w:val="00BB0EDC"/>
    <w:rsid w:val="00BB2437"/>
    <w:rsid w:val="00BB2F21"/>
    <w:rsid w:val="00BB32A1"/>
    <w:rsid w:val="00BB3642"/>
    <w:rsid w:val="00BB5C97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615C"/>
    <w:rsid w:val="00BE672C"/>
    <w:rsid w:val="00BE7768"/>
    <w:rsid w:val="00BE7920"/>
    <w:rsid w:val="00BE793B"/>
    <w:rsid w:val="00BF2A8A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0024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085"/>
    <w:rsid w:val="00C7356B"/>
    <w:rsid w:val="00C73DD7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62C7"/>
    <w:rsid w:val="00CD6757"/>
    <w:rsid w:val="00CD7E60"/>
    <w:rsid w:val="00CE3AE5"/>
    <w:rsid w:val="00CE5429"/>
    <w:rsid w:val="00CE6A0B"/>
    <w:rsid w:val="00CF0950"/>
    <w:rsid w:val="00CF3B07"/>
    <w:rsid w:val="00CF3C82"/>
    <w:rsid w:val="00CF4C13"/>
    <w:rsid w:val="00CF4DC9"/>
    <w:rsid w:val="00CF625A"/>
    <w:rsid w:val="00CF6384"/>
    <w:rsid w:val="00CF6902"/>
    <w:rsid w:val="00CF7924"/>
    <w:rsid w:val="00D05999"/>
    <w:rsid w:val="00D06E88"/>
    <w:rsid w:val="00D0750E"/>
    <w:rsid w:val="00D07C7A"/>
    <w:rsid w:val="00D11F90"/>
    <w:rsid w:val="00D13527"/>
    <w:rsid w:val="00D15E4E"/>
    <w:rsid w:val="00D161AC"/>
    <w:rsid w:val="00D16528"/>
    <w:rsid w:val="00D174E6"/>
    <w:rsid w:val="00D17601"/>
    <w:rsid w:val="00D20D6E"/>
    <w:rsid w:val="00D21300"/>
    <w:rsid w:val="00D21FBD"/>
    <w:rsid w:val="00D230DC"/>
    <w:rsid w:val="00D303E8"/>
    <w:rsid w:val="00D31BA6"/>
    <w:rsid w:val="00D31EB9"/>
    <w:rsid w:val="00D335E1"/>
    <w:rsid w:val="00D35FEA"/>
    <w:rsid w:val="00D366E4"/>
    <w:rsid w:val="00D40696"/>
    <w:rsid w:val="00D423AC"/>
    <w:rsid w:val="00D44DC6"/>
    <w:rsid w:val="00D507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C3F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5D25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45CF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3E6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86"/>
    <w:rsid w:val="00E326EA"/>
    <w:rsid w:val="00E34CA3"/>
    <w:rsid w:val="00E35FF4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4B7C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B4A4B"/>
    <w:rsid w:val="00EC098E"/>
    <w:rsid w:val="00EC0BCB"/>
    <w:rsid w:val="00EC0E71"/>
    <w:rsid w:val="00EC221F"/>
    <w:rsid w:val="00EC5257"/>
    <w:rsid w:val="00EC68FC"/>
    <w:rsid w:val="00EC799E"/>
    <w:rsid w:val="00ED1DDB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EF7FA8"/>
    <w:rsid w:val="00F00F58"/>
    <w:rsid w:val="00F06234"/>
    <w:rsid w:val="00F1030E"/>
    <w:rsid w:val="00F10925"/>
    <w:rsid w:val="00F1132B"/>
    <w:rsid w:val="00F12F6C"/>
    <w:rsid w:val="00F12F7D"/>
    <w:rsid w:val="00F13913"/>
    <w:rsid w:val="00F13DAE"/>
    <w:rsid w:val="00F144C7"/>
    <w:rsid w:val="00F155BC"/>
    <w:rsid w:val="00F157D8"/>
    <w:rsid w:val="00F167D7"/>
    <w:rsid w:val="00F172C9"/>
    <w:rsid w:val="00F201AD"/>
    <w:rsid w:val="00F20A62"/>
    <w:rsid w:val="00F21481"/>
    <w:rsid w:val="00F222BB"/>
    <w:rsid w:val="00F24011"/>
    <w:rsid w:val="00F2491A"/>
    <w:rsid w:val="00F24C6C"/>
    <w:rsid w:val="00F24EF6"/>
    <w:rsid w:val="00F254E4"/>
    <w:rsid w:val="00F27AE8"/>
    <w:rsid w:val="00F34424"/>
    <w:rsid w:val="00F35D19"/>
    <w:rsid w:val="00F37007"/>
    <w:rsid w:val="00F3760A"/>
    <w:rsid w:val="00F41269"/>
    <w:rsid w:val="00F41319"/>
    <w:rsid w:val="00F44B13"/>
    <w:rsid w:val="00F44E47"/>
    <w:rsid w:val="00F44FAB"/>
    <w:rsid w:val="00F45BE7"/>
    <w:rsid w:val="00F45C51"/>
    <w:rsid w:val="00F463D7"/>
    <w:rsid w:val="00F47D2F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DAA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597"/>
    <w:rsid w:val="00FD7BF5"/>
    <w:rsid w:val="00FE0DC0"/>
    <w:rsid w:val="00FE185C"/>
    <w:rsid w:val="00FE3C5F"/>
    <w:rsid w:val="00FE4705"/>
    <w:rsid w:val="00FE53B7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C2B2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1"/>
    <w:qFormat/>
    <w:rsid w:val="00200453"/>
    <w:pPr>
      <w:ind w:left="720"/>
      <w:contextualSpacing/>
    </w:pPr>
  </w:style>
  <w:style w:type="character" w:customStyle="1" w:styleId="Bodytext">
    <w:name w:val="Body text_"/>
    <w:basedOn w:val="Bekezdsalapbettpusa"/>
    <w:link w:val="Tekstpodstawowy6"/>
    <w:rsid w:val="00996898"/>
    <w:rPr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l"/>
    <w:link w:val="Bodytext"/>
    <w:rsid w:val="00996898"/>
    <w:pPr>
      <w:widowControl w:val="0"/>
      <w:shd w:val="clear" w:color="auto" w:fill="FFFFFF"/>
      <w:tabs>
        <w:tab w:val="clear" w:pos="567"/>
      </w:tabs>
      <w:spacing w:after="300" w:line="0" w:lineRule="atLeast"/>
      <w:ind w:hanging="580"/>
      <w:jc w:val="center"/>
    </w:pPr>
    <w:rPr>
      <w:snapToGrid/>
      <w:sz w:val="21"/>
      <w:szCs w:val="21"/>
      <w:lang w:eastAsia="en-GB"/>
    </w:rPr>
  </w:style>
  <w:style w:type="character" w:customStyle="1" w:styleId="Tekstpodstawowy2">
    <w:name w:val="Tekst podstawowy2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Tekstpodstawowy3">
    <w:name w:val="Tekst podstawowy3"/>
    <w:basedOn w:val="Bodytext"/>
    <w:rsid w:val="009968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/>
    </w:rPr>
  </w:style>
  <w:style w:type="character" w:customStyle="1" w:styleId="Bodytext95ptBold">
    <w:name w:val="Body text + 9;5 pt;Bold"/>
    <w:basedOn w:val="Bodytext"/>
    <w:rsid w:val="006C6C6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Italic">
    <w:name w:val="Body text + 9;5 pt;Italic"/>
    <w:basedOn w:val="Bodytext"/>
    <w:rsid w:val="006C6C6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character" w:customStyle="1" w:styleId="Bodytext95pt">
    <w:name w:val="Body text + 9;5 pt"/>
    <w:basedOn w:val="Bodytext"/>
    <w:rsid w:val="006C6C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/>
    </w:rPr>
  </w:style>
  <w:style w:type="table" w:styleId="Rcsostblzat">
    <w:name w:val="Table Grid"/>
    <w:basedOn w:val="Normltblzat"/>
    <w:rsid w:val="00980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546E6"/>
    <w:rPr>
      <w:snapToGrid w:val="0"/>
      <w:sz w:val="22"/>
      <w:lang w:eastAsia="zh-CN"/>
    </w:rPr>
  </w:style>
  <w:style w:type="paragraph" w:styleId="Nincstrkz">
    <w:name w:val="No Spacing"/>
    <w:uiPriority w:val="1"/>
    <w:qFormat/>
    <w:rsid w:val="00920BB1"/>
    <w:pPr>
      <w:tabs>
        <w:tab w:val="left" w:pos="567"/>
      </w:tabs>
    </w:pPr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8424E5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8" ma:contentTypeDescription="Create a new document." ma:contentTypeScope="" ma:versionID="daaa7b3bc74975fd9145ec1d19fca791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b4443d65c1c955a554921c2c2f8eb5e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436B16-9F68-403C-9174-638EFBC05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DFD13D-59A4-4242-B1AF-F57E47B65C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CB344E-BB96-40E7-9809-0B27649A7D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9</Pages>
  <Words>3686</Words>
  <Characters>25438</Characters>
  <Application>Microsoft Office Word</Application>
  <DocSecurity>0</DocSecurity>
  <Lines>211</Lines>
  <Paragraphs>58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mutual-recognition-decentralised-referral-pi-template-version-42_en_CLEAN_HU</vt:lpstr>
      <vt:lpstr>mutual-recognition-decentralised-referral-pi-template-version-42_en_CLEAN_HU</vt:lpstr>
      <vt:lpstr>Hreferralspcclean_hu</vt:lpstr>
    </vt:vector>
  </TitlesOfParts>
  <Company>CDT</Company>
  <LinksUpToDate>false</LinksUpToDate>
  <CharactersWithSpaces>29066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HU_OGYI_62.1</cp:lastModifiedBy>
  <cp:revision>85</cp:revision>
  <dcterms:created xsi:type="dcterms:W3CDTF">2021-05-07T04:18:00Z</dcterms:created>
  <dcterms:modified xsi:type="dcterms:W3CDTF">2026-02-26T10:26:00Z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52c6716a-2832-4ee8-8ee5-b4471006f0c1_Enabled">
    <vt:lpwstr>true</vt:lpwstr>
  </property>
  <property fmtid="{D5CDD505-2E9C-101B-9397-08002B2CF9AE}" pid="64" name="MSIP_Label_52c6716a-2832-4ee8-8ee5-b4471006f0c1_SetDate">
    <vt:lpwstr>2023-09-06T09:54:55Z</vt:lpwstr>
  </property>
  <property fmtid="{D5CDD505-2E9C-101B-9397-08002B2CF9AE}" pid="65" name="MSIP_Label_52c6716a-2832-4ee8-8ee5-b4471006f0c1_Method">
    <vt:lpwstr>Privileged</vt:lpwstr>
  </property>
  <property fmtid="{D5CDD505-2E9C-101B-9397-08002B2CF9AE}" pid="66" name="MSIP_Label_52c6716a-2832-4ee8-8ee5-b4471006f0c1_Name">
    <vt:lpwstr>Poufne – Bez Oznaczeń</vt:lpwstr>
  </property>
  <property fmtid="{D5CDD505-2E9C-101B-9397-08002B2CF9AE}" pid="67" name="MSIP_Label_52c6716a-2832-4ee8-8ee5-b4471006f0c1_SiteId">
    <vt:lpwstr>edf3cfc4-ee60-4b92-a2cb-da2c123fc895</vt:lpwstr>
  </property>
  <property fmtid="{D5CDD505-2E9C-101B-9397-08002B2CF9AE}" pid="68" name="MSIP_Label_52c6716a-2832-4ee8-8ee5-b4471006f0c1_ActionId">
    <vt:lpwstr>9f4177cc-eb04-4ffe-a2bc-5f4fabae98ba</vt:lpwstr>
  </property>
  <property fmtid="{D5CDD505-2E9C-101B-9397-08002B2CF9AE}" pid="69" name="MSIP_Label_52c6716a-2832-4ee8-8ee5-b4471006f0c1_ContentBits">
    <vt:lpwstr>0</vt:lpwstr>
  </property>
</Properties>
</file>