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010" w:rsidRDefault="00FE0010">
      <w:pPr>
        <w:tabs>
          <w:tab w:val="clear" w:pos="567"/>
        </w:tabs>
        <w:spacing w:line="240" w:lineRule="auto"/>
        <w:outlineLvl w:val="0"/>
        <w:rPr>
          <w:noProof/>
          <w:szCs w:val="24"/>
          <w:lang w:val="hu-HU"/>
        </w:rPr>
      </w:pPr>
      <w:bookmarkStart w:id="0" w:name="_GoBack"/>
      <w:bookmarkEnd w:id="0"/>
    </w:p>
    <w:p w:rsidR="00FE0010" w:rsidRDefault="00B036BC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Betegtájékoztató: Információk a beteg számára</w:t>
      </w:r>
    </w:p>
    <w:p w:rsidR="00FE0010" w:rsidRDefault="00FE0010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:rsidR="00FE0010" w:rsidRDefault="00B036BC">
      <w:pPr>
        <w:spacing w:line="240" w:lineRule="auto"/>
        <w:jc w:val="center"/>
        <w:rPr>
          <w:b/>
          <w:lang w:val="hu-HU"/>
        </w:rPr>
      </w:pPr>
      <w:bookmarkStart w:id="1" w:name="_Hlk173314684"/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 xml:space="preserve"> 40 mg/1,5 mg módosított hatóanyag-leadású tabletta</w:t>
      </w:r>
    </w:p>
    <w:p w:rsidR="00FE0010" w:rsidRDefault="00B036BC">
      <w:pPr>
        <w:spacing w:line="240" w:lineRule="auto"/>
        <w:jc w:val="center"/>
        <w:rPr>
          <w:lang w:val="hu-HU"/>
        </w:rPr>
      </w:pPr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 xml:space="preserve"> 80 mg/1,5 mg módosított hatóanyag-leadású tabletta</w:t>
      </w:r>
      <w:bookmarkEnd w:id="1"/>
    </w:p>
    <w:p w:rsidR="00FE0010" w:rsidRDefault="00FE0010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</w:p>
    <w:p w:rsidR="00FE0010" w:rsidRDefault="00B036BC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</w:p>
    <w:p w:rsidR="00FE0010" w:rsidRDefault="00FE0010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:rsidR="00FE0010" w:rsidRDefault="00B036BC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:rsidR="00FE0010" w:rsidRDefault="00B036BC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Tartsa meg a betegtájékoztatót, mert a benne szereplő információkra a </w:t>
      </w:r>
      <w:r>
        <w:rPr>
          <w:noProof/>
          <w:szCs w:val="24"/>
          <w:lang w:val="hu-HU"/>
        </w:rPr>
        <w:t>későbbiekben</w:t>
      </w:r>
      <w:r>
        <w:rPr>
          <w:lang w:val="hu-HU"/>
        </w:rPr>
        <w:t xml:space="preserve"> is szüksége lehet.</w:t>
      </w:r>
    </w:p>
    <w:p w:rsidR="00FE0010" w:rsidRDefault="00B036BC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 xml:space="preserve">kezelőorvosához </w:t>
      </w:r>
      <w:r>
        <w:rPr>
          <w:lang w:val="hu-HU"/>
        </w:rPr>
        <w:t>vagy gyógyszerészéhez</w:t>
      </w:r>
      <w:r>
        <w:rPr>
          <w:noProof/>
          <w:szCs w:val="24"/>
          <w:lang w:val="hu-HU"/>
        </w:rPr>
        <w:t>.</w:t>
      </w:r>
    </w:p>
    <w:p w:rsidR="00FE0010" w:rsidRDefault="00B036BC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:rsidR="00FE0010" w:rsidRDefault="00B036BC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</w:t>
      </w:r>
      <w:r>
        <w:rPr>
          <w:lang w:val="hu-HU"/>
        </w:rPr>
        <w:t xml:space="preserve">. </w:t>
      </w: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 pont.</w:t>
      </w:r>
    </w:p>
    <w:p w:rsidR="00FE0010" w:rsidRDefault="00FE001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:rsidR="00FE0010" w:rsidRDefault="00B036BC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>
        <w:rPr>
          <w:rFonts w:eastAsia="Times New Roman"/>
          <w:b/>
          <w:snapToGrid/>
          <w:lang w:val="hu-HU" w:eastAsia="en-US"/>
        </w:rPr>
        <w:t>A betegtájékoztató tartalma:</w:t>
      </w:r>
    </w:p>
    <w:p w:rsidR="00FE0010" w:rsidRDefault="00B036BC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Milyen típusú gyógyszer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és milyen betegségek esetén alkalmazható?</w:t>
      </w:r>
    </w:p>
    <w:p w:rsidR="00FE0010" w:rsidRDefault="00B036BC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Tudnivalók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szedése előtt</w:t>
      </w:r>
    </w:p>
    <w:p w:rsidR="00FE0010" w:rsidRDefault="00B036BC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 xml:space="preserve">Hogyan kell szedni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>-t?</w:t>
      </w:r>
    </w:p>
    <w:p w:rsidR="00FE0010" w:rsidRDefault="00B036BC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  <w:t>Lehetséges mellékhatások</w:t>
      </w:r>
    </w:p>
    <w:p w:rsidR="00FE0010" w:rsidRDefault="00B036BC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5</w:t>
      </w:r>
      <w:r>
        <w:rPr>
          <w:noProof/>
          <w:szCs w:val="24"/>
          <w:lang w:val="hu-HU"/>
        </w:rPr>
        <w:t>.</w:t>
      </w:r>
      <w:r>
        <w:rPr>
          <w:lang w:val="hu-HU"/>
        </w:rPr>
        <w:tab/>
        <w:t xml:space="preserve">Hogyan kell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>-t tárolni?</w:t>
      </w:r>
    </w:p>
    <w:p w:rsidR="00FE0010" w:rsidRDefault="00B036BC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</w:r>
      <w:r>
        <w:rPr>
          <w:noProof/>
          <w:szCs w:val="24"/>
          <w:lang w:val="hu-HU"/>
        </w:rPr>
        <w:t xml:space="preserve">A csomagolás tartalma és egyéb </w:t>
      </w:r>
      <w:r>
        <w:rPr>
          <w:lang w:val="hu-HU"/>
        </w:rPr>
        <w:t>információk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FE0010" w:rsidRDefault="00B036BC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Milyen típusú</w:t>
      </w:r>
      <w:r>
        <w:rPr>
          <w:b/>
          <w:lang w:val="hu-HU"/>
        </w:rPr>
        <w:t xml:space="preserve"> gyógyszer </w:t>
      </w:r>
      <w:r>
        <w:rPr>
          <w:b/>
          <w:noProof/>
          <w:szCs w:val="24"/>
          <w:lang w:val="hu-HU"/>
        </w:rPr>
        <w:t>a Tedenomo és milyen betegségek esetén</w:t>
      </w:r>
      <w:r>
        <w:rPr>
          <w:b/>
          <w:lang w:val="hu-HU"/>
        </w:rPr>
        <w:t xml:space="preserve"> alkalmazható</w:t>
      </w:r>
      <w:r>
        <w:rPr>
          <w:b/>
          <w:noProof/>
          <w:szCs w:val="24"/>
          <w:lang w:val="hu-HU"/>
        </w:rPr>
        <w:t>?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módosított hatóanyag-leadású tabletta két hatóanyagot tartalmaz: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>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II-receptor-gátlóknak nevezett gyógyszerek csoportjába tartozik.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a szervezetben termelődő anyag, érszűkítő hatása van, ezáltal emeli a vérnyomást.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hatását gátolja, ami által az erek elernyednek, és a vérnyomás csökken.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 vízhajtók közé tartozik. A vízhajtók segítségével a szervezetből víz távolítható el.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abban különbözik a többi vízhajtótól, hogy csak csekély mértékben fokozza a termelt vizelet mennyiségét. Ezenkívül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tágítja a </w:t>
      </w:r>
      <w:proofErr w:type="spellStart"/>
      <w:r>
        <w:rPr>
          <w:lang w:val="hu-HU"/>
        </w:rPr>
        <w:t>vérereket</w:t>
      </w:r>
      <w:proofErr w:type="spellEnd"/>
      <w:r>
        <w:rPr>
          <w:lang w:val="hu-HU"/>
        </w:rPr>
        <w:t>, így megkönnyíti a vér haladását. Ez elősegíti a vérnyomás csökkenését.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 w:eastAsia="ar-SA"/>
        </w:rPr>
      </w:pPr>
      <w:r>
        <w:rPr>
          <w:noProof/>
          <w:szCs w:val="22"/>
          <w:lang w:val="hu-HU" w:eastAsia="ar-SA"/>
        </w:rPr>
        <w:t>Ezt a gyógyszert a magasvérnyomás-betegség (hipertónia) kezelésére alkalmazzák felnőtteknél.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 w:eastAsia="ar-SA"/>
        </w:rPr>
      </w:pP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 xml:space="preserve">A magasvérnyomás-betegség, ha nem kezelik, számos szervben károsíthatja az </w:t>
      </w:r>
      <w:proofErr w:type="spellStart"/>
      <w:r>
        <w:rPr>
          <w:lang w:val="hu-HU"/>
        </w:rPr>
        <w:t>ereket</w:t>
      </w:r>
      <w:proofErr w:type="spellEnd"/>
      <w:r>
        <w:rPr>
          <w:lang w:val="hu-HU"/>
        </w:rPr>
        <w:t xml:space="preserve">, ami némely </w:t>
      </w:r>
      <w:proofErr w:type="gramStart"/>
      <w:r>
        <w:rPr>
          <w:lang w:val="hu-HU"/>
        </w:rPr>
        <w:t>esetben</w:t>
      </w:r>
      <w:proofErr w:type="gramEnd"/>
      <w:r>
        <w:rPr>
          <w:lang w:val="hu-HU"/>
        </w:rPr>
        <w:t xml:space="preserve"> szívrohamhoz, szívelégtelenséghez vagy veseelégtelenséghez, agyi érkatasztrófához (</w:t>
      </w:r>
      <w:proofErr w:type="spellStart"/>
      <w:r>
        <w:rPr>
          <w:lang w:val="hu-HU"/>
        </w:rPr>
        <w:t>sztrók</w:t>
      </w:r>
      <w:proofErr w:type="spellEnd"/>
      <w:r>
        <w:rPr>
          <w:lang w:val="hu-HU"/>
        </w:rPr>
        <w:t>) vagy vaksághoz is vezethet. A magasvérnyomás-betegség a károsodások kialakulása előtt általában nem okoz panaszokat. Ezért fontos rendszeresen mérni a vérnyomást annak ellenőrzésére, hogy az a normális tartományon belül van-e.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FE0010" w:rsidRDefault="00FE0010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FE0010" w:rsidRDefault="00B036BC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Tudnivalók a Tedenomo szedése előtt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:rsidR="00FE0010" w:rsidRDefault="00B036BC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Ne szedje a </w:t>
      </w:r>
      <w:r>
        <w:rPr>
          <w:b/>
          <w:noProof/>
          <w:szCs w:val="24"/>
          <w:lang w:val="hu-HU"/>
        </w:rPr>
        <w:t>Tedenomo</w:t>
      </w:r>
      <w:r>
        <w:rPr>
          <w:b/>
          <w:lang w:val="hu-HU"/>
        </w:rPr>
        <w:t>-t</w:t>
      </w:r>
      <w:r>
        <w:rPr>
          <w:b/>
          <w:noProof/>
          <w:szCs w:val="24"/>
          <w:lang w:val="hu-HU"/>
        </w:rPr>
        <w:t>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t xml:space="preserve">ha Ön </w:t>
      </w:r>
      <w:r>
        <w:rPr>
          <w:bCs/>
          <w:noProof/>
          <w:szCs w:val="22"/>
          <w:lang w:val="hu-HU"/>
        </w:rPr>
        <w:t>allergiás</w:t>
      </w:r>
      <w:r>
        <w:rPr>
          <w:noProof/>
          <w:szCs w:val="22"/>
          <w:lang w:val="hu-HU"/>
        </w:rPr>
        <w:t xml:space="preserve"> a telmizartánra, az indapamidra vagy más szulfonamidra, vagy a gyógyszer (6. pontban felsorolt) egyéb összetevőjére;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lastRenderedPageBreak/>
        <w:t xml:space="preserve">ha </w:t>
      </w:r>
      <w:r>
        <w:rPr>
          <w:bCs/>
          <w:noProof/>
          <w:szCs w:val="22"/>
          <w:lang w:val="hu-HU"/>
        </w:rPr>
        <w:t>több mint 3 hónapos terhes</w:t>
      </w:r>
      <w:r>
        <w:rPr>
          <w:noProof/>
          <w:szCs w:val="22"/>
          <w:lang w:val="hu-HU"/>
        </w:rPr>
        <w:t xml:space="preserve"> (</w:t>
      </w:r>
      <w:r>
        <w:rPr>
          <w:szCs w:val="22"/>
          <w:lang w:val="hu-HU"/>
        </w:rPr>
        <w:t xml:space="preserve">a terhesség korai szakaszában is ajánlott elkerülni a </w:t>
      </w:r>
      <w:proofErr w:type="spellStart"/>
      <w:r>
        <w:rPr>
          <w:szCs w:val="22"/>
          <w:lang w:val="hu-HU"/>
        </w:rPr>
        <w:t>Tedenomo</w:t>
      </w:r>
      <w:proofErr w:type="spellEnd"/>
      <w:r>
        <w:rPr>
          <w:szCs w:val="22"/>
          <w:lang w:val="hu-HU"/>
        </w:rPr>
        <w:t xml:space="preserve"> szedését – lásd a terhességről szóló részt);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Önnek súlyos májbetegsége, például epepangása vagy epeúti elzáródása van (nehezített az epeelvezetés a májból és az epehólyagból), vagy egyéb súlyos májbetegsége van;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noProof/>
          <w:szCs w:val="22"/>
          <w:lang w:val="hu-HU"/>
        </w:rPr>
        <w:t xml:space="preserve">ha Ön </w:t>
      </w:r>
      <w:r>
        <w:rPr>
          <w:bCs/>
          <w:noProof/>
          <w:szCs w:val="22"/>
          <w:lang w:val="hu-HU"/>
        </w:rPr>
        <w:t>egy hepatikus enkefalopátiának nevezett betegségben szenved (az agy leépüléssel járó betegsége);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snapToGrid/>
          <w:szCs w:val="22"/>
          <w:lang w:val="hu-HU"/>
        </w:rPr>
        <w:t xml:space="preserve">ha cukorbetegségben szenved, vagy vesekárosodása van, és </w:t>
      </w:r>
      <w:proofErr w:type="spellStart"/>
      <w:r>
        <w:rPr>
          <w:rFonts w:eastAsia="Times New Roman"/>
          <w:snapToGrid/>
          <w:szCs w:val="22"/>
          <w:lang w:val="hu-HU"/>
        </w:rPr>
        <w:t>aliszkirén</w:t>
      </w:r>
      <w:proofErr w:type="spellEnd"/>
      <w:r>
        <w:rPr>
          <w:rFonts w:eastAsia="Times New Roman"/>
          <w:snapToGrid/>
          <w:szCs w:val="22"/>
          <w:lang w:val="hu-HU"/>
        </w:rPr>
        <w:t xml:space="preserve"> hatóanyag-tartalmú vérnyomáscsökkentő gyógyszert kap</w:t>
      </w:r>
      <w:r>
        <w:rPr>
          <w:rFonts w:eastAsia="Times New Roman"/>
          <w:bCs/>
          <w:snapToGrid/>
          <w:szCs w:val="22"/>
          <w:lang w:val="hu-HU"/>
        </w:rPr>
        <w:t>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súlyos vesebetegségben szenved;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Önnél alacsony a vér káliumszintje.</w:t>
      </w:r>
    </w:p>
    <w:p w:rsidR="00FE0010" w:rsidRDefault="00FE0010">
      <w:pPr>
        <w:suppressAutoHyphens/>
        <w:spacing w:line="240" w:lineRule="auto"/>
        <w:rPr>
          <w:noProof/>
          <w:szCs w:val="24"/>
          <w:lang w:val="hu-HU"/>
        </w:rPr>
      </w:pPr>
    </w:p>
    <w:p w:rsidR="00FE0010" w:rsidRDefault="00B036BC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Figyelmeztetések és óvintézkedések</w:t>
      </w:r>
    </w:p>
    <w:p w:rsidR="00FE0010" w:rsidRDefault="00B036BC">
      <w:p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Tedenomo szedése előtt beszéljen kezelőorvosával, ha a következő betegségek bármelyikében szenved, vagy szenvedett korábban:</w:t>
      </w:r>
    </w:p>
    <w:p w:rsidR="00FE0010" w:rsidRDefault="00FE0010">
      <w:pPr>
        <w:spacing w:line="240" w:lineRule="auto"/>
        <w:ind w:right="-2"/>
        <w:rPr>
          <w:noProof/>
          <w:szCs w:val="24"/>
          <w:lang w:val="hu-HU"/>
        </w:rPr>
      </w:pP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vesebetegség, vagy ha Önnél veseátültetés történt;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veseverőér-szűkület (az egyik vagy mindkét vesében);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májbetegség;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szívbetegség;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emelkedett </w:t>
      </w:r>
      <w:proofErr w:type="spellStart"/>
      <w:r>
        <w:rPr>
          <w:lang w:val="hu-HU"/>
        </w:rPr>
        <w:t>aldoszteronszint</w:t>
      </w:r>
      <w:proofErr w:type="spellEnd"/>
      <w:r>
        <w:rPr>
          <w:lang w:val="hu-HU"/>
        </w:rPr>
        <w:t xml:space="preserve"> (vízvisszatartás és sóvisszatartás a szervezetben, ezzel együtt különböző ásványi anyagok egyensúlyzavara);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vérnyomás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), amely előfordulhat kiszáradás (a szervezet túlzott vízvesztése) esetén, továbbá vízhajtó kezelés következtében kialakult sóhiány, sószegény diéta, hasmenés vagy hányás esetén;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emelkedett káliumszintje;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cukorbetegség;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köszvény.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szedése előtt beszéljen kezelőorvosával vagy gyógyszerészével: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rFonts w:eastAsia="Times New Roman"/>
          <w:noProof/>
          <w:snapToGrid/>
          <w:szCs w:val="22"/>
          <w:lang w:val="hu-HU"/>
        </w:rPr>
        <w:t>ha Ön a következő, magasvérnyomás-betegség kezelésére szolgáló gyógyszerek bármelyikét szedi: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709" w:hanging="425"/>
        <w:rPr>
          <w:lang w:val="hu-HU"/>
        </w:rPr>
      </w:pPr>
      <w:r>
        <w:rPr>
          <w:lang w:val="hu-HU"/>
        </w:rPr>
        <w:t xml:space="preserve">ACE-gátlók (például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lizinopril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>), különösen akkor, ha cukorbetegséggel összefüggő vesebetegségben szenved;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709" w:hanging="425"/>
        <w:rPr>
          <w:lang w:val="hu-HU"/>
        </w:rPr>
      </w:pP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.</w:t>
      </w:r>
    </w:p>
    <w:p w:rsidR="00FE0010" w:rsidRDefault="00B036BC">
      <w:pPr>
        <w:tabs>
          <w:tab w:val="clear" w:pos="567"/>
        </w:tabs>
        <w:suppressAutoHyphens/>
        <w:spacing w:line="240" w:lineRule="auto"/>
        <w:ind w:left="284"/>
        <w:rPr>
          <w:lang w:val="hu-HU"/>
        </w:rPr>
      </w:pPr>
      <w:r>
        <w:rPr>
          <w:lang w:val="hu-HU"/>
        </w:rPr>
        <w:t xml:space="preserve">Kezelőorvosa rendszeresen ellenőrizheti az Ön veseműködését, vérnyomását és az elektrolitszinteket (például kálium) a vérben. Lásd még a „Ne szedje a </w:t>
      </w:r>
      <w:r>
        <w:rPr>
          <w:noProof/>
          <w:szCs w:val="24"/>
          <w:lang w:val="hu-HU"/>
        </w:rPr>
        <w:t>Tedenomo</w:t>
      </w:r>
      <w:r>
        <w:rPr>
          <w:lang w:val="hu-HU"/>
        </w:rPr>
        <w:t>-t” pontban szereplő információkat.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proofErr w:type="spellStart"/>
      <w:r>
        <w:rPr>
          <w:lang w:val="hu-HU"/>
        </w:rPr>
        <w:t>digoxint</w:t>
      </w:r>
      <w:proofErr w:type="spellEnd"/>
      <w:r>
        <w:rPr>
          <w:lang w:val="hu-HU"/>
        </w:rPr>
        <w:t xml:space="preserve"> szed;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</w:t>
      </w:r>
      <w:r>
        <w:rPr>
          <w:szCs w:val="22"/>
          <w:lang w:val="hu-HU"/>
        </w:rPr>
        <w:t xml:space="preserve"> Ön látásromlást vagy szemfájdalmat tapasztal. Ezek a tünetek a szem érhártyáján belüli folyadékfelhalmozódásra (</w:t>
      </w:r>
      <w:proofErr w:type="spellStart"/>
      <w:r>
        <w:rPr>
          <w:szCs w:val="22"/>
          <w:lang w:val="hu-HU"/>
        </w:rPr>
        <w:t>korioideális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effúzió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folyadékgyülem</w:t>
      </w:r>
      <w:proofErr w:type="spellEnd"/>
      <w:r>
        <w:rPr>
          <w:szCs w:val="22"/>
          <w:lang w:val="hu-HU"/>
        </w:rPr>
        <w:t xml:space="preserve">) vagy a </w:t>
      </w:r>
      <w:proofErr w:type="spellStart"/>
      <w:r>
        <w:rPr>
          <w:szCs w:val="22"/>
          <w:lang w:val="hu-HU"/>
        </w:rPr>
        <w:t>szembelnyomás</w:t>
      </w:r>
      <w:proofErr w:type="spellEnd"/>
      <w:r>
        <w:rPr>
          <w:szCs w:val="22"/>
          <w:lang w:val="hu-HU"/>
        </w:rPr>
        <w:t xml:space="preserve"> emelkedésére utalhatnak, és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>bevételét követően órákon–heteken belül jelentkezhetnek. Kezeletlen esetben ez végleges látásvesztéshez vezethet. Ha korábban volt már penicillin-allergiája vagy szulfonamid-allergiája, akkor Önnél nagyobb a kockázat ennek a kialakulására;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 izomproblémát tapasztal, beleértve az izomfájdalmat, izomérzékenységet, izomgyengeséget vagy izomgörcsöket;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 Önnél a mellékpajzsmirigy működését ellenőrizni kell.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Beszéljen kezelőorvosával, ha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alkalmazását követően hasi fájdalmat, hányingert, hányást vagy hasmenést tapasztal. A további kezelésről kezelőorvosa fog dönteni. Saját elgondolásból ne hagyja abba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alkalmazását.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Tájékoztatnia kell kezelőorvosát, ha úgy véli, hogy terhes (</w:t>
      </w:r>
      <w:r>
        <w:rPr>
          <w:u w:val="single"/>
          <w:lang w:val="hu-HU"/>
        </w:rPr>
        <w:t>vagy ha teherbe eshet</w:t>
      </w:r>
      <w:r>
        <w:rPr>
          <w:lang w:val="hu-HU"/>
        </w:rPr>
        <w:t xml:space="preserve">).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szedése nem ajánlott a terhesség korai szakaszában, továbbá tilos szednie, ha több mint 3 hónapos terhes, mert ebben az időszakban a gyógyszer súlyosan károsíthatja a magzatot (lásd a terhességről szóló részt).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Műtét vagy altatás esetén tájékoztassa az orvost, hogy Ön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>-t szed.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Tájékoztassa kezelőorvosát, ha korábban volt már fényérzékenységi reakciója.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Kezelőorvosa vérvizsgálattal rendszeresen ellenőrizheti Önnél az elektrolitok szintjét.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vérnyomáscsökkentő hatása fekete bőrű betegeknél gyengébb lehet.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lang w:val="hu-HU"/>
        </w:rPr>
        <w:t>Ha Ön a fentiek bármelyikében érintett, illetve további kérdései vagy kétségei vannak a gyógyszer szedésével kapcsolatban, keresse fel kezelőorvosát vagy gyógyszerészét.</w:t>
      </w:r>
    </w:p>
    <w:p w:rsidR="00FE0010" w:rsidRDefault="00FE0010">
      <w:pPr>
        <w:spacing w:line="240" w:lineRule="auto"/>
        <w:ind w:right="-2"/>
        <w:rPr>
          <w:noProof/>
          <w:szCs w:val="24"/>
          <w:lang w:val="hu-HU"/>
        </w:rPr>
      </w:pPr>
    </w:p>
    <w:p w:rsidR="00FE0010" w:rsidRDefault="00B036BC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Gyermekek és serdülők</w:t>
      </w:r>
    </w:p>
    <w:p w:rsidR="00FE0010" w:rsidRDefault="00B036BC">
      <w:pPr>
        <w:spacing w:line="240" w:lineRule="auto"/>
        <w:ind w:right="-2"/>
        <w:rPr>
          <w:bCs/>
          <w:noProof/>
          <w:szCs w:val="24"/>
          <w:lang w:val="hu-HU"/>
        </w:rPr>
      </w:pPr>
      <w:r>
        <w:rPr>
          <w:bCs/>
          <w:noProof/>
          <w:szCs w:val="24"/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</w:t>
      </w:r>
      <w:r>
        <w:rPr>
          <w:bCs/>
          <w:noProof/>
          <w:szCs w:val="24"/>
          <w:lang w:val="hu-HU"/>
        </w:rPr>
        <w:t>alkalmazása 18 év alatti gyermekeknél és serdülőknél nem javasolt.</w:t>
      </w:r>
    </w:p>
    <w:p w:rsidR="00FE0010" w:rsidRDefault="00FE0010">
      <w:pPr>
        <w:spacing w:line="240" w:lineRule="auto"/>
        <w:ind w:right="-2"/>
        <w:rPr>
          <w:bCs/>
          <w:noProof/>
          <w:szCs w:val="24"/>
          <w:lang w:val="hu-HU"/>
        </w:rPr>
      </w:pPr>
    </w:p>
    <w:p w:rsidR="00FE0010" w:rsidRDefault="00B036BC">
      <w:pPr>
        <w:spacing w:line="240" w:lineRule="auto"/>
        <w:ind w:right="-2"/>
        <w:rPr>
          <w:b/>
          <w:lang w:val="hu-HU"/>
        </w:rPr>
      </w:pPr>
      <w:r>
        <w:rPr>
          <w:b/>
          <w:noProof/>
          <w:szCs w:val="24"/>
          <w:lang w:val="hu-HU"/>
        </w:rPr>
        <w:t>Egyéb</w:t>
      </w:r>
      <w:r>
        <w:rPr>
          <w:b/>
          <w:lang w:val="hu-HU"/>
        </w:rPr>
        <w:t xml:space="preserve"> gyógyszerek</w:t>
      </w:r>
      <w:r>
        <w:rPr>
          <w:b/>
          <w:noProof/>
          <w:szCs w:val="24"/>
          <w:lang w:val="hu-HU"/>
        </w:rPr>
        <w:t xml:space="preserve"> és a Tedenomo</w:t>
      </w: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Feltétlenül tájékoztassa kezelőorvosát vagy gyógyszerészét a jelenleg vagy nemrégiben szedett, valamint szedni tervezett egyéb gyógyszereiről. Lehet, hogy orvosának meg kell változtatnia a gyógyszerek adagját, és/vagy egyéb óvintézkedéseket tehet. Bizonyos esetekben előfordulhat, hogy valamelyik gyógyszer szedését abba kell hagynia. Ez különösen az alább felsorolt gyógyszerekre vonatkozik, ha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tablettával egyidejűleg szedik: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lítium-tartalmú gyógyszerek (amelyeket a depresszió bizonyos típusainak a kezelésére alkalmaznak), mert fennáll a kockázata, hogy a vérben magas lítium-szint alakul ki;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olyan gyógyszerek, amelyek emelhetik a vér káliumszintjét, mint például a káliumot tartalmazó sópótlók, káliummegtakarító vízhajtók (</w:t>
      </w:r>
      <w:proofErr w:type="spellStart"/>
      <w:r>
        <w:rPr>
          <w:lang w:val="hu-HU"/>
        </w:rPr>
        <w:t>példálul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amilorid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triamteren</w:t>
      </w:r>
      <w:proofErr w:type="spellEnd"/>
      <w:r>
        <w:rPr>
          <w:lang w:val="hu-HU"/>
        </w:rPr>
        <w:t xml:space="preserve">), ACE-gátlók (magasvérnyomás-betegség és szívelégtelenség kezelésére alkalmazzák),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II-receptor-gátlók, NSAID-ok (nem-szteroid gyulladáscsökkentő szerek, például </w:t>
      </w:r>
      <w:proofErr w:type="spellStart"/>
      <w:r>
        <w:rPr>
          <w:lang w:val="hu-HU"/>
        </w:rPr>
        <w:t>acetilszalicilsav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ibuprofén</w:t>
      </w:r>
      <w:proofErr w:type="spellEnd"/>
      <w:r>
        <w:rPr>
          <w:lang w:val="hu-HU"/>
        </w:rPr>
        <w:t xml:space="preserve">), </w:t>
      </w:r>
      <w:proofErr w:type="spellStart"/>
      <w:r>
        <w:rPr>
          <w:lang w:val="hu-HU"/>
        </w:rPr>
        <w:t>heparin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immunszuppresszív</w:t>
      </w:r>
      <w:proofErr w:type="spellEnd"/>
      <w:r>
        <w:rPr>
          <w:lang w:val="hu-HU"/>
        </w:rPr>
        <w:t xml:space="preserve"> szerek (például </w:t>
      </w: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), valamint a </w:t>
      </w:r>
      <w:proofErr w:type="spellStart"/>
      <w:r>
        <w:rPr>
          <w:lang w:val="hu-HU"/>
        </w:rPr>
        <w:t>trimetoprim</w:t>
      </w:r>
      <w:proofErr w:type="spellEnd"/>
      <w:r>
        <w:rPr>
          <w:lang w:val="hu-HU"/>
        </w:rPr>
        <w:t xml:space="preserve"> nevű antibiotikum;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vízhajtók, amelyek a szervezet túlzott vízvesztését okozhatják, és alacsony vérnyomást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 xml:space="preserve">) válthatnak ki – különösen, ha a vízhajtót nagy adagban és a </w:t>
      </w:r>
      <w:proofErr w:type="spellStart"/>
      <w:r>
        <w:rPr>
          <w:bCs/>
          <w:noProof/>
          <w:szCs w:val="24"/>
          <w:lang w:val="hu-HU"/>
        </w:rPr>
        <w:t>Tedenomo</w:t>
      </w:r>
      <w:r>
        <w:rPr>
          <w:lang w:val="hu-HU"/>
        </w:rPr>
        <w:t>-val</w:t>
      </w:r>
      <w:proofErr w:type="spellEnd"/>
      <w:r>
        <w:rPr>
          <w:lang w:val="hu-HU"/>
        </w:rPr>
        <w:t xml:space="preserve"> együtt alkalmazzák;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Ön ACE-gátlót vagy </w:t>
      </w:r>
      <w:proofErr w:type="spellStart"/>
      <w:r>
        <w:rPr>
          <w:lang w:val="hu-HU"/>
        </w:rPr>
        <w:t>aliszkirént</w:t>
      </w:r>
      <w:proofErr w:type="spellEnd"/>
      <w:r>
        <w:rPr>
          <w:lang w:val="hu-HU"/>
        </w:rPr>
        <w:t xml:space="preserve"> szed (Lásd még a „Ne szedje a </w:t>
      </w:r>
      <w:r>
        <w:rPr>
          <w:bCs/>
          <w:noProof/>
          <w:szCs w:val="24"/>
          <w:lang w:val="hu-HU"/>
        </w:rPr>
        <w:t>Tedenomo</w:t>
      </w:r>
      <w:r>
        <w:rPr>
          <w:lang w:val="hu-HU"/>
        </w:rPr>
        <w:t>-t” és a „Figyelmeztetések és óvintézkedések” pont alatti információt);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egyéb vérnyomáscsökkentő gyógyszerek;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digoxin</w:t>
      </w:r>
      <w:proofErr w:type="spellEnd"/>
      <w:r>
        <w:rPr>
          <w:lang w:val="hu-HU"/>
        </w:rPr>
        <w:t>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szívritmuszavarok kezelésére szolgáló gyógyszerek (például </w:t>
      </w:r>
      <w:proofErr w:type="spellStart"/>
      <w:r>
        <w:rPr>
          <w:lang w:val="hu-HU"/>
        </w:rPr>
        <w:t>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hidrokinidin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dizopiramid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amiodaron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szotalol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ibutilid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dofetilid</w:t>
      </w:r>
      <w:proofErr w:type="spellEnd"/>
      <w:r>
        <w:rPr>
          <w:lang w:val="hu-HU"/>
        </w:rPr>
        <w:t xml:space="preserve">, digitálisz, </w:t>
      </w:r>
      <w:proofErr w:type="spellStart"/>
      <w:r>
        <w:rPr>
          <w:lang w:val="hu-HU"/>
        </w:rPr>
        <w:t>bretilium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mentális betegségek, például depresszió, szorongás, skizofrénia kezelésére alkalmazott gyógyszerek, például triciklusos antidepresszánsok, pszichiátriai betegségek gyógyszerei (</w:t>
      </w:r>
      <w:proofErr w:type="spellStart"/>
      <w:r>
        <w:rPr>
          <w:lang w:val="hu-HU"/>
        </w:rPr>
        <w:t>antipszichotikumok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neuroleptikumok</w:t>
      </w:r>
      <w:proofErr w:type="spellEnd"/>
      <w:r>
        <w:rPr>
          <w:lang w:val="hu-HU"/>
        </w:rPr>
        <w:t xml:space="preserve">, például </w:t>
      </w:r>
      <w:proofErr w:type="spellStart"/>
      <w:r>
        <w:rPr>
          <w:lang w:val="hu-HU"/>
        </w:rPr>
        <w:t>amiszulprid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szulprid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szultoprid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tiaprid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haloperidol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droperidol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bepridil</w:t>
      </w:r>
      <w:proofErr w:type="spellEnd"/>
      <w:r>
        <w:rPr>
          <w:lang w:val="hu-HU"/>
        </w:rPr>
        <w:t xml:space="preserve"> (a mellkasi fájdalmat okozó, angina </w:t>
      </w:r>
      <w:proofErr w:type="spellStart"/>
      <w:r>
        <w:rPr>
          <w:lang w:val="hu-HU"/>
        </w:rPr>
        <w:t>pektorisz</w:t>
      </w:r>
      <w:proofErr w:type="spellEnd"/>
      <w:r>
        <w:rPr>
          <w:lang w:val="hu-HU"/>
        </w:rPr>
        <w:t xml:space="preserve"> nevű betegség kezelésére alkalmazzák);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ciszaprid</w:t>
      </w:r>
      <w:proofErr w:type="spellEnd"/>
      <w:r>
        <w:rPr>
          <w:lang w:val="hu-HU"/>
        </w:rPr>
        <w:t xml:space="preserve"> (</w:t>
      </w:r>
      <w:r>
        <w:rPr>
          <w:noProof/>
          <w:szCs w:val="22"/>
          <w:lang w:val="hu-HU"/>
        </w:rPr>
        <w:t>a nyelőcső és a gyomor csökkent mozgásának kezelésére alkalmazzák</w:t>
      </w:r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bCs/>
          <w:szCs w:val="22"/>
          <w:lang w:val="hu-HU"/>
        </w:rPr>
        <w:t>difemanil</w:t>
      </w:r>
      <w:proofErr w:type="spellEnd"/>
      <w:r>
        <w:rPr>
          <w:bCs/>
          <w:szCs w:val="22"/>
          <w:lang w:val="hu-HU"/>
        </w:rPr>
        <w:t xml:space="preserve"> (emésztőrendszeri panaszok kezelésére alkalmazzák);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bakteriális fertőzések kezelésére alkalmazott antibiotikumok (például </w:t>
      </w:r>
      <w:proofErr w:type="spellStart"/>
      <w:r>
        <w:rPr>
          <w:lang w:val="hu-HU"/>
        </w:rPr>
        <w:t>sparfloxacin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moxifloxacin</w:t>
      </w:r>
      <w:proofErr w:type="spellEnd"/>
      <w:r>
        <w:rPr>
          <w:lang w:val="hu-HU"/>
        </w:rPr>
        <w:t xml:space="preserve">, injekcióban adott </w:t>
      </w:r>
      <w:proofErr w:type="spellStart"/>
      <w:r>
        <w:rPr>
          <w:lang w:val="hu-HU"/>
        </w:rPr>
        <w:t>eritromicin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injekcióban adott </w:t>
      </w:r>
      <w:proofErr w:type="spellStart"/>
      <w:r>
        <w:rPr>
          <w:lang w:val="hu-HU"/>
        </w:rPr>
        <w:t>vinkamin</w:t>
      </w:r>
      <w:proofErr w:type="spellEnd"/>
      <w:r>
        <w:rPr>
          <w:lang w:val="hu-HU"/>
        </w:rPr>
        <w:t xml:space="preserve"> (időseknél a gondolkodást érintő tünetek, például memóriaromlás kezelésére alkalmazzák);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halofantrin</w:t>
      </w:r>
      <w:proofErr w:type="spellEnd"/>
      <w:r>
        <w:rPr>
          <w:lang w:val="hu-HU"/>
        </w:rPr>
        <w:t xml:space="preserve"> (a malária bizonyos típusának kezelésére alkalmazott parazitaellenes gyógyszer);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pentamidin</w:t>
      </w:r>
      <w:proofErr w:type="spellEnd"/>
      <w:r>
        <w:rPr>
          <w:lang w:val="hu-HU"/>
        </w:rPr>
        <w:t xml:space="preserve"> (bizonyos típusú tüdőgyulladás kezelésére);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allergiás reakciók, például szénanátha kezelésére szolgáló </w:t>
      </w:r>
      <w:proofErr w:type="spellStart"/>
      <w:r>
        <w:rPr>
          <w:lang w:val="hu-HU"/>
        </w:rPr>
        <w:t>antihisztaminok</w:t>
      </w:r>
      <w:proofErr w:type="spellEnd"/>
      <w:r>
        <w:rPr>
          <w:lang w:val="hu-HU"/>
        </w:rPr>
        <w:t xml:space="preserve"> (például </w:t>
      </w:r>
      <w:proofErr w:type="spellStart"/>
      <w:r>
        <w:rPr>
          <w:lang w:val="hu-HU"/>
        </w:rPr>
        <w:t>mizolasztin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asztemizol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terfenadin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injekcióban adott </w:t>
      </w:r>
      <w:proofErr w:type="spellStart"/>
      <w:r>
        <w:rPr>
          <w:lang w:val="hu-HU"/>
        </w:rPr>
        <w:t>amfotericin</w:t>
      </w:r>
      <w:proofErr w:type="spellEnd"/>
      <w:r>
        <w:rPr>
          <w:lang w:val="hu-HU"/>
        </w:rPr>
        <w:t> B (gombaellenes gyógyszer);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különféle betegségek, köztük a súlyos asztma és a </w:t>
      </w:r>
      <w:proofErr w:type="spellStart"/>
      <w:r>
        <w:rPr>
          <w:lang w:val="hu-HU"/>
        </w:rPr>
        <w:t>reumatoid</w:t>
      </w:r>
      <w:proofErr w:type="spellEnd"/>
      <w:r>
        <w:rPr>
          <w:lang w:val="hu-HU"/>
        </w:rPr>
        <w:t xml:space="preserve"> ízületi gyulladás (</w:t>
      </w:r>
      <w:proofErr w:type="spellStart"/>
      <w:r>
        <w:rPr>
          <w:lang w:val="hu-HU"/>
        </w:rPr>
        <w:t>reumatoid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artritisz</w:t>
      </w:r>
      <w:proofErr w:type="spellEnd"/>
      <w:r>
        <w:rPr>
          <w:lang w:val="hu-HU"/>
        </w:rPr>
        <w:t xml:space="preserve">) kezelésére alkalmazott, a szervezetbe juttatott </w:t>
      </w:r>
      <w:proofErr w:type="spellStart"/>
      <w:r>
        <w:rPr>
          <w:lang w:val="hu-HU"/>
        </w:rPr>
        <w:t>kortikoszteroidok</w:t>
      </w:r>
      <w:proofErr w:type="spellEnd"/>
      <w:r>
        <w:rPr>
          <w:lang w:val="hu-HU"/>
        </w:rPr>
        <w:t>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bélfalizgató hatású hashajtók;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lastRenderedPageBreak/>
        <w:t>baklofén</w:t>
      </w:r>
      <w:proofErr w:type="spellEnd"/>
      <w:r>
        <w:rPr>
          <w:lang w:val="hu-HU"/>
        </w:rPr>
        <w:t xml:space="preserve"> (különböző betegségek, például szklerózis multiplex esetén előforduló izommerevség kezelésére alkalmazzák);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allopurinol</w:t>
      </w:r>
      <w:proofErr w:type="spellEnd"/>
      <w:r>
        <w:rPr>
          <w:lang w:val="hu-HU"/>
        </w:rPr>
        <w:t xml:space="preserve"> (köszvény kezelésére alkalmazzák);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(cukorbetegség kezelésére alkalmazzák);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jódtartalmú</w:t>
      </w:r>
      <w:proofErr w:type="spellEnd"/>
      <w:r>
        <w:rPr>
          <w:lang w:val="hu-HU"/>
        </w:rPr>
        <w:t xml:space="preserve"> kontrasztanyagok (röntgensugarat alkalmazó vizsgálatok esetén adják);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kalciumtabletták vagy más kalciumpótló készítmények;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ciklosporin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takrolimusz</w:t>
      </w:r>
      <w:proofErr w:type="spellEnd"/>
      <w:r>
        <w:rPr>
          <w:lang w:val="hu-HU"/>
        </w:rPr>
        <w:t xml:space="preserve"> és egyéb, az immunrendszer működését gátló gyógyszerek, melyeket szervátültetés után, autoimmun betegségek, illetve súlyos reumatológiai vagy bőrgyógyászati betegségek kezelésére alkalmaznak;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tetrakozaktid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Crohn</w:t>
      </w:r>
      <w:proofErr w:type="spellEnd"/>
      <w:r>
        <w:rPr>
          <w:lang w:val="hu-HU"/>
        </w:rPr>
        <w:t>-betegség kezelésére alkalmazzák);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metadon</w:t>
      </w:r>
      <w:proofErr w:type="spellEnd"/>
      <w:r>
        <w:rPr>
          <w:lang w:val="hu-HU"/>
        </w:rPr>
        <w:t xml:space="preserve"> (függőség kezelésére alkalmazzák).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noProof/>
          <w:szCs w:val="24"/>
          <w:lang w:val="hu-HU"/>
        </w:rPr>
        <w:t>Tedenomo</w:t>
      </w:r>
      <w:r>
        <w:rPr>
          <w:lang w:val="hu-HU"/>
        </w:rPr>
        <w:t xml:space="preserve"> hatása csökkenhet, ha Ön NSAID-t (nem-szteroid gyulladáscsökkentő gyógyszert, például </w:t>
      </w:r>
      <w:proofErr w:type="spellStart"/>
      <w:r>
        <w:rPr>
          <w:lang w:val="hu-HU"/>
        </w:rPr>
        <w:t>acetilszalicilsavat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ibuprofént</w:t>
      </w:r>
      <w:proofErr w:type="spellEnd"/>
      <w:r>
        <w:rPr>
          <w:lang w:val="hu-HU"/>
        </w:rPr>
        <w:t xml:space="preserve">), illetve </w:t>
      </w:r>
      <w:proofErr w:type="spellStart"/>
      <w:r>
        <w:rPr>
          <w:lang w:val="hu-HU"/>
        </w:rPr>
        <w:t>kortikoszteroidot</w:t>
      </w:r>
      <w:proofErr w:type="spellEnd"/>
      <w:r>
        <w:rPr>
          <w:lang w:val="hu-HU"/>
        </w:rPr>
        <w:t xml:space="preserve"> is szed.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>
        <w:rPr>
          <w:bCs/>
          <w:noProof/>
          <w:szCs w:val="24"/>
          <w:lang w:val="hu-HU"/>
        </w:rPr>
        <w:t>Tedenomo</w:t>
      </w:r>
      <w:r>
        <w:rPr>
          <w:lang w:val="hu-HU"/>
        </w:rPr>
        <w:t xml:space="preserve"> fokozhatja az egyéb, magasvérnyomás-betegség kezelésére szolgáló gyógyszerek – vagy a vérnyomáscsökkentő hatású egyéb gyógyszerek (pl. </w:t>
      </w:r>
      <w:proofErr w:type="spellStart"/>
      <w:r>
        <w:rPr>
          <w:lang w:val="hu-HU"/>
        </w:rPr>
        <w:t>baklofén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amifosztin</w:t>
      </w:r>
      <w:proofErr w:type="spellEnd"/>
      <w:r>
        <w:rPr>
          <w:lang w:val="hu-HU"/>
        </w:rPr>
        <w:t xml:space="preserve">) – vérnyomáscsökkentő hatását. Továbbá az alacsony vérnyomás súlyosbodhat az alkohol, barbiturátok, narkotikumok vagy antidepresszánsok hatására. Az alacsony vérnyomást észlelheti is, ha felálláskor szédülni kezd. Meg kell beszélnie kezelőorvosával, hogy szükség van-e a többi gyógyszer adagjának módosítására a </w:t>
      </w:r>
      <w:r>
        <w:rPr>
          <w:bCs/>
          <w:noProof/>
          <w:szCs w:val="24"/>
          <w:lang w:val="hu-HU"/>
        </w:rPr>
        <w:t>Tedenomo</w:t>
      </w:r>
      <w:r>
        <w:rPr>
          <w:lang w:val="hu-HU"/>
        </w:rPr>
        <w:t xml:space="preserve"> szedése alatt.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 xml:space="preserve"> egyidejű bevétele </w:t>
      </w:r>
      <w:r>
        <w:rPr>
          <w:b/>
          <w:noProof/>
          <w:szCs w:val="24"/>
          <w:lang w:val="hu-HU"/>
        </w:rPr>
        <w:t>étellel, itallal és alkohollal</w:t>
      </w: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Tedenomo</w:t>
      </w:r>
      <w:proofErr w:type="spellEnd"/>
      <w:r>
        <w:rPr>
          <w:szCs w:val="22"/>
          <w:lang w:val="hu-HU"/>
        </w:rPr>
        <w:t xml:space="preserve">-t </w:t>
      </w:r>
      <w:proofErr w:type="spellStart"/>
      <w:r>
        <w:rPr>
          <w:szCs w:val="22"/>
          <w:lang w:val="hu-HU"/>
        </w:rPr>
        <w:t>beveheti</w:t>
      </w:r>
      <w:proofErr w:type="spellEnd"/>
      <w:r>
        <w:rPr>
          <w:szCs w:val="22"/>
          <w:lang w:val="hu-HU"/>
        </w:rPr>
        <w:t xml:space="preserve"> étkezés közben vagy étkezéstől függetlenül is.</w:t>
      </w: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szCs w:val="22"/>
          <w:lang w:val="hu-HU"/>
        </w:rPr>
        <w:t>Ha alkoholt fogyaszt, a kelleténél jobban lecsökkenhet a vérnyomása, és/vagy nagyobb kockázattal jelentkezhet szédülés és ájulásérzés.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Terhesség és</w:t>
      </w:r>
      <w:r>
        <w:rPr>
          <w:b/>
          <w:noProof/>
          <w:szCs w:val="24"/>
          <w:lang w:val="hu-HU"/>
        </w:rPr>
        <w:t xml:space="preserve"> </w:t>
      </w:r>
      <w:r>
        <w:rPr>
          <w:b/>
          <w:lang w:val="hu-HU"/>
        </w:rPr>
        <w:t>szoptatás</w:t>
      </w:r>
    </w:p>
    <w:p w:rsidR="00FE0010" w:rsidRDefault="00B036BC">
      <w:p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Ha Ön terhes vagy szoptat, illetve ha fennáll Önnél a terhesség lehetősége vagy gyermeket szeretne, a gyógyszer alkalmazása előtt beszéljen</w:t>
      </w:r>
      <w:r>
        <w:rPr>
          <w:lang w:val="hu-HU"/>
        </w:rPr>
        <w:t xml:space="preserve"> kezelőorvosával vagy gyógyszerészével</w:t>
      </w:r>
      <w:r>
        <w:rPr>
          <w:noProof/>
          <w:szCs w:val="24"/>
          <w:lang w:val="hu-HU"/>
        </w:rPr>
        <w:t>.</w:t>
      </w:r>
    </w:p>
    <w:p w:rsidR="00FE0010" w:rsidRDefault="00FE0010">
      <w:pPr>
        <w:spacing w:line="240" w:lineRule="auto"/>
        <w:rPr>
          <w:noProof/>
          <w:szCs w:val="24"/>
          <w:lang w:val="hu-HU"/>
        </w:rPr>
      </w:pPr>
    </w:p>
    <w:p w:rsidR="00FE0010" w:rsidRDefault="00B036BC">
      <w:pPr>
        <w:spacing w:line="240" w:lineRule="auto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Terhesség</w:t>
      </w:r>
    </w:p>
    <w:p w:rsidR="00FE0010" w:rsidRDefault="00B036BC">
      <w:pPr>
        <w:spacing w:line="240" w:lineRule="auto"/>
        <w:rPr>
          <w:lang w:val="hu-HU"/>
        </w:rPr>
      </w:pPr>
      <w:r>
        <w:rPr>
          <w:lang w:val="hu-HU"/>
        </w:rPr>
        <w:t>Tájékoztatnia kell kezelőorvosát, ha úgy véli, hogy terhes (</w:t>
      </w:r>
      <w:r>
        <w:rPr>
          <w:u w:val="single"/>
          <w:lang w:val="hu-HU"/>
        </w:rPr>
        <w:t>vagy ha teherbe eshet</w:t>
      </w:r>
      <w:r>
        <w:rPr>
          <w:lang w:val="hu-HU"/>
        </w:rPr>
        <w:t xml:space="preserve">). Kezelőorvosa rendszerint azt tanácsolja majd, hogy hagyja abba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szedését mielőtt </w:t>
      </w:r>
      <w:proofErr w:type="spellStart"/>
      <w:r>
        <w:rPr>
          <w:lang w:val="hu-HU"/>
        </w:rPr>
        <w:t>terherbe</w:t>
      </w:r>
      <w:proofErr w:type="spellEnd"/>
      <w:r>
        <w:rPr>
          <w:lang w:val="hu-HU"/>
        </w:rPr>
        <w:t xml:space="preserve"> esik – vagy amint </w:t>
      </w:r>
      <w:proofErr w:type="gramStart"/>
      <w:r>
        <w:rPr>
          <w:lang w:val="hu-HU"/>
        </w:rPr>
        <w:t>megtudja</w:t>
      </w:r>
      <w:proofErr w:type="gramEnd"/>
      <w:r>
        <w:rPr>
          <w:lang w:val="hu-HU"/>
        </w:rPr>
        <w:t xml:space="preserve"> hogy terhes –, és másik gyógyszert fog javasolni Önnek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helyett. </w:t>
      </w:r>
      <w:r>
        <w:rPr>
          <w:rStyle w:val="ui-provider"/>
          <w:lang w:val="hu-HU"/>
        </w:rPr>
        <w:t>Ha Ön terhességet tervez, vagy terhességéről megbizonyosodott, a lehető leghamarabb váltania kell egy másik vérnyomáscsökkentő gyógyszerre.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nem ajánlott a terhesség korai szakaszában, továbbá tilos szednie, ha több mint 3 hónapos terhes, mert a gyógyszer ebben az időszakban súlyosan károsíthatja a magzatot.</w:t>
      </w:r>
    </w:p>
    <w:p w:rsidR="00FE0010" w:rsidRDefault="00FE0010">
      <w:pPr>
        <w:spacing w:line="240" w:lineRule="auto"/>
        <w:rPr>
          <w:lang w:val="hu-HU"/>
        </w:rPr>
      </w:pPr>
    </w:p>
    <w:p w:rsidR="00FE0010" w:rsidRDefault="00B036B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:rsidR="00FE0010" w:rsidRDefault="00B036BC">
      <w:pPr>
        <w:spacing w:line="240" w:lineRule="auto"/>
        <w:rPr>
          <w:lang w:val="hu-HU"/>
        </w:rPr>
      </w:pPr>
      <w:r>
        <w:rPr>
          <w:lang w:val="hu-HU"/>
        </w:rPr>
        <w:t xml:space="preserve">Tájékoztassa kezelőorvosát, ha szoptat, vagy ha hamarosan szoptatni kezd. A hatóanyag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 az anyatejbe.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adása nem javasolt szoptató nőknek, és orvosa lehet, hogy másik gyógyszert választ, ha Ön szoptatni szeretne – különösen akkor, ha gyermeke újszülött vagy koraszülött.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>A készítmény hatásai a gépjárművezetéshez és a gépek kezeléséhez szükséges képességekre</w:t>
      </w:r>
    </w:p>
    <w:p w:rsidR="00FE0010" w:rsidRDefault="00B036BC">
      <w:pPr>
        <w:spacing w:line="240" w:lineRule="auto"/>
        <w:ind w:right="-29"/>
        <w:rPr>
          <w:lang w:val="hu-HU"/>
        </w:rPr>
      </w:pPr>
      <w:r>
        <w:rPr>
          <w:lang w:val="hu-HU"/>
        </w:rPr>
        <w:t>A gyógyszer a vérnyomáscsökkenés miatt szédülést vagy fáradtságot is okozhat mellékhatásként (lásd 4. pont). Ha szédül, vagy fáradtnak érzi magát, ne vezessen, és ne kezeljen gépeket.</w:t>
      </w:r>
    </w:p>
    <w:p w:rsidR="00FE0010" w:rsidRDefault="00FE0010">
      <w:pPr>
        <w:spacing w:line="240" w:lineRule="auto"/>
        <w:ind w:right="-29"/>
        <w:rPr>
          <w:lang w:val="hu-HU"/>
        </w:rPr>
      </w:pP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noProof/>
          <w:szCs w:val="24"/>
          <w:lang w:val="hu-HU"/>
        </w:rPr>
        <w:t xml:space="preserve"> laktózt és nátriumot tartalmaz</w:t>
      </w: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Amennyiben kezelőorvosa korábban már figyelmeztette Önt, hogy bizonyos cukrokra érzékeny, keresse fel orvosát, mielőtt elkezdi szedni ezt a gyógyszert.</w:t>
      </w:r>
    </w:p>
    <w:p w:rsidR="00FE0010" w:rsidRDefault="00B036B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Ez a gyógyszer kevesebb mint 1 mmol (23 mg) nátriumot tartalmaz tablettánként, azaz gyakorlatilag „nátriummentes”.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:rsidR="00FE0010" w:rsidRDefault="00B036BC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lastRenderedPageBreak/>
        <w:t xml:space="preserve">Hogyan kell szedni 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noProof/>
          <w:szCs w:val="24"/>
          <w:lang w:val="hu-HU"/>
        </w:rPr>
        <w:t>-</w:t>
      </w:r>
      <w:r>
        <w:rPr>
          <w:b/>
          <w:lang w:val="hu-HU"/>
        </w:rPr>
        <w:t>t</w:t>
      </w:r>
      <w:r>
        <w:rPr>
          <w:b/>
          <w:noProof/>
          <w:szCs w:val="24"/>
          <w:lang w:val="hu-HU"/>
        </w:rPr>
        <w:t>?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:rsidR="00FE0010" w:rsidRDefault="00B036BC">
      <w:p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gyógyszert mindig a kezelőorvosa vagy gyógyszerésze által elmondottaknak megfelelően szedje. Amennyiben nem biztos az adagolást illetően, kérdezze meg kezelőorvosát vagy gyógyszerészét.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ajánlott adagja naponta 1 tabletta, melyet lehetőleg reggel vegyen be.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>-t minden nap nagyjából azonos időpontban kell bevenni.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étkezéskor vagy étkezéstől függetlenül is bevehető. A tablettát egészben, egy kevés vízzel vagy alkoholmentes folyadékkal kell lenyelni. Ne törje össze és ne rágja szét a tablettát.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Fontos, hogy mindennap bevegye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-t, amíg kezelőorvosa nem ad más utasítást. Ha Ön úgy érzi, hogy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hatása túlságosan erős vagy gyenge, forduljon kezelőorvosához vagy gyógyszerészéhez. A magasvérnyomás-betegség általában egész életen át tartó kezelést igényel.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>Nem megfelelő májműködés esetén orvosának módosítania kell az adagolást.</w:t>
      </w:r>
    </w:p>
    <w:p w:rsidR="00FE0010" w:rsidRDefault="00FE0010">
      <w:pPr>
        <w:spacing w:line="240" w:lineRule="auto"/>
        <w:ind w:right="-2"/>
        <w:rPr>
          <w:bCs/>
          <w:noProof/>
          <w:szCs w:val="24"/>
          <w:lang w:val="hu-HU"/>
        </w:rPr>
      </w:pPr>
    </w:p>
    <w:p w:rsidR="00FE0010" w:rsidRDefault="00B036BC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az előírtnál több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>-t vett be</w:t>
      </w:r>
    </w:p>
    <w:p w:rsidR="00FE0010" w:rsidRDefault="00B036BC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Ha véletlenül túl sok tablettát vett be, azonnal forduljon kezelőorvosához vagy gyógyszerészéhez, vagy keresse fel a legközelebbi kórház sürgősségi osztályát.</w:t>
      </w:r>
    </w:p>
    <w:p w:rsidR="00FE0010" w:rsidRDefault="00B036BC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A túlságosan nagy adag </w:t>
      </w:r>
      <w:proofErr w:type="spellStart"/>
      <w:r>
        <w:rPr>
          <w:bCs/>
          <w:lang w:val="hu-HU"/>
        </w:rPr>
        <w:t>Tedenomo</w:t>
      </w:r>
      <w:proofErr w:type="spellEnd"/>
      <w:r>
        <w:rPr>
          <w:bCs/>
          <w:lang w:val="hu-HU"/>
        </w:rPr>
        <w:t xml:space="preserve"> bevétele hányingert, hányást, alacsony vérnyomást, izomgörcsöt, szédülést, álmosságot, zavartságot és a vese által kiválasztott vizelet mennyiségének változását okozhatja.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lang w:val="hu-HU"/>
        </w:rPr>
      </w:pPr>
    </w:p>
    <w:p w:rsidR="00FE0010" w:rsidRDefault="00B036BC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elfelejtette bevenni 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>-t</w:t>
      </w: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>Ha elfelejtett bevenni egy adagot, ne aggódjon. Vegye be, amint eszébe jut, és a továbbiakban szedje a gyógyszert a szokásos módon. Ha egy nap kimaradna, a következő napon a szokásos adagot kell bevennie.</w:t>
      </w: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>Ne vegyen be kétszeres adagot a kihagyott tabletta pótlására.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 xml:space="preserve">Ha idő előtt abbahagyja 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 xml:space="preserve"> szedését</w:t>
      </w: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>Mivel a magasvérnyomás-betegség kezelése rendszerint egész életen át tart, beszélnie kell kezelőorvosával, mielőtt a gyógyszer szedését abbahagyná.</w:t>
      </w: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>Ha bármilyen további kérdése van a gyógyszer alkalmazásával kapcsolatban, kérdezze meg kezelőorvosát vagy gyógyszerészét.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:rsidR="00FE0010" w:rsidRDefault="00B036BC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Lehetséges mellékhatások</w:t>
      </w:r>
    </w:p>
    <w:p w:rsidR="00FE0010" w:rsidRDefault="00FE0010">
      <w:pPr>
        <w:spacing w:line="240" w:lineRule="auto"/>
        <w:ind w:right="-29"/>
        <w:rPr>
          <w:lang w:val="hu-HU"/>
        </w:rPr>
      </w:pPr>
    </w:p>
    <w:p w:rsidR="00FE0010" w:rsidRDefault="00B036BC">
      <w:pPr>
        <w:spacing w:line="240" w:lineRule="auto"/>
        <w:ind w:right="-29"/>
        <w:rPr>
          <w:lang w:val="hu-HU"/>
        </w:rPr>
      </w:pPr>
      <w:r>
        <w:rPr>
          <w:lang w:val="hu-HU"/>
        </w:rPr>
        <w:t xml:space="preserve">Mint minden gyógyszer, így </w:t>
      </w:r>
      <w:r>
        <w:rPr>
          <w:noProof/>
          <w:szCs w:val="24"/>
          <w:lang w:val="hu-HU"/>
        </w:rPr>
        <w:t>ez a gyógyszer</w:t>
      </w:r>
      <w:r>
        <w:rPr>
          <w:lang w:val="hu-HU"/>
        </w:rPr>
        <w:t xml:space="preserve"> is okozhat mellékhatásokat, amelyek azonban nem mindenkinél jelentkeznek.</w:t>
      </w:r>
    </w:p>
    <w:p w:rsidR="00FE0010" w:rsidRDefault="00FE0010">
      <w:pPr>
        <w:spacing w:line="240" w:lineRule="auto"/>
        <w:ind w:right="-29"/>
        <w:rPr>
          <w:lang w:val="hu-HU"/>
        </w:rPr>
      </w:pPr>
    </w:p>
    <w:p w:rsidR="00FE0010" w:rsidRDefault="00B036BC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 w:eastAsia="hu-HU"/>
        </w:rPr>
      </w:pPr>
      <w:r>
        <w:rPr>
          <w:b/>
          <w:bCs/>
          <w:szCs w:val="22"/>
          <w:lang w:val="hu-HU" w:eastAsia="hu-HU"/>
        </w:rPr>
        <w:t>Ha a következő mellékhatások bármelyikét tapasztalja, azonnal hagyja abba a gyógyszer szedését, és forduljon kezelőorvosához: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szepszis (a szervezet egészére kiterjedő gyulladásos válaszreakcióval járó, gyakran vérmérgezésnek nevezett súlyos fertőzés), amely lehetett véletlen vagy egy ez idáig ismeretlen mechanizmus következménye is (</w:t>
      </w:r>
      <w:r>
        <w:rPr>
          <w:i/>
          <w:iCs/>
          <w:lang w:val="hu-HU"/>
        </w:rPr>
        <w:t>ritka: 1000-ből legfeljebb 1 beteget érinthet</w:t>
      </w:r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végtagok bőrének vagy az arcbőr hirtelen duzzanata, az ajkak vagy a nyelv duzzanata, a torok vagy a légutak nyálkahártyájának duzzanata, amely légszomjat vagy nyelési nehézséget okoz (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>) (</w:t>
      </w:r>
      <w:r>
        <w:rPr>
          <w:i/>
          <w:iCs/>
          <w:lang w:val="hu-HU"/>
        </w:rPr>
        <w:t>ritka: 1000-ből legfeljebb 1 beteget érinthet</w:t>
      </w:r>
      <w:r>
        <w:rPr>
          <w:lang w:val="hu-HU"/>
        </w:rPr>
        <w:t>)</w:t>
      </w:r>
      <w:r>
        <w:rPr>
          <w:i/>
          <w:iCs/>
          <w:lang w:val="hu-HU"/>
        </w:rPr>
        <w:t>.</w:t>
      </w:r>
    </w:p>
    <w:p w:rsidR="00FE0010" w:rsidRDefault="00B036BC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>
        <w:rPr>
          <w:lang w:val="hu-HU"/>
        </w:rPr>
        <w:t>Kezelés nélkül ezek a mellékhatások halálos kimenetelűek is lehetnek.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súlyos bőrreakciók, többek között heves bőrkiütés, </w:t>
      </w:r>
      <w:proofErr w:type="spellStart"/>
      <w:r>
        <w:rPr>
          <w:lang w:val="hu-HU"/>
        </w:rPr>
        <w:t>testszerte</w:t>
      </w:r>
      <w:proofErr w:type="spellEnd"/>
      <w:r>
        <w:rPr>
          <w:lang w:val="hu-HU"/>
        </w:rPr>
        <w:t xml:space="preserve"> jelentkező bőrvörösödés, súlyos viszketés, hólyagosodás, hámlás, bőrduzzanat, valamint a nyálkahártyák gyulladása (</w:t>
      </w:r>
      <w:proofErr w:type="spellStart"/>
      <w:r>
        <w:rPr>
          <w:lang w:val="hu-HU"/>
        </w:rPr>
        <w:t>Stevens</w:t>
      </w:r>
      <w:proofErr w:type="spellEnd"/>
      <w:r>
        <w:rPr>
          <w:lang w:val="hu-HU"/>
        </w:rPr>
        <w:t>–Johnson-szindróma) vagy más allergiás reakció (</w:t>
      </w:r>
      <w:r>
        <w:rPr>
          <w:i/>
          <w:iCs/>
          <w:lang w:val="hu-HU"/>
        </w:rPr>
        <w:t>nagyon ritka: 10 000-ből legfeljebb 1 beteget érinthet</w:t>
      </w:r>
      <w:r>
        <w:rPr>
          <w:lang w:val="hu-HU"/>
        </w:rPr>
        <w:t>).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életveszélyes szívritmuszavar (</w:t>
      </w:r>
      <w:r>
        <w:rPr>
          <w:i/>
          <w:szCs w:val="22"/>
          <w:lang w:val="hu-HU" w:eastAsia="fr-FR"/>
        </w:rPr>
        <w:t>nem ismert gyakoriságú</w:t>
      </w:r>
      <w:r>
        <w:rPr>
          <w:szCs w:val="22"/>
          <w:lang w:val="hu-HU" w:eastAsia="fr-FR"/>
        </w:rPr>
        <w:t>)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lastRenderedPageBreak/>
        <w:t>hasnyálmirigy-gyulladás, amely súlyos hasfájást és hátfájást, emellett nagyon rossz közérzetet okozhat (</w:t>
      </w:r>
      <w:r>
        <w:rPr>
          <w:i/>
          <w:szCs w:val="22"/>
          <w:lang w:val="hu-HU" w:eastAsia="fr-FR"/>
        </w:rPr>
        <w:t>nagyon ritka: 10 000-ből</w:t>
      </w:r>
      <w:r>
        <w:rPr>
          <w:szCs w:val="22"/>
          <w:lang w:val="hu-HU" w:eastAsia="fr-FR"/>
        </w:rPr>
        <w:t xml:space="preserve"> </w:t>
      </w:r>
      <w:r>
        <w:rPr>
          <w:i/>
          <w:szCs w:val="22"/>
          <w:lang w:val="hu-HU" w:eastAsia="fr-FR"/>
        </w:rPr>
        <w:t>legfeljebb 1 beteget érinthet</w:t>
      </w:r>
      <w:r>
        <w:rPr>
          <w:szCs w:val="22"/>
          <w:lang w:val="hu-HU" w:eastAsia="fr-FR"/>
        </w:rPr>
        <w:t>).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májbetegség okozta agyműködési zavar (</w:t>
      </w:r>
      <w:proofErr w:type="spellStart"/>
      <w:r>
        <w:rPr>
          <w:szCs w:val="22"/>
          <w:lang w:val="hu-HU" w:eastAsia="fr-FR"/>
        </w:rPr>
        <w:t>hepatikus</w:t>
      </w:r>
      <w:proofErr w:type="spellEnd"/>
      <w:r>
        <w:rPr>
          <w:szCs w:val="22"/>
          <w:lang w:val="hu-HU" w:eastAsia="fr-FR"/>
        </w:rPr>
        <w:t xml:space="preserve"> </w:t>
      </w:r>
      <w:proofErr w:type="spellStart"/>
      <w:r>
        <w:rPr>
          <w:szCs w:val="22"/>
          <w:lang w:val="hu-HU" w:eastAsia="fr-FR"/>
        </w:rPr>
        <w:t>enkefalopátia</w:t>
      </w:r>
      <w:proofErr w:type="spellEnd"/>
      <w:r>
        <w:rPr>
          <w:szCs w:val="22"/>
          <w:lang w:val="hu-HU" w:eastAsia="fr-FR"/>
        </w:rPr>
        <w:t>) (</w:t>
      </w:r>
      <w:r>
        <w:rPr>
          <w:i/>
          <w:szCs w:val="22"/>
          <w:lang w:val="hu-HU" w:eastAsia="fr-FR"/>
        </w:rPr>
        <w:t>nem ismert gyakoriságú</w:t>
      </w:r>
      <w:r>
        <w:rPr>
          <w:szCs w:val="22"/>
          <w:lang w:val="hu-HU" w:eastAsia="fr-FR"/>
        </w:rPr>
        <w:t>).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izomgyengeség, izomgörcs, izomérzékenység vagy izomfájdalom, különösen, ha ezekkel egyidőben rosszullétet vagy lázat tapasztal, mivel ezt kóros </w:t>
      </w:r>
      <w:proofErr w:type="spellStart"/>
      <w:r>
        <w:rPr>
          <w:lang w:val="hu-HU"/>
        </w:rPr>
        <w:t>izomlebomlás</w:t>
      </w:r>
      <w:proofErr w:type="spellEnd"/>
      <w:r>
        <w:rPr>
          <w:lang w:val="hu-HU"/>
        </w:rPr>
        <w:t xml:space="preserve"> okozhatja (</w:t>
      </w:r>
      <w:r>
        <w:rPr>
          <w:i/>
          <w:szCs w:val="22"/>
          <w:lang w:val="hu-HU" w:eastAsia="fr-FR"/>
        </w:rPr>
        <w:t>nem ismert gyakoriságú</w:t>
      </w:r>
      <w:r>
        <w:rPr>
          <w:iCs/>
          <w:szCs w:val="22"/>
          <w:lang w:val="hu-HU" w:eastAsia="fr-FR"/>
        </w:rPr>
        <w:t>).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Tedenomo</w:t>
      </w:r>
      <w:proofErr w:type="spellEnd"/>
      <w:r>
        <w:rPr>
          <w:b/>
          <w:bCs/>
          <w:lang w:val="hu-HU"/>
        </w:rPr>
        <w:t xml:space="preserve"> lehetséges mellékhatásai:</w:t>
      </w:r>
    </w:p>
    <w:p w:rsidR="00FE0010" w:rsidRDefault="00FE0010">
      <w:pPr>
        <w:tabs>
          <w:tab w:val="clear" w:pos="567"/>
        </w:tabs>
        <w:suppressAutoHyphens/>
        <w:spacing w:line="240" w:lineRule="auto"/>
        <w:rPr>
          <w:lang w:val="hu-HU"/>
        </w:rPr>
      </w:pPr>
    </w:p>
    <w:p w:rsidR="00FE0010" w:rsidRDefault="00B036BC">
      <w:pPr>
        <w:tabs>
          <w:tab w:val="clear" w:pos="567"/>
        </w:tabs>
        <w:suppressAutoHyphens/>
        <w:spacing w:line="240" w:lineRule="auto"/>
        <w:rPr>
          <w:lang w:val="hu-HU"/>
        </w:rPr>
      </w:pPr>
      <w:r>
        <w:rPr>
          <w:b/>
          <w:bCs/>
          <w:szCs w:val="22"/>
          <w:lang w:val="hu-HU"/>
        </w:rPr>
        <w:t>Gyakori (10-ből legfeljebb 1 beteget érinthet):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 w:eastAsia="fr-FR"/>
        </w:rPr>
        <w:t>allergiás és asztmás reakciókra hajlamos személyeknél bőrtünetekkel járó allergiás reakciók, például bőrkiütés;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vörös, kiemelkedő bőrkiütés;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káliumszintje.</w:t>
      </w:r>
    </w:p>
    <w:p w:rsidR="00FE0010" w:rsidRDefault="00FE0010">
      <w:pPr>
        <w:spacing w:line="240" w:lineRule="auto"/>
        <w:ind w:right="-29"/>
        <w:rPr>
          <w:lang w:val="hu-HU"/>
        </w:rPr>
      </w:pPr>
    </w:p>
    <w:p w:rsidR="00FE0010" w:rsidRDefault="00B036BC">
      <w:pPr>
        <w:pStyle w:val="Text"/>
        <w:tabs>
          <w:tab w:val="left" w:pos="567"/>
        </w:tabs>
        <w:spacing w:before="0"/>
        <w:jc w:val="left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Nem gyakori (100-ból legfeljebb 1 beteget érinthet):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húgyúti fertőzés, felső légúti fertőzés;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vörösvértestszám (vérszegénység, anémia);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elalvási nehézség;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lehangoltság (depresszió);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ájulás (</w:t>
      </w:r>
      <w:proofErr w:type="spellStart"/>
      <w:r>
        <w:rPr>
          <w:lang w:val="hu-HU"/>
        </w:rPr>
        <w:t>szinkópé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forgó jellegű szédülés (</w:t>
      </w:r>
      <w:proofErr w:type="spellStart"/>
      <w:r>
        <w:rPr>
          <w:lang w:val="hu-HU"/>
        </w:rPr>
        <w:t>vertigó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pulzusszám (</w:t>
      </w:r>
      <w:proofErr w:type="spellStart"/>
      <w:r>
        <w:rPr>
          <w:lang w:val="hu-HU"/>
        </w:rPr>
        <w:t>bradikardia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vérnyomás (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), szédülés, felálláskor szédülés (</w:t>
      </w:r>
      <w:proofErr w:type="spellStart"/>
      <w:r>
        <w:rPr>
          <w:lang w:val="hu-HU"/>
        </w:rPr>
        <w:t>ortosztatikus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hipotónia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légszomj, köhögés;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hasi fájdalom, hasmenés, emésztési zavar, puffadás, hányás;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vörös, tűszúrásszerű elváltozások a bőrön (</w:t>
      </w:r>
      <w:proofErr w:type="spellStart"/>
      <w:r>
        <w:rPr>
          <w:lang w:val="hu-HU"/>
        </w:rPr>
        <w:t>purpura</w:t>
      </w:r>
      <w:proofErr w:type="spellEnd"/>
      <w:r>
        <w:rPr>
          <w:lang w:val="hu-HU"/>
        </w:rPr>
        <w:t>); viszketés, fokozott verejtékezés, gyógyszerkiütés;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hátfájás, izomgörcs, izomfájdalom (</w:t>
      </w:r>
      <w:proofErr w:type="spellStart"/>
      <w:r>
        <w:rPr>
          <w:lang w:val="hu-HU"/>
        </w:rPr>
        <w:t>mialgia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vesekárosodás, beleértve az akut veseelégtelenséget;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mellkasi fájdalom, gyengeségérzés;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emelkedett </w:t>
      </w:r>
      <w:proofErr w:type="spellStart"/>
      <w:r>
        <w:rPr>
          <w:lang w:val="hu-HU"/>
        </w:rPr>
        <w:t>kreatininszint</w:t>
      </w:r>
      <w:proofErr w:type="spellEnd"/>
      <w:r>
        <w:rPr>
          <w:lang w:val="hu-HU"/>
        </w:rPr>
        <w:t xml:space="preserve"> a vérben;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magas káliumszintje;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a vér alacsony nátriumszintje, ami kiszáradáshoz és alacsony vérnyomáshoz vezethet;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impotencia (a merevedés elérésének vagy fenntartásának képtelensége).</w:t>
      </w:r>
    </w:p>
    <w:p w:rsidR="00FE0010" w:rsidRDefault="00FE0010">
      <w:pPr>
        <w:spacing w:line="240" w:lineRule="auto"/>
        <w:ind w:right="-29"/>
        <w:rPr>
          <w:lang w:val="hu-HU"/>
        </w:rPr>
      </w:pPr>
    </w:p>
    <w:p w:rsidR="00FE0010" w:rsidRDefault="00B036BC">
      <w:pPr>
        <w:pStyle w:val="Normal1"/>
        <w:spacing w:line="200" w:lineRule="atLeast"/>
        <w:rPr>
          <w:b/>
          <w:i/>
          <w:sz w:val="22"/>
          <w:szCs w:val="22"/>
        </w:rPr>
      </w:pPr>
      <w:r>
        <w:rPr>
          <w:rFonts w:eastAsia="Lucida Sans Unicode"/>
          <w:b/>
          <w:bCs/>
          <w:sz w:val="22"/>
          <w:szCs w:val="22"/>
        </w:rPr>
        <w:t xml:space="preserve">Ritka </w:t>
      </w:r>
      <w:r>
        <w:rPr>
          <w:b/>
          <w:iCs/>
          <w:sz w:val="22"/>
          <w:szCs w:val="22"/>
        </w:rPr>
        <w:t>(1000-ből legfeljebb 1 beteget érinthet):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bizonyos fehérvérsejtek számának megemelkedése (</w:t>
      </w:r>
      <w:proofErr w:type="spellStart"/>
      <w:r>
        <w:rPr>
          <w:szCs w:val="22"/>
          <w:lang w:val="hu-HU"/>
        </w:rPr>
        <w:t>eozinofília</w:t>
      </w:r>
      <w:proofErr w:type="spellEnd"/>
      <w:r>
        <w:rPr>
          <w:szCs w:val="22"/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vérlemezkeszám (</w:t>
      </w:r>
      <w:proofErr w:type="spellStart"/>
      <w:r>
        <w:rPr>
          <w:lang w:val="hu-HU"/>
        </w:rPr>
        <w:t>trombocitopénia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súlyos allergiás reakció (</w:t>
      </w:r>
      <w:proofErr w:type="spellStart"/>
      <w:r>
        <w:rPr>
          <w:lang w:val="hu-HU"/>
        </w:rPr>
        <w:t>anafilaxiás</w:t>
      </w:r>
      <w:proofErr w:type="spellEnd"/>
      <w:r>
        <w:rPr>
          <w:lang w:val="hu-HU"/>
        </w:rPr>
        <w:t xml:space="preserve"> reakció);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allergiás reakció (például bőrkiütés, viszketés, légzési nehézség, ziháló légzés, az arc duzzadása);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szorongás;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fáradtság, fejfájás, zsibbadás és bizsergés (</w:t>
      </w:r>
      <w:proofErr w:type="spellStart"/>
      <w:r>
        <w:rPr>
          <w:lang w:val="hu-HU"/>
        </w:rPr>
        <w:t>paraesztézia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aluszékonyság;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látásromlás;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szapora szívverés (tahikardia);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hányinger, székrekedés, szájszárazság, gyomorpanaszok, az ízérzés zavara (</w:t>
      </w:r>
      <w:proofErr w:type="spellStart"/>
      <w:r>
        <w:rPr>
          <w:lang w:val="hu-HU"/>
        </w:rPr>
        <w:t>diszgeúzia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kóros májműködés (japán betegeknél valószínűbb ez a mellékhatás);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ekcéma, a bőr kivörösödése, csalánkiütés (</w:t>
      </w:r>
      <w:proofErr w:type="spellStart"/>
      <w:r>
        <w:rPr>
          <w:lang w:val="hu-HU"/>
        </w:rPr>
        <w:t>urtikária</w:t>
      </w:r>
      <w:proofErr w:type="spellEnd"/>
      <w:r>
        <w:rPr>
          <w:lang w:val="hu-HU"/>
        </w:rPr>
        <w:t>), súlyos gyógyszerkiütés;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ízületi fájdalom (</w:t>
      </w:r>
      <w:proofErr w:type="spellStart"/>
      <w:r>
        <w:rPr>
          <w:lang w:val="hu-HU"/>
        </w:rPr>
        <w:t>artralgia</w:t>
      </w:r>
      <w:proofErr w:type="spellEnd"/>
      <w:r>
        <w:rPr>
          <w:lang w:val="hu-HU"/>
        </w:rPr>
        <w:t>), végtagfájdalom, ínfájdalom;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influenzaszerű betegség;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csökkent a hemoglobin (egy, a vérben lévő fehérje) szintje;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emelkedett húgysavszint – ez az anyag kiválthatja vagy ronthatja a köszvényt (ízületi fájdalmak);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emelkedett májenzimszint vagy kreatin-</w:t>
      </w:r>
      <w:proofErr w:type="spellStart"/>
      <w:r>
        <w:rPr>
          <w:lang w:val="hu-HU"/>
        </w:rPr>
        <w:t>foszfokináz</w:t>
      </w:r>
      <w:proofErr w:type="spellEnd"/>
      <w:r>
        <w:rPr>
          <w:lang w:val="hu-HU"/>
        </w:rPr>
        <w:t>- (CPK) szint a vérben;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alacsony vércukorszint (cukorbetegeknél);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lastRenderedPageBreak/>
        <w:t>a vér alacsony kloridszintje;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alacsony magnéziumszintje.</w:t>
      </w:r>
    </w:p>
    <w:p w:rsidR="00FE0010" w:rsidRDefault="00FE0010">
      <w:pPr>
        <w:tabs>
          <w:tab w:val="clear" w:pos="567"/>
          <w:tab w:val="left" w:pos="1425"/>
        </w:tabs>
        <w:spacing w:line="240" w:lineRule="auto"/>
        <w:ind w:right="-29"/>
        <w:rPr>
          <w:lang w:val="hu-HU"/>
        </w:rPr>
      </w:pPr>
    </w:p>
    <w:p w:rsidR="00FE0010" w:rsidRDefault="00B036BC">
      <w:pPr>
        <w:pStyle w:val="Normal1"/>
        <w:spacing w:line="200" w:lineRule="atLeast"/>
        <w:rPr>
          <w:b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Nagyon ritka</w:t>
      </w:r>
      <w:r>
        <w:rPr>
          <w:b/>
          <w:iCs/>
          <w:sz w:val="22"/>
          <w:szCs w:val="22"/>
        </w:rPr>
        <w:t xml:space="preserve"> (10 000-ből legfeljebb 1 beteget érinthet):</w:t>
      </w:r>
    </w:p>
    <w:p w:rsidR="00FE0010" w:rsidRDefault="00B036BC">
      <w:pPr>
        <w:pStyle w:val="Listaszerbekezds"/>
        <w:widowControl w:val="0"/>
        <w:numPr>
          <w:ilvl w:val="1"/>
          <w:numId w:val="26"/>
        </w:numPr>
        <w:tabs>
          <w:tab w:val="clear" w:pos="567"/>
          <w:tab w:val="left" w:pos="1418"/>
        </w:tabs>
        <w:autoSpaceDE w:val="0"/>
        <w:autoSpaceDN w:val="0"/>
        <w:spacing w:line="240" w:lineRule="auto"/>
        <w:ind w:left="570" w:right="688" w:hanging="570"/>
        <w:contextualSpacing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agranulocitózis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aplasztikus</w:t>
      </w:r>
      <w:proofErr w:type="spellEnd"/>
      <w:r>
        <w:rPr>
          <w:szCs w:val="22"/>
          <w:lang w:val="hu-HU"/>
        </w:rPr>
        <w:t xml:space="preserve"> anémia, </w:t>
      </w:r>
      <w:proofErr w:type="spellStart"/>
      <w:r>
        <w:rPr>
          <w:szCs w:val="22"/>
          <w:lang w:val="hu-HU"/>
        </w:rPr>
        <w:t>hemolitikus</w:t>
      </w:r>
      <w:proofErr w:type="spellEnd"/>
      <w:r>
        <w:rPr>
          <w:szCs w:val="22"/>
          <w:lang w:val="hu-HU"/>
        </w:rPr>
        <w:t xml:space="preserve"> anémia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fehérvérsejtszám csökkenése, ami ismeretlen eredetű lázat, torokfájást vagy egyéb influenzaszerű tüneteket okozhat (</w:t>
      </w:r>
      <w:proofErr w:type="spellStart"/>
      <w:r>
        <w:rPr>
          <w:lang w:val="hu-HU"/>
        </w:rPr>
        <w:t>leukopénia</w:t>
      </w:r>
      <w:proofErr w:type="spellEnd"/>
      <w:r>
        <w:rPr>
          <w:lang w:val="hu-HU"/>
        </w:rPr>
        <w:t>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szívritmuszavarok (szívdobogásérzés jelentkezhet);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tüdőszövetek </w:t>
      </w:r>
      <w:proofErr w:type="spellStart"/>
      <w:r>
        <w:rPr>
          <w:lang w:val="hu-HU"/>
        </w:rPr>
        <w:t>előrehaladó</w:t>
      </w:r>
      <w:proofErr w:type="spellEnd"/>
      <w:r>
        <w:rPr>
          <w:lang w:val="hu-HU"/>
        </w:rPr>
        <w:t xml:space="preserve"> hegesedése (</w:t>
      </w:r>
      <w:proofErr w:type="spellStart"/>
      <w:r>
        <w:rPr>
          <w:lang w:val="hu-HU"/>
        </w:rPr>
        <w:t>intersticiális</w:t>
      </w:r>
      <w:proofErr w:type="spellEnd"/>
      <w:r>
        <w:rPr>
          <w:lang w:val="hu-HU"/>
        </w:rPr>
        <w:t xml:space="preserve"> tüdőbetegség), melyet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szedése alatt jelentettek, de nem ismert, hogy ezt a hatást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váltotta-e ki;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 magas kalciumszintje.</w:t>
      </w:r>
    </w:p>
    <w:p w:rsidR="00FE0010" w:rsidRDefault="00FE0010">
      <w:pPr>
        <w:spacing w:line="240" w:lineRule="auto"/>
        <w:ind w:right="-29"/>
        <w:rPr>
          <w:lang w:val="hu-HU"/>
        </w:rPr>
      </w:pPr>
    </w:p>
    <w:p w:rsidR="00FE0010" w:rsidRDefault="00B036BC">
      <w:pPr>
        <w:spacing w:line="240" w:lineRule="auto"/>
        <w:ind w:right="-29"/>
        <w:rPr>
          <w:lang w:val="hu-HU"/>
        </w:rPr>
      </w:pPr>
      <w:r>
        <w:rPr>
          <w:b/>
          <w:bCs/>
          <w:szCs w:val="22"/>
          <w:lang w:val="hu-HU"/>
        </w:rPr>
        <w:t>Nem ismert</w:t>
      </w:r>
      <w:r>
        <w:rPr>
          <w:b/>
          <w:bCs/>
          <w:noProof/>
          <w:szCs w:val="22"/>
          <w:lang w:val="hu-HU"/>
        </w:rPr>
        <w:t xml:space="preserve"> (a gyakoriság a rendelkezésre álló adatokból nem állapítható meg)</w:t>
      </w:r>
      <w:r>
        <w:rPr>
          <w:b/>
          <w:bCs/>
          <w:szCs w:val="22"/>
          <w:lang w:val="hu-HU"/>
        </w:rPr>
        <w:t>: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rövidlátás (miópia);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szCs w:val="22"/>
          <w:lang w:val="hu-HU"/>
        </w:rPr>
        <w:t>homályos látás, látáskárosodás;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látásromlás vagy szemfájdalom a magas </w:t>
      </w:r>
      <w:proofErr w:type="spellStart"/>
      <w:r>
        <w:rPr>
          <w:lang w:val="hu-HU"/>
        </w:rPr>
        <w:t>szembelnyomás</w:t>
      </w:r>
      <w:proofErr w:type="spellEnd"/>
      <w:r>
        <w:rPr>
          <w:lang w:val="hu-HU"/>
        </w:rPr>
        <w:t xml:space="preserve"> miatt (a szem érhártyáján belüli folyadékfelhalmozódás [</w:t>
      </w:r>
      <w:proofErr w:type="spellStart"/>
      <w:r>
        <w:rPr>
          <w:lang w:val="hu-HU"/>
        </w:rPr>
        <w:t>korioideális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effúzió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folyadékgyülem</w:t>
      </w:r>
      <w:proofErr w:type="spellEnd"/>
      <w:r>
        <w:rPr>
          <w:lang w:val="hu-HU"/>
        </w:rPr>
        <w:t>] vagy akut zárt zugú zöldhályog lehetséges jelei);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rendellenes EKG-görbe;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szisztémás </w:t>
      </w:r>
      <w:proofErr w:type="spellStart"/>
      <w:r>
        <w:rPr>
          <w:lang w:val="hu-HU"/>
        </w:rPr>
        <w:t>lupusz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eritematózusz</w:t>
      </w:r>
      <w:proofErr w:type="spellEnd"/>
      <w:r>
        <w:rPr>
          <w:lang w:val="hu-HU"/>
        </w:rPr>
        <w:t xml:space="preserve"> (amely egy </w:t>
      </w:r>
      <w:r>
        <w:rPr>
          <w:szCs w:val="22"/>
          <w:lang w:val="hu-HU"/>
        </w:rPr>
        <w:t>kollagénnel kapcsolatos betegség) tünetei súlyosbodhatnak;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fényérzékenységi reakciók (bőrelváltozások) fellépése napfény vagy mesterséges UV-fény hatására;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vércukorszint megemelkedése cukorbetegeknél;</w:t>
      </w:r>
    </w:p>
    <w:p w:rsidR="00FE0010" w:rsidRDefault="00B036BC">
      <w:pPr>
        <w:numPr>
          <w:ilvl w:val="0"/>
          <w:numId w:val="2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a bélfal megduzzadása (</w:t>
      </w:r>
      <w:proofErr w:type="spellStart"/>
      <w:r>
        <w:rPr>
          <w:lang w:val="hu-HU"/>
        </w:rPr>
        <w:t>intesztinális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>): néhány hasonló gyógyszer alkalmazását követően jelentették. Ez olyan tünetekkel jár, mint a hasi fájdalom, a hányinger, a hányás és a hasmenés.</w:t>
      </w:r>
    </w:p>
    <w:p w:rsidR="00FE0010" w:rsidRDefault="00FE0010">
      <w:pPr>
        <w:spacing w:line="240" w:lineRule="auto"/>
        <w:ind w:right="-29"/>
        <w:rPr>
          <w:noProof/>
          <w:szCs w:val="24"/>
          <w:lang w:val="hu-HU"/>
        </w:rPr>
      </w:pPr>
    </w:p>
    <w:p w:rsidR="00FE0010" w:rsidRDefault="00B036BC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:rsidR="00FE0010" w:rsidRDefault="00B036BC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</w:t>
      </w:r>
      <w:r>
        <w:rPr>
          <w:noProof/>
          <w:szCs w:val="22"/>
          <w:lang w:val="hu-HU"/>
        </w:rPr>
        <w:t>Önnél bármilyen</w:t>
      </w:r>
      <w:r>
        <w:rPr>
          <w:szCs w:val="22"/>
          <w:lang w:val="hu-HU"/>
        </w:rPr>
        <w:t xml:space="preserve"> mellékhatás </w:t>
      </w:r>
      <w:r>
        <w:rPr>
          <w:noProof/>
          <w:szCs w:val="22"/>
          <w:lang w:val="hu-HU"/>
        </w:rPr>
        <w:t xml:space="preserve">jelentkezik, tájékoztassa kezelőorvosát </w:t>
      </w:r>
      <w:r>
        <w:rPr>
          <w:szCs w:val="22"/>
          <w:lang w:val="hu-HU"/>
        </w:rPr>
        <w:t>vagy</w:t>
      </w:r>
      <w:r>
        <w:rPr>
          <w:noProof/>
          <w:szCs w:val="22"/>
          <w:lang w:val="hu-HU"/>
        </w:rPr>
        <w:t xml:space="preserve"> gyógyszerészét</w:t>
      </w:r>
      <w:r>
        <w:rPr>
          <w:szCs w:val="22"/>
          <w:lang w:val="hu-HU"/>
        </w:rPr>
        <w:t xml:space="preserve">. </w:t>
      </w:r>
      <w:r>
        <w:rPr>
          <w:noProof/>
          <w:szCs w:val="22"/>
          <w:lang w:val="hu-HU"/>
        </w:rPr>
        <w:t>Ez</w:t>
      </w:r>
      <w:r>
        <w:rPr>
          <w:szCs w:val="22"/>
          <w:lang w:val="hu-HU"/>
        </w:rPr>
        <w:t xml:space="preserve"> a betegtájékoztatóban </w:t>
      </w:r>
      <w:r>
        <w:rPr>
          <w:noProof/>
          <w:szCs w:val="22"/>
          <w:lang w:val="hu-HU"/>
        </w:rPr>
        <w:t xml:space="preserve">fel nem sorolt bármilyen lehetséges mellékhatásra is vonatkozik. </w:t>
      </w: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highlight w:val="lightGray"/>
            <w:lang w:val="hu-HU"/>
          </w:rPr>
          <w:t>V. füg</w:t>
        </w:r>
        <w:bookmarkStart w:id="2" w:name="_Hlt352075914"/>
        <w:bookmarkStart w:id="3" w:name="_Hlt352075915"/>
        <w:r>
          <w:rPr>
            <w:rStyle w:val="Hiperhivatkozs"/>
            <w:highlight w:val="lightGray"/>
            <w:lang w:val="hu-HU"/>
          </w:rPr>
          <w:t>g</w:t>
        </w:r>
        <w:bookmarkEnd w:id="2"/>
        <w:bookmarkEnd w:id="3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szCs w:val="22"/>
          <w:highlight w:val="lightGray"/>
          <w:lang w:val="hu-HU"/>
        </w:rPr>
        <w:t xml:space="preserve"> található elérhetőségeken keresztül</w:t>
      </w:r>
      <w:r>
        <w:rPr>
          <w:szCs w:val="22"/>
          <w:lang w:val="hu-HU"/>
        </w:rPr>
        <w:t>. A mellékhatások bejelentésével Ön is hozzájárulhat ahhoz, hogy minél több információ álljon rendelkezésre a gyógyszer biztonságos alkalmazásával kapcsolatban.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5.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 xml:space="preserve">Hogyan kell 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noProof/>
          <w:szCs w:val="24"/>
          <w:lang w:val="hu-HU"/>
        </w:rPr>
        <w:t>-t tárolni</w:t>
      </w:r>
      <w:r>
        <w:rPr>
          <w:b/>
          <w:lang w:val="hu-HU"/>
        </w:rPr>
        <w:t>?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lang w:val="hu-HU"/>
        </w:rPr>
      </w:pPr>
      <w:r>
        <w:rPr>
          <w:lang w:val="hu-HU"/>
        </w:rPr>
        <w:t>A gyógyszer gyermekektől elzárva tartandó!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A dobozon és a buborékcsomagoláson feltüntetett lejárati idő (EXP) után ne szedje ezt a gyógyszert. A lejárati idő az adott hónap utolsó napjára vonatkozik.</w:t>
      </w: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A fénytől és a nedvességtől való védelem érdekében az eredeti csomagolásban tárolandó.</w:t>
      </w:r>
    </w:p>
    <w:p w:rsidR="00FE0010" w:rsidRDefault="00B036BC">
      <w:pPr>
        <w:spacing w:line="240" w:lineRule="auto"/>
        <w:rPr>
          <w:szCs w:val="22"/>
        </w:rPr>
      </w:pPr>
      <w:r>
        <w:rPr>
          <w:noProof/>
          <w:szCs w:val="22"/>
        </w:rPr>
        <w:t>Ez a gyógyszer különleges tárolási hőmérsékletet nem igényel.</w:t>
      </w:r>
    </w:p>
    <w:p w:rsidR="00FE0010" w:rsidRDefault="00FE0010">
      <w:pPr>
        <w:spacing w:line="240" w:lineRule="auto"/>
        <w:rPr>
          <w:noProof/>
          <w:szCs w:val="22"/>
        </w:rPr>
      </w:pPr>
    </w:p>
    <w:p w:rsidR="00FE0010" w:rsidRDefault="00B036BC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:rsidR="00FE0010" w:rsidRDefault="00FE0010">
      <w:pPr>
        <w:spacing w:line="240" w:lineRule="auto"/>
        <w:ind w:right="-2"/>
        <w:rPr>
          <w:lang w:val="hu-HU"/>
        </w:rPr>
      </w:pPr>
    </w:p>
    <w:p w:rsidR="00FE0010" w:rsidRDefault="00FE0010">
      <w:pPr>
        <w:tabs>
          <w:tab w:val="clear" w:pos="567"/>
          <w:tab w:val="left" w:pos="3915"/>
        </w:tabs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left="567" w:right="-2" w:hanging="567"/>
        <w:rPr>
          <w:b/>
          <w:lang w:val="hu-HU"/>
        </w:rPr>
      </w:pPr>
      <w:r>
        <w:rPr>
          <w:b/>
          <w:lang w:val="hu-HU"/>
        </w:rPr>
        <w:t>6.</w:t>
      </w:r>
      <w:r>
        <w:rPr>
          <w:b/>
          <w:lang w:val="hu-HU"/>
        </w:rPr>
        <w:tab/>
      </w:r>
      <w:r>
        <w:rPr>
          <w:b/>
          <w:noProof/>
          <w:szCs w:val="24"/>
          <w:lang w:val="hu-HU"/>
        </w:rPr>
        <w:t>A csomagolás tartalma és egyéb információk</w:t>
      </w:r>
    </w:p>
    <w:p w:rsidR="00FE0010" w:rsidRDefault="00FE0010">
      <w:pPr>
        <w:spacing w:line="240" w:lineRule="auto"/>
        <w:rPr>
          <w:lang w:val="hu-HU"/>
        </w:rPr>
      </w:pPr>
    </w:p>
    <w:p w:rsidR="00FE0010" w:rsidRDefault="00B036BC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Mit tartalmaz 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>?</w:t>
      </w:r>
    </w:p>
    <w:p w:rsidR="00FE0010" w:rsidRDefault="00B036BC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A készítmény hatóanyaga a telmizartán és az indapamid.</w:t>
      </w:r>
    </w:p>
    <w:p w:rsidR="00FE0010" w:rsidRDefault="00B036BC">
      <w:pPr>
        <w:widowControl w:val="0"/>
        <w:ind w:left="567"/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Tedenomo 40 mg/1,5 mg módosított hatóanyag-leadású tabletta</w:t>
      </w:r>
    </w:p>
    <w:p w:rsidR="00FE0010" w:rsidRDefault="00B036BC">
      <w:pPr>
        <w:widowControl w:val="0"/>
        <w:ind w:left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40 mg telmizartánt és 1,5 mg indapamidot tartalmaz tablettánként.</w:t>
      </w:r>
    </w:p>
    <w:p w:rsidR="00FE0010" w:rsidRDefault="00B036BC">
      <w:pPr>
        <w:widowControl w:val="0"/>
        <w:ind w:left="567"/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lastRenderedPageBreak/>
        <w:t>Tedenomo 80 mg/1,5 mg módosított hatóanyag-leadású tabletta</w:t>
      </w:r>
    </w:p>
    <w:p w:rsidR="00FE0010" w:rsidRDefault="00B036BC">
      <w:pPr>
        <w:widowControl w:val="0"/>
        <w:ind w:left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80 mg telmizartánt és 1,5 mg indapamidot tartalmaz tablettánként.</w:t>
      </w:r>
    </w:p>
    <w:p w:rsidR="00FE0010" w:rsidRDefault="00B036BC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 xml:space="preserve">Egyéb összetevők: </w:t>
      </w:r>
    </w:p>
    <w:p w:rsidR="00FE0010" w:rsidRDefault="00B036BC">
      <w:pPr>
        <w:pStyle w:val="Listaszerbekezds"/>
        <w:widowControl w:val="0"/>
        <w:numPr>
          <w:ilvl w:val="0"/>
          <w:numId w:val="46"/>
        </w:numPr>
        <w:rPr>
          <w:noProof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Tedenomo 40 mg/1,5 mg módosított hatóanyag-leadású tabletta</w:t>
      </w:r>
    </w:p>
    <w:p w:rsidR="00FE0010" w:rsidRDefault="00B036BC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laktóz-monohidrát</w:t>
      </w:r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meglumin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nátrium-hidroxid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povidon</w:t>
      </w:r>
      <w:proofErr w:type="spellEnd"/>
      <w:r>
        <w:rPr>
          <w:szCs w:val="22"/>
          <w:lang w:eastAsia="en-US"/>
        </w:rPr>
        <w:t xml:space="preserve"> K30, </w:t>
      </w:r>
      <w:proofErr w:type="spellStart"/>
      <w:r>
        <w:rPr>
          <w:szCs w:val="22"/>
          <w:lang w:eastAsia="en-US"/>
        </w:rPr>
        <w:t>m</w:t>
      </w:r>
      <w:r>
        <w:rPr>
          <w:noProof/>
          <w:szCs w:val="22"/>
          <w:lang w:eastAsia="en-US"/>
        </w:rPr>
        <w:t>ikrokristályos</w:t>
      </w:r>
      <w:proofErr w:type="spellEnd"/>
      <w:r>
        <w:rPr>
          <w:noProof/>
          <w:szCs w:val="22"/>
          <w:lang w:eastAsia="en-US"/>
        </w:rPr>
        <w:t xml:space="preserve"> cellulóz, kroszkarmellóz-nátrium, sárga vas-oxid (E172), vörös vas-oxid (E172), nátrium-sztearil-fumarát, </w:t>
      </w:r>
      <w:proofErr w:type="spellStart"/>
      <w:r>
        <w:rPr>
          <w:szCs w:val="22"/>
        </w:rPr>
        <w:t>magnézium-sztearát</w:t>
      </w:r>
      <w:proofErr w:type="spellEnd"/>
      <w:r>
        <w:rPr>
          <w:noProof/>
          <w:szCs w:val="22"/>
          <w:lang w:eastAsia="en-US"/>
        </w:rPr>
        <w:t xml:space="preserve">, hipromellóz, </w:t>
      </w:r>
      <w:r>
        <w:rPr>
          <w:szCs w:val="22"/>
          <w:lang w:val="hu-HU"/>
        </w:rPr>
        <w:t>vízmentes kolloid szilícium-dioxid</w:t>
      </w:r>
      <w:r>
        <w:rPr>
          <w:noProof/>
          <w:szCs w:val="22"/>
          <w:lang w:eastAsia="en-US"/>
        </w:rPr>
        <w:t xml:space="preserve"> és karbomer.</w:t>
      </w:r>
    </w:p>
    <w:p w:rsidR="00FE0010" w:rsidRDefault="00B036BC">
      <w:pPr>
        <w:widowControl w:val="0"/>
        <w:tabs>
          <w:tab w:val="clear" w:pos="567"/>
        </w:tabs>
        <w:ind w:firstLine="567"/>
        <w:rPr>
          <w:noProof/>
          <w:szCs w:val="22"/>
          <w:lang w:eastAsia="en-US"/>
        </w:rPr>
      </w:pPr>
      <w:proofErr w:type="spellStart"/>
      <w:r>
        <w:rPr>
          <w:szCs w:val="22"/>
        </w:rPr>
        <w:t>Lásd</w:t>
      </w:r>
      <w:proofErr w:type="spellEnd"/>
      <w:r>
        <w:rPr>
          <w:szCs w:val="22"/>
        </w:rPr>
        <w:t xml:space="preserve"> 2. </w:t>
      </w:r>
      <w:proofErr w:type="spellStart"/>
      <w:proofErr w:type="gramStart"/>
      <w:r>
        <w:rPr>
          <w:szCs w:val="22"/>
        </w:rPr>
        <w:t>pont</w:t>
      </w:r>
      <w:proofErr w:type="spellEnd"/>
      <w:proofErr w:type="gramEnd"/>
      <w:r>
        <w:rPr>
          <w:szCs w:val="22"/>
        </w:rPr>
        <w:t xml:space="preserve"> „A </w:t>
      </w:r>
      <w:proofErr w:type="spellStart"/>
      <w:r>
        <w:rPr>
          <w:szCs w:val="22"/>
        </w:rPr>
        <w:t>Tedenomo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laktózt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nátriumot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tartalmaz</w:t>
      </w:r>
      <w:proofErr w:type="spellEnd"/>
      <w:r>
        <w:rPr>
          <w:szCs w:val="22"/>
        </w:rPr>
        <w:t>”</w:t>
      </w:r>
    </w:p>
    <w:p w:rsidR="00FE0010" w:rsidRDefault="00B036BC">
      <w:pPr>
        <w:pStyle w:val="Listaszerbekezds"/>
        <w:widowControl w:val="0"/>
        <w:numPr>
          <w:ilvl w:val="0"/>
          <w:numId w:val="46"/>
        </w:numPr>
        <w:rPr>
          <w:iCs/>
          <w:szCs w:val="22"/>
          <w:u w:val="single"/>
          <w:lang w:eastAsia="en-US"/>
        </w:rPr>
      </w:pPr>
      <w:r>
        <w:rPr>
          <w:noProof/>
          <w:szCs w:val="22"/>
          <w:u w:val="single"/>
          <w:lang w:eastAsia="en-US"/>
        </w:rPr>
        <w:t>Tedenomo 80 mg/1,5 mg módosított hatóanyag-leadású tabletta</w:t>
      </w:r>
    </w:p>
    <w:p w:rsidR="00FE0010" w:rsidRDefault="00B036BC">
      <w:pPr>
        <w:widowControl w:val="0"/>
        <w:numPr>
          <w:ilvl w:val="0"/>
          <w:numId w:val="46"/>
        </w:numPr>
        <w:tabs>
          <w:tab w:val="clear" w:pos="567"/>
        </w:tabs>
        <w:ind w:left="567" w:hanging="567"/>
        <w:contextualSpacing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laktóz-monohidrát</w:t>
      </w:r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meglumin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nátrium-hidroxid</w:t>
      </w:r>
      <w:proofErr w:type="spellEnd"/>
      <w:r>
        <w:rPr>
          <w:szCs w:val="22"/>
          <w:lang w:eastAsia="en-US"/>
        </w:rPr>
        <w:t xml:space="preserve">, </w:t>
      </w:r>
      <w:proofErr w:type="spellStart"/>
      <w:r>
        <w:rPr>
          <w:szCs w:val="22"/>
          <w:lang w:eastAsia="en-US"/>
        </w:rPr>
        <w:t>povidon</w:t>
      </w:r>
      <w:proofErr w:type="spellEnd"/>
      <w:r>
        <w:rPr>
          <w:szCs w:val="22"/>
          <w:lang w:eastAsia="en-US"/>
        </w:rPr>
        <w:t xml:space="preserve"> K30, </w:t>
      </w:r>
      <w:proofErr w:type="spellStart"/>
      <w:r>
        <w:rPr>
          <w:szCs w:val="22"/>
          <w:lang w:eastAsia="en-US"/>
        </w:rPr>
        <w:t>m</w:t>
      </w:r>
      <w:r>
        <w:rPr>
          <w:noProof/>
          <w:szCs w:val="22"/>
          <w:lang w:eastAsia="en-US"/>
        </w:rPr>
        <w:t>ikrokristályos</w:t>
      </w:r>
      <w:proofErr w:type="spellEnd"/>
      <w:r>
        <w:rPr>
          <w:noProof/>
          <w:szCs w:val="22"/>
          <w:lang w:eastAsia="en-US"/>
        </w:rPr>
        <w:t xml:space="preserve"> cellulóz, kroszkarmellóz-nátrium, sárga vas-oxid (E172), nátrium-sztearil-fumarát, </w:t>
      </w:r>
      <w:proofErr w:type="spellStart"/>
      <w:r>
        <w:rPr>
          <w:szCs w:val="22"/>
        </w:rPr>
        <w:t>magnézium-sztearát</w:t>
      </w:r>
      <w:proofErr w:type="spellEnd"/>
      <w:r>
        <w:rPr>
          <w:noProof/>
          <w:szCs w:val="22"/>
          <w:lang w:eastAsia="en-US"/>
        </w:rPr>
        <w:t xml:space="preserve">, hipromellóz, </w:t>
      </w:r>
      <w:r>
        <w:rPr>
          <w:szCs w:val="22"/>
          <w:lang w:val="hu-HU"/>
        </w:rPr>
        <w:t>vízmentes kolloid szilícium-dioxid</w:t>
      </w:r>
      <w:r>
        <w:rPr>
          <w:noProof/>
          <w:szCs w:val="22"/>
          <w:lang w:eastAsia="en-US"/>
        </w:rPr>
        <w:t xml:space="preserve"> és karbomer. </w:t>
      </w:r>
    </w:p>
    <w:p w:rsidR="00FE0010" w:rsidRDefault="00B036BC">
      <w:pPr>
        <w:widowControl w:val="0"/>
        <w:tabs>
          <w:tab w:val="clear" w:pos="567"/>
        </w:tabs>
        <w:ind w:firstLine="567"/>
        <w:contextualSpacing/>
        <w:rPr>
          <w:noProof/>
          <w:szCs w:val="22"/>
          <w:lang w:eastAsia="en-US"/>
        </w:rPr>
      </w:pPr>
      <w:proofErr w:type="spellStart"/>
      <w:r>
        <w:rPr>
          <w:szCs w:val="22"/>
        </w:rPr>
        <w:t>Lásd</w:t>
      </w:r>
      <w:proofErr w:type="spellEnd"/>
      <w:r>
        <w:rPr>
          <w:szCs w:val="22"/>
        </w:rPr>
        <w:t xml:space="preserve"> 2. </w:t>
      </w:r>
      <w:proofErr w:type="spellStart"/>
      <w:proofErr w:type="gramStart"/>
      <w:r>
        <w:rPr>
          <w:szCs w:val="22"/>
        </w:rPr>
        <w:t>pont</w:t>
      </w:r>
      <w:proofErr w:type="spellEnd"/>
      <w:proofErr w:type="gramEnd"/>
      <w:r>
        <w:rPr>
          <w:szCs w:val="22"/>
        </w:rPr>
        <w:t xml:space="preserve"> „A </w:t>
      </w:r>
      <w:proofErr w:type="spellStart"/>
      <w:r>
        <w:rPr>
          <w:szCs w:val="22"/>
        </w:rPr>
        <w:t>Tedenomo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laktózt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nátriumot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tartalmaz</w:t>
      </w:r>
      <w:proofErr w:type="spellEnd"/>
      <w:r>
        <w:rPr>
          <w:szCs w:val="22"/>
        </w:rPr>
        <w:t>”</w:t>
      </w:r>
    </w:p>
    <w:p w:rsidR="00FE0010" w:rsidRDefault="00FE0010">
      <w:pPr>
        <w:spacing w:line="240" w:lineRule="auto"/>
        <w:rPr>
          <w:bCs/>
          <w:lang w:val="hu-HU"/>
        </w:rPr>
      </w:pPr>
    </w:p>
    <w:p w:rsidR="00FE0010" w:rsidRDefault="00B036BC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Milyen a </w:t>
      </w:r>
      <w:proofErr w:type="spellStart"/>
      <w:r>
        <w:rPr>
          <w:b/>
          <w:lang w:val="hu-HU"/>
        </w:rPr>
        <w:t>Tedenomo</w:t>
      </w:r>
      <w:proofErr w:type="spellEnd"/>
      <w:r>
        <w:rPr>
          <w:b/>
          <w:lang w:val="hu-HU"/>
        </w:rPr>
        <w:t xml:space="preserve"> külleme és mit tartalmaz a csomagolás?</w:t>
      </w:r>
    </w:p>
    <w:p w:rsidR="00FE0010" w:rsidRDefault="00FE0010">
      <w:pPr>
        <w:spacing w:line="240" w:lineRule="auto"/>
        <w:rPr>
          <w:lang w:val="hu-HU"/>
        </w:rPr>
      </w:pPr>
    </w:p>
    <w:p w:rsidR="00FE0010" w:rsidRDefault="00B036BC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FE0010" w:rsidRDefault="00B036BC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narancssárga,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TI1 jelöléssel.</w:t>
      </w:r>
    </w:p>
    <w:p w:rsidR="00FE0010" w:rsidRDefault="00B036BC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x 8 mm.</w:t>
      </w:r>
    </w:p>
    <w:p w:rsidR="00FE0010" w:rsidRDefault="00FE0010">
      <w:pPr>
        <w:spacing w:line="240" w:lineRule="auto"/>
        <w:rPr>
          <w:bCs/>
          <w:lang w:val="hu-HU"/>
        </w:rPr>
      </w:pPr>
    </w:p>
    <w:p w:rsidR="00FE0010" w:rsidRDefault="00B036BC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FE0010" w:rsidRDefault="00B036BC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barnássárga,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TI2 jelöléssel.</w:t>
      </w:r>
    </w:p>
    <w:p w:rsidR="00FE0010" w:rsidRDefault="00B036BC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x 8 mm.</w:t>
      </w:r>
    </w:p>
    <w:p w:rsidR="00FE0010" w:rsidRDefault="00FE0010">
      <w:pPr>
        <w:spacing w:line="240" w:lineRule="auto"/>
        <w:rPr>
          <w:lang w:val="hu-HU"/>
        </w:rPr>
      </w:pPr>
    </w:p>
    <w:p w:rsidR="00FE0010" w:rsidRDefault="00B036BC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kiszerelései:</w:t>
      </w:r>
    </w:p>
    <w:p w:rsidR="00FE0010" w:rsidRDefault="00B036BC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10, 30, 60, 90 és 100 darab módosított hatóanyag-leadású tabletta buborékcsomagolásban.</w:t>
      </w:r>
    </w:p>
    <w:p w:rsidR="00FE0010" w:rsidRDefault="00B036BC">
      <w:pPr>
        <w:widowControl w:val="0"/>
        <w:numPr>
          <w:ilvl w:val="0"/>
          <w:numId w:val="45"/>
        </w:numPr>
        <w:tabs>
          <w:tab w:val="clear" w:pos="567"/>
        </w:tabs>
        <w:autoSpaceDE w:val="0"/>
        <w:autoSpaceDN w:val="0"/>
        <w:adjustRightInd w:val="0"/>
        <w:ind w:left="567" w:hanging="567"/>
        <w:rPr>
          <w:noProof/>
          <w:szCs w:val="22"/>
          <w:lang w:eastAsia="en-US"/>
        </w:rPr>
      </w:pPr>
      <w:r>
        <w:rPr>
          <w:noProof/>
          <w:szCs w:val="22"/>
          <w:lang w:eastAsia="en-US"/>
        </w:rPr>
        <w:t>14, 28, 56, 84 és 98 darab módosított hatóanyag-leadású tabletta naptárjelzéses buborékcsomagolásban.</w:t>
      </w:r>
    </w:p>
    <w:p w:rsidR="00FE0010" w:rsidRDefault="00FE0010">
      <w:pPr>
        <w:spacing w:line="240" w:lineRule="auto"/>
        <w:rPr>
          <w:lang w:val="hu-HU"/>
        </w:rPr>
      </w:pPr>
    </w:p>
    <w:p w:rsidR="00FE0010" w:rsidRDefault="00B036BC">
      <w:pPr>
        <w:spacing w:line="240" w:lineRule="auto"/>
        <w:rPr>
          <w:lang w:val="hu-HU"/>
        </w:rPr>
      </w:pPr>
      <w:r>
        <w:rPr>
          <w:lang w:val="hu-HU"/>
        </w:rPr>
        <w:t>Nem feltétlenül mindegyik kiszerelés kerül kereskedelmi forgalomba.</w:t>
      </w:r>
    </w:p>
    <w:p w:rsidR="00FE0010" w:rsidRDefault="00FE0010">
      <w:pPr>
        <w:spacing w:line="240" w:lineRule="auto"/>
        <w:rPr>
          <w:lang w:val="hu-HU"/>
        </w:rPr>
      </w:pPr>
    </w:p>
    <w:p w:rsidR="00FE0010" w:rsidRDefault="00B036BC">
      <w:pPr>
        <w:spacing w:line="240" w:lineRule="auto"/>
        <w:rPr>
          <w:b/>
          <w:lang w:val="hu-HU"/>
        </w:rPr>
      </w:pPr>
      <w:r>
        <w:rPr>
          <w:b/>
          <w:lang w:val="hu-HU"/>
        </w:rPr>
        <w:t>A forgalomba hozatali engedély jogosultja és a gyártó</w:t>
      </w:r>
    </w:p>
    <w:p w:rsidR="00FE0010" w:rsidRDefault="00B036BC">
      <w:pPr>
        <w:spacing w:line="240" w:lineRule="auto"/>
        <w:rPr>
          <w:lang w:val="hu-HU"/>
        </w:rPr>
      </w:pPr>
      <w:bookmarkStart w:id="4" w:name="_Hlk161147495"/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proofErr w:type="gramStart"/>
      <w:r>
        <w:rPr>
          <w:lang w:val="hu-HU"/>
        </w:rPr>
        <w:t>.,</w:t>
      </w:r>
      <w:proofErr w:type="gramEnd"/>
      <w:r>
        <w:rPr>
          <w:lang w:val="hu-HU"/>
        </w:rPr>
        <w:t xml:space="preserve">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:rsidR="00FE0010" w:rsidRDefault="00B036B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6,</w:t>
      </w:r>
    </w:p>
    <w:p w:rsidR="00FE0010" w:rsidRDefault="00B036BC">
      <w:pPr>
        <w:spacing w:line="240" w:lineRule="auto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  <w:r>
        <w:rPr>
          <w:lang w:val="hu-HU"/>
        </w:rPr>
        <w:t>,</w:t>
      </w:r>
    </w:p>
    <w:p w:rsidR="00FE0010" w:rsidRDefault="00B036BC">
      <w:pPr>
        <w:spacing w:line="240" w:lineRule="auto"/>
        <w:rPr>
          <w:lang w:val="hu-HU"/>
        </w:rPr>
      </w:pPr>
      <w:r>
        <w:rPr>
          <w:lang w:val="hu-HU"/>
        </w:rPr>
        <w:t>Szlovénia</w:t>
      </w:r>
    </w:p>
    <w:bookmarkEnd w:id="4"/>
    <w:p w:rsidR="00FE0010" w:rsidRDefault="00FE0010">
      <w:pPr>
        <w:rPr>
          <w:noProof/>
          <w:szCs w:val="22"/>
        </w:rPr>
      </w:pPr>
    </w:p>
    <w:p w:rsidR="00FE0010" w:rsidRDefault="00B036BC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t>Tedenomo 40 mg/1,5 mg módosított hatóanyag-leadású tabletta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 xml:space="preserve">OPA/Al/PVC//Al buborékcsomagolásban 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OGYI-T-24507/09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FE0010" w:rsidRDefault="00FE0010">
      <w:pPr>
        <w:rPr>
          <w:noProof/>
          <w:szCs w:val="22"/>
        </w:rPr>
      </w:pPr>
    </w:p>
    <w:p w:rsidR="00FE0010" w:rsidRDefault="00B036BC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t>Tedenomo 80 mg/1,5 mg módosított hatóanyag-leadású tabletta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>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lastRenderedPageBreak/>
        <w:t>OGYI-T-24507/15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OGYI-T-24507/19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FE0010" w:rsidRDefault="00B036BC">
      <w:pPr>
        <w:rPr>
          <w:noProof/>
          <w:szCs w:val="22"/>
        </w:rPr>
      </w:pPr>
      <w:r>
        <w:rPr>
          <w:noProof/>
          <w:szCs w:val="22"/>
        </w:rPr>
        <w:t>OGYI-T-24507/20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FE0010" w:rsidRDefault="00FE0010">
      <w:pPr>
        <w:rPr>
          <w:noProof/>
          <w:szCs w:val="22"/>
        </w:rPr>
      </w:pPr>
    </w:p>
    <w:p w:rsidR="00FE0010" w:rsidRDefault="00B036BC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:rsidR="00FE0010" w:rsidRDefault="00FE0010">
      <w:pPr>
        <w:spacing w:line="240" w:lineRule="auto"/>
        <w:rPr>
          <w:noProof/>
          <w:lang w:val="hu-HU"/>
        </w:rPr>
      </w:pPr>
    </w:p>
    <w:tbl>
      <w:tblPr>
        <w:tblW w:w="6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2013"/>
      </w:tblGrid>
      <w:tr w:rsidR="00FE0010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010" w:rsidRDefault="00B036BC">
            <w:pPr>
              <w:tabs>
                <w:tab w:val="left" w:pos="2268"/>
                <w:tab w:val="left" w:pos="2790"/>
              </w:tabs>
              <w:spacing w:line="240" w:lineRule="auto"/>
              <w:rPr>
                <w:color w:val="000000"/>
                <w:szCs w:val="22"/>
              </w:rPr>
            </w:pPr>
            <w:proofErr w:type="spellStart"/>
            <w:r>
              <w:rPr>
                <w:rFonts w:eastAsia="Times New Roman"/>
                <w:snapToGrid/>
                <w:color w:val="000000"/>
                <w:szCs w:val="22"/>
                <w:lang w:eastAsia="hu-HU"/>
              </w:rPr>
              <w:t>Csehország</w:t>
            </w:r>
            <w:proofErr w:type="spellEnd"/>
            <w:r>
              <w:rPr>
                <w:rFonts w:eastAsia="Times New Roman"/>
                <w:snapToGrid/>
                <w:color w:val="000000"/>
                <w:szCs w:val="22"/>
                <w:lang w:eastAsia="hu-HU"/>
              </w:rPr>
              <w:t xml:space="preserve">, </w:t>
            </w:r>
            <w:proofErr w:type="spellStart"/>
            <w:r>
              <w:rPr>
                <w:rFonts w:eastAsia="Times New Roman"/>
                <w:snapToGrid/>
                <w:color w:val="000000"/>
                <w:szCs w:val="22"/>
                <w:lang w:eastAsia="hu-HU"/>
              </w:rPr>
              <w:t>Magyarország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010" w:rsidRDefault="00B036BC">
            <w:pPr>
              <w:tabs>
                <w:tab w:val="left" w:pos="2268"/>
                <w:tab w:val="left" w:pos="2790"/>
              </w:tabs>
              <w:spacing w:line="240" w:lineRule="auto"/>
              <w:rPr>
                <w:noProof/>
                <w:szCs w:val="22"/>
              </w:rPr>
            </w:pPr>
            <w:r>
              <w:rPr>
                <w:szCs w:val="22"/>
                <w:lang w:val="sl-SI"/>
              </w:rPr>
              <w:t>Tedenomo</w:t>
            </w:r>
          </w:p>
        </w:tc>
      </w:tr>
    </w:tbl>
    <w:p w:rsidR="00FE0010" w:rsidRDefault="00FE0010">
      <w:pPr>
        <w:spacing w:line="240" w:lineRule="auto"/>
        <w:rPr>
          <w:noProof/>
          <w:lang w:val="hu-HU"/>
        </w:rPr>
      </w:pPr>
    </w:p>
    <w:p w:rsidR="00FE0010" w:rsidRDefault="00FE001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:rsidR="00FE0010" w:rsidRDefault="00B036BC">
      <w:pPr>
        <w:spacing w:line="240" w:lineRule="auto"/>
        <w:ind w:right="-2"/>
        <w:rPr>
          <w:bCs/>
          <w:noProof/>
          <w:szCs w:val="24"/>
          <w:lang w:val="hu-HU"/>
        </w:rPr>
      </w:pPr>
      <w:r>
        <w:rPr>
          <w:b/>
          <w:lang w:val="hu-HU"/>
        </w:rPr>
        <w:t xml:space="preserve">A betegtájékoztató </w:t>
      </w:r>
      <w:r>
        <w:rPr>
          <w:b/>
          <w:noProof/>
          <w:szCs w:val="24"/>
          <w:lang w:val="hu-HU"/>
        </w:rPr>
        <w:t>legutóbbi felülvizsgálatának</w:t>
      </w:r>
      <w:r>
        <w:rPr>
          <w:b/>
          <w:lang w:val="hu-HU"/>
        </w:rPr>
        <w:t xml:space="preserve"> </w:t>
      </w:r>
      <w:proofErr w:type="gramStart"/>
      <w:r>
        <w:rPr>
          <w:b/>
          <w:lang w:val="hu-HU"/>
        </w:rPr>
        <w:t>dátuma</w:t>
      </w:r>
      <w:proofErr w:type="gramEnd"/>
      <w:r>
        <w:rPr>
          <w:b/>
          <w:noProof/>
          <w:szCs w:val="24"/>
          <w:lang w:val="hu-HU"/>
        </w:rPr>
        <w:t>: 2026. szeptember.</w:t>
      </w:r>
    </w:p>
    <w:p w:rsidR="00FE0010" w:rsidRDefault="00FE0010">
      <w:pPr>
        <w:spacing w:line="240" w:lineRule="auto"/>
        <w:ind w:right="-2"/>
        <w:rPr>
          <w:b/>
          <w:lang w:val="hu-HU"/>
        </w:rPr>
      </w:pPr>
    </w:p>
    <w:sectPr w:rsidR="00FE0010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010" w:rsidRDefault="00B036BC">
      <w:pPr>
        <w:spacing w:line="240" w:lineRule="auto"/>
      </w:pPr>
      <w:r>
        <w:separator/>
      </w:r>
    </w:p>
  </w:endnote>
  <w:endnote w:type="continuationSeparator" w:id="0">
    <w:p w:rsidR="00FE0010" w:rsidRDefault="00B036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010" w:rsidRDefault="00B036BC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6BC" w:rsidRDefault="00B036BC" w:rsidP="00B036BC">
    <w:pPr>
      <w:pStyle w:val="llb"/>
      <w:tabs>
        <w:tab w:val="right" w:pos="8931"/>
      </w:tabs>
      <w:ind w:right="96"/>
      <w:rPr>
        <w:rFonts w:ascii="Times New Roman" w:hAnsi="Times New Roman"/>
        <w:snapToGrid/>
        <w:sz w:val="18"/>
        <w:szCs w:val="18"/>
      </w:rPr>
    </w:pPr>
    <w:r>
      <w:rPr>
        <w:rFonts w:ascii="Times New Roman" w:hAnsi="Times New Roman"/>
        <w:sz w:val="18"/>
        <w:szCs w:val="18"/>
      </w:rPr>
      <w:t>NNGYK/ETGY/18834/2026</w:t>
    </w:r>
  </w:p>
  <w:p w:rsidR="00FE0010" w:rsidRDefault="00B036BC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NNGYK/ETGY/18837/2026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010" w:rsidRDefault="00B036BC">
      <w:pPr>
        <w:spacing w:line="240" w:lineRule="auto"/>
      </w:pPr>
      <w:r>
        <w:separator/>
      </w:r>
    </w:p>
  </w:footnote>
  <w:footnote w:type="continuationSeparator" w:id="0">
    <w:p w:rsidR="00FE0010" w:rsidRDefault="00B036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20217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FE0010" w:rsidRDefault="00B036BC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DB44B5" w:rsidRPr="00DB44B5">
          <w:rPr>
            <w:noProof/>
            <w:sz w:val="18"/>
            <w:szCs w:val="18"/>
            <w:lang w:val="hu-HU"/>
          </w:rPr>
          <w:t>6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9816E8F"/>
    <w:multiLevelType w:val="hybridMultilevel"/>
    <w:tmpl w:val="642204B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B016B69C">
      <w:start w:val="1"/>
      <w:numFmt w:val="bullet"/>
      <w:lvlText w:val="‒"/>
      <w:lvlJc w:val="left"/>
      <w:pPr>
        <w:ind w:left="1800" w:hanging="360"/>
      </w:pPr>
      <w:rPr>
        <w:rFonts w:ascii="Calibri" w:hAnsi="Calibri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6E27E3"/>
    <w:multiLevelType w:val="hybridMultilevel"/>
    <w:tmpl w:val="C8F4B99A"/>
    <w:lvl w:ilvl="0" w:tplc="BF6662E2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2"/>
        <w:szCs w:val="22"/>
        <w:lang w:val="en-US" w:eastAsia="en-US" w:bidi="ar-SA"/>
      </w:rPr>
    </w:lvl>
    <w:lvl w:ilvl="1" w:tplc="135C28B0">
      <w:numFmt w:val="bullet"/>
      <w:lvlText w:val=""/>
      <w:lvlJc w:val="left"/>
      <w:pPr>
        <w:ind w:left="83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35FA43D8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3" w:tplc="06D462E4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4" w:tplc="56429736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  <w:lvl w:ilvl="5" w:tplc="703E7C3E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6" w:tplc="C9F8A46C">
      <w:numFmt w:val="bullet"/>
      <w:lvlText w:val="•"/>
      <w:lvlJc w:val="left"/>
      <w:pPr>
        <w:ind w:left="5543" w:hanging="360"/>
      </w:pPr>
      <w:rPr>
        <w:rFonts w:hint="default"/>
        <w:lang w:val="en-US" w:eastAsia="en-US" w:bidi="ar-SA"/>
      </w:rPr>
    </w:lvl>
    <w:lvl w:ilvl="7" w:tplc="36BA0084">
      <w:numFmt w:val="bullet"/>
      <w:lvlText w:val="•"/>
      <w:lvlJc w:val="left"/>
      <w:pPr>
        <w:ind w:left="6484" w:hanging="360"/>
      </w:pPr>
      <w:rPr>
        <w:rFonts w:hint="default"/>
        <w:lang w:val="en-US" w:eastAsia="en-US" w:bidi="ar-SA"/>
      </w:rPr>
    </w:lvl>
    <w:lvl w:ilvl="8" w:tplc="422C236C">
      <w:numFmt w:val="bullet"/>
      <w:lvlText w:val="•"/>
      <w:lvlJc w:val="left"/>
      <w:pPr>
        <w:ind w:left="7424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CA6B50"/>
    <w:multiLevelType w:val="hybridMultilevel"/>
    <w:tmpl w:val="379CD48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1"/>
  </w:num>
  <w:num w:numId="6">
    <w:abstractNumId w:val="28"/>
  </w:num>
  <w:num w:numId="7">
    <w:abstractNumId w:val="19"/>
  </w:num>
  <w:num w:numId="8">
    <w:abstractNumId w:val="22"/>
  </w:num>
  <w:num w:numId="9">
    <w:abstractNumId w:val="34"/>
  </w:num>
  <w:num w:numId="10">
    <w:abstractNumId w:val="11"/>
  </w:num>
  <w:num w:numId="11">
    <w:abstractNumId w:val="32"/>
  </w:num>
  <w:num w:numId="12">
    <w:abstractNumId w:val="21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3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9"/>
  </w:num>
  <w:num w:numId="43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7"/>
  </w:num>
  <w:num w:numId="46">
    <w:abstractNumId w:val="36"/>
  </w:num>
  <w:num w:numId="47">
    <w:abstractNumId w:val="24"/>
  </w:num>
  <w:num w:numId="48">
    <w:abstractNumId w:val="20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FE0010"/>
    <w:rsid w:val="00950ABD"/>
    <w:rsid w:val="00B036BC"/>
    <w:rsid w:val="00DB44B5"/>
    <w:rsid w:val="00FE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paragraph" w:customStyle="1" w:styleId="Text">
    <w:name w:val="Text"/>
    <w:basedOn w:val="Norml"/>
    <w:pPr>
      <w:widowControl w:val="0"/>
      <w:tabs>
        <w:tab w:val="clear" w:pos="567"/>
      </w:tabs>
      <w:spacing w:before="120" w:line="240" w:lineRule="auto"/>
      <w:jc w:val="both"/>
    </w:pPr>
    <w:rPr>
      <w:rFonts w:eastAsia="Lucida Sans Unicode"/>
      <w:snapToGrid/>
      <w:sz w:val="24"/>
      <w:szCs w:val="24"/>
      <w:lang w:val="en-US"/>
    </w:r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spacing w:line="240" w:lineRule="auto"/>
    </w:pPr>
    <w:rPr>
      <w:rFonts w:eastAsia="Times New Roman"/>
      <w:snapToGrid/>
      <w:sz w:val="24"/>
      <w:szCs w:val="24"/>
      <w:lang w:val="hu-HU" w:eastAsia="ar-SA"/>
    </w:rPr>
  </w:style>
  <w:style w:type="paragraph" w:styleId="NormlWeb">
    <w:name w:val="Normal (Web)"/>
    <w:basedOn w:val="Norml"/>
    <w:uiPriority w:val="99"/>
    <w:unhideWhenUsed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hu-HU" w:eastAsia="hu-HU"/>
    </w:rPr>
  </w:style>
  <w:style w:type="character" w:customStyle="1" w:styleId="ui-provider">
    <w:name w:val="ui-provider"/>
    <w:basedOn w:val="Bekezdsalapbettpusa"/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1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6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6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2964</Words>
  <Characters>21717</Characters>
  <Application>Microsoft Office Word</Application>
  <DocSecurity>0</DocSecurity>
  <Lines>180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4</cp:revision>
  <dcterms:created xsi:type="dcterms:W3CDTF">2026-09-01T07:56:00Z</dcterms:created>
  <dcterms:modified xsi:type="dcterms:W3CDTF">2026-09-22T09:12:00Z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