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E626F" w14:textId="77777777" w:rsidR="0082587D" w:rsidRPr="0082587D" w:rsidRDefault="0082587D" w:rsidP="0082587D">
      <w:pPr>
        <w:spacing w:after="0" w:line="240" w:lineRule="auto"/>
        <w:jc w:val="center"/>
        <w:outlineLvl w:val="0"/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Betegtájékoztató: Információk a felhasználó </w:t>
      </w:r>
      <w:r w:rsidRPr="0082587D"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>számára</w:t>
      </w:r>
    </w:p>
    <w:p w14:paraId="50A32526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1DD5011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5 mg filmtabletta</w:t>
      </w:r>
    </w:p>
    <w:p w14:paraId="0F96AFFC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apixabán</w:t>
      </w:r>
      <w:proofErr w:type="spellEnd"/>
    </w:p>
    <w:p w14:paraId="22EA22FA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4C8ECA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Mielőtt elkezdi szedni ezt a gyógyszert, olvassa el figyelmesen az alábbi betegtájékoztatót, mert az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Ön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számára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fontos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információkat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tartalmaz.</w:t>
      </w:r>
    </w:p>
    <w:p w14:paraId="130E972E" w14:textId="77777777" w:rsidR="0082587D" w:rsidRPr="0082587D" w:rsidRDefault="0082587D" w:rsidP="00CA4741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Tartsa meg a betegtájékoztatót, mert a benne szereplő információkra a későbbiekben is szüksége lehet.</w:t>
      </w:r>
    </w:p>
    <w:p w14:paraId="31CA713D" w14:textId="77777777" w:rsidR="0082587D" w:rsidRPr="0082587D" w:rsidRDefault="0082587D" w:rsidP="00CA4741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További kérdéseivel forduljon kezelőorvosához, gyógyszerészéhez vagy a gondozását végző egészségügyi szakemberhez.</w:t>
      </w:r>
    </w:p>
    <w:p w14:paraId="3E670D79" w14:textId="77777777" w:rsidR="0082587D" w:rsidRPr="0082587D" w:rsidRDefault="0082587D" w:rsidP="00CA4741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127CAC68" w14:textId="77777777" w:rsidR="0082587D" w:rsidRPr="0082587D" w:rsidRDefault="0082587D" w:rsidP="00CA4741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 pont.</w:t>
      </w:r>
    </w:p>
    <w:p w14:paraId="53EED644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C9EC94B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ind w:left="235" w:hanging="235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betegtájékoztató tartalma:</w:t>
      </w:r>
    </w:p>
    <w:p w14:paraId="429D0CE0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1E03C3EB" w14:textId="77777777" w:rsidR="0082587D" w:rsidRPr="0082587D" w:rsidRDefault="0082587D" w:rsidP="00CA4741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Milyen típusú gyógyszer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és milyen betegségek esetén alkalmazható?</w:t>
      </w:r>
    </w:p>
    <w:p w14:paraId="117FE059" w14:textId="77777777" w:rsidR="0082587D" w:rsidRPr="0082587D" w:rsidRDefault="0082587D" w:rsidP="00CA4741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Tudnivalók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szedése előtt</w:t>
      </w:r>
    </w:p>
    <w:p w14:paraId="71CE5EDE" w14:textId="77777777" w:rsidR="0082587D" w:rsidRPr="0082587D" w:rsidRDefault="0082587D" w:rsidP="00CA4741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Hogyan kell szedni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-et?</w:t>
      </w:r>
    </w:p>
    <w:p w14:paraId="151A4EC1" w14:textId="77777777" w:rsidR="0082587D" w:rsidRPr="0082587D" w:rsidRDefault="0082587D" w:rsidP="00CA4741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Lehetséges mellékhatások</w:t>
      </w:r>
    </w:p>
    <w:p w14:paraId="2D4C0F5E" w14:textId="77777777" w:rsidR="0082587D" w:rsidRPr="0082587D" w:rsidRDefault="0082587D" w:rsidP="00CA4741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Hogyan kell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-et tárolni?</w:t>
      </w:r>
    </w:p>
    <w:p w14:paraId="59F6470A" w14:textId="77777777" w:rsidR="0082587D" w:rsidRPr="0082587D" w:rsidRDefault="0082587D" w:rsidP="00CA4741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csomagolás tartalma és egyéb információk</w:t>
      </w:r>
    </w:p>
    <w:p w14:paraId="581025D2" w14:textId="77777777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E87C54C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9A8F6E9" w14:textId="77777777" w:rsidR="0082587D" w:rsidRPr="0082587D" w:rsidRDefault="0082587D" w:rsidP="00CA4741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Milyen típusú gyógyszer az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és milyen betegségek esetén alkalmazható?</w:t>
      </w:r>
    </w:p>
    <w:p w14:paraId="22151DB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1F20C8FF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apixabán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nevű hatóanyagot tartalmazza és a véralvadásgátlóknak nevezett gyógyszerek csoportjába tartozik. Ez a gyógyszer segít a vérrögképződés megelőzésében azáltal, hogy gátolja az úgynevezett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Xa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-faktort, ami a véralvadási folyamat egyik fontos eleme.</w:t>
      </w:r>
    </w:p>
    <w:p w14:paraId="47CBB33B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CA7BB0B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-et felnőtteknél az alábbi esetekben alkalmazzák:</w:t>
      </w:r>
    </w:p>
    <w:p w14:paraId="79BF8250" w14:textId="77777777" w:rsidR="0082587D" w:rsidRPr="0082587D" w:rsidRDefault="0082587D" w:rsidP="00CA4741">
      <w:pPr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 szívben létrejövő vérrögképződés megelőzésére szívritmuszavarban (nem billentyű eredetű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pitvarfibrilláció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) szenvedő olyan betegeknél, akiknél legalább egy további kockázati tényező is jelen van. A vérrög leszakadhat, és az agyba kerülhet, ami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sztrókhoz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(szélütés, agyi érkatasztrófa) vezethet, vagy más szervekbe is eljuthat, és meggátolhatja annak a szervnek a normális vérellátását (ezt szisztémás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embolizációnak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is nevezik). A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sztrók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életveszélyes lehet, és azonnali orvosi kezelést igényel;</w:t>
      </w:r>
    </w:p>
    <w:p w14:paraId="42F737DD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126FC6B" w14:textId="77777777" w:rsidR="0082587D" w:rsidRPr="0082587D" w:rsidRDefault="0082587D" w:rsidP="00CA4741">
      <w:pPr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az alsó végtagok visszereiben lévő vérrögök (mélyvénás trombózis) és a tüdő ereiben lévő vérrögök (tüdőembólia) kezelésére, valamint az alsó végtagok és/vagy a tüdő ereiben történő, ismételt vérrögképződés megelőzésére.</w:t>
      </w:r>
    </w:p>
    <w:p w14:paraId="6FAE5442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E35B72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-et gyermekeknél és serdülőknél (28 napostól betöltött 18 éves korig) a vénákban vagy a tüdő ereiben lévő vérrögök kezelésére és a vérrögök újbóli kialakulásának megelőzésére alkalmazzák.</w:t>
      </w:r>
    </w:p>
    <w:p w14:paraId="6637D47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DDDD74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testtömegnek megfelelő adagolást lásd a 3. pontban.</w:t>
      </w:r>
    </w:p>
    <w:p w14:paraId="08855BEC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F2429B9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96198DE" w14:textId="77777777" w:rsidR="0082587D" w:rsidRPr="0082587D" w:rsidRDefault="0082587D" w:rsidP="00CA4741">
      <w:pPr>
        <w:keepNext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 xml:space="preserve">Tudnivalók az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szedése előtt </w:t>
      </w:r>
    </w:p>
    <w:p w14:paraId="20323D77" w14:textId="77777777" w:rsidR="0082587D" w:rsidRPr="0082587D" w:rsidRDefault="0082587D" w:rsidP="0082587D">
      <w:pPr>
        <w:keepNext/>
        <w:widowControl w:val="0"/>
        <w:tabs>
          <w:tab w:val="left" w:pos="802"/>
          <w:tab w:val="left" w:pos="803"/>
        </w:tabs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426CB647" w14:textId="77777777" w:rsidR="0082587D" w:rsidRPr="0082587D" w:rsidRDefault="0082587D" w:rsidP="0082587D">
      <w:pPr>
        <w:keepNext/>
        <w:widowControl w:val="0"/>
        <w:tabs>
          <w:tab w:val="left" w:pos="802"/>
          <w:tab w:val="left" w:pos="803"/>
        </w:tabs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Ne szedje az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-et, ha:</w:t>
      </w:r>
    </w:p>
    <w:p w14:paraId="5F999689" w14:textId="77777777" w:rsidR="0082587D" w:rsidRPr="0082587D" w:rsidRDefault="0082587D" w:rsidP="00CA4741">
      <w:pPr>
        <w:keepNext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allergiás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az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apixabánra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vagy a gyógyszer (6. pontban felsorolt) egyéb összetevőjére;</w:t>
      </w:r>
    </w:p>
    <w:p w14:paraId="2230F052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Önnél jelenleg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erős vérzés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áll fenn;</w:t>
      </w:r>
    </w:p>
    <w:p w14:paraId="4A803881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valamelyik szervét érintő olyan betegsége 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van, ami növeli a súlyos vérzés kockázatát (például egy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aktív vagy a közelmúltban lezajlott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gyomorfekély vagy bélfekély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,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a közelmúltban lezajlott agyvérzés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);</w:t>
      </w:r>
    </w:p>
    <w:p w14:paraId="340487FA" w14:textId="77777777" w:rsidR="0082587D" w:rsidRPr="0082587D" w:rsidRDefault="0082587D" w:rsidP="00CA4741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olyan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májbetegség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ben szenved, amely a vérzés fokozott kockázatával jár (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hepatikus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koagulopátia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);</w:t>
      </w:r>
    </w:p>
    <w:p w14:paraId="2CE156DE" w14:textId="77777777" w:rsidR="0082587D" w:rsidRPr="0082587D" w:rsidRDefault="0082587D" w:rsidP="00CA4741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véralvadásgátló gyógyszereket szed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warfarin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,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rivaroxabán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,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dabigatrán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vagy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heparin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), kivéve akkor, amikor egyik véralvadásgátló kezelésről a másikra vált, vagy ha vénás vagy artériás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kanülje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van, és ezen keresztül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heparint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kap, hogy a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kanül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ne alvadjon be, vagy ha egy csövet vezetnek be az érbe (katéteres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abláció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), amellyel a szabálytalan szívverést (szívritmuszavart) kezelik.</w:t>
      </w:r>
    </w:p>
    <w:p w14:paraId="5BCE3C58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1EDD09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Figyelmeztetések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óvintézkedések</w:t>
      </w:r>
    </w:p>
    <w:p w14:paraId="6B6700EC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gyógyszer szedése előtt beszéljen kezelőorvosával, gyógyszerészével vagy a gondozását végző egészségügyi szakemberrel, ha az alábbi állapotok bármelyike fennáll Önnél:</w:t>
      </w:r>
    </w:p>
    <w:p w14:paraId="699B4B0D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a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vérzés fokozott kockázata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, például:</w:t>
      </w:r>
    </w:p>
    <w:p w14:paraId="059B3287" w14:textId="77777777" w:rsidR="0082587D" w:rsidRPr="0082587D" w:rsidRDefault="0082587D" w:rsidP="00CA4741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1134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véralvadási zavarok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, beleértve a vérlemezkék csökkent működését eredményező állapotokat;</w:t>
      </w:r>
    </w:p>
    <w:p w14:paraId="2DEE21BC" w14:textId="77777777" w:rsidR="0082587D" w:rsidRPr="0082587D" w:rsidRDefault="0082587D" w:rsidP="00CA4741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1134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nagyon magas vérnyomás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, ha gyógyszerrel nincs megfelelően beállítva;</w:t>
      </w:r>
    </w:p>
    <w:p w14:paraId="23910815" w14:textId="77777777" w:rsidR="0082587D" w:rsidRPr="0082587D" w:rsidRDefault="0082587D" w:rsidP="00CA4741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1134"/>
        <w:contextualSpacing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Ön 75 évesnél idősebb;</w:t>
      </w:r>
    </w:p>
    <w:p w14:paraId="0DEFDEDB" w14:textId="77777777" w:rsidR="0082587D" w:rsidRPr="0082587D" w:rsidRDefault="0082587D" w:rsidP="00CA4741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1134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az Ön testtömege 60 kg vagy ennél alacsonyabb;</w:t>
      </w:r>
    </w:p>
    <w:p w14:paraId="46452723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súlyos vesebetegsége </w:t>
      </w:r>
      <w:proofErr w:type="gramStart"/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van</w:t>
      </w:r>
      <w:proofErr w:type="gramEnd"/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vagy ha Ön művesekezelésben részesül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;</w:t>
      </w:r>
    </w:p>
    <w:p w14:paraId="65FB50AA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jelenleg fennálló vagy korábbi májbetegség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esetén;</w:t>
      </w:r>
    </w:p>
    <w:p w14:paraId="7552799F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Ezt a gyógyszert csak kellő óvatossággal lehet alkalmazni olyan betegeknél, akik a megváltozott májműködés jeleit mutatják.</w:t>
      </w:r>
    </w:p>
    <w:p w14:paraId="7810D03B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a gerincébe vezetett cső (</w:t>
      </w:r>
      <w:proofErr w:type="spellStart"/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kanül</w:t>
      </w:r>
      <w:proofErr w:type="spellEnd"/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) </w:t>
      </w:r>
      <w:proofErr w:type="gramStart"/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esetén</w:t>
      </w:r>
      <w:proofErr w:type="gram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vagy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ha injekciót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érzéstelenítés vagy fájdalomcsillapítás céljából)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kapott a gerincoszlopába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, kezelőorvosa tájékoztatni fogja arról, hogy a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kanül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eltávolítása után legalább 5 órát kell várnia a gyógyszer bevételével;</w:t>
      </w:r>
    </w:p>
    <w:p w14:paraId="381150DC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műbillentyű van a szívében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;</w:t>
      </w:r>
    </w:p>
    <w:p w14:paraId="0B57D148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ha kezelőorvosa azt állapítja meg, hogy az Ön vérnyomása nem stabil, vagy a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tüdejében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lévő vérrög eltávolítására más kezelést vagy műtéti beavatkozást terveznek.</w:t>
      </w:r>
    </w:p>
    <w:p w14:paraId="430463F7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A7BC609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csak fokozott elővigyázatossággal alkalmazható:</w:t>
      </w:r>
    </w:p>
    <w:p w14:paraId="19690FCE" w14:textId="48C586FE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ha Önnek tudomása van arról, hogy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antifoszfolipid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-szindrómának nevezett betegségben szenved (az immunrendszer rendellenessége, ami a vérrögök kialakulásának </w:t>
      </w:r>
      <w:r w:rsidR="00B02D53">
        <w:rPr>
          <w:rFonts w:ascii="Times New Roman" w:eastAsia="Times New Roman" w:hAnsi="Times New Roman" w:cs="Times New Roman"/>
          <w:kern w:val="0"/>
          <w14:ligatures w14:val="none"/>
        </w:rPr>
        <w:t>nagyobb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kockázatát eredményezi), tájékoztassa kezelőorvosát, aki eldönti, hogy szükség van-e a kezelés módosítására.</w:t>
      </w:r>
    </w:p>
    <w:p w14:paraId="6E8FFEB7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52BAB1E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Ha műtétre vagy olyan beavatkozásra van szükség Önnél, ami vérzést okozhat, kezelőorvosa arra kérheti, hogy egy rövid időre átmenetileg hagyja abba ennek a gyógyszernek a szedését. Ha nem biztos benne, hogy a beavatkozás okozhat-e vérzést, akkor beszéljen kezelőorvosával.</w:t>
      </w:r>
    </w:p>
    <w:p w14:paraId="17506276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1DE041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Gyermekek és serdülők</w:t>
      </w:r>
    </w:p>
    <w:p w14:paraId="3D4EA052" w14:textId="5CD8871A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 gyógyszer alkalmazása 35 kg-nál </w:t>
      </w:r>
      <w:r w:rsidR="00B02D53">
        <w:rPr>
          <w:rFonts w:ascii="Times New Roman" w:eastAsia="Times New Roman" w:hAnsi="Times New Roman" w:cs="Times New Roman"/>
          <w:kern w:val="0"/>
          <w14:ligatures w14:val="none"/>
        </w:rPr>
        <w:t>kisebb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testtömegű gyermekek és serdülők kezelésére nem ajánlott.</w:t>
      </w:r>
    </w:p>
    <w:p w14:paraId="0C6940B6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CE44535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Egyéb gyógyszerek és az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</w:p>
    <w:p w14:paraId="1C3FD9D9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Tájékoztassa kezelőorvosát, gyógyszerészét vagy a gondozását végző egészségügyi szakembert a jelenleg vagy nemrégiben szedett, valamint szedni tervezett egyéb gyógyszereiről.</w:t>
      </w:r>
    </w:p>
    <w:p w14:paraId="58951A45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1DAAFF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Egyes gyógyszerek fokozhatják, míg mások csökkenthetik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hatását. Kezelőorvosa fogja eldönteni, hogy </w:t>
      </w:r>
      <w:proofErr w:type="gram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ezen</w:t>
      </w:r>
      <w:proofErr w:type="gram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gyógyszerek szedése mellett Ön kaphat-e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-kezelést, és hogy az Ön kezelése mennyire szoros ellenőrzést igényel.</w:t>
      </w:r>
    </w:p>
    <w:p w14:paraId="6C35E1FC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A2B695F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Az alábbi gyógyszerek fokozhatják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hatását és növelhetik a nem kívánt vérzés kockázatát:</w:t>
      </w:r>
    </w:p>
    <w:p w14:paraId="1E763FD9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gombás fertőzések kezelésére alkalmazott bizonyos gyógyszerek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ketokonazol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stb.);</w:t>
      </w:r>
    </w:p>
    <w:p w14:paraId="397C359C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HIV/AIDS kezelésére alkalmazott egyes vírusellenes szerek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ritonavir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);</w:t>
      </w:r>
    </w:p>
    <w:p w14:paraId="6D2169FA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más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véralvadásgátló gyógyszerek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enoxaparin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stb.);</w:t>
      </w:r>
    </w:p>
    <w:p w14:paraId="35EB8086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gyulladáscsökkentő 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vagy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fájdalomcsillapító gyógyszerek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acetilszalicilsav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vagy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naproxén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). Különösen akkor, ha Ön 75 évesnél idősebb és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acetilszalicilsavat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szed, Önnél nagyobb lehet a vérzés lehetősége;</w:t>
      </w:r>
    </w:p>
    <w:p w14:paraId="26AE7351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magasvérnyomás-betegségre vagy szívproblémákra szedett gyógyszerek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diltiazem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);</w:t>
      </w:r>
    </w:p>
    <w:p w14:paraId="0D8AADB7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szelektív szerotonin-visszavételt-gátlók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nak vagy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szerotonin-</w:t>
      </w:r>
      <w:proofErr w:type="spellStart"/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noradrenalin</w:t>
      </w:r>
      <w:proofErr w:type="spellEnd"/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-visszavétel-gátlók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nak nevezett, depresszió kezelésére alkalmazott (antidepresszáns) gyógyszerek.</w:t>
      </w:r>
    </w:p>
    <w:p w14:paraId="1C36FD4E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4A0592E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Az alábbi gyógyszerek csökkenthetik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vérrögképződést gátló hatását:</w:t>
      </w:r>
    </w:p>
    <w:p w14:paraId="1689E3E6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epilepszia vagy görcsrohamok megelőzésére alkalmazott gyógyszerek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fenitoin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stb.);</w:t>
      </w:r>
    </w:p>
    <w:p w14:paraId="42F8AC25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közönséges orbáncfű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(depresszió kezelésére alkalmazott gyógynövény-tartalmú készítmény);</w:t>
      </w:r>
    </w:p>
    <w:p w14:paraId="58F0ED1E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tuberkulózis 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vagy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más fertőzések kezelésére alkalmazott gyógyszerek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rifampicin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).</w:t>
      </w:r>
    </w:p>
    <w:p w14:paraId="2DC58465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74F122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Terhesség és szoptatás</w:t>
      </w:r>
    </w:p>
    <w:p w14:paraId="5A53620B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Ha Ön terhes vagy szoptat, illetve, ha fennáll Önnél a terhesség lehetősége vagy gyermeket szeretne, a gyógyszer szedése előtt beszéljen kezelőorvosával, gyógyszerészével vagy a gondozását végző egészségügyi szakemberrel.</w:t>
      </w:r>
    </w:p>
    <w:p w14:paraId="4BE51EC8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FDAAFE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apixabán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terhességre és 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 magzatra 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gyakorolt hatása nem ismert. 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Ne szedje ezt a gyógyszert, ha terhes. Azonnal forduljon kezelőorvosához, ha a gyógyszer szedése alatt teherbe esik.</w:t>
      </w:r>
    </w:p>
    <w:p w14:paraId="739A20AE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AE49A29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Nem ismert, hogy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apixabán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átjut-e az emberi anyatejbe. A gyógyszer szoptatás alatti szedése előtt kérdezze meg kezelőorvosát, gyógyszerészét vagy a gondozását végző egészségügyi szakembert, akik tanácsot adnak Önnek, hogy a szoptatást kell-e abbahagynia, vagy a gyógyszer szedésétől kell-e tartózkodnia.</w:t>
      </w:r>
    </w:p>
    <w:p w14:paraId="2EFB06EA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F4507C3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A készítmény hatásai a gépjárművezetéshez és a gépek kezeléséhez szükséges képességekre</w:t>
      </w:r>
    </w:p>
    <w:p w14:paraId="4647ABFD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nincs káros hatással a gépjárművezetéshez és a gépek kezeléséhez szükséges képességekre.</w:t>
      </w:r>
    </w:p>
    <w:p w14:paraId="469DF555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D9915A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Az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laktózt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és nátriumot tartalmaz</w:t>
      </w:r>
    </w:p>
    <w:p w14:paraId="19A9EA83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Amennyiben kezelőorvosa korábban már figyelmeztette Önt, hogy bizonyos cukrokra érzékeny, keresse fel kezelőorvosát, mielőtt elkezdi szedni ezt a gyógyszert.</w:t>
      </w:r>
    </w:p>
    <w:p w14:paraId="26965BA3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 készítmény </w:t>
      </w:r>
      <w:proofErr w:type="gram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kevesebb</w:t>
      </w:r>
      <w:proofErr w:type="gram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mint 1 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mmol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(23 mg) nátriumot tartalmaz tablettánként, azaz gyakorlatilag „nátriummentes”.</w:t>
      </w:r>
    </w:p>
    <w:p w14:paraId="714650F5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19CB18E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3545373" w14:textId="77777777" w:rsidR="0082587D" w:rsidRPr="0082587D" w:rsidRDefault="0082587D" w:rsidP="00CA4741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Hogyan kell szedni az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-et?</w:t>
      </w:r>
    </w:p>
    <w:p w14:paraId="35124BD4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19F3D0D2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gyógyszert mindig a kezelőorvosa vagy gyógyszerésze által elmondottaknak megfelelően szedje. Amennyiben nem biztos abban, hogyan alkalmazza a gyógyszert, kérdezze meg kezelőorvosát, gyógyszerészét vagy gondozását végző egészségügyi szakembert.</w:t>
      </w:r>
    </w:p>
    <w:p w14:paraId="399EC2BC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AA173DA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Adagolás</w:t>
      </w:r>
    </w:p>
    <w:p w14:paraId="3EE62599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 tablettát vízzel kell lenyelni.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étkezés közben vagy étkezéstől függetlenül is bevehető. A legjobb terápiás hatás elérése érdekében próbálja meg a tablettákat minden nap ugyanabban az időpontban bevenni.</w:t>
      </w:r>
    </w:p>
    <w:p w14:paraId="1E3D294A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B65B308" w14:textId="77777777" w:rsidR="0082587D" w:rsidRPr="00202539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Ha Önnek nehezére esik egészben lenyelni a tablettát, beszéljen kezelőorvosával arról, milyen egyéb módon veheti be </w:t>
      </w:r>
      <w:r w:rsidRPr="00202539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202539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0253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02539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02539">
        <w:rPr>
          <w:rFonts w:ascii="Times New Roman" w:eastAsia="Times New Roman" w:hAnsi="Times New Roman" w:cs="Times New Roman"/>
          <w:kern w:val="0"/>
          <w14:ligatures w14:val="none"/>
        </w:rPr>
        <w:t>-et. A tablettát közvetlenül a bevétel előtt porrá lehet törni, majd belekeverni vízbe, 5%-</w:t>
      </w:r>
      <w:proofErr w:type="spellStart"/>
      <w:r w:rsidRPr="00202539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20253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bookmarkStart w:id="0" w:name="_Hlk76482844"/>
      <w:r w:rsidRPr="00202539">
        <w:rPr>
          <w:rFonts w:ascii="Times New Roman" w:eastAsia="Times New Roman" w:hAnsi="Times New Roman" w:cs="Times New Roman"/>
          <w:kern w:val="0"/>
          <w14:ligatures w14:val="none"/>
        </w:rPr>
        <w:t>szőlőcukor-oldatba</w:t>
      </w:r>
      <w:bookmarkEnd w:id="0"/>
      <w:r w:rsidRPr="00202539">
        <w:rPr>
          <w:rFonts w:ascii="Times New Roman" w:eastAsia="Times New Roman" w:hAnsi="Times New Roman" w:cs="Times New Roman"/>
          <w:kern w:val="0"/>
          <w14:ligatures w14:val="none"/>
        </w:rPr>
        <w:t>, almalébe vagy almapürébe.</w:t>
      </w:r>
    </w:p>
    <w:p w14:paraId="779207C1" w14:textId="77777777" w:rsidR="0082587D" w:rsidRPr="00202539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406CC0" w14:textId="77777777" w:rsidR="0082587D" w:rsidRPr="00202539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0253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Útmutató a tabletta porrá töréséhez</w:t>
      </w:r>
    </w:p>
    <w:p w14:paraId="1A98E27C" w14:textId="77777777" w:rsidR="0082587D" w:rsidRPr="00202539" w:rsidRDefault="0082587D" w:rsidP="00CA4741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02539">
        <w:rPr>
          <w:rFonts w:ascii="Times New Roman" w:eastAsia="Times New Roman" w:hAnsi="Times New Roman" w:cs="Times New Roman"/>
          <w:kern w:val="0"/>
          <w14:ligatures w14:val="none"/>
        </w:rPr>
        <w:t>A tablettákat mozsárban, mozsártörővel törje porrá.</w:t>
      </w:r>
    </w:p>
    <w:p w14:paraId="763575A0" w14:textId="50DFD330" w:rsidR="0082587D" w:rsidRPr="00202539" w:rsidRDefault="0082587D" w:rsidP="00CA4741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02539">
        <w:rPr>
          <w:rFonts w:ascii="Times New Roman" w:eastAsia="Times New Roman" w:hAnsi="Times New Roman" w:cs="Times New Roman"/>
          <w:kern w:val="0"/>
          <w14:ligatures w14:val="none"/>
        </w:rPr>
        <w:t>Az így keletkezett port óvatosan tegye át egy megfelelő pohárba, majd keverjen hozzá kis mennyiségű, kb. 30 ml (2 evőkanálnyi) vizet vagy a fent leírt folyadékok</w:t>
      </w:r>
      <w:r w:rsidR="005E2CC2" w:rsidRPr="00202539">
        <w:rPr>
          <w:rFonts w:ascii="Times New Roman" w:eastAsia="Times New Roman" w:hAnsi="Times New Roman" w:cs="Times New Roman"/>
          <w:kern w:val="0"/>
          <w14:ligatures w14:val="none"/>
        </w:rPr>
        <w:t xml:space="preserve"> vagy almapüré</w:t>
      </w:r>
      <w:r w:rsidRPr="00202539">
        <w:rPr>
          <w:rFonts w:ascii="Times New Roman" w:eastAsia="Times New Roman" w:hAnsi="Times New Roman" w:cs="Times New Roman"/>
          <w:kern w:val="0"/>
          <w14:ligatures w14:val="none"/>
        </w:rPr>
        <w:t xml:space="preserve"> valamelyikét, így egy keveréket kap.</w:t>
      </w:r>
    </w:p>
    <w:p w14:paraId="7BEE7F5F" w14:textId="422F95F9" w:rsidR="0082587D" w:rsidRPr="00202539" w:rsidRDefault="0082587D" w:rsidP="00CA4741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202539">
        <w:rPr>
          <w:rFonts w:ascii="Times New Roman" w:eastAsia="Times New Roman" w:hAnsi="Times New Roman" w:cs="Times New Roman"/>
          <w:kern w:val="0"/>
          <w14:ligatures w14:val="none"/>
        </w:rPr>
        <w:t>Fogyassza</w:t>
      </w:r>
      <w:proofErr w:type="spellEnd"/>
      <w:r w:rsidRPr="00202539">
        <w:rPr>
          <w:rFonts w:ascii="Times New Roman" w:eastAsia="Times New Roman" w:hAnsi="Times New Roman" w:cs="Times New Roman"/>
          <w:kern w:val="0"/>
          <w14:ligatures w14:val="none"/>
        </w:rPr>
        <w:t xml:space="preserve"> el a keveréket.</w:t>
      </w:r>
    </w:p>
    <w:p w14:paraId="07995048" w14:textId="77777777" w:rsidR="0082587D" w:rsidRPr="0082587D" w:rsidRDefault="0082587D" w:rsidP="00CA4741">
      <w:pPr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Öblítse át a tabletta összetörésére használt mozsarat és mozsártörőt, valamint a poharat egy kis mennyiségű (kb. 30 ml) vízzel vagy a fenti folyadékok valamelyikével, és ezt az öblítéshez használt folyadékot is igya meg.</w:t>
      </w:r>
    </w:p>
    <w:p w14:paraId="1FA99BDF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8CD78F4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Szükség esetén kezelőorvosa beadhatja a porrá tört tablettát oly módon is, hogy 60 ml vízbe vagy 5%-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szőlőcukor-oldatba keveri bele, majd a keveréket gyomorszondán (az orrán keresztül a gyomrába levezetett csövön) át adja be Önnek.</w:t>
      </w:r>
    </w:p>
    <w:p w14:paraId="0DA5F24C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24D164A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Az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-et ajánlott adagja a következő:</w:t>
      </w:r>
    </w:p>
    <w:p w14:paraId="525CF610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5358B434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Felnőttek</w:t>
      </w:r>
    </w:p>
    <w:p w14:paraId="0D061A6B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 szívben történő vérrögképződés megelőzésére szívritmuszavarban szenvedő olyan betegeknél, akiknél legalább egy további kockázati tényezője is jelen van</w:t>
      </w:r>
    </w:p>
    <w:p w14:paraId="3E302116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Az ajánlott adag naponta 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kétszer egy darab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5 mg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-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os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tabletta.</w:t>
      </w:r>
    </w:p>
    <w:p w14:paraId="577214E5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986F1B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Az ajánlott adag naponta 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kétszer egy darab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2,5 mg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-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os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tabletta, ha:</w:t>
      </w:r>
    </w:p>
    <w:p w14:paraId="48EB3773" w14:textId="77777777" w:rsidR="0082587D" w:rsidRPr="0082587D" w:rsidRDefault="0082587D" w:rsidP="00CA4741">
      <w:pPr>
        <w:widowControl w:val="0"/>
        <w:numPr>
          <w:ilvl w:val="0"/>
          <w:numId w:val="5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Ön súlyos vesekárosodásban szenved;</w:t>
      </w:r>
    </w:p>
    <w:p w14:paraId="02BB0C0D" w14:textId="77777777" w:rsidR="0082587D" w:rsidRPr="0082587D" w:rsidRDefault="0082587D" w:rsidP="00CA4741">
      <w:pPr>
        <w:widowControl w:val="0"/>
        <w:numPr>
          <w:ilvl w:val="0"/>
          <w:numId w:val="5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az alábbiak közül kettő vagy több vonatkozik Önre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:</w:t>
      </w:r>
    </w:p>
    <w:p w14:paraId="5CC9F6F5" w14:textId="6A647F76" w:rsidR="0082587D" w:rsidRPr="0082587D" w:rsidRDefault="0082587D" w:rsidP="00CA4741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 vérvizsgálati eredményei </w:t>
      </w:r>
      <w:r w:rsidR="00B02D53">
        <w:rPr>
          <w:rFonts w:ascii="Times New Roman" w:eastAsia="Times New Roman" w:hAnsi="Times New Roman" w:cs="Times New Roman"/>
          <w:kern w:val="0"/>
          <w14:ligatures w14:val="none"/>
        </w:rPr>
        <w:t>károsodott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veseműködésre utalnak (a szérum-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kreatininszint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1,5 mg/dl [133 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mikromol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/l] vagy magasabb érték);</w:t>
      </w:r>
    </w:p>
    <w:p w14:paraId="4B14039A" w14:textId="77777777" w:rsidR="0082587D" w:rsidRPr="0082587D" w:rsidRDefault="0082587D" w:rsidP="00CA4741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Ön 80 éves vagy annál idősebb,</w:t>
      </w:r>
    </w:p>
    <w:p w14:paraId="59DAF952" w14:textId="2C7ABE4A" w:rsidR="0082587D" w:rsidRPr="0082587D" w:rsidRDefault="0082587D" w:rsidP="00CA4741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 testtömege 60 kg vagy annál </w:t>
      </w:r>
      <w:r w:rsidR="005E2CC2">
        <w:rPr>
          <w:rFonts w:ascii="Times New Roman" w:eastAsia="Times New Roman" w:hAnsi="Times New Roman" w:cs="Times New Roman"/>
          <w:kern w:val="0"/>
          <w14:ligatures w14:val="none"/>
        </w:rPr>
        <w:t>k</w:t>
      </w:r>
      <w:r w:rsidR="00443387">
        <w:rPr>
          <w:rFonts w:ascii="Times New Roman" w:eastAsia="Times New Roman" w:hAnsi="Times New Roman" w:cs="Times New Roman"/>
          <w:kern w:val="0"/>
          <w14:ligatures w14:val="none"/>
        </w:rPr>
        <w:t>isebb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09B987B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C356A6C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javasolt adag naponta kétszer egy tabletta, például egy reggel és egy este.</w:t>
      </w:r>
    </w:p>
    <w:p w14:paraId="18406C8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Kezelőorvosa fogja eldönteni, hogy mennyi ideig kell folytatnia a kezelést.</w:t>
      </w:r>
    </w:p>
    <w:p w14:paraId="7A8F5E56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9230266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 lábak visszereiben lévő vérrögök és a tüdő ereiben lévő vérrögök kezelése</w:t>
      </w:r>
    </w:p>
    <w:p w14:paraId="7F1FF850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 javasolt adag naponta 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kétszer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két 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darab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5 mg-</w:t>
      </w:r>
      <w:proofErr w:type="spellStart"/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os</w:t>
      </w:r>
      <w:proofErr w:type="spellEnd"/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tabletta 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az első 7 napon, például kettő reggel és kettő este.</w:t>
      </w:r>
    </w:p>
    <w:p w14:paraId="08861F89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7 nap után a javasolt adag naponta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kétszer egy 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darab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5 mg-</w:t>
      </w:r>
      <w:proofErr w:type="spellStart"/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os</w:t>
      </w:r>
      <w:proofErr w:type="spellEnd"/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tabletta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, például egy reggel és egy este.</w:t>
      </w:r>
    </w:p>
    <w:p w14:paraId="1C7471A9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A391E49" w14:textId="77777777" w:rsidR="0082587D" w:rsidRPr="0082587D" w:rsidRDefault="0082587D" w:rsidP="0082587D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Ismételt vérrögképződés megelőzésére a 6 hónapig tartó kezelés befejezése után</w:t>
      </w:r>
    </w:p>
    <w:p w14:paraId="3C4BB1B5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 javasolt adag naponta kétszer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egy 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darab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2,5 mg-</w:t>
      </w:r>
      <w:proofErr w:type="spellStart"/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os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tabletta, például egy reggel és egy este.</w:t>
      </w:r>
    </w:p>
    <w:p w14:paraId="3EED48C4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Kezelőorvosa fogja eldönteni, hogy mennyi ideig kell folytatnia a kezelést.</w:t>
      </w:r>
    </w:p>
    <w:p w14:paraId="300D6324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CA1310D" w14:textId="77777777" w:rsidR="0082587D" w:rsidRPr="0082587D" w:rsidRDefault="0082587D" w:rsidP="0082587D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Alkalmazása gyermekeknél és serdülőknél</w:t>
      </w:r>
    </w:p>
    <w:p w14:paraId="1EE37274" w14:textId="77777777" w:rsidR="0082587D" w:rsidRPr="0082587D" w:rsidRDefault="0082587D" w:rsidP="0082587D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 vénákban vagy a tüdő ereiben lévő vérrögök kezelésére és a vérrögök újbóli kialakulásának megelőzésére</w:t>
      </w:r>
    </w:p>
    <w:p w14:paraId="16AA7E7F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gyógyszert mindig az Ön vagy a gyermekének kezelőorvosa vagy gyógyszerésze által elmondottaknak megfelelően szedje vagy adja be. Amennyiben nem biztos abban, hogyan alkalmazza a gyógyszert, kérdezze meg az Ön vagy a gyermek kezelőorvosát, gyógyszerészét vagy a gondozását végző egészségügyi szakembert.</w:t>
      </w:r>
    </w:p>
    <w:p w14:paraId="25C38403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8AC319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legjobb terápiás hatás elérése érdekében próbálja meg az adagot minden nap ugyanabban az időpontban bevenni vagy beadni.</w:t>
      </w:r>
    </w:p>
    <w:p w14:paraId="60F676A5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A327227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adagja a testtömegtől függ, és a kezelőorvos számítja ki.</w:t>
      </w:r>
    </w:p>
    <w:p w14:paraId="2C5236AF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 javasolt adag a legalább 35 kg testtömegű gyermekek és serdülők számára naponta kétszer </w:t>
      </w: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két darab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 mg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tabletta az első 7 napon, például két darab reggel és két darab este.</w:t>
      </w:r>
    </w:p>
    <w:p w14:paraId="69089C5B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7 nap után a javasolt adag naponta kétszer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egy darab</w:t>
      </w: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5 mg-</w:t>
      </w:r>
      <w:proofErr w:type="spellStart"/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os</w:t>
      </w:r>
      <w:proofErr w:type="spellEnd"/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tabletta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, például egy reggel és egy este.</w:t>
      </w:r>
    </w:p>
    <w:p w14:paraId="0A634586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D6EDFD4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szülők vagy gondozók figyelmébe: a gyermeket figyelni kell, hogy biztosan bevegye a teljes adagot.</w:t>
      </w:r>
    </w:p>
    <w:p w14:paraId="418D79B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82658C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Fontos a kezelőorvos rendszeres felkeresése, mivel a testtömeg változásával szükség lehet az adag módosítására.</w:t>
      </w:r>
    </w:p>
    <w:p w14:paraId="047E9B6E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81D9046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Előfordulhat, hogy kezelőorvosa az alábbiak szerint megváltoztatja a véralvadásgátló kezelését:</w:t>
      </w:r>
    </w:p>
    <w:p w14:paraId="71348194" w14:textId="77777777" w:rsidR="0082587D" w:rsidRPr="0082587D" w:rsidRDefault="0082587D" w:rsidP="0082587D">
      <w:pPr>
        <w:widowControl w:val="0"/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u w:val="single"/>
          <w14:ligatures w14:val="none"/>
        </w:rPr>
      </w:pPr>
    </w:p>
    <w:p w14:paraId="065BF4CB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  <w:i/>
          <w:iCs/>
          <w:kern w:val="0"/>
          <w14:ligatures w14:val="none"/>
        </w:rPr>
      </w:pPr>
      <w:proofErr w:type="spellStart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Grindeks-ről</w:t>
      </w:r>
      <w:proofErr w:type="spellEnd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véralvadásgátló gyógyszerekre történő átállás</w:t>
      </w:r>
    </w:p>
    <w:p w14:paraId="10CAC420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Hagyja abba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szedését. Akkor kezdje el a véralvadásgátló gyógyszerrel (például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heparinnal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) a kezelést, amikor a következő tablettát be kellene vennie.</w:t>
      </w:r>
    </w:p>
    <w:p w14:paraId="4DD2B1D4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6FCE051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Véralvadásgátló gyógyszerekről </w:t>
      </w:r>
      <w:proofErr w:type="spellStart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-re történő átállás</w:t>
      </w:r>
    </w:p>
    <w:p w14:paraId="4E365625" w14:textId="77777777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ab/>
        <w:t xml:space="preserve">Hagyja abba a véralvadásgátló gyógyszerek szedését. Akkor kezdje el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-kezelést, amikor a véralvadásgátló gyógyszer következő adagja esedékes lenne, majd folytassa azt a szokásos módon.</w:t>
      </w:r>
    </w:p>
    <w:p w14:paraId="1593B7AA" w14:textId="77777777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EF9AFA6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K-vitamin-</w:t>
      </w:r>
      <w:proofErr w:type="spellStart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antagonista</w:t>
      </w:r>
      <w:proofErr w:type="spellEnd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tartalmú véralvadásgátló kezelésről (például </w:t>
      </w:r>
      <w:proofErr w:type="spellStart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warfarin</w:t>
      </w:r>
      <w:proofErr w:type="spellEnd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) történő átállás </w:t>
      </w:r>
      <w:proofErr w:type="spellStart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-re</w:t>
      </w:r>
    </w:p>
    <w:p w14:paraId="2BD46AAB" w14:textId="77777777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ab/>
        <w:t>Hagyja abba a K-vitamin-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antagonista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tartalmú gyógyszer szedését. Kezelőorvosának vérvizsgálatokat kell végeznie, és tájékoztatja Önt, hogy mikor kell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elkezdenie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szedését.</w:t>
      </w:r>
    </w:p>
    <w:p w14:paraId="0F0CE32A" w14:textId="77777777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C7368D8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Grindeks-ről</w:t>
      </w:r>
      <w:proofErr w:type="spellEnd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K-vitamin-</w:t>
      </w:r>
      <w:proofErr w:type="spellStart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antagonista</w:t>
      </w:r>
      <w:proofErr w:type="spellEnd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tartalmú véralvadásgátló kezelésre (például </w:t>
      </w:r>
      <w:proofErr w:type="spellStart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warfarin</w:t>
      </w:r>
      <w:proofErr w:type="spellEnd"/>
      <w:r w:rsidRPr="0082587D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) történő átállás</w:t>
      </w:r>
    </w:p>
    <w:p w14:paraId="728A1536" w14:textId="77777777" w:rsidR="0082587D" w:rsidRPr="0082587D" w:rsidRDefault="0082587D" w:rsidP="0082587D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iCs/>
          <w:kern w:val="0"/>
          <w14:ligatures w14:val="none"/>
        </w:rPr>
        <w:tab/>
        <w:t>Ha kezelőorvosa azt mondja Önnek, hogy egy K-vitamin-</w:t>
      </w:r>
      <w:proofErr w:type="spellStart"/>
      <w:r w:rsidRPr="0082587D">
        <w:rPr>
          <w:rFonts w:ascii="Times New Roman" w:eastAsia="Times New Roman" w:hAnsi="Times New Roman" w:cs="Times New Roman"/>
          <w:iCs/>
          <w:kern w:val="0"/>
          <w14:ligatures w14:val="none"/>
        </w:rPr>
        <w:t>antagonista</w:t>
      </w:r>
      <w:proofErr w:type="spellEnd"/>
      <w:r w:rsidRPr="0082587D">
        <w:rPr>
          <w:rFonts w:ascii="Times New Roman" w:eastAsia="Times New Roman" w:hAnsi="Times New Roman" w:cs="Times New Roman"/>
          <w:iCs/>
          <w:kern w:val="0"/>
          <w14:ligatures w14:val="none"/>
        </w:rPr>
        <w:t xml:space="preserve"> tartalmú gyógyszer szedését kell </w:t>
      </w:r>
      <w:proofErr w:type="spellStart"/>
      <w:r w:rsidRPr="0082587D">
        <w:rPr>
          <w:rFonts w:ascii="Times New Roman" w:eastAsia="Times New Roman" w:hAnsi="Times New Roman" w:cs="Times New Roman"/>
          <w:iCs/>
          <w:kern w:val="0"/>
          <w14:ligatures w14:val="none"/>
        </w:rPr>
        <w:t>elkezdenie</w:t>
      </w:r>
      <w:proofErr w:type="spellEnd"/>
      <w:r w:rsidRPr="0082587D">
        <w:rPr>
          <w:rFonts w:ascii="Times New Roman" w:eastAsia="Times New Roman" w:hAnsi="Times New Roman" w:cs="Times New Roman"/>
          <w:iCs/>
          <w:kern w:val="0"/>
          <w14:ligatures w14:val="none"/>
        </w:rPr>
        <w:t>, akkor a K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-vitamin-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antagonista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tartalmú gyógyszer első adagjának bevétele után is még legalább 2 napig folytassa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szedését. Kezelőorvosának vérvizsgálatokat kell végeznie, és tájékoztatja Önt, mikor hagyja abba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szedését.</w:t>
      </w:r>
    </w:p>
    <w:p w14:paraId="365CA471" w14:textId="77777777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B1D4537" w14:textId="77777777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Kardioverzióban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részesülő betegek</w:t>
      </w:r>
    </w:p>
    <w:p w14:paraId="4CF5115E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Ha szívritmuszavarát a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kardioverziónak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nevezett eljárással kell helyreállítani, vegye be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-et</w:t>
      </w:r>
      <w:r w:rsidRPr="0082587D" w:rsidDel="00B57FF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azokban az időpontokban, amikor kezelőorvosa mondja, hogy megelőzze a vérrögök kialakulását az agy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vérereiben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és a szervezetében lévő egyéb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erekben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0A81A70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C0B2BFA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Ha az előírtnál több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-et vett be</w:t>
      </w:r>
    </w:p>
    <w:p w14:paraId="53A3083C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Azonnal tájékoztassa kezelőorvosát, ha az előírtnál nagyobb adag gyógyszert vett be. Vigye magával a gyógyszer dobozát akkor is, ha abban nem maradt tabletta.</w:t>
      </w:r>
    </w:p>
    <w:p w14:paraId="307FCDB9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2040993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Ha a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javasoltnál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több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-et vett be, akkor nagyobb lehet Önnél a vérzés kockázata. Vérzés esetén sebészeti beavatkozásra, vérátömlesztésre vagy a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Xa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-faktor-ellenes aktivitás felfüggesztésére képes egyéb kezelésre lehet szükség.</w:t>
      </w:r>
    </w:p>
    <w:p w14:paraId="5FF01E4C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9C737E8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Ha elfelejtette bevenni az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-et</w:t>
      </w:r>
    </w:p>
    <w:p w14:paraId="0AB88126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Ha elfelejtette a reggeli adagot, vegye be, amint eszébe jut, és akár az esti adaggal együtt is </w:t>
      </w:r>
      <w:proofErr w:type="spellStart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beveheti</w:t>
      </w:r>
      <w:proofErr w:type="spellEnd"/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633F3551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Cs/>
          <w:kern w:val="0"/>
          <w14:ligatures w14:val="none"/>
        </w:rPr>
        <w:t>A kihagyott esti adagot csak ugyanazon este szabad bevenni. Ne vegyen be két adagot másnap reggel, hanem másnap az ajánlásnak megfelelően folytassa a naponta kétszeri adagolást.</w:t>
      </w:r>
    </w:p>
    <w:p w14:paraId="0AED4C34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Ha nem biztos benne, mit kell tennie, vagy egynél több adagot hagyott ki, 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kérdezze meg kezelőorvosát, gyógyszerészét vagy a gondozását végző egészségügyi szakembert. Ne vegyen be kétszeres adagot a kihagyott adag pótlására.</w:t>
      </w:r>
    </w:p>
    <w:p w14:paraId="4C913052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8F793ED" w14:textId="77777777" w:rsidR="0082587D" w:rsidRPr="0082587D" w:rsidRDefault="0082587D" w:rsidP="0082587D">
      <w:pPr>
        <w:keepNext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Ha idő előtt abbahagyja </w:t>
      </w:r>
      <w:proofErr w:type="gram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proofErr w:type="gram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szedését</w:t>
      </w:r>
    </w:p>
    <w:p w14:paraId="4CF2D8A4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Ne hagyja abba a gyógyszer szedését anélkül, hogy előtte ezt kezelőorvosával megbeszélné, mert a kezelés túl korai abbahagyása a vérrögképződés nagyobb kockázatát eredményezheti.</w:t>
      </w:r>
    </w:p>
    <w:p w14:paraId="1B6DFB00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542E64C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Ha bármilyen további kérdése van a gyógyszer alkalmazásával kapcsolatban, kérdezze meg kezelőorvosát, gyógyszerészét vagy a gondozását végző egészségügyi szakembert.</w:t>
      </w:r>
    </w:p>
    <w:p w14:paraId="5289CD65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998917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C2CF254" w14:textId="77777777" w:rsidR="0082587D" w:rsidRPr="0082587D" w:rsidRDefault="0082587D" w:rsidP="00CA4741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Lehetséges mellékhatások</w:t>
      </w:r>
    </w:p>
    <w:p w14:paraId="0359321F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0FE48C2F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Mint minden gyógyszer, így ez a gyógyszer is okozhat mellékhatásokat, amelyek azonban nem mindenkinél jelentkeznek. A gyógyszer leggyakoribb általános mellékhatása mindhárom betegség esetén a vérzés, amely életveszélyes lehet, és azonnali orvosi kezelést igényel.</w:t>
      </w:r>
    </w:p>
    <w:p w14:paraId="4DE28E09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76FDA7F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A következő mellékhatások ismertek, ha Ön </w:t>
      </w:r>
      <w:proofErr w:type="spellStart"/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-et szed a szívben kialakuló vérrögök megelőzésére szabálytalan szívverés és legalább egy további kockázati tényező fennállása esetén</w:t>
      </w:r>
    </w:p>
    <w:p w14:paraId="691DEAD7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3BC7167E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Gyakori (10-ből legfeljebb 1 beteget érinthet)</w:t>
      </w:r>
    </w:p>
    <w:p w14:paraId="5FB6B830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vérzés, többek között:</w:t>
      </w:r>
    </w:p>
    <w:p w14:paraId="7FC4F029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szemben;</w:t>
      </w:r>
    </w:p>
    <w:p w14:paraId="413E5639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gyomorban vagy a belekben;</w:t>
      </w:r>
    </w:p>
    <w:p w14:paraId="0F7E8FF8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végbélből;</w:t>
      </w:r>
    </w:p>
    <w:p w14:paraId="0565C69C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véres vizelet;</w:t>
      </w:r>
    </w:p>
    <w:p w14:paraId="2C80F3EA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az orrból;</w:t>
      </w:r>
    </w:p>
    <w:p w14:paraId="6A1A160C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fogínyből;</w:t>
      </w:r>
    </w:p>
    <w:p w14:paraId="05CCB37D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véraláfutás és duzzanat;</w:t>
      </w:r>
    </w:p>
    <w:p w14:paraId="190E6FD2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vérszegénység (anémia), ami fáradtságot vagy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sápadtságot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okozhat;</w:t>
      </w:r>
    </w:p>
    <w:p w14:paraId="59E4819C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alacsony vérnyomás, ami ájulással, felgyorsult szívveréssel járhat;</w:t>
      </w:r>
    </w:p>
    <w:p w14:paraId="2E4D31F6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hányinger;</w:t>
      </w:r>
    </w:p>
    <w:p w14:paraId="6282809C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vérvizsgálatok megnövekedett gamma-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glutamil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transzferáz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-szintet (GGT) mutatnak.</w:t>
      </w:r>
    </w:p>
    <w:p w14:paraId="438CBD22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940A0BD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Nem gyakori (100-ból legfeljebb 1 beteget érinthet)</w:t>
      </w:r>
    </w:p>
    <w:p w14:paraId="0F632EE8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6B0B2F41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az agyban vagy a gerincoszlopban;</w:t>
      </w:r>
    </w:p>
    <w:p w14:paraId="2720BA90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szájban, vagy köhögés után vér van a köpetben;</w:t>
      </w:r>
    </w:p>
    <w:p w14:paraId="2DA1FA29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hasüregben vagy a hüvelyből;</w:t>
      </w:r>
    </w:p>
    <w:p w14:paraId="3A06B430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élénk színű/piros vér a székletben;</w:t>
      </w:r>
    </w:p>
    <w:p w14:paraId="2E3B5F3E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műtét után megjelenő vérzés, beleértve a véraláfutást és a duzzanatot, a műtéti sebből/metszésből vagy az injekció beadási helyéről szivárgó vért vagy folyadékot (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sebváladékozás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);</w:t>
      </w:r>
    </w:p>
    <w:p w14:paraId="36C1A424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az aranyérből;</w:t>
      </w:r>
    </w:p>
    <w:p w14:paraId="3DC2D205" w14:textId="77777777" w:rsidR="0082587D" w:rsidRPr="0082587D" w:rsidRDefault="0082587D" w:rsidP="00CA4741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vizsgálatokkal kimutatott vérzés a székletben vagy a vizeletben;</w:t>
      </w:r>
    </w:p>
    <w:p w14:paraId="75FFD498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csökkent vérlemezkeszám a vérben (ami befolyásolhatja a vérrögképződést);</w:t>
      </w:r>
    </w:p>
    <w:p w14:paraId="728BAFB2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vérvizsgálatok a következőket jelezhetik:</w:t>
      </w:r>
    </w:p>
    <w:p w14:paraId="73E02FD4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rendellenes májműködés;</w:t>
      </w:r>
    </w:p>
    <w:p w14:paraId="7A97D511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bizonyos májenzimek szintjének emelkedése;</w:t>
      </w:r>
    </w:p>
    <w:p w14:paraId="2DD5F386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vörösvértestek szétesése következtében keletkező bilirubin szintjének emelkedése, ami a bőr és a szemfehérje besárgulását okozhatja;</w:t>
      </w:r>
    </w:p>
    <w:p w14:paraId="03EC2962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bőrkiütés;</w:t>
      </w:r>
    </w:p>
    <w:p w14:paraId="15FC55F1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viszketés;</w:t>
      </w:r>
    </w:p>
    <w:p w14:paraId="0C79C104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hajhullás;</w:t>
      </w:r>
    </w:p>
    <w:p w14:paraId="35EE6E5A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allergiás reakciók (túlérzékenység), amelyek az arc, az ajak, a nyelv és/vagy a garat duzzanatát és nehézlégzést okozhatnak.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Azonnal forduljon kezelőorvosához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, ha ezek közül a mellékhatások közül bármelyiket észleli.</w:t>
      </w:r>
    </w:p>
    <w:p w14:paraId="170C398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B06D64A" w14:textId="77777777" w:rsidR="0082587D" w:rsidRPr="0082587D" w:rsidRDefault="0082587D" w:rsidP="0082587D">
      <w:pPr>
        <w:keepNext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Ritka (1000-ből legfeljebb 1 beteget érinthet)</w:t>
      </w:r>
    </w:p>
    <w:p w14:paraId="6057B936" w14:textId="77777777" w:rsidR="0082587D" w:rsidRPr="0082587D" w:rsidRDefault="0082587D" w:rsidP="00CA4741">
      <w:pPr>
        <w:keepNext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20692EC7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tüdőben vagy a torokban;</w:t>
      </w:r>
    </w:p>
    <w:p w14:paraId="7E3439D1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hasüreg mögötti térbe szivárgó vérzés;</w:t>
      </w:r>
    </w:p>
    <w:p w14:paraId="349B099A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az izomban.</w:t>
      </w:r>
    </w:p>
    <w:p w14:paraId="3ACC2A65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583292D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Nagyon ritka (10 000-ből legfeljebb 1 beteget érinthet)</w:t>
      </w:r>
    </w:p>
    <w:p w14:paraId="53CF7DEF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hólyagos bőrkiütés, ami céltáblára emlékeztet (középen sötét pontokkal, körülötte halványabb területtel és a szélén sötét gyűrűvel) </w:t>
      </w:r>
      <w:r w:rsidRPr="0082587D">
        <w:rPr>
          <w:rFonts w:ascii="Times New Roman" w:eastAsia="Times New Roman" w:hAnsi="Times New Roman" w:cs="Times New Roman"/>
          <w:i/>
          <w:kern w:val="0"/>
          <w14:ligatures w14:val="none"/>
        </w:rPr>
        <w:t>(</w:t>
      </w:r>
      <w:proofErr w:type="spellStart"/>
      <w:r w:rsidRPr="0082587D">
        <w:rPr>
          <w:rFonts w:ascii="Times New Roman" w:eastAsia="Times New Roman" w:hAnsi="Times New Roman" w:cs="Times New Roman"/>
          <w:i/>
          <w:kern w:val="0"/>
          <w14:ligatures w14:val="none"/>
        </w:rPr>
        <w:t>eritéma</w:t>
      </w:r>
      <w:proofErr w:type="spellEnd"/>
      <w:r w:rsidRPr="0082587D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i/>
          <w:kern w:val="0"/>
          <w14:ligatures w14:val="none"/>
        </w:rPr>
        <w:t>multiforme</w:t>
      </w:r>
      <w:proofErr w:type="spellEnd"/>
      <w:r w:rsidRPr="0082587D">
        <w:rPr>
          <w:rFonts w:ascii="Times New Roman" w:eastAsia="Times New Roman" w:hAnsi="Times New Roman" w:cs="Times New Roman"/>
          <w:i/>
          <w:kern w:val="0"/>
          <w14:ligatures w14:val="none"/>
        </w:rPr>
        <w:t>)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A1F2AD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78BA6A77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Nem ismert gyakoriságú mellékhatás (a gyakoriság a rendelkezésre álló adatokból nem állapítható meg)</w:t>
      </w:r>
    </w:p>
    <w:p w14:paraId="22934F91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vérerek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gyulladása (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vaszkulitisz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), amely bőrkiütést vagy a bőrfelszín alatt pontszerű, lapos, vörös, kerek foltokat vagy véraláfutást okozhat;</w:t>
      </w:r>
    </w:p>
    <w:p w14:paraId="08603CBB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vesében jelentkező vérzés, alkalmanként véres vizelettel, ami ellehetetleníti a vesék megfelelő működését (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antikoagulánssal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kapcsolatos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nefropátia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).</w:t>
      </w:r>
    </w:p>
    <w:p w14:paraId="6F06773F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66199742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Az alábbi mellékhatások ismertek, ha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-et a lábak visszereiben lévő vérrögök és a tüdő ereiben lévő vérrögök kezelésére vagy azok ismételt kialakulásának megelőzésére szedi</w:t>
      </w:r>
    </w:p>
    <w:p w14:paraId="7ECCA40D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BE8834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Gyakori (10-ből legfeljebb 1 beteget érinthet)</w:t>
      </w:r>
    </w:p>
    <w:p w14:paraId="277BE193" w14:textId="77777777" w:rsidR="0082587D" w:rsidRPr="0082587D" w:rsidRDefault="0082587D" w:rsidP="00CA4741">
      <w:pPr>
        <w:widowControl w:val="0"/>
        <w:numPr>
          <w:ilvl w:val="0"/>
          <w:numId w:val="5"/>
        </w:numPr>
        <w:tabs>
          <w:tab w:val="left" w:pos="566"/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vérzés, többek között:</w:t>
      </w:r>
    </w:p>
    <w:p w14:paraId="56897E19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az orrból;</w:t>
      </w:r>
    </w:p>
    <w:p w14:paraId="73B759AC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fogínyből;</w:t>
      </w:r>
    </w:p>
    <w:p w14:paraId="5BF81E75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vizeletben;</w:t>
      </w:r>
    </w:p>
    <w:p w14:paraId="58B55BD3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véraláfutás és duzzanat;</w:t>
      </w:r>
    </w:p>
    <w:p w14:paraId="40908804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gyomorban, a belekben, a végbélből;</w:t>
      </w:r>
    </w:p>
    <w:p w14:paraId="03BEDD8B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szájban;</w:t>
      </w:r>
    </w:p>
    <w:p w14:paraId="4C45DA0A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hüvelyből;</w:t>
      </w:r>
    </w:p>
    <w:p w14:paraId="2ECA827B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vérszegénység, ami fáradtságot vagy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sápadtságot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okozhat;</w:t>
      </w:r>
    </w:p>
    <w:p w14:paraId="29FC8226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csökkent vérlemezkeszám a vérben (amely befolyásolhatja a vérrögképződést);</w:t>
      </w:r>
    </w:p>
    <w:p w14:paraId="5719C0FF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hányinger;</w:t>
      </w:r>
    </w:p>
    <w:p w14:paraId="120DE4A2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bőrkiütés;</w:t>
      </w:r>
    </w:p>
    <w:p w14:paraId="3A08E734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vérvizsgálatok a következőket jelezhetik:</w:t>
      </w:r>
    </w:p>
    <w:p w14:paraId="029A9341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emelkedett gamma-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glutamil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transzferáz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-szint (GGT) vagy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glutamát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piruvát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transzamináz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-szint (GPT).</w:t>
      </w:r>
    </w:p>
    <w:p w14:paraId="7F0FE486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BEE690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Nem gyakori (100-ból legfeljebb 1 beteget érinthet)</w:t>
      </w:r>
    </w:p>
    <w:p w14:paraId="799FF2DB" w14:textId="77777777" w:rsidR="0082587D" w:rsidRPr="0082587D" w:rsidRDefault="0082587D" w:rsidP="00CA4741">
      <w:pPr>
        <w:widowControl w:val="0"/>
        <w:numPr>
          <w:ilvl w:val="0"/>
          <w:numId w:val="5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alacsony vérnyomás, ami ájulással, felgyorsult szívveréssel járhat;</w:t>
      </w:r>
    </w:p>
    <w:p w14:paraId="0834C5E1" w14:textId="77777777" w:rsidR="0082587D" w:rsidRPr="0082587D" w:rsidRDefault="0082587D" w:rsidP="00CA4741">
      <w:pPr>
        <w:widowControl w:val="0"/>
        <w:numPr>
          <w:ilvl w:val="0"/>
          <w:numId w:val="5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6B980833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szemekben;</w:t>
      </w:r>
    </w:p>
    <w:p w14:paraId="427F86F6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szájban vagy köhögés után vér van a köpetben;</w:t>
      </w:r>
    </w:p>
    <w:p w14:paraId="31695DB7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élénk színű/piros vér a székletben;</w:t>
      </w:r>
    </w:p>
    <w:p w14:paraId="323D00DC" w14:textId="77777777" w:rsidR="0082587D" w:rsidRPr="0082587D" w:rsidRDefault="0082587D" w:rsidP="00CA4741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vizsgálatokkal kimutatott vérzés a székletben vagy a vizeletben;</w:t>
      </w:r>
    </w:p>
    <w:p w14:paraId="6956C76B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műtét után megjelenő vérzés, beleértve a véraláfutást és a duzzanatot, a műtéti sebből/metszésből vagy az injekció beadási helyéről szivárgó vért vagy folyadékot (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sebváladékozás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);</w:t>
      </w:r>
    </w:p>
    <w:p w14:paraId="412D495C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az aranyérből;</w:t>
      </w:r>
    </w:p>
    <w:p w14:paraId="01642112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az izomban;</w:t>
      </w:r>
    </w:p>
    <w:p w14:paraId="7955706C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viszketés;</w:t>
      </w:r>
    </w:p>
    <w:p w14:paraId="5DC6EAFA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hajhullás;</w:t>
      </w:r>
    </w:p>
    <w:p w14:paraId="3331550F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allergiás reakciók (túlérzékenység), amelyek az arc, az ajak, a nyelv és/vagy a torok feldagadását és nehézlégzést okozhatnak.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Azonnal forduljon kezelőorvosához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, ha ezek közül a mellékhatások közül bármelyiket észleli;</w:t>
      </w:r>
    </w:p>
    <w:p w14:paraId="0698EAEF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vérvizsgálatok a következőket jelezhetik:</w:t>
      </w:r>
    </w:p>
    <w:p w14:paraId="33797511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rendellenes májfunkciós vizsgálati eredmények;</w:t>
      </w:r>
    </w:p>
    <w:p w14:paraId="558CE763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bizonyos májenzimek szintjének emelkedése;</w:t>
      </w:r>
    </w:p>
    <w:p w14:paraId="1995B57B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vörösvértestek szétesése következtében keletkező bilirubin szintjének emelkedése, ami a bőr és a szemfehérje besárgulását okozhatja.</w:t>
      </w:r>
    </w:p>
    <w:p w14:paraId="1F5FF478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F326FB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Ritka (1000-ből legfeljebb 1 beteget érinthet)</w:t>
      </w:r>
    </w:p>
    <w:p w14:paraId="0CF3B9D0" w14:textId="77777777" w:rsidR="0082587D" w:rsidRPr="0082587D" w:rsidRDefault="0082587D" w:rsidP="00CA4741">
      <w:pPr>
        <w:widowControl w:val="0"/>
        <w:numPr>
          <w:ilvl w:val="0"/>
          <w:numId w:val="9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7D2C123D" w14:textId="77777777" w:rsidR="0082587D" w:rsidRPr="0082587D" w:rsidRDefault="0082587D" w:rsidP="00CA4741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az agyban vagy a gerincoszlopban;</w:t>
      </w:r>
    </w:p>
    <w:p w14:paraId="1EC49869" w14:textId="77777777" w:rsidR="0082587D" w:rsidRPr="0082587D" w:rsidRDefault="0082587D" w:rsidP="00CA4741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tüdőben.</w:t>
      </w:r>
    </w:p>
    <w:p w14:paraId="7717BD7F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CDAAAB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Nem ismert (a gyakoriság a rendelkezésre álló adatokból nem állapítható meg)</w:t>
      </w:r>
    </w:p>
    <w:p w14:paraId="411953F0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03B5F4A9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hasüregbe és a hasüreg mögötti területre;</w:t>
      </w:r>
    </w:p>
    <w:p w14:paraId="76779C08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hólyagos bőrkiütés, ami céltáblára emlékeztet (középen sötét pontokkal, körülötte halványabb területtel és a szélén sötét gyűrűvel) (</w:t>
      </w:r>
      <w:proofErr w:type="spellStart"/>
      <w:r w:rsidRPr="0082587D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eritéma</w:t>
      </w:r>
      <w:proofErr w:type="spellEnd"/>
      <w:r w:rsidRPr="0082587D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multiforme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);</w:t>
      </w:r>
    </w:p>
    <w:p w14:paraId="65A9D84A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vérerek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gyulladása (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vaszkulitisz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), amely bőrkiütést vagy a bőrfelszín alatt pontszerű, lapos, vörös, kerek foltokat vagy véraláfutást okozhat;</w:t>
      </w:r>
    </w:p>
    <w:p w14:paraId="3FDB729D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vesében jelentkező vérzés, alkalmanként véres vizelettel, ami ellehetetleníti a vesék megfelelő működését (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antikoagulánssal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kapcsolatos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nefropátia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).</w:t>
      </w:r>
    </w:p>
    <w:p w14:paraId="60C8C1CE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BFF4B3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További mellékhatások gyermekeknél és serdülőknél</w:t>
      </w:r>
    </w:p>
    <w:p w14:paraId="2F1B29FB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4026497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Azonnal forduljon a gyermek kezelőorvosához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, ha az alábbi tünetek bármelyikét észleli:</w:t>
      </w:r>
    </w:p>
    <w:p w14:paraId="17DC43ED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Allergiás reakciók (túlérzékenység), amelyek az arc, az ajak, a nyelv, a száj, a nyelv és/vagy a torok feldagadását és nehézlégzést okozhatnak. Ezen mellékhatások előfordulása gyakori (10 beteg közül legfeljebb 1 beteget érinthet).</w:t>
      </w:r>
    </w:p>
    <w:p w14:paraId="7826A6B2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7DD6056E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Általánosságban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apixabánnal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kezelt gyermekeknél és serdülőknél megfigyelt mellékhatások hasonlóak voltak a felnőtteknél megfigyeltekhez, és elsődlegesen enyhe vagy közepes súlyosságúak voltak. A gyermekeknél és serdülőknél gyakrabban megfigyelt mellékhatások az orrvérzés és a rendellenes hüvelyi vérzés voltak.</w:t>
      </w:r>
    </w:p>
    <w:p w14:paraId="169B3617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5B76BDD6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Nagyon gyakori mellékhatások (10 beteg közül több mint 1 beteget érinthet)</w:t>
      </w:r>
    </w:p>
    <w:p w14:paraId="755D9E65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239278DC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hüvelyből;</w:t>
      </w:r>
    </w:p>
    <w:p w14:paraId="4533669D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az orrból.</w:t>
      </w:r>
    </w:p>
    <w:p w14:paraId="5FF474F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0372E92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Gyakori mellékhatások (10 beteg közül legfeljebb 1 beteget érinthet)</w:t>
      </w:r>
    </w:p>
    <w:p w14:paraId="20027BE5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1A57C667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fogínyvérzés;</w:t>
      </w:r>
    </w:p>
    <w:p w14:paraId="34631876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véres vizelet;</w:t>
      </w:r>
    </w:p>
    <w:p w14:paraId="58AE45CD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véraláfutás és duzzanat;</w:t>
      </w:r>
    </w:p>
    <w:p w14:paraId="30B8A8A2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bélvérzés vagy végbélvérzés;</w:t>
      </w:r>
    </w:p>
    <w:p w14:paraId="372A1C8E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élénk/piros vér a székletben;</w:t>
      </w:r>
    </w:p>
    <w:p w14:paraId="659634EC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műtét után megjelenő vérzés, beleértve a véraláfutást és a duzzanatot, a műtéti sebből/metszésből vagy az injekció beadási helyéről szivárgó vért vagy folyadékot (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sebváladékozás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);</w:t>
      </w:r>
    </w:p>
    <w:p w14:paraId="4E792A8F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hajhullás;</w:t>
      </w:r>
    </w:p>
    <w:p w14:paraId="19628E36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vérszegénység, amely fáradtságot vagy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sápadtságot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okozhat;</w:t>
      </w:r>
    </w:p>
    <w:p w14:paraId="74F6746C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csökkent vérlemezkeszám a gyermek vérében (amely befolyásolhatja a véralvadást);</w:t>
      </w:r>
    </w:p>
    <w:p w14:paraId="2DDD4607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hányinger;</w:t>
      </w:r>
    </w:p>
    <w:p w14:paraId="1CD43883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bőrkiütés;</w:t>
      </w:r>
    </w:p>
    <w:p w14:paraId="1488B563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viszketés;</w:t>
      </w:r>
    </w:p>
    <w:p w14:paraId="5BA3487E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alacsony vérnyomás, amely ájulással vagy felgyorsult szívveréssel járhat;</w:t>
      </w:r>
    </w:p>
    <w:p w14:paraId="2220E616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vérvizsgálatok a következőket jelezhetik:</w:t>
      </w:r>
    </w:p>
    <w:p w14:paraId="6327AB70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rendellenes májfunkciós vizsgálati eredmények;</w:t>
      </w:r>
    </w:p>
    <w:p w14:paraId="03E8D28A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bizonyos májenzimek szintjének emelkedése;</w:t>
      </w:r>
    </w:p>
    <w:p w14:paraId="15E1AC5C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megnövekedett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glutamát-piruvát-transzamináz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 (GPT-) szint.</w:t>
      </w:r>
    </w:p>
    <w:p w14:paraId="0D9E100E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3DA9945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Nem ismert (a gyakoriság a rendelkezésre álló adatokból nem állapítható meg)</w:t>
      </w:r>
    </w:p>
    <w:p w14:paraId="743697AC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6D6596BF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hasüregbe és a hasüreg mögötti területre;</w:t>
      </w:r>
    </w:p>
    <w:p w14:paraId="6D550190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gyomorban;</w:t>
      </w:r>
    </w:p>
    <w:p w14:paraId="7129EBF8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szemben;</w:t>
      </w:r>
    </w:p>
    <w:p w14:paraId="704E7044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szájban;</w:t>
      </w:r>
    </w:p>
    <w:p w14:paraId="0C35E58E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az aranyérből;</w:t>
      </w:r>
    </w:p>
    <w:p w14:paraId="0AB42E03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szájban vagy köhögés után vér a köpetben;</w:t>
      </w:r>
    </w:p>
    <w:p w14:paraId="3D55F01F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az agyban vagy a gerincoszlopban;</w:t>
      </w:r>
    </w:p>
    <w:p w14:paraId="24E9B698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tüdőben;</w:t>
      </w:r>
    </w:p>
    <w:p w14:paraId="350EBD30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az izomban;</w:t>
      </w:r>
    </w:p>
    <w:p w14:paraId="117C975B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hólyagos bőrkiütés, ami céltáblára emlékeztet (középen sötét pontokkal, körülötte halványabb területtel és a szélén sötét gyűrűvel) </w:t>
      </w:r>
      <w:r w:rsidRPr="0082587D">
        <w:rPr>
          <w:rFonts w:ascii="Times New Roman" w:eastAsia="Times New Roman" w:hAnsi="Times New Roman" w:cs="Times New Roman"/>
          <w:i/>
          <w:kern w:val="0"/>
          <w14:ligatures w14:val="none"/>
        </w:rPr>
        <w:t>(</w:t>
      </w:r>
      <w:proofErr w:type="spellStart"/>
      <w:r w:rsidRPr="0082587D">
        <w:rPr>
          <w:rFonts w:ascii="Times New Roman" w:eastAsia="Times New Roman" w:hAnsi="Times New Roman" w:cs="Times New Roman"/>
          <w:i/>
          <w:kern w:val="0"/>
          <w14:ligatures w14:val="none"/>
        </w:rPr>
        <w:t>eritéma</w:t>
      </w:r>
      <w:proofErr w:type="spellEnd"/>
      <w:r w:rsidRPr="0082587D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i/>
          <w:kern w:val="0"/>
          <w14:ligatures w14:val="none"/>
        </w:rPr>
        <w:t>multiforme</w:t>
      </w:r>
      <w:proofErr w:type="spellEnd"/>
      <w:r w:rsidRPr="0082587D">
        <w:rPr>
          <w:rFonts w:ascii="Times New Roman" w:eastAsia="Times New Roman" w:hAnsi="Times New Roman" w:cs="Times New Roman"/>
          <w:i/>
          <w:kern w:val="0"/>
          <w14:ligatures w14:val="none"/>
        </w:rPr>
        <w:t>);</w:t>
      </w:r>
    </w:p>
    <w:p w14:paraId="73C74B62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vérerek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gyulladása (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vaszkulitisz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), amely bőrkiütést vagy a bőrfelszín alatt pontszerű, lapos, vörös, kerek foltokat vagy véraláfutást okozhat;</w:t>
      </w:r>
    </w:p>
    <w:p w14:paraId="3FA3D9D3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vérvizsgálatok a következőket jelezhetik:</w:t>
      </w:r>
    </w:p>
    <w:p w14:paraId="0BE84ACC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megnövekedett gamma-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glutamil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transzferáz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-szint (GGT);</w:t>
      </w:r>
    </w:p>
    <w:p w14:paraId="698A3119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vér a székletben vagy a vizeletben, amelyeket vizsgálatokkal mutatnak ki;</w:t>
      </w:r>
    </w:p>
    <w:p w14:paraId="758A86BD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vesében jelentkező vérzés, alkalmanként véres vizelettel, ami ellehetetleníti a vesék megfelelő működését (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antikoagulánssal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kapcsolatos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nefropátia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).</w:t>
      </w:r>
    </w:p>
    <w:p w14:paraId="5E5FE7C3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04AFB49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Mellékhatások bejelentése</w:t>
      </w:r>
    </w:p>
    <w:p w14:paraId="7796D205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Ha Önnél bármilyen mellékhatás jelentkezik, tájékoztassa erről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7">
        <w:r w:rsidRPr="0082587D">
          <w:rPr>
            <w:rFonts w:ascii="Times New Roman" w:eastAsia="Times New Roman" w:hAnsi="Times New Roman" w:cs="Times New Roman"/>
            <w:color w:val="0000FD"/>
            <w:kern w:val="0"/>
            <w:u w:val="single" w:color="0000FF"/>
            <w:shd w:val="clear" w:color="auto" w:fill="C0C0C0"/>
            <w14:ligatures w14:val="none"/>
          </w:rPr>
          <w:t>V. függelékbe</w:t>
        </w:r>
      </w:hyperlink>
      <w:r w:rsidRPr="0082587D">
        <w:rPr>
          <w:rFonts w:ascii="Times New Roman" w:eastAsia="Times New Roman" w:hAnsi="Times New Roman" w:cs="Times New Roman"/>
          <w:color w:val="0000FD"/>
          <w:kern w:val="0"/>
          <w:u w:val="single" w:color="0000FF"/>
          <w:shd w:val="clear" w:color="auto" w:fill="C0C0C0"/>
          <w14:ligatures w14:val="none"/>
        </w:rPr>
        <w:t xml:space="preserve">n </w:t>
      </w:r>
      <w:r w:rsidRPr="0082587D">
        <w:rPr>
          <w:rFonts w:ascii="Times New Roman" w:eastAsia="Times New Roman" w:hAnsi="Times New Roman" w:cs="Times New Roman"/>
          <w:color w:val="000000"/>
          <w:kern w:val="0"/>
          <w:shd w:val="clear" w:color="auto" w:fill="C0C0C0"/>
          <w14:ligatures w14:val="none"/>
        </w:rPr>
        <w:t>található elérhetőségeken keresztül</w:t>
      </w:r>
      <w:r w:rsidRPr="0082587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 A mellékhatások bejelentésével Ön is hozzájárulhat ahhoz, hogy minél több információ álljon rendelkezésre a gyógyszer biztonságos alkalmazásával kapcsolatban.</w:t>
      </w:r>
    </w:p>
    <w:p w14:paraId="7003F3FD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62B41995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32465FE4" w14:textId="77777777" w:rsidR="0082587D" w:rsidRPr="0082587D" w:rsidRDefault="0082587D" w:rsidP="00CA4741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Hogyan kell az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-et tárolni?</w:t>
      </w:r>
    </w:p>
    <w:p w14:paraId="50D983D8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43A3E363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gyógyszer gyermekektől elzárva tartandó!</w:t>
      </w:r>
    </w:p>
    <w:p w14:paraId="015738B7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A277F9A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 dobozon és a buborékcsomagoláson feltüntetett lejárati idő (EXP) után ne szedje ezt a gyógyszert. A lejárati idő az adott hónap utolsó napjára vonatkozik.</w:t>
      </w:r>
    </w:p>
    <w:p w14:paraId="2856F67D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B3AD996" w14:textId="0112F2D9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Ez a gyógyszer </w:t>
      </w:r>
      <w:r w:rsidR="00806864">
        <w:rPr>
          <w:rFonts w:ascii="Times New Roman" w:eastAsia="Times New Roman" w:hAnsi="Times New Roman" w:cs="Times New Roman"/>
          <w:kern w:val="0"/>
          <w14:ligatures w14:val="none"/>
        </w:rPr>
        <w:t xml:space="preserve">igényel 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különleges tárolás</w:t>
      </w:r>
      <w:r w:rsidR="00806864"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BBA2C38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03F1E93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Semmilyen gyógyszert ne dobjon a szennyvízbe vagy a háztartási hulladékba. Kérdezze meg gyógyszerészét, hogy mit tegyen a már nem használt gyógyszereivel. </w:t>
      </w:r>
      <w:bookmarkStart w:id="1" w:name="_Hlk76646746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Ezek az intézkedések elősegítik a környezet védelmét.</w:t>
      </w:r>
    </w:p>
    <w:bookmarkEnd w:id="1"/>
    <w:p w14:paraId="1084AE68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D23821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641B22A" w14:textId="77777777" w:rsidR="0082587D" w:rsidRPr="0082587D" w:rsidRDefault="0082587D" w:rsidP="00CA4741">
      <w:pPr>
        <w:keepNext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csomagolás tartalma és egyéb információk</w:t>
      </w:r>
    </w:p>
    <w:p w14:paraId="015CE3C8" w14:textId="77777777" w:rsidR="0082587D" w:rsidRPr="0082587D" w:rsidRDefault="0082587D" w:rsidP="0082587D">
      <w:pPr>
        <w:keepNext/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39B200F" w14:textId="77777777" w:rsidR="0082587D" w:rsidRPr="0082587D" w:rsidRDefault="0082587D" w:rsidP="0082587D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Mit tartalmaz az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</w:t>
      </w:r>
    </w:p>
    <w:p w14:paraId="5129C654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 készítmény hatóanyaga 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apixabán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. 2,5 mg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apixabánt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tartalmaz filmtablettánként.</w:t>
      </w:r>
    </w:p>
    <w:p w14:paraId="4AAA5284" w14:textId="77777777" w:rsidR="0082587D" w:rsidRPr="0082587D" w:rsidRDefault="0082587D" w:rsidP="00CA4741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Egyéb összetevők:</w:t>
      </w:r>
    </w:p>
    <w:p w14:paraId="032C6F2B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Tablettamag: mikrokristályos cellulóz (E460),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laktóz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kroszkarmellóz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-nátrium, nátrium-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lauril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-szulfát, magnézium-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sztearát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(E470b).</w:t>
      </w:r>
    </w:p>
    <w:p w14:paraId="5AB17699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Filmbevonat: </w:t>
      </w:r>
      <w:proofErr w:type="spellStart"/>
      <w:proofErr w:type="gram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makrogol-poli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(</w:t>
      </w:r>
      <w:proofErr w:type="spellStart"/>
      <w:proofErr w:type="gram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vinil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-alkohol) fésűs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kopolimer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, talkum, titán-dioxid (E171), glicerin-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monokaprilokaprinát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poli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(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vinil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-alkohol), vörös vas-oxid (E172).</w:t>
      </w:r>
    </w:p>
    <w:p w14:paraId="651FAB57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AFD1EB2" w14:textId="77777777" w:rsidR="0082587D" w:rsidRPr="0082587D" w:rsidRDefault="0082587D" w:rsidP="0082587D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Milyen </w:t>
      </w:r>
      <w:proofErr w:type="gram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proofErr w:type="gram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külleme és mit tartalmaz a csomagolás?</w:t>
      </w:r>
    </w:p>
    <w:p w14:paraId="2B8F5055" w14:textId="77777777" w:rsidR="0082587D" w:rsidRPr="0082587D" w:rsidRDefault="0082587D" w:rsidP="0082587D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Rózsaszín, hosszúkás (kb. 10 mm × 5 mm), mindkét oldalán domború filmtabletta, egyik oldalán „5”, a másik oldalán „</w:t>
      </w:r>
      <w:r w:rsidRPr="0082587D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700A596E" wp14:editId="5815C5D9">
            <wp:extent cx="127000" cy="191977"/>
            <wp:effectExtent l="0" t="0" r="6350" b="0"/>
            <wp:docPr id="17219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67" cy="195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” jelzéssel ellátva.</w:t>
      </w:r>
    </w:p>
    <w:p w14:paraId="3409932A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E5F7444" w14:textId="000D8405" w:rsidR="0082587D" w:rsidRPr="0082587D" w:rsidRDefault="00977F24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20 db, </w:t>
      </w:r>
      <w:r w:rsidR="0082587D" w:rsidRPr="0082587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28 db, 30 db, 56 darab, 60 db, 100 darab, 168 db vagy 200 db filmtabletta </w:t>
      </w:r>
      <w:r w:rsidR="000E61C5">
        <w:rPr>
          <w:rFonts w:ascii="Times New Roman" w:eastAsia="Times New Roman" w:hAnsi="Times New Roman" w:cs="Times New Roman"/>
          <w:kern w:val="0"/>
          <w14:ligatures w14:val="none"/>
        </w:rPr>
        <w:t>PVC/PVD</w:t>
      </w:r>
      <w:bookmarkStart w:id="2" w:name="_GoBack"/>
      <w:bookmarkEnd w:id="2"/>
      <w:r w:rsidR="0082587D" w:rsidRPr="0082587D">
        <w:rPr>
          <w:rFonts w:ascii="Times New Roman" w:eastAsia="Times New Roman" w:hAnsi="Times New Roman" w:cs="Times New Roman"/>
          <w:kern w:val="0"/>
          <w14:ligatures w14:val="none"/>
        </w:rPr>
        <w:t>C//</w:t>
      </w:r>
      <w:proofErr w:type="spellStart"/>
      <w:r w:rsidR="0082587D" w:rsidRPr="0082587D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="0082587D"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 és dobozban.</w:t>
      </w:r>
    </w:p>
    <w:p w14:paraId="5EFC55E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1777846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Nem feltétlenül kerül mindegyik kiszerelés kereskedelmi forgalomba.</w:t>
      </w:r>
    </w:p>
    <w:p w14:paraId="2F4DDF9C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98836C4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betegkártya használatára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vonatkozó</w:t>
      </w: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információk</w:t>
      </w:r>
    </w:p>
    <w:p w14:paraId="59A9E7E6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csomagolásában, a betegtájékoztatóval együtt talál egy betegkártyát is, vagy kezelőorvosa is adhat Önnek egy hasonló kártyát.</w:t>
      </w:r>
    </w:p>
    <w:p w14:paraId="6632559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A betegkártya hasznos információkat tartalmaz az Ön számára, és figyelmezteti a többi orvost, hogy Ön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-et szed. </w:t>
      </w: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Ezt a kártyát mindig magánál kell tartania.</w:t>
      </w:r>
    </w:p>
    <w:p w14:paraId="340994E9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6EA2846F" w14:textId="77777777" w:rsidR="0082587D" w:rsidRPr="0082587D" w:rsidRDefault="0082587D" w:rsidP="0082587D">
      <w:pPr>
        <w:widowControl w:val="0"/>
        <w:numPr>
          <w:ilvl w:val="0"/>
          <w:numId w:val="1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Vegye ki a kártyát.</w:t>
      </w:r>
    </w:p>
    <w:p w14:paraId="6BBF95B3" w14:textId="77777777" w:rsidR="0082587D" w:rsidRPr="0082587D" w:rsidRDefault="0082587D" w:rsidP="0082587D">
      <w:pPr>
        <w:widowControl w:val="0"/>
        <w:numPr>
          <w:ilvl w:val="0"/>
          <w:numId w:val="1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Válassza le a magyar nyelvű részt (ezt megkönnyítik a perforált </w:t>
      </w:r>
      <w:proofErr w:type="spell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szélek</w:t>
      </w:r>
      <w:proofErr w:type="spell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).</w:t>
      </w:r>
    </w:p>
    <w:p w14:paraId="2FDEEC24" w14:textId="77777777" w:rsidR="0082587D" w:rsidRPr="0082587D" w:rsidRDefault="0082587D" w:rsidP="0082587D">
      <w:pPr>
        <w:widowControl w:val="0"/>
        <w:numPr>
          <w:ilvl w:val="0"/>
          <w:numId w:val="1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Töltse ki az alábbi részeket, vagy kérje meg erre kezelőorvosát:</w:t>
      </w:r>
    </w:p>
    <w:p w14:paraId="1615DB27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276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Név:</w:t>
      </w:r>
    </w:p>
    <w:p w14:paraId="5F8511E0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276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Születési dátum:</w:t>
      </w:r>
    </w:p>
    <w:p w14:paraId="0F0BACBF" w14:textId="77777777" w:rsid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276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Javallat (indikáció):</w:t>
      </w:r>
    </w:p>
    <w:p w14:paraId="5567595D" w14:textId="1EA38FC7" w:rsidR="00CA4741" w:rsidRPr="0082587D" w:rsidRDefault="00CA4741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276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CA4741">
        <w:rPr>
          <w:rFonts w:ascii="Times New Roman" w:eastAsia="Times New Roman" w:hAnsi="Times New Roman" w:cs="Times New Roman"/>
          <w:kern w:val="0"/>
          <w14:ligatures w14:val="none"/>
        </w:rPr>
        <w:t>Testtömeg:</w:t>
      </w:r>
    </w:p>
    <w:p w14:paraId="4DEEE437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276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Adagolás</w:t>
      </w:r>
      <w:proofErr w:type="gramStart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>:……</w:t>
      </w:r>
      <w:proofErr w:type="gramEnd"/>
      <w:r w:rsidRPr="0082587D">
        <w:rPr>
          <w:rFonts w:ascii="Times New Roman" w:eastAsia="Times New Roman" w:hAnsi="Times New Roman" w:cs="Times New Roman"/>
          <w:kern w:val="0"/>
          <w14:ligatures w14:val="none"/>
        </w:rPr>
        <w:t xml:space="preserve"> mg naponta kétszer</w:t>
      </w:r>
    </w:p>
    <w:p w14:paraId="60B60119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276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Kezelőorvos neve:</w:t>
      </w:r>
    </w:p>
    <w:p w14:paraId="4155043C" w14:textId="77777777" w:rsidR="0082587D" w:rsidRPr="0082587D" w:rsidRDefault="0082587D" w:rsidP="00CA4741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276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Kezelőorvos telefonszáma:</w:t>
      </w:r>
    </w:p>
    <w:p w14:paraId="759037B4" w14:textId="77777777" w:rsidR="0082587D" w:rsidRPr="0082587D" w:rsidRDefault="0082587D" w:rsidP="0082587D">
      <w:pPr>
        <w:widowControl w:val="0"/>
        <w:numPr>
          <w:ilvl w:val="0"/>
          <w:numId w:val="1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kern w:val="0"/>
          <w14:ligatures w14:val="none"/>
        </w:rPr>
        <w:t>Hajtsa össze a kártyát, és mindig tartsa magánál.</w:t>
      </w:r>
    </w:p>
    <w:p w14:paraId="38B5E04A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6A3FF0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forgalomba hozatali engedély jogosultja</w:t>
      </w:r>
    </w:p>
    <w:p w14:paraId="6B23B7D8" w14:textId="2E8892DA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AS GRINDEKS</w:t>
      </w:r>
    </w:p>
    <w:p w14:paraId="5450DB9E" w14:textId="77777777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Krustpils</w:t>
      </w:r>
      <w:proofErr w:type="spellEnd"/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iela</w:t>
      </w:r>
      <w:proofErr w:type="spellEnd"/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53, </w:t>
      </w:r>
    </w:p>
    <w:p w14:paraId="3D0629DF" w14:textId="77777777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Rīga</w:t>
      </w:r>
      <w:proofErr w:type="spellEnd"/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LV-1057, </w:t>
      </w:r>
    </w:p>
    <w:p w14:paraId="308111F3" w14:textId="77777777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Lettország</w:t>
      </w:r>
    </w:p>
    <w:p w14:paraId="629A6B1F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590C67EA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Gyártó</w:t>
      </w:r>
    </w:p>
    <w:p w14:paraId="4BFB6C2D" w14:textId="48768B83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AS GRINDEKS</w:t>
      </w:r>
    </w:p>
    <w:p w14:paraId="0771D0F8" w14:textId="77777777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Krustpils</w:t>
      </w:r>
      <w:proofErr w:type="spellEnd"/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iela</w:t>
      </w:r>
      <w:proofErr w:type="spellEnd"/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53, </w:t>
      </w:r>
    </w:p>
    <w:p w14:paraId="346A6CAC" w14:textId="77777777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Rīga</w:t>
      </w:r>
      <w:proofErr w:type="spellEnd"/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LV-1057, </w:t>
      </w:r>
    </w:p>
    <w:p w14:paraId="71D7CD43" w14:textId="77777777" w:rsidR="0082587D" w:rsidRPr="0082587D" w:rsidRDefault="0082587D" w:rsidP="0082587D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82587D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Lettország</w:t>
      </w:r>
    </w:p>
    <w:p w14:paraId="7EEA67D1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pacing w:val="-4"/>
          <w:kern w:val="0"/>
          <w:lang w:val="en-GB" w:eastAsia="zh-CN"/>
          <w14:ligatures w14:val="none"/>
        </w:rPr>
      </w:pPr>
    </w:p>
    <w:p w14:paraId="019DAD19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pacing w:val="-4"/>
          <w:kern w:val="0"/>
          <w:lang w:val="en-GB" w:eastAsia="zh-CN"/>
          <w14:ligatures w14:val="none"/>
        </w:rPr>
      </w:pPr>
      <w:proofErr w:type="spellStart"/>
      <w:r w:rsidRPr="0082587D">
        <w:rPr>
          <w:rFonts w:ascii="Times New Roman" w:eastAsia="SimSun" w:hAnsi="Times New Roman" w:cs="Times New Roman"/>
          <w:spacing w:val="-4"/>
          <w:kern w:val="0"/>
          <w:lang w:val="en-GB" w:eastAsia="zh-CN"/>
          <w14:ligatures w14:val="none"/>
        </w:rPr>
        <w:t>Famar</w:t>
      </w:r>
      <w:proofErr w:type="spellEnd"/>
      <w:r w:rsidRPr="0082587D">
        <w:rPr>
          <w:rFonts w:ascii="Times New Roman" w:eastAsia="SimSun" w:hAnsi="Times New Roman" w:cs="Times New Roman"/>
          <w:spacing w:val="-4"/>
          <w:kern w:val="0"/>
          <w:lang w:val="en-GB" w:eastAsia="zh-CN"/>
          <w14:ligatures w14:val="none"/>
        </w:rPr>
        <w:t xml:space="preserve"> Health Care Services Madrid S.A.U.</w:t>
      </w:r>
    </w:p>
    <w:p w14:paraId="1906486A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kern w:val="0"/>
          <w:lang w:val="fi-FI" w:eastAsia="zh-CN"/>
          <w14:ligatures w14:val="none"/>
        </w:rPr>
      </w:pPr>
      <w:r w:rsidRPr="0082587D">
        <w:rPr>
          <w:rFonts w:ascii="Times New Roman" w:eastAsia="SimSun" w:hAnsi="Times New Roman" w:cs="Times New Roman"/>
          <w:kern w:val="0"/>
          <w:lang w:val="fi-FI" w:eastAsia="zh-CN"/>
          <w14:ligatures w14:val="none"/>
        </w:rPr>
        <w:t>Avenida Leganes 62, Alcorcon</w:t>
      </w:r>
    </w:p>
    <w:p w14:paraId="2114C40E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kern w:val="0"/>
          <w:lang w:val="fi-FI" w:eastAsia="zh-CN"/>
          <w14:ligatures w14:val="none"/>
        </w:rPr>
      </w:pPr>
      <w:r w:rsidRPr="0082587D">
        <w:rPr>
          <w:rFonts w:ascii="Times New Roman" w:eastAsia="SimSun" w:hAnsi="Times New Roman" w:cs="Times New Roman"/>
          <w:kern w:val="0"/>
          <w:lang w:val="fi-FI" w:eastAsia="zh-CN"/>
          <w14:ligatures w14:val="none"/>
        </w:rPr>
        <w:t>Madrid, 28923</w:t>
      </w:r>
    </w:p>
    <w:p w14:paraId="34B21F3F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kern w:val="0"/>
          <w:lang w:val="fi-FI" w:eastAsia="zh-CN"/>
          <w14:ligatures w14:val="none"/>
        </w:rPr>
      </w:pPr>
      <w:r w:rsidRPr="0082587D">
        <w:rPr>
          <w:rFonts w:ascii="Times New Roman" w:eastAsia="SimSun" w:hAnsi="Times New Roman" w:cs="Times New Roman"/>
          <w:kern w:val="0"/>
          <w:lang w:val="fi-FI" w:eastAsia="zh-CN"/>
          <w14:ligatures w14:val="none"/>
        </w:rPr>
        <w:t>Spanyolország</w:t>
      </w:r>
    </w:p>
    <w:p w14:paraId="30658107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67709E5" w14:textId="64D33610" w:rsidR="0082587D" w:rsidRPr="000A6559" w:rsidRDefault="0082587D" w:rsidP="000A6559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82587D">
        <w:rPr>
          <w:rFonts w:ascii="Times New Roman" w:eastAsia="Times New Roman" w:hAnsi="Times New Roman" w:cs="Times New Roman"/>
          <w:b/>
          <w:kern w:val="0"/>
          <w14:ligatures w14:val="none"/>
        </w:rPr>
        <w:t>Ezt a gyógyszert az Európai Gazdasági Térség tagállamaiban az alábbi neveken engedélyezték:</w:t>
      </w:r>
    </w:p>
    <w:tbl>
      <w:tblPr>
        <w:tblStyle w:val="Rcsostblzat1"/>
        <w:tblW w:w="9606" w:type="dxa"/>
        <w:tblInd w:w="-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1"/>
        <w:gridCol w:w="6375"/>
      </w:tblGrid>
      <w:tr w:rsidR="007769FC" w:rsidRPr="00E43BB2" w14:paraId="1FFF4F34" w14:textId="77777777" w:rsidTr="00AC5A1D">
        <w:tc>
          <w:tcPr>
            <w:tcW w:w="3231" w:type="dxa"/>
          </w:tcPr>
          <w:p w14:paraId="0D0022E5" w14:textId="661B16FF" w:rsidR="007769FC" w:rsidRPr="007769FC" w:rsidRDefault="007769FC" w:rsidP="007769FC">
            <w:pPr>
              <w:keepNext/>
              <w:tabs>
                <w:tab w:val="left" w:pos="1843"/>
              </w:tabs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Ausztria, Németország</w:t>
            </w:r>
          </w:p>
        </w:tc>
        <w:tc>
          <w:tcPr>
            <w:tcW w:w="6375" w:type="dxa"/>
            <w:vAlign w:val="bottom"/>
          </w:tcPr>
          <w:p w14:paraId="5947511B" w14:textId="684E0F14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  <w:szCs w:val="26"/>
              </w:rPr>
              <w:t xml:space="preserve">Apixaban Grindeks </w:t>
            </w:r>
            <w:r w:rsidR="000A6559">
              <w:rPr>
                <w:rFonts w:ascii="Times New Roman" w:eastAsia="Times New Roman" w:hAnsi="Times New Roman" w:cs="Times New Roman"/>
                <w:szCs w:val="26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  <w:szCs w:val="26"/>
              </w:rPr>
              <w:t xml:space="preserve"> Filmtabletten</w:t>
            </w:r>
          </w:p>
        </w:tc>
      </w:tr>
      <w:tr w:rsidR="007769FC" w:rsidRPr="00E43BB2" w14:paraId="3DD71F84" w14:textId="77777777" w:rsidTr="00AC5A1D">
        <w:tc>
          <w:tcPr>
            <w:tcW w:w="3231" w:type="dxa"/>
          </w:tcPr>
          <w:p w14:paraId="208E41EE" w14:textId="6CD907F4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Belgium</w:t>
            </w:r>
          </w:p>
        </w:tc>
        <w:tc>
          <w:tcPr>
            <w:tcW w:w="6375" w:type="dxa"/>
            <w:vAlign w:val="bottom"/>
          </w:tcPr>
          <w:p w14:paraId="0C83F83E" w14:textId="02C429B5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769FC">
              <w:rPr>
                <w:rFonts w:ascii="Times New Roman" w:hAnsi="Times New Roman" w:cs="Times New Roman"/>
              </w:rPr>
              <w:t xml:space="preserve">Apixaban Grindeks </w:t>
            </w:r>
            <w:r w:rsidR="000A6559">
              <w:rPr>
                <w:rFonts w:ascii="Times New Roman" w:hAnsi="Times New Roman" w:cs="Times New Roman"/>
              </w:rPr>
              <w:t>5 mg</w:t>
            </w:r>
            <w:r w:rsidRPr="007769FC">
              <w:rPr>
                <w:rFonts w:ascii="Times New Roman" w:hAnsi="Times New Roman" w:cs="Times New Roman"/>
              </w:rPr>
              <w:t xml:space="preserve"> comprimés pelliculés/filmomhulde tabletten/Filmtabletten</w:t>
            </w:r>
          </w:p>
        </w:tc>
      </w:tr>
      <w:tr w:rsidR="007769FC" w:rsidRPr="00E43BB2" w14:paraId="30922807" w14:textId="77777777" w:rsidTr="00AC5A1D">
        <w:tc>
          <w:tcPr>
            <w:tcW w:w="3231" w:type="dxa"/>
          </w:tcPr>
          <w:p w14:paraId="7FE76F6C" w14:textId="77777777" w:rsidR="007769FC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Bulgária</w:t>
            </w:r>
          </w:p>
          <w:p w14:paraId="62B4475E" w14:textId="77777777" w:rsidR="000A6559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</w:p>
          <w:p w14:paraId="00E0DF40" w14:textId="305B45D9" w:rsidR="000A6559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Horvátország</w:t>
            </w:r>
          </w:p>
        </w:tc>
        <w:tc>
          <w:tcPr>
            <w:tcW w:w="6375" w:type="dxa"/>
            <w:vAlign w:val="bottom"/>
          </w:tcPr>
          <w:p w14:paraId="27303BD2" w14:textId="767C08DD" w:rsidR="007769FC" w:rsidRPr="0082587D" w:rsidRDefault="007769FC" w:rsidP="007769FC">
            <w:pPr>
              <w:widowControl w:val="0"/>
              <w:tabs>
                <w:tab w:val="left" w:pos="1843"/>
              </w:tabs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 xml:space="preserve">Apixaban Grindeks </w:t>
            </w:r>
            <w:r w:rsidR="000A6559">
              <w:rPr>
                <w:rFonts w:ascii="Times New Roman" w:eastAsia="Times New Roman" w:hAnsi="Times New Roman" w:cs="Times New Roman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</w:rPr>
              <w:t xml:space="preserve"> филмирани таблетки</w:t>
            </w:r>
          </w:p>
          <w:p w14:paraId="2C357C57" w14:textId="64CF98E2" w:rsidR="007769FC" w:rsidRDefault="007769FC" w:rsidP="007769FC">
            <w:pPr>
              <w:widowControl w:val="0"/>
              <w:tabs>
                <w:tab w:val="left" w:pos="1843"/>
              </w:tabs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 xml:space="preserve">Apixaban Grindeks </w:t>
            </w:r>
            <w:r w:rsidR="000A6559">
              <w:rPr>
                <w:rFonts w:ascii="Times New Roman" w:eastAsia="Times New Roman" w:hAnsi="Times New Roman" w:cs="Times New Roman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</w:rPr>
              <w:t xml:space="preserve"> film-coated tablets</w:t>
            </w:r>
          </w:p>
          <w:p w14:paraId="596C735A" w14:textId="3D78577D" w:rsidR="000A6559" w:rsidRPr="007769FC" w:rsidRDefault="000A6559" w:rsidP="007769FC">
            <w:pPr>
              <w:widowControl w:val="0"/>
              <w:tabs>
                <w:tab w:val="left" w:pos="1843"/>
              </w:tabs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 xml:space="preserve">Apixaban Grindeks </w:t>
            </w:r>
            <w:r>
              <w:rPr>
                <w:rFonts w:ascii="Times New Roman" w:eastAsia="Times New Roman" w:hAnsi="Times New Roman" w:cs="Times New Roman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</w:rPr>
              <w:t xml:space="preserve"> filmom obložene tablete</w:t>
            </w:r>
          </w:p>
        </w:tc>
      </w:tr>
      <w:tr w:rsidR="007769FC" w:rsidRPr="00E43BB2" w14:paraId="01C1B3BE" w14:textId="77777777" w:rsidTr="00AC5A1D">
        <w:tc>
          <w:tcPr>
            <w:tcW w:w="3231" w:type="dxa"/>
          </w:tcPr>
          <w:p w14:paraId="72165055" w14:textId="175AE141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769FC">
              <w:rPr>
                <w:rFonts w:ascii="Times New Roman" w:hAnsi="Times New Roman" w:cs="Times New Roman"/>
              </w:rPr>
              <w:t>Csehország, Észtország, Olaszország, Norvégia, Lengyelország, Svédország</w:t>
            </w:r>
          </w:p>
        </w:tc>
        <w:tc>
          <w:tcPr>
            <w:tcW w:w="6375" w:type="dxa"/>
            <w:vAlign w:val="bottom"/>
          </w:tcPr>
          <w:p w14:paraId="5D14CB22" w14:textId="371157D6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769FC">
              <w:rPr>
                <w:rFonts w:ascii="Times New Roman" w:hAnsi="Times New Roman" w:cs="Times New Roman"/>
              </w:rPr>
              <w:t>Apixaban</w:t>
            </w:r>
            <w:r w:rsidRPr="00E43BB2">
              <w:rPr>
                <w:rFonts w:ascii="Times New Roman" w:hAnsi="Times New Roman" w:cs="Times New Roman"/>
              </w:rPr>
              <w:t xml:space="preserve"> Grindeks</w:t>
            </w:r>
          </w:p>
        </w:tc>
      </w:tr>
      <w:tr w:rsidR="007769FC" w:rsidRPr="00E43BB2" w14:paraId="78E9B773" w14:textId="77777777" w:rsidTr="00AC5A1D">
        <w:tc>
          <w:tcPr>
            <w:tcW w:w="3231" w:type="dxa"/>
          </w:tcPr>
          <w:p w14:paraId="7F193212" w14:textId="77777777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Dánia</w:t>
            </w:r>
          </w:p>
        </w:tc>
        <w:tc>
          <w:tcPr>
            <w:tcW w:w="6375" w:type="dxa"/>
            <w:vAlign w:val="bottom"/>
          </w:tcPr>
          <w:p w14:paraId="04A2E9A3" w14:textId="2ACF3423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 xml:space="preserve">Apixaban Grindeks </w:t>
            </w:r>
            <w:r w:rsidR="000A6559">
              <w:rPr>
                <w:rFonts w:ascii="Times New Roman" w:eastAsia="Times New Roman" w:hAnsi="Times New Roman" w:cs="Times New Roman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</w:rPr>
              <w:t xml:space="preserve"> filmovertrukne tabletter</w:t>
            </w:r>
          </w:p>
        </w:tc>
      </w:tr>
      <w:tr w:rsidR="007769FC" w:rsidRPr="00E43BB2" w14:paraId="1F6FD989" w14:textId="77777777" w:rsidTr="00AC5A1D">
        <w:tc>
          <w:tcPr>
            <w:tcW w:w="3231" w:type="dxa"/>
          </w:tcPr>
          <w:p w14:paraId="392FC18C" w14:textId="77777777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Finnország</w:t>
            </w:r>
          </w:p>
        </w:tc>
        <w:tc>
          <w:tcPr>
            <w:tcW w:w="6375" w:type="dxa"/>
            <w:vAlign w:val="bottom"/>
          </w:tcPr>
          <w:p w14:paraId="7820DA9E" w14:textId="026CC45B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 xml:space="preserve">Apixaban Grindeks </w:t>
            </w:r>
            <w:r w:rsidR="000A6559">
              <w:rPr>
                <w:rFonts w:ascii="Times New Roman" w:eastAsia="Times New Roman" w:hAnsi="Times New Roman" w:cs="Times New Roman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</w:rPr>
              <w:t xml:space="preserve"> kalvopäällysteiset tabletit</w:t>
            </w:r>
          </w:p>
        </w:tc>
      </w:tr>
      <w:tr w:rsidR="007769FC" w:rsidRPr="00E43BB2" w14:paraId="2F625CF7" w14:textId="77777777" w:rsidTr="00AC5A1D">
        <w:tc>
          <w:tcPr>
            <w:tcW w:w="3231" w:type="dxa"/>
          </w:tcPr>
          <w:p w14:paraId="20F9133F" w14:textId="77777777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Franciaország</w:t>
            </w:r>
          </w:p>
        </w:tc>
        <w:tc>
          <w:tcPr>
            <w:tcW w:w="6375" w:type="dxa"/>
            <w:vAlign w:val="bottom"/>
          </w:tcPr>
          <w:p w14:paraId="0E640D64" w14:textId="0063591D" w:rsidR="00CA4741" w:rsidRPr="007769FC" w:rsidRDefault="007769FC" w:rsidP="007769FC">
            <w:pPr>
              <w:widowControl w:val="0"/>
              <w:tabs>
                <w:tab w:val="left" w:pos="1843"/>
              </w:tabs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Apixaban Grindeks 5 mg comprimé pelliculé</w:t>
            </w:r>
          </w:p>
        </w:tc>
      </w:tr>
      <w:tr w:rsidR="007769FC" w:rsidRPr="00E43BB2" w14:paraId="25AAB7AA" w14:textId="77777777" w:rsidTr="00AC5A1D">
        <w:tc>
          <w:tcPr>
            <w:tcW w:w="3231" w:type="dxa"/>
          </w:tcPr>
          <w:p w14:paraId="6B954CF0" w14:textId="77777777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Görögország</w:t>
            </w:r>
          </w:p>
        </w:tc>
        <w:tc>
          <w:tcPr>
            <w:tcW w:w="6375" w:type="dxa"/>
            <w:vAlign w:val="bottom"/>
          </w:tcPr>
          <w:p w14:paraId="59B591E4" w14:textId="2F379282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APIXABAN/GRINDEKS</w:t>
            </w:r>
          </w:p>
        </w:tc>
      </w:tr>
      <w:tr w:rsidR="007769FC" w:rsidRPr="00E43BB2" w14:paraId="691A5C29" w14:textId="77777777" w:rsidTr="00AC5A1D">
        <w:tc>
          <w:tcPr>
            <w:tcW w:w="3231" w:type="dxa"/>
          </w:tcPr>
          <w:p w14:paraId="2154B473" w14:textId="3ED7C1F1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Magyarország</w:t>
            </w:r>
          </w:p>
        </w:tc>
        <w:tc>
          <w:tcPr>
            <w:tcW w:w="6375" w:type="dxa"/>
            <w:vAlign w:val="bottom"/>
          </w:tcPr>
          <w:p w14:paraId="499B6263" w14:textId="03219FC5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  <w:szCs w:val="26"/>
              </w:rPr>
              <w:t xml:space="preserve">Apixaban Grindeks </w:t>
            </w:r>
            <w:r w:rsidR="00CA4741">
              <w:rPr>
                <w:rFonts w:ascii="Times New Roman" w:eastAsia="Times New Roman" w:hAnsi="Times New Roman" w:cs="Times New Roman"/>
                <w:szCs w:val="26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  <w:szCs w:val="26"/>
              </w:rPr>
              <w:t xml:space="preserve"> filmtabletta</w:t>
            </w:r>
          </w:p>
        </w:tc>
      </w:tr>
      <w:tr w:rsidR="007769FC" w:rsidRPr="00E43BB2" w14:paraId="122C5E4E" w14:textId="77777777" w:rsidTr="00AC5A1D">
        <w:tc>
          <w:tcPr>
            <w:tcW w:w="3231" w:type="dxa"/>
          </w:tcPr>
          <w:p w14:paraId="334E75D3" w14:textId="4F4199C1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Írország</w:t>
            </w:r>
          </w:p>
        </w:tc>
        <w:tc>
          <w:tcPr>
            <w:tcW w:w="6375" w:type="dxa"/>
            <w:vAlign w:val="bottom"/>
          </w:tcPr>
          <w:p w14:paraId="640AECD4" w14:textId="2847B0CA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  <w:szCs w:val="26"/>
              </w:rPr>
              <w:t xml:space="preserve">Apixaban Grindeks </w:t>
            </w:r>
            <w:r w:rsidR="00CA4741">
              <w:rPr>
                <w:rFonts w:ascii="Times New Roman" w:eastAsia="Times New Roman" w:hAnsi="Times New Roman" w:cs="Times New Roman"/>
                <w:szCs w:val="26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  <w:szCs w:val="26"/>
              </w:rPr>
              <w:t xml:space="preserve"> film­coated tablets</w:t>
            </w:r>
          </w:p>
        </w:tc>
      </w:tr>
      <w:tr w:rsidR="007769FC" w:rsidRPr="00E43BB2" w14:paraId="163D8335" w14:textId="77777777" w:rsidTr="00AC5A1D">
        <w:tc>
          <w:tcPr>
            <w:tcW w:w="3231" w:type="dxa"/>
          </w:tcPr>
          <w:p w14:paraId="4B2A8F48" w14:textId="685CDD0C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Lettország</w:t>
            </w:r>
          </w:p>
        </w:tc>
        <w:tc>
          <w:tcPr>
            <w:tcW w:w="6375" w:type="dxa"/>
            <w:vAlign w:val="bottom"/>
          </w:tcPr>
          <w:p w14:paraId="3AC798CB" w14:textId="3D05F5B7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  <w:szCs w:val="26"/>
              </w:rPr>
              <w:t xml:space="preserve">Apixaban Grindeks </w:t>
            </w:r>
            <w:r w:rsidR="00CA4741">
              <w:rPr>
                <w:rFonts w:ascii="Times New Roman" w:eastAsia="Times New Roman" w:hAnsi="Times New Roman" w:cs="Times New Roman"/>
                <w:szCs w:val="26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  <w:szCs w:val="26"/>
              </w:rPr>
              <w:t xml:space="preserve"> apvalkotās tabletes</w:t>
            </w:r>
          </w:p>
        </w:tc>
      </w:tr>
      <w:tr w:rsidR="007769FC" w:rsidRPr="00E43BB2" w14:paraId="517B5EBD" w14:textId="77777777" w:rsidTr="00AC5A1D">
        <w:tc>
          <w:tcPr>
            <w:tcW w:w="3231" w:type="dxa"/>
          </w:tcPr>
          <w:p w14:paraId="50DF4B77" w14:textId="77777777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Litvánia</w:t>
            </w:r>
          </w:p>
        </w:tc>
        <w:tc>
          <w:tcPr>
            <w:tcW w:w="6375" w:type="dxa"/>
            <w:vAlign w:val="bottom"/>
          </w:tcPr>
          <w:p w14:paraId="215EEB73" w14:textId="0F1FB5C8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 xml:space="preserve">Apixaban Grindeks </w:t>
            </w:r>
            <w:r w:rsidR="00CA4741">
              <w:rPr>
                <w:rFonts w:ascii="Times New Roman" w:eastAsia="Times New Roman" w:hAnsi="Times New Roman" w:cs="Times New Roman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</w:rPr>
              <w:t xml:space="preserve"> plėvele dengtos tabletės</w:t>
            </w:r>
          </w:p>
        </w:tc>
      </w:tr>
      <w:tr w:rsidR="007769FC" w:rsidRPr="00E43BB2" w14:paraId="23E0777B" w14:textId="77777777" w:rsidTr="00AC5A1D">
        <w:tc>
          <w:tcPr>
            <w:tcW w:w="3231" w:type="dxa"/>
          </w:tcPr>
          <w:p w14:paraId="04EE48D6" w14:textId="54696C3D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Hollandia</w:t>
            </w:r>
          </w:p>
        </w:tc>
        <w:tc>
          <w:tcPr>
            <w:tcW w:w="6375" w:type="dxa"/>
            <w:vAlign w:val="bottom"/>
          </w:tcPr>
          <w:p w14:paraId="446CFADB" w14:textId="4A0B732E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 xml:space="preserve">Apixaban Grindeks </w:t>
            </w:r>
            <w:r w:rsidR="00CA4741">
              <w:rPr>
                <w:rFonts w:ascii="Times New Roman" w:eastAsia="Times New Roman" w:hAnsi="Times New Roman" w:cs="Times New Roman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</w:rPr>
              <w:t xml:space="preserve"> filmomhulde tabletten</w:t>
            </w:r>
          </w:p>
        </w:tc>
      </w:tr>
      <w:tr w:rsidR="007769FC" w:rsidRPr="00E43BB2" w14:paraId="0A0C9EBA" w14:textId="77777777" w:rsidTr="00AC5A1D">
        <w:tc>
          <w:tcPr>
            <w:tcW w:w="3231" w:type="dxa"/>
          </w:tcPr>
          <w:p w14:paraId="75546DF1" w14:textId="77777777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Portugália</w:t>
            </w:r>
          </w:p>
        </w:tc>
        <w:tc>
          <w:tcPr>
            <w:tcW w:w="6375" w:type="dxa"/>
            <w:vAlign w:val="bottom"/>
          </w:tcPr>
          <w:p w14:paraId="430AA299" w14:textId="41669AEA" w:rsidR="007769FC" w:rsidRPr="000A6559" w:rsidRDefault="000A6559" w:rsidP="000A6559">
            <w:pPr>
              <w:widowControl w:val="0"/>
              <w:tabs>
                <w:tab w:val="left" w:pos="1843"/>
              </w:tabs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 xml:space="preserve">Apixaban Grindeks </w:t>
            </w:r>
            <w:r w:rsidR="00CA4741">
              <w:rPr>
                <w:rFonts w:ascii="Times New Roman" w:eastAsia="Times New Roman" w:hAnsi="Times New Roman" w:cs="Times New Roman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</w:rPr>
              <w:t xml:space="preserve"> comprimidos revestidos por película</w:t>
            </w:r>
          </w:p>
        </w:tc>
      </w:tr>
      <w:tr w:rsidR="007769FC" w:rsidRPr="00E43BB2" w14:paraId="0BD17B6A" w14:textId="77777777" w:rsidTr="00AC5A1D">
        <w:tc>
          <w:tcPr>
            <w:tcW w:w="3231" w:type="dxa"/>
          </w:tcPr>
          <w:p w14:paraId="21320290" w14:textId="77777777" w:rsidR="007769FC" w:rsidRPr="00E43BB2" w:rsidRDefault="007769FC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Románia</w:t>
            </w:r>
          </w:p>
        </w:tc>
        <w:tc>
          <w:tcPr>
            <w:tcW w:w="6375" w:type="dxa"/>
            <w:vAlign w:val="bottom"/>
          </w:tcPr>
          <w:p w14:paraId="1699229C" w14:textId="18333B44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  <w:szCs w:val="26"/>
              </w:rPr>
              <w:t xml:space="preserve">Apixaban Grindeks </w:t>
            </w:r>
            <w:r w:rsidR="00CA4741">
              <w:rPr>
                <w:rFonts w:ascii="Times New Roman" w:eastAsia="Times New Roman" w:hAnsi="Times New Roman" w:cs="Times New Roman"/>
                <w:szCs w:val="26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  <w:szCs w:val="26"/>
              </w:rPr>
              <w:t xml:space="preserve"> comprimate filmate</w:t>
            </w:r>
          </w:p>
        </w:tc>
      </w:tr>
      <w:tr w:rsidR="007769FC" w:rsidRPr="00E43BB2" w14:paraId="08678663" w14:textId="77777777" w:rsidTr="00AC5A1D">
        <w:tc>
          <w:tcPr>
            <w:tcW w:w="3231" w:type="dxa"/>
          </w:tcPr>
          <w:p w14:paraId="7E784295" w14:textId="3AA7EBEE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Szlovákia</w:t>
            </w:r>
          </w:p>
        </w:tc>
        <w:tc>
          <w:tcPr>
            <w:tcW w:w="6375" w:type="dxa"/>
            <w:vAlign w:val="bottom"/>
          </w:tcPr>
          <w:p w14:paraId="669F4D5B" w14:textId="2FDC9F32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 xml:space="preserve">Apixaban Grindeks </w:t>
            </w:r>
            <w:r w:rsidR="00CA4741">
              <w:rPr>
                <w:rFonts w:ascii="Times New Roman" w:eastAsia="Times New Roman" w:hAnsi="Times New Roman" w:cs="Times New Roman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</w:rPr>
              <w:t xml:space="preserve"> filmom obalené tablety</w:t>
            </w:r>
          </w:p>
        </w:tc>
      </w:tr>
      <w:tr w:rsidR="007769FC" w:rsidRPr="00E43BB2" w14:paraId="1E7525B4" w14:textId="77777777" w:rsidTr="00AC5A1D">
        <w:tc>
          <w:tcPr>
            <w:tcW w:w="3231" w:type="dxa"/>
          </w:tcPr>
          <w:p w14:paraId="069B2DC7" w14:textId="2EB36450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Szlovénia</w:t>
            </w:r>
          </w:p>
        </w:tc>
        <w:tc>
          <w:tcPr>
            <w:tcW w:w="6375" w:type="dxa"/>
            <w:vAlign w:val="bottom"/>
          </w:tcPr>
          <w:p w14:paraId="0A37EC69" w14:textId="0A31742A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 xml:space="preserve">Apiksaban Grindeks </w:t>
            </w:r>
            <w:r w:rsidR="00CA4741">
              <w:rPr>
                <w:rFonts w:ascii="Times New Roman" w:eastAsia="Times New Roman" w:hAnsi="Times New Roman" w:cs="Times New Roman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</w:rPr>
              <w:t xml:space="preserve"> filmsko obložene tablete</w:t>
            </w:r>
          </w:p>
        </w:tc>
      </w:tr>
      <w:tr w:rsidR="007769FC" w:rsidRPr="00E43BB2" w14:paraId="5C0B8DB0" w14:textId="77777777" w:rsidTr="00AC5A1D">
        <w:tc>
          <w:tcPr>
            <w:tcW w:w="3231" w:type="dxa"/>
          </w:tcPr>
          <w:p w14:paraId="0F342EA7" w14:textId="00AFE45E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Spanyolország</w:t>
            </w:r>
          </w:p>
        </w:tc>
        <w:tc>
          <w:tcPr>
            <w:tcW w:w="6375" w:type="dxa"/>
            <w:vAlign w:val="bottom"/>
          </w:tcPr>
          <w:p w14:paraId="5FEE825A" w14:textId="53F3242E" w:rsidR="007769FC" w:rsidRPr="00E43BB2" w:rsidRDefault="000A6559" w:rsidP="00AC5A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 xml:space="preserve">Apixaban Grindeks </w:t>
            </w:r>
            <w:r w:rsidR="00CA4741">
              <w:rPr>
                <w:rFonts w:ascii="Times New Roman" w:eastAsia="Times New Roman" w:hAnsi="Times New Roman" w:cs="Times New Roman"/>
              </w:rPr>
              <w:t>5 mg</w:t>
            </w:r>
            <w:r w:rsidRPr="0082587D">
              <w:rPr>
                <w:rFonts w:ascii="Times New Roman" w:eastAsia="Times New Roman" w:hAnsi="Times New Roman" w:cs="Times New Roman"/>
              </w:rPr>
              <w:t xml:space="preserve"> comprimidos recubiertos con película</w:t>
            </w:r>
          </w:p>
        </w:tc>
      </w:tr>
    </w:tbl>
    <w:p w14:paraId="1B865F3B" w14:textId="77777777" w:rsidR="007769FC" w:rsidRPr="0082587D" w:rsidRDefault="007769FC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BDE89D9" w14:textId="77777777" w:rsidR="009E7B5E" w:rsidRPr="009E7B5E" w:rsidRDefault="009E7B5E" w:rsidP="009E7B5E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OGYI-T-24742/13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20×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PVC/PVDC//</w:t>
      </w:r>
      <w:proofErr w:type="spellStart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</w:t>
      </w:r>
      <w:proofErr w:type="spellEnd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buborékcsomagolás </w:t>
      </w:r>
    </w:p>
    <w:p w14:paraId="435B0B65" w14:textId="77777777" w:rsidR="009E7B5E" w:rsidRPr="009E7B5E" w:rsidRDefault="009E7B5E" w:rsidP="009E7B5E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OGYI-T-24742/06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28×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PVC/PVDC//</w:t>
      </w:r>
      <w:proofErr w:type="spellStart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</w:t>
      </w:r>
      <w:proofErr w:type="spellEnd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buborékcsomagolás </w:t>
      </w:r>
    </w:p>
    <w:p w14:paraId="16D0F910" w14:textId="77777777" w:rsidR="009E7B5E" w:rsidRPr="009E7B5E" w:rsidRDefault="009E7B5E" w:rsidP="009E7B5E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OGYI-T-24742/07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30×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PVC/PVDC//</w:t>
      </w:r>
      <w:proofErr w:type="spellStart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</w:t>
      </w:r>
      <w:proofErr w:type="spellEnd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buborékcsomagolás </w:t>
      </w:r>
    </w:p>
    <w:p w14:paraId="69EF8658" w14:textId="77777777" w:rsidR="009E7B5E" w:rsidRPr="009E7B5E" w:rsidRDefault="009E7B5E" w:rsidP="009E7B5E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OGYI-T-24742/08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56×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PVC/PVDC//</w:t>
      </w:r>
      <w:proofErr w:type="spellStart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</w:t>
      </w:r>
      <w:proofErr w:type="spellEnd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buborékcsomagolás </w:t>
      </w:r>
    </w:p>
    <w:p w14:paraId="2501CC44" w14:textId="77777777" w:rsidR="009E7B5E" w:rsidRPr="009E7B5E" w:rsidRDefault="009E7B5E" w:rsidP="009E7B5E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OGYI-T-24742/09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60×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PVC/PVDC//</w:t>
      </w:r>
      <w:proofErr w:type="spellStart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</w:t>
      </w:r>
      <w:proofErr w:type="spellEnd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buborékcsomagolás </w:t>
      </w:r>
    </w:p>
    <w:p w14:paraId="51060E90" w14:textId="77777777" w:rsidR="009E7B5E" w:rsidRPr="009E7B5E" w:rsidRDefault="009E7B5E" w:rsidP="009E7B5E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OGYI-T-24742/10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100×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PVC/PVDC//</w:t>
      </w:r>
      <w:proofErr w:type="spellStart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</w:t>
      </w:r>
      <w:proofErr w:type="spellEnd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buborékcsomagolás </w:t>
      </w:r>
    </w:p>
    <w:p w14:paraId="70699D8D" w14:textId="77777777" w:rsidR="009E7B5E" w:rsidRPr="009E7B5E" w:rsidRDefault="009E7B5E" w:rsidP="009E7B5E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OGYI-T-24742/11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168×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PVC/PVDC//</w:t>
      </w:r>
      <w:proofErr w:type="spellStart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</w:t>
      </w:r>
      <w:proofErr w:type="spellEnd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buborékcsomagolás </w:t>
      </w:r>
    </w:p>
    <w:p w14:paraId="1ECE1200" w14:textId="77777777" w:rsidR="009E7B5E" w:rsidRPr="009E7B5E" w:rsidRDefault="009E7B5E" w:rsidP="009E7B5E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OGYI-T-24742/12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200×</w:t>
      </w:r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PVC/PVDC//</w:t>
      </w:r>
      <w:proofErr w:type="spellStart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</w:t>
      </w:r>
      <w:proofErr w:type="spellEnd"/>
      <w:r w:rsidRPr="009E7B5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buborékcsomagolás </w:t>
      </w:r>
    </w:p>
    <w:p w14:paraId="5367B849" w14:textId="1731DF7E" w:rsid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F57B47F" w14:textId="77777777" w:rsidR="009E7B5E" w:rsidRPr="0082587D" w:rsidRDefault="009E7B5E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D15B970" w14:textId="3A0A91C4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3" w:name="_Hlk76470462"/>
      <w:r w:rsidRPr="0082587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 betegtájékoztató legutóbbi felülvizsgálatának dátuma: </w:t>
      </w:r>
      <w:r w:rsidR="009E7B5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2026. május.</w:t>
      </w:r>
    </w:p>
    <w:bookmarkEnd w:id="3"/>
    <w:p w14:paraId="5577CD43" w14:textId="77777777" w:rsidR="0082587D" w:rsidRPr="0082587D" w:rsidRDefault="0082587D" w:rsidP="008258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43DBBD7B" w14:textId="77777777" w:rsidR="00145300" w:rsidRDefault="00145300"/>
    <w:sectPr w:rsidR="00145300" w:rsidSect="0082587D">
      <w:headerReference w:type="default" r:id="rId10"/>
      <w:footerReference w:type="default" r:id="rId11"/>
      <w:footerReference w:type="first" r:id="rId12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420267" w14:textId="77777777" w:rsidR="00A1574F" w:rsidRDefault="00A1574F">
      <w:pPr>
        <w:spacing w:after="0" w:line="240" w:lineRule="auto"/>
      </w:pPr>
      <w:r>
        <w:separator/>
      </w:r>
    </w:p>
  </w:endnote>
  <w:endnote w:type="continuationSeparator" w:id="0">
    <w:p w14:paraId="41B6BC27" w14:textId="77777777" w:rsidR="00A1574F" w:rsidRDefault="00A15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CEF59" w14:textId="77777777" w:rsidR="00DE0CEA" w:rsidRPr="006603A0" w:rsidRDefault="00DE0CEA">
    <w:pPr>
      <w:pStyle w:val="Szvegtrzs"/>
      <w:spacing w:line="14" w:lineRule="auto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1A7E9" w14:textId="313DA55A" w:rsidR="00DE0CEA" w:rsidRDefault="00222FB1">
    <w:pPr>
      <w:pStyle w:val="llb"/>
      <w:rPr>
        <w:sz w:val="18"/>
      </w:rPr>
    </w:pPr>
    <w:r>
      <w:rPr>
        <w:sz w:val="18"/>
      </w:rPr>
      <w:t>OGYÉI/484</w:t>
    </w:r>
    <w:r w:rsidRPr="00222FB1">
      <w:rPr>
        <w:sz w:val="18"/>
      </w:rPr>
      <w:t>48/2023</w:t>
    </w:r>
  </w:p>
  <w:p w14:paraId="24FD4DC1" w14:textId="37A9F9E4" w:rsidR="000E314A" w:rsidRPr="006603A0" w:rsidRDefault="000E314A">
    <w:pPr>
      <w:pStyle w:val="llb"/>
      <w:rPr>
        <w:sz w:val="18"/>
      </w:rPr>
    </w:pPr>
    <w:r w:rsidRPr="000E314A">
      <w:rPr>
        <w:sz w:val="18"/>
      </w:rPr>
      <w:t>NNGYK/ETGY/8991/2026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2FA41" w14:textId="77777777" w:rsidR="00A1574F" w:rsidRDefault="00A1574F">
      <w:pPr>
        <w:spacing w:after="0" w:line="240" w:lineRule="auto"/>
      </w:pPr>
      <w:r>
        <w:separator/>
      </w:r>
    </w:p>
  </w:footnote>
  <w:footnote w:type="continuationSeparator" w:id="0">
    <w:p w14:paraId="2DE5DF98" w14:textId="77777777" w:rsidR="00A1574F" w:rsidRDefault="00A15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2138750008"/>
      <w:docPartObj>
        <w:docPartGallery w:val="Page Numbers (Top of Page)"/>
        <w:docPartUnique/>
      </w:docPartObj>
    </w:sdtPr>
    <w:sdtEndPr/>
    <w:sdtContent>
      <w:p w14:paraId="5653FD75" w14:textId="1C01C6DE" w:rsidR="00DE0CEA" w:rsidRPr="006603A0" w:rsidRDefault="007F3C91">
        <w:pPr>
          <w:pStyle w:val="lfej"/>
          <w:jc w:val="center"/>
          <w:rPr>
            <w:sz w:val="18"/>
          </w:rPr>
        </w:pPr>
        <w:r w:rsidRPr="006603A0">
          <w:rPr>
            <w:sz w:val="18"/>
          </w:rPr>
          <w:fldChar w:fldCharType="begin"/>
        </w:r>
        <w:r w:rsidRPr="006603A0">
          <w:rPr>
            <w:sz w:val="18"/>
          </w:rPr>
          <w:instrText>PAGE   \* MERGEFORMAT</w:instrText>
        </w:r>
        <w:r w:rsidRPr="006603A0">
          <w:rPr>
            <w:sz w:val="18"/>
          </w:rPr>
          <w:fldChar w:fldCharType="separate"/>
        </w:r>
        <w:r w:rsidR="000E61C5">
          <w:rPr>
            <w:noProof/>
            <w:sz w:val="18"/>
          </w:rPr>
          <w:t>11</w:t>
        </w:r>
        <w:r w:rsidRPr="006603A0">
          <w:rPr>
            <w:sz w:val="18"/>
          </w:rPr>
          <w:fldChar w:fldCharType="end"/>
        </w:r>
      </w:p>
    </w:sdtContent>
  </w:sdt>
  <w:p w14:paraId="6F2F535C" w14:textId="77777777" w:rsidR="00DE0CEA" w:rsidRPr="006603A0" w:rsidRDefault="00DE0CE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4309"/>
    <w:multiLevelType w:val="hybridMultilevel"/>
    <w:tmpl w:val="02F23620"/>
    <w:lvl w:ilvl="0" w:tplc="CE8A233A">
      <w:numFmt w:val="bullet"/>
      <w:lvlText w:val="-"/>
      <w:lvlJc w:val="left"/>
      <w:pPr>
        <w:ind w:left="2826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16589904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DC7871B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332FFA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35085F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2BC1A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FF497D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AAA6129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4404C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" w15:restartNumberingAfterBreak="0">
    <w:nsid w:val="20E64119"/>
    <w:multiLevelType w:val="hybridMultilevel"/>
    <w:tmpl w:val="0F5ECC68"/>
    <w:lvl w:ilvl="0" w:tplc="CBF40AF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10F50"/>
    <w:multiLevelType w:val="hybridMultilevel"/>
    <w:tmpl w:val="2F4CDB36"/>
    <w:lvl w:ilvl="0" w:tplc="4DB45DF8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4AFE6E8A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0E00720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A2729402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BC36EE5C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D5BAFE1A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0F07938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DAACABE8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7DDCDCF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3" w15:restartNumberingAfterBreak="0">
    <w:nsid w:val="40D31C09"/>
    <w:multiLevelType w:val="hybridMultilevel"/>
    <w:tmpl w:val="8886F3D4"/>
    <w:lvl w:ilvl="0" w:tplc="901CE604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8A233A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C700F77E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215C1878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10D658D4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1C80BED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022A6AA0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FD241664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642EA90E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4" w15:restartNumberingAfterBreak="0">
    <w:nsid w:val="4E6E0565"/>
    <w:multiLevelType w:val="hybridMultilevel"/>
    <w:tmpl w:val="316C7EF0"/>
    <w:lvl w:ilvl="0" w:tplc="CE8A233A">
      <w:numFmt w:val="bullet"/>
      <w:lvlText w:val="-"/>
      <w:lvlJc w:val="left"/>
      <w:pPr>
        <w:ind w:left="802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FFFFFFFF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FFFFFFFF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5" w15:restartNumberingAfterBreak="0">
    <w:nsid w:val="4EE87236"/>
    <w:multiLevelType w:val="hybridMultilevel"/>
    <w:tmpl w:val="5DD420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0475BF"/>
    <w:multiLevelType w:val="hybridMultilevel"/>
    <w:tmpl w:val="00180668"/>
    <w:lvl w:ilvl="0" w:tplc="209C63CC">
      <w:start w:val="1"/>
      <w:numFmt w:val="bullet"/>
      <w:lvlText w:val="−"/>
      <w:lvlJc w:val="left"/>
      <w:pPr>
        <w:ind w:left="1980" w:hanging="562"/>
      </w:pPr>
      <w:rPr>
        <w:rFonts w:ascii="Times New Roman" w:hAnsi="Times New Roman" w:cs="Times New Roman" w:hint="default"/>
        <w:w w:val="100"/>
      </w:rPr>
    </w:lvl>
    <w:lvl w:ilvl="1" w:tplc="50AC46C2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E6363456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3508D1F4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3F5402C2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0CE05A40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CD827C84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6CFC63FC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10A01494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7" w15:restartNumberingAfterBreak="0">
    <w:nsid w:val="5FF20370"/>
    <w:multiLevelType w:val="hybridMultilevel"/>
    <w:tmpl w:val="2BB07570"/>
    <w:lvl w:ilvl="0" w:tplc="AE66233C">
      <w:numFmt w:val="bullet"/>
      <w:lvlText w:val="-"/>
      <w:lvlJc w:val="left"/>
      <w:pPr>
        <w:ind w:left="1827" w:hanging="567"/>
      </w:pPr>
      <w:rPr>
        <w:rFonts w:ascii="Calibri" w:eastAsia="Calibri" w:hAnsi="Calibri" w:cs="Calibri" w:hint="default"/>
        <w:b w:val="0"/>
        <w:bCs w:val="0"/>
        <w:i/>
        <w:iCs/>
        <w:w w:val="99"/>
        <w:sz w:val="20"/>
        <w:szCs w:val="20"/>
      </w:rPr>
    </w:lvl>
    <w:lvl w:ilvl="1" w:tplc="22662CCC">
      <w:numFmt w:val="bullet"/>
      <w:lvlText w:val="•"/>
      <w:lvlJc w:val="left"/>
      <w:pPr>
        <w:ind w:left="2665" w:hanging="567"/>
      </w:pPr>
      <w:rPr>
        <w:rFonts w:hint="default"/>
      </w:rPr>
    </w:lvl>
    <w:lvl w:ilvl="2" w:tplc="0826E91E">
      <w:numFmt w:val="bullet"/>
      <w:lvlText w:val="•"/>
      <w:lvlJc w:val="left"/>
      <w:pPr>
        <w:ind w:left="3512" w:hanging="567"/>
      </w:pPr>
      <w:rPr>
        <w:rFonts w:hint="default"/>
      </w:rPr>
    </w:lvl>
    <w:lvl w:ilvl="3" w:tplc="B366EB04">
      <w:numFmt w:val="bullet"/>
      <w:lvlText w:val="•"/>
      <w:lvlJc w:val="left"/>
      <w:pPr>
        <w:ind w:left="4358" w:hanging="567"/>
      </w:pPr>
      <w:rPr>
        <w:rFonts w:hint="default"/>
      </w:rPr>
    </w:lvl>
    <w:lvl w:ilvl="4" w:tplc="C0B22728">
      <w:numFmt w:val="bullet"/>
      <w:lvlText w:val="•"/>
      <w:lvlJc w:val="left"/>
      <w:pPr>
        <w:ind w:left="5205" w:hanging="567"/>
      </w:pPr>
      <w:rPr>
        <w:rFonts w:hint="default"/>
      </w:rPr>
    </w:lvl>
    <w:lvl w:ilvl="5" w:tplc="9C6093F8">
      <w:numFmt w:val="bullet"/>
      <w:lvlText w:val="•"/>
      <w:lvlJc w:val="left"/>
      <w:pPr>
        <w:ind w:left="6051" w:hanging="567"/>
      </w:pPr>
      <w:rPr>
        <w:rFonts w:hint="default"/>
      </w:rPr>
    </w:lvl>
    <w:lvl w:ilvl="6" w:tplc="2E8C339E">
      <w:numFmt w:val="bullet"/>
      <w:lvlText w:val="•"/>
      <w:lvlJc w:val="left"/>
      <w:pPr>
        <w:ind w:left="6898" w:hanging="567"/>
      </w:pPr>
      <w:rPr>
        <w:rFonts w:hint="default"/>
      </w:rPr>
    </w:lvl>
    <w:lvl w:ilvl="7" w:tplc="9654A3AA">
      <w:numFmt w:val="bullet"/>
      <w:lvlText w:val="•"/>
      <w:lvlJc w:val="left"/>
      <w:pPr>
        <w:ind w:left="7744" w:hanging="567"/>
      </w:pPr>
      <w:rPr>
        <w:rFonts w:hint="default"/>
      </w:rPr>
    </w:lvl>
    <w:lvl w:ilvl="8" w:tplc="5254E736">
      <w:numFmt w:val="bullet"/>
      <w:lvlText w:val="•"/>
      <w:lvlJc w:val="left"/>
      <w:pPr>
        <w:ind w:left="8591" w:hanging="567"/>
      </w:pPr>
      <w:rPr>
        <w:rFonts w:hint="default"/>
      </w:rPr>
    </w:lvl>
  </w:abstractNum>
  <w:abstractNum w:abstractNumId="8" w15:restartNumberingAfterBreak="0">
    <w:nsid w:val="62867E55"/>
    <w:multiLevelType w:val="hybridMultilevel"/>
    <w:tmpl w:val="CA6AE63C"/>
    <w:lvl w:ilvl="0" w:tplc="4E4C4766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69264DAA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0956A4B6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8A18309A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CF3A5C3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398658A2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A2B0C398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517C9A22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82A0D8C4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9" w15:restartNumberingAfterBreak="0">
    <w:nsid w:val="67864038"/>
    <w:multiLevelType w:val="hybridMultilevel"/>
    <w:tmpl w:val="580E8280"/>
    <w:lvl w:ilvl="0" w:tplc="CBF40AFA">
      <w:start w:val="1"/>
      <w:numFmt w:val="bullet"/>
      <w:lvlText w:val="-"/>
      <w:lvlJc w:val="left"/>
      <w:pPr>
        <w:ind w:left="956" w:hanging="202"/>
      </w:pPr>
      <w:rPr>
        <w:rFonts w:ascii="Courier New" w:hAnsi="Courier New" w:hint="default"/>
        <w:b w:val="0"/>
        <w:bCs w:val="0"/>
        <w:i w:val="0"/>
        <w:iCs w:val="0"/>
        <w:w w:val="99"/>
        <w:sz w:val="20"/>
        <w:szCs w:val="20"/>
      </w:rPr>
    </w:lvl>
    <w:lvl w:ilvl="1" w:tplc="FFFFFFFF">
      <w:numFmt w:val="bullet"/>
      <w:lvlText w:val="•"/>
      <w:lvlJc w:val="left"/>
      <w:pPr>
        <w:ind w:left="1846" w:hanging="202"/>
      </w:pPr>
      <w:rPr>
        <w:rFonts w:hint="default"/>
      </w:rPr>
    </w:lvl>
    <w:lvl w:ilvl="2" w:tplc="FFFFFFFF">
      <w:numFmt w:val="bullet"/>
      <w:lvlText w:val="•"/>
      <w:lvlJc w:val="left"/>
      <w:pPr>
        <w:ind w:left="2733" w:hanging="202"/>
      </w:pPr>
      <w:rPr>
        <w:rFonts w:hint="default"/>
      </w:rPr>
    </w:lvl>
    <w:lvl w:ilvl="3" w:tplc="FFFFFFFF">
      <w:numFmt w:val="bullet"/>
      <w:lvlText w:val="•"/>
      <w:lvlJc w:val="left"/>
      <w:pPr>
        <w:ind w:left="3619" w:hanging="202"/>
      </w:pPr>
      <w:rPr>
        <w:rFonts w:hint="default"/>
      </w:rPr>
    </w:lvl>
    <w:lvl w:ilvl="4" w:tplc="FFFFFFFF">
      <w:numFmt w:val="bullet"/>
      <w:lvlText w:val="•"/>
      <w:lvlJc w:val="left"/>
      <w:pPr>
        <w:ind w:left="4506" w:hanging="202"/>
      </w:pPr>
      <w:rPr>
        <w:rFonts w:hint="default"/>
      </w:rPr>
    </w:lvl>
    <w:lvl w:ilvl="5" w:tplc="FFFFFFFF">
      <w:numFmt w:val="bullet"/>
      <w:lvlText w:val="•"/>
      <w:lvlJc w:val="left"/>
      <w:pPr>
        <w:ind w:left="5392" w:hanging="202"/>
      </w:pPr>
      <w:rPr>
        <w:rFonts w:hint="default"/>
      </w:rPr>
    </w:lvl>
    <w:lvl w:ilvl="6" w:tplc="FFFFFFFF">
      <w:numFmt w:val="bullet"/>
      <w:lvlText w:val="•"/>
      <w:lvlJc w:val="left"/>
      <w:pPr>
        <w:ind w:left="6279" w:hanging="202"/>
      </w:pPr>
      <w:rPr>
        <w:rFonts w:hint="default"/>
      </w:rPr>
    </w:lvl>
    <w:lvl w:ilvl="7" w:tplc="FFFFFFFF">
      <w:numFmt w:val="bullet"/>
      <w:lvlText w:val="•"/>
      <w:lvlJc w:val="left"/>
      <w:pPr>
        <w:ind w:left="7165" w:hanging="202"/>
      </w:pPr>
      <w:rPr>
        <w:rFonts w:hint="default"/>
      </w:rPr>
    </w:lvl>
    <w:lvl w:ilvl="8" w:tplc="FFFFFFFF">
      <w:numFmt w:val="bullet"/>
      <w:lvlText w:val="•"/>
      <w:lvlJc w:val="left"/>
      <w:pPr>
        <w:ind w:left="8052" w:hanging="202"/>
      </w:pPr>
      <w:rPr>
        <w:rFonts w:hint="default"/>
      </w:rPr>
    </w:lvl>
  </w:abstractNum>
  <w:abstractNum w:abstractNumId="10" w15:restartNumberingAfterBreak="0">
    <w:nsid w:val="6C401E7D"/>
    <w:multiLevelType w:val="hybridMultilevel"/>
    <w:tmpl w:val="40B26910"/>
    <w:lvl w:ilvl="0" w:tplc="CBF40AFA">
      <w:start w:val="1"/>
      <w:numFmt w:val="bullet"/>
      <w:lvlText w:val="-"/>
      <w:lvlJc w:val="left"/>
      <w:pPr>
        <w:ind w:left="3888" w:hanging="202"/>
      </w:pPr>
      <w:rPr>
        <w:rFonts w:ascii="Courier New" w:hAnsi="Courier New" w:hint="default"/>
        <w:b w:val="0"/>
        <w:bCs w:val="0"/>
        <w:i w:val="0"/>
        <w:iCs w:val="0"/>
        <w:w w:val="100"/>
        <w:sz w:val="22"/>
        <w:szCs w:val="22"/>
      </w:rPr>
    </w:lvl>
    <w:lvl w:ilvl="1" w:tplc="FFFFFFFF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FFFFFFFF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FFFFFFFF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FFFFFFFF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FFFFFFFF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FFFFFFFF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FFFFFFFF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FFFFFFFF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11" w15:restartNumberingAfterBreak="0">
    <w:nsid w:val="76DC3A0D"/>
    <w:multiLevelType w:val="hybridMultilevel"/>
    <w:tmpl w:val="68F87A8E"/>
    <w:lvl w:ilvl="0" w:tplc="CE8A233A">
      <w:numFmt w:val="bullet"/>
      <w:lvlText w:val="-"/>
      <w:lvlJc w:val="left"/>
      <w:pPr>
        <w:ind w:left="1368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66BEDF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B86E0B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6B0E82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3369B8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1A720BF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A4801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A6C224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4B8FD6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2" w15:restartNumberingAfterBreak="0">
    <w:nsid w:val="7AF73B60"/>
    <w:multiLevelType w:val="hybridMultilevel"/>
    <w:tmpl w:val="2E06147E"/>
    <w:lvl w:ilvl="0" w:tplc="823812F6">
      <w:numFmt w:val="bullet"/>
      <w:lvlText w:val="-"/>
      <w:lvlJc w:val="left"/>
      <w:pPr>
        <w:ind w:left="193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EBD4AB7A">
      <w:numFmt w:val="bullet"/>
      <w:lvlText w:val="•"/>
      <w:lvlJc w:val="left"/>
      <w:pPr>
        <w:ind w:left="2899" w:hanging="562"/>
      </w:pPr>
      <w:rPr>
        <w:rFonts w:hint="default"/>
      </w:rPr>
    </w:lvl>
    <w:lvl w:ilvl="2" w:tplc="DAC2CE68">
      <w:numFmt w:val="bullet"/>
      <w:lvlText w:val="•"/>
      <w:lvlJc w:val="left"/>
      <w:pPr>
        <w:ind w:left="3858" w:hanging="562"/>
      </w:pPr>
      <w:rPr>
        <w:rFonts w:hint="default"/>
      </w:rPr>
    </w:lvl>
    <w:lvl w:ilvl="3" w:tplc="103050A6">
      <w:numFmt w:val="bullet"/>
      <w:lvlText w:val="•"/>
      <w:lvlJc w:val="left"/>
      <w:pPr>
        <w:ind w:left="4816" w:hanging="562"/>
      </w:pPr>
      <w:rPr>
        <w:rFonts w:hint="default"/>
      </w:rPr>
    </w:lvl>
    <w:lvl w:ilvl="4" w:tplc="5DA610FA">
      <w:numFmt w:val="bullet"/>
      <w:lvlText w:val="•"/>
      <w:lvlJc w:val="left"/>
      <w:pPr>
        <w:ind w:left="5775" w:hanging="562"/>
      </w:pPr>
      <w:rPr>
        <w:rFonts w:hint="default"/>
      </w:rPr>
    </w:lvl>
    <w:lvl w:ilvl="5" w:tplc="B54A7024">
      <w:numFmt w:val="bullet"/>
      <w:lvlText w:val="•"/>
      <w:lvlJc w:val="left"/>
      <w:pPr>
        <w:ind w:left="6733" w:hanging="562"/>
      </w:pPr>
      <w:rPr>
        <w:rFonts w:hint="default"/>
      </w:rPr>
    </w:lvl>
    <w:lvl w:ilvl="6" w:tplc="8C46D224">
      <w:numFmt w:val="bullet"/>
      <w:lvlText w:val="•"/>
      <w:lvlJc w:val="left"/>
      <w:pPr>
        <w:ind w:left="7692" w:hanging="562"/>
      </w:pPr>
      <w:rPr>
        <w:rFonts w:hint="default"/>
      </w:rPr>
    </w:lvl>
    <w:lvl w:ilvl="7" w:tplc="4E629E4A">
      <w:numFmt w:val="bullet"/>
      <w:lvlText w:val="•"/>
      <w:lvlJc w:val="left"/>
      <w:pPr>
        <w:ind w:left="8650" w:hanging="562"/>
      </w:pPr>
      <w:rPr>
        <w:rFonts w:hint="default"/>
      </w:rPr>
    </w:lvl>
    <w:lvl w:ilvl="8" w:tplc="0A9A338A">
      <w:numFmt w:val="bullet"/>
      <w:lvlText w:val="•"/>
      <w:lvlJc w:val="left"/>
      <w:pPr>
        <w:ind w:left="9609" w:hanging="562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2"/>
  </w:num>
  <w:num w:numId="5">
    <w:abstractNumId w:val="6"/>
  </w:num>
  <w:num w:numId="6">
    <w:abstractNumId w:val="12"/>
  </w:num>
  <w:num w:numId="7">
    <w:abstractNumId w:val="11"/>
  </w:num>
  <w:num w:numId="8">
    <w:abstractNumId w:val="0"/>
  </w:num>
  <w:num w:numId="9">
    <w:abstractNumId w:val="5"/>
  </w:num>
  <w:num w:numId="10">
    <w:abstractNumId w:val="4"/>
  </w:num>
  <w:num w:numId="11">
    <w:abstractNumId w:val="9"/>
  </w:num>
  <w:num w:numId="12">
    <w:abstractNumId w:val="1"/>
  </w:num>
  <w:num w:numId="13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87D"/>
    <w:rsid w:val="000A6559"/>
    <w:rsid w:val="000E314A"/>
    <w:rsid w:val="000E61C5"/>
    <w:rsid w:val="000F536E"/>
    <w:rsid w:val="00102132"/>
    <w:rsid w:val="00145300"/>
    <w:rsid w:val="001E2877"/>
    <w:rsid w:val="001E6107"/>
    <w:rsid w:val="00202539"/>
    <w:rsid w:val="00222FB1"/>
    <w:rsid w:val="00256696"/>
    <w:rsid w:val="00296135"/>
    <w:rsid w:val="002B2C8E"/>
    <w:rsid w:val="0037726A"/>
    <w:rsid w:val="00415D4C"/>
    <w:rsid w:val="00443387"/>
    <w:rsid w:val="004E51FB"/>
    <w:rsid w:val="00562A8F"/>
    <w:rsid w:val="005E2CC2"/>
    <w:rsid w:val="007769FC"/>
    <w:rsid w:val="007F3C91"/>
    <w:rsid w:val="00806864"/>
    <w:rsid w:val="0082587D"/>
    <w:rsid w:val="00870B7F"/>
    <w:rsid w:val="008714FB"/>
    <w:rsid w:val="00945647"/>
    <w:rsid w:val="00977F24"/>
    <w:rsid w:val="009B0A26"/>
    <w:rsid w:val="009E7B5E"/>
    <w:rsid w:val="00A010BA"/>
    <w:rsid w:val="00A1574F"/>
    <w:rsid w:val="00AC6FE3"/>
    <w:rsid w:val="00AD63E0"/>
    <w:rsid w:val="00B02D53"/>
    <w:rsid w:val="00C21569"/>
    <w:rsid w:val="00CA4741"/>
    <w:rsid w:val="00DE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936A4"/>
  <w15:chartTrackingRefBased/>
  <w15:docId w15:val="{0CFBEDE3-C851-4375-8A3A-401E6837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8258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8258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258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258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258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258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258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258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258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258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258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258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2587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2587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2587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2587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2587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2587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258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258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258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258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258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2587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2587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2587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258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2587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2587D"/>
    <w:rPr>
      <w:b/>
      <w:bCs/>
      <w:smallCaps/>
      <w:color w:val="2F5496" w:themeColor="accent1" w:themeShade="BF"/>
      <w:spacing w:val="5"/>
    </w:rPr>
  </w:style>
  <w:style w:type="numbering" w:customStyle="1" w:styleId="Nemlista1">
    <w:name w:val="Nem lista1"/>
    <w:next w:val="Nemlista"/>
    <w:uiPriority w:val="99"/>
    <w:semiHidden/>
    <w:unhideWhenUsed/>
    <w:rsid w:val="0082587D"/>
  </w:style>
  <w:style w:type="paragraph" w:styleId="Szvegtrzs">
    <w:name w:val="Body Text"/>
    <w:basedOn w:val="Norml"/>
    <w:link w:val="SzvegtrzsChar"/>
    <w:uiPriority w:val="1"/>
    <w:qFormat/>
    <w:rsid w:val="0082587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zvegtrzsChar">
    <w:name w:val="Szövegtörzs Char"/>
    <w:basedOn w:val="Bekezdsalapbettpusa"/>
    <w:link w:val="Szvegtrzs"/>
    <w:uiPriority w:val="1"/>
    <w:rsid w:val="0082587D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82587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82587D"/>
    <w:pPr>
      <w:widowControl w:val="0"/>
      <w:tabs>
        <w:tab w:val="center" w:pos="4703"/>
        <w:tab w:val="right" w:pos="94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82587D"/>
    <w:rPr>
      <w:rFonts w:ascii="Times New Roman" w:eastAsia="Times New Roman" w:hAnsi="Times New Roman" w:cs="Times New Roman"/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82587D"/>
    <w:pPr>
      <w:widowControl w:val="0"/>
      <w:tabs>
        <w:tab w:val="center" w:pos="4703"/>
        <w:tab w:val="right" w:pos="94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llbChar">
    <w:name w:val="Élőláb Char"/>
    <w:basedOn w:val="Bekezdsalapbettpusa"/>
    <w:link w:val="llb"/>
    <w:uiPriority w:val="99"/>
    <w:rsid w:val="0082587D"/>
    <w:rPr>
      <w:rFonts w:ascii="Times New Roman" w:eastAsia="Times New Roman" w:hAnsi="Times New Roman" w:cs="Times New Roman"/>
      <w:kern w:val="0"/>
      <w14:ligatures w14:val="none"/>
    </w:rPr>
  </w:style>
  <w:style w:type="paragraph" w:styleId="Nincstrkz">
    <w:name w:val="No Spacing"/>
    <w:uiPriority w:val="1"/>
    <w:qFormat/>
    <w:rsid w:val="0082587D"/>
    <w:pPr>
      <w:spacing w:after="0" w:line="240" w:lineRule="auto"/>
    </w:pPr>
    <w:rPr>
      <w:rFonts w:ascii="Times New Roman" w:eastAsia="Calibri" w:hAnsi="Times New Roman" w:cs="Times New Roman"/>
      <w:kern w:val="0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2587D"/>
    <w:pPr>
      <w:widowControl w:val="0"/>
      <w:autoSpaceDE w:val="0"/>
      <w:autoSpaceDN w:val="0"/>
      <w:spacing w:after="0" w:line="240" w:lineRule="auto"/>
    </w:pPr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2587D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Vltozat">
    <w:name w:val="Revision"/>
    <w:hidden/>
    <w:uiPriority w:val="99"/>
    <w:semiHidden/>
    <w:rsid w:val="0082587D"/>
    <w:pPr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82587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2587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2587D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2587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2587D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table" w:customStyle="1" w:styleId="Rcsostblzat1">
    <w:name w:val="Rácsos táblázat1"/>
    <w:basedOn w:val="Normltblzat"/>
    <w:next w:val="Rcsostblzat"/>
    <w:uiPriority w:val="59"/>
    <w:rsid w:val="007769FC"/>
    <w:pPr>
      <w:spacing w:after="0" w:line="240" w:lineRule="auto"/>
    </w:pPr>
    <w:rPr>
      <w:rFonts w:eastAsia="Calibri"/>
      <w:kern w:val="0"/>
      <w:lang w:val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7769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7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cid:image007.png@01D91498.F30E378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3548</Words>
  <Characters>24488</Characters>
  <Application>Microsoft Office Word</Application>
  <DocSecurity>0</DocSecurity>
  <Lines>204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HU_OGYI_7.1</cp:lastModifiedBy>
  <cp:revision>15</cp:revision>
  <dcterms:created xsi:type="dcterms:W3CDTF">2025-07-25T08:34:00Z</dcterms:created>
  <dcterms:modified xsi:type="dcterms:W3CDTF">2026-05-14T14:09:00Z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a256bb-f010-45f7-99b4-329a9a9e7a5c_Enabled">
    <vt:lpwstr>true</vt:lpwstr>
  </property>
  <property fmtid="{D5CDD505-2E9C-101B-9397-08002B2CF9AE}" pid="3" name="MSIP_Label_66a256bb-f010-45f7-99b4-329a9a9e7a5c_SetDate">
    <vt:lpwstr>2025-07-18T05:49:54Z</vt:lpwstr>
  </property>
  <property fmtid="{D5CDD505-2E9C-101B-9397-08002B2CF9AE}" pid="4" name="MSIP_Label_66a256bb-f010-45f7-99b4-329a9a9e7a5c_Method">
    <vt:lpwstr>Standard</vt:lpwstr>
  </property>
  <property fmtid="{D5CDD505-2E9C-101B-9397-08002B2CF9AE}" pid="5" name="MSIP_Label_66a256bb-f010-45f7-99b4-329a9a9e7a5c_Name">
    <vt:lpwstr>Public</vt:lpwstr>
  </property>
  <property fmtid="{D5CDD505-2E9C-101B-9397-08002B2CF9AE}" pid="6" name="MSIP_Label_66a256bb-f010-45f7-99b4-329a9a9e7a5c_SiteId">
    <vt:lpwstr>68b628ab-578a-4367-8d4e-bc98746c4353</vt:lpwstr>
  </property>
  <property fmtid="{D5CDD505-2E9C-101B-9397-08002B2CF9AE}" pid="7" name="MSIP_Label_66a256bb-f010-45f7-99b4-329a9a9e7a5c_ActionId">
    <vt:lpwstr>93d10503-d67f-43a6-a01d-fb5e75a4d74b</vt:lpwstr>
  </property>
  <property fmtid="{D5CDD505-2E9C-101B-9397-08002B2CF9AE}" pid="8" name="MSIP_Label_66a256bb-f010-45f7-99b4-329a9a9e7a5c_ContentBits">
    <vt:lpwstr>0</vt:lpwstr>
  </property>
  <property fmtid="{D5CDD505-2E9C-101B-9397-08002B2CF9AE}" pid="9" name="MSIP_Label_66a256bb-f010-45f7-99b4-329a9a9e7a5c_Tag">
    <vt:lpwstr>10, 3, 0, 1</vt:lpwstr>
  </property>
</Properties>
</file>