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770A0" w14:textId="77777777" w:rsidR="002F67D2" w:rsidRPr="002F67D2" w:rsidRDefault="002F67D2" w:rsidP="002F67D2">
      <w:pPr>
        <w:spacing w:after="0" w:line="240" w:lineRule="auto"/>
        <w:jc w:val="center"/>
        <w:outlineLvl w:val="0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Betegtájékoztató: Információk a felhasználó </w:t>
      </w:r>
      <w:r w:rsidRPr="002F67D2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számára</w:t>
      </w:r>
    </w:p>
    <w:p w14:paraId="5E18623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87DE69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2,5 mg filmtabletta</w:t>
      </w:r>
    </w:p>
    <w:p w14:paraId="4104620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apixabán</w:t>
      </w:r>
      <w:proofErr w:type="spellEnd"/>
    </w:p>
    <w:p w14:paraId="6030CC2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15D84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Mielőtt elkezdi szedni ezt a gyógyszert, olvassa el figyelmesen az alábbi betegtájékoztatót, mert az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Ön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számára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fontos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információkat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tartalmaz.</w:t>
      </w:r>
    </w:p>
    <w:p w14:paraId="2017E8C7" w14:textId="77777777" w:rsidR="002F67D2" w:rsidRPr="002F67D2" w:rsidRDefault="002F67D2" w:rsidP="00B37E3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Tartsa meg a betegtájékoztatót, mert a benne szereplő információkra a későbbiekben is szüksége lehet.</w:t>
      </w:r>
    </w:p>
    <w:p w14:paraId="5049D5DC" w14:textId="77777777" w:rsidR="002F67D2" w:rsidRPr="002F67D2" w:rsidRDefault="002F67D2" w:rsidP="00B37E3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További kérdéseivel forduljon kezelőorvosához, gyógyszerészéhez vagy a gondozását végző egészségügyi szakemberhez.</w:t>
      </w:r>
    </w:p>
    <w:p w14:paraId="3B9E4246" w14:textId="77777777" w:rsidR="002F67D2" w:rsidRPr="002F67D2" w:rsidRDefault="002F67D2" w:rsidP="00B37E33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416139BE" w14:textId="77777777" w:rsidR="002F67D2" w:rsidRPr="002F67D2" w:rsidRDefault="002F67D2" w:rsidP="00B37E33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49F0FE5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5A6B6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235" w:hanging="235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betegtájékoztató tartalma:</w:t>
      </w:r>
    </w:p>
    <w:p w14:paraId="50D65A4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4A52412A" w14:textId="77777777" w:rsidR="002F67D2" w:rsidRPr="002F67D2" w:rsidRDefault="002F67D2" w:rsidP="00B37E3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Milyen típusú gyógyszer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és milyen betegségek esetén alkalmazható?</w:t>
      </w:r>
    </w:p>
    <w:p w14:paraId="509ACD43" w14:textId="77777777" w:rsidR="002F67D2" w:rsidRPr="002F67D2" w:rsidRDefault="002F67D2" w:rsidP="00B37E3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Tudnivalók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szedése előtt</w:t>
      </w:r>
    </w:p>
    <w:p w14:paraId="5DC1577C" w14:textId="77777777" w:rsidR="002F67D2" w:rsidRPr="002F67D2" w:rsidRDefault="002F67D2" w:rsidP="00B37E3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Hogyan kell szedni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-et?</w:t>
      </w:r>
    </w:p>
    <w:p w14:paraId="5D460936" w14:textId="77777777" w:rsidR="002F67D2" w:rsidRPr="002F67D2" w:rsidRDefault="002F67D2" w:rsidP="00B37E3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Lehetséges mellékhatások</w:t>
      </w:r>
    </w:p>
    <w:p w14:paraId="62DC3C4C" w14:textId="77777777" w:rsidR="002F67D2" w:rsidRPr="002F67D2" w:rsidRDefault="002F67D2" w:rsidP="00B37E3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Hogyan kell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-et tárolni?</w:t>
      </w:r>
    </w:p>
    <w:p w14:paraId="36022E17" w14:textId="77777777" w:rsidR="002F67D2" w:rsidRPr="002F67D2" w:rsidRDefault="002F67D2" w:rsidP="00B37E33">
      <w:pPr>
        <w:widowControl w:val="0"/>
        <w:numPr>
          <w:ilvl w:val="0"/>
          <w:numId w:val="4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csomagolás tartalma és egyéb információk</w:t>
      </w:r>
    </w:p>
    <w:p w14:paraId="0CAEF336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B523B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2775FF" w14:textId="77777777" w:rsidR="002F67D2" w:rsidRPr="002F67D2" w:rsidRDefault="002F67D2" w:rsidP="00B37E33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spacing w:after="0" w:line="240" w:lineRule="auto"/>
        <w:ind w:left="567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Milyen típusú gyógyszer 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és milyen betegségek esetén alkalmazható?</w:t>
      </w:r>
    </w:p>
    <w:p w14:paraId="62E6AE0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46AEF5B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apixabán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nevű hatóanyagot tartalmazza és a véralvadásgátlóknak nevezett gyógyszerek csoportjába tartozik. Ez a gyógyszer segít a vérrögképződés megelőzésében azáltal, hogy gátolja az úgynevezett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Xa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-faktort, ami a véralvadási folyamat egyik fontos eleme.</w:t>
      </w:r>
    </w:p>
    <w:p w14:paraId="4115700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76C03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-et felnőtteknél az alábbi esetekben alkalmazzák:</w:t>
      </w:r>
    </w:p>
    <w:p w14:paraId="5CB9B0E3" w14:textId="19A5E2D8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csípő- vagy térdprotézisműtét után a vérrögképződés (mélyvénás trombózis [MVT]) megelőzésére. Csípő- vagy térdműtét után Önnél nagyobb lehet annak a kockázata, hogy az alsó végtag vénáiban vérrögök alakuljanak ki. Ez a láb fájdalommal járó vagy fájdalom nélküli megdagadásával járhat. Ha egy vérrög a lábából 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tüdejébe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jut, ott gátolhatja a véráramlást, ami mellkasi fájdalommal járó vagy fájdalom nélküli légszomjat okozhat. Ez az állapot (tüdőembólia) életveszélyes lehet és azonnali orvosi ellátást igényel;</w:t>
      </w:r>
    </w:p>
    <w:p w14:paraId="5AC3CE4D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CE5802" w14:textId="77777777" w:rsidR="002F67D2" w:rsidRPr="002F67D2" w:rsidRDefault="002F67D2" w:rsidP="00B37E33">
      <w:pPr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szívben létrejövő vérrögképződés megelőzésére szívritmuszavarban (nem billentyű eredetű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pitvarfibrilláció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) szenvedő olyan betegeknél, akiknél legalább egy további kockázati tényező is jelen van. A vérrög leszakadhat, és az agyba kerülhet, ami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sztrókhoz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(szélütés, agyi érkatasztrófa) vezethet, vagy más szervekbe is eljuthat, és meggátolhatja annak a szervnek a normális vérellátását (ezt szisztémás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embolizációnak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is nevezik). 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sztrók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életveszélyes lehet, és azonnali orvosi kezelést igényel;</w:t>
      </w:r>
    </w:p>
    <w:p w14:paraId="1B131E1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773320" w14:textId="77777777" w:rsidR="002F67D2" w:rsidRPr="002F67D2" w:rsidRDefault="002F67D2" w:rsidP="00B37E33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alsó végtagok visszereiben lévő vérrögök (mélyvénás trombózis) és a tüdő ereiben lévő vérrögök (tüdőembólia) kezelésére, valamint az alsó végtagok és/vagy a tüdő ereiben történő, ismételt vérrögképződés megelőzésére.</w:t>
      </w:r>
    </w:p>
    <w:p w14:paraId="42F11E6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7273B3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-et gyermekeknél és serdülőknél (28 napostól betöltött 18 éves korig) a vénákban vagy a tüdő ereiben lévő vérrögök kezelésére és a vérrögök újbóli kialakulásának megelőzésére alkalmazzák.</w:t>
      </w:r>
    </w:p>
    <w:p w14:paraId="77178DD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AA2BC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 testtömegnek megfelelő adagolást lásd a 3. pontban.</w:t>
      </w:r>
    </w:p>
    <w:p w14:paraId="645F537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1260C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16F2D4" w14:textId="77777777" w:rsidR="002F67D2" w:rsidRPr="002F67D2" w:rsidRDefault="002F67D2" w:rsidP="00B37E33">
      <w:pPr>
        <w:keepNext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Tudnivalók 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szedése előtt </w:t>
      </w:r>
    </w:p>
    <w:p w14:paraId="6F6E8E9F" w14:textId="77777777" w:rsidR="002F67D2" w:rsidRPr="002F67D2" w:rsidRDefault="002F67D2" w:rsidP="002F67D2">
      <w:pPr>
        <w:keepNext/>
        <w:widowControl w:val="0"/>
        <w:tabs>
          <w:tab w:val="left" w:pos="802"/>
          <w:tab w:val="left" w:pos="803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F626145" w14:textId="77777777" w:rsidR="002F67D2" w:rsidRPr="002F67D2" w:rsidRDefault="002F67D2" w:rsidP="002F67D2">
      <w:pPr>
        <w:keepNext/>
        <w:widowControl w:val="0"/>
        <w:tabs>
          <w:tab w:val="left" w:pos="802"/>
          <w:tab w:val="left" w:pos="803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Ne szedje 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-et, ha:</w:t>
      </w:r>
    </w:p>
    <w:p w14:paraId="7C3A897A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allergiás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az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apixabánra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vagy a gyógyszer (6. pontban felsorolt) egyéb összetevőjére;</w:t>
      </w:r>
    </w:p>
    <w:p w14:paraId="6CB8FF6F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Önnél jelenleg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erős vérzés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áll fenn;</w:t>
      </w:r>
    </w:p>
    <w:p w14:paraId="102C37BE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valamelyik szervét érintő olyan betegsége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van, ami növeli a súlyos vérzés kockázatát (például egy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aktív vagy a közelmúltban lezajlott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gyomorfekély vagy bélfekély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a közelmúltban lezajlott agyvérzés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);</w:t>
      </w:r>
    </w:p>
    <w:p w14:paraId="0B633597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olyan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májbetegség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ben szenved, amely a vérzés fokozott kockázatával jár (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hepatikus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koagulopátia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);</w:t>
      </w:r>
    </w:p>
    <w:p w14:paraId="780B92DB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véralvadásgátló gyógyszereket szed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warfarin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rivaroxabán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dabigatrán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vagy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heparin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), kivéve akkor, amikor egyik véralvadásgátló kezelésről a másikra vált, vagy ha vénás vagy artériás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kanülje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van, és ezen keresztül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heparint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kap, hogy 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kanül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ne alvadjon be, vagy ha egy csövet vezetnek be az érbe (katéteres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abláció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), amellyel a szabálytalan szívverést (szívritmuszavart) kezelik.</w:t>
      </w:r>
    </w:p>
    <w:p w14:paraId="6F0DD3D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83E74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Figyelmeztetések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óvintézkedések</w:t>
      </w:r>
    </w:p>
    <w:p w14:paraId="5F4D178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gyógyszer szedése előtt beszéljen kezelőorvosával, gyógyszerészével vagy a gondozását végző egészségügyi szakemberrel, ha az alábbi állapotok bármelyike fennáll Önnél:</w:t>
      </w:r>
    </w:p>
    <w:p w14:paraId="2B8BF2AE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vérzés fokozott kockázata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, például:</w:t>
      </w:r>
    </w:p>
    <w:p w14:paraId="32E9C658" w14:textId="77777777" w:rsidR="002F67D2" w:rsidRPr="002F67D2" w:rsidRDefault="002F67D2" w:rsidP="00B37E3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1134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véralvadási zavarok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, beleértve a vérlemezkék csökkent működését eredményező állapotokat;</w:t>
      </w:r>
    </w:p>
    <w:p w14:paraId="4D6ADC3C" w14:textId="77777777" w:rsidR="002F67D2" w:rsidRPr="002F67D2" w:rsidRDefault="002F67D2" w:rsidP="00B37E3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1134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nagyon magas vérnyomás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, ha gyógyszerrel nincs megfelelően beállítva;</w:t>
      </w:r>
    </w:p>
    <w:p w14:paraId="178FC177" w14:textId="77777777" w:rsidR="002F67D2" w:rsidRPr="002F67D2" w:rsidRDefault="002F67D2" w:rsidP="00B37E33">
      <w:pPr>
        <w:widowControl w:val="0"/>
        <w:numPr>
          <w:ilvl w:val="0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left="1134"/>
        <w:contextualSpacing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Ön 75 évesnél idősebb;</w:t>
      </w:r>
    </w:p>
    <w:p w14:paraId="00FDB9A4" w14:textId="0BFC4499" w:rsidR="002F67D2" w:rsidRPr="002F67D2" w:rsidRDefault="002F67D2" w:rsidP="00B37E3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1134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az Ön testtömege 60 kg vagy </w:t>
      </w:r>
      <w:r w:rsidR="0052298D">
        <w:rPr>
          <w:rFonts w:ascii="Times New Roman" w:eastAsia="Times New Roman" w:hAnsi="Times New Roman" w:cs="Times New Roman"/>
          <w:bCs/>
          <w:kern w:val="0"/>
          <w14:ligatures w14:val="none"/>
        </w:rPr>
        <w:t>annál kisebb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;</w:t>
      </w:r>
    </w:p>
    <w:p w14:paraId="20C78007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súlyos vesebetegsége van vagy ha Ön művesekezelésben részesül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;</w:t>
      </w:r>
    </w:p>
    <w:p w14:paraId="20874FE8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jelenleg fennálló vagy korábbi májbetegség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esetén;</w:t>
      </w:r>
    </w:p>
    <w:p w14:paraId="0211419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Ezt a gyógyszert csak kellő óvatossággal lehet alkalmazni olyan betegeknél, akik a megváltozott májműködés jeleit mutatják.</w:t>
      </w:r>
    </w:p>
    <w:p w14:paraId="6B0D6EC4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a gerincébe vezetett cső (</w:t>
      </w:r>
      <w:proofErr w:type="spellStart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kanül</w:t>
      </w:r>
      <w:proofErr w:type="spellEnd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) esetén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vagy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ha injekciót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érzéstelenítés vagy fájdalomcsillapítás céljából)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kapott a gerincoszlopába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kezelőorvosa tájékoztatni fogja arról, hogy a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kanül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eltávolítása után legalább 5 órát kell várnia a gyógyszer bevételével;</w:t>
      </w:r>
    </w:p>
    <w:p w14:paraId="7D5F4CE6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műbillentyű van a szívében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;</w:t>
      </w:r>
    </w:p>
    <w:p w14:paraId="4C161E3F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 kezelőorvosa azt állapítja meg, hogy az Ön vérnyomása nem stabil, vagy 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tüdejében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lévő vérrög eltávolítására más kezelést vagy műtéti beavatkozást terveznek.</w:t>
      </w:r>
    </w:p>
    <w:p w14:paraId="0793391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0312C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csak fokozott elővigyázatossággal alkalmazható:</w:t>
      </w:r>
    </w:p>
    <w:p w14:paraId="2EF374AB" w14:textId="67E06A09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 Önnek tudomása van arról, hogy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antifoszfolipid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-szindrómának nevezett betegségben szenved (az immunrendszer rendellenessége, ami a vérrögök kialakulásának </w:t>
      </w:r>
      <w:r w:rsidR="00981300">
        <w:rPr>
          <w:rFonts w:ascii="Times New Roman" w:eastAsia="Times New Roman" w:hAnsi="Times New Roman" w:cs="Times New Roman"/>
          <w:kern w:val="0"/>
          <w14:ligatures w14:val="none"/>
        </w:rPr>
        <w:t>nagyobb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kockázatát eredményezi), tájékoztassa kezelőorvosát, aki eldönti, hogy szükség van-e a kezelés módosítására.</w:t>
      </w:r>
    </w:p>
    <w:p w14:paraId="4CCF95F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2B825E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 műtétre vagy olyan beavatkozásra van szükség Önnél, ami vérzést okozhat, kezelőorvosa arra kérheti, hogy egy rövid időre átmenetileg hagyja abba ennek a gyógyszernek a szedését. Ha nem biztos benne, hogy a beavatkozás okozhat-e vérzést, akkor beszéljen kezelőorvosával.</w:t>
      </w:r>
    </w:p>
    <w:p w14:paraId="7D91EEB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27FFBB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Gyermekek és serdülők</w:t>
      </w:r>
    </w:p>
    <w:p w14:paraId="62E83A20" w14:textId="2750CDE9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gyógyszer alkalmazása 35 kg-nál </w:t>
      </w:r>
      <w:r w:rsidR="00981300">
        <w:rPr>
          <w:rFonts w:ascii="Times New Roman" w:eastAsia="Times New Roman" w:hAnsi="Times New Roman" w:cs="Times New Roman"/>
          <w:kern w:val="0"/>
          <w14:ligatures w14:val="none"/>
        </w:rPr>
        <w:t>kisebb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testtömegű gyermekek és serdülők kezelésére nem ajánlott.</w:t>
      </w:r>
    </w:p>
    <w:p w14:paraId="020AC2A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D96EA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Egyéb gyógyszerek és 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</w:p>
    <w:p w14:paraId="3D76160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Tájékoztassa kezelőorvosát, gyógyszerészét vagy a gondozását végző egészségügyi szakembert a jelenleg vagy nemrégiben szedett, valamint szedni tervezett egyéb gyógyszereiről.</w:t>
      </w:r>
    </w:p>
    <w:p w14:paraId="76378E3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57A9F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Egyes gyógyszerek fokozhatják, míg mások csökkenthetik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hatását.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Kezelőorvosa fogja eldönteni, hogy ezen gyógyszerek szedése mellett Ön kaphat-e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-kezelést, és hogy az Ön kezelése mennyire szoros ellenőrzést igényel.</w:t>
      </w:r>
    </w:p>
    <w:p w14:paraId="5A21898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3A6F85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alábbi gyógyszerek fokozhatják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hatását és növelhetik a nem kívánt vérzés kockázatát:</w:t>
      </w:r>
    </w:p>
    <w:p w14:paraId="4791B65C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gombás fertőzések kezelésére alkalmazott bizonyos gyógyszerek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ketokonazol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stb.);</w:t>
      </w:r>
    </w:p>
    <w:p w14:paraId="3C0DCD53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HIV/AIDS kezelésére alkalmazott egyes vírusellenes szerek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ritonavir);</w:t>
      </w:r>
    </w:p>
    <w:p w14:paraId="788AC430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más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véralvadásgátló gyógyszerek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enoxaparin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stb.);</w:t>
      </w:r>
    </w:p>
    <w:p w14:paraId="7E9559DF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gyulladáscsökkentő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vagy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fájdalomcsillapító gyógyszerek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acetilszalicilsav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vagy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naproxén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). Különösen akkor, ha Ön 75 évesnél idősebb és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acetilszalicilsavat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szed, Önnél nagyobb lehet a vérzés lehetősége;</w:t>
      </w:r>
    </w:p>
    <w:p w14:paraId="42A5CAB4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magasvérnyomás-betegségre vagy szívproblémákra szedett gyógyszerek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diltiazem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);</w:t>
      </w:r>
    </w:p>
    <w:p w14:paraId="6D5E3D9F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szelektív szerotonin-visszavételt-gátlók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nak vagy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szerotonin-</w:t>
      </w:r>
      <w:proofErr w:type="spellStart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noradrenalin</w:t>
      </w:r>
      <w:proofErr w:type="spellEnd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-visszavétel-gátlók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nak nevezett, depresszió kezelésére alkalmazott (antidepresszáns) gyógyszerek.</w:t>
      </w:r>
    </w:p>
    <w:p w14:paraId="536EDB9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EEC3B1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alábbi gyógyszerek csökkenthetik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vérrögképződést gátló hatását:</w:t>
      </w:r>
    </w:p>
    <w:p w14:paraId="27A43435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epilepszia vagy görcsrohamok megelőzésére alkalmazott gyógyszerek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fenitoin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stb.);</w:t>
      </w:r>
    </w:p>
    <w:p w14:paraId="61738DF9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közönséges orbáncfű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(depresszió kezelésére alkalmazott gyógynövény-tartalmú készítmény);</w:t>
      </w:r>
    </w:p>
    <w:p w14:paraId="291A768E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tuberkulózis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vagy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más fertőzések kezelésére alkalmazott gyógyszerek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(például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rifampicin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).</w:t>
      </w:r>
    </w:p>
    <w:p w14:paraId="7742EB0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3FED7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Terhesség és szoptatás</w:t>
      </w:r>
    </w:p>
    <w:p w14:paraId="7885105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 Ön terhes vagy szoptat, illetve, ha fennáll Önnél a terhesség lehetősége vagy gyermeket szeretne, a gyógyszer szedése előtt beszéljen kezelőorvosával, gyógyszerészével vagy a gondozását végző egészségügyi szakemberrel.</w:t>
      </w:r>
    </w:p>
    <w:p w14:paraId="23D0E95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93B14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apixabán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terhességre és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 magzatra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gyakorolt hatása nem ismert.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Ne szedje ezt a gyógyszert, ha terhes. Azonnal forduljon kezelőorvosához, ha a gyógyszer szedése alatt teherbe esik.</w:t>
      </w:r>
    </w:p>
    <w:p w14:paraId="5D03C28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49E26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Nem ismert, hogy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apixabán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átjut-e az emberi anyatejbe. A gyógyszer szoptatás alatti szedése előtt kérdezze meg kezelőorvosát, gyógyszerészét vagy a gondozását végző egészségügyi szakembert, akik tanácsot adnak Önnek, hogy a szoptatást kell-e abbahagynia, vagy a gyógyszer szedésétől kell-e tartózkodnia.</w:t>
      </w:r>
    </w:p>
    <w:p w14:paraId="517F2F7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4D660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A készítmény hatásai a gépjárművezetéshez és a gépek kezeléséhez szükséges képességekre</w:t>
      </w:r>
    </w:p>
    <w:p w14:paraId="0F4F634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nincs káros hatással a gépjárművezetéshez és a gépek kezeléséhez szükséges képességekre.</w:t>
      </w:r>
    </w:p>
    <w:p w14:paraId="739F3FC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5E919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laktózt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és nátriumot tartalmaz</w:t>
      </w:r>
    </w:p>
    <w:p w14:paraId="2A04B8C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Amennyiben kezelőorvosa korábban már figyelmeztette Önt, hogy bizonyos cukrokra érzékeny, keresse fel kezelőorvosát, mielőtt elkezdi szedni ezt a gyógyszert.</w:t>
      </w:r>
    </w:p>
    <w:p w14:paraId="1230AEF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készítmény kevesebb mint 1 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mmol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(23 mg) nátriumot tartalmaz tablettánként, azaz gyakorlatilag „nátriummentes”.</w:t>
      </w:r>
    </w:p>
    <w:p w14:paraId="70B4EDF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8199AA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4E0F65" w14:textId="77777777" w:rsidR="002F67D2" w:rsidRPr="002F67D2" w:rsidRDefault="002F67D2" w:rsidP="00B37E33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Hogyan kell szedni 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-et?</w:t>
      </w:r>
    </w:p>
    <w:p w14:paraId="02B167A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AE2B3A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gyógyszert mindig a kezelőorvosa vagy gyógyszerésze által elmondottaknak megfelelően szedje. Amennyiben nem biztos abban, hogyan alkalmazza a gyógyszert, kérdezze meg kezelőorvosát, gyógyszerészét vagy gondozását végző egészségügyi szakembert.</w:t>
      </w:r>
    </w:p>
    <w:p w14:paraId="1613182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91DB0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Adagolás</w:t>
      </w:r>
    </w:p>
    <w:p w14:paraId="778D172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tablettát vízzel kell lenyelni.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étkezés közben vagy étkezéstől függetlenül is bevehető. A legjobb terápiás hatás elérése érdekében próbálja meg a tablettákat minden nap ugyanabban az időpontban bevenni.</w:t>
      </w:r>
    </w:p>
    <w:p w14:paraId="7ABE0B3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C0DA9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 Önnek nehezére esik egészben lenyelni a tablettát, beszéljen kezelőorvosával arról, milyen egyéb </w:t>
      </w:r>
      <w:r w:rsidRPr="003D6227">
        <w:rPr>
          <w:rFonts w:ascii="Times New Roman" w:eastAsia="Times New Roman" w:hAnsi="Times New Roman" w:cs="Times New Roman"/>
          <w:kern w:val="0"/>
          <w14:ligatures w14:val="none"/>
        </w:rPr>
        <w:t xml:space="preserve">módon veheti be az </w:t>
      </w:r>
      <w:proofErr w:type="spellStart"/>
      <w:r w:rsidRPr="003D6227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3D622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D6227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3D6227">
        <w:rPr>
          <w:rFonts w:ascii="Times New Roman" w:eastAsia="Times New Roman" w:hAnsi="Times New Roman" w:cs="Times New Roman"/>
          <w:kern w:val="0"/>
          <w14:ligatures w14:val="none"/>
        </w:rPr>
        <w:t xml:space="preserve">-et. A tablettát közvetlenül a bevétel előtt porrá lehet törni, majd belekeverni vízbe, 5%-os </w:t>
      </w:r>
      <w:bookmarkStart w:id="0" w:name="_Hlk76482844"/>
      <w:r w:rsidRPr="003D6227">
        <w:rPr>
          <w:rFonts w:ascii="Times New Roman" w:eastAsia="Times New Roman" w:hAnsi="Times New Roman" w:cs="Times New Roman"/>
          <w:kern w:val="0"/>
          <w14:ligatures w14:val="none"/>
        </w:rPr>
        <w:t>szőlőcukor-oldatba</w:t>
      </w:r>
      <w:bookmarkEnd w:id="0"/>
      <w:r w:rsidRPr="003D6227">
        <w:rPr>
          <w:rFonts w:ascii="Times New Roman" w:eastAsia="Times New Roman" w:hAnsi="Times New Roman" w:cs="Times New Roman"/>
          <w:kern w:val="0"/>
          <w14:ligatures w14:val="none"/>
        </w:rPr>
        <w:t>, almalébe vagy almapürébe.</w:t>
      </w:r>
    </w:p>
    <w:p w14:paraId="6C8E300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D4D18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Útmutató a tabletta porrá töréséhez</w:t>
      </w:r>
    </w:p>
    <w:p w14:paraId="707744B7" w14:textId="77777777" w:rsidR="002F67D2" w:rsidRPr="002F67D2" w:rsidRDefault="002F67D2" w:rsidP="00B37E33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tablettákat mozsárban, mozsártörővel törje porrá.</w:t>
      </w:r>
    </w:p>
    <w:p w14:paraId="2A94196B" w14:textId="1C502F30" w:rsidR="002F67D2" w:rsidRPr="002F67D2" w:rsidRDefault="002F67D2" w:rsidP="00B37E33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így keletkezett port óvatosan tegye át egy megfelelő pohárba, majd keverjen hozzá kis mennyiségű, kb. 30 ml (2 evőkanálnyi) vizet vagy </w:t>
      </w:r>
      <w:r w:rsidRPr="003D6227">
        <w:rPr>
          <w:rFonts w:ascii="Times New Roman" w:eastAsia="Times New Roman" w:hAnsi="Times New Roman" w:cs="Times New Roman"/>
          <w:kern w:val="0"/>
          <w14:ligatures w14:val="none"/>
        </w:rPr>
        <w:t>a fent leírt folyadékok</w:t>
      </w:r>
      <w:r w:rsidR="0052298D" w:rsidRPr="003D6227">
        <w:rPr>
          <w:rFonts w:ascii="Times New Roman" w:eastAsia="Times New Roman" w:hAnsi="Times New Roman" w:cs="Times New Roman"/>
          <w:kern w:val="0"/>
          <w14:ligatures w14:val="none"/>
        </w:rPr>
        <w:t xml:space="preserve"> vagy almapüré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valamelyikét, így egy keveréket kap.</w:t>
      </w:r>
    </w:p>
    <w:p w14:paraId="0E9FD7F2" w14:textId="0DE905E2" w:rsidR="002F67D2" w:rsidRPr="002F67D2" w:rsidRDefault="002F67D2" w:rsidP="00B37E33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Fogyassza el a keveréket.</w:t>
      </w:r>
    </w:p>
    <w:p w14:paraId="252C09A0" w14:textId="77777777" w:rsidR="002F67D2" w:rsidRPr="002F67D2" w:rsidRDefault="002F67D2" w:rsidP="00B37E33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Öblítse át a tabletta összetörésére használt mozsarat és mozsártörőt, valamint a poharat egy kis mennyiségű (kb. 30 ml) vízzel vagy a fenti folyadékok valamelyikével, és ezt az öblítéshez használt folyadékot is igya meg.</w:t>
      </w:r>
    </w:p>
    <w:p w14:paraId="257A072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5706C2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Szükség esetén kezelőorvosa beadhatja a porrá tört tablettát oly módon is, hogy 60 ml vízbe vagy 5%-os szőlőcukor-oldatba keveri bele, majd a keveréket gyomorszondán (az orrán keresztül a gyomrába levezetett csövön) át adja be Önnek.</w:t>
      </w:r>
    </w:p>
    <w:p w14:paraId="54F30FD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B3202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 ajánlott adagja a következő:</w:t>
      </w:r>
    </w:p>
    <w:p w14:paraId="71E5D78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98A41F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Felnőttek</w:t>
      </w:r>
    </w:p>
    <w:p w14:paraId="6810839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Csípő- vagy térdprotézisműtét után a vérrögképződés megelőzésére</w:t>
      </w:r>
    </w:p>
    <w:p w14:paraId="5C95AEF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ajánlott adag naponta kétszer egy darab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2,5 mg-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tabletta, például egy reggel és egy este.</w:t>
      </w:r>
    </w:p>
    <w:p w14:paraId="75663BE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első tablettát 12–24 órával 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műtéte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után kell bevennie.</w:t>
      </w:r>
    </w:p>
    <w:p w14:paraId="6E14142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3553DB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 Önnek nagyobb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csípőműtéte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volt, akkor a tablettát rendszerint 32–38 napig kell szednie.</w:t>
      </w:r>
    </w:p>
    <w:p w14:paraId="482C3A9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 Önnek nagyobb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térdműtéte</w:t>
      </w:r>
      <w:proofErr w:type="spellEnd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volt, akkor a tablettát rendszerint 10–14 napig kell szednie.</w:t>
      </w:r>
    </w:p>
    <w:p w14:paraId="63D1834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A650B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 szívben történő vérrögképződés megelőzésére szívritmuszavarban szenvedő olyan betegeknél, akiknél legalább egy további kockázati tényezője is jelen van</w:t>
      </w:r>
    </w:p>
    <w:p w14:paraId="4273B4C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ajánlott adag naponta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kétszer egy darab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5 mg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os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tabletta.</w:t>
      </w:r>
    </w:p>
    <w:p w14:paraId="6BEC166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B23756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ajánlott adag naponta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kétszer egy darab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2,5 mg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os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tabletta, ha:</w:t>
      </w:r>
    </w:p>
    <w:p w14:paraId="7A5B0B09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Ön súlyos vesekárosodásban szenved;</w:t>
      </w:r>
    </w:p>
    <w:p w14:paraId="11C361B1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az alábbiak közül kettő vagy több vonatkozik Önre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:</w:t>
      </w:r>
    </w:p>
    <w:p w14:paraId="0F877BE0" w14:textId="0AD755AC" w:rsidR="002F67D2" w:rsidRPr="002F67D2" w:rsidRDefault="002F67D2" w:rsidP="00B37E33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vérvizsgálati eredményei </w:t>
      </w:r>
      <w:r w:rsidR="00F96796">
        <w:rPr>
          <w:rFonts w:ascii="Times New Roman" w:eastAsia="Times New Roman" w:hAnsi="Times New Roman" w:cs="Times New Roman"/>
          <w:kern w:val="0"/>
          <w14:ligatures w14:val="none"/>
        </w:rPr>
        <w:t xml:space="preserve">károsodott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veseműködésre utalnak (a szérum-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kreatininszint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1,5 mg/dl [133 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mikromol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/l] vagy magasabb érték);</w:t>
      </w:r>
    </w:p>
    <w:p w14:paraId="5BA7F92B" w14:textId="77777777" w:rsidR="002F67D2" w:rsidRPr="002F67D2" w:rsidRDefault="002F67D2" w:rsidP="00B37E33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Ön 80 éves vagy annál idősebb,</w:t>
      </w:r>
    </w:p>
    <w:p w14:paraId="560EDAAF" w14:textId="77777777" w:rsidR="002F67D2" w:rsidRPr="002F67D2" w:rsidRDefault="002F67D2" w:rsidP="00B37E33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testtömege 60 kg vagy annál alacsonyabb.</w:t>
      </w:r>
    </w:p>
    <w:p w14:paraId="12E8534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CF8D4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javasolt adag naponta kétszer egy tabletta, például egy reggel és egy este.</w:t>
      </w:r>
    </w:p>
    <w:p w14:paraId="366AD4E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Kezelőorvosa fogja eldönteni, hogy mennyi ideig kell folytatnia a kezelést.</w:t>
      </w:r>
    </w:p>
    <w:p w14:paraId="3B755C5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64033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 lábak visszereiben lévő vérrögök és a tüdő ereiben lévő vérrögök kezelése</w:t>
      </w:r>
    </w:p>
    <w:p w14:paraId="37DD3D9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javasolt adag naponta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kétszer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két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darab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5 mg-</w:t>
      </w:r>
      <w:proofErr w:type="spellStart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os</w:t>
      </w:r>
      <w:proofErr w:type="spellEnd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tabletta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első 7 napon, például kettő reggel és kettő este.</w:t>
      </w:r>
    </w:p>
    <w:p w14:paraId="3D916C9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7 nap után a javasolt adag naponta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kétszer egy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darab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5 mg-</w:t>
      </w:r>
      <w:proofErr w:type="spellStart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os</w:t>
      </w:r>
      <w:proofErr w:type="spellEnd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tabletta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, például egy reggel és egy este.</w:t>
      </w:r>
    </w:p>
    <w:p w14:paraId="0EFF3A9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78727F" w14:textId="77777777" w:rsidR="002F67D2" w:rsidRPr="002F67D2" w:rsidRDefault="002F67D2" w:rsidP="002F67D2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Ismételt vérrögképződés megelőzésére a 6 hónapig tartó kezelés befejezése után</w:t>
      </w:r>
    </w:p>
    <w:p w14:paraId="57CD6DB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javasolt adag naponta kétszer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egy </w:t>
      </w: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darab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2,5 mg-</w:t>
      </w:r>
      <w:proofErr w:type="spellStart"/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os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tabletta, például egy reggel és egy este.</w:t>
      </w:r>
    </w:p>
    <w:p w14:paraId="7EF60D5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Kezelőorvosa fogja eldönteni, hogy mennyi ideig kell folytatnia a kezelést.</w:t>
      </w:r>
    </w:p>
    <w:p w14:paraId="406BC8D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2046C9F" w14:textId="77777777" w:rsidR="002F67D2" w:rsidRPr="002F67D2" w:rsidRDefault="002F67D2" w:rsidP="002F67D2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Alkalmazása gyermekeknél és serdülőknél</w:t>
      </w:r>
    </w:p>
    <w:p w14:paraId="7EC7D00C" w14:textId="77777777" w:rsidR="002F67D2" w:rsidRPr="002F67D2" w:rsidRDefault="002F67D2" w:rsidP="002F67D2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 vénákban vagy a tüdő ereiben lévő vérrögök kezelésére és a vérrögök újbóli kialakulásának megelőzésére</w:t>
      </w:r>
    </w:p>
    <w:p w14:paraId="528556B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gyógyszert mindig az Ön vagy a gyermekének kezelőorvosa vagy gyógyszerésze által elmondottaknak megfelelően szedje vagy adja be. Amennyiben nem biztos abban, hogyan alkalmazza a gyógyszert, kérdezze meg az Ön vagy a gyermek kezelőorvosát, gyógyszerészét vagy a gondozását végző egészségügyi szakembert.</w:t>
      </w:r>
    </w:p>
    <w:p w14:paraId="605CB31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4EBEC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legjobb terápiás hatás elérése érdekében próbálja meg az adagot minden nap ugyanabban az időpontban bevenni vagy beadni.</w:t>
      </w:r>
    </w:p>
    <w:p w14:paraId="6AF9170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F55FB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adagja a testtömegtől függ, és a kezelőorvos számítja ki.</w:t>
      </w:r>
    </w:p>
    <w:p w14:paraId="106649E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javasolt adag a legalább 35 kg testtömegű gyermekek és serdülők számára naponta kétszer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négy darab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2,5 mg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tabletta az első 7 napon, például négy darab reggel és négy darab este. 7 napot követően a javasolt adag naponta kétszer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két darab 2,5 mg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os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tabletta, például két darab reggel és két darab este.</w:t>
      </w:r>
    </w:p>
    <w:p w14:paraId="3F2DC29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8FD48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szülők vagy gondozók figyelmébe: a gyermeket figyelni kell, hogy biztosan bevegye a teljes adagot.</w:t>
      </w:r>
    </w:p>
    <w:p w14:paraId="7DD8400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1D9E0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Fontos a kezelőorvos rendszeres felkeresése, mivel a testtömeg változásával szükség lehet az adag módosítására.</w:t>
      </w:r>
    </w:p>
    <w:p w14:paraId="4744E0B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6E9D4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Előfordulhat, hogy kezelőorvosa az alábbiak szerint megváltoztatja a véralvadásgátló kezelését:</w:t>
      </w:r>
    </w:p>
    <w:p w14:paraId="0694BF35" w14:textId="77777777" w:rsidR="002F67D2" w:rsidRPr="002F67D2" w:rsidRDefault="002F67D2" w:rsidP="002F67D2">
      <w:pPr>
        <w:widowControl w:val="0"/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u w:val="single"/>
          <w14:ligatures w14:val="none"/>
        </w:rPr>
      </w:pPr>
    </w:p>
    <w:p w14:paraId="137804E3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i/>
          <w:iCs/>
          <w:kern w:val="0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Grindeks-ről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véralvadásgátló gyógyszerekre történő átállás</w:t>
      </w:r>
    </w:p>
    <w:p w14:paraId="7E60278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Hagyja abba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szedését. Akkor kezdje el a véralvadásgátló gyógyszerrel (például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heparinnal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 a kezelést, amikor a következő tablettát be kellene vennie.</w:t>
      </w:r>
    </w:p>
    <w:p w14:paraId="49D8F5D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5C92A0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Véralvadásgátló gyógyszerekről </w:t>
      </w: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-re történő átállás</w:t>
      </w:r>
    </w:p>
    <w:p w14:paraId="3171C337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ab/>
        <w:t xml:space="preserve">Hagyja abba a véralvadásgátló gyógyszerek szedését. Akkor kezdje el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-kezelést, amikor a véralvadásgátló gyógyszer következő adagja esedékes lenne, majd folytassa azt a szokásos módon.</w:t>
      </w:r>
    </w:p>
    <w:p w14:paraId="745AEC92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3283D7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K-vitamin-antagonista tartalmú véralvadásgátló kezelésről (például </w:t>
      </w: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warfarin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) történő átállás </w:t>
      </w: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Grindeks-re</w:t>
      </w:r>
    </w:p>
    <w:p w14:paraId="2FF8B10A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ab/>
        <w:t xml:space="preserve">Hagyja abba a K-vitamin-antagonista tartalmú gyógyszer szedését. Kezelőorvosának vérvizsgálatokat kell végeznie, és tájékoztatja Önt, hogy mikor kell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elkezdenie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szedését.</w:t>
      </w:r>
    </w:p>
    <w:p w14:paraId="72AC8F9E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10E8912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Grindeks-ről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K-vitamin-</w:t>
      </w: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antagonista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 xml:space="preserve"> tartalmú véralvadásgátló kezelésre (például </w:t>
      </w:r>
      <w:proofErr w:type="spellStart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warfarin</w:t>
      </w:r>
      <w:proofErr w:type="spellEnd"/>
      <w:r w:rsidRPr="002F67D2">
        <w:rPr>
          <w:rFonts w:ascii="Times New Roman" w:eastAsia="Times New Roman" w:hAnsi="Times New Roman" w:cs="Times New Roman"/>
          <w:bCs/>
          <w:i/>
          <w:iCs/>
          <w:kern w:val="0"/>
          <w14:ligatures w14:val="none"/>
        </w:rPr>
        <w:t>) történő átállás</w:t>
      </w:r>
    </w:p>
    <w:p w14:paraId="05AD6E4E" w14:textId="77777777" w:rsidR="002F67D2" w:rsidRPr="002F67D2" w:rsidRDefault="002F67D2" w:rsidP="002F67D2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iCs/>
          <w:kern w:val="0"/>
          <w14:ligatures w14:val="none"/>
        </w:rPr>
        <w:tab/>
        <w:t xml:space="preserve">Ha kezelőorvosa azt mondja Önnek, hogy egy K-vitamin-antagonista tartalmú gyógyszer szedését kell </w:t>
      </w:r>
      <w:proofErr w:type="spellStart"/>
      <w:r w:rsidRPr="002F67D2">
        <w:rPr>
          <w:rFonts w:ascii="Times New Roman" w:eastAsia="Times New Roman" w:hAnsi="Times New Roman" w:cs="Times New Roman"/>
          <w:iCs/>
          <w:kern w:val="0"/>
          <w14:ligatures w14:val="none"/>
        </w:rPr>
        <w:t>elkezdenie</w:t>
      </w:r>
      <w:proofErr w:type="spellEnd"/>
      <w:r w:rsidRPr="002F67D2">
        <w:rPr>
          <w:rFonts w:ascii="Times New Roman" w:eastAsia="Times New Roman" w:hAnsi="Times New Roman" w:cs="Times New Roman"/>
          <w:iCs/>
          <w:kern w:val="0"/>
          <w14:ligatures w14:val="none"/>
        </w:rPr>
        <w:t>, akkor a K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-vitamin-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antagonista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tartalmú gyógyszer első adagjának bevétele után is még legalább 2 napig folytassa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szedését. Kezelőorvosának vérvizsgálatokat kell végeznie, és tájékoztatja Önt, mikor hagyja abba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szedését.</w:t>
      </w:r>
    </w:p>
    <w:p w14:paraId="696D55FD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88B8D5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Kardioverzióban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részesülő betegek</w:t>
      </w:r>
    </w:p>
    <w:p w14:paraId="722788C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 szívritmuszavarát 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kardioverziónak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nevezett eljárással kell helyreállítani, vegye be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-et</w:t>
      </w:r>
      <w:r w:rsidRPr="002F67D2" w:rsidDel="00B57FF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azokban az időpontokban, amikor kezelőorvosa mondja, hogy megelőzze a vérrögök kialakulását az agy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vérereiben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és a szervezetében lévő egyéb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erekben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1B6825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B269C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Ha az előírtnál több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 vett be</w:t>
      </w:r>
    </w:p>
    <w:p w14:paraId="3490664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Azonnal tájékoztassa kezelőorvosát, ha az előírtnál nagyobb adag gyógyszert vett be. Vigye magával a gyógyszer dobozát akkor is, ha abban nem maradt tabletta.</w:t>
      </w:r>
    </w:p>
    <w:p w14:paraId="22B0CF7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13197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 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javasoltnál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több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-et vett be, akkor nagyobb lehet Önnél a vérzés kockázata. Vérzés esetén sebészeti beavatkozásra, vérátömlesztésre vagy 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Xa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-faktor-ellenes aktivitás felfüggesztésére képes egyéb kezelésre lehet szükség.</w:t>
      </w:r>
    </w:p>
    <w:p w14:paraId="1BC5986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7509C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Ha elfelejtette bevenni 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</w:t>
      </w:r>
    </w:p>
    <w:p w14:paraId="5304E704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Ha elfelejtette a reggeli adagot, vegye be, amint eszébe jut, és akár az esti adaggal együtt is beveheti.</w:t>
      </w:r>
    </w:p>
    <w:p w14:paraId="7E1F687B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Cs/>
          <w:kern w:val="0"/>
          <w14:ligatures w14:val="none"/>
        </w:rPr>
        <w:t>A kihagyott esti adagot csak ugyanazon este szabad bevenni. Ne vegyen be két adagot másnap reggel, hanem másnap az ajánlásnak megfelelően folytassa a naponta kétszeri adagolást.</w:t>
      </w:r>
    </w:p>
    <w:p w14:paraId="15F8235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Ha nem biztos benne, mit kell tennie, vagy egynél több adagot hagyott ki,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kérdezze meg kezelőorvosát, gyógyszerészét vagy a gondozását végző egészségügyi szakembert. Ne vegyen be kétszeres adagot a kihagyott adag pótlására.</w:t>
      </w:r>
    </w:p>
    <w:p w14:paraId="6B70360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D6066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Ha idő előtt abbahagyja a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szedését</w:t>
      </w:r>
    </w:p>
    <w:p w14:paraId="0FBFB50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Ne hagyja abba a gyógyszer szedését anélkül, hogy előtte ezt kezelőorvosával megbeszélné, mert a kezelés túl korai abbahagyása a vérrögképződés nagyobb kockázatát eredményezheti.</w:t>
      </w:r>
    </w:p>
    <w:p w14:paraId="48913FD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4BC51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 bármilyen további kérdése van a gyógyszer alkalmazásával kapcsolatban, kérdezze meg kezelőorvosát, gyógyszerészét vagy a gondozását végző egészségügyi szakembert.</w:t>
      </w:r>
    </w:p>
    <w:p w14:paraId="00D5125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2C9D2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95679E" w14:textId="77777777" w:rsidR="002F67D2" w:rsidRPr="002F67D2" w:rsidRDefault="002F67D2" w:rsidP="00B37E33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Lehetséges mellékhatások</w:t>
      </w:r>
    </w:p>
    <w:p w14:paraId="71B4C8D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F89B74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Mint minden gyógyszer, így ez a gyógyszer is okozhat mellékhatásokat, amelyek azonban nem mindenkinél jelentkeznek.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három különböző betegség esetén kezelésére alkalmazható. Az ismert mellékhatások és azok előfordulási gyakorisága az egyes betegségek esetén eltérőek lehetnek, és az alábbiakban külön-külön kerülnek felsorolásra. A gyógyszer leggyakoribb általános mellékhatása mindhárom betegség esetén a vérzés, amely életveszélyes lehet, és azonnali orvosi kezelést igényel.</w:t>
      </w:r>
    </w:p>
    <w:p w14:paraId="21493F3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0AF6B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Az alábbi mellékhatások ismertek, ha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-et a csípő- vagy térdprotézis műtét után a vérrögképződés megelőzésére szedi.</w:t>
      </w:r>
    </w:p>
    <w:p w14:paraId="49A7031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72DC5C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 (10-ből legfeljebb 1 beteget érinthet)</w:t>
      </w:r>
    </w:p>
    <w:p w14:paraId="2208F68D" w14:textId="77777777" w:rsidR="002F67D2" w:rsidRPr="002F67D2" w:rsidRDefault="002F67D2" w:rsidP="00B37E33">
      <w:pPr>
        <w:widowControl w:val="0"/>
        <w:numPr>
          <w:ilvl w:val="0"/>
          <w:numId w:val="1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357" w:hanging="35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vérszegénység, ami fáradtságot vagy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sápadtságot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okozhat;</w:t>
      </w:r>
    </w:p>
    <w:p w14:paraId="4CE74CD9" w14:textId="77777777" w:rsidR="002F67D2" w:rsidRPr="002F67D2" w:rsidRDefault="002F67D2" w:rsidP="00B37E33">
      <w:pPr>
        <w:widowControl w:val="0"/>
        <w:numPr>
          <w:ilvl w:val="0"/>
          <w:numId w:val="1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357" w:hanging="35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vérzés, beleértve: véraláfutás és duzzanat;</w:t>
      </w:r>
    </w:p>
    <w:p w14:paraId="607C0190" w14:textId="77777777" w:rsidR="002F67D2" w:rsidRPr="002F67D2" w:rsidRDefault="002F67D2" w:rsidP="00B37E33">
      <w:pPr>
        <w:widowControl w:val="0"/>
        <w:numPr>
          <w:ilvl w:val="0"/>
          <w:numId w:val="11"/>
        </w:numPr>
        <w:tabs>
          <w:tab w:val="left" w:pos="802"/>
          <w:tab w:val="left" w:pos="803"/>
        </w:tabs>
        <w:autoSpaceDE w:val="0"/>
        <w:autoSpaceDN w:val="0"/>
        <w:spacing w:after="0" w:line="240" w:lineRule="auto"/>
        <w:ind w:left="357" w:hanging="35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hányinger.</w:t>
      </w:r>
    </w:p>
    <w:p w14:paraId="1054DE4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DF67D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gyakori (100-ból legfeljebb 1 beteget érinthet)</w:t>
      </w:r>
    </w:p>
    <w:p w14:paraId="6FA0539D" w14:textId="77777777" w:rsidR="002F67D2" w:rsidRPr="002F67D2" w:rsidRDefault="002F67D2" w:rsidP="00B37E33">
      <w:pPr>
        <w:widowControl w:val="0"/>
        <w:numPr>
          <w:ilvl w:val="0"/>
          <w:numId w:val="12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561" w:hanging="561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csökkent vérlemezkeszám a vérben (ami befolyásolhatja a véralvadást);</w:t>
      </w:r>
    </w:p>
    <w:p w14:paraId="74B48F10" w14:textId="77777777" w:rsidR="002F67D2" w:rsidRPr="002F67D2" w:rsidRDefault="002F67D2" w:rsidP="00B37E33">
      <w:pPr>
        <w:widowControl w:val="0"/>
        <w:numPr>
          <w:ilvl w:val="0"/>
          <w:numId w:val="12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561" w:hanging="561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4DE161B5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műtét után megjelenő vérzés, beleértve a véraláfutást és a duzzanatot, a műtéti sebből/metszésből vagy az injekció beadási helyéről szivárgó vért vagy folyadékot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sebváladékozás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5A6E3132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gyomrában vagy a belekben, vagy élénk/piros vér a székletben;</w:t>
      </w:r>
    </w:p>
    <w:p w14:paraId="50624034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véres vizelet;</w:t>
      </w:r>
    </w:p>
    <w:p w14:paraId="6445DA17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orrvérzés;</w:t>
      </w:r>
    </w:p>
    <w:p w14:paraId="66CC7DF8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hüvelyi vérzés;</w:t>
      </w:r>
    </w:p>
    <w:p w14:paraId="4E097639" w14:textId="77777777" w:rsidR="002F67D2" w:rsidRPr="002F67D2" w:rsidRDefault="002F67D2" w:rsidP="00B37E33">
      <w:pPr>
        <w:widowControl w:val="0"/>
        <w:numPr>
          <w:ilvl w:val="0"/>
          <w:numId w:val="13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561" w:hanging="561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alacsony vérnyomás, amely ájulással vagy felgyorsult szívveréssel járhat;</w:t>
      </w:r>
    </w:p>
    <w:p w14:paraId="5C094E75" w14:textId="77777777" w:rsidR="002F67D2" w:rsidRPr="002F67D2" w:rsidRDefault="002F67D2" w:rsidP="00B37E33">
      <w:pPr>
        <w:widowControl w:val="0"/>
        <w:numPr>
          <w:ilvl w:val="0"/>
          <w:numId w:val="13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561" w:hanging="561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6C13D1F7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rendellenes májfunkciós értékek;</w:t>
      </w:r>
    </w:p>
    <w:p w14:paraId="4F6AED69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bizonyos májenzimek szintjének emelkedése;</w:t>
      </w:r>
    </w:p>
    <w:p w14:paraId="5422B893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vörösvértestek szétesése következtében keletkező bilirubin szintjének emelkedése, ami a bőr és a szemfehérje besárgulását okozhatja;</w:t>
      </w:r>
    </w:p>
    <w:p w14:paraId="530FBAAA" w14:textId="77777777" w:rsidR="002F67D2" w:rsidRPr="002F67D2" w:rsidRDefault="002F67D2" w:rsidP="00B37E33">
      <w:pPr>
        <w:widowControl w:val="0"/>
        <w:numPr>
          <w:ilvl w:val="0"/>
          <w:numId w:val="12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561" w:hanging="561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viszketés.</w:t>
      </w:r>
    </w:p>
    <w:p w14:paraId="1D78EEBE" w14:textId="77777777" w:rsidR="002F67D2" w:rsidRPr="002F67D2" w:rsidRDefault="002F67D2" w:rsidP="002F67D2">
      <w:pPr>
        <w:widowControl w:val="0"/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799" w:hanging="799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36BA07A" w14:textId="77777777" w:rsidR="002F67D2" w:rsidRPr="002F67D2" w:rsidRDefault="002F67D2" w:rsidP="002F67D2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Ritka (1000-ből legfeljebb 1 beteget érinthet)</w:t>
      </w:r>
    </w:p>
    <w:p w14:paraId="12F83DAB" w14:textId="77777777" w:rsidR="002F67D2" w:rsidRPr="002F67D2" w:rsidRDefault="002F67D2" w:rsidP="00B37E33">
      <w:pPr>
        <w:keepNext/>
        <w:numPr>
          <w:ilvl w:val="0"/>
          <w:numId w:val="14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561" w:hanging="561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allergiás reakciók (túlérzékenység), amelyek az arc, ajak, a száj, a nyelv és/vagy a torok duzzanatát és légzési nehézséget okozhatnak.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Azonnal forduljon orvoshoz,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 ezen tünetek bármelyikét tapasztalja;</w:t>
      </w:r>
    </w:p>
    <w:p w14:paraId="58627853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54AEF2A0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izomban;</w:t>
      </w:r>
    </w:p>
    <w:p w14:paraId="569EC23C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szemben;</w:t>
      </w:r>
    </w:p>
    <w:p w14:paraId="238E5708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fogínyből vagy köhögés után vér van a köpetben;</w:t>
      </w:r>
    </w:p>
    <w:p w14:paraId="26ADA294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végbélből;</w:t>
      </w:r>
    </w:p>
    <w:p w14:paraId="6E42C4FB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hajhullás.</w:t>
      </w:r>
    </w:p>
    <w:p w14:paraId="128BBA6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57A1C5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ismert (a gyakoriság a rendelkezésre álló adatokból nem állapítható meg)</w:t>
      </w:r>
    </w:p>
    <w:p w14:paraId="089E0E2D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32927C49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agyában vagy a gerincoszlopában;</w:t>
      </w:r>
    </w:p>
    <w:p w14:paraId="38B6CF3E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tüdejében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vagy a torkában;</w:t>
      </w:r>
    </w:p>
    <w:p w14:paraId="58394561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szájüregében;</w:t>
      </w:r>
    </w:p>
    <w:p w14:paraId="28277B7F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hasüregbe és a hasüreg mögötti területre;</w:t>
      </w:r>
    </w:p>
    <w:p w14:paraId="0DB98823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aranyérből;</w:t>
      </w:r>
    </w:p>
    <w:p w14:paraId="21A867C1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székletben vagy a vizeletben, amit vizsgálatokkal mutatnak ki;</w:t>
      </w:r>
    </w:p>
    <w:p w14:paraId="54A12410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hólyagos bőrkiütés, ami céltáblára emlékeztet (középen sötét pontokkal, körülötte halványabb területtel és a szélén sötét gyűrűvel) </w:t>
      </w:r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(</w:t>
      </w:r>
      <w:proofErr w:type="spellStart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eritéma</w:t>
      </w:r>
      <w:proofErr w:type="spellEnd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multiforme</w:t>
      </w:r>
      <w:proofErr w:type="spellEnd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);</w:t>
      </w:r>
    </w:p>
    <w:p w14:paraId="44F1688E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vérerek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gyulladása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vaszkulitisz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), amely bőrkiütést vagy a bőrfelszín alatt pontszerű, lapos, vörös, kerek foltokat vagy véraláfutást okozhat;</w:t>
      </w:r>
    </w:p>
    <w:p w14:paraId="7C44FB41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vesében jelentkező vérzés, alkalmanként véres vizelettel, ami ellehetetleníti a vesék megfelelő működését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antikoagulánssal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kapcsolatos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nefropátia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7D67ED7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0EBE7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A következő mellékhatások ismertek, ha Ön </w:t>
      </w:r>
      <w:proofErr w:type="spellStart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-et szed a szívben kialakuló vérrögök megelőzésére szabálytalan szívverés és legalább egy további kockázati tényező fennállása esetén</w:t>
      </w:r>
    </w:p>
    <w:p w14:paraId="2BAC831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142CD56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 (10-ből legfeljebb 1 beteget érinthet)</w:t>
      </w:r>
    </w:p>
    <w:p w14:paraId="1702B88B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vérzés, többek között:</w:t>
      </w:r>
    </w:p>
    <w:p w14:paraId="5E6E58DA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szemben;</w:t>
      </w:r>
    </w:p>
    <w:p w14:paraId="4A53916A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gyomorban vagy a belekben;</w:t>
      </w:r>
    </w:p>
    <w:p w14:paraId="02FE70C5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végbélből;</w:t>
      </w:r>
    </w:p>
    <w:p w14:paraId="7638E033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véres vizelet;</w:t>
      </w:r>
    </w:p>
    <w:p w14:paraId="7EFDEBE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orrból;</w:t>
      </w:r>
    </w:p>
    <w:p w14:paraId="6E50ED7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fogínyből;</w:t>
      </w:r>
    </w:p>
    <w:p w14:paraId="31B3C122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véraláfutás és duzzanat;</w:t>
      </w:r>
    </w:p>
    <w:p w14:paraId="5804FE68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vérszegénység (anémia), ami fáradtságot vagy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sápadtságot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okozhat;</w:t>
      </w:r>
    </w:p>
    <w:p w14:paraId="52A0B971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alacsony vérnyomás, ami ájulással, felgyorsult szívveréssel járhat;</w:t>
      </w:r>
    </w:p>
    <w:p w14:paraId="7AF6FFD6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hányinger;</w:t>
      </w:r>
    </w:p>
    <w:p w14:paraId="70C1A223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vérvizsgálatok megnövekedett gamma-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glutamil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transzferáz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-szintet (GGT) mutatnak.</w:t>
      </w:r>
    </w:p>
    <w:p w14:paraId="4F75FA0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06766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gyakori (100-ból legfeljebb 1 beteget érinthet)</w:t>
      </w:r>
    </w:p>
    <w:p w14:paraId="1EF9114E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5419A6B1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agyban vagy a gerincoszlopban;</w:t>
      </w:r>
    </w:p>
    <w:p w14:paraId="771CA778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szájban, vagy köhögés után vér van a köpetben;</w:t>
      </w:r>
    </w:p>
    <w:p w14:paraId="21519843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hasüregben vagy a hüvelyből;</w:t>
      </w:r>
    </w:p>
    <w:p w14:paraId="524B0AF2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élénk színű/piros vér a székletben;</w:t>
      </w:r>
    </w:p>
    <w:p w14:paraId="23EFC021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műtét után megjelenő vérzés, beleértve a véraláfutást és a duzzanatot, a műtéti sebből/metszésből vagy az injekció beadási helyéről szivárgó vért vagy folyadékot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sebváladékozás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3FAA8024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aranyérből;</w:t>
      </w:r>
    </w:p>
    <w:p w14:paraId="0B02A9DE" w14:textId="77777777" w:rsidR="002F67D2" w:rsidRPr="002F67D2" w:rsidRDefault="002F67D2" w:rsidP="00B37E33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vizsgálatokkal kimutatott vérzés a székletben vagy a vizeletben;</w:t>
      </w:r>
    </w:p>
    <w:p w14:paraId="003B5363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csökkent vérlemezkeszám a vérben (ami befolyásolhatja a vérrögképződést);</w:t>
      </w:r>
    </w:p>
    <w:p w14:paraId="7EFAB71B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734F8536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rendellenes májműködés;</w:t>
      </w:r>
    </w:p>
    <w:p w14:paraId="4CB66154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bizonyos májenzimek szintjének emelkedése;</w:t>
      </w:r>
    </w:p>
    <w:p w14:paraId="0BC09EF9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vörösvértestek szétesése következtében keletkező bilirubin szintjének emelkedése, ami a bőr és a szemfehérje besárgulását okozhatja;</w:t>
      </w:r>
    </w:p>
    <w:p w14:paraId="779F668F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bőrkiütés;</w:t>
      </w:r>
    </w:p>
    <w:p w14:paraId="392E6D51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viszketés;</w:t>
      </w:r>
    </w:p>
    <w:p w14:paraId="45248F85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hajhullás;</w:t>
      </w:r>
    </w:p>
    <w:p w14:paraId="26A2CC04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allergiás reakciók (túlérzékenység), amelyek az arc, az ajak, a nyelv és/vagy a garat duzzanatát és nehézlégzést okozhatnak.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Azonnal forduljon kezelőorvosához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, ha ezek közül a mellékhatások közül bármelyiket észleli.</w:t>
      </w:r>
    </w:p>
    <w:p w14:paraId="4E79821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8118A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Ritka (1000-ből legfeljebb 1 beteget érinthet)</w:t>
      </w:r>
    </w:p>
    <w:p w14:paraId="419CA101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30D97C61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tüdőben vagy a torokban;</w:t>
      </w:r>
    </w:p>
    <w:p w14:paraId="228566F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hasüreg mögötti térbe szivárgó vérzés;</w:t>
      </w:r>
    </w:p>
    <w:p w14:paraId="72CCB1E7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izomban.</w:t>
      </w:r>
    </w:p>
    <w:p w14:paraId="31D1DB6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ADA312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Nagyon ritka (10 000-ből legfeljebb 1 beteget érinthet)</w:t>
      </w:r>
    </w:p>
    <w:p w14:paraId="7F9D0E0B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hólyagos bőrkiütés, ami céltáblára emlékeztet (középen sötét pontokkal, körülötte halványabb területtel és a szélén sötét gyűrűvel) </w:t>
      </w:r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(</w:t>
      </w:r>
      <w:proofErr w:type="spellStart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eritéma</w:t>
      </w:r>
      <w:proofErr w:type="spellEnd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multiforme</w:t>
      </w:r>
      <w:proofErr w:type="spellEnd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)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730AA8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310A60C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ismert gyakoriságú mellékhatás (a gyakoriság a rendelkezésre álló adatokból nem állapítható meg)</w:t>
      </w:r>
    </w:p>
    <w:p w14:paraId="76303997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vérerek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gyulladása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vaszkulitisz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), amely bőrkiütést vagy a bőrfelszín alatt pontszerű, lapos, vörös, kerek foltokat vagy véraláfutást okozhat;</w:t>
      </w:r>
    </w:p>
    <w:p w14:paraId="331E3AA3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vesében jelentkező vérzés, alkalmanként véres vizelettel, ami ellehetetleníti a vesék megfelelő működését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antikoagulánssal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kapcsolatos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nefropátia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29BC3E8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35B7AD8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Az alábbi mellékhatások ismertek, ha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-et a lábak visszereiben lévő vérrögök és a tüdő ereiben lévő vérrögök kezelésére vagy azok ismételt kialakulásának megelőzésére szedi</w:t>
      </w:r>
    </w:p>
    <w:p w14:paraId="6289619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71011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 (10-ből legfeljebb 1 beteget érinthet)</w:t>
      </w:r>
    </w:p>
    <w:p w14:paraId="4943D481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566"/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vérzés, többek között:</w:t>
      </w:r>
    </w:p>
    <w:p w14:paraId="4A3C2A16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orrból;</w:t>
      </w:r>
    </w:p>
    <w:p w14:paraId="012763F0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fogínyből;</w:t>
      </w:r>
    </w:p>
    <w:p w14:paraId="5F31AEC6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vizeletben;</w:t>
      </w:r>
    </w:p>
    <w:p w14:paraId="100AD1C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véraláfutás és duzzanat;</w:t>
      </w:r>
    </w:p>
    <w:p w14:paraId="0A1F6BAF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gyomorban, a belekben, a végbélből;</w:t>
      </w:r>
    </w:p>
    <w:p w14:paraId="7272D39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szájban;</w:t>
      </w:r>
    </w:p>
    <w:p w14:paraId="3A2D3355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hüvelyből;</w:t>
      </w:r>
    </w:p>
    <w:p w14:paraId="7317231C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vérszegénység, ami fáradtságot vagy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sápadtságot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okozhat;</w:t>
      </w:r>
    </w:p>
    <w:p w14:paraId="59AAE434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csökkent vérlemezkeszám a vérben (amely befolyásolhatja a vérrögképződést);</w:t>
      </w:r>
    </w:p>
    <w:p w14:paraId="0C0182A0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hányinger;</w:t>
      </w:r>
    </w:p>
    <w:p w14:paraId="30FCDE89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bőrkiütés;</w:t>
      </w:r>
    </w:p>
    <w:p w14:paraId="6FF20043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32010A05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emelkedett gamma-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glutamil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transzferáz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-szint (GGT) vagy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glutamát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piruvát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transzamináz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-szint (GPT).</w:t>
      </w:r>
    </w:p>
    <w:p w14:paraId="6CEA291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368DC6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gyakori (100-ból legfeljebb 1 beteget érinthet)</w:t>
      </w:r>
    </w:p>
    <w:p w14:paraId="3DE9D70C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alacsony vérnyomás, ami ájulással, felgyorsult szívveréssel járhat;</w:t>
      </w:r>
    </w:p>
    <w:p w14:paraId="4EEBB369" w14:textId="77777777" w:rsidR="002F67D2" w:rsidRPr="002F67D2" w:rsidRDefault="002F67D2" w:rsidP="00B37E33">
      <w:pPr>
        <w:widowControl w:val="0"/>
        <w:numPr>
          <w:ilvl w:val="0"/>
          <w:numId w:val="5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434EAAFF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szemekben;</w:t>
      </w:r>
    </w:p>
    <w:p w14:paraId="3C02C909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szájban vagy köhögés után vér van a köpetben;</w:t>
      </w:r>
    </w:p>
    <w:p w14:paraId="51E73449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élénk színű/piros vér a székletben;</w:t>
      </w:r>
    </w:p>
    <w:p w14:paraId="2DCDC271" w14:textId="77777777" w:rsidR="002F67D2" w:rsidRPr="002F67D2" w:rsidRDefault="002F67D2" w:rsidP="00B37E33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vizsgálatokkal kimutatott vérzés a székletben vagy a vizeletben;</w:t>
      </w:r>
    </w:p>
    <w:p w14:paraId="49A92E6F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műtét után megjelenő vérzés, beleértve a véraláfutást és a duzzanatot, a műtéti sebből/metszésből vagy az injekció beadási helyéről szivárgó vért vagy folyadékot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sebváladékozás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7A6739C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aranyérből;</w:t>
      </w:r>
    </w:p>
    <w:p w14:paraId="652179B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izomban;</w:t>
      </w:r>
    </w:p>
    <w:p w14:paraId="504822B3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viszketés;</w:t>
      </w:r>
    </w:p>
    <w:p w14:paraId="7A67FB19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hajhullás;</w:t>
      </w:r>
    </w:p>
    <w:p w14:paraId="0218F8A1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allergiás reakciók (túlérzékenység), amelyek az arc, az ajak, a nyelv és/vagy a torok feldagadását és nehézlégzést okozhatnak.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Azonnal forduljon kezelőorvosához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, ha ezek közül a mellékhatások közül bármelyiket észleli;</w:t>
      </w:r>
    </w:p>
    <w:p w14:paraId="1306E66C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0AC27DFA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rendellenes májfunkciós vizsgálati eredmények;</w:t>
      </w:r>
    </w:p>
    <w:p w14:paraId="6267A7E6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bizonyos májenzimek szintjének emelkedése;</w:t>
      </w:r>
    </w:p>
    <w:p w14:paraId="3DA118B8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vörösvértestek szétesése következtében keletkező bilirubin szintjének emelkedése, ami a bőr és a szemfehérje besárgulását okozhatja.</w:t>
      </w:r>
    </w:p>
    <w:p w14:paraId="683E0F7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E4A3D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Ritka (1000-ből legfeljebb 1 beteget érinthet)</w:t>
      </w:r>
    </w:p>
    <w:p w14:paraId="716E7E37" w14:textId="77777777" w:rsidR="002F67D2" w:rsidRPr="002F67D2" w:rsidRDefault="002F67D2" w:rsidP="00B37E33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36ED01A3" w14:textId="77777777" w:rsidR="002F67D2" w:rsidRPr="002F67D2" w:rsidRDefault="002F67D2" w:rsidP="00B37E33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agyban vagy a gerincoszlopban;</w:t>
      </w:r>
    </w:p>
    <w:p w14:paraId="3D649538" w14:textId="77777777" w:rsidR="002F67D2" w:rsidRPr="002F67D2" w:rsidRDefault="002F67D2" w:rsidP="00B37E33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tüdőben.</w:t>
      </w:r>
    </w:p>
    <w:p w14:paraId="56BD585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F3CB8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ismert (a gyakoriság a rendelkezésre álló adatokból nem állapítható meg)</w:t>
      </w:r>
    </w:p>
    <w:p w14:paraId="7BD357B9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75D94D10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hasüregbe és a hasüreg mögötti területre;</w:t>
      </w:r>
    </w:p>
    <w:p w14:paraId="2C6E5E91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hólyagos bőrkiütés, ami céltáblára emlékeztet (középen sötét pontokkal, körülötte halványabb területtel és a szélén sötét gyűrűvel) (</w:t>
      </w:r>
      <w:proofErr w:type="spellStart"/>
      <w:r w:rsidRPr="002F67D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eritéma</w:t>
      </w:r>
      <w:proofErr w:type="spellEnd"/>
      <w:r w:rsidRPr="002F67D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multiforme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212EAEFA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vérerek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gyulladása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vaszkulitisz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), amely bőrkiütést vagy a bőrfelszín alatt pontszerű, lapos, vörös, kerek foltokat vagy véraláfutást okozhat;</w:t>
      </w:r>
    </w:p>
    <w:p w14:paraId="16FB7F8B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vesében jelentkező vérzés, alkalmanként véres vizelettel, ami ellehetetleníti a vesék megfelelő működését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antikoagulánssal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kapcsolatos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nefropátia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4958BF5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B1C0F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További mellékhatások gyermekeknél és serdülőknél</w:t>
      </w:r>
    </w:p>
    <w:p w14:paraId="7A4421A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22CB51B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Azonnal forduljon a gyermek kezelőorvosához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, ha az alábbi tünetek bármelyikét észleli:</w:t>
      </w:r>
    </w:p>
    <w:p w14:paraId="6D09C74B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Allergiás reakciók (túlérzékenység), amelyek az arc, az ajak, a nyelv, a száj, a nyelv és/vagy a torok feldagadását és nehézlégzést okozhatnak. Ezen mellékhatások előfordulása gyakori (10 beteg közül legfeljebb 1 beteget érinthet).</w:t>
      </w:r>
    </w:p>
    <w:p w14:paraId="2B2F79D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5761EEA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Általánosságban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apixabánnal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kezelt gyermekeknél és serdülőknél megfigyelt mellékhatások hasonlóak voltak a felnőtteknél megfigyeltekhez, és elsődlegesen enyhe vagy közepes súlyosságúak voltak. A gyermekeknél és serdülőknél gyakrabban megfigyelt mellékhatások az orrvérzés és a rendellenes hüvelyi vérzés voltak.</w:t>
      </w:r>
    </w:p>
    <w:p w14:paraId="630DED7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285CA64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Nagyon gyakori mellékhatások (10 beteg közül több mint 1 beteget érinthet)</w:t>
      </w:r>
    </w:p>
    <w:p w14:paraId="0564ECA2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0BD6C4B8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hüvelyből;</w:t>
      </w:r>
    </w:p>
    <w:p w14:paraId="49456D5B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orrból.</w:t>
      </w:r>
    </w:p>
    <w:p w14:paraId="078123D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48922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 mellékhatások (10 beteg közül legfeljebb 1 beteget érinthet)</w:t>
      </w:r>
    </w:p>
    <w:p w14:paraId="7B1C7C1F" w14:textId="2FE845A1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0ED29ED0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fogínyvérzés;</w:t>
      </w:r>
    </w:p>
    <w:p w14:paraId="4123427E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véres vizelet;</w:t>
      </w:r>
    </w:p>
    <w:p w14:paraId="00BAA6B5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véraláfutás és duzzanat;</w:t>
      </w:r>
    </w:p>
    <w:p w14:paraId="139A1372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bélvérzés vagy végbélvérzés;</w:t>
      </w:r>
    </w:p>
    <w:p w14:paraId="18E8BDE8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élénk/piros vér a székletben;</w:t>
      </w:r>
    </w:p>
    <w:p w14:paraId="33CA22D2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műtét után megjelenő vérzés, beleértve a véraláfutást és a duzzanatot, a műtéti sebből/metszésből vagy az injekció beadási helyéről szivárgó vért vagy folyadékot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sebváladékozás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);</w:t>
      </w:r>
    </w:p>
    <w:p w14:paraId="6CA69097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hajhullás;</w:t>
      </w:r>
    </w:p>
    <w:p w14:paraId="4D05DF30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vérszegénység, amely fáradtságot vagy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sápadtságot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okozhat;</w:t>
      </w:r>
    </w:p>
    <w:p w14:paraId="75500D13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csökkent vérlemezkeszám a gyermek vérében (amely befolyásolhatja a véralvadást);</w:t>
      </w:r>
    </w:p>
    <w:p w14:paraId="1B128D89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hányinger;</w:t>
      </w:r>
    </w:p>
    <w:p w14:paraId="31CC8F85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bőrkiütés;</w:t>
      </w:r>
    </w:p>
    <w:p w14:paraId="0FAAB77D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viszketés;</w:t>
      </w:r>
    </w:p>
    <w:p w14:paraId="234DE58B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alacsony vérnyomás, amely ájulással vagy felgyorsult szívveréssel járhat;</w:t>
      </w:r>
    </w:p>
    <w:p w14:paraId="7E6BC2A2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0716C973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rendellenes májfunkciós vizsgálati eredmények;</w:t>
      </w:r>
    </w:p>
    <w:p w14:paraId="103AF95A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bizonyos májenzimek szintjének emelkedése;</w:t>
      </w:r>
    </w:p>
    <w:p w14:paraId="417CAA7E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megnövekedett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glutamát-piruvát-transzamináz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 (GPT-) szint.</w:t>
      </w:r>
    </w:p>
    <w:p w14:paraId="66A5717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FF16A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Nem ismert (a gyakoriság a rendelkezésre álló adatokból nem állapítható meg)</w:t>
      </w:r>
    </w:p>
    <w:p w14:paraId="1C1513DC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vérzés:</w:t>
      </w:r>
    </w:p>
    <w:p w14:paraId="6FA796E4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hasüregbe és a hasüreg mögötti területre;</w:t>
      </w:r>
    </w:p>
    <w:p w14:paraId="0B549CF8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gyomorban;</w:t>
      </w:r>
    </w:p>
    <w:p w14:paraId="48169E8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szemben;</w:t>
      </w:r>
    </w:p>
    <w:p w14:paraId="26CD5380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szájban;</w:t>
      </w:r>
    </w:p>
    <w:p w14:paraId="2E092BE5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aranyérből;</w:t>
      </w:r>
    </w:p>
    <w:p w14:paraId="30E5B43A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szájban vagy köhögés után vér a köpetben;</w:t>
      </w:r>
    </w:p>
    <w:p w14:paraId="773FEC35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agyban vagy a gerincoszlopban;</w:t>
      </w:r>
    </w:p>
    <w:p w14:paraId="6A55B6F8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tüdőben;</w:t>
      </w:r>
    </w:p>
    <w:p w14:paraId="755942E6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az izomban;</w:t>
      </w:r>
    </w:p>
    <w:p w14:paraId="7C686697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hólyagos bőrkiütés, ami céltáblára emlékeztet (középen sötét pontokkal, körülötte halványabb területtel és a szélén sötét gyűrűvel) </w:t>
      </w:r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(</w:t>
      </w:r>
      <w:proofErr w:type="spellStart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eritéma</w:t>
      </w:r>
      <w:proofErr w:type="spellEnd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multiforme</w:t>
      </w:r>
      <w:proofErr w:type="spellEnd"/>
      <w:r w:rsidRPr="002F67D2">
        <w:rPr>
          <w:rFonts w:ascii="Times New Roman" w:eastAsia="Times New Roman" w:hAnsi="Times New Roman" w:cs="Times New Roman"/>
          <w:i/>
          <w:kern w:val="0"/>
          <w14:ligatures w14:val="none"/>
        </w:rPr>
        <w:t>);</w:t>
      </w:r>
    </w:p>
    <w:p w14:paraId="4C34A491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vérerek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gyulladása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vaszkulitisz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), amely bőrkiütést vagy a bőrfelszín alatt pontszerű, lapos, vörös, kerek foltokat vagy véraláfutást okozhat;</w:t>
      </w:r>
    </w:p>
    <w:p w14:paraId="1A9A364E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vérvizsgálatok a következőket jelezhetik:</w:t>
      </w:r>
    </w:p>
    <w:p w14:paraId="292209D5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megnövekedett gamma-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glutamil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transzferáz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-szint (GGT);</w:t>
      </w:r>
    </w:p>
    <w:p w14:paraId="19DFEC66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vér a székletben vagy a vizeletben, amelyeket vizsgálatokkal mutatnak ki;</w:t>
      </w:r>
    </w:p>
    <w:p w14:paraId="3E7CCB7D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vesében jelentkező vérzés, alkalmanként véres vizelettel, ami ellehetetleníti a vesék megfelelő működését 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antikoagulánssal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kapcsolatos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nefropátia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).</w:t>
      </w:r>
    </w:p>
    <w:p w14:paraId="54974A5C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0C7DF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Mellékhatások bejelentése</w:t>
      </w:r>
    </w:p>
    <w:p w14:paraId="394A598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Ha Önnél bármilyen mellékhatás jelentkezik, tájékoztassa erről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>
        <w:r w:rsidRPr="002F67D2">
          <w:rPr>
            <w:rFonts w:ascii="Times New Roman" w:eastAsia="Times New Roman" w:hAnsi="Times New Roman" w:cs="Times New Roman"/>
            <w:color w:val="0000FD"/>
            <w:kern w:val="0"/>
            <w:u w:val="single" w:color="0000FF"/>
            <w:shd w:val="clear" w:color="auto" w:fill="C0C0C0"/>
            <w14:ligatures w14:val="none"/>
          </w:rPr>
          <w:t>V. függelékbe</w:t>
        </w:r>
      </w:hyperlink>
      <w:r w:rsidRPr="002F67D2">
        <w:rPr>
          <w:rFonts w:ascii="Times New Roman" w:eastAsia="Times New Roman" w:hAnsi="Times New Roman" w:cs="Times New Roman"/>
          <w:color w:val="0000FD"/>
          <w:kern w:val="0"/>
          <w:u w:val="single" w:color="0000FF"/>
          <w:shd w:val="clear" w:color="auto" w:fill="C0C0C0"/>
          <w14:ligatures w14:val="none"/>
        </w:rPr>
        <w:t xml:space="preserve">n </w:t>
      </w:r>
      <w:r w:rsidRPr="002F67D2">
        <w:rPr>
          <w:rFonts w:ascii="Times New Roman" w:eastAsia="Times New Roman" w:hAnsi="Times New Roman" w:cs="Times New Roman"/>
          <w:color w:val="000000"/>
          <w:kern w:val="0"/>
          <w:shd w:val="clear" w:color="auto" w:fill="C0C0C0"/>
          <w14:ligatures w14:val="none"/>
        </w:rPr>
        <w:t>található elérhetőségeken keresztül</w:t>
      </w:r>
      <w:r w:rsidRPr="002F67D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 A mellékhatások bejelentésével Ön is hozzájárulhat ahhoz, hogy minél több információ álljon rendelkezésre a gyógyszer biztonságos alkalmazásával kapcsolatban.</w:t>
      </w:r>
    </w:p>
    <w:p w14:paraId="745A861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4FD6CA3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7E1974AD" w14:textId="77777777" w:rsidR="002F67D2" w:rsidRPr="002F67D2" w:rsidRDefault="002F67D2" w:rsidP="00B37E33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Hogyan kell 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-et tárolni?</w:t>
      </w:r>
    </w:p>
    <w:p w14:paraId="319E0DF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78B16D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gyógyszer gyermekektől elzárva tartandó!</w:t>
      </w:r>
    </w:p>
    <w:p w14:paraId="4DF8534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A0B45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 dobozon és a buborékcsomagoláson feltüntetett lejárati idő (EXP) után ne szedje ezt a gyógyszert. A lejárati idő az adott hónap utolsó napjára vonatkozik.</w:t>
      </w:r>
    </w:p>
    <w:p w14:paraId="1232979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EE419D" w14:textId="7CC404A8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Ez a gyógyszer </w:t>
      </w:r>
      <w:r w:rsidR="00A24F7A">
        <w:rPr>
          <w:rFonts w:ascii="Times New Roman" w:eastAsia="Times New Roman" w:hAnsi="Times New Roman" w:cs="Times New Roman"/>
          <w:kern w:val="0"/>
          <w14:ligatures w14:val="none"/>
        </w:rPr>
        <w:t xml:space="preserve">nem igényel 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különleges tárolás</w:t>
      </w:r>
      <w:r w:rsidR="00A24F7A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458020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5164E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Semmilyen gyógyszert ne dobjon a szennyvízbe vagy a háztartási hulladékba. Kérdezze meg gyógyszerészét, hogy mit tegyen a már nem használt gyógyszereivel. </w:t>
      </w:r>
      <w:bookmarkStart w:id="1" w:name="_Hlk76646746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Ezek az intézkedések elősegítik a környezet védelmét.</w:t>
      </w:r>
    </w:p>
    <w:bookmarkEnd w:id="1"/>
    <w:p w14:paraId="309A01BD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416C21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BDDF7DE" w14:textId="77777777" w:rsidR="002F67D2" w:rsidRPr="002F67D2" w:rsidRDefault="002F67D2" w:rsidP="00B37E33">
      <w:pPr>
        <w:keepNext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csomagolás tartalma és egyéb információk</w:t>
      </w:r>
    </w:p>
    <w:p w14:paraId="7D7ADD3B" w14:textId="77777777" w:rsidR="002F67D2" w:rsidRPr="002F67D2" w:rsidRDefault="002F67D2" w:rsidP="002F67D2">
      <w:pPr>
        <w:keepNext/>
        <w:autoSpaceDE w:val="0"/>
        <w:autoSpaceDN w:val="0"/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D861B9D" w14:textId="77777777" w:rsidR="002F67D2" w:rsidRPr="002F67D2" w:rsidRDefault="002F67D2" w:rsidP="002F67D2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Mit tartalmaz az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4CDE478D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készítmény hatóanyaga 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apixabán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. 2,5 mg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apixabánt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tartalmaz filmtablettánként.</w:t>
      </w:r>
    </w:p>
    <w:p w14:paraId="066BCD42" w14:textId="77777777" w:rsidR="002F67D2" w:rsidRPr="002F67D2" w:rsidRDefault="002F67D2" w:rsidP="00B37E33">
      <w:pPr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Egyéb összetevők:</w:t>
      </w:r>
    </w:p>
    <w:p w14:paraId="70AE1911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Tablettamag: mikrokristályos cellulóz (E460),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laktóz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kroszkarmellóz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-nátrium, nátrium-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lauril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-szulfát, magnézium-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sztearát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(E470b).</w:t>
      </w:r>
    </w:p>
    <w:p w14:paraId="620494F0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Filmbevonat: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makrogol-poli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vinil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-alkohol) fésűs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kopolimer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, talkum, titán-dioxid (E171), glicerin-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monokaprilokaprinát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poli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(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vinil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-alkohol), sárga vas-oxid (E172), fekete vas-oxid (E172).</w:t>
      </w:r>
    </w:p>
    <w:p w14:paraId="64D2AD7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55150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Milyen a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külleme és mit tartalmaz a csomagolás?</w:t>
      </w:r>
    </w:p>
    <w:p w14:paraId="381592B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Sárga, kerek (6 mm átmérőjű), mindkét oldalán domború filmtabletta, egyik oldalán „2.5”, a másik oldalán „</w:t>
      </w:r>
      <w:r w:rsidRPr="002F67D2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2AA72511" wp14:editId="6945C0AF">
            <wp:extent cx="127000" cy="191977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67" cy="195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” jelzéssel ellátva.</w:t>
      </w:r>
    </w:p>
    <w:p w14:paraId="2EAABED7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68182B" w14:textId="472E66AB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10 db, 20 db, 60 db, 168 db vagy 200 db filmtabletta </w:t>
      </w:r>
      <w:r w:rsidR="00DA3B4D">
        <w:rPr>
          <w:rFonts w:ascii="Times New Roman" w:eastAsia="Times New Roman" w:hAnsi="Times New Roman" w:cs="Times New Roman"/>
          <w:kern w:val="0"/>
          <w14:ligatures w14:val="none"/>
        </w:rPr>
        <w:t>PVC/PVD</w:t>
      </w:r>
      <w:bookmarkStart w:id="2" w:name="_GoBack"/>
      <w:bookmarkEnd w:id="2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C//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 és dobozban.</w:t>
      </w:r>
    </w:p>
    <w:p w14:paraId="1F74103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9E418E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Nem feltétlenül kerül mindegyik kiszerelés kereskedelmi forgalomba.</w:t>
      </w:r>
    </w:p>
    <w:p w14:paraId="4C45B3EF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914BF60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betegkártya használatára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vonatkozó</w:t>
      </w: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információk</w:t>
      </w:r>
    </w:p>
    <w:p w14:paraId="1BFEA0C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csomagolásában, a betegtájékoztatóval együtt talál egy betegkártyát is, vagy kezelőorvosa is adhat Önnek egy hasonló kártyát.</w:t>
      </w:r>
    </w:p>
    <w:p w14:paraId="126A3F5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A betegkártya hasznos információkat tartalmaz az Ön számára, és figyelmezteti a többi orvost, hogy Ön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Apixaban</w:t>
      </w:r>
      <w:proofErr w:type="spellEnd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Grindeks</w:t>
      </w:r>
      <w:proofErr w:type="spell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-et szed. </w:t>
      </w: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Ezt a kártyát mindig magánál kell tartania.</w:t>
      </w:r>
    </w:p>
    <w:p w14:paraId="110CD908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34EEB504" w14:textId="77777777" w:rsidR="002F67D2" w:rsidRPr="002F67D2" w:rsidRDefault="002F67D2" w:rsidP="002F67D2">
      <w:pPr>
        <w:widowControl w:val="0"/>
        <w:numPr>
          <w:ilvl w:val="0"/>
          <w:numId w:val="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Vegye ki a kártyát.</w:t>
      </w:r>
    </w:p>
    <w:p w14:paraId="44A31B44" w14:textId="77777777" w:rsidR="002F67D2" w:rsidRPr="002F67D2" w:rsidRDefault="002F67D2" w:rsidP="002F67D2">
      <w:pPr>
        <w:widowControl w:val="0"/>
        <w:numPr>
          <w:ilvl w:val="0"/>
          <w:numId w:val="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Válassza le a magyar nyelvű részt (ezt megkönnyítik a perforált szélek).</w:t>
      </w:r>
    </w:p>
    <w:p w14:paraId="4059DE1D" w14:textId="77777777" w:rsidR="002F67D2" w:rsidRPr="002F67D2" w:rsidRDefault="002F67D2" w:rsidP="002F67D2">
      <w:pPr>
        <w:widowControl w:val="0"/>
        <w:numPr>
          <w:ilvl w:val="0"/>
          <w:numId w:val="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Töltse ki az alábbi részeket, vagy kérje meg erre kezelőorvosát:</w:t>
      </w:r>
    </w:p>
    <w:p w14:paraId="52AAD347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Név:</w:t>
      </w:r>
    </w:p>
    <w:p w14:paraId="7E783556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Születési dátum:</w:t>
      </w:r>
    </w:p>
    <w:p w14:paraId="64A32FAF" w14:textId="77777777" w:rsid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Javallat (indikáció):</w:t>
      </w:r>
    </w:p>
    <w:p w14:paraId="18B8BB22" w14:textId="66EF702E" w:rsidR="00896289" w:rsidRPr="002F67D2" w:rsidRDefault="00896289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CA4741">
        <w:rPr>
          <w:rFonts w:ascii="Times New Roman" w:eastAsia="Times New Roman" w:hAnsi="Times New Roman" w:cs="Times New Roman"/>
          <w:kern w:val="0"/>
          <w14:ligatures w14:val="none"/>
        </w:rPr>
        <w:t>Testtömeg</w:t>
      </w:r>
      <w:r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636927C3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Adagolás</w:t>
      </w:r>
      <w:proofErr w:type="gramStart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>:……</w:t>
      </w:r>
      <w:proofErr w:type="gramEnd"/>
      <w:r w:rsidRPr="002F67D2">
        <w:rPr>
          <w:rFonts w:ascii="Times New Roman" w:eastAsia="Times New Roman" w:hAnsi="Times New Roman" w:cs="Times New Roman"/>
          <w:kern w:val="0"/>
          <w14:ligatures w14:val="none"/>
        </w:rPr>
        <w:t xml:space="preserve"> mg naponta kétszer</w:t>
      </w:r>
    </w:p>
    <w:p w14:paraId="54273FDA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Kezelőorvos neve:</w:t>
      </w:r>
    </w:p>
    <w:p w14:paraId="00C96A23" w14:textId="77777777" w:rsidR="002F67D2" w:rsidRPr="002F67D2" w:rsidRDefault="002F67D2" w:rsidP="00B37E33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276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Kezelőorvos telefonszáma:</w:t>
      </w:r>
    </w:p>
    <w:p w14:paraId="49F96F52" w14:textId="77777777" w:rsidR="002F67D2" w:rsidRPr="002F67D2" w:rsidRDefault="002F67D2" w:rsidP="002F67D2">
      <w:pPr>
        <w:widowControl w:val="0"/>
        <w:numPr>
          <w:ilvl w:val="0"/>
          <w:numId w:val="1"/>
        </w:numPr>
        <w:tabs>
          <w:tab w:val="left" w:pos="797"/>
          <w:tab w:val="left" w:pos="79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kern w:val="0"/>
          <w14:ligatures w14:val="none"/>
        </w:rPr>
        <w:t>Hajtsa össze a kártyát, és mindig tartsa magánál.</w:t>
      </w:r>
    </w:p>
    <w:p w14:paraId="013075E2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B271CE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forgalomba hozatali engedély jogosultja</w:t>
      </w:r>
    </w:p>
    <w:p w14:paraId="668D3797" w14:textId="0104CA5D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AS GRINDEKS</w:t>
      </w:r>
    </w:p>
    <w:p w14:paraId="529A8774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Krustpils</w:t>
      </w:r>
      <w:proofErr w:type="spellEnd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iela</w:t>
      </w:r>
      <w:proofErr w:type="spellEnd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53, </w:t>
      </w:r>
    </w:p>
    <w:p w14:paraId="0D4B40B0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Rīga</w:t>
      </w:r>
      <w:proofErr w:type="spellEnd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LV-1057, </w:t>
      </w:r>
    </w:p>
    <w:p w14:paraId="1AFD67B9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Lettország</w:t>
      </w:r>
    </w:p>
    <w:p w14:paraId="0680D82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7F06579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Gyártó</w:t>
      </w:r>
    </w:p>
    <w:p w14:paraId="7C71939E" w14:textId="2FD3F6CD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AS GRINDEKS</w:t>
      </w:r>
    </w:p>
    <w:p w14:paraId="2C390B3C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Krustpils</w:t>
      </w:r>
      <w:proofErr w:type="spellEnd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iela</w:t>
      </w:r>
      <w:proofErr w:type="spellEnd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53, </w:t>
      </w:r>
    </w:p>
    <w:p w14:paraId="2370D9EF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Rīga</w:t>
      </w:r>
      <w:proofErr w:type="spellEnd"/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, LV-1057, </w:t>
      </w:r>
    </w:p>
    <w:p w14:paraId="3B657732" w14:textId="77777777" w:rsidR="002F67D2" w:rsidRPr="002F67D2" w:rsidRDefault="002F67D2" w:rsidP="002F67D2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F67D2">
        <w:rPr>
          <w:rFonts w:ascii="Times New Roman" w:eastAsia="Times New Roman" w:hAnsi="Times New Roman" w:cs="Times New Roman"/>
          <w:snapToGrid w:val="0"/>
          <w:kern w:val="0"/>
          <w:szCs w:val="20"/>
          <w:lang w:eastAsia="zh-CN"/>
          <w14:ligatures w14:val="none"/>
        </w:rPr>
        <w:t>Lettország</w:t>
      </w:r>
    </w:p>
    <w:p w14:paraId="3E9A9D0B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pacing w:val="-4"/>
          <w:kern w:val="0"/>
          <w:lang w:val="en-GB" w:eastAsia="zh-CN"/>
          <w14:ligatures w14:val="none"/>
        </w:rPr>
      </w:pPr>
    </w:p>
    <w:p w14:paraId="4C878DB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spacing w:val="-4"/>
          <w:kern w:val="0"/>
          <w:lang w:val="en-GB" w:eastAsia="zh-CN"/>
          <w14:ligatures w14:val="none"/>
        </w:rPr>
      </w:pPr>
      <w:r w:rsidRPr="002F67D2">
        <w:rPr>
          <w:rFonts w:ascii="Times New Roman" w:eastAsia="SimSun" w:hAnsi="Times New Roman" w:cs="Times New Roman"/>
          <w:spacing w:val="-4"/>
          <w:kern w:val="0"/>
          <w:lang w:val="en-GB" w:eastAsia="zh-CN"/>
          <w14:ligatures w14:val="none"/>
        </w:rPr>
        <w:t>Famar Health Care Services Madrid S.A.U.</w:t>
      </w:r>
    </w:p>
    <w:p w14:paraId="07542303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</w:pPr>
      <w:r w:rsidRPr="002F67D2"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  <w:t>Avenida Leganes 62, Alcorcon</w:t>
      </w:r>
    </w:p>
    <w:p w14:paraId="41CFDDCA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</w:pPr>
      <w:r w:rsidRPr="002F67D2"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  <w:t>Madrid, 28923</w:t>
      </w:r>
    </w:p>
    <w:p w14:paraId="5E7C74F5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</w:pPr>
      <w:r w:rsidRPr="002F67D2">
        <w:rPr>
          <w:rFonts w:ascii="Times New Roman" w:eastAsia="SimSun" w:hAnsi="Times New Roman" w:cs="Times New Roman"/>
          <w:kern w:val="0"/>
          <w:lang w:val="fi-FI" w:eastAsia="zh-CN"/>
          <w14:ligatures w14:val="none"/>
        </w:rPr>
        <w:t>Spanyolország</w:t>
      </w:r>
    </w:p>
    <w:p w14:paraId="679FCE6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BDC80A" w14:textId="77777777" w:rsidR="002F67D2" w:rsidRPr="002F67D2" w:rsidRDefault="002F67D2" w:rsidP="002F67D2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F67D2">
        <w:rPr>
          <w:rFonts w:ascii="Times New Roman" w:eastAsia="Times New Roman" w:hAnsi="Times New Roman" w:cs="Times New Roman"/>
          <w:b/>
          <w:kern w:val="0"/>
          <w14:ligatures w14:val="none"/>
        </w:rPr>
        <w:t>Ezt a gyógyszert az Európai Gazdasági Térség tagállamaiban az alábbi neveken engedélyezték:</w:t>
      </w:r>
    </w:p>
    <w:tbl>
      <w:tblPr>
        <w:tblStyle w:val="Rcsostblzat1"/>
        <w:tblW w:w="9606" w:type="dxa"/>
        <w:tblInd w:w="-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1"/>
        <w:gridCol w:w="6375"/>
      </w:tblGrid>
      <w:tr w:rsidR="00896289" w:rsidRPr="00E43BB2" w14:paraId="32E4CE8E" w14:textId="77777777" w:rsidTr="00981300">
        <w:tc>
          <w:tcPr>
            <w:tcW w:w="3231" w:type="dxa"/>
          </w:tcPr>
          <w:p w14:paraId="1F11A073" w14:textId="77777777" w:rsidR="00896289" w:rsidRPr="007769FC" w:rsidRDefault="00896289" w:rsidP="00981300">
            <w:pPr>
              <w:keepNext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Ausztria, Németország</w:t>
            </w:r>
          </w:p>
        </w:tc>
        <w:tc>
          <w:tcPr>
            <w:tcW w:w="6375" w:type="dxa"/>
            <w:vAlign w:val="bottom"/>
          </w:tcPr>
          <w:p w14:paraId="02452D3A" w14:textId="71AFE5F8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>Apixaban Grindeks 2.5 mg Filmtabletten</w:t>
            </w:r>
          </w:p>
        </w:tc>
      </w:tr>
      <w:tr w:rsidR="00896289" w:rsidRPr="00E43BB2" w14:paraId="433BE5A9" w14:textId="77777777" w:rsidTr="00981300">
        <w:tc>
          <w:tcPr>
            <w:tcW w:w="3231" w:type="dxa"/>
          </w:tcPr>
          <w:p w14:paraId="0ED4F82E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Belgium</w:t>
            </w:r>
          </w:p>
        </w:tc>
        <w:tc>
          <w:tcPr>
            <w:tcW w:w="6375" w:type="dxa"/>
            <w:vAlign w:val="bottom"/>
          </w:tcPr>
          <w:p w14:paraId="1B41B7FB" w14:textId="04165C16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769FC">
              <w:rPr>
                <w:rFonts w:ascii="Times New Roman" w:hAnsi="Times New Roman" w:cs="Times New Roman"/>
              </w:rPr>
              <w:t>Apixaban Grindeks 2,5 mg comprimés pelliculés/filmomhulde tabletten/Filmtabletten</w:t>
            </w:r>
          </w:p>
        </w:tc>
      </w:tr>
      <w:tr w:rsidR="00896289" w:rsidRPr="007769FC" w14:paraId="78BCBDDC" w14:textId="77777777" w:rsidTr="00981300">
        <w:tc>
          <w:tcPr>
            <w:tcW w:w="3231" w:type="dxa"/>
          </w:tcPr>
          <w:p w14:paraId="6BE65730" w14:textId="77777777" w:rsidR="00896289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Bulgária</w:t>
            </w:r>
          </w:p>
          <w:p w14:paraId="7EABC19F" w14:textId="77777777" w:rsidR="00896289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  <w:p w14:paraId="1E2FF443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Horvátország</w:t>
            </w:r>
          </w:p>
        </w:tc>
        <w:tc>
          <w:tcPr>
            <w:tcW w:w="6375" w:type="dxa"/>
            <w:vAlign w:val="bottom"/>
          </w:tcPr>
          <w:p w14:paraId="30BA7FCA" w14:textId="68D772F5" w:rsidR="00896289" w:rsidRPr="0082587D" w:rsidRDefault="00896289" w:rsidP="00981300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филмирани таблетки</w:t>
            </w:r>
          </w:p>
          <w:p w14:paraId="7DC52CDD" w14:textId="2C621F56" w:rsidR="00896289" w:rsidRDefault="00896289" w:rsidP="00981300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film-coated tablets</w:t>
            </w:r>
          </w:p>
          <w:p w14:paraId="10571B3D" w14:textId="4B58E329" w:rsidR="00896289" w:rsidRPr="007769FC" w:rsidRDefault="00896289" w:rsidP="00981300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filmom obložene tablete</w:t>
            </w:r>
          </w:p>
        </w:tc>
      </w:tr>
      <w:tr w:rsidR="00896289" w:rsidRPr="00E43BB2" w14:paraId="0ECDF3B8" w14:textId="77777777" w:rsidTr="00981300">
        <w:tc>
          <w:tcPr>
            <w:tcW w:w="3231" w:type="dxa"/>
          </w:tcPr>
          <w:p w14:paraId="7BCCA4CB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769FC">
              <w:rPr>
                <w:rFonts w:ascii="Times New Roman" w:hAnsi="Times New Roman" w:cs="Times New Roman"/>
              </w:rPr>
              <w:t>Csehország, Észtország, Olaszország, Norvégia, Lengyelország, Svédország</w:t>
            </w:r>
          </w:p>
        </w:tc>
        <w:tc>
          <w:tcPr>
            <w:tcW w:w="6375" w:type="dxa"/>
            <w:vAlign w:val="bottom"/>
          </w:tcPr>
          <w:p w14:paraId="74DAF3F5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769FC">
              <w:rPr>
                <w:rFonts w:ascii="Times New Roman" w:hAnsi="Times New Roman" w:cs="Times New Roman"/>
              </w:rPr>
              <w:t>Apixaban</w:t>
            </w:r>
            <w:r w:rsidRPr="00E43BB2">
              <w:rPr>
                <w:rFonts w:ascii="Times New Roman" w:hAnsi="Times New Roman" w:cs="Times New Roman"/>
              </w:rPr>
              <w:t xml:space="preserve"> Grindeks</w:t>
            </w:r>
          </w:p>
        </w:tc>
      </w:tr>
      <w:tr w:rsidR="00896289" w:rsidRPr="00E43BB2" w14:paraId="31062824" w14:textId="77777777" w:rsidTr="00981300">
        <w:tc>
          <w:tcPr>
            <w:tcW w:w="3231" w:type="dxa"/>
          </w:tcPr>
          <w:p w14:paraId="0E0B9B1C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Dánia</w:t>
            </w:r>
          </w:p>
        </w:tc>
        <w:tc>
          <w:tcPr>
            <w:tcW w:w="6375" w:type="dxa"/>
            <w:vAlign w:val="bottom"/>
          </w:tcPr>
          <w:p w14:paraId="6E4A3CAA" w14:textId="2C0F6939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filmovertrukne tabletter</w:t>
            </w:r>
          </w:p>
        </w:tc>
      </w:tr>
      <w:tr w:rsidR="00896289" w:rsidRPr="00E43BB2" w14:paraId="31588298" w14:textId="77777777" w:rsidTr="00981300">
        <w:tc>
          <w:tcPr>
            <w:tcW w:w="3231" w:type="dxa"/>
          </w:tcPr>
          <w:p w14:paraId="543EB396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Finnország</w:t>
            </w:r>
          </w:p>
        </w:tc>
        <w:tc>
          <w:tcPr>
            <w:tcW w:w="6375" w:type="dxa"/>
            <w:vAlign w:val="bottom"/>
          </w:tcPr>
          <w:p w14:paraId="047C586A" w14:textId="66447490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kalvopäällysteiset tabletit</w:t>
            </w:r>
          </w:p>
        </w:tc>
      </w:tr>
      <w:tr w:rsidR="00896289" w:rsidRPr="007769FC" w14:paraId="78C0BD57" w14:textId="77777777" w:rsidTr="00981300">
        <w:tc>
          <w:tcPr>
            <w:tcW w:w="3231" w:type="dxa"/>
          </w:tcPr>
          <w:p w14:paraId="2B96E1E1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Franciaország</w:t>
            </w:r>
          </w:p>
        </w:tc>
        <w:tc>
          <w:tcPr>
            <w:tcW w:w="6375" w:type="dxa"/>
            <w:vAlign w:val="bottom"/>
          </w:tcPr>
          <w:p w14:paraId="5D3942B3" w14:textId="33E592A3" w:rsidR="00896289" w:rsidRPr="007769FC" w:rsidRDefault="00896289" w:rsidP="00981300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comprimé pelliculé</w:t>
            </w:r>
          </w:p>
        </w:tc>
      </w:tr>
      <w:tr w:rsidR="00896289" w:rsidRPr="00E43BB2" w14:paraId="02BBAA83" w14:textId="77777777" w:rsidTr="00981300">
        <w:tc>
          <w:tcPr>
            <w:tcW w:w="3231" w:type="dxa"/>
          </w:tcPr>
          <w:p w14:paraId="152CBD87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Görögország</w:t>
            </w:r>
          </w:p>
        </w:tc>
        <w:tc>
          <w:tcPr>
            <w:tcW w:w="6375" w:type="dxa"/>
            <w:vAlign w:val="bottom"/>
          </w:tcPr>
          <w:p w14:paraId="706F8E86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APIXABAN/GRINDEKS</w:t>
            </w:r>
          </w:p>
        </w:tc>
      </w:tr>
      <w:tr w:rsidR="00896289" w:rsidRPr="00E43BB2" w14:paraId="3DAD7BDC" w14:textId="77777777" w:rsidTr="00981300">
        <w:tc>
          <w:tcPr>
            <w:tcW w:w="3231" w:type="dxa"/>
          </w:tcPr>
          <w:p w14:paraId="74891291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Magyarország</w:t>
            </w:r>
          </w:p>
        </w:tc>
        <w:tc>
          <w:tcPr>
            <w:tcW w:w="6375" w:type="dxa"/>
            <w:vAlign w:val="bottom"/>
          </w:tcPr>
          <w:p w14:paraId="499A409C" w14:textId="63DE8935" w:rsidR="00896289" w:rsidRPr="00E43BB2" w:rsidRDefault="00846DFD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Apixaban Grindeks 2,</w:t>
            </w:r>
            <w:r w:rsidR="00896289" w:rsidRPr="0082587D">
              <w:rPr>
                <w:rFonts w:ascii="Times New Roman" w:eastAsia="Times New Roman" w:hAnsi="Times New Roman" w:cs="Times New Roman"/>
                <w:szCs w:val="26"/>
              </w:rPr>
              <w:t>5 mg</w:t>
            </w:r>
            <w:r w:rsidR="0089628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r w:rsidR="00896289" w:rsidRPr="0082587D">
              <w:rPr>
                <w:rFonts w:ascii="Times New Roman" w:eastAsia="Times New Roman" w:hAnsi="Times New Roman" w:cs="Times New Roman"/>
                <w:szCs w:val="26"/>
              </w:rPr>
              <w:t>filmtabletta</w:t>
            </w:r>
          </w:p>
        </w:tc>
      </w:tr>
      <w:tr w:rsidR="00896289" w:rsidRPr="00E43BB2" w14:paraId="6B9D9BCE" w14:textId="77777777" w:rsidTr="00981300">
        <w:tc>
          <w:tcPr>
            <w:tcW w:w="3231" w:type="dxa"/>
          </w:tcPr>
          <w:p w14:paraId="437582EF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Írország</w:t>
            </w:r>
          </w:p>
        </w:tc>
        <w:tc>
          <w:tcPr>
            <w:tcW w:w="6375" w:type="dxa"/>
            <w:vAlign w:val="bottom"/>
          </w:tcPr>
          <w:p w14:paraId="0E2CE6C4" w14:textId="06C9AEFF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>Apixaban Grindeks 2.5 mg film­coated tablets</w:t>
            </w:r>
          </w:p>
        </w:tc>
      </w:tr>
      <w:tr w:rsidR="00896289" w:rsidRPr="00E43BB2" w14:paraId="56D5D1B0" w14:textId="77777777" w:rsidTr="00981300">
        <w:tc>
          <w:tcPr>
            <w:tcW w:w="3231" w:type="dxa"/>
          </w:tcPr>
          <w:p w14:paraId="186F2D4B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Lettország</w:t>
            </w:r>
          </w:p>
        </w:tc>
        <w:tc>
          <w:tcPr>
            <w:tcW w:w="6375" w:type="dxa"/>
            <w:vAlign w:val="bottom"/>
          </w:tcPr>
          <w:p w14:paraId="7C2948AB" w14:textId="024B285C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>Apixaban Grindeks 2.5 mg apvalkotās tabletes</w:t>
            </w:r>
          </w:p>
        </w:tc>
      </w:tr>
      <w:tr w:rsidR="00896289" w:rsidRPr="00E43BB2" w14:paraId="29872692" w14:textId="77777777" w:rsidTr="00981300">
        <w:tc>
          <w:tcPr>
            <w:tcW w:w="3231" w:type="dxa"/>
          </w:tcPr>
          <w:p w14:paraId="63DA39A8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Litvánia</w:t>
            </w:r>
          </w:p>
        </w:tc>
        <w:tc>
          <w:tcPr>
            <w:tcW w:w="6375" w:type="dxa"/>
            <w:vAlign w:val="bottom"/>
          </w:tcPr>
          <w:p w14:paraId="45E2D160" w14:textId="1857FBFC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plėvele dengtos tabletės</w:t>
            </w:r>
          </w:p>
        </w:tc>
      </w:tr>
      <w:tr w:rsidR="00896289" w:rsidRPr="00E43BB2" w14:paraId="29B7DBA9" w14:textId="77777777" w:rsidTr="00981300">
        <w:tc>
          <w:tcPr>
            <w:tcW w:w="3231" w:type="dxa"/>
          </w:tcPr>
          <w:p w14:paraId="40DF6896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Hollandia</w:t>
            </w:r>
          </w:p>
        </w:tc>
        <w:tc>
          <w:tcPr>
            <w:tcW w:w="6375" w:type="dxa"/>
            <w:vAlign w:val="bottom"/>
          </w:tcPr>
          <w:p w14:paraId="55BC0926" w14:textId="026AAC9F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82587D">
              <w:rPr>
                <w:rFonts w:ascii="Times New Roman" w:eastAsia="Times New Roman" w:hAnsi="Times New Roman" w:cs="Times New Roman"/>
              </w:rPr>
              <w:t>5 mg filmomhulde tabletten</w:t>
            </w:r>
          </w:p>
        </w:tc>
      </w:tr>
      <w:tr w:rsidR="00896289" w:rsidRPr="000A6559" w14:paraId="5A9644A1" w14:textId="77777777" w:rsidTr="00981300">
        <w:tc>
          <w:tcPr>
            <w:tcW w:w="3231" w:type="dxa"/>
          </w:tcPr>
          <w:p w14:paraId="0D72A89B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Portugália</w:t>
            </w:r>
          </w:p>
        </w:tc>
        <w:tc>
          <w:tcPr>
            <w:tcW w:w="6375" w:type="dxa"/>
            <w:vAlign w:val="bottom"/>
          </w:tcPr>
          <w:p w14:paraId="02BAFD5B" w14:textId="516D1179" w:rsidR="00896289" w:rsidRPr="000A6559" w:rsidRDefault="00896289" w:rsidP="00981300">
            <w:pPr>
              <w:widowControl w:val="0"/>
              <w:tabs>
                <w:tab w:val="left" w:pos="1843"/>
              </w:tabs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comprimidos revestidos por película</w:t>
            </w:r>
          </w:p>
        </w:tc>
      </w:tr>
      <w:tr w:rsidR="00896289" w:rsidRPr="00E43BB2" w14:paraId="2A62475D" w14:textId="77777777" w:rsidTr="00981300">
        <w:tc>
          <w:tcPr>
            <w:tcW w:w="3231" w:type="dxa"/>
          </w:tcPr>
          <w:p w14:paraId="51D3B3A6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43BB2">
              <w:rPr>
                <w:rFonts w:ascii="Times New Roman" w:hAnsi="Times New Roman" w:cs="Times New Roman"/>
              </w:rPr>
              <w:t>Románia</w:t>
            </w:r>
          </w:p>
        </w:tc>
        <w:tc>
          <w:tcPr>
            <w:tcW w:w="6375" w:type="dxa"/>
            <w:vAlign w:val="bottom"/>
          </w:tcPr>
          <w:p w14:paraId="419FCC02" w14:textId="60443443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  <w:szCs w:val="26"/>
              </w:rPr>
              <w:t>Apixaban Grindeks 2.5 mg comprimate filmate</w:t>
            </w:r>
          </w:p>
        </w:tc>
      </w:tr>
      <w:tr w:rsidR="00896289" w:rsidRPr="00E43BB2" w14:paraId="6AB0DD68" w14:textId="77777777" w:rsidTr="00981300">
        <w:tc>
          <w:tcPr>
            <w:tcW w:w="3231" w:type="dxa"/>
          </w:tcPr>
          <w:p w14:paraId="17587E13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Szlovákia</w:t>
            </w:r>
          </w:p>
        </w:tc>
        <w:tc>
          <w:tcPr>
            <w:tcW w:w="6375" w:type="dxa"/>
            <w:vAlign w:val="bottom"/>
          </w:tcPr>
          <w:p w14:paraId="38E956BA" w14:textId="3395CF00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filmom obalené tablety</w:t>
            </w:r>
          </w:p>
        </w:tc>
      </w:tr>
      <w:tr w:rsidR="00896289" w:rsidRPr="00E43BB2" w14:paraId="0C06624B" w14:textId="77777777" w:rsidTr="00981300">
        <w:tc>
          <w:tcPr>
            <w:tcW w:w="3231" w:type="dxa"/>
          </w:tcPr>
          <w:p w14:paraId="1E2AD5B2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Szlovénia</w:t>
            </w:r>
          </w:p>
        </w:tc>
        <w:tc>
          <w:tcPr>
            <w:tcW w:w="6375" w:type="dxa"/>
            <w:vAlign w:val="bottom"/>
          </w:tcPr>
          <w:p w14:paraId="6C54CB41" w14:textId="1532F29E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Apiksaban Grindeks 2,5 mg filmsko obložene tablete</w:t>
            </w:r>
          </w:p>
        </w:tc>
      </w:tr>
      <w:tr w:rsidR="00896289" w:rsidRPr="00E43BB2" w14:paraId="2ED375CB" w14:textId="77777777" w:rsidTr="00981300">
        <w:tc>
          <w:tcPr>
            <w:tcW w:w="3231" w:type="dxa"/>
          </w:tcPr>
          <w:p w14:paraId="6BF59D74" w14:textId="77777777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Spanyolország</w:t>
            </w:r>
          </w:p>
        </w:tc>
        <w:tc>
          <w:tcPr>
            <w:tcW w:w="6375" w:type="dxa"/>
            <w:vAlign w:val="bottom"/>
          </w:tcPr>
          <w:p w14:paraId="48A64C8C" w14:textId="5E92530A" w:rsidR="00896289" w:rsidRPr="00E43BB2" w:rsidRDefault="00896289" w:rsidP="0098130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82587D">
              <w:rPr>
                <w:rFonts w:ascii="Times New Roman" w:eastAsia="Times New Roman" w:hAnsi="Times New Roman" w:cs="Times New Roman"/>
              </w:rPr>
              <w:t>Apixaban Grindeks 2.5 mg comprimidos recubiertos con película</w:t>
            </w:r>
          </w:p>
        </w:tc>
      </w:tr>
    </w:tbl>
    <w:p w14:paraId="040F3313" w14:textId="77777777" w:rsidR="00896289" w:rsidRPr="002F67D2" w:rsidRDefault="00896289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D6DDC8" w14:textId="23A65D0F" w:rsidR="00A16A25" w:rsidRPr="00A16A25" w:rsidRDefault="00F35A7F" w:rsidP="00A16A2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OGYI-T-24742/01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10×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PVC/PVD</w:t>
      </w:r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C//</w:t>
      </w:r>
      <w:proofErr w:type="spellStart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 </w:t>
      </w:r>
    </w:p>
    <w:p w14:paraId="24072C82" w14:textId="2EFE1878" w:rsidR="00A16A25" w:rsidRPr="00A16A25" w:rsidRDefault="00F35A7F" w:rsidP="00A16A2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OGYI-T-24742/02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20×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PVC/PVD</w:t>
      </w:r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C//</w:t>
      </w:r>
      <w:proofErr w:type="spellStart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 </w:t>
      </w:r>
    </w:p>
    <w:p w14:paraId="42432B74" w14:textId="01CAC9CC" w:rsidR="00A16A25" w:rsidRPr="00A16A25" w:rsidRDefault="00F35A7F" w:rsidP="00A16A2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OGYI-T-24742/03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60×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PVC/PVD</w:t>
      </w:r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C//</w:t>
      </w:r>
      <w:proofErr w:type="spellStart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 </w:t>
      </w:r>
    </w:p>
    <w:p w14:paraId="25E6CBC5" w14:textId="407DBDF2" w:rsidR="00A16A25" w:rsidRPr="00A16A25" w:rsidRDefault="00F35A7F" w:rsidP="00A16A2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OGYI-T-24742/04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168×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PVC/PVD</w:t>
      </w:r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C//</w:t>
      </w:r>
      <w:proofErr w:type="spellStart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 </w:t>
      </w:r>
    </w:p>
    <w:p w14:paraId="22241B1C" w14:textId="321EBC7F" w:rsidR="00A16A25" w:rsidRPr="00A16A25" w:rsidRDefault="00F35A7F" w:rsidP="00A16A2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OGYI-T-24742/05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200×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  <w:t>PVC/PVD</w:t>
      </w:r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C//</w:t>
      </w:r>
      <w:proofErr w:type="spellStart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>Al</w:t>
      </w:r>
      <w:proofErr w:type="spellEnd"/>
      <w:r w:rsidR="00A16A25" w:rsidRPr="00A16A2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 </w:t>
      </w:r>
    </w:p>
    <w:p w14:paraId="6B43EF02" w14:textId="2BF7B8F4" w:rsid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7F4301" w14:textId="77777777" w:rsidR="00A16A25" w:rsidRPr="002F67D2" w:rsidRDefault="00A16A25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835161D" w14:textId="42A7F3FD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3" w:name="_Hlk76470462"/>
      <w:r w:rsidRPr="002F67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 betegtájékoztató legutóbbi felülvizsgálatának dátuma: </w:t>
      </w:r>
      <w:r w:rsidR="00A16A2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2026. május.</w:t>
      </w:r>
    </w:p>
    <w:bookmarkEnd w:id="3"/>
    <w:p w14:paraId="179E3014" w14:textId="77777777" w:rsidR="002F67D2" w:rsidRPr="002F67D2" w:rsidRDefault="002F67D2" w:rsidP="002F67D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0889B33" w14:textId="77777777" w:rsidR="00145300" w:rsidRDefault="00145300"/>
    <w:sectPr w:rsidR="00145300" w:rsidSect="002F67D2">
      <w:headerReference w:type="default" r:id="rId10"/>
      <w:footerReference w:type="default" r:id="rId11"/>
      <w:footerReference w:type="first" r:id="rId12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ECE22" w14:textId="77777777" w:rsidR="0075411E" w:rsidRDefault="0075411E">
      <w:pPr>
        <w:spacing w:after="0" w:line="240" w:lineRule="auto"/>
      </w:pPr>
      <w:r>
        <w:separator/>
      </w:r>
    </w:p>
  </w:endnote>
  <w:endnote w:type="continuationSeparator" w:id="0">
    <w:p w14:paraId="4007B59D" w14:textId="77777777" w:rsidR="0075411E" w:rsidRDefault="00754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0C101" w14:textId="77777777" w:rsidR="00981300" w:rsidRPr="006603A0" w:rsidRDefault="00981300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4999B" w14:textId="0906C158" w:rsidR="00981300" w:rsidRPr="006603A0" w:rsidRDefault="0044369F">
    <w:pPr>
      <w:pStyle w:val="llb"/>
      <w:rPr>
        <w:sz w:val="18"/>
      </w:rPr>
    </w:pPr>
    <w:r>
      <w:rPr>
        <w:sz w:val="18"/>
      </w:rPr>
      <w:t>OGYÉI/48445</w:t>
    </w:r>
    <w:r w:rsidRPr="0044369F">
      <w:rPr>
        <w:sz w:val="18"/>
      </w:rPr>
      <w:t>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C1AAD" w14:textId="77777777" w:rsidR="0075411E" w:rsidRDefault="0075411E">
      <w:pPr>
        <w:spacing w:after="0" w:line="240" w:lineRule="auto"/>
      </w:pPr>
      <w:r>
        <w:separator/>
      </w:r>
    </w:p>
  </w:footnote>
  <w:footnote w:type="continuationSeparator" w:id="0">
    <w:p w14:paraId="11A82516" w14:textId="77777777" w:rsidR="0075411E" w:rsidRDefault="00754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138750008"/>
      <w:docPartObj>
        <w:docPartGallery w:val="Page Numbers (Top of Page)"/>
        <w:docPartUnique/>
      </w:docPartObj>
    </w:sdtPr>
    <w:sdtEndPr/>
    <w:sdtContent>
      <w:p w14:paraId="33FDECAA" w14:textId="5B8ABD0C" w:rsidR="00981300" w:rsidRPr="006603A0" w:rsidRDefault="00981300">
        <w:pPr>
          <w:pStyle w:val="lfej"/>
          <w:jc w:val="center"/>
          <w:rPr>
            <w:sz w:val="18"/>
          </w:rPr>
        </w:pPr>
        <w:r w:rsidRPr="006603A0">
          <w:rPr>
            <w:sz w:val="18"/>
          </w:rPr>
          <w:fldChar w:fldCharType="begin"/>
        </w:r>
        <w:r w:rsidRPr="006603A0">
          <w:rPr>
            <w:sz w:val="18"/>
          </w:rPr>
          <w:instrText>PAGE   \* MERGEFORMAT</w:instrText>
        </w:r>
        <w:r w:rsidRPr="006603A0">
          <w:rPr>
            <w:sz w:val="18"/>
          </w:rPr>
          <w:fldChar w:fldCharType="separate"/>
        </w:r>
        <w:r w:rsidR="00DA3B4D">
          <w:rPr>
            <w:noProof/>
            <w:sz w:val="18"/>
          </w:rPr>
          <w:t>12</w:t>
        </w:r>
        <w:r w:rsidRPr="006603A0">
          <w:rPr>
            <w:sz w:val="18"/>
          </w:rPr>
          <w:fldChar w:fldCharType="end"/>
        </w:r>
      </w:p>
    </w:sdtContent>
  </w:sdt>
  <w:p w14:paraId="2F6D0F99" w14:textId="77777777" w:rsidR="00981300" w:rsidRPr="006603A0" w:rsidRDefault="0098130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9"/>
    <w:multiLevelType w:val="hybridMultilevel"/>
    <w:tmpl w:val="02F23620"/>
    <w:lvl w:ilvl="0" w:tplc="CE8A233A">
      <w:numFmt w:val="bullet"/>
      <w:lvlText w:val="-"/>
      <w:lvlJc w:val="left"/>
      <w:pPr>
        <w:ind w:left="2826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" w15:restartNumberingAfterBreak="0">
    <w:nsid w:val="20E64119"/>
    <w:multiLevelType w:val="hybridMultilevel"/>
    <w:tmpl w:val="0F5ECC68"/>
    <w:lvl w:ilvl="0" w:tplc="CBF40AF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81FEA"/>
    <w:multiLevelType w:val="hybridMultilevel"/>
    <w:tmpl w:val="D7BE3D78"/>
    <w:lvl w:ilvl="0" w:tplc="209C63CC">
      <w:start w:val="1"/>
      <w:numFmt w:val="bullet"/>
      <w:lvlText w:val="−"/>
      <w:lvlJc w:val="left"/>
      <w:pPr>
        <w:ind w:left="802" w:hanging="562"/>
      </w:pPr>
      <w:rPr>
        <w:rFonts w:ascii="Times New Roman" w:hAnsi="Times New Roman" w:cs="Times New Roman" w:hint="default"/>
        <w:w w:val="100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3" w15:restartNumberingAfterBreak="0">
    <w:nsid w:val="295D184B"/>
    <w:multiLevelType w:val="hybridMultilevel"/>
    <w:tmpl w:val="FCF01C38"/>
    <w:lvl w:ilvl="0" w:tplc="209C63CC">
      <w:start w:val="1"/>
      <w:numFmt w:val="bullet"/>
      <w:lvlText w:val="−"/>
      <w:lvlJc w:val="left"/>
      <w:pPr>
        <w:ind w:left="802" w:hanging="562"/>
      </w:pPr>
      <w:rPr>
        <w:rFonts w:ascii="Times New Roman" w:hAnsi="Times New Roman" w:cs="Times New Roman" w:hint="default"/>
        <w:w w:val="100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4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5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6" w15:restartNumberingAfterBreak="0">
    <w:nsid w:val="45E053E8"/>
    <w:multiLevelType w:val="hybridMultilevel"/>
    <w:tmpl w:val="475C1EFE"/>
    <w:lvl w:ilvl="0" w:tplc="209C63CC">
      <w:start w:val="1"/>
      <w:numFmt w:val="bullet"/>
      <w:lvlText w:val="−"/>
      <w:lvlJc w:val="left"/>
      <w:pPr>
        <w:ind w:left="802" w:hanging="562"/>
      </w:pPr>
      <w:rPr>
        <w:rFonts w:ascii="Times New Roman" w:hAnsi="Times New Roman" w:cs="Times New Roman" w:hint="default"/>
        <w:w w:val="100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7" w15:restartNumberingAfterBreak="0">
    <w:nsid w:val="4E6E0565"/>
    <w:multiLevelType w:val="hybridMultilevel"/>
    <w:tmpl w:val="316C7EF0"/>
    <w:lvl w:ilvl="0" w:tplc="CE8A233A">
      <w:numFmt w:val="bullet"/>
      <w:lvlText w:val="-"/>
      <w:lvlJc w:val="left"/>
      <w:pPr>
        <w:ind w:left="802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8" w15:restartNumberingAfterBreak="0">
    <w:nsid w:val="4EE87236"/>
    <w:multiLevelType w:val="hybridMultilevel"/>
    <w:tmpl w:val="5DD420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0475BF"/>
    <w:multiLevelType w:val="hybridMultilevel"/>
    <w:tmpl w:val="00180668"/>
    <w:lvl w:ilvl="0" w:tplc="209C63CC">
      <w:start w:val="1"/>
      <w:numFmt w:val="bullet"/>
      <w:lvlText w:val="−"/>
      <w:lvlJc w:val="left"/>
      <w:pPr>
        <w:ind w:left="1980" w:hanging="562"/>
      </w:pPr>
      <w:rPr>
        <w:rFonts w:ascii="Times New Roman" w:hAnsi="Times New Roman" w:cs="Times New Roman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10" w15:restartNumberingAfterBreak="0">
    <w:nsid w:val="5FF20370"/>
    <w:multiLevelType w:val="hybridMultilevel"/>
    <w:tmpl w:val="2BB07570"/>
    <w:lvl w:ilvl="0" w:tplc="AE66233C">
      <w:numFmt w:val="bullet"/>
      <w:lvlText w:val="-"/>
      <w:lvlJc w:val="left"/>
      <w:pPr>
        <w:ind w:left="1827" w:hanging="567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</w:rPr>
    </w:lvl>
    <w:lvl w:ilvl="1" w:tplc="22662CCC">
      <w:numFmt w:val="bullet"/>
      <w:lvlText w:val="•"/>
      <w:lvlJc w:val="left"/>
      <w:pPr>
        <w:ind w:left="2665" w:hanging="567"/>
      </w:pPr>
      <w:rPr>
        <w:rFonts w:hint="default"/>
      </w:rPr>
    </w:lvl>
    <w:lvl w:ilvl="2" w:tplc="0826E91E">
      <w:numFmt w:val="bullet"/>
      <w:lvlText w:val="•"/>
      <w:lvlJc w:val="left"/>
      <w:pPr>
        <w:ind w:left="3512" w:hanging="567"/>
      </w:pPr>
      <w:rPr>
        <w:rFonts w:hint="default"/>
      </w:rPr>
    </w:lvl>
    <w:lvl w:ilvl="3" w:tplc="B366EB04">
      <w:numFmt w:val="bullet"/>
      <w:lvlText w:val="•"/>
      <w:lvlJc w:val="left"/>
      <w:pPr>
        <w:ind w:left="4358" w:hanging="567"/>
      </w:pPr>
      <w:rPr>
        <w:rFonts w:hint="default"/>
      </w:rPr>
    </w:lvl>
    <w:lvl w:ilvl="4" w:tplc="C0B22728">
      <w:numFmt w:val="bullet"/>
      <w:lvlText w:val="•"/>
      <w:lvlJc w:val="left"/>
      <w:pPr>
        <w:ind w:left="5205" w:hanging="567"/>
      </w:pPr>
      <w:rPr>
        <w:rFonts w:hint="default"/>
      </w:rPr>
    </w:lvl>
    <w:lvl w:ilvl="5" w:tplc="9C6093F8">
      <w:numFmt w:val="bullet"/>
      <w:lvlText w:val="•"/>
      <w:lvlJc w:val="left"/>
      <w:pPr>
        <w:ind w:left="6051" w:hanging="567"/>
      </w:pPr>
      <w:rPr>
        <w:rFonts w:hint="default"/>
      </w:rPr>
    </w:lvl>
    <w:lvl w:ilvl="6" w:tplc="2E8C339E">
      <w:numFmt w:val="bullet"/>
      <w:lvlText w:val="•"/>
      <w:lvlJc w:val="left"/>
      <w:pPr>
        <w:ind w:left="6898" w:hanging="567"/>
      </w:pPr>
      <w:rPr>
        <w:rFonts w:hint="default"/>
      </w:rPr>
    </w:lvl>
    <w:lvl w:ilvl="7" w:tplc="9654A3AA">
      <w:numFmt w:val="bullet"/>
      <w:lvlText w:val="•"/>
      <w:lvlJc w:val="left"/>
      <w:pPr>
        <w:ind w:left="7744" w:hanging="567"/>
      </w:pPr>
      <w:rPr>
        <w:rFonts w:hint="default"/>
      </w:rPr>
    </w:lvl>
    <w:lvl w:ilvl="8" w:tplc="5254E736">
      <w:numFmt w:val="bullet"/>
      <w:lvlText w:val="•"/>
      <w:lvlJc w:val="left"/>
      <w:pPr>
        <w:ind w:left="8591" w:hanging="567"/>
      </w:pPr>
      <w:rPr>
        <w:rFonts w:hint="default"/>
      </w:rPr>
    </w:lvl>
  </w:abstractNum>
  <w:abstractNum w:abstractNumId="11" w15:restartNumberingAfterBreak="0">
    <w:nsid w:val="623C5B1B"/>
    <w:multiLevelType w:val="hybridMultilevel"/>
    <w:tmpl w:val="C5D28F98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867E55"/>
    <w:multiLevelType w:val="hybridMultilevel"/>
    <w:tmpl w:val="CA6AE63C"/>
    <w:lvl w:ilvl="0" w:tplc="4E4C476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69264DAA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0956A4B6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8A18309A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CF3A5C3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398658A2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A2B0C398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517C9A22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82A0D8C4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3" w15:restartNumberingAfterBreak="0">
    <w:nsid w:val="67864038"/>
    <w:multiLevelType w:val="hybridMultilevel"/>
    <w:tmpl w:val="580E8280"/>
    <w:lvl w:ilvl="0" w:tplc="CBF40AFA">
      <w:start w:val="1"/>
      <w:numFmt w:val="bullet"/>
      <w:lvlText w:val="-"/>
      <w:lvlJc w:val="left"/>
      <w:pPr>
        <w:ind w:left="956" w:hanging="202"/>
      </w:pPr>
      <w:rPr>
        <w:rFonts w:ascii="Courier New" w:hAnsi="Courier New" w:hint="default"/>
        <w:b w:val="0"/>
        <w:bCs w:val="0"/>
        <w:i w:val="0"/>
        <w:iCs w:val="0"/>
        <w:w w:val="99"/>
        <w:sz w:val="20"/>
        <w:szCs w:val="20"/>
      </w:rPr>
    </w:lvl>
    <w:lvl w:ilvl="1" w:tplc="FFFFFFFF">
      <w:numFmt w:val="bullet"/>
      <w:lvlText w:val="•"/>
      <w:lvlJc w:val="left"/>
      <w:pPr>
        <w:ind w:left="1846" w:hanging="202"/>
      </w:pPr>
      <w:rPr>
        <w:rFonts w:hint="default"/>
      </w:rPr>
    </w:lvl>
    <w:lvl w:ilvl="2" w:tplc="FFFFFFFF">
      <w:numFmt w:val="bullet"/>
      <w:lvlText w:val="•"/>
      <w:lvlJc w:val="left"/>
      <w:pPr>
        <w:ind w:left="2733" w:hanging="202"/>
      </w:pPr>
      <w:rPr>
        <w:rFonts w:hint="default"/>
      </w:rPr>
    </w:lvl>
    <w:lvl w:ilvl="3" w:tplc="FFFFFFFF">
      <w:numFmt w:val="bullet"/>
      <w:lvlText w:val="•"/>
      <w:lvlJc w:val="left"/>
      <w:pPr>
        <w:ind w:left="3619" w:hanging="202"/>
      </w:pPr>
      <w:rPr>
        <w:rFonts w:hint="default"/>
      </w:rPr>
    </w:lvl>
    <w:lvl w:ilvl="4" w:tplc="FFFFFFFF">
      <w:numFmt w:val="bullet"/>
      <w:lvlText w:val="•"/>
      <w:lvlJc w:val="left"/>
      <w:pPr>
        <w:ind w:left="4506" w:hanging="202"/>
      </w:pPr>
      <w:rPr>
        <w:rFonts w:hint="default"/>
      </w:rPr>
    </w:lvl>
    <w:lvl w:ilvl="5" w:tplc="FFFFFFFF">
      <w:numFmt w:val="bullet"/>
      <w:lvlText w:val="•"/>
      <w:lvlJc w:val="left"/>
      <w:pPr>
        <w:ind w:left="5392" w:hanging="202"/>
      </w:pPr>
      <w:rPr>
        <w:rFonts w:hint="default"/>
      </w:rPr>
    </w:lvl>
    <w:lvl w:ilvl="6" w:tplc="FFFFFFFF">
      <w:numFmt w:val="bullet"/>
      <w:lvlText w:val="•"/>
      <w:lvlJc w:val="left"/>
      <w:pPr>
        <w:ind w:left="6279" w:hanging="202"/>
      </w:pPr>
      <w:rPr>
        <w:rFonts w:hint="default"/>
      </w:rPr>
    </w:lvl>
    <w:lvl w:ilvl="7" w:tplc="FFFFFFFF">
      <w:numFmt w:val="bullet"/>
      <w:lvlText w:val="•"/>
      <w:lvlJc w:val="left"/>
      <w:pPr>
        <w:ind w:left="7165" w:hanging="202"/>
      </w:pPr>
      <w:rPr>
        <w:rFonts w:hint="default"/>
      </w:rPr>
    </w:lvl>
    <w:lvl w:ilvl="8" w:tplc="FFFFFFFF">
      <w:numFmt w:val="bullet"/>
      <w:lvlText w:val="•"/>
      <w:lvlJc w:val="left"/>
      <w:pPr>
        <w:ind w:left="8052" w:hanging="202"/>
      </w:pPr>
      <w:rPr>
        <w:rFonts w:hint="default"/>
      </w:rPr>
    </w:lvl>
  </w:abstractNum>
  <w:abstractNum w:abstractNumId="14" w15:restartNumberingAfterBreak="0">
    <w:nsid w:val="6C401E7D"/>
    <w:multiLevelType w:val="hybridMultilevel"/>
    <w:tmpl w:val="40B26910"/>
    <w:lvl w:ilvl="0" w:tplc="CBF40AFA">
      <w:start w:val="1"/>
      <w:numFmt w:val="bullet"/>
      <w:lvlText w:val="-"/>
      <w:lvlJc w:val="left"/>
      <w:pPr>
        <w:ind w:left="3888" w:hanging="202"/>
      </w:pPr>
      <w:rPr>
        <w:rFonts w:ascii="Courier New" w:hAnsi="Courier New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FFFFFFFF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FFFFFFFF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FFFFFFFF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FFFFFFFF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FFFFFFFF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FFFFFFFF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FFFFFFFF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15" w15:restartNumberingAfterBreak="0">
    <w:nsid w:val="76DC3A0D"/>
    <w:multiLevelType w:val="hybridMultilevel"/>
    <w:tmpl w:val="68F87A8E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6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193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2899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3858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4816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5775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6733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7692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8650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9609" w:hanging="562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4"/>
  </w:num>
  <w:num w:numId="5">
    <w:abstractNumId w:val="9"/>
  </w:num>
  <w:num w:numId="6">
    <w:abstractNumId w:val="16"/>
  </w:num>
  <w:num w:numId="7">
    <w:abstractNumId w:val="15"/>
  </w:num>
  <w:num w:numId="8">
    <w:abstractNumId w:val="0"/>
  </w:num>
  <w:num w:numId="9">
    <w:abstractNumId w:val="8"/>
  </w:num>
  <w:num w:numId="10">
    <w:abstractNumId w:val="7"/>
  </w:num>
  <w:num w:numId="11">
    <w:abstractNumId w:val="11"/>
  </w:num>
  <w:num w:numId="12">
    <w:abstractNumId w:val="2"/>
  </w:num>
  <w:num w:numId="13">
    <w:abstractNumId w:val="3"/>
  </w:num>
  <w:num w:numId="14">
    <w:abstractNumId w:val="6"/>
  </w:num>
  <w:num w:numId="15">
    <w:abstractNumId w:val="13"/>
  </w:num>
  <w:num w:numId="16">
    <w:abstractNumId w:val="1"/>
  </w:num>
  <w:num w:numId="17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7D2"/>
    <w:rsid w:val="00145300"/>
    <w:rsid w:val="001E6107"/>
    <w:rsid w:val="00225028"/>
    <w:rsid w:val="00256696"/>
    <w:rsid w:val="002F67D2"/>
    <w:rsid w:val="00380244"/>
    <w:rsid w:val="003D6227"/>
    <w:rsid w:val="0044369F"/>
    <w:rsid w:val="00464B8C"/>
    <w:rsid w:val="004B1B0D"/>
    <w:rsid w:val="004C3274"/>
    <w:rsid w:val="004E51FB"/>
    <w:rsid w:val="004E7732"/>
    <w:rsid w:val="00506D62"/>
    <w:rsid w:val="0052298D"/>
    <w:rsid w:val="00546D84"/>
    <w:rsid w:val="0072607A"/>
    <w:rsid w:val="0075411E"/>
    <w:rsid w:val="00846DFD"/>
    <w:rsid w:val="00851A07"/>
    <w:rsid w:val="00896289"/>
    <w:rsid w:val="00932B26"/>
    <w:rsid w:val="009706D4"/>
    <w:rsid w:val="00981300"/>
    <w:rsid w:val="00A16A25"/>
    <w:rsid w:val="00A24F7A"/>
    <w:rsid w:val="00AC6FE3"/>
    <w:rsid w:val="00AD63E0"/>
    <w:rsid w:val="00B37E33"/>
    <w:rsid w:val="00DA3B4D"/>
    <w:rsid w:val="00F23C87"/>
    <w:rsid w:val="00F35A7F"/>
    <w:rsid w:val="00F9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4447"/>
  <w15:chartTrackingRefBased/>
  <w15:docId w15:val="{88D9C565-A99C-4FD6-8451-626A5997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F6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F6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F67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F6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F67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F6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F6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F6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F6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F67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F6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F67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F67D2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F67D2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F67D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F67D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F67D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F67D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F6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F6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F6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F6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F6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F67D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F67D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F67D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F67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F67D2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F67D2"/>
    <w:rPr>
      <w:b/>
      <w:bCs/>
      <w:smallCaps/>
      <w:color w:val="2F5496" w:themeColor="accent1" w:themeShade="BF"/>
      <w:spacing w:val="5"/>
    </w:rPr>
  </w:style>
  <w:style w:type="numbering" w:customStyle="1" w:styleId="Nemlista1">
    <w:name w:val="Nem lista1"/>
    <w:next w:val="Nemlista"/>
    <w:uiPriority w:val="99"/>
    <w:semiHidden/>
    <w:unhideWhenUsed/>
    <w:rsid w:val="002F67D2"/>
  </w:style>
  <w:style w:type="paragraph" w:styleId="Szvegtrzs">
    <w:name w:val="Body Text"/>
    <w:basedOn w:val="Norml"/>
    <w:link w:val="SzvegtrzsChar"/>
    <w:uiPriority w:val="1"/>
    <w:qFormat/>
    <w:rsid w:val="002F67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2F67D2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2F67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2F67D2"/>
    <w:pPr>
      <w:widowControl w:val="0"/>
      <w:tabs>
        <w:tab w:val="center" w:pos="4703"/>
        <w:tab w:val="right" w:pos="94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2F67D2"/>
    <w:rPr>
      <w:rFonts w:ascii="Times New Roman" w:eastAsia="Times New Roman" w:hAnsi="Times New Roman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2F67D2"/>
    <w:pPr>
      <w:widowControl w:val="0"/>
      <w:tabs>
        <w:tab w:val="center" w:pos="4703"/>
        <w:tab w:val="right" w:pos="94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2F67D2"/>
    <w:rPr>
      <w:rFonts w:ascii="Times New Roman" w:eastAsia="Times New Roman" w:hAnsi="Times New Roman" w:cs="Times New Roman"/>
      <w:kern w:val="0"/>
      <w14:ligatures w14:val="none"/>
    </w:rPr>
  </w:style>
  <w:style w:type="paragraph" w:styleId="Nincstrkz">
    <w:name w:val="No Spacing"/>
    <w:uiPriority w:val="1"/>
    <w:qFormat/>
    <w:rsid w:val="002F67D2"/>
    <w:pPr>
      <w:spacing w:after="0" w:line="240" w:lineRule="auto"/>
    </w:pPr>
    <w:rPr>
      <w:rFonts w:ascii="Times New Roman" w:eastAsia="Calibri" w:hAnsi="Times New Roman" w:cs="Times New Roman"/>
      <w:kern w:val="0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F67D2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67D2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Vltozat">
    <w:name w:val="Revision"/>
    <w:hidden/>
    <w:uiPriority w:val="99"/>
    <w:semiHidden/>
    <w:rsid w:val="002F67D2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2F67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F67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F67D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F67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F67D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customStyle="1" w:styleId="Rcsostblzat1">
    <w:name w:val="Rácsos táblázat1"/>
    <w:basedOn w:val="Normltblzat"/>
    <w:next w:val="Rcsostblzat"/>
    <w:uiPriority w:val="59"/>
    <w:rsid w:val="00896289"/>
    <w:pPr>
      <w:spacing w:after="0" w:line="240" w:lineRule="auto"/>
    </w:pPr>
    <w:rPr>
      <w:rFonts w:eastAsia="Calibri"/>
      <w:kern w:val="0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896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cid:image007.png@01D91498.F30E37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3956</Words>
  <Characters>27298</Characters>
  <Application>Microsoft Office Word</Application>
  <DocSecurity>0</DocSecurity>
  <Lines>227</Lines>
  <Paragraphs>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HU_OGYI_7.1</cp:lastModifiedBy>
  <cp:revision>14</cp:revision>
  <dcterms:created xsi:type="dcterms:W3CDTF">2025-07-25T08:33:00Z</dcterms:created>
  <dcterms:modified xsi:type="dcterms:W3CDTF">2026-05-14T14:05:00Z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a256bb-f010-45f7-99b4-329a9a9e7a5c_Enabled">
    <vt:lpwstr>true</vt:lpwstr>
  </property>
  <property fmtid="{D5CDD505-2E9C-101B-9397-08002B2CF9AE}" pid="3" name="MSIP_Label_66a256bb-f010-45f7-99b4-329a9a9e7a5c_SetDate">
    <vt:lpwstr>2025-07-18T05:52:46Z</vt:lpwstr>
  </property>
  <property fmtid="{D5CDD505-2E9C-101B-9397-08002B2CF9AE}" pid="4" name="MSIP_Label_66a256bb-f010-45f7-99b4-329a9a9e7a5c_Method">
    <vt:lpwstr>Standard</vt:lpwstr>
  </property>
  <property fmtid="{D5CDD505-2E9C-101B-9397-08002B2CF9AE}" pid="5" name="MSIP_Label_66a256bb-f010-45f7-99b4-329a9a9e7a5c_Name">
    <vt:lpwstr>Public</vt:lpwstr>
  </property>
  <property fmtid="{D5CDD505-2E9C-101B-9397-08002B2CF9AE}" pid="6" name="MSIP_Label_66a256bb-f010-45f7-99b4-329a9a9e7a5c_SiteId">
    <vt:lpwstr>68b628ab-578a-4367-8d4e-bc98746c4353</vt:lpwstr>
  </property>
  <property fmtid="{D5CDD505-2E9C-101B-9397-08002B2CF9AE}" pid="7" name="MSIP_Label_66a256bb-f010-45f7-99b4-329a9a9e7a5c_ActionId">
    <vt:lpwstr>775576f3-25e2-4dcf-b206-9db858d98916</vt:lpwstr>
  </property>
  <property fmtid="{D5CDD505-2E9C-101B-9397-08002B2CF9AE}" pid="8" name="MSIP_Label_66a256bb-f010-45f7-99b4-329a9a9e7a5c_ContentBits">
    <vt:lpwstr>0</vt:lpwstr>
  </property>
  <property fmtid="{D5CDD505-2E9C-101B-9397-08002B2CF9AE}" pid="9" name="MSIP_Label_66a256bb-f010-45f7-99b4-329a9a9e7a5c_Tag">
    <vt:lpwstr>10, 3, 0, 1</vt:lpwstr>
  </property>
</Properties>
</file>