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08143E" w14:textId="77777777" w:rsidR="00602010" w:rsidRDefault="009F38E3">
      <w:pPr>
        <w:tabs>
          <w:tab w:val="clear" w:pos="567"/>
          <w:tab w:val="left" w:pos="720"/>
        </w:tabs>
        <w:spacing w:line="240" w:lineRule="auto"/>
        <w:jc w:val="center"/>
        <w:outlineLvl w:val="0"/>
        <w:rPr>
          <w:lang w:val="hu-HU"/>
        </w:rPr>
      </w:pPr>
      <w:r>
        <w:rPr>
          <w:b/>
          <w:bCs/>
          <w:lang w:val="hu-HU"/>
        </w:rPr>
        <w:t>Betegtájékoztató: Információk a felhasználó számára</w:t>
      </w:r>
    </w:p>
    <w:p w14:paraId="27FD6884" w14:textId="77777777" w:rsidR="00602010" w:rsidRDefault="00602010">
      <w:pPr>
        <w:numPr>
          <w:ilvl w:val="12"/>
          <w:numId w:val="0"/>
        </w:numPr>
        <w:shd w:val="clear" w:color="auto" w:fill="FFFFFF"/>
        <w:tabs>
          <w:tab w:val="clear" w:pos="567"/>
          <w:tab w:val="left" w:pos="720"/>
        </w:tabs>
        <w:spacing w:line="240" w:lineRule="auto"/>
        <w:jc w:val="center"/>
        <w:rPr>
          <w:lang w:val="hu-HU"/>
        </w:rPr>
      </w:pPr>
    </w:p>
    <w:p w14:paraId="3F9F4933" w14:textId="77777777" w:rsidR="00602010" w:rsidRDefault="009F38E3">
      <w:pPr>
        <w:numPr>
          <w:ilvl w:val="12"/>
          <w:numId w:val="0"/>
        </w:numPr>
        <w:spacing w:line="240" w:lineRule="auto"/>
        <w:jc w:val="center"/>
        <w:rPr>
          <w:b/>
          <w:bCs/>
          <w:lang w:val="hu-HU"/>
        </w:rPr>
      </w:pPr>
      <w:bookmarkStart w:id="0" w:name="_Hlk150861542"/>
      <w:r>
        <w:rPr>
          <w:b/>
          <w:bCs/>
          <w:lang w:val="hu-HU"/>
        </w:rPr>
        <w:t>Tolvecamo 40 mg/5 mg/12,5 mg tabletta</w:t>
      </w:r>
    </w:p>
    <w:p w14:paraId="5CC7FAAC" w14:textId="77777777" w:rsidR="00602010" w:rsidRDefault="009F38E3">
      <w:pPr>
        <w:numPr>
          <w:ilvl w:val="12"/>
          <w:numId w:val="0"/>
        </w:numPr>
        <w:spacing w:line="240" w:lineRule="auto"/>
        <w:jc w:val="center"/>
        <w:rPr>
          <w:b/>
          <w:bCs/>
          <w:lang w:val="hu-HU"/>
        </w:rPr>
      </w:pPr>
      <w:r>
        <w:rPr>
          <w:b/>
          <w:bCs/>
          <w:lang w:val="hu-HU"/>
        </w:rPr>
        <w:t>Tolvecamo 80 mg/5 mg/12,5 mg tabletta</w:t>
      </w:r>
    </w:p>
    <w:p w14:paraId="7EE88DD2" w14:textId="77777777" w:rsidR="00602010" w:rsidRDefault="009F38E3">
      <w:pPr>
        <w:numPr>
          <w:ilvl w:val="12"/>
          <w:numId w:val="0"/>
        </w:numPr>
        <w:spacing w:line="240" w:lineRule="auto"/>
        <w:jc w:val="center"/>
        <w:rPr>
          <w:b/>
          <w:bCs/>
          <w:lang w:val="hu-HU"/>
        </w:rPr>
      </w:pPr>
      <w:r>
        <w:rPr>
          <w:b/>
          <w:bCs/>
          <w:lang w:val="hu-HU"/>
        </w:rPr>
        <w:t>Tolvecamo 80 mg/10 mg/12,5 mg tabletta</w:t>
      </w:r>
    </w:p>
    <w:p w14:paraId="3A959C5D" w14:textId="77777777" w:rsidR="00602010" w:rsidRDefault="009F38E3">
      <w:pPr>
        <w:numPr>
          <w:ilvl w:val="12"/>
          <w:numId w:val="0"/>
        </w:numPr>
        <w:spacing w:line="240" w:lineRule="auto"/>
        <w:jc w:val="center"/>
        <w:rPr>
          <w:b/>
          <w:bCs/>
          <w:lang w:val="hu-HU"/>
        </w:rPr>
      </w:pPr>
      <w:r>
        <w:rPr>
          <w:b/>
          <w:bCs/>
          <w:lang w:val="hu-HU"/>
        </w:rPr>
        <w:t>Tolvecamo 80 mg/10 mg/25 mg tabletta</w:t>
      </w:r>
    </w:p>
    <w:bookmarkEnd w:id="0"/>
    <w:p w14:paraId="189C64FE" w14:textId="77777777" w:rsidR="00602010" w:rsidRDefault="009F38E3">
      <w:pPr>
        <w:numPr>
          <w:ilvl w:val="12"/>
          <w:numId w:val="0"/>
        </w:numPr>
        <w:spacing w:line="240" w:lineRule="auto"/>
        <w:jc w:val="center"/>
        <w:rPr>
          <w:lang w:val="hu-HU"/>
        </w:rPr>
      </w:pPr>
      <w:r>
        <w:rPr>
          <w:lang w:val="hu-HU"/>
        </w:rPr>
        <w:t>telmizartán/amlodipin/hidroklorotiazid</w:t>
      </w:r>
    </w:p>
    <w:p w14:paraId="42DB2982" w14:textId="77777777" w:rsidR="00602010" w:rsidRDefault="00602010">
      <w:pPr>
        <w:tabs>
          <w:tab w:val="clear" w:pos="567"/>
          <w:tab w:val="left" w:pos="720"/>
        </w:tabs>
        <w:spacing w:line="240" w:lineRule="auto"/>
        <w:rPr>
          <w:lang w:val="hu-HU"/>
        </w:rPr>
      </w:pPr>
    </w:p>
    <w:p w14:paraId="6CD433C5" w14:textId="77777777" w:rsidR="00602010" w:rsidRDefault="009F38E3">
      <w:pPr>
        <w:spacing w:line="240" w:lineRule="auto"/>
        <w:rPr>
          <w:b/>
          <w:bCs/>
          <w:lang w:val="hu-HU"/>
        </w:rPr>
      </w:pPr>
      <w:r>
        <w:rPr>
          <w:b/>
          <w:bCs/>
          <w:lang w:val="hu-HU"/>
        </w:rPr>
        <w:t>Mielőtt elkezdi szedni ezt a gyógyszert, olvassa el figyelmesen az alábbi betegtájékoztatót, mert az Ön számára fontos információkat tartalmaz.</w:t>
      </w:r>
    </w:p>
    <w:p w14:paraId="23D2FAB7" w14:textId="77777777" w:rsidR="00602010" w:rsidRDefault="009F38E3">
      <w:pPr>
        <w:numPr>
          <w:ilvl w:val="0"/>
          <w:numId w:val="5"/>
        </w:numPr>
        <w:tabs>
          <w:tab w:val="clear" w:pos="360"/>
          <w:tab w:val="num" w:pos="567"/>
        </w:tabs>
        <w:suppressAutoHyphens/>
        <w:snapToGrid w:val="0"/>
        <w:spacing w:line="240" w:lineRule="auto"/>
        <w:ind w:left="567" w:hanging="567"/>
        <w:rPr>
          <w:lang w:val="hu-HU"/>
        </w:rPr>
      </w:pPr>
      <w:r>
        <w:rPr>
          <w:lang w:val="hu-HU"/>
        </w:rPr>
        <w:t>Tartsa meg a betegtájékoztatót, mert a benne szereplő információkra a későbbiekben is szüksége lehet.</w:t>
      </w:r>
    </w:p>
    <w:p w14:paraId="6FE8F28E" w14:textId="77777777" w:rsidR="00602010" w:rsidRDefault="009F38E3">
      <w:pPr>
        <w:numPr>
          <w:ilvl w:val="0"/>
          <w:numId w:val="6"/>
        </w:numPr>
        <w:tabs>
          <w:tab w:val="clear" w:pos="360"/>
          <w:tab w:val="num" w:pos="567"/>
        </w:tabs>
        <w:suppressAutoHyphens/>
        <w:snapToGrid w:val="0"/>
        <w:spacing w:line="240" w:lineRule="auto"/>
        <w:ind w:left="567" w:hanging="567"/>
        <w:rPr>
          <w:lang w:val="hu-HU"/>
        </w:rPr>
      </w:pPr>
      <w:r>
        <w:rPr>
          <w:lang w:val="hu-HU"/>
        </w:rPr>
        <w:t>További kérdéseivel forduljon kezelőorvosához vagy gyógyszerészéhez.</w:t>
      </w:r>
    </w:p>
    <w:p w14:paraId="56AE14A4" w14:textId="77777777" w:rsidR="00602010" w:rsidRDefault="009F38E3">
      <w:pPr>
        <w:numPr>
          <w:ilvl w:val="0"/>
          <w:numId w:val="7"/>
        </w:numPr>
        <w:tabs>
          <w:tab w:val="clear" w:pos="360"/>
          <w:tab w:val="num" w:pos="567"/>
        </w:tabs>
        <w:suppressAutoHyphens/>
        <w:snapToGrid w:val="0"/>
        <w:spacing w:line="240" w:lineRule="auto"/>
        <w:ind w:left="567" w:hanging="567"/>
        <w:rPr>
          <w:lang w:val="hu-HU"/>
        </w:rPr>
      </w:pPr>
      <w:r>
        <w:rPr>
          <w:lang w:val="hu-HU"/>
        </w:rPr>
        <w:t>Ezt a gyógyszert az orvos kizárólag Önnek írta fel. Ne adja át a készítményt másnak, mert számára ártalmas lehet még abban az esetben is, ha a betegsége tünetei az Önéhez hasonlóak.</w:t>
      </w:r>
    </w:p>
    <w:p w14:paraId="6F5AB682" w14:textId="77777777" w:rsidR="00602010" w:rsidRDefault="009F38E3">
      <w:pPr>
        <w:numPr>
          <w:ilvl w:val="0"/>
          <w:numId w:val="7"/>
        </w:numPr>
        <w:tabs>
          <w:tab w:val="clear" w:pos="360"/>
          <w:tab w:val="num" w:pos="567"/>
        </w:tabs>
        <w:suppressAutoHyphens/>
        <w:snapToGrid w:val="0"/>
        <w:spacing w:line="240" w:lineRule="auto"/>
        <w:ind w:left="567" w:hanging="567"/>
        <w:rPr>
          <w:lang w:val="hu-HU"/>
        </w:rPr>
      </w:pPr>
      <w:r>
        <w:rPr>
          <w:lang w:val="hu-HU"/>
        </w:rPr>
        <w:t>Ha Önnél bármilyen mellékhatás jelentkezik, tájékoztassa erről kezelőorvosát vagy gyógyszerészét. Ez a betegtájékoztatóban fel nem sorolt bármilyen lehetséges mellékhatásra is vonatkozik. Lásd 4. pont.</w:t>
      </w:r>
    </w:p>
    <w:p w14:paraId="06189EC1" w14:textId="77777777" w:rsidR="00602010" w:rsidRDefault="00602010">
      <w:pPr>
        <w:tabs>
          <w:tab w:val="clear" w:pos="567"/>
          <w:tab w:val="left" w:pos="720"/>
        </w:tabs>
        <w:spacing w:line="240" w:lineRule="auto"/>
        <w:ind w:right="-2"/>
        <w:rPr>
          <w:lang w:val="hu-HU"/>
        </w:rPr>
      </w:pPr>
    </w:p>
    <w:p w14:paraId="798EF999" w14:textId="77777777" w:rsidR="00602010" w:rsidRDefault="009F38E3">
      <w:pPr>
        <w:keepNext/>
        <w:numPr>
          <w:ilvl w:val="12"/>
          <w:numId w:val="0"/>
        </w:numPr>
        <w:tabs>
          <w:tab w:val="clear" w:pos="567"/>
          <w:tab w:val="left" w:pos="720"/>
        </w:tabs>
        <w:spacing w:line="240" w:lineRule="auto"/>
        <w:ind w:right="-2"/>
        <w:outlineLvl w:val="0"/>
        <w:rPr>
          <w:b/>
          <w:bCs/>
          <w:lang w:val="hu-HU"/>
        </w:rPr>
      </w:pPr>
      <w:r>
        <w:rPr>
          <w:b/>
          <w:bCs/>
          <w:lang w:val="hu-HU"/>
        </w:rPr>
        <w:t>A betegtájékoztató tartalma:</w:t>
      </w:r>
    </w:p>
    <w:p w14:paraId="7D0A5837" w14:textId="77777777" w:rsidR="00602010" w:rsidRDefault="00602010">
      <w:pPr>
        <w:numPr>
          <w:ilvl w:val="12"/>
          <w:numId w:val="0"/>
        </w:numPr>
        <w:tabs>
          <w:tab w:val="clear" w:pos="567"/>
          <w:tab w:val="left" w:pos="720"/>
        </w:tabs>
        <w:spacing w:line="240" w:lineRule="auto"/>
        <w:ind w:right="-2"/>
        <w:outlineLvl w:val="0"/>
        <w:rPr>
          <w:lang w:val="hu-HU"/>
        </w:rPr>
      </w:pPr>
    </w:p>
    <w:p w14:paraId="10E73D14" w14:textId="77777777" w:rsidR="00602010" w:rsidRDefault="009F38E3">
      <w:pPr>
        <w:numPr>
          <w:ilvl w:val="1"/>
          <w:numId w:val="10"/>
        </w:numPr>
        <w:suppressAutoHyphens/>
        <w:snapToGrid w:val="0"/>
        <w:spacing w:line="240" w:lineRule="auto"/>
        <w:ind w:left="567" w:right="-29" w:hanging="567"/>
        <w:rPr>
          <w:lang w:val="hu-HU"/>
        </w:rPr>
      </w:pPr>
      <w:r>
        <w:rPr>
          <w:lang w:val="hu-HU"/>
        </w:rPr>
        <w:t>Milyen típusú gyógyszer a Tolvecamo és milyen betegségek esetén alkalmazható?</w:t>
      </w:r>
    </w:p>
    <w:p w14:paraId="121EEEED" w14:textId="77777777" w:rsidR="00602010" w:rsidRDefault="009F38E3">
      <w:pPr>
        <w:numPr>
          <w:ilvl w:val="1"/>
          <w:numId w:val="10"/>
        </w:numPr>
        <w:suppressAutoHyphens/>
        <w:snapToGrid w:val="0"/>
        <w:spacing w:line="240" w:lineRule="auto"/>
        <w:ind w:left="567" w:right="-29" w:hanging="567"/>
        <w:rPr>
          <w:lang w:val="hu-HU"/>
        </w:rPr>
      </w:pPr>
      <w:r>
        <w:rPr>
          <w:lang w:val="hu-HU"/>
        </w:rPr>
        <w:t>Tudnivalók a Tolvecamo szedése előtt</w:t>
      </w:r>
    </w:p>
    <w:p w14:paraId="47C0B896" w14:textId="77777777" w:rsidR="00602010" w:rsidRDefault="009F38E3">
      <w:pPr>
        <w:spacing w:line="240" w:lineRule="auto"/>
        <w:ind w:left="567" w:right="-29" w:hanging="567"/>
        <w:rPr>
          <w:lang w:val="hu-HU"/>
        </w:rPr>
      </w:pPr>
      <w:r>
        <w:rPr>
          <w:lang w:val="hu-HU"/>
        </w:rPr>
        <w:t>3.</w:t>
      </w:r>
      <w:r>
        <w:rPr>
          <w:lang w:val="hu-HU"/>
        </w:rPr>
        <w:tab/>
        <w:t>Hogyan kell szedni a Tolvecamo-t?</w:t>
      </w:r>
    </w:p>
    <w:p w14:paraId="47763F10" w14:textId="77777777" w:rsidR="00602010" w:rsidRDefault="009F38E3">
      <w:pPr>
        <w:spacing w:line="240" w:lineRule="auto"/>
        <w:ind w:left="567" w:right="-29" w:hanging="567"/>
        <w:rPr>
          <w:lang w:val="hu-HU"/>
        </w:rPr>
      </w:pPr>
      <w:r>
        <w:rPr>
          <w:lang w:val="hu-HU"/>
        </w:rPr>
        <w:t>4.</w:t>
      </w:r>
      <w:r>
        <w:rPr>
          <w:lang w:val="hu-HU"/>
        </w:rPr>
        <w:tab/>
        <w:t>Lehetséges mellékhatások</w:t>
      </w:r>
    </w:p>
    <w:p w14:paraId="1E5E2A39" w14:textId="77777777" w:rsidR="00602010" w:rsidRDefault="009F38E3">
      <w:pPr>
        <w:spacing w:line="240" w:lineRule="auto"/>
        <w:ind w:left="567" w:right="-29" w:hanging="567"/>
        <w:rPr>
          <w:lang w:val="hu-HU"/>
        </w:rPr>
      </w:pPr>
      <w:r>
        <w:rPr>
          <w:lang w:val="hu-HU"/>
        </w:rPr>
        <w:t>5.</w:t>
      </w:r>
      <w:r>
        <w:rPr>
          <w:lang w:val="hu-HU"/>
        </w:rPr>
        <w:tab/>
        <w:t>Hogyan kell a Tolvecamo-t tárolni?</w:t>
      </w:r>
    </w:p>
    <w:p w14:paraId="1D868548" w14:textId="77777777" w:rsidR="00602010" w:rsidRDefault="009F38E3">
      <w:pPr>
        <w:spacing w:line="240" w:lineRule="auto"/>
        <w:ind w:left="567" w:right="-29" w:hanging="567"/>
        <w:rPr>
          <w:lang w:val="hu-HU"/>
        </w:rPr>
      </w:pPr>
      <w:r>
        <w:rPr>
          <w:lang w:val="hu-HU"/>
        </w:rPr>
        <w:t>6.</w:t>
      </w:r>
      <w:r>
        <w:rPr>
          <w:lang w:val="hu-HU"/>
        </w:rPr>
        <w:tab/>
        <w:t>A csomagolás tartalma és egyéb információk</w:t>
      </w:r>
    </w:p>
    <w:p w14:paraId="4CB3D3F4" w14:textId="77777777" w:rsidR="00602010" w:rsidRDefault="00602010">
      <w:pPr>
        <w:numPr>
          <w:ilvl w:val="12"/>
          <w:numId w:val="0"/>
        </w:numPr>
        <w:tabs>
          <w:tab w:val="clear" w:pos="567"/>
          <w:tab w:val="left" w:pos="720"/>
        </w:tabs>
        <w:spacing w:line="240" w:lineRule="auto"/>
        <w:ind w:right="-2"/>
        <w:rPr>
          <w:lang w:val="hu-HU"/>
        </w:rPr>
      </w:pPr>
    </w:p>
    <w:p w14:paraId="29D70558" w14:textId="77777777" w:rsidR="00602010" w:rsidRDefault="00602010">
      <w:pPr>
        <w:numPr>
          <w:ilvl w:val="12"/>
          <w:numId w:val="0"/>
        </w:numPr>
        <w:tabs>
          <w:tab w:val="clear" w:pos="567"/>
          <w:tab w:val="left" w:pos="720"/>
        </w:tabs>
        <w:spacing w:line="240" w:lineRule="auto"/>
        <w:rPr>
          <w:lang w:val="hu-HU"/>
        </w:rPr>
      </w:pPr>
    </w:p>
    <w:p w14:paraId="38F4C24F" w14:textId="77777777" w:rsidR="00602010" w:rsidRDefault="009F38E3">
      <w:pPr>
        <w:pStyle w:val="Listaszerbekezds"/>
        <w:numPr>
          <w:ilvl w:val="2"/>
          <w:numId w:val="10"/>
        </w:numPr>
        <w:snapToGrid w:val="0"/>
        <w:spacing w:line="240" w:lineRule="auto"/>
        <w:ind w:left="0" w:right="-2"/>
        <w:rPr>
          <w:b/>
          <w:bCs/>
          <w:lang w:val="hu-HU"/>
        </w:rPr>
      </w:pPr>
      <w:r>
        <w:rPr>
          <w:b/>
          <w:bCs/>
          <w:lang w:val="hu-HU"/>
        </w:rPr>
        <w:t>Milyen típusú gyógyszer a Tolvecamo és milyen betegségek esetén alkalmazható?</w:t>
      </w:r>
    </w:p>
    <w:p w14:paraId="20CF132A" w14:textId="77777777" w:rsidR="00602010" w:rsidRDefault="00602010">
      <w:pPr>
        <w:tabs>
          <w:tab w:val="clear" w:pos="567"/>
          <w:tab w:val="left" w:pos="720"/>
        </w:tabs>
        <w:spacing w:line="240" w:lineRule="auto"/>
        <w:rPr>
          <w:lang w:val="hu-HU"/>
        </w:rPr>
      </w:pPr>
    </w:p>
    <w:p w14:paraId="431EEA28" w14:textId="77777777" w:rsidR="00602010" w:rsidRDefault="009F38E3">
      <w:pPr>
        <w:tabs>
          <w:tab w:val="clear" w:pos="567"/>
          <w:tab w:val="left" w:pos="720"/>
        </w:tabs>
        <w:spacing w:line="240" w:lineRule="auto"/>
        <w:ind w:right="-2"/>
        <w:rPr>
          <w:lang w:val="hu-HU"/>
        </w:rPr>
      </w:pPr>
      <w:r>
        <w:rPr>
          <w:lang w:val="hu-HU"/>
        </w:rPr>
        <w:t>A Tolvecamo három hatóanyag: a telmizartán, az amlodipin és a hidroklorotiazid kombinációja egy tablettában. Mindhárom hatóanyag segít a magas vérnyomás csökkentésében.</w:t>
      </w:r>
    </w:p>
    <w:p w14:paraId="1409C757" w14:textId="77777777" w:rsidR="00602010" w:rsidRDefault="00602010">
      <w:pPr>
        <w:tabs>
          <w:tab w:val="clear" w:pos="567"/>
          <w:tab w:val="left" w:pos="720"/>
        </w:tabs>
        <w:spacing w:line="240" w:lineRule="auto"/>
        <w:ind w:right="-2"/>
        <w:rPr>
          <w:lang w:val="hu-HU"/>
        </w:rPr>
      </w:pPr>
    </w:p>
    <w:p w14:paraId="56312108" w14:textId="684FBFF8" w:rsidR="00602010" w:rsidRDefault="009F38E3">
      <w:pPr>
        <w:tabs>
          <w:tab w:val="clear" w:pos="567"/>
          <w:tab w:val="left" w:pos="720"/>
        </w:tabs>
        <w:spacing w:line="240" w:lineRule="auto"/>
        <w:ind w:left="720" w:hanging="720"/>
        <w:rPr>
          <w:lang w:val="hu-HU"/>
        </w:rPr>
      </w:pPr>
      <w:r>
        <w:rPr>
          <w:lang w:val="hu-HU"/>
        </w:rPr>
        <w:t>-</w:t>
      </w:r>
      <w:r>
        <w:rPr>
          <w:lang w:val="hu-HU"/>
        </w:rPr>
        <w:tab/>
        <w:t>A telmizartán az angiotenzin II-receptor-</w:t>
      </w:r>
      <w:r w:rsidR="00571BFE">
        <w:rPr>
          <w:lang w:val="hu-HU"/>
        </w:rPr>
        <w:t>blokkolók</w:t>
      </w:r>
      <w:r>
        <w:rPr>
          <w:lang w:val="hu-HU"/>
        </w:rPr>
        <w:t>nak nevezett gyógyszercsoportba tartozik. Az angiotenzin II az Ön szervezetében termelődő olyan anyag, mely a vérerek összehúzódását idézi elő, és ezzel növeli a vérnyomást. A telmizartán gátolja az angiotenzin II hatását, így az erek ellazulnak, és a vérnyomás csökken.</w:t>
      </w:r>
    </w:p>
    <w:p w14:paraId="35CD143C" w14:textId="77777777" w:rsidR="00602010" w:rsidRDefault="00602010">
      <w:pPr>
        <w:tabs>
          <w:tab w:val="clear" w:pos="567"/>
          <w:tab w:val="left" w:pos="720"/>
        </w:tabs>
        <w:spacing w:line="240" w:lineRule="auto"/>
        <w:ind w:right="-2"/>
        <w:rPr>
          <w:lang w:val="hu-HU"/>
        </w:rPr>
      </w:pPr>
    </w:p>
    <w:p w14:paraId="178E23F5" w14:textId="77777777" w:rsidR="00602010" w:rsidRDefault="009F38E3">
      <w:pPr>
        <w:tabs>
          <w:tab w:val="clear" w:pos="567"/>
          <w:tab w:val="left" w:pos="720"/>
        </w:tabs>
        <w:spacing w:line="240" w:lineRule="auto"/>
        <w:ind w:left="720" w:hanging="720"/>
        <w:rPr>
          <w:rFonts w:eastAsia="Calibri"/>
          <w:lang w:val="hu-HU"/>
        </w:rPr>
      </w:pPr>
      <w:r>
        <w:rPr>
          <w:lang w:val="hu-HU"/>
        </w:rPr>
        <w:t>-</w:t>
      </w:r>
      <w:r>
        <w:rPr>
          <w:lang w:val="hu-HU"/>
        </w:rPr>
        <w:tab/>
      </w:r>
      <w:r>
        <w:rPr>
          <w:rFonts w:eastAsia="Calibri"/>
          <w:lang w:val="hu-HU"/>
        </w:rPr>
        <w:t>Az amlodipin a kalciumcsatorna-blokkolóknak nevezett gyógyszerek csoportjába tartozik, amelyek az erek ellazításával és kitágításával hatnak, így a vér könnyebben átáramlik rajtuk.</w:t>
      </w:r>
    </w:p>
    <w:p w14:paraId="43061F88" w14:textId="77777777" w:rsidR="00602010" w:rsidRDefault="00602010">
      <w:pPr>
        <w:autoSpaceDE w:val="0"/>
        <w:autoSpaceDN w:val="0"/>
        <w:adjustRightInd w:val="0"/>
        <w:spacing w:line="240" w:lineRule="auto"/>
        <w:rPr>
          <w:lang w:val="hu-HU"/>
        </w:rPr>
      </w:pPr>
    </w:p>
    <w:p w14:paraId="5CF480B7" w14:textId="77777777" w:rsidR="00602010" w:rsidRDefault="009F38E3">
      <w:pPr>
        <w:tabs>
          <w:tab w:val="clear" w:pos="567"/>
          <w:tab w:val="left" w:pos="709"/>
        </w:tabs>
        <w:autoSpaceDE w:val="0"/>
        <w:autoSpaceDN w:val="0"/>
        <w:adjustRightInd w:val="0"/>
        <w:spacing w:line="240" w:lineRule="auto"/>
        <w:ind w:left="720" w:hanging="720"/>
        <w:rPr>
          <w:rFonts w:eastAsia="Calibri"/>
          <w:lang w:val="hu-HU"/>
        </w:rPr>
      </w:pPr>
      <w:r>
        <w:rPr>
          <w:rFonts w:eastAsia="Calibri"/>
          <w:lang w:val="hu-HU"/>
        </w:rPr>
        <w:t>-</w:t>
      </w:r>
      <w:r>
        <w:rPr>
          <w:rFonts w:eastAsia="Calibri"/>
          <w:lang w:val="hu-HU"/>
        </w:rPr>
        <w:tab/>
        <w:t>A hidroklorotiazid a tiazid-típusú vízhajtók csoportjába tartozik, amelyek növelik a termelődő vizelet mennyiségét, és ez a vérnyomás csökkenéséhez vezet.</w:t>
      </w:r>
    </w:p>
    <w:p w14:paraId="2AFAE44B" w14:textId="77777777" w:rsidR="00602010" w:rsidRDefault="00602010">
      <w:pPr>
        <w:autoSpaceDE w:val="0"/>
        <w:autoSpaceDN w:val="0"/>
        <w:adjustRightInd w:val="0"/>
        <w:spacing w:line="240" w:lineRule="auto"/>
        <w:ind w:left="720" w:hanging="720"/>
        <w:rPr>
          <w:rFonts w:eastAsia="Calibri"/>
          <w:lang w:val="hu-HU"/>
        </w:rPr>
      </w:pPr>
    </w:p>
    <w:p w14:paraId="7614D5BA" w14:textId="77777777" w:rsidR="00602010" w:rsidRDefault="009F38E3">
      <w:pPr>
        <w:tabs>
          <w:tab w:val="clear" w:pos="567"/>
          <w:tab w:val="left" w:pos="720"/>
        </w:tabs>
        <w:spacing w:line="240" w:lineRule="auto"/>
        <w:rPr>
          <w:lang w:val="hu-HU"/>
        </w:rPr>
      </w:pPr>
      <w:r>
        <w:rPr>
          <w:lang w:val="hu-HU"/>
        </w:rPr>
        <w:t>A Tolvecamo magasvérnyomás-betegség (hipertónia) kezelésére alkalmazható olyan betegeknél, akiknél az egyes hatóanyagok egyidejűleg, a kombinációval azonos adagban, de különálló tablettaként adva a vérnyomás megfelelően kontrollált.</w:t>
      </w:r>
    </w:p>
    <w:p w14:paraId="18584186" w14:textId="77777777" w:rsidR="00602010" w:rsidRDefault="00602010">
      <w:pPr>
        <w:tabs>
          <w:tab w:val="clear" w:pos="567"/>
          <w:tab w:val="left" w:pos="720"/>
        </w:tabs>
        <w:spacing w:line="240" w:lineRule="auto"/>
        <w:rPr>
          <w:lang w:val="hu-HU"/>
        </w:rPr>
      </w:pPr>
    </w:p>
    <w:p w14:paraId="0CD67C63" w14:textId="77777777" w:rsidR="00602010" w:rsidRDefault="00602010">
      <w:pPr>
        <w:tabs>
          <w:tab w:val="clear" w:pos="567"/>
          <w:tab w:val="left" w:pos="720"/>
        </w:tabs>
        <w:spacing w:line="240" w:lineRule="auto"/>
        <w:rPr>
          <w:lang w:val="hu-HU"/>
        </w:rPr>
      </w:pPr>
    </w:p>
    <w:p w14:paraId="1B6E991D" w14:textId="77777777" w:rsidR="00602010" w:rsidRDefault="009F38E3">
      <w:pPr>
        <w:pStyle w:val="Listaszerbekezds"/>
        <w:numPr>
          <w:ilvl w:val="2"/>
          <w:numId w:val="10"/>
        </w:numPr>
        <w:snapToGrid w:val="0"/>
        <w:spacing w:line="240" w:lineRule="auto"/>
        <w:ind w:left="0" w:right="-2"/>
        <w:rPr>
          <w:b/>
          <w:bCs/>
          <w:lang w:val="hu-HU"/>
        </w:rPr>
      </w:pPr>
      <w:r>
        <w:rPr>
          <w:b/>
          <w:bCs/>
          <w:lang w:val="hu-HU"/>
        </w:rPr>
        <w:t>Tudnivalók a Tolvecamo szedése előtt</w:t>
      </w:r>
    </w:p>
    <w:p w14:paraId="7CF4BB62" w14:textId="77777777" w:rsidR="00602010" w:rsidRDefault="00602010">
      <w:pPr>
        <w:tabs>
          <w:tab w:val="clear" w:pos="567"/>
          <w:tab w:val="left" w:pos="720"/>
        </w:tabs>
        <w:spacing w:line="240" w:lineRule="auto"/>
        <w:outlineLvl w:val="0"/>
        <w:rPr>
          <w:i/>
          <w:iCs/>
          <w:lang w:val="hu-HU"/>
        </w:rPr>
      </w:pPr>
    </w:p>
    <w:p w14:paraId="53C5943D" w14:textId="77777777" w:rsidR="00602010" w:rsidRDefault="009F38E3">
      <w:pPr>
        <w:spacing w:line="240" w:lineRule="auto"/>
        <w:rPr>
          <w:b/>
          <w:bCs/>
          <w:lang w:val="hu-HU"/>
        </w:rPr>
      </w:pPr>
      <w:r>
        <w:rPr>
          <w:b/>
          <w:bCs/>
          <w:lang w:val="hu-HU"/>
        </w:rPr>
        <w:lastRenderedPageBreak/>
        <w:t>Ne szedje a Tolvecamo-t</w:t>
      </w:r>
    </w:p>
    <w:p w14:paraId="5DD4C8E4" w14:textId="77777777" w:rsidR="00602010" w:rsidRDefault="009F38E3">
      <w:pPr>
        <w:numPr>
          <w:ilvl w:val="0"/>
          <w:numId w:val="21"/>
        </w:numPr>
        <w:tabs>
          <w:tab w:val="clear" w:pos="567"/>
        </w:tabs>
        <w:autoSpaceDE w:val="0"/>
        <w:autoSpaceDN w:val="0"/>
        <w:adjustRightInd w:val="0"/>
        <w:spacing w:line="240" w:lineRule="auto"/>
        <w:ind w:left="567" w:hanging="567"/>
        <w:contextualSpacing/>
        <w:rPr>
          <w:rFonts w:eastAsia="Calibri"/>
          <w:lang w:val="hu-HU" w:eastAsia="sl-SI"/>
        </w:rPr>
      </w:pPr>
      <w:r>
        <w:rPr>
          <w:rFonts w:eastAsia="Calibri"/>
          <w:lang w:val="hu-HU"/>
        </w:rPr>
        <w:t>ha allergiás a telmizartánra vagy a gyógyszer (6. pontban felsorolt) egyéb összetevőjére;</w:t>
      </w:r>
    </w:p>
    <w:p w14:paraId="472BBFC6" w14:textId="77777777" w:rsidR="00602010" w:rsidRDefault="009F38E3">
      <w:pPr>
        <w:numPr>
          <w:ilvl w:val="0"/>
          <w:numId w:val="21"/>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ha allergiás a hidroklorotiazidra vagy bármilyen szulfonamid-származék gyógyszerre;</w:t>
      </w:r>
    </w:p>
    <w:p w14:paraId="7468ECD0" w14:textId="77777777" w:rsidR="00602010" w:rsidRDefault="009F38E3">
      <w:pPr>
        <w:numPr>
          <w:ilvl w:val="0"/>
          <w:numId w:val="21"/>
        </w:numPr>
        <w:tabs>
          <w:tab w:val="clear" w:pos="567"/>
        </w:tabs>
        <w:autoSpaceDE w:val="0"/>
        <w:autoSpaceDN w:val="0"/>
        <w:adjustRightInd w:val="0"/>
        <w:spacing w:line="240" w:lineRule="auto"/>
        <w:ind w:left="567" w:hanging="567"/>
        <w:contextualSpacing/>
        <w:rPr>
          <w:rFonts w:eastAsia="Calibri"/>
          <w:lang w:val="hu-HU"/>
        </w:rPr>
      </w:pPr>
      <w:r>
        <w:rPr>
          <w:lang w:val="hu-HU"/>
        </w:rPr>
        <w:t>ha allergiás az amlodipinre vagy egyéb kalciumcsatorna</w:t>
      </w:r>
      <w:r>
        <w:rPr>
          <w:lang w:val="hu-HU"/>
        </w:rPr>
        <w:noBreakHyphen/>
        <w:t>blokkolóra;</w:t>
      </w:r>
    </w:p>
    <w:p w14:paraId="7851D840" w14:textId="77777777" w:rsidR="00602010" w:rsidRDefault="009F38E3">
      <w:pPr>
        <w:numPr>
          <w:ilvl w:val="0"/>
          <w:numId w:val="21"/>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 xml:space="preserve">ha több mint 3 hónapos terhes (a terhesség korai szakaszában is jobb kerülni a Tolvecamo alkalmazását </w:t>
      </w:r>
      <w:r>
        <w:rPr>
          <w:bCs/>
          <w:lang w:val="hu-HU"/>
        </w:rPr>
        <w:t xml:space="preserve">– </w:t>
      </w:r>
      <w:r>
        <w:rPr>
          <w:rFonts w:eastAsia="Calibri"/>
          <w:lang w:val="hu-HU"/>
        </w:rPr>
        <w:t>lásd a terhességre vonatkozó fejezetet.);</w:t>
      </w:r>
    </w:p>
    <w:p w14:paraId="76E216A4" w14:textId="77777777" w:rsidR="00602010" w:rsidRDefault="009F38E3">
      <w:pPr>
        <w:numPr>
          <w:ilvl w:val="0"/>
          <w:numId w:val="21"/>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ha súlyos májbetegsége, például epepangása vagy epeúti elzáródása van (vagyis ha akadályozott az epe ürülése a májból és az epehólyagból), vagy egyéb súlyos májproblémája van;</w:t>
      </w:r>
    </w:p>
    <w:p w14:paraId="5A8B9A79" w14:textId="71620B82" w:rsidR="00602010" w:rsidRDefault="009F38E3">
      <w:pPr>
        <w:numPr>
          <w:ilvl w:val="0"/>
          <w:numId w:val="21"/>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ha súlyos vesebetegségben szenved</w:t>
      </w:r>
      <w:r w:rsidR="00DE6A99">
        <w:rPr>
          <w:rFonts w:eastAsia="Calibri"/>
          <w:lang w:val="hu-HU"/>
        </w:rPr>
        <w:t xml:space="preserve"> vagy </w:t>
      </w:r>
      <w:r w:rsidR="00DE6A99">
        <w:rPr>
          <w:noProof/>
          <w:lang w:val="hu-HU"/>
        </w:rPr>
        <w:t>naponta 100 ml</w:t>
      </w:r>
      <w:r w:rsidR="00DE6A99">
        <w:rPr>
          <w:noProof/>
          <w:lang w:val="hu-HU"/>
        </w:rPr>
        <w:noBreakHyphen/>
        <w:t>nél kevesebb vizeletet ürít (anuria)</w:t>
      </w:r>
      <w:r>
        <w:rPr>
          <w:rFonts w:eastAsia="Calibri"/>
          <w:lang w:val="hu-HU"/>
        </w:rPr>
        <w:t>;</w:t>
      </w:r>
    </w:p>
    <w:p w14:paraId="38B1E867" w14:textId="77777777" w:rsidR="00602010" w:rsidRDefault="009F38E3">
      <w:pPr>
        <w:numPr>
          <w:ilvl w:val="0"/>
          <w:numId w:val="21"/>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ha kezelőorvosa megállapította, hogy vérében alacsony a káliumszint vagy magas a kalciumszint, és ez kezelésre nem javul;</w:t>
      </w:r>
    </w:p>
    <w:p w14:paraId="1C2D8618" w14:textId="77777777" w:rsidR="00602010" w:rsidRDefault="009F38E3">
      <w:pPr>
        <w:numPr>
          <w:ilvl w:val="0"/>
          <w:numId w:val="21"/>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ha cukorbetegségben szenved vagy károsodott a veseműködése és aliszkirén hatóanyag-tartalmú vérnyomáscsökkentő gyógyszert kap;</w:t>
      </w:r>
    </w:p>
    <w:p w14:paraId="197E15EC" w14:textId="77777777" w:rsidR="00602010" w:rsidRDefault="009F38E3">
      <w:pPr>
        <w:numPr>
          <w:ilvl w:val="0"/>
          <w:numId w:val="21"/>
        </w:numPr>
        <w:tabs>
          <w:tab w:val="clear" w:pos="567"/>
        </w:tabs>
        <w:autoSpaceDE w:val="0"/>
        <w:autoSpaceDN w:val="0"/>
        <w:adjustRightInd w:val="0"/>
        <w:spacing w:line="240" w:lineRule="auto"/>
        <w:ind w:left="567" w:hanging="567"/>
        <w:contextualSpacing/>
        <w:rPr>
          <w:rFonts w:eastAsia="Calibri"/>
          <w:lang w:val="hu-HU"/>
        </w:rPr>
      </w:pPr>
      <w:r>
        <w:rPr>
          <w:lang w:val="hu-HU"/>
        </w:rPr>
        <w:t>ha a vérnyomása nagyon alacsony (súlyos hipotónia);</w:t>
      </w:r>
    </w:p>
    <w:p w14:paraId="151BB1FD" w14:textId="77777777" w:rsidR="00602010" w:rsidRDefault="009F38E3">
      <w:pPr>
        <w:numPr>
          <w:ilvl w:val="0"/>
          <w:numId w:val="21"/>
        </w:numPr>
        <w:tabs>
          <w:tab w:val="clear" w:pos="567"/>
        </w:tabs>
        <w:autoSpaceDE w:val="0"/>
        <w:autoSpaceDN w:val="0"/>
        <w:adjustRightInd w:val="0"/>
        <w:spacing w:line="240" w:lineRule="auto"/>
        <w:ind w:left="567" w:hanging="567"/>
        <w:contextualSpacing/>
        <w:rPr>
          <w:rFonts w:eastAsia="Calibri"/>
          <w:lang w:val="hu-HU"/>
        </w:rPr>
      </w:pPr>
      <w:r>
        <w:rPr>
          <w:lang w:val="hu-HU"/>
        </w:rPr>
        <w:t>ha aortabillentyű-szűkülete (aorta sztenózis) vagy kardiogén sokkja van (egy olyan betegség, amikor a szív nem képes elegendő vérrel ellátni a szervezetet);</w:t>
      </w:r>
    </w:p>
    <w:p w14:paraId="6287F3AD" w14:textId="77777777" w:rsidR="00602010" w:rsidRDefault="009F38E3">
      <w:pPr>
        <w:numPr>
          <w:ilvl w:val="0"/>
          <w:numId w:val="21"/>
        </w:numPr>
        <w:tabs>
          <w:tab w:val="clear" w:pos="567"/>
        </w:tabs>
        <w:autoSpaceDE w:val="0"/>
        <w:autoSpaceDN w:val="0"/>
        <w:adjustRightInd w:val="0"/>
        <w:spacing w:line="240" w:lineRule="auto"/>
        <w:ind w:left="567" w:hanging="567"/>
        <w:contextualSpacing/>
        <w:rPr>
          <w:rFonts w:eastAsia="Calibri"/>
          <w:lang w:val="hu-HU"/>
        </w:rPr>
      </w:pPr>
      <w:r>
        <w:rPr>
          <w:lang w:val="hu-HU"/>
        </w:rPr>
        <w:t>ha szívrohamot követően szívelégtelenségben szenved.</w:t>
      </w:r>
    </w:p>
    <w:p w14:paraId="149C199A" w14:textId="77777777" w:rsidR="00602010" w:rsidRDefault="00602010">
      <w:pPr>
        <w:suppressAutoHyphens/>
        <w:spacing w:line="240" w:lineRule="auto"/>
        <w:rPr>
          <w:lang w:val="hu-HU"/>
        </w:rPr>
      </w:pPr>
    </w:p>
    <w:p w14:paraId="438EF60C" w14:textId="77777777" w:rsidR="00602010" w:rsidRDefault="009F38E3">
      <w:pPr>
        <w:suppressAutoHyphens/>
        <w:spacing w:line="240" w:lineRule="auto"/>
        <w:rPr>
          <w:lang w:val="hu-HU"/>
        </w:rPr>
      </w:pPr>
      <w:r>
        <w:rPr>
          <w:lang w:val="hu-HU"/>
        </w:rPr>
        <w:t>Ha az imént felsoroltak bármelyike érvényes Önre, forduljon kezelőorvosához vagy gyógyszerészéhez a Tolvecamo szedése előtt.</w:t>
      </w:r>
    </w:p>
    <w:p w14:paraId="5E8200AD" w14:textId="77777777" w:rsidR="00602010" w:rsidRDefault="00602010">
      <w:pPr>
        <w:suppressAutoHyphens/>
        <w:spacing w:line="240" w:lineRule="auto"/>
        <w:rPr>
          <w:lang w:val="hu-HU"/>
        </w:rPr>
      </w:pPr>
    </w:p>
    <w:p w14:paraId="3C60D047" w14:textId="77777777" w:rsidR="00602010" w:rsidRDefault="009F38E3">
      <w:pPr>
        <w:spacing w:line="240" w:lineRule="auto"/>
        <w:ind w:right="-2"/>
        <w:rPr>
          <w:b/>
          <w:bCs/>
          <w:lang w:val="hu-HU"/>
        </w:rPr>
      </w:pPr>
      <w:r>
        <w:rPr>
          <w:b/>
          <w:bCs/>
          <w:lang w:val="hu-HU"/>
        </w:rPr>
        <w:t>Figyelmeztetések és óvintézkedések</w:t>
      </w:r>
    </w:p>
    <w:p w14:paraId="69230F0E" w14:textId="77777777" w:rsidR="00602010" w:rsidRDefault="009F38E3">
      <w:pPr>
        <w:spacing w:line="240" w:lineRule="auto"/>
        <w:ind w:right="-2"/>
        <w:rPr>
          <w:lang w:val="hu-HU"/>
        </w:rPr>
      </w:pPr>
      <w:r>
        <w:rPr>
          <w:lang w:val="hu-HU"/>
        </w:rPr>
        <w:t>A Tolvecamo szedése előtt beszéljen kezelőorvosával, ha a következő betegségek bármelyikében szenved, vagy szenvedett korábban:</w:t>
      </w:r>
    </w:p>
    <w:p w14:paraId="01056F12" w14:textId="77777777" w:rsidR="00602010" w:rsidRDefault="009F38E3">
      <w:pPr>
        <w:numPr>
          <w:ilvl w:val="0"/>
          <w:numId w:val="22"/>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alacsony vérnyomás (hipotónia), ami előfordulhat kiszáradás (a test víztartalmának túlzott mértékű csökkenése); vízhajtó-kezelés következtében kialakult sóhiány; sószegény diéta; hasmenés; hányás vagy művesekezelés esetén;</w:t>
      </w:r>
    </w:p>
    <w:p w14:paraId="4882B6FE" w14:textId="77777777" w:rsidR="00602010" w:rsidRDefault="009F38E3">
      <w:pPr>
        <w:numPr>
          <w:ilvl w:val="0"/>
          <w:numId w:val="22"/>
        </w:numPr>
        <w:tabs>
          <w:tab w:val="clear" w:pos="567"/>
        </w:tabs>
        <w:autoSpaceDE w:val="0"/>
        <w:autoSpaceDN w:val="0"/>
        <w:adjustRightInd w:val="0"/>
        <w:spacing w:line="240" w:lineRule="auto"/>
        <w:ind w:left="567" w:hanging="567"/>
        <w:contextualSpacing/>
        <w:rPr>
          <w:rFonts w:eastAsia="Calibri"/>
          <w:lang w:val="hu-HU"/>
        </w:rPr>
      </w:pPr>
      <w:r>
        <w:rPr>
          <w:lang w:val="hu-HU"/>
        </w:rPr>
        <w:t>súlyos vérnyomás-emelkedés (hipertenzív krízis)</w:t>
      </w:r>
      <w:r>
        <w:rPr>
          <w:rFonts w:eastAsia="Calibri"/>
          <w:lang w:val="hu-HU"/>
        </w:rPr>
        <w:t>;</w:t>
      </w:r>
    </w:p>
    <w:p w14:paraId="59B3039E" w14:textId="77777777" w:rsidR="00602010" w:rsidRDefault="009F38E3">
      <w:pPr>
        <w:numPr>
          <w:ilvl w:val="0"/>
          <w:numId w:val="22"/>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vesebetegség vagy veseátültetés;</w:t>
      </w:r>
    </w:p>
    <w:p w14:paraId="439EA56E" w14:textId="77777777" w:rsidR="00602010" w:rsidRDefault="009F38E3">
      <w:pPr>
        <w:numPr>
          <w:ilvl w:val="0"/>
          <w:numId w:val="22"/>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veseartéria-szűkület (egyik vagy mindkét veséhez vezető ér szűkülete);</w:t>
      </w:r>
    </w:p>
    <w:p w14:paraId="383D4F6B" w14:textId="77777777" w:rsidR="00602010" w:rsidRDefault="009F38E3">
      <w:pPr>
        <w:numPr>
          <w:ilvl w:val="0"/>
          <w:numId w:val="22"/>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májbetegség;</w:t>
      </w:r>
    </w:p>
    <w:p w14:paraId="231C8946" w14:textId="77777777" w:rsidR="00602010" w:rsidRDefault="009F38E3">
      <w:pPr>
        <w:numPr>
          <w:ilvl w:val="0"/>
          <w:numId w:val="22"/>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szívbetegség, beleértve a szívelégtelenséget és a nemrégiben bekövetkezett szívrohamot;</w:t>
      </w:r>
    </w:p>
    <w:p w14:paraId="18CB0E43" w14:textId="77777777" w:rsidR="00602010" w:rsidRDefault="009F38E3">
      <w:pPr>
        <w:numPr>
          <w:ilvl w:val="0"/>
          <w:numId w:val="22"/>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cukorbetegség;</w:t>
      </w:r>
    </w:p>
    <w:p w14:paraId="40EECCEC" w14:textId="77777777" w:rsidR="00602010" w:rsidRDefault="009F38E3">
      <w:pPr>
        <w:numPr>
          <w:ilvl w:val="0"/>
          <w:numId w:val="22"/>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köszvény;</w:t>
      </w:r>
    </w:p>
    <w:p w14:paraId="2438567F" w14:textId="77777777" w:rsidR="00602010" w:rsidRDefault="009F38E3">
      <w:pPr>
        <w:numPr>
          <w:ilvl w:val="0"/>
          <w:numId w:val="22"/>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emelkedett aldoszteronszint (különböző ásványi anyagok egyensúlyzavarával együtt járó vízvisszatartás és sóvisszatartás a szervezetben);</w:t>
      </w:r>
    </w:p>
    <w:p w14:paraId="205B1B08" w14:textId="77777777" w:rsidR="00602010" w:rsidRDefault="009F38E3">
      <w:pPr>
        <w:numPr>
          <w:ilvl w:val="0"/>
          <w:numId w:val="22"/>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 xml:space="preserve">szisztémás lupusz eritematózusz </w:t>
      </w:r>
      <w:r>
        <w:rPr>
          <w:lang w:val="hu-HU"/>
        </w:rPr>
        <w:t>(úgynevezett „lupusz” vagy „SLE”)</w:t>
      </w:r>
      <w:r>
        <w:rPr>
          <w:rFonts w:eastAsia="Calibri"/>
          <w:lang w:val="hu-HU"/>
        </w:rPr>
        <w:t>, olyan betegség, amelynek során a saját immunrendszer támadja meg a szervezetet;</w:t>
      </w:r>
    </w:p>
    <w:p w14:paraId="6228D407" w14:textId="77777777" w:rsidR="00602010" w:rsidRDefault="009F38E3">
      <w:pPr>
        <w:numPr>
          <w:ilvl w:val="0"/>
          <w:numId w:val="22"/>
        </w:numPr>
        <w:autoSpaceDE w:val="0"/>
        <w:autoSpaceDN w:val="0"/>
        <w:adjustRightInd w:val="0"/>
        <w:spacing w:line="240" w:lineRule="auto"/>
        <w:ind w:left="567" w:hanging="567"/>
        <w:rPr>
          <w:lang w:val="hu-HU"/>
        </w:rPr>
      </w:pPr>
      <w:r>
        <w:rPr>
          <w:lang w:val="hu-HU"/>
        </w:rPr>
        <w:t>ha volt már bőrrákja, vagy ha a kezelés során váratlan bőrelváltozást tapasztal. A hidroklorotiaziddal, különösen a nagy dózissal történő hosszú távú kezelés növelheti a bőr- és ajakrák egyes típusainak (nem melanóma típusú bőrrák) kockázatát. Védje bőrét a napsugárzástól és az UV-sugaraktól a Tolvecamo szedése alatt.</w:t>
      </w:r>
    </w:p>
    <w:p w14:paraId="535AED61" w14:textId="77777777" w:rsidR="00602010" w:rsidRDefault="009F38E3">
      <w:pPr>
        <w:numPr>
          <w:ilvl w:val="0"/>
          <w:numId w:val="29"/>
        </w:numPr>
        <w:tabs>
          <w:tab w:val="clear" w:pos="567"/>
        </w:tabs>
        <w:autoSpaceDE w:val="0"/>
        <w:autoSpaceDN w:val="0"/>
        <w:adjustRightInd w:val="0"/>
        <w:spacing w:line="240" w:lineRule="auto"/>
        <w:ind w:left="567" w:hanging="567"/>
        <w:rPr>
          <w:lang w:val="hu-HU" w:eastAsia="hu-HU"/>
        </w:rPr>
      </w:pPr>
      <w:r>
        <w:rPr>
          <w:lang w:val="hu-HU"/>
        </w:rPr>
        <w:t xml:space="preserve">ha látásromlást vagy szemfájdalmat észlel. </w:t>
      </w:r>
      <w:r>
        <w:rPr>
          <w:lang w:val="hu-HU" w:eastAsia="hu-HU"/>
        </w:rPr>
        <w:t>Ezek a tünetek a szem érhártyáján belüli folyadékfelhalmozódásra (koroideális effúzió vagy folyadékgyülem) vagy a szembelnyomás emelkedésére utalhatnak, és a Tolvecamo bevételét követően órákon vagy heteken belül jelentkezhetnek. Kezeletlen esetben ez végleges látásvesztéshez vezethet.</w:t>
      </w:r>
      <w:r>
        <w:rPr>
          <w:lang w:val="hu-HU"/>
        </w:rPr>
        <w:t xml:space="preserve"> Ha Önnek korábban már volt penicillin-allergiája vagy szulfonamid-allergiája, ez nagyobb kockázattal alakulhat ki.</w:t>
      </w:r>
    </w:p>
    <w:p w14:paraId="62517E19" w14:textId="77777777" w:rsidR="00602010" w:rsidRDefault="009F38E3">
      <w:pPr>
        <w:numPr>
          <w:ilvl w:val="0"/>
          <w:numId w:val="22"/>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ha a múltban a hidroklorotiazid bevételét követően légzési vagy tüdőt érintő problémát tapasztalt (beleértve a tüdőgyulladást vagy a tüdőben felgyülemlő folyadékot is). Ha a Tolvecamo bevételét követően súlyos légszomj vagy légzési nehézség jelentkezik Önnél, azonnal forduljon orvoshoz!</w:t>
      </w:r>
    </w:p>
    <w:p w14:paraId="6B5F7971" w14:textId="77777777" w:rsidR="00602010" w:rsidRDefault="009F38E3">
      <w:pPr>
        <w:numPr>
          <w:ilvl w:val="0"/>
          <w:numId w:val="22"/>
        </w:numPr>
        <w:tabs>
          <w:tab w:val="clear" w:pos="567"/>
        </w:tabs>
        <w:autoSpaceDE w:val="0"/>
        <w:autoSpaceDN w:val="0"/>
        <w:adjustRightInd w:val="0"/>
        <w:spacing w:line="240" w:lineRule="auto"/>
        <w:ind w:left="567" w:hanging="567"/>
        <w:contextualSpacing/>
        <w:rPr>
          <w:rFonts w:eastAsia="Calibri"/>
          <w:lang w:val="hu-HU"/>
        </w:rPr>
      </w:pPr>
      <w:r>
        <w:rPr>
          <w:lang w:val="hu-HU"/>
        </w:rPr>
        <w:t>ha Ön időskorú, és az adagját növelni kell.</w:t>
      </w:r>
    </w:p>
    <w:p w14:paraId="48C2E7A0" w14:textId="77777777" w:rsidR="00602010" w:rsidRDefault="00602010">
      <w:pPr>
        <w:spacing w:line="240" w:lineRule="auto"/>
        <w:ind w:right="-2"/>
        <w:rPr>
          <w:lang w:val="hu-HU"/>
        </w:rPr>
      </w:pPr>
    </w:p>
    <w:p w14:paraId="783CBD76" w14:textId="77777777" w:rsidR="00602010" w:rsidRDefault="009F38E3">
      <w:pPr>
        <w:spacing w:line="240" w:lineRule="auto"/>
        <w:ind w:right="-2"/>
        <w:rPr>
          <w:lang w:val="hu-HU"/>
        </w:rPr>
      </w:pPr>
      <w:r>
        <w:rPr>
          <w:lang w:val="hu-HU"/>
        </w:rPr>
        <w:t>A Tolvecamo szedése előtt beszéljen kezelőorvosával, ha a következőket szedi:</w:t>
      </w:r>
    </w:p>
    <w:p w14:paraId="4D3D5DFD" w14:textId="77777777" w:rsidR="00602010" w:rsidRDefault="009F38E3">
      <w:pPr>
        <w:numPr>
          <w:ilvl w:val="0"/>
          <w:numId w:val="23"/>
        </w:numPr>
        <w:autoSpaceDE w:val="0"/>
        <w:autoSpaceDN w:val="0"/>
        <w:adjustRightInd w:val="0"/>
        <w:spacing w:line="240" w:lineRule="auto"/>
        <w:ind w:left="567" w:hanging="567"/>
        <w:rPr>
          <w:lang w:val="hu-HU" w:eastAsia="sl-SI"/>
        </w:rPr>
      </w:pPr>
      <w:r>
        <w:rPr>
          <w:lang w:val="hu-HU"/>
        </w:rPr>
        <w:t>digoxint;</w:t>
      </w:r>
    </w:p>
    <w:p w14:paraId="464B9225" w14:textId="77777777" w:rsidR="00602010" w:rsidRDefault="009F38E3">
      <w:pPr>
        <w:numPr>
          <w:ilvl w:val="0"/>
          <w:numId w:val="23"/>
        </w:numPr>
        <w:autoSpaceDE w:val="0"/>
        <w:autoSpaceDN w:val="0"/>
        <w:adjustRightInd w:val="0"/>
        <w:spacing w:line="240" w:lineRule="auto"/>
        <w:ind w:left="567" w:hanging="567"/>
        <w:rPr>
          <w:lang w:val="hu-HU"/>
        </w:rPr>
      </w:pPr>
      <w:r>
        <w:rPr>
          <w:lang w:val="hu-HU"/>
        </w:rPr>
        <w:t>a magas vérnyomás kezelésére szolgáló alábbi gyógyszerek bármelyikét:</w:t>
      </w:r>
    </w:p>
    <w:p w14:paraId="5C326A1C" w14:textId="77777777" w:rsidR="00602010" w:rsidRDefault="009F38E3">
      <w:pPr>
        <w:numPr>
          <w:ilvl w:val="0"/>
          <w:numId w:val="23"/>
        </w:numPr>
        <w:tabs>
          <w:tab w:val="clear" w:pos="567"/>
          <w:tab w:val="left" w:pos="1134"/>
        </w:tabs>
        <w:autoSpaceDE w:val="0"/>
        <w:autoSpaceDN w:val="0"/>
        <w:adjustRightInd w:val="0"/>
        <w:spacing w:line="240" w:lineRule="auto"/>
        <w:ind w:left="1134" w:hanging="567"/>
        <w:rPr>
          <w:lang w:val="hu-HU"/>
        </w:rPr>
      </w:pPr>
      <w:r>
        <w:rPr>
          <w:lang w:val="hu-HU"/>
        </w:rPr>
        <w:lastRenderedPageBreak/>
        <w:t>ACE-gátlók (például enalapril, lizinopril, ramipril), különösen akkor, ha cukorbetegséggel összefüggő vesebetegségben szenved;</w:t>
      </w:r>
    </w:p>
    <w:p w14:paraId="151D97C1" w14:textId="77777777" w:rsidR="00602010" w:rsidRDefault="009F38E3">
      <w:pPr>
        <w:numPr>
          <w:ilvl w:val="0"/>
          <w:numId w:val="23"/>
        </w:numPr>
        <w:tabs>
          <w:tab w:val="clear" w:pos="567"/>
          <w:tab w:val="left" w:pos="1134"/>
        </w:tabs>
        <w:autoSpaceDE w:val="0"/>
        <w:autoSpaceDN w:val="0"/>
        <w:adjustRightInd w:val="0"/>
        <w:spacing w:line="240" w:lineRule="auto"/>
        <w:ind w:left="1134" w:hanging="567"/>
        <w:rPr>
          <w:lang w:val="hu-HU"/>
        </w:rPr>
      </w:pPr>
      <w:r>
        <w:rPr>
          <w:lang w:val="hu-HU"/>
        </w:rPr>
        <w:t>aliszkirén.</w:t>
      </w:r>
    </w:p>
    <w:p w14:paraId="2B5389F3" w14:textId="77777777" w:rsidR="00602010" w:rsidRDefault="00602010">
      <w:pPr>
        <w:spacing w:line="240" w:lineRule="auto"/>
        <w:ind w:right="-2"/>
        <w:rPr>
          <w:lang w:val="hu-HU"/>
        </w:rPr>
      </w:pPr>
    </w:p>
    <w:p w14:paraId="3EE00A04" w14:textId="77777777" w:rsidR="00602010" w:rsidRDefault="009F38E3">
      <w:pPr>
        <w:spacing w:line="240" w:lineRule="auto"/>
        <w:ind w:right="-2"/>
        <w:rPr>
          <w:lang w:val="hu-HU"/>
        </w:rPr>
      </w:pPr>
      <w:r>
        <w:rPr>
          <w:lang w:val="hu-HU"/>
        </w:rPr>
        <w:t>A hidroklorotiazid-kezelés elektrolitegyensúly-zavart okozhat a szervezetben. Ennek a folyadékegyensúly-zavarnak vagy az elektrolitegyensúly-zavarnak jellemző tünetei a szájszárazság, gyengeség, levertség, álmosság, nyugtalanság, izomfájdalom vagy izomgörcs, hányinger, hányás, izomfáradás és kórosan gyors szívműködés (100/perc feletti pulzusszám). Ha ezek bármelyikét észleli, forduljon orvoshoz.</w:t>
      </w:r>
    </w:p>
    <w:p w14:paraId="33ED1405" w14:textId="77777777" w:rsidR="00602010" w:rsidRDefault="00602010">
      <w:pPr>
        <w:spacing w:line="240" w:lineRule="auto"/>
        <w:ind w:right="-2"/>
        <w:rPr>
          <w:lang w:val="hu-HU"/>
        </w:rPr>
      </w:pPr>
    </w:p>
    <w:p w14:paraId="2925D21E" w14:textId="77777777" w:rsidR="00602010" w:rsidRDefault="009F38E3">
      <w:pPr>
        <w:spacing w:line="240" w:lineRule="auto"/>
        <w:ind w:right="-2"/>
        <w:rPr>
          <w:lang w:val="hu-HU"/>
        </w:rPr>
      </w:pPr>
      <w:r>
        <w:rPr>
          <w:lang w:val="hu-HU"/>
        </w:rPr>
        <w:t>Beszéljen kezelőorvosával, ha a Tolvecamo alkalmazását követően hasi fájdalmat, hányingert, hányást vagy hasmenést tapasztal. A további kezelésről kezelőorvosa fog dönteni. Saját elgondolásból ne hagyja abba a Tolvecamo alkalmazását.</w:t>
      </w:r>
    </w:p>
    <w:p w14:paraId="2AFA9B9F" w14:textId="77777777" w:rsidR="00602010" w:rsidRDefault="00602010">
      <w:pPr>
        <w:spacing w:line="240" w:lineRule="auto"/>
        <w:ind w:right="-2"/>
        <w:rPr>
          <w:lang w:val="hu-HU"/>
        </w:rPr>
      </w:pPr>
    </w:p>
    <w:p w14:paraId="6B30EA9E" w14:textId="77777777" w:rsidR="00602010" w:rsidRDefault="009F38E3">
      <w:pPr>
        <w:spacing w:line="240" w:lineRule="auto"/>
        <w:ind w:right="-2"/>
        <w:rPr>
          <w:lang w:val="hu-HU"/>
        </w:rPr>
      </w:pPr>
      <w:r>
        <w:rPr>
          <w:lang w:val="hu-HU"/>
        </w:rPr>
        <w:t>Arról is feltétlenül tájékoztassa kezelőorvosát, ha azt tapasztalja, hogy bőre fokozottan érzékeny a napfényre, amit a napégés szokásosnál jóval gyorsabban megjelenő tünetei jeleznek (például vörösség, viszketés, duzzanat és hólyagképződés).</w:t>
      </w:r>
    </w:p>
    <w:p w14:paraId="4EA590A8" w14:textId="77777777" w:rsidR="00602010" w:rsidRDefault="00602010">
      <w:pPr>
        <w:spacing w:line="240" w:lineRule="auto"/>
        <w:ind w:right="-2"/>
        <w:rPr>
          <w:lang w:val="hu-HU"/>
        </w:rPr>
      </w:pPr>
    </w:p>
    <w:p w14:paraId="40AB4E2E" w14:textId="77777777" w:rsidR="00602010" w:rsidRDefault="009F38E3">
      <w:pPr>
        <w:spacing w:line="240" w:lineRule="auto"/>
        <w:ind w:right="-2"/>
        <w:rPr>
          <w:lang w:val="hu-HU"/>
        </w:rPr>
      </w:pPr>
      <w:r>
        <w:rPr>
          <w:lang w:val="hu-HU"/>
        </w:rPr>
        <w:t>Műtét vagy érzéstelenítés esetén tájékoztassa a kezelőorvost, hogy Ön Tolvecamo-t szed.</w:t>
      </w:r>
    </w:p>
    <w:p w14:paraId="06E309B0" w14:textId="77777777" w:rsidR="00602010" w:rsidRDefault="00602010">
      <w:pPr>
        <w:spacing w:line="240" w:lineRule="auto"/>
        <w:ind w:right="-2"/>
        <w:rPr>
          <w:lang w:val="hu-HU"/>
        </w:rPr>
      </w:pPr>
    </w:p>
    <w:p w14:paraId="4EF769A5" w14:textId="77777777" w:rsidR="00602010" w:rsidRDefault="009F38E3">
      <w:pPr>
        <w:spacing w:line="240" w:lineRule="auto"/>
        <w:ind w:right="-2"/>
        <w:rPr>
          <w:lang w:val="hu-HU"/>
        </w:rPr>
      </w:pPr>
      <w:r>
        <w:rPr>
          <w:lang w:val="hu-HU"/>
        </w:rPr>
        <w:t>A Tolvecamo vérnyomáscsökkentő hatása feketebőrű betegnél gyengébb lehet.</w:t>
      </w:r>
    </w:p>
    <w:p w14:paraId="049CCE70" w14:textId="77777777" w:rsidR="00602010" w:rsidRDefault="00602010">
      <w:pPr>
        <w:spacing w:line="240" w:lineRule="auto"/>
        <w:ind w:right="-2"/>
        <w:rPr>
          <w:lang w:val="hu-HU"/>
        </w:rPr>
      </w:pPr>
    </w:p>
    <w:p w14:paraId="0EA85CF5" w14:textId="77777777" w:rsidR="00602010" w:rsidRDefault="009F38E3">
      <w:pPr>
        <w:spacing w:line="240" w:lineRule="auto"/>
        <w:ind w:right="-2"/>
        <w:rPr>
          <w:lang w:val="hu-HU"/>
        </w:rPr>
      </w:pPr>
      <w:r>
        <w:rPr>
          <w:lang w:val="hu-HU"/>
        </w:rPr>
        <w:t>Kezelőorvosa rendszeresen ellenőrizheti az Ön veseműködését, vérnyomását és az elektrolitszinteket (például kálium) a vérében.</w:t>
      </w:r>
    </w:p>
    <w:p w14:paraId="6C02D44E" w14:textId="77777777" w:rsidR="00602010" w:rsidRDefault="009F38E3">
      <w:pPr>
        <w:spacing w:line="240" w:lineRule="auto"/>
        <w:ind w:right="-2"/>
        <w:rPr>
          <w:lang w:val="hu-HU"/>
        </w:rPr>
      </w:pPr>
      <w:r>
        <w:rPr>
          <w:lang w:val="hu-HU"/>
        </w:rPr>
        <w:t>Lásd még a "Ne szedje a Tolvecamo-t" pontban található információkat.</w:t>
      </w:r>
    </w:p>
    <w:p w14:paraId="4397A21B" w14:textId="77777777" w:rsidR="00602010" w:rsidRDefault="00602010">
      <w:pPr>
        <w:spacing w:line="240" w:lineRule="auto"/>
        <w:ind w:right="-2"/>
        <w:rPr>
          <w:lang w:val="hu-HU"/>
        </w:rPr>
      </w:pPr>
    </w:p>
    <w:p w14:paraId="2B32C3B2" w14:textId="77777777" w:rsidR="00602010" w:rsidRDefault="009F38E3">
      <w:pPr>
        <w:spacing w:line="240" w:lineRule="auto"/>
        <w:ind w:right="-2"/>
        <w:rPr>
          <w:b/>
          <w:bCs/>
          <w:lang w:val="hu-HU"/>
        </w:rPr>
      </w:pPr>
      <w:r>
        <w:rPr>
          <w:b/>
          <w:bCs/>
          <w:lang w:val="hu-HU"/>
        </w:rPr>
        <w:t>Gyermekek és serdülők</w:t>
      </w:r>
    </w:p>
    <w:p w14:paraId="558A4DFE" w14:textId="77777777" w:rsidR="00602010" w:rsidRDefault="009F38E3">
      <w:pPr>
        <w:spacing w:line="240" w:lineRule="auto"/>
        <w:ind w:right="-2"/>
        <w:rPr>
          <w:lang w:val="hu-HU"/>
        </w:rPr>
      </w:pPr>
      <w:r>
        <w:rPr>
          <w:lang w:val="hu-HU"/>
        </w:rPr>
        <w:t>A Tolvecamo alkalmazása 18 év alatti gyermekeknél és serdülőknél nem javasolt.</w:t>
      </w:r>
    </w:p>
    <w:p w14:paraId="35DEEA4E" w14:textId="77777777" w:rsidR="00602010" w:rsidRDefault="00602010">
      <w:pPr>
        <w:spacing w:line="240" w:lineRule="auto"/>
        <w:ind w:right="-2"/>
        <w:rPr>
          <w:lang w:val="hu-HU"/>
        </w:rPr>
      </w:pPr>
    </w:p>
    <w:p w14:paraId="43CF94CB" w14:textId="77777777" w:rsidR="00602010" w:rsidRDefault="009F38E3">
      <w:pPr>
        <w:spacing w:line="240" w:lineRule="auto"/>
        <w:ind w:right="-2"/>
        <w:rPr>
          <w:b/>
          <w:bCs/>
          <w:lang w:val="hu-HU"/>
        </w:rPr>
      </w:pPr>
      <w:r>
        <w:rPr>
          <w:b/>
          <w:bCs/>
          <w:lang w:val="hu-HU"/>
        </w:rPr>
        <w:t>Egyéb gyógyszerek és a Tolvecamo</w:t>
      </w:r>
    </w:p>
    <w:p w14:paraId="0D8BFD27" w14:textId="77777777" w:rsidR="00602010" w:rsidRDefault="009F38E3">
      <w:pPr>
        <w:spacing w:line="240" w:lineRule="auto"/>
        <w:rPr>
          <w:lang w:val="hu-HU"/>
        </w:rPr>
      </w:pPr>
      <w:r>
        <w:rPr>
          <w:lang w:val="hu-HU"/>
        </w:rPr>
        <w:t>Feltétlenül tájékoztassa kezelőorvosát vagy gyógyszerészét a jelenleg vagy nemrégiben szedett, valamint szedni tervezett egyéb gyógyszereiről. Lehet, hogy orvosának meg kell változtatnia ezeknek a gyógyszereknek az adagját, vagy egyéb óvintézkedéseket tehet. Bizonyos esetekben előfordulhat, hogy valamelyik gyógyszer szedését abba kell hagynia. Ez különösen az alább felsorolt gyógyszerekre vonatkozik, ha a Tolvecamo tablettával egyidejűleg szedik:</w:t>
      </w:r>
    </w:p>
    <w:p w14:paraId="4E7B66A2" w14:textId="77777777" w:rsidR="00602010" w:rsidRDefault="009F38E3">
      <w:pPr>
        <w:numPr>
          <w:ilvl w:val="0"/>
          <w:numId w:val="24"/>
        </w:numPr>
        <w:tabs>
          <w:tab w:val="clear" w:pos="567"/>
        </w:tabs>
        <w:autoSpaceDE w:val="0"/>
        <w:autoSpaceDN w:val="0"/>
        <w:adjustRightInd w:val="0"/>
        <w:spacing w:line="240" w:lineRule="auto"/>
        <w:ind w:left="567" w:hanging="567"/>
        <w:contextualSpacing/>
        <w:rPr>
          <w:rFonts w:eastAsia="Calibri"/>
          <w:lang w:val="hu-HU" w:eastAsia="sl-SI"/>
        </w:rPr>
      </w:pPr>
      <w:r>
        <w:rPr>
          <w:rFonts w:eastAsia="Calibri"/>
          <w:lang w:val="hu-HU"/>
        </w:rPr>
        <w:t>lítium tartalmú gyógyszerek, amelyeket a depresszió bizonyos típusainak a kezelésére alkalmaznak;</w:t>
      </w:r>
    </w:p>
    <w:p w14:paraId="6F1D27CB" w14:textId="77777777" w:rsidR="00602010" w:rsidRDefault="009F38E3">
      <w:pPr>
        <w:numPr>
          <w:ilvl w:val="0"/>
          <w:numId w:val="24"/>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alacsony vérkáliumszintet (hipokalémia) okozó gyógyszerek, például egyéb diuretikumok (vízhajtók), hashajtók (például ricinusolaj), kortikoszteroidok (például prednizon), ACTH (hormon), amfotericin (gombaellenes gyógyszer), karbenoxolon (szájüregi fekélyek kezelésére szolgál), benzilpenicillin (antibiotikum) illetve szalicilsav és annak származékai;</w:t>
      </w:r>
    </w:p>
    <w:p w14:paraId="4C8C99DF" w14:textId="77777777" w:rsidR="00602010" w:rsidRDefault="009F38E3">
      <w:pPr>
        <w:numPr>
          <w:ilvl w:val="0"/>
          <w:numId w:val="24"/>
        </w:numPr>
        <w:tabs>
          <w:tab w:val="clear" w:pos="567"/>
        </w:tabs>
        <w:spacing w:line="240" w:lineRule="auto"/>
        <w:ind w:left="567" w:hanging="567"/>
        <w:rPr>
          <w:rFonts w:eastAsia="Calibri"/>
          <w:lang w:val="hu-HU"/>
        </w:rPr>
      </w:pPr>
      <w:r>
        <w:rPr>
          <w:rFonts w:eastAsia="Calibri"/>
          <w:lang w:val="hu-HU"/>
        </w:rPr>
        <w:t>a vér káliumszintjét emelő gyógyszerek, például a káliummegtakarító vízhajtók, káliumpótló szerek, káliumot tartalmazó sópótlók, ACE-gátlók, ciklosporin (immunszuppresszáns gyógyszer) és más gyógyszerek, például heparin-nátrium (véralvadásgátló);</w:t>
      </w:r>
    </w:p>
    <w:p w14:paraId="48F7D50E" w14:textId="77777777" w:rsidR="00602010" w:rsidRDefault="009F38E3">
      <w:pPr>
        <w:numPr>
          <w:ilvl w:val="0"/>
          <w:numId w:val="24"/>
        </w:numPr>
        <w:tabs>
          <w:tab w:val="clear" w:pos="567"/>
        </w:tabs>
        <w:autoSpaceDE w:val="0"/>
        <w:autoSpaceDN w:val="0"/>
        <w:adjustRightInd w:val="0"/>
        <w:spacing w:line="240" w:lineRule="auto"/>
        <w:ind w:left="567" w:hanging="567"/>
        <w:contextualSpacing/>
        <w:rPr>
          <w:rFonts w:eastAsia="Calibri"/>
          <w:lang w:val="hu-HU"/>
        </w:rPr>
      </w:pPr>
      <w:r>
        <w:rPr>
          <w:lang w:val="hu-HU"/>
        </w:rPr>
        <w:t>gyógyszerek, melyek hatását a szérumkáliumszint változása befolyásolja, mint például a szívgyógyszerek (például digoxin) vagy szívritmust szabályozó gyógyszerek (például kinidin, dizopiramid, amiodaron, szotalol), mentális betegségek kezelésére szolgáló gyógyszerek (például tioridazin, klórpromazin, levomepromazin), egyéb gyógyszerek, mint például bizonyos antibiotikumok (például sparfloxacin, pentamidin), vagy egyes allergiás reakció kezelésére szolgáló gyógyszerek (pl. terfenadin);</w:t>
      </w:r>
    </w:p>
    <w:p w14:paraId="66B55A24" w14:textId="77777777" w:rsidR="00602010" w:rsidRDefault="009F38E3">
      <w:pPr>
        <w:numPr>
          <w:ilvl w:val="0"/>
          <w:numId w:val="24"/>
        </w:numPr>
        <w:tabs>
          <w:tab w:val="clear" w:pos="567"/>
        </w:tabs>
        <w:autoSpaceDE w:val="0"/>
        <w:autoSpaceDN w:val="0"/>
        <w:adjustRightInd w:val="0"/>
        <w:spacing w:line="240" w:lineRule="auto"/>
        <w:ind w:left="567" w:hanging="720"/>
        <w:contextualSpacing/>
        <w:rPr>
          <w:rFonts w:eastAsia="Calibri"/>
          <w:lang w:val="hu-HU"/>
        </w:rPr>
      </w:pPr>
      <w:r>
        <w:rPr>
          <w:rFonts w:eastAsia="Calibri"/>
          <w:lang w:val="hu-HU"/>
        </w:rPr>
        <w:t>a cukorbetegség kezelésére szolgáló gyógyszerek (inzulin vagy szájon át szedhető készítmények, mint például metformin);</w:t>
      </w:r>
    </w:p>
    <w:p w14:paraId="56501209" w14:textId="77777777" w:rsidR="00602010" w:rsidRDefault="009F38E3">
      <w:pPr>
        <w:numPr>
          <w:ilvl w:val="0"/>
          <w:numId w:val="24"/>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kolesztiramin és kolesztipol gyanták vagy szimvasztatin, a vérzsírszint csökkentésére szolgáló gyógyszerek;</w:t>
      </w:r>
    </w:p>
    <w:p w14:paraId="58D0BFE1" w14:textId="77777777" w:rsidR="00602010" w:rsidRDefault="009F38E3">
      <w:pPr>
        <w:numPr>
          <w:ilvl w:val="0"/>
          <w:numId w:val="24"/>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vérnyomásemelő gyógyszerek, például noradrenalin;</w:t>
      </w:r>
    </w:p>
    <w:p w14:paraId="5B5E080F" w14:textId="77777777" w:rsidR="00602010" w:rsidRDefault="009F38E3">
      <w:pPr>
        <w:numPr>
          <w:ilvl w:val="0"/>
          <w:numId w:val="24"/>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izomlazító gyógyszerek, mint például tubokurarin;</w:t>
      </w:r>
    </w:p>
    <w:p w14:paraId="416801D0" w14:textId="77777777" w:rsidR="00602010" w:rsidRDefault="009F38E3">
      <w:pPr>
        <w:numPr>
          <w:ilvl w:val="0"/>
          <w:numId w:val="24"/>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kalciumpótló készítmények és/vagy D-vitamin;</w:t>
      </w:r>
    </w:p>
    <w:p w14:paraId="4E1A64A6" w14:textId="568487AD" w:rsidR="00602010" w:rsidRDefault="009F38E3">
      <w:pPr>
        <w:numPr>
          <w:ilvl w:val="0"/>
          <w:numId w:val="24"/>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lastRenderedPageBreak/>
        <w:t>antikolinerg gyógyszerek (számos betegség, mint például az emésztőrendszeri görcsök, a húgyhólyag görcse, asztma, utazási betegség, izomgörcsök, Parkinson-kór kezelésére, illetve az, érzéstelenítés elősegítésére alkalmazott gyógyszerek), mint például az atropin, biperidén;</w:t>
      </w:r>
    </w:p>
    <w:p w14:paraId="65941735" w14:textId="77777777" w:rsidR="00602010" w:rsidRDefault="009F38E3">
      <w:pPr>
        <w:numPr>
          <w:ilvl w:val="0"/>
          <w:numId w:val="24"/>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amantadin (a Parkinson-kór kezelésére és bizonyos vírusok okozta megbetegedések kezelésére vagy megelőzésére szolgáló gyógyszer);</w:t>
      </w:r>
    </w:p>
    <w:p w14:paraId="7D4B4376" w14:textId="77777777" w:rsidR="00602010" w:rsidRDefault="009F38E3">
      <w:pPr>
        <w:numPr>
          <w:ilvl w:val="0"/>
          <w:numId w:val="24"/>
        </w:numPr>
        <w:spacing w:line="240" w:lineRule="auto"/>
        <w:ind w:left="567" w:hanging="567"/>
        <w:rPr>
          <w:rFonts w:eastAsia="PMingLiU"/>
          <w:lang w:val="hu-HU"/>
        </w:rPr>
      </w:pPr>
      <w:r>
        <w:rPr>
          <w:rFonts w:eastAsia="PMingLiU"/>
          <w:lang w:val="hu-HU"/>
        </w:rPr>
        <w:t>egyéb vérnyomáscsökkentők, kortikoszteroidok, fájdalomcsillapítók (például nem-szteroid gyulladáscsökkentő gyógyszerek [NSAID]), daganat, köszvény vagy ízületi gyulladás elleni gyógyszerek;</w:t>
      </w:r>
    </w:p>
    <w:p w14:paraId="4B6805B2" w14:textId="77777777" w:rsidR="00602010" w:rsidRDefault="009F38E3">
      <w:pPr>
        <w:numPr>
          <w:ilvl w:val="0"/>
          <w:numId w:val="24"/>
        </w:numPr>
        <w:tabs>
          <w:tab w:val="clear" w:pos="567"/>
        </w:tabs>
        <w:autoSpaceDE w:val="0"/>
        <w:autoSpaceDN w:val="0"/>
        <w:adjustRightInd w:val="0"/>
        <w:spacing w:line="240" w:lineRule="auto"/>
        <w:ind w:left="567" w:hanging="567"/>
        <w:contextualSpacing/>
        <w:rPr>
          <w:rFonts w:eastAsia="Calibri"/>
          <w:lang w:val="hu-HU" w:eastAsia="sl-SI"/>
        </w:rPr>
      </w:pPr>
      <w:r>
        <w:rPr>
          <w:bCs/>
          <w:iCs/>
          <w:lang w:val="hu-HU"/>
        </w:rPr>
        <w:t>ha Ön ACE-gátlót vagy aliszkirént szed (Lásd még a „Ne szedje a Tolvecamo-t” és a „Figyelmeztetések és óvintézkedések” pontok alatti információt)</w:t>
      </w:r>
      <w:r>
        <w:rPr>
          <w:rFonts w:eastAsia="Calibri"/>
          <w:lang w:val="hu-HU"/>
        </w:rPr>
        <w:t>;</w:t>
      </w:r>
    </w:p>
    <w:p w14:paraId="70AF5301" w14:textId="77777777" w:rsidR="00602010" w:rsidRDefault="009F38E3">
      <w:pPr>
        <w:numPr>
          <w:ilvl w:val="0"/>
          <w:numId w:val="24"/>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ketokonazol, itrakonazol (</w:t>
      </w:r>
      <w:r>
        <w:rPr>
          <w:lang w:val="hu-HU"/>
        </w:rPr>
        <w:t>gombás fertőzés kezelésére alkalmazott gyógyszerek</w:t>
      </w:r>
      <w:r>
        <w:rPr>
          <w:rFonts w:eastAsia="Calibri"/>
          <w:lang w:val="hu-HU"/>
        </w:rPr>
        <w:t>);</w:t>
      </w:r>
    </w:p>
    <w:p w14:paraId="1110494C" w14:textId="77777777" w:rsidR="00602010" w:rsidRDefault="009F38E3">
      <w:pPr>
        <w:numPr>
          <w:ilvl w:val="0"/>
          <w:numId w:val="24"/>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ritonavir, indinavir, nelfinavir (</w:t>
      </w:r>
      <w:r>
        <w:rPr>
          <w:lang w:val="hu-HU"/>
        </w:rPr>
        <w:t>úgynevezett proteáz-gátlók HIV-fertőzés kezelésére</w:t>
      </w:r>
      <w:r>
        <w:rPr>
          <w:rFonts w:eastAsia="Calibri"/>
          <w:lang w:val="hu-HU"/>
        </w:rPr>
        <w:t>);</w:t>
      </w:r>
    </w:p>
    <w:p w14:paraId="38D8ACDF" w14:textId="77777777" w:rsidR="00602010" w:rsidRDefault="009F38E3">
      <w:pPr>
        <w:numPr>
          <w:ilvl w:val="0"/>
          <w:numId w:val="24"/>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rifampicin, eritromicin, klaritromicin (</w:t>
      </w:r>
      <w:r>
        <w:rPr>
          <w:lang w:val="hu-HU"/>
        </w:rPr>
        <w:t>antibiotikumok</w:t>
      </w:r>
      <w:r>
        <w:rPr>
          <w:rFonts w:eastAsia="Calibri"/>
          <w:lang w:val="hu-HU"/>
        </w:rPr>
        <w:t>);</w:t>
      </w:r>
    </w:p>
    <w:p w14:paraId="6B6CACB1" w14:textId="77777777" w:rsidR="00602010" w:rsidRDefault="009F38E3">
      <w:pPr>
        <w:numPr>
          <w:ilvl w:val="0"/>
          <w:numId w:val="24"/>
        </w:numPr>
        <w:tabs>
          <w:tab w:val="clear" w:pos="567"/>
        </w:tabs>
        <w:autoSpaceDE w:val="0"/>
        <w:autoSpaceDN w:val="0"/>
        <w:adjustRightInd w:val="0"/>
        <w:spacing w:line="240" w:lineRule="auto"/>
        <w:ind w:left="567" w:hanging="567"/>
        <w:contextualSpacing/>
        <w:rPr>
          <w:rFonts w:eastAsia="Calibri"/>
          <w:lang w:val="hu-HU"/>
        </w:rPr>
      </w:pPr>
      <w:r>
        <w:rPr>
          <w:lang w:val="hu-HU"/>
        </w:rPr>
        <w:t>közönséges orbáncfű (</w:t>
      </w:r>
      <w:r>
        <w:rPr>
          <w:i/>
          <w:lang w:val="hu-HU"/>
        </w:rPr>
        <w:t>Hypericum perforatum</w:t>
      </w:r>
      <w:r>
        <w:rPr>
          <w:lang w:val="hu-HU"/>
        </w:rPr>
        <w:t>)</w:t>
      </w:r>
      <w:r>
        <w:rPr>
          <w:rFonts w:eastAsia="Calibri"/>
          <w:lang w:val="hu-HU"/>
        </w:rPr>
        <w:t>;</w:t>
      </w:r>
    </w:p>
    <w:p w14:paraId="4329FFA8" w14:textId="77777777" w:rsidR="00602010" w:rsidRDefault="009F38E3">
      <w:pPr>
        <w:numPr>
          <w:ilvl w:val="0"/>
          <w:numId w:val="24"/>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verapamil, diltiazem (</w:t>
      </w:r>
      <w:r>
        <w:rPr>
          <w:lang w:val="hu-HU"/>
        </w:rPr>
        <w:t>szívbetegség kezelésére</w:t>
      </w:r>
      <w:r>
        <w:rPr>
          <w:rFonts w:eastAsia="Calibri"/>
          <w:lang w:val="hu-HU"/>
        </w:rPr>
        <w:t>);</w:t>
      </w:r>
    </w:p>
    <w:p w14:paraId="3D41A586" w14:textId="77777777" w:rsidR="00602010" w:rsidRDefault="009F38E3">
      <w:pPr>
        <w:numPr>
          <w:ilvl w:val="0"/>
          <w:numId w:val="24"/>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dantrolén (</w:t>
      </w:r>
      <w:r>
        <w:rPr>
          <w:lang w:val="hu-HU"/>
        </w:rPr>
        <w:t>a testhőmérséklet-szabályozás súlyos zavara esetén alkalmazott infúzió</w:t>
      </w:r>
      <w:r>
        <w:rPr>
          <w:rFonts w:eastAsia="Calibri"/>
          <w:lang w:val="hu-HU"/>
        </w:rPr>
        <w:t>);</w:t>
      </w:r>
    </w:p>
    <w:p w14:paraId="1A77E930" w14:textId="77777777" w:rsidR="00602010" w:rsidRDefault="009F38E3">
      <w:pPr>
        <w:numPr>
          <w:ilvl w:val="0"/>
          <w:numId w:val="24"/>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takrolimusz, szirolimusz, temszirolimusz és everolimusz (</w:t>
      </w:r>
      <w:r>
        <w:rPr>
          <w:lang w:val="hu-HU"/>
        </w:rPr>
        <w:t>az immunrendszer működésének megváltoztatására alkalmazott gyógyszer</w:t>
      </w:r>
      <w:r>
        <w:rPr>
          <w:rFonts w:eastAsia="Calibri"/>
          <w:lang w:val="hu-HU"/>
        </w:rPr>
        <w:t>).</w:t>
      </w:r>
    </w:p>
    <w:p w14:paraId="0539924F" w14:textId="77777777" w:rsidR="00602010" w:rsidRDefault="00602010">
      <w:pPr>
        <w:spacing w:line="240" w:lineRule="auto"/>
        <w:ind w:right="-2"/>
        <w:rPr>
          <w:lang w:val="hu-HU"/>
        </w:rPr>
      </w:pPr>
    </w:p>
    <w:p w14:paraId="0CAE9933" w14:textId="77777777" w:rsidR="00602010" w:rsidRDefault="009F38E3">
      <w:pPr>
        <w:spacing w:line="240" w:lineRule="auto"/>
        <w:ind w:right="-2"/>
        <w:rPr>
          <w:lang w:val="hu-HU"/>
        </w:rPr>
      </w:pPr>
      <w:r>
        <w:rPr>
          <w:lang w:val="hu-HU"/>
        </w:rPr>
        <w:t>A Tolvecamo fokozhatja az egyéb, magas vérnyomás kezelésére szolgáló gyógyszerek vagy vérnyomáscsökkentő hatású gyógyszerek (például baklofén, amifosztin) vérnyomáscsökkentő hatását. Továbbá az alacsony vérnyomást súlyosbíthatják az alkohol, barbiturátok, erős hatású fájdalomcsillapítók vagy antidepresszánsok. Ezt felálláskor jelentkező szédülés formájában észlelheti. Meg kell beszélnie kezelőorvosával, hogy szükség van-e az egyéb gyógyszerek adagjának módosítására a Tolvecamo szedése alatt.</w:t>
      </w:r>
    </w:p>
    <w:p w14:paraId="2137EB5B" w14:textId="77777777" w:rsidR="00602010" w:rsidRDefault="00602010">
      <w:pPr>
        <w:spacing w:line="240" w:lineRule="auto"/>
        <w:ind w:right="-2"/>
        <w:rPr>
          <w:lang w:val="hu-HU"/>
        </w:rPr>
      </w:pPr>
    </w:p>
    <w:p w14:paraId="794CD3E1" w14:textId="77777777" w:rsidR="00602010" w:rsidRDefault="009F38E3">
      <w:pPr>
        <w:spacing w:line="240" w:lineRule="auto"/>
        <w:ind w:right="-2"/>
        <w:rPr>
          <w:lang w:val="hu-HU"/>
        </w:rPr>
      </w:pPr>
      <w:r>
        <w:rPr>
          <w:lang w:val="hu-HU"/>
        </w:rPr>
        <w:t>A Tolvecamo hatása csökkenhet, ha nem-szteroid gyulladáscsökkentő gyógyszerekkel (NSAID-okkal, például acetilszalicilsavval vagy ibuprofénnel) szedi együtt.</w:t>
      </w:r>
    </w:p>
    <w:p w14:paraId="13694611" w14:textId="77777777" w:rsidR="00602010" w:rsidRDefault="00602010">
      <w:pPr>
        <w:spacing w:line="240" w:lineRule="auto"/>
        <w:ind w:right="-2"/>
        <w:rPr>
          <w:lang w:val="hu-HU"/>
        </w:rPr>
      </w:pPr>
    </w:p>
    <w:p w14:paraId="48B1C03C" w14:textId="77777777" w:rsidR="00602010" w:rsidRDefault="009F38E3">
      <w:pPr>
        <w:spacing w:line="240" w:lineRule="auto"/>
        <w:ind w:right="-2"/>
        <w:rPr>
          <w:b/>
          <w:lang w:val="hu-HU"/>
        </w:rPr>
      </w:pPr>
      <w:r>
        <w:rPr>
          <w:b/>
          <w:lang w:val="hu-HU"/>
        </w:rPr>
        <w:t>A Tolvecamo egyidejű bevétele étellel, itallal vagy alkohollal</w:t>
      </w:r>
    </w:p>
    <w:p w14:paraId="66289144" w14:textId="77777777" w:rsidR="00602010" w:rsidRDefault="009F38E3">
      <w:pPr>
        <w:spacing w:line="240" w:lineRule="auto"/>
        <w:ind w:right="-2"/>
        <w:rPr>
          <w:lang w:val="hu-HU"/>
        </w:rPr>
      </w:pPr>
      <w:r>
        <w:rPr>
          <w:lang w:val="hu-HU"/>
        </w:rPr>
        <w:t>A Tolvecamo étkezés közben vagy attól függetlenül is bevehető.</w:t>
      </w:r>
    </w:p>
    <w:p w14:paraId="3D59C4E1" w14:textId="77777777" w:rsidR="00602010" w:rsidRDefault="009F38E3">
      <w:pPr>
        <w:spacing w:line="240" w:lineRule="auto"/>
        <w:ind w:right="-2"/>
        <w:rPr>
          <w:lang w:val="hu-HU"/>
        </w:rPr>
      </w:pPr>
      <w:r>
        <w:rPr>
          <w:lang w:val="hu-HU"/>
        </w:rPr>
        <w:t>Alkohol egyidejű fogyasztása kerülendő, amíg nem egyeztet kezelőorvosával. Az alkohol fogyasztása mellett nagyobb mértékben csökkenhet a vérnyomása, és/vagy megnövekedhet a szédülés és az ájulás kockázata.</w:t>
      </w:r>
    </w:p>
    <w:p w14:paraId="37E2CA26" w14:textId="77777777" w:rsidR="00602010" w:rsidRDefault="00602010">
      <w:pPr>
        <w:spacing w:line="240" w:lineRule="auto"/>
        <w:ind w:right="-2"/>
        <w:rPr>
          <w:lang w:val="hu-HU"/>
        </w:rPr>
      </w:pPr>
    </w:p>
    <w:p w14:paraId="1271E88D" w14:textId="77777777" w:rsidR="00602010" w:rsidRDefault="009F38E3">
      <w:pPr>
        <w:spacing w:line="240" w:lineRule="auto"/>
        <w:ind w:right="-2"/>
        <w:rPr>
          <w:lang w:val="hu-HU"/>
        </w:rPr>
      </w:pPr>
      <w:r>
        <w:rPr>
          <w:lang w:val="hu-HU"/>
        </w:rPr>
        <w:t xml:space="preserve">A </w:t>
      </w:r>
      <w:r>
        <w:rPr>
          <w:bCs/>
          <w:iCs/>
          <w:lang w:val="hu-HU"/>
        </w:rPr>
        <w:t xml:space="preserve">Tolvecamo-t </w:t>
      </w:r>
      <w:r>
        <w:rPr>
          <w:lang w:val="hu-HU"/>
        </w:rPr>
        <w:t xml:space="preserve">szedő betegek nem fogyaszthatnak grépfrútot vagy grépfrútlevet. </w:t>
      </w:r>
      <w:r>
        <w:rPr>
          <w:rFonts w:ascii="TimesNewRomanPSMT" w:hAnsi="TimesNewRomanPSMT" w:cs="TimesNewRomanPSMT"/>
          <w:lang w:val="hu-HU" w:eastAsia="hu-HU"/>
        </w:rPr>
        <w:t>Ennek az a</w:t>
      </w:r>
      <w:r>
        <w:rPr>
          <w:lang w:val="hu-HU" w:eastAsia="hu-HU"/>
        </w:rPr>
        <w:t xml:space="preserve">z oka, </w:t>
      </w:r>
      <w:r>
        <w:rPr>
          <w:rFonts w:ascii="TimesNewRomanPSMT" w:hAnsi="TimesNewRomanPSMT" w:cs="TimesNewRomanPSMT"/>
          <w:lang w:val="hu-HU" w:eastAsia="hu-HU"/>
        </w:rPr>
        <w:t>hogy a grépfrút és a grépfrútlé emelheti az amlodipin nevű hatóanyag vérszintjét, ami a Tolvecamo vérnyomáscsökkentő hatásának kiszámíthatatlan növekedését okozhatja.</w:t>
      </w:r>
    </w:p>
    <w:p w14:paraId="36F32D69" w14:textId="77777777" w:rsidR="00602010" w:rsidRDefault="00602010">
      <w:pPr>
        <w:spacing w:line="240" w:lineRule="auto"/>
        <w:ind w:right="-2"/>
        <w:rPr>
          <w:lang w:val="hu-HU"/>
        </w:rPr>
      </w:pPr>
    </w:p>
    <w:p w14:paraId="2A21D3DC" w14:textId="77777777" w:rsidR="00602010" w:rsidRDefault="009F38E3">
      <w:pPr>
        <w:spacing w:line="240" w:lineRule="auto"/>
        <w:ind w:right="-2"/>
        <w:rPr>
          <w:b/>
          <w:bCs/>
          <w:lang w:val="hu-HU"/>
        </w:rPr>
      </w:pPr>
      <w:r>
        <w:rPr>
          <w:b/>
          <w:bCs/>
          <w:lang w:val="hu-HU"/>
        </w:rPr>
        <w:t>Terhesség és szoptatás</w:t>
      </w:r>
    </w:p>
    <w:p w14:paraId="6EC97A08" w14:textId="77777777" w:rsidR="00602010" w:rsidRDefault="009F38E3">
      <w:pPr>
        <w:spacing w:line="240" w:lineRule="auto"/>
        <w:ind w:right="-2"/>
        <w:rPr>
          <w:u w:val="single"/>
          <w:lang w:val="hu-HU"/>
        </w:rPr>
      </w:pPr>
      <w:r>
        <w:rPr>
          <w:u w:val="single"/>
          <w:lang w:val="hu-HU"/>
        </w:rPr>
        <w:t>Terhesség</w:t>
      </w:r>
    </w:p>
    <w:p w14:paraId="425B8050" w14:textId="77777777" w:rsidR="00602010" w:rsidRDefault="009F38E3">
      <w:pPr>
        <w:spacing w:line="240" w:lineRule="auto"/>
        <w:ind w:right="-2"/>
        <w:rPr>
          <w:lang w:val="hu-HU"/>
        </w:rPr>
      </w:pPr>
      <w:r>
        <w:rPr>
          <w:lang w:val="hu-HU"/>
        </w:rPr>
        <w:t>Feltétlenül közölje kezelőorvosával, ha úgy gondolja, hogy terhes (</w:t>
      </w:r>
      <w:r>
        <w:rPr>
          <w:u w:val="single"/>
          <w:lang w:val="hu-HU"/>
        </w:rPr>
        <w:t>vagy teherbe eshet</w:t>
      </w:r>
      <w:r>
        <w:rPr>
          <w:lang w:val="hu-HU"/>
        </w:rPr>
        <w:t>). Kezelőorvosa valószínűleg azt fogja javasolni, hogy hagyja abba a Tolvecamo szedését, mielőtt teherbe esne, vagy amint megtudja, hogy terhes, és a Tolvecamo helyett másik gyógyszer szedését fogja tanácsolni Önnek. A Tolvecamo alkalmazása nem ajánlott a terhesség ideje alatt és tilos szednie ha több mint 3 hónapos terhes, mivel súlyosan károsíthatja a magzatot, ha a terhesség harmadik hónapja után szedik.</w:t>
      </w:r>
    </w:p>
    <w:p w14:paraId="4B565D32" w14:textId="77777777" w:rsidR="00602010" w:rsidRDefault="00602010">
      <w:pPr>
        <w:spacing w:line="240" w:lineRule="auto"/>
        <w:ind w:right="-2"/>
        <w:rPr>
          <w:lang w:val="hu-HU"/>
        </w:rPr>
      </w:pPr>
    </w:p>
    <w:p w14:paraId="4B4222BA" w14:textId="77777777" w:rsidR="00602010" w:rsidRDefault="009F38E3">
      <w:pPr>
        <w:spacing w:line="240" w:lineRule="auto"/>
        <w:ind w:right="-2"/>
        <w:rPr>
          <w:u w:val="single"/>
          <w:lang w:val="hu-HU"/>
        </w:rPr>
      </w:pPr>
      <w:r>
        <w:rPr>
          <w:u w:val="single"/>
          <w:lang w:val="hu-HU"/>
        </w:rPr>
        <w:t>Szoptatás</w:t>
      </w:r>
    </w:p>
    <w:p w14:paraId="433B1210" w14:textId="77777777" w:rsidR="00602010" w:rsidRDefault="009F38E3">
      <w:pPr>
        <w:spacing w:line="240" w:lineRule="auto"/>
        <w:ind w:right="-2"/>
        <w:rPr>
          <w:lang w:val="hu-HU"/>
        </w:rPr>
      </w:pPr>
      <w:r>
        <w:rPr>
          <w:lang w:val="hu-HU"/>
        </w:rPr>
        <w:t>Tájékoztassa kezelőorvosát, ha szoptat, vagy szoptatni kezd. A Tolvecamo nem javasolt azoknak az anyáknak, akik szoptatnak, és kezelőorvosa más kezelést választhat, ha Ön szoptatni szeretne. Az amlodipin kis mennyiségben igazoltan átjut az anyatejbe.</w:t>
      </w:r>
    </w:p>
    <w:p w14:paraId="4C30B725" w14:textId="77777777" w:rsidR="00602010" w:rsidRDefault="00602010">
      <w:pPr>
        <w:spacing w:line="240" w:lineRule="auto"/>
        <w:ind w:right="-2"/>
        <w:rPr>
          <w:lang w:val="hu-HU"/>
        </w:rPr>
      </w:pPr>
    </w:p>
    <w:p w14:paraId="03EEDD4A" w14:textId="77777777" w:rsidR="00602010" w:rsidRDefault="009F38E3">
      <w:pPr>
        <w:spacing w:line="240" w:lineRule="auto"/>
        <w:ind w:right="-29"/>
        <w:rPr>
          <w:b/>
          <w:bCs/>
          <w:lang w:val="hu-HU"/>
        </w:rPr>
      </w:pPr>
      <w:r>
        <w:rPr>
          <w:b/>
          <w:bCs/>
          <w:lang w:val="hu-HU"/>
        </w:rPr>
        <w:t>A készítmény hatásai a gépjárművezetéshez és a gépek kezeléséhez szükséges képességekre</w:t>
      </w:r>
    </w:p>
    <w:p w14:paraId="7DAC00FF" w14:textId="77777777" w:rsidR="00602010" w:rsidRDefault="009F38E3">
      <w:pPr>
        <w:spacing w:line="240" w:lineRule="auto"/>
        <w:ind w:right="-29"/>
        <w:rPr>
          <w:lang w:val="hu-HU"/>
        </w:rPr>
      </w:pPr>
      <w:r>
        <w:rPr>
          <w:lang w:val="hu-HU"/>
        </w:rPr>
        <w:t xml:space="preserve">A </w:t>
      </w:r>
      <w:r>
        <w:rPr>
          <w:bCs/>
          <w:iCs/>
          <w:lang w:val="hu-HU"/>
        </w:rPr>
        <w:t>Tolvecamo</w:t>
      </w:r>
      <w:r>
        <w:rPr>
          <w:b/>
          <w:bCs/>
          <w:iCs/>
          <w:lang w:val="hu-HU"/>
        </w:rPr>
        <w:t xml:space="preserve"> </w:t>
      </w:r>
      <w:r>
        <w:rPr>
          <w:lang w:val="hu-HU"/>
        </w:rPr>
        <w:t>befolyásolhatja a gépjárművezetéshez és a gépek kezeléséhez szükséges képességeket. A kezelés alatt jelentkező hányinger, szédülés, fáradtság vagy fejfájás esetén ne vezessen gépjárművet és ne kezeljen gépeket, azonnal keresse fel kezelőorvosát.</w:t>
      </w:r>
    </w:p>
    <w:p w14:paraId="4AAF41C7" w14:textId="77777777" w:rsidR="00602010" w:rsidRDefault="00602010">
      <w:pPr>
        <w:spacing w:line="240" w:lineRule="auto"/>
        <w:ind w:right="-29"/>
        <w:rPr>
          <w:lang w:val="hu-HU"/>
        </w:rPr>
      </w:pPr>
    </w:p>
    <w:p w14:paraId="407B54F9" w14:textId="77777777" w:rsidR="00602010" w:rsidRDefault="009F38E3">
      <w:pPr>
        <w:numPr>
          <w:ilvl w:val="12"/>
          <w:numId w:val="0"/>
        </w:numPr>
        <w:tabs>
          <w:tab w:val="clear" w:pos="567"/>
          <w:tab w:val="left" w:pos="720"/>
        </w:tabs>
        <w:spacing w:line="240" w:lineRule="auto"/>
        <w:ind w:right="-2"/>
        <w:outlineLvl w:val="0"/>
        <w:rPr>
          <w:b/>
          <w:bCs/>
          <w:lang w:val="hu-HU"/>
        </w:rPr>
      </w:pPr>
      <w:r>
        <w:rPr>
          <w:b/>
          <w:bCs/>
          <w:lang w:val="hu-HU"/>
        </w:rPr>
        <w:t>A Tolvecamo laktózt és nátriumot tartalmaz</w:t>
      </w:r>
    </w:p>
    <w:p w14:paraId="56779A97" w14:textId="77777777" w:rsidR="00602010" w:rsidRDefault="009F38E3">
      <w:pPr>
        <w:numPr>
          <w:ilvl w:val="12"/>
          <w:numId w:val="0"/>
        </w:numPr>
        <w:tabs>
          <w:tab w:val="clear" w:pos="567"/>
          <w:tab w:val="left" w:pos="720"/>
        </w:tabs>
        <w:spacing w:line="240" w:lineRule="auto"/>
        <w:ind w:right="-2"/>
        <w:rPr>
          <w:lang w:val="hu-HU"/>
        </w:rPr>
      </w:pPr>
      <w:r>
        <w:rPr>
          <w:lang w:val="hu-HU"/>
        </w:rPr>
        <w:t>A Tolvecamo tejcukrot (laktózt) tartalmaz.</w:t>
      </w:r>
      <w:r>
        <w:rPr>
          <w:b/>
          <w:bCs/>
          <w:lang w:val="hu-HU"/>
        </w:rPr>
        <w:t xml:space="preserve"> </w:t>
      </w:r>
      <w:r>
        <w:rPr>
          <w:lang w:val="hu-HU"/>
        </w:rPr>
        <w:t>Amennyiben kezelőorvosa korábban már figyelmeztette Önt, hogy bizonyos cukrokra érzékeny, keresse fel orvosát, mielőtt elkezdi szedni ezt a gyógyszert.</w:t>
      </w:r>
    </w:p>
    <w:p w14:paraId="45726D4B" w14:textId="77777777" w:rsidR="00602010" w:rsidRDefault="009F38E3">
      <w:pPr>
        <w:numPr>
          <w:ilvl w:val="12"/>
          <w:numId w:val="0"/>
        </w:numPr>
        <w:tabs>
          <w:tab w:val="clear" w:pos="567"/>
          <w:tab w:val="left" w:pos="720"/>
        </w:tabs>
        <w:spacing w:line="240" w:lineRule="auto"/>
        <w:ind w:right="-2"/>
        <w:rPr>
          <w:lang w:val="hu-HU"/>
        </w:rPr>
      </w:pPr>
      <w:r>
        <w:rPr>
          <w:lang w:val="hu-HU"/>
        </w:rPr>
        <w:t>A készítmény kevesebb mint 1 mmol (23 mg) nátriumot tartalmaz tablettánként, azaz gyakorlatilag „nátriummentes”.</w:t>
      </w:r>
    </w:p>
    <w:p w14:paraId="51D7B94D" w14:textId="77777777" w:rsidR="00602010" w:rsidRDefault="00602010">
      <w:pPr>
        <w:numPr>
          <w:ilvl w:val="12"/>
          <w:numId w:val="0"/>
        </w:numPr>
        <w:tabs>
          <w:tab w:val="clear" w:pos="567"/>
          <w:tab w:val="left" w:pos="720"/>
        </w:tabs>
        <w:spacing w:line="240" w:lineRule="auto"/>
        <w:ind w:right="-2"/>
        <w:rPr>
          <w:lang w:val="hu-HU"/>
        </w:rPr>
      </w:pPr>
    </w:p>
    <w:p w14:paraId="5BEC9DC1" w14:textId="77777777" w:rsidR="00602010" w:rsidRDefault="00602010">
      <w:pPr>
        <w:numPr>
          <w:ilvl w:val="12"/>
          <w:numId w:val="0"/>
        </w:numPr>
        <w:tabs>
          <w:tab w:val="clear" w:pos="567"/>
          <w:tab w:val="left" w:pos="720"/>
        </w:tabs>
        <w:spacing w:line="240" w:lineRule="auto"/>
        <w:ind w:right="-2"/>
        <w:rPr>
          <w:lang w:val="hu-HU"/>
        </w:rPr>
      </w:pPr>
    </w:p>
    <w:p w14:paraId="1F6CECB3" w14:textId="77777777" w:rsidR="00602010" w:rsidRDefault="009F38E3">
      <w:pPr>
        <w:pStyle w:val="Listaszerbekezds"/>
        <w:numPr>
          <w:ilvl w:val="1"/>
          <w:numId w:val="10"/>
        </w:numPr>
        <w:snapToGrid w:val="0"/>
        <w:spacing w:line="240" w:lineRule="auto"/>
        <w:ind w:left="0" w:right="-2"/>
        <w:rPr>
          <w:b/>
          <w:bCs/>
          <w:lang w:val="hu-HU"/>
        </w:rPr>
      </w:pPr>
      <w:r>
        <w:rPr>
          <w:b/>
          <w:bCs/>
          <w:lang w:val="hu-HU"/>
        </w:rPr>
        <w:t>Hogyan kell szedni a Tolvecamo-t?</w:t>
      </w:r>
    </w:p>
    <w:p w14:paraId="30C164F9" w14:textId="77777777" w:rsidR="00602010" w:rsidRDefault="00602010">
      <w:pPr>
        <w:tabs>
          <w:tab w:val="clear" w:pos="567"/>
          <w:tab w:val="left" w:pos="720"/>
        </w:tabs>
        <w:spacing w:line="240" w:lineRule="auto"/>
        <w:ind w:right="-2"/>
        <w:rPr>
          <w:i/>
          <w:iCs/>
          <w:lang w:val="hu-HU"/>
        </w:rPr>
      </w:pPr>
    </w:p>
    <w:p w14:paraId="064B650D" w14:textId="77777777" w:rsidR="00602010" w:rsidRDefault="009F38E3">
      <w:pPr>
        <w:spacing w:line="240" w:lineRule="auto"/>
        <w:ind w:right="-2"/>
        <w:rPr>
          <w:lang w:val="hu-HU"/>
        </w:rPr>
      </w:pPr>
      <w:r>
        <w:rPr>
          <w:lang w:val="hu-HU"/>
        </w:rPr>
        <w:t>A gyógyszert mindig a kezelőorvosa által elmondottaknak megfelelően szedje. Amennyiben nem biztos az adagolást illetően, kérdezze meg kezelőorvosát vagy gyógyszerészét.</w:t>
      </w:r>
    </w:p>
    <w:p w14:paraId="157046DE" w14:textId="77777777" w:rsidR="00602010" w:rsidRDefault="00602010">
      <w:pPr>
        <w:spacing w:line="240" w:lineRule="auto"/>
        <w:ind w:right="-2"/>
        <w:rPr>
          <w:lang w:val="hu-HU"/>
        </w:rPr>
      </w:pPr>
    </w:p>
    <w:p w14:paraId="0F5B6D65" w14:textId="77777777" w:rsidR="00602010" w:rsidRDefault="009F38E3">
      <w:pPr>
        <w:spacing w:line="240" w:lineRule="auto"/>
        <w:ind w:right="-2"/>
        <w:rPr>
          <w:lang w:val="hu-HU"/>
        </w:rPr>
      </w:pPr>
      <w:r>
        <w:rPr>
          <w:lang w:val="hu-HU"/>
        </w:rPr>
        <w:t>A Tolvecamo ajánlott adagja egy tabletta naponta. Próbálja meg a tablettát minden nap ugyanabban az időben bevenni.</w:t>
      </w:r>
    </w:p>
    <w:p w14:paraId="41807EC1" w14:textId="77777777" w:rsidR="00602010" w:rsidRDefault="00602010">
      <w:pPr>
        <w:spacing w:line="240" w:lineRule="auto"/>
        <w:ind w:right="-2"/>
        <w:rPr>
          <w:lang w:val="hu-HU"/>
        </w:rPr>
      </w:pPr>
    </w:p>
    <w:p w14:paraId="798B7B64" w14:textId="77777777" w:rsidR="00602010" w:rsidRDefault="009F38E3">
      <w:pPr>
        <w:spacing w:line="240" w:lineRule="auto"/>
        <w:ind w:right="-2"/>
        <w:rPr>
          <w:noProof/>
          <w:lang w:val="hu-HU"/>
        </w:rPr>
      </w:pPr>
      <w:r>
        <w:rPr>
          <w:lang w:val="hu-HU"/>
        </w:rPr>
        <w:t xml:space="preserve">A Tolvecamo tablettát étkezés előtt vagy az után egyaránt beveheti. A tablettát egy kevés vízzel vagy alkoholmentes folyadékkal kell lenyelni. Fontos, hogy minden nap bevegye a Tolvecamo tablettát, amíg kezelőorvosa nem ad más utasítást. </w:t>
      </w:r>
      <w:r>
        <w:rPr>
          <w:noProof/>
          <w:lang w:val="hu-HU"/>
        </w:rPr>
        <w:t>Ne vegye be a Tolvecamo-t grépfrútlével.</w:t>
      </w:r>
    </w:p>
    <w:p w14:paraId="77099DE4" w14:textId="77777777" w:rsidR="00602010" w:rsidRDefault="00602010">
      <w:pPr>
        <w:spacing w:line="240" w:lineRule="auto"/>
        <w:ind w:right="-2"/>
        <w:rPr>
          <w:lang w:val="hu-HU"/>
        </w:rPr>
      </w:pPr>
    </w:p>
    <w:p w14:paraId="46FB29B1" w14:textId="77777777" w:rsidR="00602010" w:rsidRDefault="009F38E3">
      <w:pPr>
        <w:spacing w:line="240" w:lineRule="auto"/>
        <w:ind w:right="-2"/>
        <w:rPr>
          <w:b/>
          <w:bCs/>
          <w:lang w:val="hu-HU"/>
        </w:rPr>
      </w:pPr>
      <w:r>
        <w:rPr>
          <w:b/>
          <w:bCs/>
          <w:lang w:val="hu-HU"/>
        </w:rPr>
        <w:t>Ha az előírtnál több Tolvecamo-t vett be</w:t>
      </w:r>
    </w:p>
    <w:p w14:paraId="2C7B3A80" w14:textId="77777777" w:rsidR="00602010" w:rsidRDefault="009F38E3">
      <w:pPr>
        <w:numPr>
          <w:ilvl w:val="12"/>
          <w:numId w:val="0"/>
        </w:numPr>
        <w:tabs>
          <w:tab w:val="clear" w:pos="567"/>
          <w:tab w:val="left" w:pos="720"/>
        </w:tabs>
        <w:spacing w:line="240" w:lineRule="auto"/>
        <w:ind w:right="-2"/>
        <w:outlineLvl w:val="0"/>
        <w:rPr>
          <w:lang w:val="hu-HU" w:eastAsia="hu-HU"/>
        </w:rPr>
      </w:pPr>
      <w:r>
        <w:rPr>
          <w:lang w:val="hu-HU"/>
        </w:rPr>
        <w:t>Ha véletlenül több tablettát vett be, alacsony vérnyomást vagy gyors szívverést tapasztalhat. Jelentettek még lassú szívverést, kábultságot, szédülést, hányást, vesekárosodást, a veseelégtelenséget is beleértve</w:t>
      </w:r>
      <w:r>
        <w:rPr>
          <w:i/>
          <w:iCs/>
          <w:lang w:val="hu-HU"/>
        </w:rPr>
        <w:t>.</w:t>
      </w:r>
      <w:r>
        <w:rPr>
          <w:lang w:val="hu-HU"/>
        </w:rPr>
        <w:t xml:space="preserve"> Súlyos vérnyomásesés esetén sokk is előfordulhat. Bőrét hidegnek és nyirkosnak érezheti, és elveszítheti eszméletét. Ha túl sok Tolvecamo tablettát vett be, azonnal forduljon orvoshoz.</w:t>
      </w:r>
    </w:p>
    <w:p w14:paraId="0E801A1E" w14:textId="77777777" w:rsidR="00602010" w:rsidRDefault="00602010">
      <w:pPr>
        <w:numPr>
          <w:ilvl w:val="12"/>
          <w:numId w:val="0"/>
        </w:numPr>
        <w:tabs>
          <w:tab w:val="clear" w:pos="567"/>
          <w:tab w:val="left" w:pos="720"/>
        </w:tabs>
        <w:spacing w:line="240" w:lineRule="auto"/>
        <w:ind w:right="-2"/>
        <w:outlineLvl w:val="0"/>
        <w:rPr>
          <w:lang w:val="hu-HU"/>
        </w:rPr>
      </w:pPr>
    </w:p>
    <w:p w14:paraId="6376ADAA" w14:textId="77777777" w:rsidR="00602010" w:rsidRDefault="009F38E3">
      <w:pPr>
        <w:numPr>
          <w:ilvl w:val="12"/>
          <w:numId w:val="0"/>
        </w:numPr>
        <w:tabs>
          <w:tab w:val="clear" w:pos="567"/>
          <w:tab w:val="left" w:pos="720"/>
        </w:tabs>
        <w:spacing w:line="240" w:lineRule="auto"/>
        <w:ind w:right="-2"/>
        <w:outlineLvl w:val="0"/>
        <w:rPr>
          <w:lang w:val="hu-HU"/>
        </w:rPr>
      </w:pPr>
      <w:r>
        <w:rPr>
          <w:lang w:val="hu-HU"/>
        </w:rPr>
        <w:t>A hidroklorotiazid összetevő miatt jelentős vérnyomásesés és alacsony káliumszint is előfordulhat, ami hányingert, álmosságot és izomgörcsöket és/vagy gyógyszerekkel (például digitálisszal vagy egyes, szívritmuszavarok kezelésére alkalmazott gyógyszerekkel) összefüggésbe hozható szabálytalan szívverést okozhat. Azonnal forduljon kezelőorvosához vagy gyógyszerészéhez, vagy keresse fel a legközelebbi kórház sürgősségi osztályát.</w:t>
      </w:r>
    </w:p>
    <w:p w14:paraId="5AF13882" w14:textId="77777777" w:rsidR="00602010" w:rsidRDefault="00602010">
      <w:pPr>
        <w:numPr>
          <w:ilvl w:val="12"/>
          <w:numId w:val="0"/>
        </w:numPr>
        <w:tabs>
          <w:tab w:val="clear" w:pos="567"/>
          <w:tab w:val="left" w:pos="720"/>
        </w:tabs>
        <w:spacing w:line="240" w:lineRule="auto"/>
        <w:ind w:right="-2"/>
        <w:outlineLvl w:val="0"/>
        <w:rPr>
          <w:lang w:val="hu-HU"/>
        </w:rPr>
      </w:pPr>
    </w:p>
    <w:p w14:paraId="7311C6B0" w14:textId="77777777" w:rsidR="00602010" w:rsidRDefault="009F38E3">
      <w:pPr>
        <w:rPr>
          <w:szCs w:val="20"/>
          <w:lang w:val="hu-HU" w:eastAsia="hu-HU"/>
        </w:rPr>
      </w:pPr>
      <w:r>
        <w:rPr>
          <w:lang w:val="hu-HU"/>
        </w:rPr>
        <w:t>Folyadékfelhalmozódás alakulhat ki a tüdejében (tüdőödéma), ami nehézlégzést okozhat. Ez a gyógyszer bevétele után akár 24-48 órával is kialakulhat.</w:t>
      </w:r>
    </w:p>
    <w:p w14:paraId="0C004A9F" w14:textId="77777777" w:rsidR="00602010" w:rsidRDefault="00602010">
      <w:pPr>
        <w:numPr>
          <w:ilvl w:val="12"/>
          <w:numId w:val="0"/>
        </w:numPr>
        <w:tabs>
          <w:tab w:val="clear" w:pos="567"/>
          <w:tab w:val="left" w:pos="720"/>
        </w:tabs>
        <w:spacing w:line="240" w:lineRule="auto"/>
        <w:ind w:right="-2"/>
        <w:outlineLvl w:val="0"/>
        <w:rPr>
          <w:lang w:val="hu-HU"/>
        </w:rPr>
      </w:pPr>
    </w:p>
    <w:p w14:paraId="023B72D5" w14:textId="77777777" w:rsidR="00602010" w:rsidRDefault="009F38E3">
      <w:pPr>
        <w:spacing w:line="240" w:lineRule="auto"/>
        <w:ind w:right="-2"/>
        <w:rPr>
          <w:b/>
          <w:bCs/>
          <w:lang w:val="hu-HU"/>
        </w:rPr>
      </w:pPr>
      <w:r>
        <w:rPr>
          <w:b/>
          <w:bCs/>
          <w:lang w:val="hu-HU"/>
        </w:rPr>
        <w:t>Ha elfelejtette bevenni a Tolvecamo-t</w:t>
      </w:r>
    </w:p>
    <w:p w14:paraId="3DB10A47" w14:textId="77777777" w:rsidR="00602010" w:rsidRDefault="009F38E3">
      <w:pPr>
        <w:spacing w:line="240" w:lineRule="auto"/>
        <w:ind w:right="-2"/>
        <w:rPr>
          <w:lang w:val="hu-HU"/>
        </w:rPr>
      </w:pPr>
      <w:r>
        <w:rPr>
          <w:lang w:val="hu-HU"/>
        </w:rPr>
        <w:t xml:space="preserve">Ha elfelejtett bevenni egy adagot, ne aggódjon. Vegye be, amint eszébe jut és a továbbiakban szedje a gyógyszert a szokásos módon. Ha egyik nap nem vette be a tablettát, a következő napon a szokásos adagot kell bevennie. </w:t>
      </w:r>
      <w:r>
        <w:rPr>
          <w:b/>
          <w:bCs/>
          <w:i/>
          <w:iCs/>
          <w:lang w:val="hu-HU"/>
        </w:rPr>
        <w:t xml:space="preserve">Ne vegyen be </w:t>
      </w:r>
      <w:r>
        <w:rPr>
          <w:lang w:val="hu-HU"/>
        </w:rPr>
        <w:t>kétszeres adagot a kihagyott adagok pótlására.</w:t>
      </w:r>
    </w:p>
    <w:p w14:paraId="4BE428C6" w14:textId="77777777" w:rsidR="00602010" w:rsidRDefault="00602010">
      <w:pPr>
        <w:spacing w:line="240" w:lineRule="auto"/>
        <w:ind w:right="-2"/>
        <w:rPr>
          <w:lang w:val="hu-HU"/>
        </w:rPr>
      </w:pPr>
    </w:p>
    <w:p w14:paraId="0AFD22C1" w14:textId="77777777" w:rsidR="00602010" w:rsidRDefault="009F38E3">
      <w:pPr>
        <w:spacing w:line="240" w:lineRule="auto"/>
        <w:ind w:right="-2"/>
        <w:rPr>
          <w:b/>
          <w:bCs/>
          <w:lang w:val="hu-HU"/>
        </w:rPr>
      </w:pPr>
      <w:r>
        <w:rPr>
          <w:b/>
          <w:bCs/>
          <w:lang w:val="hu-HU"/>
        </w:rPr>
        <w:t>Ha idő előtt abbahagyja a Tolvecamo szedését</w:t>
      </w:r>
    </w:p>
    <w:p w14:paraId="2C2AEC07" w14:textId="77777777" w:rsidR="00602010" w:rsidRDefault="009F38E3">
      <w:pPr>
        <w:numPr>
          <w:ilvl w:val="12"/>
          <w:numId w:val="0"/>
        </w:numPr>
        <w:tabs>
          <w:tab w:val="clear" w:pos="567"/>
          <w:tab w:val="left" w:pos="720"/>
        </w:tabs>
        <w:spacing w:line="240" w:lineRule="auto"/>
        <w:rPr>
          <w:lang w:val="hu-HU"/>
        </w:rPr>
      </w:pPr>
      <w:r>
        <w:rPr>
          <w:noProof/>
          <w:lang w:val="hu-HU"/>
        </w:rPr>
        <w:t>A kezelés időtartamát a kezelőorvosa határozza meg. Ha hamarabb abbahagyja a gyógyszer szedését, mint ahogy azt tanácsolták Önnek, betegsége visszatérhet.</w:t>
      </w:r>
    </w:p>
    <w:p w14:paraId="05AD9EF0" w14:textId="77777777" w:rsidR="00602010" w:rsidRDefault="00602010">
      <w:pPr>
        <w:numPr>
          <w:ilvl w:val="12"/>
          <w:numId w:val="0"/>
        </w:numPr>
        <w:tabs>
          <w:tab w:val="clear" w:pos="567"/>
          <w:tab w:val="left" w:pos="720"/>
        </w:tabs>
        <w:spacing w:line="240" w:lineRule="auto"/>
        <w:rPr>
          <w:lang w:val="hu-HU"/>
        </w:rPr>
      </w:pPr>
    </w:p>
    <w:p w14:paraId="70B72138" w14:textId="77777777" w:rsidR="00602010" w:rsidRDefault="009F38E3">
      <w:pPr>
        <w:rPr>
          <w:lang w:val="hu-HU" w:eastAsia="hu-HU"/>
        </w:rPr>
      </w:pPr>
      <w:r>
        <w:rPr>
          <w:lang w:val="hu-HU"/>
        </w:rPr>
        <w:t>Ha bármilyen további kérdése van a gyógyszer alkalmazásával kapcsolatban, kérdezze meg kezelőorvosát vagy gyógyszerészét.</w:t>
      </w:r>
    </w:p>
    <w:p w14:paraId="3C825ED9" w14:textId="77777777" w:rsidR="00602010" w:rsidRDefault="00602010">
      <w:pPr>
        <w:numPr>
          <w:ilvl w:val="12"/>
          <w:numId w:val="0"/>
        </w:numPr>
        <w:tabs>
          <w:tab w:val="clear" w:pos="567"/>
          <w:tab w:val="left" w:pos="720"/>
        </w:tabs>
        <w:spacing w:line="240" w:lineRule="auto"/>
        <w:rPr>
          <w:lang w:val="hu-HU"/>
        </w:rPr>
      </w:pPr>
    </w:p>
    <w:p w14:paraId="707D8E42" w14:textId="77777777" w:rsidR="00602010" w:rsidRDefault="00602010">
      <w:pPr>
        <w:numPr>
          <w:ilvl w:val="12"/>
          <w:numId w:val="0"/>
        </w:numPr>
        <w:tabs>
          <w:tab w:val="clear" w:pos="567"/>
          <w:tab w:val="left" w:pos="720"/>
        </w:tabs>
        <w:spacing w:line="240" w:lineRule="auto"/>
        <w:rPr>
          <w:lang w:val="hu-HU"/>
        </w:rPr>
      </w:pPr>
    </w:p>
    <w:p w14:paraId="1BC77B9B" w14:textId="77777777" w:rsidR="00602010" w:rsidRDefault="009F38E3">
      <w:pPr>
        <w:spacing w:line="240" w:lineRule="auto"/>
        <w:ind w:left="567" w:right="-2" w:hanging="567"/>
        <w:rPr>
          <w:b/>
          <w:bCs/>
          <w:lang w:val="hu-HU"/>
        </w:rPr>
      </w:pPr>
      <w:r>
        <w:rPr>
          <w:b/>
          <w:bCs/>
          <w:lang w:val="hu-HU"/>
        </w:rPr>
        <w:t>4.</w:t>
      </w:r>
      <w:r>
        <w:rPr>
          <w:b/>
          <w:bCs/>
          <w:lang w:val="hu-HU"/>
        </w:rPr>
        <w:tab/>
        <w:t>Lehetséges mellékhatások</w:t>
      </w:r>
    </w:p>
    <w:p w14:paraId="4EDDA613" w14:textId="77777777" w:rsidR="00602010" w:rsidRDefault="00602010">
      <w:pPr>
        <w:spacing w:line="240" w:lineRule="auto"/>
        <w:ind w:right="-29"/>
        <w:rPr>
          <w:lang w:val="hu-HU"/>
        </w:rPr>
      </w:pPr>
    </w:p>
    <w:p w14:paraId="28390CA8" w14:textId="77777777" w:rsidR="00602010" w:rsidRDefault="009F38E3">
      <w:pPr>
        <w:spacing w:line="240" w:lineRule="auto"/>
        <w:ind w:right="-29"/>
        <w:rPr>
          <w:lang w:val="hu-HU"/>
        </w:rPr>
      </w:pPr>
      <w:r>
        <w:rPr>
          <w:lang w:val="hu-HU"/>
        </w:rPr>
        <w:t>Mint minden gyógyszer, így ez a gyógyszer is okozhat mellékhatásokat, amelyek azonban nem mindenkinél jelentkeznek.</w:t>
      </w:r>
    </w:p>
    <w:p w14:paraId="2FA75622" w14:textId="77777777" w:rsidR="00602010" w:rsidRDefault="00602010">
      <w:pPr>
        <w:spacing w:line="240" w:lineRule="auto"/>
        <w:ind w:right="-29"/>
        <w:rPr>
          <w:lang w:val="hu-HU"/>
        </w:rPr>
      </w:pPr>
    </w:p>
    <w:p w14:paraId="41A02CAB" w14:textId="77777777" w:rsidR="00602010" w:rsidRDefault="009F38E3">
      <w:pPr>
        <w:spacing w:line="240" w:lineRule="auto"/>
        <w:ind w:right="-29"/>
        <w:rPr>
          <w:b/>
          <w:bCs/>
          <w:lang w:val="hu-HU"/>
        </w:rPr>
      </w:pPr>
      <w:r>
        <w:rPr>
          <w:b/>
          <w:bCs/>
          <w:lang w:val="hu-HU"/>
        </w:rPr>
        <w:t>Néhány mellékhatás súlyos lehet és azonnali orvosi ellátást igényelhet:</w:t>
      </w:r>
    </w:p>
    <w:p w14:paraId="38DE7F8D" w14:textId="77777777" w:rsidR="00602010" w:rsidRDefault="009F38E3">
      <w:pPr>
        <w:spacing w:line="240" w:lineRule="auto"/>
        <w:ind w:right="-29"/>
        <w:rPr>
          <w:lang w:val="hu-HU"/>
        </w:rPr>
      </w:pPr>
      <w:r>
        <w:rPr>
          <w:lang w:val="hu-HU"/>
        </w:rPr>
        <w:t>Azonnal forduljon kezelőorvosához, ha az alábbi tünetek valamelyikét észleli:</w:t>
      </w:r>
    </w:p>
    <w:p w14:paraId="4AD01F7C" w14:textId="77777777" w:rsidR="00602010" w:rsidRDefault="009F38E3">
      <w:pPr>
        <w:numPr>
          <w:ilvl w:val="0"/>
          <w:numId w:val="24"/>
        </w:numPr>
        <w:tabs>
          <w:tab w:val="clear" w:pos="567"/>
        </w:tabs>
        <w:autoSpaceDE w:val="0"/>
        <w:autoSpaceDN w:val="0"/>
        <w:adjustRightInd w:val="0"/>
        <w:spacing w:line="240" w:lineRule="auto"/>
        <w:ind w:left="567" w:hanging="567"/>
        <w:contextualSpacing/>
        <w:rPr>
          <w:rFonts w:eastAsia="Calibri"/>
          <w:lang w:val="hu-HU" w:eastAsia="sl-SI"/>
        </w:rPr>
      </w:pPr>
      <w:r>
        <w:rPr>
          <w:rFonts w:eastAsia="Calibri"/>
          <w:lang w:val="hu-HU"/>
        </w:rPr>
        <w:lastRenderedPageBreak/>
        <w:t>szepszis (gyakran vérmérgezés</w:t>
      </w:r>
      <w:r>
        <w:rPr>
          <w:spacing w:val="-2"/>
          <w:lang w:val="hu-HU"/>
        </w:rPr>
        <w:t>nek nevezik</w:t>
      </w:r>
      <w:r>
        <w:rPr>
          <w:rFonts w:eastAsia="Calibri"/>
          <w:lang w:val="hu-HU"/>
        </w:rPr>
        <w:t>), egy súlyos fertőzés, ami a szervezet egészére kiterjedő gyulladásos válaszreakcióval jár, halálos kimenetelű is lehet (1000 beteg közül legfeljebb 1 beteget érinthet);</w:t>
      </w:r>
    </w:p>
    <w:p w14:paraId="2D54BB07" w14:textId="77777777" w:rsidR="00602010" w:rsidRDefault="009F38E3">
      <w:pPr>
        <w:numPr>
          <w:ilvl w:val="0"/>
          <w:numId w:val="24"/>
        </w:numPr>
        <w:tabs>
          <w:tab w:val="clear" w:pos="567"/>
        </w:tabs>
        <w:autoSpaceDE w:val="0"/>
        <w:autoSpaceDN w:val="0"/>
        <w:adjustRightInd w:val="0"/>
        <w:spacing w:line="240" w:lineRule="auto"/>
        <w:ind w:left="567" w:hanging="567"/>
        <w:contextualSpacing/>
        <w:rPr>
          <w:rFonts w:eastAsia="Calibri"/>
          <w:lang w:val="hu-HU"/>
        </w:rPr>
      </w:pPr>
      <w:r>
        <w:rPr>
          <w:lang w:val="hu-HU"/>
        </w:rPr>
        <w:t>súlyos bőrreakciók, beleértve a súlyos bőrkiütést is, csalánkiütést, az egész testre kiterjedő bőrpírt, súlyos viszketést, a bőr felhólyagosodását, hámlását, duzzanatát, nyálkahártya</w:t>
      </w:r>
      <w:r>
        <w:rPr>
          <w:lang w:val="hu-HU"/>
        </w:rPr>
        <w:noBreakHyphen/>
        <w:t>gyulladást (Stevens‒Johnson-szindróma,</w:t>
      </w:r>
      <w:r>
        <w:rPr>
          <w:rFonts w:eastAsia="Calibri"/>
          <w:lang w:val="hu-HU"/>
        </w:rPr>
        <w:t xml:space="preserve"> exfoliatív dermatitisz) (10 000 beteg közül legfeljebb 1 beteget érinthet);</w:t>
      </w:r>
    </w:p>
    <w:p w14:paraId="349283BA" w14:textId="3555D7FB" w:rsidR="001658EF" w:rsidRDefault="00D13A44">
      <w:pPr>
        <w:numPr>
          <w:ilvl w:val="0"/>
          <w:numId w:val="24"/>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 xml:space="preserve">a bőr és a nyálkahártya hirtelen </w:t>
      </w:r>
      <w:r w:rsidR="00FA2037">
        <w:rPr>
          <w:rFonts w:eastAsia="Calibri"/>
          <w:lang w:val="hu-HU"/>
        </w:rPr>
        <w:t xml:space="preserve">kialakuló </w:t>
      </w:r>
      <w:r>
        <w:rPr>
          <w:rFonts w:eastAsia="Calibri"/>
          <w:lang w:val="hu-HU"/>
        </w:rPr>
        <w:t>duz</w:t>
      </w:r>
      <w:r w:rsidR="009A107D">
        <w:rPr>
          <w:rFonts w:eastAsia="Calibri"/>
          <w:lang w:val="hu-HU"/>
        </w:rPr>
        <w:t>z</w:t>
      </w:r>
      <w:r>
        <w:rPr>
          <w:rFonts w:eastAsia="Calibri"/>
          <w:lang w:val="hu-HU"/>
        </w:rPr>
        <w:t xml:space="preserve">anata </w:t>
      </w:r>
      <w:r w:rsidR="00605D7D">
        <w:rPr>
          <w:rFonts w:eastAsia="Calibri"/>
          <w:lang w:val="hu-HU"/>
        </w:rPr>
        <w:t>(angi</w:t>
      </w:r>
      <w:r w:rsidR="00FA2037">
        <w:rPr>
          <w:rFonts w:eastAsia="Calibri"/>
          <w:lang w:val="hu-HU"/>
        </w:rPr>
        <w:t>o</w:t>
      </w:r>
      <w:r w:rsidR="00C12D13">
        <w:rPr>
          <w:rFonts w:eastAsia="Calibri"/>
          <w:lang w:val="hu-HU"/>
        </w:rPr>
        <w:t>ö</w:t>
      </w:r>
      <w:r w:rsidR="00605D7D">
        <w:rPr>
          <w:rFonts w:eastAsia="Calibri"/>
          <w:lang w:val="hu-HU"/>
        </w:rPr>
        <w:t>d</w:t>
      </w:r>
      <w:r w:rsidR="00C12D13">
        <w:rPr>
          <w:rFonts w:eastAsia="Calibri"/>
          <w:lang w:val="hu-HU"/>
        </w:rPr>
        <w:t>é</w:t>
      </w:r>
      <w:r w:rsidR="00605D7D">
        <w:rPr>
          <w:rFonts w:eastAsia="Calibri"/>
          <w:lang w:val="hu-HU"/>
        </w:rPr>
        <w:t xml:space="preserve">ma) </w:t>
      </w:r>
      <w:r w:rsidR="00D23DEA">
        <w:rPr>
          <w:rFonts w:eastAsia="Calibri"/>
          <w:lang w:val="hu-HU"/>
        </w:rPr>
        <w:t>(1000 beteg közül legfeljebb 1 beteget érinthet)</w:t>
      </w:r>
      <w:r w:rsidR="00FA2037">
        <w:rPr>
          <w:rFonts w:eastAsia="Calibri"/>
          <w:lang w:val="hu-HU"/>
        </w:rPr>
        <w:t>;</w:t>
      </w:r>
    </w:p>
    <w:p w14:paraId="2697D35C" w14:textId="77777777" w:rsidR="00602010" w:rsidRDefault="009F38E3">
      <w:pPr>
        <w:numPr>
          <w:ilvl w:val="0"/>
          <w:numId w:val="24"/>
        </w:numPr>
        <w:tabs>
          <w:tab w:val="clear" w:pos="567"/>
        </w:tabs>
        <w:autoSpaceDE w:val="0"/>
        <w:autoSpaceDN w:val="0"/>
        <w:adjustRightInd w:val="0"/>
        <w:spacing w:line="240" w:lineRule="auto"/>
        <w:ind w:left="567" w:hanging="567"/>
        <w:contextualSpacing/>
        <w:rPr>
          <w:rFonts w:eastAsia="Calibri"/>
          <w:lang w:val="hu-HU"/>
        </w:rPr>
      </w:pPr>
      <w:r>
        <w:rPr>
          <w:lang w:val="hu-HU"/>
        </w:rPr>
        <w:t>a szemhéjak, az arc vagy az ajkak duzzanata</w:t>
      </w:r>
      <w:r>
        <w:rPr>
          <w:rFonts w:eastAsia="Calibri"/>
          <w:lang w:val="hu-HU"/>
        </w:rPr>
        <w:t xml:space="preserve"> (Quincke-ödéma) (10 000 beteg közül legfeljebb 1 beteget érinthet);</w:t>
      </w:r>
    </w:p>
    <w:p w14:paraId="299445C4" w14:textId="77777777" w:rsidR="00602010" w:rsidRDefault="009F38E3">
      <w:pPr>
        <w:numPr>
          <w:ilvl w:val="0"/>
          <w:numId w:val="24"/>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a bőr felső rétegének felhólyagosodásával vagy hámlásával járó betegség (toxikus epidermális nekrolízis) (</w:t>
      </w:r>
      <w:r>
        <w:rPr>
          <w:bCs/>
          <w:noProof/>
          <w:lang w:val="hu-HU"/>
        </w:rPr>
        <w:t>a gyakoriság a rendelkezésre álló adatok alapján nem becsülhető meg</w:t>
      </w:r>
      <w:r>
        <w:rPr>
          <w:rFonts w:eastAsia="Calibri"/>
          <w:lang w:val="hu-HU"/>
        </w:rPr>
        <w:t>);</w:t>
      </w:r>
    </w:p>
    <w:p w14:paraId="384545C6" w14:textId="236FDEE1" w:rsidR="00602010" w:rsidRDefault="009F38E3">
      <w:pPr>
        <w:numPr>
          <w:ilvl w:val="0"/>
          <w:numId w:val="24"/>
        </w:numPr>
        <w:tabs>
          <w:tab w:val="clear" w:pos="567"/>
        </w:tabs>
        <w:autoSpaceDE w:val="0"/>
        <w:autoSpaceDN w:val="0"/>
        <w:adjustRightInd w:val="0"/>
        <w:spacing w:line="240" w:lineRule="auto"/>
        <w:ind w:left="567" w:hanging="567"/>
        <w:contextualSpacing/>
        <w:rPr>
          <w:rFonts w:eastAsia="Calibri"/>
          <w:lang w:val="hu-HU"/>
        </w:rPr>
      </w:pPr>
      <w:r>
        <w:rPr>
          <w:lang w:val="hu-HU"/>
        </w:rPr>
        <w:t>szívinfarktus</w:t>
      </w:r>
      <w:r>
        <w:rPr>
          <w:rFonts w:eastAsia="Calibri"/>
          <w:lang w:val="hu-HU"/>
        </w:rPr>
        <w:t>(10 000 beteg közül legfeljebb 1 beteget érinthet);</w:t>
      </w:r>
    </w:p>
    <w:p w14:paraId="4A62E386" w14:textId="5EA8BBA8" w:rsidR="00AE262E" w:rsidRDefault="00AE262E">
      <w:pPr>
        <w:numPr>
          <w:ilvl w:val="0"/>
          <w:numId w:val="24"/>
        </w:numPr>
        <w:tabs>
          <w:tab w:val="clear" w:pos="567"/>
        </w:tabs>
        <w:autoSpaceDE w:val="0"/>
        <w:autoSpaceDN w:val="0"/>
        <w:adjustRightInd w:val="0"/>
        <w:spacing w:line="240" w:lineRule="auto"/>
        <w:ind w:left="567" w:hanging="567"/>
        <w:contextualSpacing/>
        <w:rPr>
          <w:rFonts w:eastAsia="Calibri"/>
          <w:lang w:val="hu-HU"/>
        </w:rPr>
      </w:pPr>
      <w:r>
        <w:rPr>
          <w:rFonts w:eastAsia="Calibri"/>
          <w:lang w:val="hu-HU"/>
        </w:rPr>
        <w:t>szívritmuszavar (100 beteg közül legfeljebb 1 beteget érinthet)</w:t>
      </w:r>
      <w:r w:rsidR="00FA2037">
        <w:rPr>
          <w:rFonts w:eastAsia="Calibri"/>
          <w:lang w:val="hu-HU"/>
        </w:rPr>
        <w:t>;</w:t>
      </w:r>
    </w:p>
    <w:p w14:paraId="5492810A" w14:textId="77777777" w:rsidR="00602010" w:rsidRDefault="009F38E3">
      <w:pPr>
        <w:numPr>
          <w:ilvl w:val="0"/>
          <w:numId w:val="24"/>
        </w:numPr>
        <w:tabs>
          <w:tab w:val="clear" w:pos="567"/>
        </w:tabs>
        <w:autoSpaceDE w:val="0"/>
        <w:autoSpaceDN w:val="0"/>
        <w:adjustRightInd w:val="0"/>
        <w:spacing w:line="240" w:lineRule="auto"/>
        <w:ind w:left="567" w:hanging="567"/>
        <w:contextualSpacing/>
        <w:rPr>
          <w:rFonts w:eastAsia="Calibri"/>
          <w:lang w:val="hu-HU"/>
        </w:rPr>
      </w:pPr>
      <w:r>
        <w:rPr>
          <w:lang w:val="hu-HU"/>
        </w:rPr>
        <w:t>hasnyálmirigy-gyulladás, ami rossz közérzettel társuló erős hasi fájdalmat és hátfájdalmat okoz</w:t>
      </w:r>
      <w:r>
        <w:rPr>
          <w:rFonts w:eastAsia="Calibri"/>
          <w:lang w:val="hu-HU"/>
        </w:rPr>
        <w:t xml:space="preserve"> (10 000 beteg közül legfeljebb 1 beteget érinthet).</w:t>
      </w:r>
    </w:p>
    <w:p w14:paraId="136D3ABF" w14:textId="77777777" w:rsidR="00602010" w:rsidRDefault="00602010">
      <w:pPr>
        <w:spacing w:line="240" w:lineRule="auto"/>
        <w:ind w:right="-29"/>
        <w:rPr>
          <w:lang w:val="hu-HU"/>
        </w:rPr>
      </w:pPr>
    </w:p>
    <w:p w14:paraId="60736A41" w14:textId="77777777" w:rsidR="00602010" w:rsidRDefault="009F38E3">
      <w:pPr>
        <w:spacing w:line="240" w:lineRule="auto"/>
        <w:ind w:right="-29"/>
        <w:rPr>
          <w:b/>
          <w:bCs/>
          <w:lang w:val="hu-HU"/>
        </w:rPr>
      </w:pPr>
      <w:r>
        <w:rPr>
          <w:b/>
          <w:bCs/>
          <w:lang w:val="hu-HU"/>
        </w:rPr>
        <w:t>A Tolvecamo lehetséges mellékhatásai:</w:t>
      </w:r>
    </w:p>
    <w:p w14:paraId="46C03AA5" w14:textId="77777777" w:rsidR="00602010" w:rsidRDefault="00602010">
      <w:pPr>
        <w:spacing w:line="240" w:lineRule="auto"/>
        <w:ind w:right="-29"/>
        <w:rPr>
          <w:b/>
          <w:bCs/>
          <w:lang w:val="hu-HU"/>
        </w:rPr>
      </w:pPr>
    </w:p>
    <w:p w14:paraId="5796AF85" w14:textId="77777777" w:rsidR="00602010" w:rsidRDefault="009F38E3">
      <w:pPr>
        <w:rPr>
          <w:iCs/>
          <w:u w:val="single"/>
          <w:lang w:val="hu-HU" w:eastAsia="hu-HU"/>
        </w:rPr>
      </w:pPr>
      <w:r>
        <w:rPr>
          <w:iCs/>
          <w:u w:val="single"/>
          <w:lang w:val="hu-HU"/>
        </w:rPr>
        <w:t>Nagyon gyakori (10 betegből több mint 1 beteget érinthet):</w:t>
      </w:r>
    </w:p>
    <w:p w14:paraId="4AD86A84" w14:textId="6D88FA61" w:rsidR="00602010" w:rsidRDefault="00074B0F">
      <w:pPr>
        <w:suppressAutoHyphens/>
        <w:spacing w:line="240" w:lineRule="auto"/>
        <w:rPr>
          <w:lang w:val="hu-HU"/>
        </w:rPr>
      </w:pPr>
      <w:r>
        <w:rPr>
          <w:lang w:val="hu-HU"/>
        </w:rPr>
        <w:t>csökkent káliumszint</w:t>
      </w:r>
      <w:r w:rsidR="00FA2037">
        <w:rPr>
          <w:lang w:val="hu-HU"/>
        </w:rPr>
        <w:t xml:space="preserve"> a vérben</w:t>
      </w:r>
      <w:r>
        <w:rPr>
          <w:lang w:val="hu-HU"/>
        </w:rPr>
        <w:t xml:space="preserve">, megnövekedett lipidszint a vérben, </w:t>
      </w:r>
      <w:r w:rsidR="009F38E3">
        <w:rPr>
          <w:lang w:val="hu-HU"/>
        </w:rPr>
        <w:t>folyadékvisszatartás</w:t>
      </w:r>
      <w:r>
        <w:rPr>
          <w:lang w:val="hu-HU"/>
        </w:rPr>
        <w:t xml:space="preserve"> (</w:t>
      </w:r>
      <w:r w:rsidR="009A107D">
        <w:rPr>
          <w:lang w:val="hu-HU"/>
        </w:rPr>
        <w:t>ö</w:t>
      </w:r>
      <w:r>
        <w:rPr>
          <w:lang w:val="hu-HU"/>
        </w:rPr>
        <w:t>d</w:t>
      </w:r>
      <w:r w:rsidR="009A107D">
        <w:rPr>
          <w:lang w:val="hu-HU"/>
        </w:rPr>
        <w:t>é</w:t>
      </w:r>
      <w:r>
        <w:rPr>
          <w:lang w:val="hu-HU"/>
        </w:rPr>
        <w:t>ma)</w:t>
      </w:r>
      <w:r w:rsidR="009F38E3">
        <w:rPr>
          <w:lang w:val="hu-HU"/>
        </w:rPr>
        <w:t>.</w:t>
      </w:r>
    </w:p>
    <w:p w14:paraId="6B7B24B0" w14:textId="77777777" w:rsidR="00602010" w:rsidRDefault="00602010">
      <w:pPr>
        <w:suppressAutoHyphens/>
        <w:spacing w:line="240" w:lineRule="auto"/>
        <w:rPr>
          <w:lang w:val="hu-HU"/>
        </w:rPr>
      </w:pPr>
    </w:p>
    <w:p w14:paraId="6E3B72DD" w14:textId="77777777" w:rsidR="00602010" w:rsidRDefault="009F38E3">
      <w:pPr>
        <w:rPr>
          <w:iCs/>
          <w:u w:val="single"/>
          <w:lang w:val="hu-HU" w:eastAsia="hu-HU"/>
        </w:rPr>
      </w:pPr>
      <w:r w:rsidRPr="001C189C">
        <w:rPr>
          <w:iCs/>
          <w:u w:val="single"/>
          <w:lang w:val="hu-HU"/>
        </w:rPr>
        <w:t>Gyako</w:t>
      </w:r>
      <w:r>
        <w:rPr>
          <w:iCs/>
          <w:u w:val="single"/>
          <w:lang w:val="hu-HU"/>
        </w:rPr>
        <w:t>ri (10 betegből legfeljebb 1 beteget érinthet):</w:t>
      </w:r>
    </w:p>
    <w:p w14:paraId="3CE9EF13" w14:textId="2ED28F8F" w:rsidR="001C189C" w:rsidRDefault="001C189C">
      <w:pPr>
        <w:tabs>
          <w:tab w:val="num" w:pos="567"/>
        </w:tabs>
        <w:suppressAutoHyphens/>
        <w:spacing w:line="240" w:lineRule="auto"/>
        <w:rPr>
          <w:color w:val="000000"/>
          <w:lang w:val="hu-HU"/>
        </w:rPr>
      </w:pPr>
      <w:r>
        <w:rPr>
          <w:color w:val="000000"/>
          <w:lang w:val="hu-HU"/>
        </w:rPr>
        <w:t>emelkedett húgysavszint</w:t>
      </w:r>
      <w:r w:rsidR="00AF7593">
        <w:rPr>
          <w:color w:val="000000"/>
          <w:lang w:val="hu-HU"/>
        </w:rPr>
        <w:t xml:space="preserve"> </w:t>
      </w:r>
      <w:r w:rsidR="00AF7593">
        <w:rPr>
          <w:lang w:val="hu-HU"/>
        </w:rPr>
        <w:t>a vérben</w:t>
      </w:r>
      <w:r>
        <w:rPr>
          <w:color w:val="000000"/>
          <w:lang w:val="hu-HU"/>
        </w:rPr>
        <w:t>, alacsony nátriumszint</w:t>
      </w:r>
      <w:r w:rsidR="00AF7593">
        <w:rPr>
          <w:color w:val="000000"/>
          <w:lang w:val="hu-HU"/>
        </w:rPr>
        <w:t xml:space="preserve"> </w:t>
      </w:r>
      <w:r w:rsidR="00AF7593">
        <w:rPr>
          <w:lang w:val="hu-HU"/>
        </w:rPr>
        <w:t>a vérben</w:t>
      </w:r>
      <w:r>
        <w:rPr>
          <w:color w:val="000000"/>
          <w:lang w:val="hu-HU"/>
        </w:rPr>
        <w:t xml:space="preserve">, alacsony magnéziumszint a vérben, </w:t>
      </w:r>
      <w:r w:rsidR="00B15443">
        <w:rPr>
          <w:color w:val="000000"/>
          <w:lang w:val="hu-HU"/>
        </w:rPr>
        <w:t xml:space="preserve">csökkent étvágy, szédülés, aluszékonyság, fejfájás, látászavarok, </w:t>
      </w:r>
      <w:r w:rsidR="00970494">
        <w:rPr>
          <w:color w:val="000000"/>
          <w:lang w:val="hu-HU"/>
        </w:rPr>
        <w:t xml:space="preserve">szívdobogásérzés </w:t>
      </w:r>
      <w:r w:rsidR="00B15443" w:rsidRPr="00970494">
        <w:rPr>
          <w:color w:val="000000"/>
          <w:lang w:val="hu-HU"/>
        </w:rPr>
        <w:t>(</w:t>
      </w:r>
      <w:r w:rsidR="00970494">
        <w:rPr>
          <w:color w:val="000000"/>
          <w:lang w:val="hu-HU"/>
        </w:rPr>
        <w:t>palpitáció</w:t>
      </w:r>
      <w:r w:rsidR="00B15443">
        <w:rPr>
          <w:color w:val="000000"/>
          <w:lang w:val="hu-HU"/>
        </w:rPr>
        <w:t>), hirtelen vérnyomásesés</w:t>
      </w:r>
      <w:r w:rsidR="008B3C71">
        <w:rPr>
          <w:color w:val="000000"/>
          <w:lang w:val="hu-HU"/>
        </w:rPr>
        <w:t xml:space="preserve"> felállást követően</w:t>
      </w:r>
      <w:r w:rsidR="00B15443">
        <w:rPr>
          <w:color w:val="000000"/>
          <w:lang w:val="hu-HU"/>
        </w:rPr>
        <w:t xml:space="preserve">, </w:t>
      </w:r>
      <w:r w:rsidR="008B3C71">
        <w:rPr>
          <w:color w:val="000000"/>
          <w:lang w:val="hu-HU"/>
        </w:rPr>
        <w:t xml:space="preserve">kipirulás, nehézlégzés (diszpnoé), hasmenés, hasi fájdalom, </w:t>
      </w:r>
      <w:r w:rsidR="0020347E">
        <w:rPr>
          <w:color w:val="000000"/>
          <w:lang w:val="hu-HU"/>
        </w:rPr>
        <w:t xml:space="preserve">székrekedés, emésztési zavar, hányás, </w:t>
      </w:r>
      <w:r w:rsidR="00AE3366">
        <w:rPr>
          <w:color w:val="000000"/>
          <w:lang w:val="hu-HU"/>
        </w:rPr>
        <w:t xml:space="preserve">hányinger, székletürítési szokások megváltozása, </w:t>
      </w:r>
      <w:r w:rsidR="00A6344E">
        <w:rPr>
          <w:color w:val="000000"/>
          <w:lang w:val="hu-HU"/>
        </w:rPr>
        <w:t>kiütés</w:t>
      </w:r>
      <w:r w:rsidR="00AE3366">
        <w:rPr>
          <w:color w:val="000000"/>
          <w:lang w:val="hu-HU"/>
        </w:rPr>
        <w:t>,</w:t>
      </w:r>
      <w:r w:rsidR="00A220AE">
        <w:rPr>
          <w:color w:val="000000"/>
          <w:lang w:val="hu-HU"/>
        </w:rPr>
        <w:t xml:space="preserve"> </w:t>
      </w:r>
      <w:r w:rsidR="00AE3366">
        <w:rPr>
          <w:color w:val="000000"/>
          <w:lang w:val="hu-HU"/>
        </w:rPr>
        <w:t>csalánkiütés</w:t>
      </w:r>
      <w:r w:rsidR="00A220AE">
        <w:rPr>
          <w:color w:val="000000"/>
          <w:lang w:val="hu-HU"/>
        </w:rPr>
        <w:t xml:space="preserve"> (urtikária)</w:t>
      </w:r>
      <w:r w:rsidR="00AE3366">
        <w:rPr>
          <w:color w:val="000000"/>
          <w:lang w:val="hu-HU"/>
        </w:rPr>
        <w:t>, izomgörcsök (</w:t>
      </w:r>
      <w:r w:rsidR="00141D38">
        <w:rPr>
          <w:color w:val="000000"/>
          <w:lang w:val="hu-HU"/>
        </w:rPr>
        <w:t>lábgörcs</w:t>
      </w:r>
      <w:r w:rsidR="00AE3366">
        <w:rPr>
          <w:color w:val="000000"/>
          <w:lang w:val="hu-HU"/>
        </w:rPr>
        <w:t xml:space="preserve">), bokaduzzanat, </w:t>
      </w:r>
      <w:r w:rsidR="00A220AE">
        <w:rPr>
          <w:color w:val="000000"/>
          <w:lang w:val="hu-HU"/>
        </w:rPr>
        <w:t>merevedési zavar</w:t>
      </w:r>
      <w:r w:rsidR="00AE3366">
        <w:rPr>
          <w:color w:val="000000"/>
          <w:lang w:val="hu-HU"/>
        </w:rPr>
        <w:t xml:space="preserve"> (</w:t>
      </w:r>
      <w:r w:rsidR="00A220AE">
        <w:rPr>
          <w:color w:val="000000"/>
          <w:lang w:val="hu-HU"/>
        </w:rPr>
        <w:t>képtelenség az erekció elérésére vagy fenntartására</w:t>
      </w:r>
      <w:r w:rsidR="00AE3366">
        <w:rPr>
          <w:color w:val="000000"/>
          <w:lang w:val="hu-HU"/>
        </w:rPr>
        <w:t>), gyengeség, fáradékonyság.</w:t>
      </w:r>
    </w:p>
    <w:p w14:paraId="4F7608D0" w14:textId="77777777" w:rsidR="00602010" w:rsidRDefault="00602010">
      <w:pPr>
        <w:suppressAutoHyphens/>
        <w:spacing w:line="240" w:lineRule="auto"/>
        <w:rPr>
          <w:color w:val="000000"/>
          <w:lang w:val="hu-HU"/>
        </w:rPr>
      </w:pPr>
    </w:p>
    <w:p w14:paraId="7E3D0094" w14:textId="77777777" w:rsidR="00602010" w:rsidRDefault="009F38E3">
      <w:pPr>
        <w:suppressAutoHyphens/>
        <w:spacing w:line="240" w:lineRule="auto"/>
        <w:rPr>
          <w:color w:val="000000"/>
          <w:u w:val="single"/>
          <w:lang w:val="hu-HU"/>
        </w:rPr>
      </w:pPr>
      <w:r>
        <w:rPr>
          <w:color w:val="000000"/>
          <w:u w:val="single"/>
          <w:lang w:val="hu-HU"/>
        </w:rPr>
        <w:t>Nem gyakori (100 beteg közül legfeljebb 1 beteget érinthet):</w:t>
      </w:r>
    </w:p>
    <w:p w14:paraId="694179EF" w14:textId="08BED09B" w:rsidR="00881CFB" w:rsidRDefault="006E63D3">
      <w:pPr>
        <w:suppressAutoHyphens/>
        <w:spacing w:line="240" w:lineRule="auto"/>
        <w:rPr>
          <w:color w:val="000000"/>
          <w:lang w:val="hu-HU"/>
        </w:rPr>
      </w:pPr>
      <w:r>
        <w:rPr>
          <w:color w:val="000000"/>
          <w:lang w:val="hu-HU"/>
        </w:rPr>
        <w:t xml:space="preserve">felső légúti fertőzések (például torokfájás, </w:t>
      </w:r>
      <w:r w:rsidR="008D6885">
        <w:rPr>
          <w:color w:val="000000"/>
          <w:lang w:val="hu-HU"/>
        </w:rPr>
        <w:t>arcüreg-</w:t>
      </w:r>
      <w:r>
        <w:rPr>
          <w:color w:val="000000"/>
          <w:lang w:val="hu-HU"/>
        </w:rPr>
        <w:t>gyulladás, megfázás), húgyúti fertőzés,</w:t>
      </w:r>
      <w:r>
        <w:t xml:space="preserve"> </w:t>
      </w:r>
      <w:r w:rsidR="00755B05">
        <w:t>húgy</w:t>
      </w:r>
      <w:r w:rsidR="009B18FD">
        <w:t>hólyag</w:t>
      </w:r>
      <w:r w:rsidR="00755B05">
        <w:t>-</w:t>
      </w:r>
      <w:r w:rsidR="00AF7593">
        <w:t>gyulladás</w:t>
      </w:r>
      <w:r>
        <w:t xml:space="preserve">, </w:t>
      </w:r>
      <w:r w:rsidR="009B18FD">
        <w:rPr>
          <w:color w:val="000000"/>
          <w:lang w:val="hu-HU"/>
        </w:rPr>
        <w:t>vörösvértestszám csökkenése (</w:t>
      </w:r>
      <w:r w:rsidR="00AF7593">
        <w:rPr>
          <w:color w:val="000000"/>
          <w:lang w:val="hu-HU"/>
        </w:rPr>
        <w:t>vérszegénység, anémia</w:t>
      </w:r>
      <w:r w:rsidR="009B18FD">
        <w:rPr>
          <w:color w:val="000000"/>
          <w:lang w:val="hu-HU"/>
        </w:rPr>
        <w:t>)</w:t>
      </w:r>
      <w:r>
        <w:t xml:space="preserve">, </w:t>
      </w:r>
      <w:r w:rsidR="000A2DAB">
        <w:t>megemelkedett káliumszint a vérben</w:t>
      </w:r>
      <w:r>
        <w:t xml:space="preserve">, </w:t>
      </w:r>
      <w:r w:rsidR="000A2DAB">
        <w:t>szorongás</w:t>
      </w:r>
      <w:r>
        <w:t xml:space="preserve">, </w:t>
      </w:r>
      <w:r w:rsidR="00826440">
        <w:t>depresszió</w:t>
      </w:r>
      <w:r>
        <w:t xml:space="preserve">, </w:t>
      </w:r>
      <w:r w:rsidR="00826440">
        <w:t>álmatlanság</w:t>
      </w:r>
      <w:r>
        <w:t xml:space="preserve">, </w:t>
      </w:r>
      <w:r w:rsidR="00826440">
        <w:t>ájulás</w:t>
      </w:r>
      <w:r>
        <w:t xml:space="preserve"> (s</w:t>
      </w:r>
      <w:r w:rsidR="00826440">
        <w:t>zinkópé</w:t>
      </w:r>
      <w:r>
        <w:t xml:space="preserve">), </w:t>
      </w:r>
      <w:r w:rsidR="00826440">
        <w:t xml:space="preserve">bizsergés és zsibbadás </w:t>
      </w:r>
      <w:r>
        <w:t>(par</w:t>
      </w:r>
      <w:r w:rsidR="00826440">
        <w:t>esztéz</w:t>
      </w:r>
      <w:r>
        <w:t xml:space="preserve">ia), </w:t>
      </w:r>
      <w:r w:rsidR="00AF7593">
        <w:t>remegés</w:t>
      </w:r>
      <w:r>
        <w:t xml:space="preserve">, </w:t>
      </w:r>
      <w:r w:rsidR="00D46F31">
        <w:t>az ízérzés zavara</w:t>
      </w:r>
      <w:r>
        <w:t xml:space="preserve">, </w:t>
      </w:r>
      <w:r w:rsidR="00EA2F12">
        <w:t>fájdalomérzet elvesztése</w:t>
      </w:r>
      <w:r>
        <w:t xml:space="preserve">, </w:t>
      </w:r>
      <w:r w:rsidR="00F62D4F">
        <w:t>forg</w:t>
      </w:r>
      <w:r w:rsidR="004C619D">
        <w:t>ó</w:t>
      </w:r>
      <w:r w:rsidR="00F62D4F">
        <w:t xml:space="preserve"> jellegű szédülés</w:t>
      </w:r>
      <w:r>
        <w:t xml:space="preserve"> (vertig</w:t>
      </w:r>
      <w:r w:rsidR="00F62D4F">
        <w:t>ó</w:t>
      </w:r>
      <w:r>
        <w:t xml:space="preserve">), </w:t>
      </w:r>
      <w:r w:rsidR="00E12211">
        <w:t>fülcsengés</w:t>
      </w:r>
      <w:r>
        <w:t xml:space="preserve">, </w:t>
      </w:r>
      <w:r w:rsidR="007A33E5">
        <w:t>szapora szívverés</w:t>
      </w:r>
      <w:r>
        <w:t xml:space="preserve"> (tah</w:t>
      </w:r>
      <w:r w:rsidR="007A33E5">
        <w:t>ik</w:t>
      </w:r>
      <w:r>
        <w:t xml:space="preserve">ardia), </w:t>
      </w:r>
      <w:r w:rsidR="00FA29F4">
        <w:t xml:space="preserve">lassú szívverés </w:t>
      </w:r>
      <w:r>
        <w:t>(brad</w:t>
      </w:r>
      <w:r w:rsidR="00FA29F4">
        <w:t>ik</w:t>
      </w:r>
      <w:r>
        <w:t xml:space="preserve">ardia), </w:t>
      </w:r>
      <w:r w:rsidR="00EA2F12">
        <w:t>alacsony vérnyomás</w:t>
      </w:r>
      <w:r>
        <w:t xml:space="preserve">, </w:t>
      </w:r>
      <w:r w:rsidR="00EA2F12">
        <w:t>köhögés</w:t>
      </w:r>
      <w:r>
        <w:t xml:space="preserve">, </w:t>
      </w:r>
      <w:r w:rsidR="006E011B">
        <w:rPr>
          <w:bCs/>
          <w:iCs/>
          <w:lang w:val="hu-HU"/>
        </w:rPr>
        <w:t>tüsszögés/orrfolyás az orrnyálkahártya gyulladása miatt (rinitisz)</w:t>
      </w:r>
      <w:r>
        <w:t xml:space="preserve">, </w:t>
      </w:r>
      <w:r w:rsidR="00EA2F12">
        <w:t>szájszárazság</w:t>
      </w:r>
      <w:r>
        <w:t xml:space="preserve">, </w:t>
      </w:r>
      <w:r w:rsidR="003C7B4F">
        <w:t>puffadás</w:t>
      </w:r>
      <w:r>
        <w:t xml:space="preserve">, </w:t>
      </w:r>
      <w:r w:rsidR="001857E5">
        <w:t>viszketés</w:t>
      </w:r>
      <w:r>
        <w:t xml:space="preserve">, </w:t>
      </w:r>
      <w:r w:rsidR="004D39F3">
        <w:t>fokozott verejtékezés</w:t>
      </w:r>
      <w:r>
        <w:t>, h</w:t>
      </w:r>
      <w:r w:rsidR="001857E5">
        <w:t>ajhullás</w:t>
      </w:r>
      <w:r>
        <w:t xml:space="preserve">, </w:t>
      </w:r>
      <w:r w:rsidR="00AF7593">
        <w:t>piros foltok</w:t>
      </w:r>
      <w:r w:rsidR="00D833E6">
        <w:t xml:space="preserve"> a bőrön</w:t>
      </w:r>
      <w:r>
        <w:t xml:space="preserve">, </w:t>
      </w:r>
      <w:r w:rsidR="00D833E6">
        <w:t>a bőr elszíneződése</w:t>
      </w:r>
      <w:r>
        <w:t xml:space="preserve">, </w:t>
      </w:r>
      <w:r w:rsidR="003B6843">
        <w:t>kiterjedt bőrkiütés</w:t>
      </w:r>
      <w:r>
        <w:t xml:space="preserve">, </w:t>
      </w:r>
      <w:r w:rsidR="001857E5">
        <w:t>hátfájás</w:t>
      </w:r>
      <w:r>
        <w:t xml:space="preserve">, </w:t>
      </w:r>
      <w:r w:rsidR="001857E5">
        <w:t>izomfájdalom</w:t>
      </w:r>
      <w:r>
        <w:t xml:space="preserve">, </w:t>
      </w:r>
      <w:r w:rsidR="001857E5">
        <w:t>izületi fájdalom</w:t>
      </w:r>
      <w:r>
        <w:t xml:space="preserve">, </w:t>
      </w:r>
      <w:r w:rsidR="00975B1B">
        <w:rPr>
          <w:color w:val="000000"/>
          <w:lang w:val="hu-HU"/>
        </w:rPr>
        <w:t>vesekárosodás, az akut veseelégtelenséget is beleértve</w:t>
      </w:r>
      <w:r>
        <w:t xml:space="preserve">, </w:t>
      </w:r>
      <w:r w:rsidR="00754666">
        <w:t>vizeletürítési zavarok</w:t>
      </w:r>
      <w:r>
        <w:t xml:space="preserve">, </w:t>
      </w:r>
      <w:r w:rsidR="00D833E6">
        <w:t>fokozott éjszakai vizelési inger</w:t>
      </w:r>
      <w:r>
        <w:t xml:space="preserve">, </w:t>
      </w:r>
      <w:r w:rsidR="00754666">
        <w:t>gyakoribb vizeletürítés</w:t>
      </w:r>
      <w:r>
        <w:t xml:space="preserve">, </w:t>
      </w:r>
      <w:r w:rsidR="004C619D">
        <w:rPr>
          <w:color w:val="000000"/>
          <w:lang w:val="hu-HU"/>
        </w:rPr>
        <w:t>férfiaknál kellemetlen érzés az emlőben vagy az emlő megnagyobbodása</w:t>
      </w:r>
      <w:r>
        <w:t xml:space="preserve">, </w:t>
      </w:r>
      <w:r w:rsidR="00754666">
        <w:t>mellkasi fájdalom</w:t>
      </w:r>
      <w:r>
        <w:t xml:space="preserve">, </w:t>
      </w:r>
      <w:r w:rsidR="00754666">
        <w:t>fájdalom</w:t>
      </w:r>
      <w:r>
        <w:t xml:space="preserve">, </w:t>
      </w:r>
      <w:r w:rsidR="00754666">
        <w:t>rossz közérzet</w:t>
      </w:r>
      <w:r>
        <w:t xml:space="preserve">, </w:t>
      </w:r>
      <w:r w:rsidR="009F5CB0">
        <w:t>húgysavszint emelkedés a vérben</w:t>
      </w:r>
      <w:r>
        <w:t xml:space="preserve">, </w:t>
      </w:r>
      <w:r w:rsidR="009F5CB0">
        <w:t>kreatininszint emelkedés a vérben</w:t>
      </w:r>
      <w:r>
        <w:t xml:space="preserve">, </w:t>
      </w:r>
      <w:r w:rsidR="00467217">
        <w:rPr>
          <w:color w:val="000000"/>
          <w:lang w:val="hu-HU"/>
        </w:rPr>
        <w:t>testtömeg-növekedés vagy testtömegcsökkenés</w:t>
      </w:r>
      <w:r>
        <w:t>.</w:t>
      </w:r>
    </w:p>
    <w:p w14:paraId="5832E1E7" w14:textId="77777777" w:rsidR="00602010" w:rsidRDefault="00602010">
      <w:pPr>
        <w:suppressAutoHyphens/>
        <w:spacing w:line="240" w:lineRule="auto"/>
        <w:rPr>
          <w:color w:val="000000"/>
          <w:lang w:val="hu-HU"/>
        </w:rPr>
      </w:pPr>
    </w:p>
    <w:p w14:paraId="33114A43" w14:textId="77777777" w:rsidR="00602010" w:rsidRDefault="009F38E3">
      <w:pPr>
        <w:suppressAutoHyphens/>
        <w:spacing w:line="240" w:lineRule="auto"/>
        <w:rPr>
          <w:color w:val="000000"/>
          <w:u w:val="single"/>
          <w:lang w:val="hu-HU"/>
        </w:rPr>
      </w:pPr>
      <w:r>
        <w:rPr>
          <w:color w:val="000000"/>
          <w:u w:val="single"/>
          <w:lang w:val="hu-HU"/>
        </w:rPr>
        <w:t>Ritka (1000 beteg közül legfeljebb 1 beteget érinthet):</w:t>
      </w:r>
    </w:p>
    <w:p w14:paraId="77D07DBB" w14:textId="564C4BDA" w:rsidR="006A43E0" w:rsidRDefault="006A43E0">
      <w:pPr>
        <w:suppressAutoHyphens/>
        <w:spacing w:line="240" w:lineRule="auto"/>
        <w:rPr>
          <w:color w:val="000000"/>
          <w:lang w:val="hu-HU"/>
        </w:rPr>
      </w:pPr>
      <w:r>
        <w:rPr>
          <w:color w:val="000000"/>
          <w:lang w:val="hu-HU"/>
        </w:rPr>
        <w:t>a tüdő, a hörgők (hörghurut), a torok és/vagy az arcüreg gyulladása</w:t>
      </w:r>
      <w:r>
        <w:t xml:space="preserve">, </w:t>
      </w:r>
      <w:r>
        <w:rPr>
          <w:color w:val="000000"/>
          <w:lang w:val="hu-HU"/>
        </w:rPr>
        <w:t xml:space="preserve">bizonyos fehérvérsejtek számának növekedése (eozinofília), </w:t>
      </w:r>
      <w:r w:rsidR="00D432DB">
        <w:rPr>
          <w:color w:val="000000"/>
          <w:lang w:val="hu-HU"/>
        </w:rPr>
        <w:t>alacsony vérlemezkeszám (trombocitopénia)</w:t>
      </w:r>
      <w:r>
        <w:t xml:space="preserve">, </w:t>
      </w:r>
      <w:r w:rsidR="00D432DB">
        <w:rPr>
          <w:noProof/>
          <w:lang w:val="hu-HU"/>
        </w:rPr>
        <w:t>amely fokozza a vérzés vagy a véraláfutás (a bőrön vagy egyéb szöveteken vérzés hatására kialakuló apró, bíborvörös elváltozások) kockázatát</w:t>
      </w:r>
      <w:r w:rsidR="003968B0">
        <w:t xml:space="preserve">, </w:t>
      </w:r>
      <w:r>
        <w:t>s</w:t>
      </w:r>
      <w:r w:rsidR="000F2AE6">
        <w:t>úlyos allergi</w:t>
      </w:r>
      <w:r w:rsidR="00CB385B">
        <w:t>á</w:t>
      </w:r>
      <w:r w:rsidR="000F2AE6">
        <w:t>s reakciók</w:t>
      </w:r>
      <w:r>
        <w:t xml:space="preserve"> (</w:t>
      </w:r>
      <w:r w:rsidR="00172CD8">
        <w:t>például túlérzékenység</w:t>
      </w:r>
      <w:r>
        <w:t>, ana</w:t>
      </w:r>
      <w:r w:rsidR="00172CD8">
        <w:t>filaxiás reakció</w:t>
      </w:r>
      <w:r>
        <w:t xml:space="preserve">, </w:t>
      </w:r>
      <w:r w:rsidR="007F0CCE">
        <w:t xml:space="preserve">gyógyszer okozta </w:t>
      </w:r>
      <w:r w:rsidR="00AF7593">
        <w:t>bőr</w:t>
      </w:r>
      <w:r w:rsidR="007F0CCE">
        <w:t>kiütés</w:t>
      </w:r>
      <w:r>
        <w:t xml:space="preserve">), </w:t>
      </w:r>
      <w:r w:rsidR="0075143A">
        <w:t>alacsony vércukorszint</w:t>
      </w:r>
      <w:r>
        <w:t xml:space="preserve"> (</w:t>
      </w:r>
      <w:r w:rsidR="00CB385B">
        <w:t>cukorbetegeknél</w:t>
      </w:r>
      <w:r>
        <w:t xml:space="preserve">), </w:t>
      </w:r>
      <w:r w:rsidR="00026CAD">
        <w:t>magas kalciumszint a vérben</w:t>
      </w:r>
      <w:r>
        <w:t xml:space="preserve">, </w:t>
      </w:r>
      <w:r w:rsidR="008328AD">
        <w:rPr>
          <w:lang w:val="hu-HU"/>
        </w:rPr>
        <w:t>emelkedett vércukorszint (hiperglikémia)</w:t>
      </w:r>
      <w:r>
        <w:t xml:space="preserve">, </w:t>
      </w:r>
      <w:r w:rsidR="008328AD">
        <w:t>alvás</w:t>
      </w:r>
      <w:r w:rsidR="00AF7593">
        <w:t>zavarok</w:t>
      </w:r>
      <w:r>
        <w:t xml:space="preserve">, </w:t>
      </w:r>
      <w:r w:rsidR="008328AD">
        <w:t>zavartság</w:t>
      </w:r>
      <w:r>
        <w:t xml:space="preserve">, </w:t>
      </w:r>
      <w:r w:rsidR="008328AD">
        <w:t>homályos látás</w:t>
      </w:r>
      <w:r>
        <w:t xml:space="preserve">, </w:t>
      </w:r>
      <w:r w:rsidR="005713FE">
        <w:t>tüdőödéma</w:t>
      </w:r>
      <w:r>
        <w:t>,</w:t>
      </w:r>
      <w:r w:rsidR="005713FE">
        <w:t xml:space="preserve"> gyomorhurut</w:t>
      </w:r>
      <w:r>
        <w:t xml:space="preserve">, </w:t>
      </w:r>
      <w:r w:rsidR="005713FE">
        <w:t xml:space="preserve">hasi </w:t>
      </w:r>
      <w:r w:rsidR="00AF7593">
        <w:t>diszkomfort</w:t>
      </w:r>
      <w:r w:rsidR="005713FE">
        <w:t>érzés</w:t>
      </w:r>
      <w:r>
        <w:t xml:space="preserve">, </w:t>
      </w:r>
      <w:r w:rsidR="00EE218C">
        <w:t>kóros májműködés</w:t>
      </w:r>
      <w:r>
        <w:t xml:space="preserve">, </w:t>
      </w:r>
      <w:r w:rsidR="00EE218C">
        <w:t>sárgaság</w:t>
      </w:r>
      <w:r>
        <w:t>,</w:t>
      </w:r>
      <w:r w:rsidR="00106025" w:rsidRPr="00106025">
        <w:rPr>
          <w:noProof/>
          <w:lang w:val="hu-HU"/>
        </w:rPr>
        <w:t xml:space="preserve"> </w:t>
      </w:r>
      <w:r w:rsidR="00106025">
        <w:rPr>
          <w:noProof/>
          <w:lang w:val="hu-HU"/>
        </w:rPr>
        <w:t>nagy mennyiségú epesav a vérben (epepangás)</w:t>
      </w:r>
      <w:r>
        <w:t xml:space="preserve">, </w:t>
      </w:r>
      <w:r w:rsidR="00A763CB">
        <w:t>bőrvörösség</w:t>
      </w:r>
      <w:r>
        <w:t xml:space="preserve"> (er</w:t>
      </w:r>
      <w:r w:rsidR="00A763CB">
        <w:t>ité</w:t>
      </w:r>
      <w:r>
        <w:t>ma), e</w:t>
      </w:r>
      <w:r w:rsidR="00776390">
        <w:t>kcé</w:t>
      </w:r>
      <w:r>
        <w:t>ma (</w:t>
      </w:r>
      <w:r w:rsidR="00776390">
        <w:t>egy bőrbetegség</w:t>
      </w:r>
      <w:r>
        <w:t xml:space="preserve">), </w:t>
      </w:r>
      <w:r w:rsidR="00504552" w:rsidRPr="00B43E2A">
        <w:t>gyógyszer okozta kiütés</w:t>
      </w:r>
      <w:r w:rsidRPr="00504552">
        <w:t xml:space="preserve">, </w:t>
      </w:r>
      <w:r w:rsidRPr="009F38E3">
        <w:t>toxi</w:t>
      </w:r>
      <w:r w:rsidR="009F38E3" w:rsidRPr="009F38E3">
        <w:t>k</w:t>
      </w:r>
      <w:r w:rsidR="009F38E3">
        <w:t>us bőrkiütés</w:t>
      </w:r>
      <w:r>
        <w:t xml:space="preserve">, </w:t>
      </w:r>
      <w:r w:rsidR="003573E0">
        <w:t>fényérzékeny</w:t>
      </w:r>
      <w:r w:rsidR="00B85101">
        <w:t>s</w:t>
      </w:r>
      <w:r w:rsidR="003573E0">
        <w:t>ég</w:t>
      </w:r>
      <w:r>
        <w:t xml:space="preserve">, </w:t>
      </w:r>
      <w:r w:rsidR="004C3C0D">
        <w:t>végtagfájdalom</w:t>
      </w:r>
      <w:r>
        <w:t xml:space="preserve"> (l</w:t>
      </w:r>
      <w:r w:rsidR="004C3C0D">
        <w:t>ábfájdalom</w:t>
      </w:r>
      <w:r>
        <w:t xml:space="preserve">), </w:t>
      </w:r>
      <w:r w:rsidR="004C3C0D">
        <w:t>ínfájdalom</w:t>
      </w:r>
      <w:r>
        <w:t xml:space="preserve"> (</w:t>
      </w:r>
      <w:r w:rsidR="004C3C0D">
        <w:t>íngyulladásszerű tünetek</w:t>
      </w:r>
      <w:r>
        <w:t>),</w:t>
      </w:r>
      <w:r w:rsidR="00FC6691" w:rsidRPr="00FC6691">
        <w:rPr>
          <w:color w:val="000000"/>
          <w:lang w:val="hu-HU"/>
        </w:rPr>
        <w:t xml:space="preserve"> </w:t>
      </w:r>
      <w:r w:rsidR="00FC6691">
        <w:rPr>
          <w:color w:val="000000"/>
          <w:lang w:val="hu-HU"/>
        </w:rPr>
        <w:t xml:space="preserve">szisztémás lupusz eritematózusz (egy olyan betegség, amelynek során a saját immunrendszer támadja meg a </w:t>
      </w:r>
      <w:r w:rsidR="00FC6691">
        <w:rPr>
          <w:color w:val="000000"/>
          <w:lang w:val="hu-HU"/>
        </w:rPr>
        <w:lastRenderedPageBreak/>
        <w:t>szervezetet),</w:t>
      </w:r>
      <w:r>
        <w:t xml:space="preserve"> </w:t>
      </w:r>
      <w:r w:rsidR="00897C3C">
        <w:t>cukor a vizeletben</w:t>
      </w:r>
      <w:r>
        <w:t xml:space="preserve"> (gl</w:t>
      </w:r>
      <w:r w:rsidR="00897C3C">
        <w:t>ük</w:t>
      </w:r>
      <w:r>
        <w:t>o</w:t>
      </w:r>
      <w:r w:rsidR="00897C3C">
        <w:t>zú</w:t>
      </w:r>
      <w:r>
        <w:t xml:space="preserve">ria), </w:t>
      </w:r>
      <w:r w:rsidR="00265E6E">
        <w:t>influenzaszerű betegség</w:t>
      </w:r>
      <w:r>
        <w:t xml:space="preserve">, </w:t>
      </w:r>
      <w:r w:rsidR="00F8111D">
        <w:rPr>
          <w:color w:val="000000"/>
          <w:lang w:val="hu-HU"/>
        </w:rPr>
        <w:t>magas májenzimérték vagy kreatinin-foszfokináz-szint a vérben</w:t>
      </w:r>
      <w:r>
        <w:t xml:space="preserve">, </w:t>
      </w:r>
      <w:r w:rsidR="00B04335">
        <w:t>csökkent</w:t>
      </w:r>
      <w:r>
        <w:t xml:space="preserve"> hemoglobin</w:t>
      </w:r>
      <w:r w:rsidR="001D6699">
        <w:t>szint</w:t>
      </w:r>
      <w:r>
        <w:t xml:space="preserve"> (</w:t>
      </w:r>
      <w:r w:rsidR="00B04335">
        <w:t>egy</w:t>
      </w:r>
      <w:r w:rsidR="001D6699">
        <w:t>,</w:t>
      </w:r>
      <w:r w:rsidR="00B04335">
        <w:t xml:space="preserve"> a vérben</w:t>
      </w:r>
      <w:r w:rsidR="001D6699">
        <w:t xml:space="preserve"> lévő fehérje</w:t>
      </w:r>
      <w:r>
        <w:t>).</w:t>
      </w:r>
    </w:p>
    <w:p w14:paraId="69F8E9D0" w14:textId="77777777" w:rsidR="00602010" w:rsidRDefault="00602010">
      <w:pPr>
        <w:suppressAutoHyphens/>
        <w:spacing w:line="240" w:lineRule="auto"/>
        <w:rPr>
          <w:color w:val="000000"/>
          <w:lang w:val="hu-HU"/>
        </w:rPr>
      </w:pPr>
    </w:p>
    <w:p w14:paraId="0D2EBD96" w14:textId="77777777" w:rsidR="00602010" w:rsidRDefault="009F38E3">
      <w:pPr>
        <w:suppressAutoHyphens/>
        <w:spacing w:line="240" w:lineRule="auto"/>
        <w:rPr>
          <w:color w:val="000000"/>
          <w:u w:val="single"/>
          <w:lang w:val="hu-HU"/>
        </w:rPr>
      </w:pPr>
      <w:r>
        <w:rPr>
          <w:color w:val="000000"/>
          <w:u w:val="single"/>
          <w:lang w:val="hu-HU"/>
        </w:rPr>
        <w:t>Nagyon ritka (10 000 beteg közül legfeljebb 1 beteget érinthet):</w:t>
      </w:r>
    </w:p>
    <w:p w14:paraId="617E210B" w14:textId="6F19E879" w:rsidR="00897C3C" w:rsidRDefault="007B3435">
      <w:pPr>
        <w:suppressAutoHyphens/>
        <w:spacing w:line="240" w:lineRule="auto"/>
        <w:rPr>
          <w:color w:val="000000"/>
          <w:lang w:val="hu-HU"/>
        </w:rPr>
      </w:pPr>
      <w:r w:rsidRPr="00AF7593">
        <w:t>fehérvérsejtszám csökkenés</w:t>
      </w:r>
      <w:r w:rsidR="00AF7593">
        <w:t>e</w:t>
      </w:r>
      <w:r w:rsidR="00967ABB" w:rsidRPr="00AF7593">
        <w:t xml:space="preserve"> (leukoc</w:t>
      </w:r>
      <w:r w:rsidRPr="00AF7593">
        <w:t>i</w:t>
      </w:r>
      <w:r w:rsidR="00967ABB" w:rsidRPr="00AF7593">
        <w:t>top</w:t>
      </w:r>
      <w:r w:rsidRPr="00AF7593">
        <w:t>é</w:t>
      </w:r>
      <w:r w:rsidR="00967ABB" w:rsidRPr="00AF7593">
        <w:t>nia, agranuloc</w:t>
      </w:r>
      <w:r w:rsidRPr="00AF7593">
        <w:t>i</w:t>
      </w:r>
      <w:r w:rsidR="00967ABB" w:rsidRPr="00AF7593">
        <w:t>t</w:t>
      </w:r>
      <w:r w:rsidRPr="00AF7593">
        <w:t>óz</w:t>
      </w:r>
      <w:r w:rsidR="00967ABB" w:rsidRPr="00AF7593">
        <w:t xml:space="preserve">is), </w:t>
      </w:r>
      <w:r w:rsidR="00122A11" w:rsidRPr="00AF7593">
        <w:t>a vörösvértestek kóros lebomlása</w:t>
      </w:r>
      <w:r w:rsidR="00967ABB" w:rsidRPr="00AF7593">
        <w:t xml:space="preserve">, </w:t>
      </w:r>
      <w:r w:rsidR="005A04B6" w:rsidRPr="00AF7593">
        <w:t>a</w:t>
      </w:r>
      <w:r w:rsidR="005A04B6">
        <w:t xml:space="preserve"> </w:t>
      </w:r>
      <w:r w:rsidR="00AF7593">
        <w:t xml:space="preserve">nem megfelelő </w:t>
      </w:r>
      <w:r w:rsidR="005A04B6">
        <w:t>csontvelőműködés</w:t>
      </w:r>
      <w:r w:rsidR="00967ABB">
        <w:t xml:space="preserve">, </w:t>
      </w:r>
      <w:r w:rsidR="00253A82">
        <w:t>allergi</w:t>
      </w:r>
      <w:r w:rsidR="005A04B6">
        <w:t>á</w:t>
      </w:r>
      <w:r w:rsidR="00253A82">
        <w:t>s reakciók</w:t>
      </w:r>
      <w:r w:rsidR="00C07704">
        <w:t>,</w:t>
      </w:r>
      <w:r w:rsidR="00C07704" w:rsidRPr="00C07704">
        <w:rPr>
          <w:color w:val="000000"/>
          <w:lang w:val="hu-HU"/>
        </w:rPr>
        <w:t xml:space="preserve"> </w:t>
      </w:r>
      <w:r w:rsidR="00C07704">
        <w:rPr>
          <w:color w:val="000000"/>
          <w:lang w:val="hu-HU"/>
        </w:rPr>
        <w:t xml:space="preserve">a vér alacsony kloridtartalma miatt megemelkedett pH-érték a vérben (a sav-bázis egyensúly </w:t>
      </w:r>
      <w:r w:rsidR="00AF7593">
        <w:rPr>
          <w:color w:val="000000"/>
          <w:lang w:val="hu-HU"/>
        </w:rPr>
        <w:t>zavara</w:t>
      </w:r>
      <w:r w:rsidR="00967ABB">
        <w:t xml:space="preserve">, </w:t>
      </w:r>
      <w:r w:rsidR="00122A11">
        <w:t>hipoklorémiás alkalózis</w:t>
      </w:r>
      <w:r w:rsidR="00967ABB">
        <w:t xml:space="preserve">), </w:t>
      </w:r>
      <w:r w:rsidR="00253A82">
        <w:t>fokozott izomfeszülés</w:t>
      </w:r>
      <w:r w:rsidR="00967ABB">
        <w:t xml:space="preserve">, </w:t>
      </w:r>
      <w:r w:rsidR="005A04B6">
        <w:rPr>
          <w:lang w:val="hu-HU"/>
        </w:rPr>
        <w:t xml:space="preserve">idegrendellenesség, amely </w:t>
      </w:r>
      <w:r w:rsidR="00AF7593">
        <w:rPr>
          <w:lang w:val="hu-HU"/>
        </w:rPr>
        <w:t>izom</w:t>
      </w:r>
      <w:r w:rsidR="005A04B6">
        <w:rPr>
          <w:lang w:val="hu-HU"/>
        </w:rPr>
        <w:t>gyengeséget</w:t>
      </w:r>
      <w:r w:rsidR="00AF7593">
        <w:rPr>
          <w:lang w:val="hu-HU"/>
        </w:rPr>
        <w:t>, bizsergést és zsibbadást</w:t>
      </w:r>
      <w:r w:rsidR="005A04B6">
        <w:rPr>
          <w:lang w:val="hu-HU"/>
        </w:rPr>
        <w:t xml:space="preserve"> okozhat</w:t>
      </w:r>
      <w:r w:rsidR="00967ABB">
        <w:t>,</w:t>
      </w:r>
      <w:r w:rsidR="002B188E">
        <w:t xml:space="preserve"> </w:t>
      </w:r>
      <w:r w:rsidR="002B188E">
        <w:rPr>
          <w:noProof/>
          <w:lang w:val="hu-HU"/>
        </w:rPr>
        <w:t>érgyulladás (nekrotizáló vaszkulitisz)</w:t>
      </w:r>
      <w:r w:rsidR="00967ABB">
        <w:t>,</w:t>
      </w:r>
      <w:r w:rsidR="00B577C2" w:rsidRPr="00B577C2">
        <w:rPr>
          <w:color w:val="000000"/>
          <w:lang w:val="hu-HU"/>
        </w:rPr>
        <w:t xml:space="preserve"> </w:t>
      </w:r>
      <w:r w:rsidR="00B577C2">
        <w:rPr>
          <w:color w:val="000000"/>
          <w:lang w:val="hu-HU"/>
        </w:rPr>
        <w:t>a tüdő szöveteinek egyre súlyosbodó hegesedése (intersticiális tüdőbetegség</w:t>
      </w:r>
      <w:r w:rsidR="007F0D34">
        <w:rPr>
          <w:color w:val="000000"/>
          <w:lang w:val="hu-HU"/>
        </w:rPr>
        <w:t>)</w:t>
      </w:r>
      <w:r w:rsidR="00AF7593">
        <w:rPr>
          <w:color w:val="000000"/>
          <w:lang w:val="hu-HU"/>
        </w:rPr>
        <w:t>*</w:t>
      </w:r>
      <w:r w:rsidR="003C32C3">
        <w:rPr>
          <w:color w:val="000000"/>
          <w:lang w:val="hu-HU"/>
        </w:rPr>
        <w:t>,</w:t>
      </w:r>
      <w:r w:rsidR="007F0D34" w:rsidRPr="007F0D34">
        <w:rPr>
          <w:color w:val="000000"/>
          <w:lang w:val="hu-HU"/>
        </w:rPr>
        <w:t xml:space="preserve"> </w:t>
      </w:r>
      <w:r w:rsidR="007F0D34">
        <w:rPr>
          <w:color w:val="000000"/>
          <w:lang w:val="hu-HU"/>
        </w:rPr>
        <w:t>akut légzési nehézség (</w:t>
      </w:r>
      <w:r w:rsidR="00AF7593">
        <w:rPr>
          <w:color w:val="000000"/>
          <w:lang w:val="hu-HU"/>
        </w:rPr>
        <w:t>jele</w:t>
      </w:r>
      <w:r w:rsidR="007F0D34">
        <w:rPr>
          <w:color w:val="000000"/>
          <w:lang w:val="hu-HU"/>
        </w:rPr>
        <w:t xml:space="preserve"> lehet többek között a súlyos nehézlégzés</w:t>
      </w:r>
      <w:r w:rsidR="00AF7593">
        <w:rPr>
          <w:color w:val="000000"/>
          <w:lang w:val="hu-HU"/>
        </w:rPr>
        <w:t>)</w:t>
      </w:r>
      <w:r w:rsidR="00967ABB">
        <w:t xml:space="preserve">, </w:t>
      </w:r>
      <w:r w:rsidR="00DC51B1">
        <w:t>ínyduzzanat</w:t>
      </w:r>
      <w:r w:rsidR="00967ABB">
        <w:t xml:space="preserve">, </w:t>
      </w:r>
      <w:r w:rsidR="00A234FF">
        <w:t>májgyulladás</w:t>
      </w:r>
      <w:r w:rsidR="00967ABB">
        <w:t xml:space="preserve"> (hepatitis</w:t>
      </w:r>
      <w:r w:rsidR="00A234FF">
        <w:t>z</w:t>
      </w:r>
      <w:r w:rsidR="00967ABB">
        <w:t xml:space="preserve">), </w:t>
      </w:r>
      <w:r w:rsidR="00EA2A00">
        <w:rPr>
          <w:noProof/>
          <w:lang w:val="hu-HU"/>
        </w:rPr>
        <w:t xml:space="preserve">lupusz-szerű szindróma (a </w:t>
      </w:r>
      <w:r w:rsidR="00AF7593">
        <w:rPr>
          <w:noProof/>
          <w:lang w:val="hu-HU"/>
        </w:rPr>
        <w:t xml:space="preserve">szisztémás </w:t>
      </w:r>
      <w:r w:rsidR="00EA2A00">
        <w:rPr>
          <w:noProof/>
          <w:lang w:val="hu-HU"/>
        </w:rPr>
        <w:t xml:space="preserve">lupusz eritematózusz nevű betegséget utánzó </w:t>
      </w:r>
      <w:r w:rsidR="00AF7593">
        <w:rPr>
          <w:noProof/>
          <w:lang w:val="hu-HU"/>
        </w:rPr>
        <w:t>betegség</w:t>
      </w:r>
      <w:r w:rsidR="00EA2A00">
        <w:rPr>
          <w:noProof/>
          <w:lang w:val="hu-HU"/>
        </w:rPr>
        <w:t>,</w:t>
      </w:r>
      <w:r w:rsidR="00EA2A00">
        <w:rPr>
          <w:lang w:val="hu-HU"/>
        </w:rPr>
        <w:t xml:space="preserve"> amelynek során a saját immunrendszer támadja meg a szervezetet)</w:t>
      </w:r>
      <w:r w:rsidR="00967ABB">
        <w:t xml:space="preserve">, </w:t>
      </w:r>
      <w:r w:rsidR="00EA2A00">
        <w:rPr>
          <w:noProof/>
          <w:lang w:val="hu-HU"/>
        </w:rPr>
        <w:t>az ajkak, a szem vagy a száj felhólyagosodása</w:t>
      </w:r>
      <w:r w:rsidR="00967ABB">
        <w:t xml:space="preserve">, </w:t>
      </w:r>
      <w:r w:rsidR="00EA2A00">
        <w:t>bőrhámlás</w:t>
      </w:r>
      <w:r w:rsidR="00967ABB">
        <w:t xml:space="preserve">, </w:t>
      </w:r>
      <w:r w:rsidR="00DC51B1">
        <w:t>láz</w:t>
      </w:r>
      <w:r w:rsidR="00967ABB">
        <w:t xml:space="preserve"> </w:t>
      </w:r>
      <w:r w:rsidR="00EA2A00">
        <w:t>(</w:t>
      </w:r>
      <w:r w:rsidR="00EA2A00">
        <w:rPr>
          <w:noProof/>
          <w:lang w:val="hu-HU"/>
        </w:rPr>
        <w:t>ezek az eritéma multiforme nevű betegség lehetséges jelei)</w:t>
      </w:r>
      <w:r w:rsidR="00AF7593">
        <w:rPr>
          <w:noProof/>
          <w:lang w:val="hu-HU"/>
        </w:rPr>
        <w:t>.</w:t>
      </w:r>
    </w:p>
    <w:p w14:paraId="0F8946C2" w14:textId="77777777" w:rsidR="00602010" w:rsidRDefault="00602010">
      <w:pPr>
        <w:suppressAutoHyphens/>
        <w:spacing w:line="240" w:lineRule="auto"/>
        <w:rPr>
          <w:color w:val="000000"/>
          <w:lang w:val="hu-HU"/>
        </w:rPr>
      </w:pPr>
    </w:p>
    <w:p w14:paraId="206C3B86" w14:textId="77777777" w:rsidR="00602010" w:rsidRDefault="009F38E3">
      <w:pPr>
        <w:suppressAutoHyphens/>
        <w:spacing w:line="240" w:lineRule="auto"/>
        <w:rPr>
          <w:color w:val="000000"/>
          <w:lang w:val="hu-HU"/>
        </w:rPr>
      </w:pPr>
      <w:r>
        <w:rPr>
          <w:color w:val="000000"/>
          <w:lang w:val="hu-HU"/>
        </w:rPr>
        <w:t>* A telmizartán szedésekor a tüdő szöveteinek egyre súlyosbodó hegesedését jelentették, de nem ismert, hogy ezt a telmizartán váltotta-e ki.</w:t>
      </w:r>
    </w:p>
    <w:p w14:paraId="73343C3F" w14:textId="77777777" w:rsidR="00602010" w:rsidRDefault="00602010">
      <w:pPr>
        <w:suppressAutoHyphens/>
        <w:spacing w:line="240" w:lineRule="auto"/>
        <w:rPr>
          <w:color w:val="000000"/>
          <w:lang w:val="hu-HU"/>
        </w:rPr>
      </w:pPr>
    </w:p>
    <w:p w14:paraId="35F84269" w14:textId="77777777" w:rsidR="00602010" w:rsidRDefault="009F38E3">
      <w:pPr>
        <w:suppressAutoHyphens/>
        <w:spacing w:line="240" w:lineRule="auto"/>
        <w:rPr>
          <w:bCs/>
          <w:noProof/>
          <w:u w:val="single"/>
          <w:lang w:val="hu-HU"/>
        </w:rPr>
      </w:pPr>
      <w:r>
        <w:rPr>
          <w:bCs/>
          <w:noProof/>
          <w:u w:val="single"/>
          <w:lang w:val="hu-HU"/>
        </w:rPr>
        <w:t>Nem ismert (a gyakoriság a rendelkezésre álló adatok alapján nem határozható meg):</w:t>
      </w:r>
    </w:p>
    <w:p w14:paraId="10188400" w14:textId="36E479BF" w:rsidR="00602010" w:rsidRDefault="009C249F">
      <w:pPr>
        <w:suppressAutoHyphens/>
        <w:spacing w:line="240" w:lineRule="auto"/>
        <w:rPr>
          <w:bCs/>
          <w:color w:val="000000"/>
          <w:lang w:val="hu-HU"/>
        </w:rPr>
      </w:pPr>
      <w:r>
        <w:t xml:space="preserve">bőr- és ajakrák </w:t>
      </w:r>
      <w:r>
        <w:rPr>
          <w:lang w:val="hu-HU"/>
        </w:rPr>
        <w:t xml:space="preserve">(nem melanóma típusú bőrrák), </w:t>
      </w:r>
      <w:r>
        <w:t>vérsejthiány</w:t>
      </w:r>
      <w:r w:rsidR="00967ABB">
        <w:t xml:space="preserve"> (aplas</w:t>
      </w:r>
      <w:r>
        <w:t>ztikus anémia</w:t>
      </w:r>
      <w:r w:rsidR="00967ABB">
        <w:t xml:space="preserve">), </w:t>
      </w:r>
      <w:r w:rsidR="00F73975">
        <w:t>remegés</w:t>
      </w:r>
      <w:r w:rsidR="00967ABB">
        <w:t xml:space="preserve">, </w:t>
      </w:r>
      <w:r w:rsidR="00A56A18">
        <w:rPr>
          <w:noProof/>
          <w:lang w:val="hu-HU"/>
        </w:rPr>
        <w:t>merev testtartás</w:t>
      </w:r>
      <w:r w:rsidR="00967ABB">
        <w:t xml:space="preserve">, </w:t>
      </w:r>
      <w:r w:rsidR="005C4AE2">
        <w:rPr>
          <w:noProof/>
          <w:lang w:val="hu-HU"/>
        </w:rPr>
        <w:t>maszkszerű arc</w:t>
      </w:r>
      <w:r w:rsidR="00967ABB">
        <w:t xml:space="preserve">, </w:t>
      </w:r>
      <w:r w:rsidR="006C683F">
        <w:t>lassú mozdulatok</w:t>
      </w:r>
      <w:r w:rsidR="00967ABB">
        <w:t xml:space="preserve"> </w:t>
      </w:r>
      <w:r w:rsidR="006C683F">
        <w:t>és csoszogó</w:t>
      </w:r>
      <w:r w:rsidR="00967ABB">
        <w:t xml:space="preserve">, </w:t>
      </w:r>
      <w:r w:rsidR="006C683F">
        <w:t>kiegyensúlyozatlan járás</w:t>
      </w:r>
      <w:r w:rsidR="00967ABB">
        <w:t xml:space="preserve">, </w:t>
      </w:r>
      <w:r w:rsidR="00E05F00">
        <w:rPr>
          <w:spacing w:val="-2"/>
          <w:lang w:val="hu-HU"/>
        </w:rPr>
        <w:t xml:space="preserve">látásromlás vagy szemfájdalom a </w:t>
      </w:r>
      <w:r w:rsidR="00EA5174">
        <w:rPr>
          <w:spacing w:val="-2"/>
          <w:lang w:val="hu-HU"/>
        </w:rPr>
        <w:t xml:space="preserve">magas </w:t>
      </w:r>
      <w:r w:rsidR="00E05F00">
        <w:rPr>
          <w:spacing w:val="-2"/>
          <w:lang w:val="hu-HU"/>
        </w:rPr>
        <w:t>szembelnyomás miatt (a szem érhártyáján belüli folyadékfelhalmozódás [koroideális</w:t>
      </w:r>
      <w:r w:rsidR="00E63022">
        <w:rPr>
          <w:spacing w:val="-2"/>
          <w:lang w:val="hu-HU"/>
        </w:rPr>
        <w:t xml:space="preserve"> </w:t>
      </w:r>
      <w:r w:rsidR="00E05F00">
        <w:rPr>
          <w:lang w:val="hu-HU"/>
        </w:rPr>
        <w:t>effúzió vagy folyadékgyülem] vagy</w:t>
      </w:r>
      <w:r w:rsidR="00E05F00">
        <w:rPr>
          <w:spacing w:val="-2"/>
          <w:lang w:val="hu-HU"/>
        </w:rPr>
        <w:t xml:space="preserve"> </w:t>
      </w:r>
      <w:r w:rsidR="004C64F7">
        <w:rPr>
          <w:spacing w:val="-2"/>
          <w:lang w:val="hu-HU"/>
        </w:rPr>
        <w:t xml:space="preserve">a hirtelen kialakuló rövidlátás vagy </w:t>
      </w:r>
      <w:r w:rsidR="00E05F00">
        <w:rPr>
          <w:spacing w:val="-2"/>
          <w:lang w:val="hu-HU"/>
        </w:rPr>
        <w:t>az akut zárt zugú zöldhályog lehetséges tünetei)</w:t>
      </w:r>
      <w:r w:rsidR="00EA5174">
        <w:rPr>
          <w:spacing w:val="-2"/>
          <w:lang w:val="hu-HU"/>
        </w:rPr>
        <w:t xml:space="preserve">, </w:t>
      </w:r>
      <w:r w:rsidR="009F38E3">
        <w:rPr>
          <w:noProof/>
          <w:lang w:val="hu-HU"/>
        </w:rPr>
        <w:t>a bélfal megduzzadása (intesztinális angioödéma): néhány hasonló gyógyszer alkalmazását követően jelentették, ez olyan tünetekkel jár, mint a hasi fájdalom, a hányinger, a hányás és a hasmenés.</w:t>
      </w:r>
    </w:p>
    <w:p w14:paraId="178C9CEA" w14:textId="77777777" w:rsidR="00602010" w:rsidRPr="00B43E2A" w:rsidRDefault="00602010">
      <w:pPr>
        <w:spacing w:line="240" w:lineRule="auto"/>
        <w:ind w:right="-29"/>
        <w:rPr>
          <w:lang w:val="hu-HU"/>
        </w:rPr>
      </w:pPr>
    </w:p>
    <w:p w14:paraId="086C773B" w14:textId="77777777" w:rsidR="00602010" w:rsidRDefault="009F38E3">
      <w:pPr>
        <w:spacing w:line="240" w:lineRule="auto"/>
        <w:ind w:right="-29"/>
        <w:rPr>
          <w:b/>
          <w:bCs/>
          <w:lang w:val="hu-HU"/>
        </w:rPr>
      </w:pPr>
      <w:r>
        <w:rPr>
          <w:b/>
          <w:bCs/>
          <w:lang w:val="hu-HU"/>
        </w:rPr>
        <w:t>Mellékhatások bejelentése</w:t>
      </w:r>
    </w:p>
    <w:p w14:paraId="4426CB14" w14:textId="2BBDFC4F" w:rsidR="00602010" w:rsidRDefault="009F38E3">
      <w:pPr>
        <w:spacing w:line="240" w:lineRule="auto"/>
        <w:ind w:right="-2"/>
        <w:rPr>
          <w:lang w:val="hu-HU"/>
        </w:rPr>
      </w:pPr>
      <w:r>
        <w:rPr>
          <w:lang w:val="hu-HU"/>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az </w:t>
      </w:r>
      <w:hyperlink r:id="rId8" w:history="1">
        <w:r>
          <w:rPr>
            <w:rStyle w:val="Hiperhivatkozs1"/>
            <w:highlight w:val="lightGray"/>
            <w:lang w:val="hu-HU"/>
          </w:rPr>
          <w:t>V. függelékben</w:t>
        </w:r>
      </w:hyperlink>
      <w:r>
        <w:rPr>
          <w:highlight w:val="lightGray"/>
          <w:lang w:val="hu-HU"/>
        </w:rPr>
        <w:t xml:space="preserve"> található </w:t>
      </w:r>
      <w:r>
        <w:rPr>
          <w:lang w:val="hu-HU"/>
        </w:rPr>
        <w:t>elérhetőségeken keresztül</w:t>
      </w:r>
      <w:r>
        <w:rPr>
          <w:color w:val="008000"/>
          <w:lang w:val="hu-HU"/>
        </w:rPr>
        <w:t>.</w:t>
      </w:r>
    </w:p>
    <w:p w14:paraId="1F49A465" w14:textId="77777777" w:rsidR="00602010" w:rsidRDefault="009F38E3">
      <w:pPr>
        <w:spacing w:line="240" w:lineRule="auto"/>
        <w:ind w:right="-2"/>
        <w:rPr>
          <w:lang w:val="hu-HU"/>
        </w:rPr>
      </w:pPr>
      <w:r>
        <w:rPr>
          <w:lang w:val="hu-HU"/>
        </w:rPr>
        <w:t>A mellékhatások bejelentésével Ön is hozzájárulhat ahhoz, hogy minél több információ álljon rendelkezésre a gyógyszer biztonságos alkalmazásával kapcsolatban.</w:t>
      </w:r>
    </w:p>
    <w:p w14:paraId="67348045" w14:textId="77777777" w:rsidR="00602010" w:rsidRDefault="00602010">
      <w:pPr>
        <w:spacing w:line="240" w:lineRule="auto"/>
        <w:ind w:right="-2"/>
        <w:rPr>
          <w:lang w:val="hu-HU"/>
        </w:rPr>
      </w:pPr>
    </w:p>
    <w:p w14:paraId="6429BF24" w14:textId="77777777" w:rsidR="00602010" w:rsidRDefault="00602010">
      <w:pPr>
        <w:spacing w:line="240" w:lineRule="auto"/>
        <w:ind w:right="-2"/>
        <w:rPr>
          <w:lang w:val="hu-HU"/>
        </w:rPr>
      </w:pPr>
    </w:p>
    <w:p w14:paraId="3096AD62" w14:textId="77777777" w:rsidR="00602010" w:rsidRDefault="009F38E3">
      <w:pPr>
        <w:spacing w:line="240" w:lineRule="auto"/>
        <w:ind w:left="567" w:right="-2" w:hanging="567"/>
        <w:rPr>
          <w:b/>
          <w:bCs/>
          <w:lang w:val="hu-HU"/>
        </w:rPr>
      </w:pPr>
      <w:r>
        <w:rPr>
          <w:b/>
          <w:bCs/>
          <w:lang w:val="hu-HU"/>
        </w:rPr>
        <w:t>5.</w:t>
      </w:r>
      <w:r>
        <w:rPr>
          <w:b/>
          <w:bCs/>
          <w:lang w:val="hu-HU"/>
        </w:rPr>
        <w:tab/>
        <w:t>Hogyan kell a Tolvecamo-t tárolni?</w:t>
      </w:r>
    </w:p>
    <w:p w14:paraId="1F865242" w14:textId="77777777" w:rsidR="00602010" w:rsidRDefault="00602010">
      <w:pPr>
        <w:spacing w:line="240" w:lineRule="auto"/>
        <w:ind w:right="-2"/>
        <w:rPr>
          <w:lang w:val="hu-HU"/>
        </w:rPr>
      </w:pPr>
    </w:p>
    <w:p w14:paraId="7F0E76A7" w14:textId="77777777" w:rsidR="00602010" w:rsidRDefault="009F38E3">
      <w:pPr>
        <w:spacing w:line="240" w:lineRule="auto"/>
        <w:ind w:right="-2"/>
        <w:rPr>
          <w:lang w:val="hu-HU"/>
        </w:rPr>
      </w:pPr>
      <w:r>
        <w:rPr>
          <w:lang w:val="hu-HU"/>
        </w:rPr>
        <w:t>A gyógyszer gyermekektől elzárva tartandó!</w:t>
      </w:r>
    </w:p>
    <w:p w14:paraId="68EAEC36" w14:textId="77777777" w:rsidR="00602010" w:rsidRDefault="00602010">
      <w:pPr>
        <w:spacing w:line="240" w:lineRule="auto"/>
        <w:ind w:right="-2"/>
        <w:rPr>
          <w:lang w:val="hu-HU"/>
        </w:rPr>
      </w:pPr>
    </w:p>
    <w:p w14:paraId="1774C416" w14:textId="77777777" w:rsidR="00602010" w:rsidRDefault="009F38E3">
      <w:pPr>
        <w:spacing w:line="240" w:lineRule="auto"/>
        <w:ind w:right="-2"/>
        <w:rPr>
          <w:lang w:val="hu-HU"/>
        </w:rPr>
      </w:pPr>
      <w:r>
        <w:rPr>
          <w:lang w:val="hu-HU"/>
        </w:rPr>
        <w:t>A dobozon és a buborékcsomagoláson feltüntetett lejárati idő (EXP) után ne szedje ezt a gyógyszert. A lejárati idő az adott hónap utolsó napjára vonatkozik.</w:t>
      </w:r>
    </w:p>
    <w:p w14:paraId="75934C1E" w14:textId="77777777" w:rsidR="00602010" w:rsidRDefault="00602010">
      <w:pPr>
        <w:numPr>
          <w:ilvl w:val="12"/>
          <w:numId w:val="0"/>
        </w:numPr>
        <w:tabs>
          <w:tab w:val="clear" w:pos="567"/>
          <w:tab w:val="left" w:pos="720"/>
        </w:tabs>
        <w:spacing w:line="240" w:lineRule="auto"/>
        <w:ind w:right="-2"/>
        <w:rPr>
          <w:lang w:val="hu-HU"/>
        </w:rPr>
      </w:pPr>
    </w:p>
    <w:p w14:paraId="2EDC09B8" w14:textId="77777777" w:rsidR="00602010" w:rsidRDefault="009F38E3">
      <w:pPr>
        <w:spacing w:line="240" w:lineRule="auto"/>
        <w:ind w:right="-2"/>
        <w:rPr>
          <w:lang w:val="hu-HU"/>
        </w:rPr>
      </w:pPr>
      <w:r>
        <w:rPr>
          <w:lang w:val="hu-HU"/>
        </w:rPr>
        <w:t>A fénytől és a nedvességtől való védelem érdekében az eredeti csomagolásban tárolandó.</w:t>
      </w:r>
    </w:p>
    <w:p w14:paraId="4A6DA432" w14:textId="32852A8E" w:rsidR="00602010" w:rsidRDefault="009F38E3">
      <w:pPr>
        <w:spacing w:line="240" w:lineRule="auto"/>
        <w:ind w:right="-2"/>
        <w:rPr>
          <w:lang w:val="hu-HU"/>
        </w:rPr>
      </w:pPr>
      <w:r>
        <w:rPr>
          <w:lang w:val="hu-HU"/>
        </w:rPr>
        <w:t>Ez a gyógyszer különleges tárolási hőmérsékletet nem igényel.</w:t>
      </w:r>
    </w:p>
    <w:p w14:paraId="6B40EF86" w14:textId="77777777" w:rsidR="00602010" w:rsidRDefault="00602010">
      <w:pPr>
        <w:spacing w:line="240" w:lineRule="auto"/>
        <w:ind w:right="-2"/>
        <w:rPr>
          <w:lang w:val="hu-HU"/>
        </w:rPr>
      </w:pPr>
    </w:p>
    <w:p w14:paraId="3531CDF5" w14:textId="77777777" w:rsidR="00602010" w:rsidRDefault="009F38E3">
      <w:pPr>
        <w:spacing w:line="240" w:lineRule="auto"/>
        <w:ind w:right="-2"/>
        <w:rPr>
          <w:lang w:val="hu-HU"/>
        </w:rPr>
      </w:pPr>
      <w:r>
        <w:rPr>
          <w:lang w:val="hu-HU"/>
        </w:rPr>
        <w:t>Semmilyen gyógyszert ne dobjon a szennyvízbe vagy a háztartási hulladékba. Kérdezze meg gyógyszerészét, hogy mit tegyen a már nem használt gyógyszereivel. Ezek az intézkedések elősegítik a környezet védelmét.</w:t>
      </w:r>
    </w:p>
    <w:p w14:paraId="52B70798" w14:textId="77777777" w:rsidR="00602010" w:rsidRDefault="00602010">
      <w:pPr>
        <w:spacing w:line="240" w:lineRule="auto"/>
        <w:ind w:right="-2"/>
        <w:rPr>
          <w:lang w:val="hu-HU"/>
        </w:rPr>
      </w:pPr>
    </w:p>
    <w:p w14:paraId="52AB3905" w14:textId="77777777" w:rsidR="00602010" w:rsidRDefault="00602010">
      <w:pPr>
        <w:spacing w:line="240" w:lineRule="auto"/>
        <w:ind w:right="-2"/>
        <w:rPr>
          <w:lang w:val="hu-HU"/>
        </w:rPr>
      </w:pPr>
    </w:p>
    <w:p w14:paraId="0DB756C0" w14:textId="77777777" w:rsidR="00602010" w:rsidRDefault="009F38E3">
      <w:pPr>
        <w:spacing w:line="240" w:lineRule="auto"/>
        <w:ind w:left="567" w:right="-2" w:hanging="567"/>
        <w:rPr>
          <w:b/>
          <w:bCs/>
          <w:lang w:val="hu-HU"/>
        </w:rPr>
      </w:pPr>
      <w:r>
        <w:rPr>
          <w:b/>
          <w:bCs/>
          <w:lang w:val="hu-HU"/>
        </w:rPr>
        <w:t>6.</w:t>
      </w:r>
      <w:r>
        <w:rPr>
          <w:b/>
          <w:bCs/>
          <w:lang w:val="hu-HU"/>
        </w:rPr>
        <w:tab/>
        <w:t>A csomagolás tartalma és egyéb információk</w:t>
      </w:r>
    </w:p>
    <w:p w14:paraId="4D87C6BC" w14:textId="77777777" w:rsidR="00602010" w:rsidRDefault="00602010">
      <w:pPr>
        <w:spacing w:line="240" w:lineRule="auto"/>
        <w:rPr>
          <w:lang w:val="hu-HU"/>
        </w:rPr>
      </w:pPr>
    </w:p>
    <w:p w14:paraId="6CE002F8" w14:textId="77777777" w:rsidR="00602010" w:rsidRDefault="009F38E3">
      <w:pPr>
        <w:spacing w:line="240" w:lineRule="auto"/>
        <w:rPr>
          <w:lang w:val="hu-HU"/>
        </w:rPr>
      </w:pPr>
      <w:r>
        <w:rPr>
          <w:b/>
          <w:bCs/>
          <w:lang w:val="hu-HU"/>
        </w:rPr>
        <w:t>Mit tartalmaz a Tolvecamo?</w:t>
      </w:r>
    </w:p>
    <w:p w14:paraId="68DEDAC7" w14:textId="77777777" w:rsidR="00602010" w:rsidRDefault="009F38E3">
      <w:pPr>
        <w:keepNext/>
        <w:numPr>
          <w:ilvl w:val="0"/>
          <w:numId w:val="14"/>
        </w:numPr>
        <w:tabs>
          <w:tab w:val="clear" w:pos="567"/>
        </w:tabs>
        <w:snapToGrid w:val="0"/>
        <w:spacing w:line="240" w:lineRule="auto"/>
        <w:ind w:left="567" w:right="-2" w:hanging="567"/>
        <w:rPr>
          <w:lang w:val="hu-HU"/>
        </w:rPr>
      </w:pPr>
      <w:r>
        <w:rPr>
          <w:lang w:val="hu-HU"/>
        </w:rPr>
        <w:lastRenderedPageBreak/>
        <w:t>A készítmény hatóanyagai a telmizartán, amlodipin és hidroklorotiazid.</w:t>
      </w:r>
    </w:p>
    <w:p w14:paraId="487BF9B5" w14:textId="77777777" w:rsidR="00602010" w:rsidRDefault="009F38E3">
      <w:pPr>
        <w:keepNext/>
        <w:tabs>
          <w:tab w:val="clear" w:pos="567"/>
        </w:tabs>
        <w:snapToGrid w:val="0"/>
        <w:spacing w:line="240" w:lineRule="auto"/>
        <w:ind w:left="567" w:right="-2"/>
        <w:rPr>
          <w:iCs/>
          <w:u w:val="single"/>
          <w:lang w:val="hu-HU"/>
        </w:rPr>
      </w:pPr>
      <w:r>
        <w:rPr>
          <w:iCs/>
          <w:u w:val="single"/>
          <w:lang w:val="hu-HU"/>
        </w:rPr>
        <w:t>Tolvecamo 40 mg/5 mg/12,5 mg tabletta</w:t>
      </w:r>
    </w:p>
    <w:p w14:paraId="5727606E" w14:textId="77777777" w:rsidR="00602010" w:rsidRDefault="009F38E3">
      <w:pPr>
        <w:keepNext/>
        <w:tabs>
          <w:tab w:val="clear" w:pos="567"/>
        </w:tabs>
        <w:snapToGrid w:val="0"/>
        <w:spacing w:line="240" w:lineRule="auto"/>
        <w:ind w:left="567" w:right="-2"/>
        <w:rPr>
          <w:lang w:val="hu-HU"/>
        </w:rPr>
      </w:pPr>
      <w:r>
        <w:rPr>
          <w:lang w:val="hu-HU"/>
        </w:rPr>
        <w:t>40 mg telmizartánt, 5 mg amlodipint (amlodipin</w:t>
      </w:r>
      <w:r>
        <w:rPr>
          <w:lang w:val="hu-HU"/>
        </w:rPr>
        <w:noBreakHyphen/>
        <w:t>bezilát formájában) és 12,5 mg hidroklorotiazidot tartalmaz tablettánként.</w:t>
      </w:r>
    </w:p>
    <w:p w14:paraId="1CAB4756" w14:textId="77777777" w:rsidR="00602010" w:rsidRDefault="009F38E3">
      <w:pPr>
        <w:keepNext/>
        <w:tabs>
          <w:tab w:val="clear" w:pos="567"/>
        </w:tabs>
        <w:snapToGrid w:val="0"/>
        <w:spacing w:line="240" w:lineRule="auto"/>
        <w:ind w:left="567" w:right="-2"/>
        <w:rPr>
          <w:iCs/>
          <w:u w:val="single"/>
          <w:lang w:val="hu-HU"/>
        </w:rPr>
      </w:pPr>
      <w:r>
        <w:rPr>
          <w:iCs/>
          <w:u w:val="single"/>
          <w:lang w:val="hu-HU"/>
        </w:rPr>
        <w:t>Tolvecamo 80 mg/5 mg/12,5 mg tabletta</w:t>
      </w:r>
    </w:p>
    <w:p w14:paraId="71DC6CE1" w14:textId="77777777" w:rsidR="00602010" w:rsidRDefault="009F38E3">
      <w:pPr>
        <w:keepNext/>
        <w:tabs>
          <w:tab w:val="clear" w:pos="567"/>
        </w:tabs>
        <w:snapToGrid w:val="0"/>
        <w:spacing w:line="240" w:lineRule="auto"/>
        <w:ind w:left="567" w:right="-2"/>
        <w:rPr>
          <w:lang w:val="hu-HU"/>
        </w:rPr>
      </w:pPr>
      <w:r>
        <w:rPr>
          <w:lang w:val="hu-HU"/>
        </w:rPr>
        <w:t>80 mg telmizartánt, 5 mg amlodipint (amlodipin</w:t>
      </w:r>
      <w:r>
        <w:rPr>
          <w:lang w:val="hu-HU"/>
        </w:rPr>
        <w:noBreakHyphen/>
        <w:t>bezilát formájában) és 12,5 mg hidroklorotiazidot tartalmaz tablettánként.</w:t>
      </w:r>
    </w:p>
    <w:p w14:paraId="3049EE3F" w14:textId="77777777" w:rsidR="00602010" w:rsidRDefault="009F38E3">
      <w:pPr>
        <w:keepNext/>
        <w:tabs>
          <w:tab w:val="clear" w:pos="567"/>
        </w:tabs>
        <w:snapToGrid w:val="0"/>
        <w:spacing w:line="240" w:lineRule="auto"/>
        <w:ind w:left="567" w:right="-2"/>
        <w:rPr>
          <w:iCs/>
          <w:u w:val="single"/>
          <w:lang w:val="hu-HU"/>
        </w:rPr>
      </w:pPr>
      <w:r>
        <w:rPr>
          <w:iCs/>
          <w:u w:val="single"/>
          <w:lang w:val="hu-HU"/>
        </w:rPr>
        <w:t>Tolvecamo 80 mg/10 mg/12,5 mg tabletta</w:t>
      </w:r>
    </w:p>
    <w:p w14:paraId="1F45C021" w14:textId="77777777" w:rsidR="00602010" w:rsidRDefault="009F38E3">
      <w:pPr>
        <w:keepNext/>
        <w:tabs>
          <w:tab w:val="clear" w:pos="567"/>
        </w:tabs>
        <w:snapToGrid w:val="0"/>
        <w:spacing w:line="240" w:lineRule="auto"/>
        <w:ind w:left="567" w:right="-2"/>
        <w:rPr>
          <w:lang w:val="hu-HU"/>
        </w:rPr>
      </w:pPr>
      <w:r>
        <w:rPr>
          <w:lang w:val="hu-HU"/>
        </w:rPr>
        <w:t>80 mg telmizartánt, 10 mg amlodipint (amlodipin</w:t>
      </w:r>
      <w:r>
        <w:rPr>
          <w:lang w:val="hu-HU"/>
        </w:rPr>
        <w:noBreakHyphen/>
        <w:t>bezilát formájában) és 12,5 mg hidroklorotiazidot tartalmaz tablettánként.</w:t>
      </w:r>
    </w:p>
    <w:p w14:paraId="51E87247" w14:textId="77777777" w:rsidR="00602010" w:rsidRDefault="009F38E3">
      <w:pPr>
        <w:keepNext/>
        <w:tabs>
          <w:tab w:val="clear" w:pos="567"/>
        </w:tabs>
        <w:snapToGrid w:val="0"/>
        <w:spacing w:line="240" w:lineRule="auto"/>
        <w:ind w:left="567" w:right="-2"/>
        <w:rPr>
          <w:iCs/>
          <w:u w:val="single"/>
          <w:lang w:val="hu-HU"/>
        </w:rPr>
      </w:pPr>
      <w:r>
        <w:rPr>
          <w:iCs/>
          <w:u w:val="single"/>
          <w:lang w:val="hu-HU"/>
        </w:rPr>
        <w:t>Tolvecamo 80 mg/10 mg/25 mg tabletta</w:t>
      </w:r>
    </w:p>
    <w:p w14:paraId="5D74E1C9" w14:textId="77777777" w:rsidR="00602010" w:rsidRDefault="009F38E3">
      <w:pPr>
        <w:keepNext/>
        <w:tabs>
          <w:tab w:val="clear" w:pos="567"/>
        </w:tabs>
        <w:snapToGrid w:val="0"/>
        <w:spacing w:line="240" w:lineRule="auto"/>
        <w:ind w:left="567" w:right="-2"/>
        <w:rPr>
          <w:lang w:val="hu-HU"/>
        </w:rPr>
      </w:pPr>
      <w:r>
        <w:rPr>
          <w:lang w:val="hu-HU"/>
        </w:rPr>
        <w:t>80 mg telmizartánt, 10 mg amlodipint (amlodipin</w:t>
      </w:r>
      <w:r>
        <w:rPr>
          <w:lang w:val="hu-HU"/>
        </w:rPr>
        <w:noBreakHyphen/>
        <w:t>bezilát formájában) és 25 mg hidroklorotiazidot tartalmaz tablettánként.</w:t>
      </w:r>
    </w:p>
    <w:p w14:paraId="6806CD9C" w14:textId="77777777" w:rsidR="00602010" w:rsidRDefault="009F38E3">
      <w:pPr>
        <w:pStyle w:val="Listaszerbekezds"/>
        <w:keepNext/>
        <w:numPr>
          <w:ilvl w:val="0"/>
          <w:numId w:val="14"/>
        </w:numPr>
        <w:tabs>
          <w:tab w:val="clear" w:pos="567"/>
        </w:tabs>
        <w:snapToGrid w:val="0"/>
        <w:spacing w:line="240" w:lineRule="auto"/>
        <w:ind w:left="567" w:right="-2" w:hanging="567"/>
        <w:rPr>
          <w:iCs/>
          <w:lang w:val="hu-HU"/>
        </w:rPr>
      </w:pPr>
      <w:r>
        <w:rPr>
          <w:iCs/>
          <w:lang w:val="hu-HU"/>
        </w:rPr>
        <w:t>Egyéb összetevők (segédanyagok): povidon K30, nátrium-hidroxid, laktóz-monohidrát, meglumin, kroszpovidon, mikrokristályos cellulóz, nátrium-sztearil-fumarát, hidegen duzzadó keményítő, A típusú karboximetilkeményítő-nátrium, magnézium-sztearát, vízmentes, kolloid szilícium-dioxid, sárga vas-oxid (E172) (csak a 40 mg/5 mg/12,5 mg, 80 mg/10 mg/12,5 mg és 80 mg/10 mg/25 mg tablettában),</w:t>
      </w:r>
      <w:r>
        <w:rPr>
          <w:i/>
          <w:iCs/>
          <w:lang w:val="hu-HU"/>
        </w:rPr>
        <w:t xml:space="preserve"> </w:t>
      </w:r>
      <w:r>
        <w:rPr>
          <w:iCs/>
          <w:lang w:val="hu-HU"/>
        </w:rPr>
        <w:t>vörös vas-oxid (E172) (csak 80 mg/5 mg/12,5 mg és 80 mg/10 mg/12,5 mg tablettában).</w:t>
      </w:r>
      <w:r>
        <w:rPr>
          <w:i/>
          <w:iCs/>
          <w:lang w:val="hu-HU"/>
        </w:rPr>
        <w:t xml:space="preserve"> </w:t>
      </w:r>
      <w:r>
        <w:rPr>
          <w:bCs/>
          <w:lang w:val="hu-HU" w:eastAsia="sl-SI"/>
        </w:rPr>
        <w:t>Lásd 2. pont „</w:t>
      </w:r>
      <w:r>
        <w:rPr>
          <w:lang w:val="hu-HU" w:eastAsia="sl-SI"/>
        </w:rPr>
        <w:t>A Tolvecamo laktózt és nátriumot tartalmaz</w:t>
      </w:r>
      <w:r>
        <w:rPr>
          <w:bCs/>
          <w:lang w:val="hu-HU" w:eastAsia="sl-SI"/>
        </w:rPr>
        <w:t>”.</w:t>
      </w:r>
    </w:p>
    <w:p w14:paraId="680AC198" w14:textId="77777777" w:rsidR="00602010" w:rsidRDefault="00602010">
      <w:pPr>
        <w:keepNext/>
        <w:tabs>
          <w:tab w:val="clear" w:pos="567"/>
        </w:tabs>
        <w:snapToGrid w:val="0"/>
        <w:spacing w:line="240" w:lineRule="auto"/>
        <w:ind w:right="-2"/>
        <w:rPr>
          <w:iCs/>
          <w:lang w:val="hu-HU"/>
        </w:rPr>
      </w:pPr>
    </w:p>
    <w:p w14:paraId="7FB1E1F2" w14:textId="77777777" w:rsidR="00602010" w:rsidRDefault="009F38E3">
      <w:pPr>
        <w:spacing w:line="240" w:lineRule="auto"/>
        <w:rPr>
          <w:lang w:val="hu-HU"/>
        </w:rPr>
      </w:pPr>
      <w:r>
        <w:rPr>
          <w:b/>
          <w:bCs/>
          <w:lang w:val="hu-HU"/>
        </w:rPr>
        <w:t>Milyen a Tolvecamo külleme és mit tartalmaz a csomagolás?</w:t>
      </w:r>
    </w:p>
    <w:p w14:paraId="6635F92C" w14:textId="77777777" w:rsidR="00602010" w:rsidRDefault="009F38E3">
      <w:pPr>
        <w:autoSpaceDE w:val="0"/>
        <w:autoSpaceDN w:val="0"/>
        <w:adjustRightInd w:val="0"/>
        <w:spacing w:line="240" w:lineRule="auto"/>
        <w:jc w:val="both"/>
        <w:rPr>
          <w:iCs/>
          <w:noProof/>
          <w:u w:val="single"/>
          <w:lang w:val="hu-HU"/>
        </w:rPr>
      </w:pPr>
      <w:r>
        <w:rPr>
          <w:iCs/>
          <w:u w:val="single"/>
          <w:lang w:val="hu-HU"/>
        </w:rPr>
        <w:t xml:space="preserve">Tolvecamo </w:t>
      </w:r>
      <w:r>
        <w:rPr>
          <w:iCs/>
          <w:noProof/>
          <w:u w:val="single"/>
          <w:lang w:val="hu-HU"/>
        </w:rPr>
        <w:t>40 mg/5 mg/12,5 mg tabletta</w:t>
      </w:r>
    </w:p>
    <w:p w14:paraId="3FA4FB5B" w14:textId="77777777" w:rsidR="00602010" w:rsidRDefault="009F38E3">
      <w:pPr>
        <w:autoSpaceDE w:val="0"/>
        <w:autoSpaceDN w:val="0"/>
        <w:adjustRightInd w:val="0"/>
        <w:spacing w:line="240" w:lineRule="auto"/>
        <w:jc w:val="both"/>
        <w:rPr>
          <w:lang w:val="hu-HU"/>
        </w:rPr>
      </w:pPr>
      <w:r>
        <w:rPr>
          <w:lang w:val="hu-HU"/>
        </w:rPr>
        <w:t>Kerek, mindkét oldalán domború felületű, kétrétegű tabletta. A tabletta egyik rétege fehér vagy csaknem fehér, L1 jelzéssel ellátott. A tabletta másik rétege barnássárga, foltos.</w:t>
      </w:r>
    </w:p>
    <w:p w14:paraId="374B9AE4" w14:textId="77777777" w:rsidR="00602010" w:rsidRDefault="009F38E3">
      <w:pPr>
        <w:autoSpaceDE w:val="0"/>
        <w:autoSpaceDN w:val="0"/>
        <w:adjustRightInd w:val="0"/>
        <w:spacing w:line="240" w:lineRule="auto"/>
        <w:jc w:val="both"/>
        <w:rPr>
          <w:lang w:val="hu-HU"/>
        </w:rPr>
      </w:pPr>
      <w:r>
        <w:rPr>
          <w:lang w:val="hu-HU"/>
        </w:rPr>
        <w:t>A tabletta átmérője kb. 10 mm.</w:t>
      </w:r>
    </w:p>
    <w:p w14:paraId="6A81E595" w14:textId="77777777" w:rsidR="00602010" w:rsidRDefault="00602010">
      <w:pPr>
        <w:autoSpaceDE w:val="0"/>
        <w:autoSpaceDN w:val="0"/>
        <w:adjustRightInd w:val="0"/>
        <w:spacing w:line="240" w:lineRule="auto"/>
        <w:jc w:val="both"/>
        <w:rPr>
          <w:lang w:val="hu-HU"/>
        </w:rPr>
      </w:pPr>
    </w:p>
    <w:p w14:paraId="14516D48" w14:textId="77777777" w:rsidR="00602010" w:rsidRDefault="009F38E3">
      <w:pPr>
        <w:widowControl w:val="0"/>
        <w:spacing w:line="240" w:lineRule="auto"/>
        <w:rPr>
          <w:iCs/>
          <w:noProof/>
          <w:u w:val="single"/>
          <w:lang w:val="hu-HU"/>
        </w:rPr>
      </w:pPr>
      <w:r>
        <w:rPr>
          <w:iCs/>
          <w:u w:val="single"/>
          <w:lang w:val="hu-HU"/>
        </w:rPr>
        <w:t xml:space="preserve">Tolvecamo </w:t>
      </w:r>
      <w:r>
        <w:rPr>
          <w:iCs/>
          <w:noProof/>
          <w:u w:val="single"/>
          <w:lang w:val="hu-HU"/>
        </w:rPr>
        <w:t>80 mg/5 mg/12,5 mg tabletta</w:t>
      </w:r>
    </w:p>
    <w:p w14:paraId="12DA2911" w14:textId="77777777" w:rsidR="00602010" w:rsidRDefault="009F38E3">
      <w:pPr>
        <w:widowControl w:val="0"/>
        <w:spacing w:line="240" w:lineRule="auto"/>
        <w:rPr>
          <w:lang w:val="hu-HU"/>
        </w:rPr>
      </w:pPr>
      <w:r>
        <w:rPr>
          <w:lang w:val="hu-HU"/>
        </w:rPr>
        <w:t>Ovális, mindkét oldalán domború felületű, kétrétegű tabletta. A tabletta egyik rétege fehér vagy csaknem fehér, L2 jelzéssel ellátott. A tabletta másik rétege rózsaszínű, foltos.</w:t>
      </w:r>
    </w:p>
    <w:p w14:paraId="566636B5" w14:textId="77777777" w:rsidR="00602010" w:rsidRDefault="009F38E3">
      <w:pPr>
        <w:widowControl w:val="0"/>
        <w:spacing w:line="240" w:lineRule="auto"/>
        <w:rPr>
          <w:lang w:val="hu-HU"/>
        </w:rPr>
      </w:pPr>
      <w:r>
        <w:rPr>
          <w:lang w:val="hu-HU"/>
        </w:rPr>
        <w:t>A tabletta mérete: kb. 18 mm × 9 mm.</w:t>
      </w:r>
    </w:p>
    <w:p w14:paraId="2A4DAD2D" w14:textId="77777777" w:rsidR="00602010" w:rsidRDefault="00602010">
      <w:pPr>
        <w:widowControl w:val="0"/>
        <w:spacing w:line="240" w:lineRule="auto"/>
        <w:rPr>
          <w:lang w:val="hu-HU"/>
        </w:rPr>
      </w:pPr>
    </w:p>
    <w:p w14:paraId="00F94EA6" w14:textId="77777777" w:rsidR="00602010" w:rsidRDefault="009F38E3">
      <w:pPr>
        <w:widowControl w:val="0"/>
        <w:spacing w:line="240" w:lineRule="auto"/>
        <w:rPr>
          <w:iCs/>
          <w:noProof/>
          <w:u w:val="single"/>
          <w:lang w:val="hu-HU"/>
        </w:rPr>
      </w:pPr>
      <w:r>
        <w:rPr>
          <w:iCs/>
          <w:u w:val="single"/>
          <w:lang w:val="hu-HU"/>
        </w:rPr>
        <w:t xml:space="preserve">Tolvecamo </w:t>
      </w:r>
      <w:r>
        <w:rPr>
          <w:iCs/>
          <w:noProof/>
          <w:u w:val="single"/>
          <w:lang w:val="hu-HU"/>
        </w:rPr>
        <w:t>80 mg/10 mg/12,5 mg tabletta</w:t>
      </w:r>
    </w:p>
    <w:p w14:paraId="774AEBBA" w14:textId="77777777" w:rsidR="00602010" w:rsidRDefault="009F38E3">
      <w:pPr>
        <w:widowControl w:val="0"/>
        <w:spacing w:line="240" w:lineRule="auto"/>
        <w:rPr>
          <w:lang w:val="hu-HU"/>
        </w:rPr>
      </w:pPr>
      <w:r>
        <w:rPr>
          <w:lang w:val="hu-HU"/>
        </w:rPr>
        <w:t>Ovális, mindkét oldalán domború felületű, kétrétegű tabletta. A tabletta egyik rétege fehér vagy csaknem fehér, L3 jelzéssel ellátott. A tabletta másik rétege narancssárga, foltos.</w:t>
      </w:r>
    </w:p>
    <w:p w14:paraId="10422BF8" w14:textId="77777777" w:rsidR="00602010" w:rsidRDefault="009F38E3">
      <w:pPr>
        <w:widowControl w:val="0"/>
        <w:spacing w:line="240" w:lineRule="auto"/>
        <w:rPr>
          <w:lang w:val="hu-HU"/>
        </w:rPr>
      </w:pPr>
      <w:r>
        <w:rPr>
          <w:lang w:val="hu-HU"/>
        </w:rPr>
        <w:t>A tabletta mérete: kb. 18 mm × 9 mm.</w:t>
      </w:r>
    </w:p>
    <w:p w14:paraId="559D8F9A" w14:textId="77777777" w:rsidR="00602010" w:rsidRDefault="00602010">
      <w:pPr>
        <w:widowControl w:val="0"/>
        <w:spacing w:line="240" w:lineRule="auto"/>
        <w:rPr>
          <w:lang w:val="hu-HU"/>
        </w:rPr>
      </w:pPr>
    </w:p>
    <w:p w14:paraId="189ADDDD" w14:textId="77777777" w:rsidR="00602010" w:rsidRDefault="009F38E3">
      <w:pPr>
        <w:widowControl w:val="0"/>
        <w:spacing w:line="240" w:lineRule="auto"/>
        <w:rPr>
          <w:iCs/>
          <w:noProof/>
          <w:u w:val="single"/>
          <w:lang w:val="hu-HU"/>
        </w:rPr>
      </w:pPr>
      <w:r>
        <w:rPr>
          <w:iCs/>
          <w:u w:val="single"/>
          <w:lang w:val="hu-HU"/>
        </w:rPr>
        <w:t xml:space="preserve">Tolvecamo </w:t>
      </w:r>
      <w:r>
        <w:rPr>
          <w:iCs/>
          <w:noProof/>
          <w:u w:val="single"/>
          <w:lang w:val="hu-HU"/>
        </w:rPr>
        <w:t>80 mg/10 mg/25 mg tabletta</w:t>
      </w:r>
    </w:p>
    <w:p w14:paraId="083E35BD" w14:textId="77777777" w:rsidR="00602010" w:rsidRDefault="009F38E3">
      <w:pPr>
        <w:spacing w:line="240" w:lineRule="auto"/>
        <w:rPr>
          <w:lang w:val="hu-HU"/>
        </w:rPr>
      </w:pPr>
      <w:r>
        <w:rPr>
          <w:lang w:val="hu-HU"/>
        </w:rPr>
        <w:t>Ovális, mindkét oldalán domború felületű, kétrétegű tabletta. A tabletta egyik rétege fehér vagy csaknem fehér, L4 jelzéssel ellátott. A tabletta másik rétege barnássárga, foltos.</w:t>
      </w:r>
    </w:p>
    <w:p w14:paraId="55A04DF4" w14:textId="77777777" w:rsidR="00602010" w:rsidRDefault="009F38E3">
      <w:pPr>
        <w:spacing w:line="240" w:lineRule="auto"/>
        <w:rPr>
          <w:lang w:val="hu-HU"/>
        </w:rPr>
      </w:pPr>
      <w:r>
        <w:rPr>
          <w:lang w:val="hu-HU"/>
        </w:rPr>
        <w:t>A tabletta mérete: kb. 18 mm × 9 mm.</w:t>
      </w:r>
    </w:p>
    <w:p w14:paraId="01DB6F9F" w14:textId="77777777" w:rsidR="00602010" w:rsidRDefault="00602010">
      <w:pPr>
        <w:autoSpaceDE w:val="0"/>
        <w:autoSpaceDN w:val="0"/>
        <w:adjustRightInd w:val="0"/>
        <w:spacing w:line="240" w:lineRule="auto"/>
        <w:jc w:val="both"/>
        <w:rPr>
          <w:lang w:val="hu-HU"/>
        </w:rPr>
      </w:pPr>
    </w:p>
    <w:p w14:paraId="5A55E267" w14:textId="77777777" w:rsidR="00602010" w:rsidRDefault="009F38E3">
      <w:pPr>
        <w:spacing w:line="240" w:lineRule="auto"/>
        <w:rPr>
          <w:lang w:val="hu-HU"/>
        </w:rPr>
      </w:pPr>
      <w:r>
        <w:rPr>
          <w:lang w:val="hu-HU"/>
        </w:rPr>
        <w:t>A Tolvecamo az alábbi kiszerelésekben elérhető:</w:t>
      </w:r>
    </w:p>
    <w:p w14:paraId="2BDB79BD" w14:textId="77777777" w:rsidR="00602010" w:rsidRDefault="009F38E3">
      <w:pPr>
        <w:spacing w:line="240" w:lineRule="auto"/>
        <w:rPr>
          <w:lang w:val="hu-HU"/>
        </w:rPr>
      </w:pPr>
      <w:r>
        <w:rPr>
          <w:lang w:val="hu-HU"/>
        </w:rPr>
        <w:t>-</w:t>
      </w:r>
      <w:r>
        <w:rPr>
          <w:lang w:val="hu-HU"/>
        </w:rPr>
        <w:tab/>
        <w:t>28, 30, 56, 60, 84 vagy 90 db tabletta, buborékcsomagolásban, dobozban.</w:t>
      </w:r>
    </w:p>
    <w:p w14:paraId="1DDA1CDB" w14:textId="77777777" w:rsidR="00602010" w:rsidRDefault="009F38E3">
      <w:pPr>
        <w:spacing w:line="240" w:lineRule="auto"/>
        <w:rPr>
          <w:lang w:val="hu-HU"/>
        </w:rPr>
      </w:pPr>
      <w:r>
        <w:rPr>
          <w:lang w:val="hu-HU"/>
        </w:rPr>
        <w:t>-</w:t>
      </w:r>
      <w:r>
        <w:rPr>
          <w:lang w:val="hu-HU"/>
        </w:rPr>
        <w:tab/>
        <w:t>28, 56 vagy 84 db tabletta, naptári napos jelzéssel ellátott buborékcsomagolásban, dobozban.</w:t>
      </w:r>
    </w:p>
    <w:p w14:paraId="5391C530" w14:textId="77777777" w:rsidR="00602010" w:rsidRDefault="00602010">
      <w:pPr>
        <w:spacing w:line="240" w:lineRule="auto"/>
        <w:rPr>
          <w:lang w:val="hu-HU"/>
        </w:rPr>
      </w:pPr>
    </w:p>
    <w:p w14:paraId="1A46B528" w14:textId="77777777" w:rsidR="00602010" w:rsidRDefault="009F38E3">
      <w:pPr>
        <w:rPr>
          <w:noProof/>
          <w:lang w:val="hu-HU" w:eastAsia="hu-HU"/>
        </w:rPr>
      </w:pPr>
      <w:r>
        <w:rPr>
          <w:noProof/>
          <w:lang w:val="hu-HU"/>
        </w:rPr>
        <w:t>Nem feltétlenül mindegyik kiszerelés kerül kereskedelmi forgalomba.</w:t>
      </w:r>
    </w:p>
    <w:p w14:paraId="25A07688" w14:textId="77777777" w:rsidR="00602010" w:rsidRDefault="00602010">
      <w:pPr>
        <w:spacing w:line="240" w:lineRule="auto"/>
        <w:rPr>
          <w:lang w:val="hu-HU"/>
        </w:rPr>
      </w:pPr>
    </w:p>
    <w:p w14:paraId="17EFFF53" w14:textId="77777777" w:rsidR="00602010" w:rsidRDefault="009F38E3">
      <w:pPr>
        <w:spacing w:line="240" w:lineRule="auto"/>
        <w:rPr>
          <w:b/>
          <w:bCs/>
          <w:lang w:val="hu-HU"/>
        </w:rPr>
      </w:pPr>
      <w:r>
        <w:rPr>
          <w:b/>
          <w:bCs/>
          <w:lang w:val="hu-HU"/>
        </w:rPr>
        <w:t>A forgalomba hozatali engedély jogosultja és a gyártó</w:t>
      </w:r>
    </w:p>
    <w:p w14:paraId="6D22C44E" w14:textId="77777777" w:rsidR="00602010" w:rsidRDefault="009F38E3">
      <w:pPr>
        <w:pStyle w:val="NormlWeb"/>
        <w:spacing w:before="0" w:beforeAutospacing="0" w:after="0" w:afterAutospacing="0"/>
        <w:rPr>
          <w:sz w:val="22"/>
          <w:szCs w:val="22"/>
        </w:rPr>
      </w:pPr>
      <w:r>
        <w:rPr>
          <w:sz w:val="22"/>
          <w:szCs w:val="22"/>
        </w:rPr>
        <w:t>KRKA, d.d., Novo mesto</w:t>
      </w:r>
    </w:p>
    <w:p w14:paraId="69D1C42B" w14:textId="77777777" w:rsidR="00602010" w:rsidRDefault="009F38E3">
      <w:pPr>
        <w:pStyle w:val="NormlWeb"/>
        <w:spacing w:before="0" w:beforeAutospacing="0" w:after="0" w:afterAutospacing="0"/>
        <w:rPr>
          <w:sz w:val="22"/>
          <w:szCs w:val="22"/>
        </w:rPr>
      </w:pPr>
      <w:r>
        <w:rPr>
          <w:sz w:val="22"/>
          <w:szCs w:val="22"/>
        </w:rPr>
        <w:t>Šmarješka cesta 6</w:t>
      </w:r>
    </w:p>
    <w:p w14:paraId="2F5F8BC0" w14:textId="77777777" w:rsidR="00602010" w:rsidRDefault="009F38E3">
      <w:pPr>
        <w:pStyle w:val="NormlWeb"/>
        <w:spacing w:before="0" w:beforeAutospacing="0" w:after="0" w:afterAutospacing="0"/>
        <w:rPr>
          <w:sz w:val="22"/>
          <w:szCs w:val="22"/>
        </w:rPr>
      </w:pPr>
      <w:r>
        <w:rPr>
          <w:sz w:val="22"/>
          <w:szCs w:val="22"/>
        </w:rPr>
        <w:t>8501 Novo mesto</w:t>
      </w:r>
    </w:p>
    <w:p w14:paraId="7F810E53" w14:textId="77777777" w:rsidR="00602010" w:rsidRDefault="009F38E3">
      <w:pPr>
        <w:pStyle w:val="NormlWeb"/>
        <w:spacing w:before="0" w:beforeAutospacing="0" w:after="0" w:afterAutospacing="0"/>
        <w:rPr>
          <w:sz w:val="22"/>
          <w:szCs w:val="22"/>
        </w:rPr>
      </w:pPr>
      <w:r>
        <w:rPr>
          <w:sz w:val="22"/>
          <w:szCs w:val="22"/>
        </w:rPr>
        <w:t>Szlovénia</w:t>
      </w:r>
    </w:p>
    <w:p w14:paraId="150F9498" w14:textId="77777777" w:rsidR="00602010" w:rsidRDefault="00602010">
      <w:pPr>
        <w:spacing w:line="240" w:lineRule="auto"/>
        <w:rPr>
          <w:lang w:val="hu-HU"/>
        </w:rPr>
      </w:pPr>
    </w:p>
    <w:p w14:paraId="11C44A3D" w14:textId="77777777" w:rsidR="00602010" w:rsidRDefault="009F38E3">
      <w:pPr>
        <w:spacing w:line="240" w:lineRule="auto"/>
        <w:ind w:left="7"/>
        <w:rPr>
          <w:b/>
          <w:lang w:val="hu-HU"/>
        </w:rPr>
      </w:pPr>
      <w:r>
        <w:rPr>
          <w:b/>
          <w:lang w:val="hu-HU"/>
        </w:rPr>
        <w:t>Ezt a gyógyszert az Európai Gazdasági Térség tagállamaiban az alábbi neveken engedélyezték:</w:t>
      </w:r>
    </w:p>
    <w:p w14:paraId="3260B06C" w14:textId="77777777" w:rsidR="00602010" w:rsidRDefault="00602010">
      <w:pPr>
        <w:spacing w:line="240" w:lineRule="auto"/>
        <w:ind w:left="7"/>
        <w:rPr>
          <w:b/>
          <w:lang w:val="hu-HU"/>
        </w:rPr>
      </w:pPr>
    </w:p>
    <w:tbl>
      <w:tblPr>
        <w:tblW w:w="6709" w:type="dxa"/>
        <w:tblInd w:w="75" w:type="dxa"/>
        <w:tblCellMar>
          <w:left w:w="70" w:type="dxa"/>
          <w:right w:w="70" w:type="dxa"/>
        </w:tblCellMar>
        <w:tblLook w:val="04A0" w:firstRow="1" w:lastRow="0" w:firstColumn="1" w:lastColumn="0" w:noHBand="0" w:noVBand="1"/>
      </w:tblPr>
      <w:tblGrid>
        <w:gridCol w:w="4882"/>
        <w:gridCol w:w="1827"/>
      </w:tblGrid>
      <w:tr w:rsidR="00602010" w14:paraId="72C6AAD7" w14:textId="77777777">
        <w:trPr>
          <w:trHeight w:val="229"/>
        </w:trPr>
        <w:tc>
          <w:tcPr>
            <w:tcW w:w="4882" w:type="dxa"/>
            <w:tcBorders>
              <w:top w:val="single" w:sz="4" w:space="0" w:color="auto"/>
              <w:left w:val="single" w:sz="4" w:space="0" w:color="auto"/>
              <w:bottom w:val="single" w:sz="4" w:space="0" w:color="auto"/>
              <w:right w:val="single" w:sz="4" w:space="0" w:color="auto"/>
            </w:tcBorders>
            <w:vAlign w:val="bottom"/>
          </w:tcPr>
          <w:p w14:paraId="425CE3CB" w14:textId="77777777" w:rsidR="00602010" w:rsidRDefault="009F38E3">
            <w:pPr>
              <w:tabs>
                <w:tab w:val="clear" w:pos="567"/>
                <w:tab w:val="left" w:pos="708"/>
              </w:tabs>
              <w:spacing w:line="240" w:lineRule="auto"/>
              <w:rPr>
                <w:color w:val="000000"/>
                <w:lang w:val="hu-HU"/>
              </w:rPr>
            </w:pPr>
            <w:r>
              <w:rPr>
                <w:color w:val="000000"/>
                <w:lang w:val="hu-HU"/>
              </w:rPr>
              <w:t>Bulgária</w:t>
            </w:r>
          </w:p>
        </w:tc>
        <w:tc>
          <w:tcPr>
            <w:tcW w:w="1827" w:type="dxa"/>
            <w:tcBorders>
              <w:top w:val="single" w:sz="4" w:space="0" w:color="auto"/>
              <w:left w:val="nil"/>
              <w:bottom w:val="single" w:sz="4" w:space="0" w:color="auto"/>
              <w:right w:val="single" w:sz="4" w:space="0" w:color="auto"/>
            </w:tcBorders>
            <w:noWrap/>
            <w:vAlign w:val="bottom"/>
          </w:tcPr>
          <w:p w14:paraId="009BC44F" w14:textId="77777777" w:rsidR="00602010" w:rsidRDefault="009F38E3">
            <w:pPr>
              <w:tabs>
                <w:tab w:val="clear" w:pos="567"/>
                <w:tab w:val="left" w:pos="708"/>
              </w:tabs>
              <w:spacing w:line="240" w:lineRule="auto"/>
              <w:rPr>
                <w:color w:val="000000"/>
                <w:lang w:val="hu-HU"/>
              </w:rPr>
            </w:pPr>
            <w:r>
              <w:rPr>
                <w:color w:val="000000"/>
                <w:lang w:val="hu-HU"/>
              </w:rPr>
              <w:t>Толутрис</w:t>
            </w:r>
          </w:p>
        </w:tc>
      </w:tr>
      <w:tr w:rsidR="00602010" w14:paraId="628AF23F" w14:textId="77777777">
        <w:trPr>
          <w:trHeight w:val="408"/>
        </w:trPr>
        <w:tc>
          <w:tcPr>
            <w:tcW w:w="4882" w:type="dxa"/>
            <w:tcBorders>
              <w:top w:val="single" w:sz="4" w:space="0" w:color="auto"/>
              <w:left w:val="single" w:sz="4" w:space="0" w:color="auto"/>
              <w:bottom w:val="single" w:sz="4" w:space="0" w:color="auto"/>
              <w:right w:val="single" w:sz="4" w:space="0" w:color="auto"/>
            </w:tcBorders>
            <w:vAlign w:val="bottom"/>
          </w:tcPr>
          <w:p w14:paraId="4A94F763" w14:textId="77777777" w:rsidR="00602010" w:rsidRDefault="009F38E3">
            <w:pPr>
              <w:tabs>
                <w:tab w:val="clear" w:pos="567"/>
                <w:tab w:val="left" w:pos="708"/>
              </w:tabs>
              <w:spacing w:line="240" w:lineRule="auto"/>
              <w:rPr>
                <w:color w:val="000000"/>
                <w:lang w:val="hu-HU"/>
              </w:rPr>
            </w:pPr>
            <w:r>
              <w:rPr>
                <w:color w:val="000000"/>
                <w:lang w:val="hu-HU"/>
              </w:rPr>
              <w:lastRenderedPageBreak/>
              <w:t>Horvátország, Észtország, Lettország, Lengyelország, Portugália</w:t>
            </w:r>
          </w:p>
        </w:tc>
        <w:tc>
          <w:tcPr>
            <w:tcW w:w="1827" w:type="dxa"/>
            <w:tcBorders>
              <w:top w:val="single" w:sz="4" w:space="0" w:color="auto"/>
              <w:left w:val="nil"/>
              <w:bottom w:val="single" w:sz="4" w:space="0" w:color="auto"/>
              <w:right w:val="single" w:sz="4" w:space="0" w:color="auto"/>
            </w:tcBorders>
            <w:noWrap/>
            <w:vAlign w:val="bottom"/>
          </w:tcPr>
          <w:p w14:paraId="4FE36AF4" w14:textId="77777777" w:rsidR="00602010" w:rsidRDefault="009F38E3">
            <w:pPr>
              <w:tabs>
                <w:tab w:val="clear" w:pos="567"/>
                <w:tab w:val="left" w:pos="708"/>
              </w:tabs>
              <w:spacing w:line="240" w:lineRule="auto"/>
              <w:rPr>
                <w:color w:val="000000"/>
                <w:lang w:val="hu-HU"/>
              </w:rPr>
            </w:pPr>
            <w:r>
              <w:rPr>
                <w:color w:val="000000"/>
                <w:lang w:val="hu-HU"/>
              </w:rPr>
              <w:t>Tolutris</w:t>
            </w:r>
          </w:p>
        </w:tc>
      </w:tr>
      <w:tr w:rsidR="00602010" w14:paraId="76F9119D" w14:textId="77777777">
        <w:trPr>
          <w:trHeight w:val="408"/>
        </w:trPr>
        <w:tc>
          <w:tcPr>
            <w:tcW w:w="4882" w:type="dxa"/>
            <w:tcBorders>
              <w:top w:val="single" w:sz="4" w:space="0" w:color="auto"/>
              <w:left w:val="single" w:sz="4" w:space="0" w:color="auto"/>
              <w:bottom w:val="single" w:sz="4" w:space="0" w:color="auto"/>
              <w:right w:val="single" w:sz="4" w:space="0" w:color="auto"/>
            </w:tcBorders>
            <w:vAlign w:val="bottom"/>
          </w:tcPr>
          <w:p w14:paraId="077C5267" w14:textId="77777777" w:rsidR="00602010" w:rsidRDefault="009F38E3">
            <w:pPr>
              <w:tabs>
                <w:tab w:val="clear" w:pos="567"/>
                <w:tab w:val="left" w:pos="708"/>
              </w:tabs>
              <w:spacing w:line="240" w:lineRule="auto"/>
              <w:rPr>
                <w:color w:val="000000"/>
                <w:lang w:val="hu-HU"/>
              </w:rPr>
            </w:pPr>
            <w:bookmarkStart w:id="1" w:name="_Hlk148450973"/>
            <w:r>
              <w:rPr>
                <w:color w:val="000000"/>
                <w:lang w:val="hu-HU"/>
              </w:rPr>
              <w:t>Litvánia, Szlovénia</w:t>
            </w:r>
          </w:p>
        </w:tc>
        <w:tc>
          <w:tcPr>
            <w:tcW w:w="1827" w:type="dxa"/>
            <w:tcBorders>
              <w:top w:val="single" w:sz="4" w:space="0" w:color="auto"/>
              <w:left w:val="nil"/>
              <w:bottom w:val="single" w:sz="4" w:space="0" w:color="auto"/>
              <w:right w:val="single" w:sz="4" w:space="0" w:color="auto"/>
            </w:tcBorders>
            <w:noWrap/>
            <w:vAlign w:val="bottom"/>
          </w:tcPr>
          <w:p w14:paraId="4771E207" w14:textId="77777777" w:rsidR="00602010" w:rsidRDefault="009F38E3">
            <w:pPr>
              <w:tabs>
                <w:tab w:val="clear" w:pos="567"/>
                <w:tab w:val="left" w:pos="708"/>
              </w:tabs>
              <w:spacing w:line="240" w:lineRule="auto"/>
              <w:rPr>
                <w:color w:val="000000"/>
                <w:lang w:val="hu-HU"/>
              </w:rPr>
            </w:pPr>
            <w:r>
              <w:rPr>
                <w:color w:val="000000"/>
                <w:lang w:val="hu-HU"/>
              </w:rPr>
              <w:t>Tolvecom</w:t>
            </w:r>
          </w:p>
        </w:tc>
      </w:tr>
      <w:tr w:rsidR="00602010" w14:paraId="10ACDC27" w14:textId="77777777">
        <w:trPr>
          <w:trHeight w:val="300"/>
        </w:trPr>
        <w:tc>
          <w:tcPr>
            <w:tcW w:w="4882" w:type="dxa"/>
            <w:tcBorders>
              <w:top w:val="nil"/>
              <w:left w:val="single" w:sz="4" w:space="0" w:color="auto"/>
              <w:bottom w:val="single" w:sz="4" w:space="0" w:color="auto"/>
              <w:right w:val="single" w:sz="4" w:space="0" w:color="auto"/>
            </w:tcBorders>
            <w:noWrap/>
            <w:vAlign w:val="bottom"/>
            <w:hideMark/>
          </w:tcPr>
          <w:p w14:paraId="4C25A387" w14:textId="77777777" w:rsidR="00602010" w:rsidRDefault="009F38E3">
            <w:pPr>
              <w:tabs>
                <w:tab w:val="clear" w:pos="567"/>
                <w:tab w:val="left" w:pos="708"/>
              </w:tabs>
              <w:spacing w:line="240" w:lineRule="auto"/>
              <w:rPr>
                <w:color w:val="000000"/>
                <w:lang w:val="hu-HU"/>
              </w:rPr>
            </w:pPr>
            <w:r>
              <w:rPr>
                <w:color w:val="000000"/>
                <w:lang w:val="hu-HU"/>
              </w:rPr>
              <w:t>Csehország, Magyarország, Szlovákia</w:t>
            </w:r>
          </w:p>
        </w:tc>
        <w:tc>
          <w:tcPr>
            <w:tcW w:w="1827" w:type="dxa"/>
            <w:tcBorders>
              <w:top w:val="nil"/>
              <w:left w:val="nil"/>
              <w:bottom w:val="single" w:sz="4" w:space="0" w:color="auto"/>
              <w:right w:val="single" w:sz="4" w:space="0" w:color="auto"/>
            </w:tcBorders>
            <w:noWrap/>
            <w:vAlign w:val="bottom"/>
            <w:hideMark/>
          </w:tcPr>
          <w:p w14:paraId="5AFF56AC" w14:textId="77777777" w:rsidR="00602010" w:rsidRDefault="009F38E3">
            <w:pPr>
              <w:tabs>
                <w:tab w:val="clear" w:pos="567"/>
                <w:tab w:val="left" w:pos="708"/>
              </w:tabs>
              <w:spacing w:line="240" w:lineRule="auto"/>
              <w:rPr>
                <w:color w:val="000000"/>
                <w:lang w:val="hu-HU"/>
              </w:rPr>
            </w:pPr>
            <w:r>
              <w:rPr>
                <w:color w:val="000000"/>
                <w:lang w:val="hu-HU"/>
              </w:rPr>
              <w:t xml:space="preserve">Tolvecamo </w:t>
            </w:r>
          </w:p>
        </w:tc>
        <w:bookmarkEnd w:id="1"/>
      </w:tr>
    </w:tbl>
    <w:p w14:paraId="52868B93" w14:textId="77777777" w:rsidR="00602010" w:rsidRDefault="00602010">
      <w:pPr>
        <w:spacing w:line="240" w:lineRule="auto"/>
        <w:rPr>
          <w:lang w:val="hu-HU"/>
        </w:rPr>
      </w:pPr>
    </w:p>
    <w:p w14:paraId="0EA56437" w14:textId="77777777" w:rsidR="00602010" w:rsidRDefault="009F38E3">
      <w:pPr>
        <w:spacing w:line="240" w:lineRule="auto"/>
        <w:rPr>
          <w:bCs/>
          <w:sz w:val="24"/>
          <w:szCs w:val="24"/>
          <w:u w:val="single"/>
          <w:lang w:val="hu-HU" w:eastAsia="hu-HU"/>
        </w:rPr>
      </w:pPr>
      <w:r>
        <w:rPr>
          <w:bCs/>
          <w:u w:val="single"/>
          <w:lang w:val="hu-HU"/>
        </w:rPr>
        <w:t>Tolvecamo 40 mg/5 mg/12,5 mg tabletta</w:t>
      </w:r>
    </w:p>
    <w:p w14:paraId="7A025556" w14:textId="77777777" w:rsidR="00602010" w:rsidRDefault="009F38E3">
      <w:pPr>
        <w:spacing w:line="240" w:lineRule="auto"/>
        <w:rPr>
          <w:sz w:val="24"/>
          <w:szCs w:val="24"/>
          <w:lang w:val="hu-HU" w:eastAsia="hu-HU"/>
        </w:rPr>
      </w:pPr>
      <w:bookmarkStart w:id="2" w:name="_Hlk160094656"/>
      <w:r>
        <w:rPr>
          <w:lang w:val="hu-HU"/>
        </w:rPr>
        <w:t>OGYI-T-24351/01</w:t>
      </w:r>
      <w:r>
        <w:rPr>
          <w:lang w:val="hu-HU"/>
        </w:rPr>
        <w:tab/>
        <w:t>28×</w:t>
      </w:r>
      <w:bookmarkEnd w:id="2"/>
      <w:r>
        <w:rPr>
          <w:lang w:val="hu-HU"/>
        </w:rPr>
        <w:tab/>
        <w:t>OPA/Al/PVC//Al buborékcsomagolásban</w:t>
      </w:r>
    </w:p>
    <w:p w14:paraId="4690CFC2" w14:textId="77777777" w:rsidR="00602010" w:rsidRDefault="009F38E3">
      <w:pPr>
        <w:spacing w:line="240" w:lineRule="auto"/>
        <w:rPr>
          <w:lang w:val="hu-HU"/>
        </w:rPr>
      </w:pPr>
      <w:r>
        <w:rPr>
          <w:lang w:val="hu-HU"/>
        </w:rPr>
        <w:t>OGYI-T-24351/02</w:t>
      </w:r>
      <w:r>
        <w:rPr>
          <w:lang w:val="hu-HU"/>
        </w:rPr>
        <w:tab/>
        <w:t>28×</w:t>
      </w:r>
      <w:r>
        <w:rPr>
          <w:lang w:val="hu-HU"/>
        </w:rPr>
        <w:tab/>
        <w:t>naptári nappal jelölt OPA/Al/PVC//Al buborékcsomagolásban</w:t>
      </w:r>
    </w:p>
    <w:p w14:paraId="3C7F27B5" w14:textId="77777777" w:rsidR="00602010" w:rsidRDefault="009F38E3">
      <w:pPr>
        <w:spacing w:line="240" w:lineRule="auto"/>
        <w:rPr>
          <w:lang w:val="hu-HU"/>
        </w:rPr>
      </w:pPr>
      <w:r>
        <w:rPr>
          <w:lang w:val="hu-HU"/>
        </w:rPr>
        <w:t>OGYI-T-24351/03</w:t>
      </w:r>
      <w:r>
        <w:rPr>
          <w:lang w:val="hu-HU"/>
        </w:rPr>
        <w:tab/>
        <w:t>30×</w:t>
      </w:r>
      <w:r>
        <w:rPr>
          <w:lang w:val="hu-HU"/>
        </w:rPr>
        <w:tab/>
        <w:t>OPA/Al/PVC//Al buborékcsomagolásban</w:t>
      </w:r>
    </w:p>
    <w:p w14:paraId="7523299C" w14:textId="77777777" w:rsidR="00602010" w:rsidRDefault="009F38E3">
      <w:pPr>
        <w:spacing w:line="240" w:lineRule="auto"/>
        <w:rPr>
          <w:lang w:val="hu-HU"/>
        </w:rPr>
      </w:pPr>
      <w:r>
        <w:rPr>
          <w:lang w:val="hu-HU"/>
        </w:rPr>
        <w:t>OGYI-T-24351/04</w:t>
      </w:r>
      <w:r>
        <w:rPr>
          <w:lang w:val="hu-HU"/>
        </w:rPr>
        <w:tab/>
        <w:t>56×</w:t>
      </w:r>
      <w:r>
        <w:rPr>
          <w:lang w:val="hu-HU"/>
        </w:rPr>
        <w:tab/>
        <w:t>OPA/Al/PVC//Al buborékcsomagolásban</w:t>
      </w:r>
    </w:p>
    <w:p w14:paraId="61004439" w14:textId="77777777" w:rsidR="00602010" w:rsidRDefault="009F38E3">
      <w:pPr>
        <w:spacing w:line="240" w:lineRule="auto"/>
        <w:rPr>
          <w:lang w:val="hu-HU"/>
        </w:rPr>
      </w:pPr>
      <w:r>
        <w:rPr>
          <w:lang w:val="hu-HU"/>
        </w:rPr>
        <w:t>OGYI-T-24351/05</w:t>
      </w:r>
      <w:r>
        <w:rPr>
          <w:lang w:val="hu-HU"/>
        </w:rPr>
        <w:tab/>
        <w:t>56×</w:t>
      </w:r>
      <w:r>
        <w:rPr>
          <w:lang w:val="hu-HU"/>
        </w:rPr>
        <w:tab/>
        <w:t>naptári nappal jelölt OPA/Al/PVC//Al buborékcsomagolásban</w:t>
      </w:r>
    </w:p>
    <w:p w14:paraId="624636F7" w14:textId="77777777" w:rsidR="00602010" w:rsidRDefault="009F38E3">
      <w:pPr>
        <w:spacing w:line="240" w:lineRule="auto"/>
        <w:rPr>
          <w:lang w:val="hu-HU"/>
        </w:rPr>
      </w:pPr>
      <w:r>
        <w:rPr>
          <w:lang w:val="hu-HU"/>
        </w:rPr>
        <w:t>OGYI-T-24351/06</w:t>
      </w:r>
      <w:r>
        <w:rPr>
          <w:lang w:val="hu-HU"/>
        </w:rPr>
        <w:tab/>
        <w:t>60×</w:t>
      </w:r>
      <w:r>
        <w:rPr>
          <w:lang w:val="hu-HU"/>
        </w:rPr>
        <w:tab/>
        <w:t>OPA/Al/PVC//Al buborékcsomagolásban</w:t>
      </w:r>
    </w:p>
    <w:p w14:paraId="3AB79007" w14:textId="77777777" w:rsidR="00602010" w:rsidRDefault="009F38E3">
      <w:pPr>
        <w:spacing w:line="240" w:lineRule="auto"/>
        <w:rPr>
          <w:lang w:val="hu-HU"/>
        </w:rPr>
      </w:pPr>
      <w:r>
        <w:rPr>
          <w:lang w:val="hu-HU"/>
        </w:rPr>
        <w:t>OGYI-T-24351/07</w:t>
      </w:r>
      <w:r>
        <w:rPr>
          <w:lang w:val="hu-HU"/>
        </w:rPr>
        <w:tab/>
        <w:t>84×</w:t>
      </w:r>
      <w:r>
        <w:rPr>
          <w:lang w:val="hu-HU"/>
        </w:rPr>
        <w:tab/>
        <w:t>OPA/Al/PVC//Al buborékcsomagolásban</w:t>
      </w:r>
    </w:p>
    <w:p w14:paraId="2F1D1E68" w14:textId="77777777" w:rsidR="00602010" w:rsidRDefault="009F38E3">
      <w:pPr>
        <w:spacing w:line="240" w:lineRule="auto"/>
        <w:rPr>
          <w:lang w:val="hu-HU"/>
        </w:rPr>
      </w:pPr>
      <w:r>
        <w:rPr>
          <w:lang w:val="hu-HU"/>
        </w:rPr>
        <w:t>OGYI-T-24351/08</w:t>
      </w:r>
      <w:r>
        <w:rPr>
          <w:lang w:val="hu-HU"/>
        </w:rPr>
        <w:tab/>
        <w:t>84×</w:t>
      </w:r>
      <w:r>
        <w:rPr>
          <w:lang w:val="hu-HU"/>
        </w:rPr>
        <w:tab/>
        <w:t>naptári nappal jelölt OPA/Al/PVC//Al buborékcsomagolásban</w:t>
      </w:r>
    </w:p>
    <w:p w14:paraId="0B2448A9" w14:textId="77777777" w:rsidR="00602010" w:rsidRDefault="009F38E3">
      <w:pPr>
        <w:spacing w:line="240" w:lineRule="auto"/>
        <w:rPr>
          <w:lang w:val="hu-HU"/>
        </w:rPr>
      </w:pPr>
      <w:r>
        <w:rPr>
          <w:lang w:val="hu-HU"/>
        </w:rPr>
        <w:t>OGYI-T-24351/09</w:t>
      </w:r>
      <w:r>
        <w:rPr>
          <w:lang w:val="hu-HU"/>
        </w:rPr>
        <w:tab/>
        <w:t>90×</w:t>
      </w:r>
      <w:r>
        <w:rPr>
          <w:lang w:val="hu-HU"/>
        </w:rPr>
        <w:tab/>
        <w:t>OPA/Al/PVC//Al buborékcsomagolásban</w:t>
      </w:r>
    </w:p>
    <w:p w14:paraId="0A043CD0" w14:textId="77777777" w:rsidR="00602010" w:rsidRDefault="00602010">
      <w:pPr>
        <w:spacing w:line="240" w:lineRule="auto"/>
        <w:rPr>
          <w:lang w:val="hu-HU"/>
        </w:rPr>
      </w:pPr>
    </w:p>
    <w:p w14:paraId="5F9D9AA1" w14:textId="77777777" w:rsidR="00602010" w:rsidRDefault="009F38E3">
      <w:pPr>
        <w:spacing w:line="240" w:lineRule="auto"/>
        <w:rPr>
          <w:bCs/>
          <w:sz w:val="24"/>
          <w:szCs w:val="24"/>
          <w:u w:val="single"/>
          <w:lang w:val="hu-HU" w:eastAsia="hu-HU"/>
        </w:rPr>
      </w:pPr>
      <w:r>
        <w:rPr>
          <w:bCs/>
          <w:u w:val="single"/>
          <w:lang w:val="hu-HU"/>
        </w:rPr>
        <w:t>Tolvecamo 80 mg/5 mg/12,5 mg tabletta</w:t>
      </w:r>
    </w:p>
    <w:p w14:paraId="3C41ECA1" w14:textId="77777777" w:rsidR="00602010" w:rsidRDefault="009F38E3">
      <w:pPr>
        <w:spacing w:line="240" w:lineRule="auto"/>
        <w:rPr>
          <w:sz w:val="24"/>
          <w:szCs w:val="24"/>
          <w:lang w:val="hu-HU" w:eastAsia="hu-HU"/>
        </w:rPr>
      </w:pPr>
      <w:r>
        <w:rPr>
          <w:lang w:val="hu-HU"/>
        </w:rPr>
        <w:t>OGYI-T-24351/10</w:t>
      </w:r>
      <w:r>
        <w:rPr>
          <w:lang w:val="hu-HU"/>
        </w:rPr>
        <w:tab/>
        <w:t>28×</w:t>
      </w:r>
      <w:r>
        <w:rPr>
          <w:lang w:val="hu-HU"/>
        </w:rPr>
        <w:tab/>
        <w:t xml:space="preserve"> OPA/Al/PVC//Al buborékcsomagolásban</w:t>
      </w:r>
    </w:p>
    <w:p w14:paraId="481FA3AC" w14:textId="77777777" w:rsidR="00602010" w:rsidRDefault="009F38E3">
      <w:pPr>
        <w:spacing w:line="240" w:lineRule="auto"/>
        <w:rPr>
          <w:lang w:val="hu-HU"/>
        </w:rPr>
      </w:pPr>
      <w:r>
        <w:rPr>
          <w:lang w:val="hu-HU"/>
        </w:rPr>
        <w:t>OGYI-T-24351/11</w:t>
      </w:r>
      <w:r>
        <w:rPr>
          <w:lang w:val="hu-HU"/>
        </w:rPr>
        <w:tab/>
        <w:t>28×</w:t>
      </w:r>
      <w:r>
        <w:rPr>
          <w:lang w:val="hu-HU"/>
        </w:rPr>
        <w:tab/>
        <w:t>naptári nappal jelölt OPA/Al/PVC//Al buborékcsomagolásban</w:t>
      </w:r>
    </w:p>
    <w:p w14:paraId="00D6C665" w14:textId="77777777" w:rsidR="00602010" w:rsidRDefault="009F38E3">
      <w:pPr>
        <w:spacing w:line="240" w:lineRule="auto"/>
        <w:rPr>
          <w:lang w:val="hu-HU"/>
        </w:rPr>
      </w:pPr>
      <w:r>
        <w:rPr>
          <w:lang w:val="hu-HU"/>
        </w:rPr>
        <w:t>OGYI-T-24351/12</w:t>
      </w:r>
      <w:r>
        <w:rPr>
          <w:lang w:val="hu-HU"/>
        </w:rPr>
        <w:tab/>
        <w:t>30×</w:t>
      </w:r>
      <w:r>
        <w:rPr>
          <w:lang w:val="hu-HU"/>
        </w:rPr>
        <w:tab/>
        <w:t>OPA/Al/PVC//Al buborékcsomagolásban</w:t>
      </w:r>
    </w:p>
    <w:p w14:paraId="4A85BA0D" w14:textId="77777777" w:rsidR="00602010" w:rsidRDefault="009F38E3">
      <w:pPr>
        <w:spacing w:line="240" w:lineRule="auto"/>
        <w:rPr>
          <w:lang w:val="hu-HU"/>
        </w:rPr>
      </w:pPr>
      <w:r>
        <w:rPr>
          <w:lang w:val="hu-HU"/>
        </w:rPr>
        <w:t>OGYI-T-24351/13</w:t>
      </w:r>
      <w:r>
        <w:rPr>
          <w:lang w:val="hu-HU"/>
        </w:rPr>
        <w:tab/>
        <w:t>56×</w:t>
      </w:r>
      <w:r>
        <w:rPr>
          <w:lang w:val="hu-HU"/>
        </w:rPr>
        <w:tab/>
        <w:t>OPA/Al/PVC//Al buborékcsomagolásban</w:t>
      </w:r>
    </w:p>
    <w:p w14:paraId="073F68C2" w14:textId="77777777" w:rsidR="00602010" w:rsidRDefault="009F38E3">
      <w:pPr>
        <w:spacing w:line="240" w:lineRule="auto"/>
        <w:rPr>
          <w:lang w:val="hu-HU"/>
        </w:rPr>
      </w:pPr>
      <w:r>
        <w:rPr>
          <w:lang w:val="hu-HU"/>
        </w:rPr>
        <w:t>OGYI-T-24351/14</w:t>
      </w:r>
      <w:r>
        <w:rPr>
          <w:lang w:val="hu-HU"/>
        </w:rPr>
        <w:tab/>
        <w:t>56×</w:t>
      </w:r>
      <w:r>
        <w:rPr>
          <w:lang w:val="hu-HU"/>
        </w:rPr>
        <w:tab/>
        <w:t>naptári nappal jelölt OPA/Al/PVC//Al buborékcsomagolásban</w:t>
      </w:r>
    </w:p>
    <w:p w14:paraId="26A285DD" w14:textId="77777777" w:rsidR="00602010" w:rsidRDefault="009F38E3">
      <w:pPr>
        <w:spacing w:line="240" w:lineRule="auto"/>
        <w:rPr>
          <w:lang w:val="hu-HU"/>
        </w:rPr>
      </w:pPr>
      <w:r>
        <w:rPr>
          <w:lang w:val="hu-HU"/>
        </w:rPr>
        <w:t>OGYI-T-24351/15</w:t>
      </w:r>
      <w:r>
        <w:rPr>
          <w:lang w:val="hu-HU"/>
        </w:rPr>
        <w:tab/>
        <w:t>60×</w:t>
      </w:r>
      <w:r>
        <w:rPr>
          <w:lang w:val="hu-HU"/>
        </w:rPr>
        <w:tab/>
        <w:t>OPA/Al/PVC//Al buborékcsomagolásban</w:t>
      </w:r>
    </w:p>
    <w:p w14:paraId="43F62948" w14:textId="77777777" w:rsidR="00602010" w:rsidRDefault="009F38E3">
      <w:pPr>
        <w:spacing w:line="240" w:lineRule="auto"/>
        <w:rPr>
          <w:lang w:val="hu-HU"/>
        </w:rPr>
      </w:pPr>
      <w:r>
        <w:rPr>
          <w:lang w:val="hu-HU"/>
        </w:rPr>
        <w:t>OGYI-T-24351/16</w:t>
      </w:r>
      <w:r>
        <w:rPr>
          <w:lang w:val="hu-HU"/>
        </w:rPr>
        <w:tab/>
        <w:t>84×</w:t>
      </w:r>
      <w:r>
        <w:rPr>
          <w:lang w:val="hu-HU"/>
        </w:rPr>
        <w:tab/>
        <w:t>OPA/Al/PVC//Al buborékcsomagolásban</w:t>
      </w:r>
    </w:p>
    <w:p w14:paraId="559A7942" w14:textId="77777777" w:rsidR="00602010" w:rsidRDefault="009F38E3">
      <w:pPr>
        <w:spacing w:line="240" w:lineRule="auto"/>
        <w:rPr>
          <w:lang w:val="hu-HU"/>
        </w:rPr>
      </w:pPr>
      <w:r>
        <w:rPr>
          <w:lang w:val="hu-HU"/>
        </w:rPr>
        <w:t>OGYI-T-24351/17</w:t>
      </w:r>
      <w:r>
        <w:rPr>
          <w:lang w:val="hu-HU"/>
        </w:rPr>
        <w:tab/>
        <w:t>84×</w:t>
      </w:r>
      <w:r>
        <w:rPr>
          <w:lang w:val="hu-HU"/>
        </w:rPr>
        <w:tab/>
        <w:t>naptári nappal jelölt OPA/Al/PVC//Al buborékcsomagolásban</w:t>
      </w:r>
    </w:p>
    <w:p w14:paraId="222ACB78" w14:textId="77777777" w:rsidR="00602010" w:rsidRDefault="009F38E3">
      <w:pPr>
        <w:spacing w:line="240" w:lineRule="auto"/>
        <w:rPr>
          <w:lang w:val="hu-HU"/>
        </w:rPr>
      </w:pPr>
      <w:r>
        <w:rPr>
          <w:lang w:val="hu-HU"/>
        </w:rPr>
        <w:t>OGYI-T-24351/18</w:t>
      </w:r>
      <w:r>
        <w:rPr>
          <w:lang w:val="hu-HU"/>
        </w:rPr>
        <w:tab/>
        <w:t>90×</w:t>
      </w:r>
      <w:r>
        <w:rPr>
          <w:lang w:val="hu-HU"/>
        </w:rPr>
        <w:tab/>
        <w:t>OPA/Al/PVC//Al buborékcsomagolásban</w:t>
      </w:r>
    </w:p>
    <w:p w14:paraId="5ECC830C" w14:textId="77777777" w:rsidR="00602010" w:rsidRDefault="00602010">
      <w:pPr>
        <w:spacing w:line="240" w:lineRule="auto"/>
        <w:rPr>
          <w:lang w:val="hu-HU"/>
        </w:rPr>
      </w:pPr>
    </w:p>
    <w:p w14:paraId="66CC55FF" w14:textId="77777777" w:rsidR="00602010" w:rsidRDefault="009F38E3">
      <w:pPr>
        <w:spacing w:line="240" w:lineRule="auto"/>
        <w:rPr>
          <w:bCs/>
          <w:sz w:val="24"/>
          <w:szCs w:val="24"/>
          <w:u w:val="single"/>
          <w:lang w:val="hu-HU" w:eastAsia="hu-HU"/>
        </w:rPr>
      </w:pPr>
      <w:r>
        <w:rPr>
          <w:bCs/>
          <w:u w:val="single"/>
          <w:lang w:val="hu-HU"/>
        </w:rPr>
        <w:t>Tolvecamo 80 mg/10 mg/12,5 mg tabletta</w:t>
      </w:r>
    </w:p>
    <w:p w14:paraId="480C1464" w14:textId="77777777" w:rsidR="00602010" w:rsidRDefault="009F38E3">
      <w:pPr>
        <w:spacing w:line="240" w:lineRule="auto"/>
        <w:rPr>
          <w:sz w:val="24"/>
          <w:szCs w:val="24"/>
          <w:lang w:val="hu-HU" w:eastAsia="hu-HU"/>
        </w:rPr>
      </w:pPr>
      <w:r>
        <w:rPr>
          <w:lang w:val="hu-HU"/>
        </w:rPr>
        <w:t>OGYI-T-24351/19</w:t>
      </w:r>
      <w:r>
        <w:rPr>
          <w:lang w:val="hu-HU"/>
        </w:rPr>
        <w:tab/>
        <w:t>28×</w:t>
      </w:r>
      <w:r>
        <w:rPr>
          <w:lang w:val="hu-HU"/>
        </w:rPr>
        <w:tab/>
        <w:t>OPA/Al/PVC//Al buborékcsomagolásban</w:t>
      </w:r>
    </w:p>
    <w:p w14:paraId="12772ABB" w14:textId="77777777" w:rsidR="00602010" w:rsidRDefault="009F38E3">
      <w:pPr>
        <w:spacing w:line="240" w:lineRule="auto"/>
        <w:rPr>
          <w:lang w:val="hu-HU"/>
        </w:rPr>
      </w:pPr>
      <w:r>
        <w:rPr>
          <w:lang w:val="hu-HU"/>
        </w:rPr>
        <w:t>OGYI-T-24351/20</w:t>
      </w:r>
      <w:r>
        <w:rPr>
          <w:lang w:val="hu-HU"/>
        </w:rPr>
        <w:tab/>
        <w:t>28×</w:t>
      </w:r>
      <w:r>
        <w:rPr>
          <w:lang w:val="hu-HU"/>
        </w:rPr>
        <w:tab/>
        <w:t>naptári nappal jelölt OPA/Al/PVC//Al buborékcsomagolásban</w:t>
      </w:r>
    </w:p>
    <w:p w14:paraId="00AEF8B7" w14:textId="77777777" w:rsidR="00602010" w:rsidRDefault="009F38E3">
      <w:pPr>
        <w:spacing w:line="240" w:lineRule="auto"/>
        <w:rPr>
          <w:lang w:val="hu-HU"/>
        </w:rPr>
      </w:pPr>
      <w:r>
        <w:rPr>
          <w:lang w:val="hu-HU"/>
        </w:rPr>
        <w:t>OGYI-T-24351/21</w:t>
      </w:r>
      <w:r>
        <w:rPr>
          <w:lang w:val="hu-HU"/>
        </w:rPr>
        <w:tab/>
        <w:t>30×</w:t>
      </w:r>
      <w:r>
        <w:rPr>
          <w:lang w:val="hu-HU"/>
        </w:rPr>
        <w:tab/>
        <w:t>OPA/Al/PVC//Al buborékcsomagolásban</w:t>
      </w:r>
    </w:p>
    <w:p w14:paraId="53884179" w14:textId="77777777" w:rsidR="00602010" w:rsidRDefault="009F38E3">
      <w:pPr>
        <w:spacing w:line="240" w:lineRule="auto"/>
        <w:rPr>
          <w:lang w:val="hu-HU"/>
        </w:rPr>
      </w:pPr>
      <w:r>
        <w:rPr>
          <w:lang w:val="hu-HU"/>
        </w:rPr>
        <w:t>OGYI-T-24351/22</w:t>
      </w:r>
      <w:r>
        <w:rPr>
          <w:lang w:val="hu-HU"/>
        </w:rPr>
        <w:tab/>
        <w:t>56×</w:t>
      </w:r>
      <w:r>
        <w:rPr>
          <w:lang w:val="hu-HU"/>
        </w:rPr>
        <w:tab/>
        <w:t>OPA/Al/PVC//Al buborékcsomagolásban</w:t>
      </w:r>
    </w:p>
    <w:p w14:paraId="2D449341" w14:textId="77777777" w:rsidR="00602010" w:rsidRDefault="009F38E3">
      <w:pPr>
        <w:spacing w:line="240" w:lineRule="auto"/>
        <w:rPr>
          <w:lang w:val="hu-HU"/>
        </w:rPr>
      </w:pPr>
      <w:r>
        <w:rPr>
          <w:lang w:val="hu-HU"/>
        </w:rPr>
        <w:t>OGYI-T-24351/23</w:t>
      </w:r>
      <w:r>
        <w:rPr>
          <w:lang w:val="hu-HU"/>
        </w:rPr>
        <w:tab/>
        <w:t>56×</w:t>
      </w:r>
      <w:r>
        <w:rPr>
          <w:lang w:val="hu-HU"/>
        </w:rPr>
        <w:tab/>
        <w:t>naptári nappal jelölt OPA/Al/PVC//Al buborékcsomagolásban</w:t>
      </w:r>
    </w:p>
    <w:p w14:paraId="3AD1F0D1" w14:textId="77777777" w:rsidR="00602010" w:rsidRDefault="009F38E3">
      <w:pPr>
        <w:spacing w:line="240" w:lineRule="auto"/>
        <w:rPr>
          <w:lang w:val="hu-HU"/>
        </w:rPr>
      </w:pPr>
      <w:r>
        <w:rPr>
          <w:lang w:val="hu-HU"/>
        </w:rPr>
        <w:t>OGYI-T-24351/24</w:t>
      </w:r>
      <w:r>
        <w:rPr>
          <w:lang w:val="hu-HU"/>
        </w:rPr>
        <w:tab/>
        <w:t>60×</w:t>
      </w:r>
      <w:r>
        <w:rPr>
          <w:lang w:val="hu-HU"/>
        </w:rPr>
        <w:tab/>
        <w:t>OPA/Al/PVC//Al buborékcsomagolásban</w:t>
      </w:r>
    </w:p>
    <w:p w14:paraId="2310515A" w14:textId="77777777" w:rsidR="00602010" w:rsidRDefault="009F38E3">
      <w:pPr>
        <w:spacing w:line="240" w:lineRule="auto"/>
        <w:rPr>
          <w:lang w:val="hu-HU"/>
        </w:rPr>
      </w:pPr>
      <w:r>
        <w:rPr>
          <w:lang w:val="hu-HU"/>
        </w:rPr>
        <w:t>OGYI-T-24351/25</w:t>
      </w:r>
      <w:r>
        <w:rPr>
          <w:lang w:val="hu-HU"/>
        </w:rPr>
        <w:tab/>
        <w:t>84×</w:t>
      </w:r>
      <w:r>
        <w:rPr>
          <w:lang w:val="hu-HU"/>
        </w:rPr>
        <w:tab/>
        <w:t>OPA/Al/PVC//Al buborékcsomagolásban</w:t>
      </w:r>
    </w:p>
    <w:p w14:paraId="440DB1DA" w14:textId="77777777" w:rsidR="00602010" w:rsidRDefault="009F38E3">
      <w:pPr>
        <w:spacing w:line="240" w:lineRule="auto"/>
        <w:rPr>
          <w:lang w:val="hu-HU"/>
        </w:rPr>
      </w:pPr>
      <w:r>
        <w:rPr>
          <w:lang w:val="hu-HU"/>
        </w:rPr>
        <w:t>OGYI-T-24351/26</w:t>
      </w:r>
      <w:r>
        <w:rPr>
          <w:lang w:val="hu-HU"/>
        </w:rPr>
        <w:tab/>
        <w:t>84×</w:t>
      </w:r>
      <w:r>
        <w:rPr>
          <w:lang w:val="hu-HU"/>
        </w:rPr>
        <w:tab/>
        <w:t>naptári nappal jelölt OPA/Al/PVC//Al buborékcsomagolásban</w:t>
      </w:r>
    </w:p>
    <w:p w14:paraId="5C6CCEF6" w14:textId="77777777" w:rsidR="00602010" w:rsidRDefault="009F38E3">
      <w:pPr>
        <w:spacing w:line="240" w:lineRule="auto"/>
        <w:rPr>
          <w:lang w:val="hu-HU"/>
        </w:rPr>
      </w:pPr>
      <w:r>
        <w:rPr>
          <w:lang w:val="hu-HU"/>
        </w:rPr>
        <w:t>OGYI-T-24351/27</w:t>
      </w:r>
      <w:r>
        <w:rPr>
          <w:lang w:val="hu-HU"/>
        </w:rPr>
        <w:tab/>
        <w:t>90×</w:t>
      </w:r>
      <w:r>
        <w:rPr>
          <w:lang w:val="hu-HU"/>
        </w:rPr>
        <w:tab/>
        <w:t>OPA/Al/PVC//Al buborékcsomagolásban</w:t>
      </w:r>
    </w:p>
    <w:p w14:paraId="554C9A3E" w14:textId="77777777" w:rsidR="00602010" w:rsidRDefault="00602010">
      <w:pPr>
        <w:spacing w:line="240" w:lineRule="auto"/>
        <w:rPr>
          <w:lang w:val="hu-HU"/>
        </w:rPr>
      </w:pPr>
    </w:p>
    <w:p w14:paraId="76C6256C" w14:textId="77777777" w:rsidR="00602010" w:rsidRDefault="009F38E3">
      <w:pPr>
        <w:spacing w:line="240" w:lineRule="auto"/>
        <w:rPr>
          <w:bCs/>
          <w:sz w:val="24"/>
          <w:szCs w:val="24"/>
          <w:u w:val="single"/>
          <w:lang w:val="hu-HU" w:eastAsia="hu-HU"/>
        </w:rPr>
      </w:pPr>
      <w:r>
        <w:rPr>
          <w:bCs/>
          <w:u w:val="single"/>
          <w:lang w:val="hu-HU"/>
        </w:rPr>
        <w:t>Tolvecamo 80 mg/10 mg/25 mg tabletta</w:t>
      </w:r>
    </w:p>
    <w:p w14:paraId="2A968577" w14:textId="77777777" w:rsidR="00602010" w:rsidRDefault="009F38E3">
      <w:pPr>
        <w:spacing w:line="240" w:lineRule="auto"/>
        <w:rPr>
          <w:sz w:val="24"/>
          <w:szCs w:val="24"/>
          <w:lang w:val="hu-HU" w:eastAsia="hu-HU"/>
        </w:rPr>
      </w:pPr>
      <w:r>
        <w:rPr>
          <w:lang w:val="hu-HU"/>
        </w:rPr>
        <w:t>OGYI-T-24351/28</w:t>
      </w:r>
      <w:r>
        <w:rPr>
          <w:lang w:val="hu-HU"/>
        </w:rPr>
        <w:tab/>
        <w:t>28×</w:t>
      </w:r>
      <w:r>
        <w:rPr>
          <w:lang w:val="hu-HU"/>
        </w:rPr>
        <w:tab/>
        <w:t>OPA/Al/PVC//Al buborékcsomagolásban</w:t>
      </w:r>
    </w:p>
    <w:p w14:paraId="6B8AE8FD" w14:textId="77777777" w:rsidR="00602010" w:rsidRDefault="009F38E3">
      <w:pPr>
        <w:spacing w:line="240" w:lineRule="auto"/>
        <w:rPr>
          <w:lang w:val="hu-HU"/>
        </w:rPr>
      </w:pPr>
      <w:r>
        <w:rPr>
          <w:lang w:val="hu-HU"/>
        </w:rPr>
        <w:t>OGYI-T-24351/29</w:t>
      </w:r>
      <w:r>
        <w:rPr>
          <w:lang w:val="hu-HU"/>
        </w:rPr>
        <w:tab/>
        <w:t>28×</w:t>
      </w:r>
      <w:r>
        <w:rPr>
          <w:lang w:val="hu-HU"/>
        </w:rPr>
        <w:tab/>
        <w:t>naptári nappal jelölt OPA/Al/PVC//Al buborékcsomagolásban</w:t>
      </w:r>
    </w:p>
    <w:p w14:paraId="4B192C0B" w14:textId="77777777" w:rsidR="00602010" w:rsidRDefault="009F38E3">
      <w:pPr>
        <w:spacing w:line="240" w:lineRule="auto"/>
        <w:rPr>
          <w:lang w:val="hu-HU"/>
        </w:rPr>
      </w:pPr>
      <w:r>
        <w:rPr>
          <w:lang w:val="hu-HU"/>
        </w:rPr>
        <w:t>OGYI-T-24351/30</w:t>
      </w:r>
      <w:r>
        <w:rPr>
          <w:lang w:val="hu-HU"/>
        </w:rPr>
        <w:tab/>
        <w:t>30×</w:t>
      </w:r>
      <w:r>
        <w:rPr>
          <w:lang w:val="hu-HU"/>
        </w:rPr>
        <w:tab/>
        <w:t>OPA/Al/PVC//Al buborékcsomagolásban</w:t>
      </w:r>
    </w:p>
    <w:p w14:paraId="1FBB7ED6" w14:textId="77777777" w:rsidR="00602010" w:rsidRDefault="009F38E3">
      <w:pPr>
        <w:spacing w:line="240" w:lineRule="auto"/>
        <w:rPr>
          <w:lang w:val="hu-HU"/>
        </w:rPr>
      </w:pPr>
      <w:r>
        <w:rPr>
          <w:lang w:val="hu-HU"/>
        </w:rPr>
        <w:t>OGYI-T-24351/31</w:t>
      </w:r>
      <w:r>
        <w:rPr>
          <w:lang w:val="hu-HU"/>
        </w:rPr>
        <w:tab/>
        <w:t>56×</w:t>
      </w:r>
      <w:r>
        <w:rPr>
          <w:lang w:val="hu-HU"/>
        </w:rPr>
        <w:tab/>
        <w:t>OPA/Al/PVC//Al buborékcsomagolásban</w:t>
      </w:r>
    </w:p>
    <w:p w14:paraId="76FD8D3D" w14:textId="77777777" w:rsidR="00602010" w:rsidRDefault="009F38E3">
      <w:pPr>
        <w:spacing w:line="240" w:lineRule="auto"/>
        <w:rPr>
          <w:lang w:val="hu-HU"/>
        </w:rPr>
      </w:pPr>
      <w:r>
        <w:rPr>
          <w:lang w:val="hu-HU"/>
        </w:rPr>
        <w:t>OGYI-T-24351/32</w:t>
      </w:r>
      <w:r>
        <w:rPr>
          <w:lang w:val="hu-HU"/>
        </w:rPr>
        <w:tab/>
        <w:t>56×</w:t>
      </w:r>
      <w:r>
        <w:rPr>
          <w:lang w:val="hu-HU"/>
        </w:rPr>
        <w:tab/>
        <w:t>naptári nappal jelölt OPA/Al/PVC//Al buborékcsomagolásban</w:t>
      </w:r>
    </w:p>
    <w:p w14:paraId="78205185" w14:textId="77777777" w:rsidR="00602010" w:rsidRDefault="009F38E3">
      <w:pPr>
        <w:spacing w:line="240" w:lineRule="auto"/>
        <w:rPr>
          <w:lang w:val="hu-HU"/>
        </w:rPr>
      </w:pPr>
      <w:r>
        <w:rPr>
          <w:lang w:val="hu-HU"/>
        </w:rPr>
        <w:t>OGYI-T-24351/33</w:t>
      </w:r>
      <w:r>
        <w:rPr>
          <w:lang w:val="hu-HU"/>
        </w:rPr>
        <w:tab/>
        <w:t>60×</w:t>
      </w:r>
      <w:r>
        <w:rPr>
          <w:lang w:val="hu-HU"/>
        </w:rPr>
        <w:tab/>
        <w:t>OPA/Al/PVC//Al buborékcsomagolásban</w:t>
      </w:r>
    </w:p>
    <w:p w14:paraId="0AE45EF8" w14:textId="77777777" w:rsidR="00602010" w:rsidRDefault="009F38E3">
      <w:pPr>
        <w:spacing w:line="240" w:lineRule="auto"/>
        <w:rPr>
          <w:lang w:val="hu-HU"/>
        </w:rPr>
      </w:pPr>
      <w:r>
        <w:rPr>
          <w:lang w:val="hu-HU"/>
        </w:rPr>
        <w:t>OGYI-T-24351/34</w:t>
      </w:r>
      <w:r>
        <w:rPr>
          <w:lang w:val="hu-HU"/>
        </w:rPr>
        <w:tab/>
        <w:t>84×</w:t>
      </w:r>
      <w:r>
        <w:rPr>
          <w:lang w:val="hu-HU"/>
        </w:rPr>
        <w:tab/>
        <w:t>OPA/Al/PVC//Al buborékcsomagolásban</w:t>
      </w:r>
    </w:p>
    <w:p w14:paraId="761C091C" w14:textId="77777777" w:rsidR="00602010" w:rsidRDefault="009F38E3">
      <w:pPr>
        <w:spacing w:line="240" w:lineRule="auto"/>
        <w:rPr>
          <w:lang w:val="hu-HU"/>
        </w:rPr>
      </w:pPr>
      <w:r>
        <w:rPr>
          <w:lang w:val="hu-HU"/>
        </w:rPr>
        <w:t>OGYI-T-24351/35</w:t>
      </w:r>
      <w:r>
        <w:rPr>
          <w:lang w:val="hu-HU"/>
        </w:rPr>
        <w:tab/>
        <w:t>84×</w:t>
      </w:r>
      <w:r>
        <w:rPr>
          <w:lang w:val="hu-HU"/>
        </w:rPr>
        <w:tab/>
        <w:t>naptári nappal jelölt OPA/Al/PVC//Al buborékcsomagolásban</w:t>
      </w:r>
    </w:p>
    <w:p w14:paraId="2C968024" w14:textId="77777777" w:rsidR="00602010" w:rsidRDefault="009F38E3">
      <w:pPr>
        <w:spacing w:line="240" w:lineRule="auto"/>
        <w:rPr>
          <w:lang w:val="hu-HU"/>
        </w:rPr>
      </w:pPr>
      <w:r>
        <w:rPr>
          <w:lang w:val="hu-HU"/>
        </w:rPr>
        <w:t>OGYI-T-24351/36</w:t>
      </w:r>
      <w:r>
        <w:rPr>
          <w:lang w:val="hu-HU"/>
        </w:rPr>
        <w:tab/>
        <w:t>90×</w:t>
      </w:r>
      <w:r>
        <w:rPr>
          <w:lang w:val="hu-HU"/>
        </w:rPr>
        <w:tab/>
        <w:t>OPA/Al/PVC//Al buborékcsomagolásban</w:t>
      </w:r>
    </w:p>
    <w:p w14:paraId="24BEC06B" w14:textId="77777777" w:rsidR="00602010" w:rsidRDefault="00602010">
      <w:pPr>
        <w:numPr>
          <w:ilvl w:val="12"/>
          <w:numId w:val="0"/>
        </w:numPr>
        <w:tabs>
          <w:tab w:val="clear" w:pos="567"/>
          <w:tab w:val="left" w:pos="720"/>
        </w:tabs>
        <w:spacing w:line="240" w:lineRule="auto"/>
        <w:ind w:right="-2"/>
        <w:rPr>
          <w:lang w:val="hu-HU"/>
        </w:rPr>
      </w:pPr>
    </w:p>
    <w:p w14:paraId="44E88C75" w14:textId="3DB5C547" w:rsidR="00602010" w:rsidRDefault="009F38E3">
      <w:pPr>
        <w:spacing w:line="240" w:lineRule="auto"/>
        <w:ind w:right="-2"/>
        <w:rPr>
          <w:lang w:val="hu-HU"/>
        </w:rPr>
      </w:pPr>
      <w:r>
        <w:rPr>
          <w:b/>
          <w:bCs/>
          <w:lang w:val="hu-HU"/>
        </w:rPr>
        <w:t xml:space="preserve">A betegtájékoztató legutóbbi felülvizsgálatának dátuma: </w:t>
      </w:r>
      <w:r w:rsidR="00B43E2A">
        <w:rPr>
          <w:b/>
          <w:bCs/>
          <w:lang w:val="hu-HU"/>
        </w:rPr>
        <w:t>2025. december.</w:t>
      </w:r>
      <w:bookmarkStart w:id="3" w:name="_GoBack"/>
      <w:bookmarkEnd w:id="3"/>
    </w:p>
    <w:sectPr w:rsidR="00602010">
      <w:headerReference w:type="default" r:id="rId9"/>
      <w:footerReference w:type="default" r:id="rId10"/>
      <w:footerReference w:type="first" r:id="rId11"/>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7FF84D" w14:textId="77777777" w:rsidR="00602010" w:rsidRDefault="009F38E3">
      <w:pPr>
        <w:spacing w:line="240" w:lineRule="auto"/>
      </w:pPr>
      <w:r>
        <w:separator/>
      </w:r>
    </w:p>
  </w:endnote>
  <w:endnote w:type="continuationSeparator" w:id="0">
    <w:p w14:paraId="25FDE438" w14:textId="77777777" w:rsidR="00602010" w:rsidRDefault="009F38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HG Mincho Light J">
    <w:altName w:val="Times New Roman"/>
    <w:charset w:val="00"/>
    <w:family w:val="auto"/>
    <w:pitch w:val="variable"/>
  </w:font>
  <w:font w:name="PMingLiU">
    <w:altName w:val="新細明體"/>
    <w:panose1 w:val="02010601000101010101"/>
    <w:charset w:val="88"/>
    <w:family w:val="roman"/>
    <w:pitch w:val="variable"/>
    <w:sig w:usb0="A00002FF" w:usb1="28CFFCFA" w:usb2="00000016" w:usb3="00000000" w:csb0="00100001" w:csb1="00000000"/>
  </w:font>
  <w:font w:name="TimesNewRomanPSMT">
    <w:altName w:val="Times New Roman"/>
    <w:panose1 w:val="00000000000000000000"/>
    <w:charset w:val="00"/>
    <w:family w:val="roman"/>
    <w:notTrueType/>
    <w:pitch w:val="default"/>
    <w:sig w:usb0="00000003" w:usb1="08070000" w:usb2="00000010" w:usb3="00000000" w:csb0="0002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47F649" w14:textId="77777777" w:rsidR="00602010" w:rsidRDefault="0060201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1B0D9" w14:textId="77777777" w:rsidR="00752C6B" w:rsidRDefault="00752C6B" w:rsidP="00B43E2A">
    <w:pPr>
      <w:pStyle w:val="llb"/>
      <w:spacing w:line="240" w:lineRule="auto"/>
      <w:rPr>
        <w:sz w:val="18"/>
        <w:szCs w:val="18"/>
      </w:rPr>
    </w:pPr>
    <w:r>
      <w:rPr>
        <w:sz w:val="18"/>
        <w:szCs w:val="18"/>
      </w:rPr>
      <w:t>NNGYK/ETGY/27028/2025</w:t>
    </w:r>
  </w:p>
  <w:p w14:paraId="2DCA4F32" w14:textId="77777777" w:rsidR="00752C6B" w:rsidRDefault="00752C6B" w:rsidP="00B43E2A">
    <w:pPr>
      <w:pStyle w:val="llb"/>
      <w:spacing w:line="240" w:lineRule="auto"/>
      <w:rPr>
        <w:sz w:val="18"/>
        <w:szCs w:val="18"/>
      </w:rPr>
    </w:pPr>
    <w:r>
      <w:rPr>
        <w:sz w:val="18"/>
        <w:szCs w:val="18"/>
      </w:rPr>
      <w:t>NNGYK/ETGY/27031/2025</w:t>
    </w:r>
  </w:p>
  <w:p w14:paraId="454D0D40" w14:textId="77777777" w:rsidR="00752C6B" w:rsidRDefault="00752C6B" w:rsidP="00B43E2A">
    <w:pPr>
      <w:pStyle w:val="llb"/>
      <w:spacing w:line="240" w:lineRule="auto"/>
      <w:rPr>
        <w:sz w:val="18"/>
        <w:szCs w:val="18"/>
      </w:rPr>
    </w:pPr>
    <w:r>
      <w:rPr>
        <w:sz w:val="18"/>
        <w:szCs w:val="18"/>
      </w:rPr>
      <w:t>NNGYK/ETGY/27033/2025</w:t>
    </w:r>
  </w:p>
  <w:p w14:paraId="38023328" w14:textId="77777777" w:rsidR="00752C6B" w:rsidRDefault="00752C6B" w:rsidP="00B43E2A">
    <w:pPr>
      <w:pStyle w:val="llb"/>
      <w:spacing w:line="240" w:lineRule="auto"/>
      <w:rPr>
        <w:sz w:val="18"/>
        <w:szCs w:val="18"/>
      </w:rPr>
    </w:pPr>
    <w:r>
      <w:rPr>
        <w:sz w:val="18"/>
        <w:szCs w:val="18"/>
      </w:rPr>
      <w:t>NNGYK/ETGY/27036/2025</w:t>
    </w:r>
  </w:p>
  <w:p w14:paraId="47715661" w14:textId="77777777" w:rsidR="00752C6B" w:rsidRDefault="00752C6B" w:rsidP="00B43E2A">
    <w:pPr>
      <w:pStyle w:val="llb"/>
      <w:spacing w:line="240" w:lineRule="auto"/>
      <w:rPr>
        <w:sz w:val="18"/>
        <w:szCs w:val="18"/>
      </w:rPr>
    </w:pPr>
    <w:r>
      <w:rPr>
        <w:sz w:val="18"/>
        <w:szCs w:val="18"/>
      </w:rPr>
      <w:t>NNGYK/ETGY/27154/2025</w:t>
    </w:r>
  </w:p>
  <w:p w14:paraId="620BA0B3" w14:textId="77777777" w:rsidR="00752C6B" w:rsidRDefault="00752C6B" w:rsidP="00B43E2A">
    <w:pPr>
      <w:pStyle w:val="llb"/>
      <w:spacing w:line="240" w:lineRule="auto"/>
      <w:rPr>
        <w:sz w:val="18"/>
        <w:szCs w:val="18"/>
      </w:rPr>
    </w:pPr>
    <w:r>
      <w:rPr>
        <w:sz w:val="18"/>
        <w:szCs w:val="18"/>
      </w:rPr>
      <w:t>NNGYK/ETGY/27155/2025</w:t>
    </w:r>
  </w:p>
  <w:p w14:paraId="7320EE95" w14:textId="77777777" w:rsidR="00752C6B" w:rsidRDefault="00752C6B" w:rsidP="00B43E2A">
    <w:pPr>
      <w:pStyle w:val="llb"/>
      <w:spacing w:line="240" w:lineRule="auto"/>
      <w:rPr>
        <w:sz w:val="18"/>
        <w:szCs w:val="18"/>
      </w:rPr>
    </w:pPr>
    <w:r>
      <w:rPr>
        <w:sz w:val="18"/>
        <w:szCs w:val="18"/>
      </w:rPr>
      <w:t>NNGYK/ETGY/27156/2025</w:t>
    </w:r>
  </w:p>
  <w:p w14:paraId="504F7303" w14:textId="0CA2AB85" w:rsidR="006755CA" w:rsidRDefault="00752C6B" w:rsidP="00B43E2A">
    <w:pPr>
      <w:pStyle w:val="llb"/>
      <w:spacing w:line="240" w:lineRule="auto"/>
      <w:rPr>
        <w:sz w:val="18"/>
        <w:szCs w:val="18"/>
      </w:rPr>
    </w:pPr>
    <w:r>
      <w:rPr>
        <w:sz w:val="18"/>
        <w:szCs w:val="18"/>
      </w:rPr>
      <w:t>NNGYK/ETGY/27157/2025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092F39" w14:textId="77777777" w:rsidR="00602010" w:rsidRDefault="009F38E3">
      <w:pPr>
        <w:spacing w:line="240" w:lineRule="auto"/>
      </w:pPr>
      <w:r>
        <w:separator/>
      </w:r>
    </w:p>
  </w:footnote>
  <w:footnote w:type="continuationSeparator" w:id="0">
    <w:p w14:paraId="1F832BBF" w14:textId="77777777" w:rsidR="00602010" w:rsidRDefault="009F38E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6399550"/>
      <w:docPartObj>
        <w:docPartGallery w:val="Page Numbers (Top of Page)"/>
        <w:docPartUnique/>
      </w:docPartObj>
    </w:sdtPr>
    <w:sdtEndPr>
      <w:rPr>
        <w:sz w:val="18"/>
        <w:szCs w:val="18"/>
      </w:rPr>
    </w:sdtEndPr>
    <w:sdtContent>
      <w:p w14:paraId="276088D8" w14:textId="5E86D0FC" w:rsidR="00602010" w:rsidRDefault="009F38E3">
        <w:pPr>
          <w:pStyle w:val="lfej"/>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B43E2A" w:rsidRPr="00B43E2A">
          <w:rPr>
            <w:noProof/>
            <w:sz w:val="18"/>
            <w:szCs w:val="18"/>
            <w:lang w:val="hu-HU"/>
          </w:rPr>
          <w:t>9</w:t>
        </w:r>
        <w:r>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8"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0"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1" w15:restartNumberingAfterBreak="0">
    <w:nsid w:val="20C309B1"/>
    <w:multiLevelType w:val="hybridMultilevel"/>
    <w:tmpl w:val="E7B0F242"/>
    <w:lvl w:ilvl="0" w:tplc="1C16D8CE">
      <w:start w:val="1"/>
      <w:numFmt w:val="bullet"/>
      <w:lvlText w:val="-"/>
      <w:lvlJc w:val="left"/>
      <w:pPr>
        <w:ind w:left="360" w:hanging="360"/>
      </w:pPr>
      <w:rPr>
        <w:rFonts w:ascii="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2" w15:restartNumberingAfterBreak="0">
    <w:nsid w:val="286B5A75"/>
    <w:multiLevelType w:val="hybridMultilevel"/>
    <w:tmpl w:val="08BED846"/>
    <w:lvl w:ilvl="0" w:tplc="54BAF2BC">
      <w:start w:val="2"/>
      <w:numFmt w:val="bullet"/>
      <w:lvlText w:val="-"/>
      <w:lvlJc w:val="left"/>
      <w:pPr>
        <w:ind w:left="720" w:hanging="360"/>
      </w:pPr>
      <w:rPr>
        <w:rFonts w:ascii="Calibri" w:eastAsiaTheme="minorHAnsi" w:hAnsi="Calibri" w:cs="Calibri"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13" w15:restartNumberingAfterBreak="0">
    <w:nsid w:val="2B435930"/>
    <w:multiLevelType w:val="hybridMultilevel"/>
    <w:tmpl w:val="D8745A54"/>
    <w:lvl w:ilvl="0" w:tplc="FFFFFFFF">
      <w:start w:val="1"/>
      <w:numFmt w:val="bullet"/>
      <w:lvlText w:val="-"/>
      <w:lvlJc w:val="left"/>
      <w:pPr>
        <w:ind w:left="720" w:hanging="360"/>
      </w:pPr>
    </w:lvl>
    <w:lvl w:ilvl="1" w:tplc="FFFFFFFF">
      <w:start w:val="1"/>
      <w:numFmt w:val="bullet"/>
      <w:lvlText w:val="-"/>
      <w:lvlJc w:val="left"/>
      <w:pPr>
        <w:ind w:left="1440" w:hanging="360"/>
      </w:pPr>
      <w:rPr>
        <w:rFont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2B8D7F58"/>
    <w:multiLevelType w:val="hybridMultilevel"/>
    <w:tmpl w:val="34284BA2"/>
    <w:lvl w:ilvl="0" w:tplc="1C16D8CE">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6" w15:restartNumberingAfterBreak="0">
    <w:nsid w:val="36367D75"/>
    <w:multiLevelType w:val="hybridMultilevel"/>
    <w:tmpl w:val="9C30458C"/>
    <w:lvl w:ilvl="0" w:tplc="C69491D4">
      <w:start w:val="1"/>
      <w:numFmt w:val="bullet"/>
      <w:lvlText w:val=""/>
      <w:lvlJc w:val="left"/>
      <w:pPr>
        <w:tabs>
          <w:tab w:val="num" w:pos="680"/>
        </w:tabs>
        <w:ind w:left="680" w:hanging="340"/>
      </w:pPr>
      <w:rPr>
        <w:rFonts w:ascii="Symbol" w:hAnsi="Symbol" w:hint="default"/>
        <w:b w:val="0"/>
        <w:i w:val="0"/>
        <w:strike w:val="0"/>
        <w:dstrike w:val="0"/>
        <w:sz w:val="18"/>
        <w:u w:val="none"/>
        <w:effect w:val="none"/>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6F7FD7"/>
    <w:multiLevelType w:val="hybridMultilevel"/>
    <w:tmpl w:val="48425F16"/>
    <w:lvl w:ilvl="0" w:tplc="C69491D4">
      <w:start w:val="1"/>
      <w:numFmt w:val="bullet"/>
      <w:lvlText w:val=""/>
      <w:lvlJc w:val="left"/>
      <w:pPr>
        <w:tabs>
          <w:tab w:val="num" w:pos="680"/>
        </w:tabs>
        <w:ind w:left="680" w:hanging="340"/>
      </w:pPr>
      <w:rPr>
        <w:rFonts w:ascii="Symbol" w:hAnsi="Symbol" w:hint="default"/>
        <w:b w:val="0"/>
        <w:i w:val="0"/>
        <w:strike w:val="0"/>
        <w:dstrike w:val="0"/>
        <w:sz w:val="18"/>
        <w:u w:val="none"/>
        <w:effect w:val="none"/>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832636"/>
    <w:multiLevelType w:val="hybridMultilevel"/>
    <w:tmpl w:val="07129D9E"/>
    <w:lvl w:ilvl="0" w:tplc="C69491D4">
      <w:start w:val="1"/>
      <w:numFmt w:val="bullet"/>
      <w:lvlText w:val=""/>
      <w:lvlJc w:val="left"/>
      <w:pPr>
        <w:tabs>
          <w:tab w:val="num" w:pos="680"/>
        </w:tabs>
        <w:ind w:left="680" w:hanging="340"/>
      </w:pPr>
      <w:rPr>
        <w:rFonts w:ascii="Symbol" w:hAnsi="Symbol" w:hint="default"/>
        <w:b w:val="0"/>
        <w:i w:val="0"/>
        <w:strike w:val="0"/>
        <w:dstrike w:val="0"/>
        <w:sz w:val="18"/>
        <w:u w:val="none"/>
        <w:effect w:val="none"/>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20" w15:restartNumberingAfterBreak="0">
    <w:nsid w:val="4C2B5733"/>
    <w:multiLevelType w:val="hybridMultilevel"/>
    <w:tmpl w:val="04F6C008"/>
    <w:lvl w:ilvl="0" w:tplc="1C16D8CE">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22" w15:restartNumberingAfterBreak="0">
    <w:nsid w:val="6000297B"/>
    <w:multiLevelType w:val="hybridMultilevel"/>
    <w:tmpl w:val="FB92B99E"/>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2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4" w15:restartNumberingAfterBreak="0">
    <w:nsid w:val="6D006E46"/>
    <w:multiLevelType w:val="hybridMultilevel"/>
    <w:tmpl w:val="A52ACF82"/>
    <w:lvl w:ilvl="0" w:tplc="1C16D8CE">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7105224A"/>
    <w:multiLevelType w:val="hybridMultilevel"/>
    <w:tmpl w:val="323A26FA"/>
    <w:lvl w:ilvl="0" w:tplc="330A4FBC">
      <w:start w:val="1"/>
      <w:numFmt w:val="bullet"/>
      <w:lvlText w:val="-"/>
      <w:lvlJc w:val="left"/>
      <w:pPr>
        <w:ind w:left="720" w:hanging="36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23"/>
  </w:num>
  <w:num w:numId="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0"/>
    <w:lvlOverride w:ilvl="0">
      <w:lvl w:ilvl="0">
        <w:numFmt w:val="bullet"/>
        <w:lvlText w:val="-"/>
        <w:lvlJc w:val="left"/>
        <w:pPr>
          <w:ind w:left="360" w:hanging="360"/>
        </w:pPr>
      </w:lvl>
    </w:lvlOverride>
  </w:num>
  <w:num w:numId="15">
    <w:abstractNumId w:val="10"/>
  </w:num>
  <w:num w:numId="16">
    <w:abstractNumId w:val="26"/>
  </w:num>
  <w:num w:numId="17">
    <w:abstractNumId w:val="19"/>
  </w:num>
  <w:num w:numId="18">
    <w:abstractNumId w:val="9"/>
  </w:num>
  <w:num w:numId="19">
    <w:abstractNumId w:val="14"/>
  </w:num>
  <w:num w:numId="20">
    <w:abstractNumId w:val="24"/>
  </w:num>
  <w:num w:numId="21">
    <w:abstractNumId w:val="11"/>
  </w:num>
  <w:num w:numId="22">
    <w:abstractNumId w:val="12"/>
  </w:num>
  <w:num w:numId="23">
    <w:abstractNumId w:val="25"/>
  </w:num>
  <w:num w:numId="24">
    <w:abstractNumId w:val="20"/>
  </w:num>
  <w:num w:numId="25">
    <w:abstractNumId w:val="17"/>
  </w:num>
  <w:num w:numId="26">
    <w:abstractNumId w:val="18"/>
  </w:num>
  <w:num w:numId="27">
    <w:abstractNumId w:val="22"/>
  </w:num>
  <w:num w:numId="28">
    <w:abstractNumId w:val="16"/>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8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010"/>
    <w:rsid w:val="00003FD2"/>
    <w:rsid w:val="00026CAD"/>
    <w:rsid w:val="00074B0F"/>
    <w:rsid w:val="00092736"/>
    <w:rsid w:val="00095A03"/>
    <w:rsid w:val="000A2DAB"/>
    <w:rsid w:val="000F2AE6"/>
    <w:rsid w:val="00106025"/>
    <w:rsid w:val="00122A11"/>
    <w:rsid w:val="00141D38"/>
    <w:rsid w:val="001658EF"/>
    <w:rsid w:val="00172CD8"/>
    <w:rsid w:val="001857E5"/>
    <w:rsid w:val="001916E0"/>
    <w:rsid w:val="001C189C"/>
    <w:rsid w:val="001D6699"/>
    <w:rsid w:val="0020347E"/>
    <w:rsid w:val="0020658C"/>
    <w:rsid w:val="00253A82"/>
    <w:rsid w:val="002641F7"/>
    <w:rsid w:val="00265E6E"/>
    <w:rsid w:val="00282824"/>
    <w:rsid w:val="002B188E"/>
    <w:rsid w:val="002F00A6"/>
    <w:rsid w:val="003573E0"/>
    <w:rsid w:val="003968B0"/>
    <w:rsid w:val="003B6843"/>
    <w:rsid w:val="003C32C3"/>
    <w:rsid w:val="003C7B4F"/>
    <w:rsid w:val="003D1568"/>
    <w:rsid w:val="004365CF"/>
    <w:rsid w:val="00447EA7"/>
    <w:rsid w:val="00460D5D"/>
    <w:rsid w:val="00467217"/>
    <w:rsid w:val="0049695C"/>
    <w:rsid w:val="004B4B5E"/>
    <w:rsid w:val="004C3C0D"/>
    <w:rsid w:val="004C619D"/>
    <w:rsid w:val="004C64F7"/>
    <w:rsid w:val="004D39F3"/>
    <w:rsid w:val="004F435A"/>
    <w:rsid w:val="00504552"/>
    <w:rsid w:val="00520B47"/>
    <w:rsid w:val="00566875"/>
    <w:rsid w:val="005713FE"/>
    <w:rsid w:val="00571BFE"/>
    <w:rsid w:val="005A04B6"/>
    <w:rsid w:val="005C4AE2"/>
    <w:rsid w:val="00602010"/>
    <w:rsid w:val="00605D7D"/>
    <w:rsid w:val="006755CA"/>
    <w:rsid w:val="006A43E0"/>
    <w:rsid w:val="006C683F"/>
    <w:rsid w:val="006D1E42"/>
    <w:rsid w:val="006E011B"/>
    <w:rsid w:val="006E63D3"/>
    <w:rsid w:val="006F712E"/>
    <w:rsid w:val="0074250C"/>
    <w:rsid w:val="0075143A"/>
    <w:rsid w:val="00752C6B"/>
    <w:rsid w:val="00754666"/>
    <w:rsid w:val="00755B05"/>
    <w:rsid w:val="00776390"/>
    <w:rsid w:val="007A33E5"/>
    <w:rsid w:val="007B3435"/>
    <w:rsid w:val="007B7937"/>
    <w:rsid w:val="007D1C0D"/>
    <w:rsid w:val="007F0CCE"/>
    <w:rsid w:val="007F0D34"/>
    <w:rsid w:val="007F2212"/>
    <w:rsid w:val="008069B9"/>
    <w:rsid w:val="00826440"/>
    <w:rsid w:val="008328AD"/>
    <w:rsid w:val="00853657"/>
    <w:rsid w:val="00881CFB"/>
    <w:rsid w:val="00882A07"/>
    <w:rsid w:val="00884063"/>
    <w:rsid w:val="00897C3C"/>
    <w:rsid w:val="008B3C71"/>
    <w:rsid w:val="008D3C30"/>
    <w:rsid w:val="008D6885"/>
    <w:rsid w:val="00967ABB"/>
    <w:rsid w:val="00970494"/>
    <w:rsid w:val="00975B1B"/>
    <w:rsid w:val="00997D5E"/>
    <w:rsid w:val="009A107D"/>
    <w:rsid w:val="009B18FD"/>
    <w:rsid w:val="009C249F"/>
    <w:rsid w:val="009F38E3"/>
    <w:rsid w:val="009F5CB0"/>
    <w:rsid w:val="00A220AE"/>
    <w:rsid w:val="00A234FF"/>
    <w:rsid w:val="00A33832"/>
    <w:rsid w:val="00A4311D"/>
    <w:rsid w:val="00A56A18"/>
    <w:rsid w:val="00A6344E"/>
    <w:rsid w:val="00A763CB"/>
    <w:rsid w:val="00A8158C"/>
    <w:rsid w:val="00AA6BCC"/>
    <w:rsid w:val="00AE262E"/>
    <w:rsid w:val="00AE3366"/>
    <w:rsid w:val="00AF7593"/>
    <w:rsid w:val="00B04335"/>
    <w:rsid w:val="00B15443"/>
    <w:rsid w:val="00B30E6A"/>
    <w:rsid w:val="00B43E2A"/>
    <w:rsid w:val="00B577C2"/>
    <w:rsid w:val="00B85101"/>
    <w:rsid w:val="00BD22D8"/>
    <w:rsid w:val="00C0027F"/>
    <w:rsid w:val="00C07704"/>
    <w:rsid w:val="00C12D13"/>
    <w:rsid w:val="00CB385B"/>
    <w:rsid w:val="00D13A44"/>
    <w:rsid w:val="00D20B72"/>
    <w:rsid w:val="00D23DEA"/>
    <w:rsid w:val="00D32E2F"/>
    <w:rsid w:val="00D432DB"/>
    <w:rsid w:val="00D46F31"/>
    <w:rsid w:val="00D833E6"/>
    <w:rsid w:val="00DC51B1"/>
    <w:rsid w:val="00DE42CD"/>
    <w:rsid w:val="00DE6A99"/>
    <w:rsid w:val="00DF7FEF"/>
    <w:rsid w:val="00E05F00"/>
    <w:rsid w:val="00E12211"/>
    <w:rsid w:val="00E63022"/>
    <w:rsid w:val="00EA2A00"/>
    <w:rsid w:val="00EA2F12"/>
    <w:rsid w:val="00EA5174"/>
    <w:rsid w:val="00EC1292"/>
    <w:rsid w:val="00EE218C"/>
    <w:rsid w:val="00F06B09"/>
    <w:rsid w:val="00F5048F"/>
    <w:rsid w:val="00F62D4F"/>
    <w:rsid w:val="00F73975"/>
    <w:rsid w:val="00F8111D"/>
    <w:rsid w:val="00F91755"/>
    <w:rsid w:val="00FA2037"/>
    <w:rsid w:val="00FA29F4"/>
    <w:rsid w:val="00FA4140"/>
    <w:rsid w:val="00FC4C09"/>
    <w:rsid w:val="00FC669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A997945"/>
  <w15:chartTrackingRefBased/>
  <w15:docId w15:val="{91C8BC3D-C494-497D-9B37-B68A47651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tabs>
        <w:tab w:val="left" w:pos="567"/>
      </w:tabs>
      <w:spacing w:after="0" w:line="260" w:lineRule="exact"/>
    </w:pPr>
    <w:rPr>
      <w:rFonts w:ascii="Times New Roman" w:eastAsia="Times New Roman" w:hAnsi="Times New Roman" w:cs="Times New Roman"/>
      <w:lang w:val="en-GB"/>
    </w:rPr>
  </w:style>
  <w:style w:type="paragraph" w:styleId="Cmsor4">
    <w:name w:val="heading 4"/>
    <w:basedOn w:val="Norml"/>
    <w:next w:val="Norml"/>
    <w:link w:val="Cmsor4Char"/>
    <w:semiHidden/>
    <w:unhideWhenUsed/>
    <w:qFormat/>
    <w:pPr>
      <w:keepNext/>
      <w:tabs>
        <w:tab w:val="clear" w:pos="567"/>
        <w:tab w:val="num" w:pos="0"/>
      </w:tabs>
      <w:suppressAutoHyphens/>
      <w:jc w:val="both"/>
      <w:outlineLvl w:val="3"/>
    </w:pPr>
    <w:rPr>
      <w:b/>
      <w:szCs w:val="20"/>
      <w:lang w:val="hu-HU"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4Char">
    <w:name w:val="Címsor 4 Char"/>
    <w:basedOn w:val="Bekezdsalapbettpusa"/>
    <w:link w:val="Cmsor4"/>
    <w:semiHidden/>
    <w:rPr>
      <w:rFonts w:ascii="Times New Roman" w:eastAsia="Times New Roman" w:hAnsi="Times New Roman" w:cs="Times New Roman"/>
      <w:b/>
      <w:szCs w:val="20"/>
      <w:lang w:eastAsia="hu-HU"/>
    </w:rPr>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pPr>
      <w:tabs>
        <w:tab w:val="center" w:pos="4153"/>
        <w:tab w:val="right" w:pos="8306"/>
      </w:tabs>
    </w:pPr>
    <w:rPr>
      <w:lang w:eastAsia="hu-HU"/>
    </w:rPr>
  </w:style>
  <w:style w:type="character" w:customStyle="1" w:styleId="lfejChar">
    <w:name w:val="Élőfej Char"/>
    <w:link w:val="lfej1"/>
    <w:uiPriority w:val="99"/>
    <w:locked/>
    <w:rPr>
      <w:rFonts w:ascii="Times New Roman" w:eastAsia="Times New Roman" w:hAnsi="Times New Roman" w:cs="Times New Roman"/>
      <w:lang w:val="en-GB" w:eastAsia="hu-HU"/>
    </w:rPr>
  </w:style>
  <w:style w:type="character" w:customStyle="1" w:styleId="Oldalszm1">
    <w:name w:val="Oldalszám1"/>
    <w:basedOn w:val="Bekezdsalapbettpusa"/>
    <w:uiPriority w:val="99"/>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Pr>
      <w:rFonts w:ascii="Times New Roman" w:eastAsia="Times New Roman" w:hAnsi="Times New Roman" w:cs="Times New Roman"/>
      <w:lang w:val="en-GB" w:eastAsia="hu-HU"/>
    </w:rPr>
  </w:style>
  <w:style w:type="paragraph" w:customStyle="1" w:styleId="EMEAEnBodyText">
    <w:name w:val="EMEA En Body Text"/>
    <w:basedOn w:val="Norml"/>
    <w:uiPriority w:val="99"/>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pPr>
      <w:tabs>
        <w:tab w:val="clear" w:pos="567"/>
      </w:tabs>
      <w:spacing w:line="280" w:lineRule="exact"/>
    </w:pPr>
    <w:rPr>
      <w:rFonts w:ascii="Verdana" w:hAnsi="Verdana" w:cs="Verdana"/>
      <w:sz w:val="18"/>
      <w:szCs w:val="18"/>
    </w:rPr>
  </w:style>
  <w:style w:type="character" w:customStyle="1" w:styleId="tw4winMark">
    <w:name w:val="tw4winMark"/>
    <w:uiPriority w:val="99"/>
    <w:rPr>
      <w:rFonts w:ascii="Courier New" w:hAnsi="Courier New" w:cs="Courier New"/>
      <w:vanish/>
      <w:color w:val="800080"/>
      <w:sz w:val="24"/>
      <w:szCs w:val="24"/>
      <w:vertAlign w:val="subscript"/>
    </w:rPr>
  </w:style>
  <w:style w:type="character" w:customStyle="1" w:styleId="tw4winError">
    <w:name w:val="tw4winError"/>
    <w:uiPriority w:val="99"/>
    <w:rPr>
      <w:rFonts w:ascii="Courier New" w:hAnsi="Courier New" w:cs="Courier New"/>
      <w:color w:val="00FF00"/>
      <w:sz w:val="40"/>
      <w:szCs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cs="Courier New"/>
      <w:noProof/>
      <w:color w:val="008000"/>
    </w:rPr>
  </w:style>
  <w:style w:type="character" w:customStyle="1" w:styleId="tw4winJump">
    <w:name w:val="tw4winJump"/>
    <w:uiPriority w:val="99"/>
    <w:rPr>
      <w:rFonts w:ascii="Courier New" w:hAnsi="Courier New" w:cs="Courier New"/>
      <w:noProof/>
      <w:color w:val="008080"/>
    </w:rPr>
  </w:style>
  <w:style w:type="character" w:customStyle="1" w:styleId="tw4winExternal">
    <w:name w:val="tw4winExternal"/>
    <w:uiPriority w:val="99"/>
    <w:rPr>
      <w:rFonts w:ascii="Courier New" w:hAnsi="Courier New" w:cs="Courier New"/>
      <w:noProof/>
      <w:color w:val="808080"/>
    </w:rPr>
  </w:style>
  <w:style w:type="character" w:customStyle="1" w:styleId="tw4winInternal">
    <w:name w:val="tw4winInternal"/>
    <w:uiPriority w:val="99"/>
    <w:rPr>
      <w:rFonts w:ascii="Courier New" w:hAnsi="Courier New" w:cs="Courier New"/>
      <w:noProof/>
      <w:color w:val="FF0000"/>
    </w:rPr>
  </w:style>
  <w:style w:type="character" w:customStyle="1" w:styleId="DONOTTRANSLATE">
    <w:name w:val="DO_NOT_TRANSLATE"/>
    <w:uiPriority w:val="99"/>
    <w:rPr>
      <w:rFonts w:ascii="Courier New" w:hAnsi="Courier New" w:cs="Courier New"/>
      <w:noProof/>
      <w:color w:val="800000"/>
    </w:rPr>
  </w:style>
  <w:style w:type="paragraph" w:customStyle="1" w:styleId="Listaszerbekezds1">
    <w:name w:val="Listaszerű bekezdés1"/>
    <w:basedOn w:val="Norml"/>
    <w:uiPriority w:val="99"/>
    <w:qFormat/>
    <w:pPr>
      <w:ind w:left="720"/>
    </w:pPr>
  </w:style>
  <w:style w:type="paragraph" w:customStyle="1" w:styleId="Buborkszveg1">
    <w:name w:val="Buborékszöveg1"/>
    <w:basedOn w:val="Norml"/>
    <w:link w:val="BuborkszvegChar"/>
    <w:uiPriority w:val="99"/>
    <w:semiHidden/>
    <w:pPr>
      <w:spacing w:line="240" w:lineRule="auto"/>
    </w:pPr>
    <w:rPr>
      <w:rFonts w:ascii="Tahoma" w:hAnsi="Tahoma" w:cs="Tahoma"/>
      <w:sz w:val="16"/>
      <w:szCs w:val="16"/>
    </w:rPr>
  </w:style>
  <w:style w:type="character" w:customStyle="1" w:styleId="BuborkszvegChar">
    <w:name w:val="Buborékszöveg Char"/>
    <w:link w:val="Buborkszveg1"/>
    <w:uiPriority w:val="99"/>
    <w:semiHidden/>
    <w:locked/>
    <w:rPr>
      <w:rFonts w:ascii="Tahoma" w:eastAsia="Times New Roman" w:hAnsi="Tahoma" w:cs="Tahoma"/>
      <w:sz w:val="16"/>
      <w:szCs w:val="16"/>
      <w:lang w:val="en-GB"/>
    </w:rPr>
  </w:style>
  <w:style w:type="character" w:customStyle="1" w:styleId="Jegyzethivatkozs1">
    <w:name w:val="Jegyzethivatkozás1"/>
    <w:uiPriority w:val="99"/>
    <w:semiHidden/>
    <w:rPr>
      <w:sz w:val="16"/>
      <w:szCs w:val="16"/>
    </w:rPr>
  </w:style>
  <w:style w:type="paragraph" w:customStyle="1" w:styleId="Jegyzetszveg1">
    <w:name w:val="Jegyzetszöveg1"/>
    <w:basedOn w:val="Norml"/>
    <w:link w:val="JegyzetszvegChar"/>
    <w:uiPriority w:val="99"/>
    <w:semiHidden/>
    <w:rPr>
      <w:sz w:val="20"/>
      <w:szCs w:val="20"/>
    </w:rPr>
  </w:style>
  <w:style w:type="character" w:customStyle="1" w:styleId="JegyzetszvegChar">
    <w:name w:val="Jegyzetszöveg Char"/>
    <w:link w:val="Jegyzetszveg1"/>
    <w:uiPriority w:val="99"/>
    <w:semiHidden/>
    <w:rPr>
      <w:rFonts w:ascii="Times New Roman" w:eastAsia="Times New Roman" w:hAnsi="Times New Roman" w:cs="Times New Roman"/>
      <w:sz w:val="20"/>
      <w:szCs w:val="20"/>
      <w:lang w:val="en-GB"/>
    </w:rPr>
  </w:style>
  <w:style w:type="paragraph" w:customStyle="1" w:styleId="Megjegyzstrgya1">
    <w:name w:val="Megjegyzés tárgya1"/>
    <w:basedOn w:val="Jegyzetszveg1"/>
    <w:next w:val="Jegyzetszveg1"/>
    <w:link w:val="MegjegyzstrgyaChar"/>
    <w:uiPriority w:val="99"/>
    <w:semiHidden/>
    <w:rPr>
      <w:b/>
      <w:bCs/>
    </w:rPr>
  </w:style>
  <w:style w:type="character" w:customStyle="1" w:styleId="MegjegyzstrgyaChar">
    <w:name w:val="Megjegyzés tárgya Char"/>
    <w:link w:val="Megjegyzstrgya1"/>
    <w:uiPriority w:val="99"/>
    <w:semiHidden/>
    <w:rPr>
      <w:rFonts w:ascii="Times New Roman" w:eastAsia="Times New Roman" w:hAnsi="Times New Roman" w:cs="Times New Roman"/>
      <w:b/>
      <w:bCs/>
      <w:sz w:val="20"/>
      <w:szCs w:val="20"/>
      <w:lang w:val="en-GB"/>
    </w:rPr>
  </w:style>
  <w:style w:type="paragraph" w:customStyle="1" w:styleId="Vltozat1">
    <w:name w:val="Változat1"/>
    <w:hidden/>
    <w:uiPriority w:val="99"/>
    <w:semiHidden/>
    <w:pPr>
      <w:spacing w:after="0" w:line="240" w:lineRule="auto"/>
    </w:pPr>
    <w:rPr>
      <w:rFonts w:ascii="Times New Roman" w:eastAsia="Times New Roman" w:hAnsi="Times New Roman" w:cs="Times New Roman"/>
      <w:lang w:val="en-GB"/>
    </w:rPr>
  </w:style>
  <w:style w:type="paragraph" w:styleId="lfej">
    <w:name w:val="header"/>
    <w:basedOn w:val="Norml"/>
    <w:link w:val="lfejChar1"/>
    <w:uiPriority w:val="99"/>
    <w:pPr>
      <w:tabs>
        <w:tab w:val="clear" w:pos="567"/>
        <w:tab w:val="center" w:pos="4513"/>
        <w:tab w:val="right" w:pos="9026"/>
      </w:tabs>
    </w:pPr>
  </w:style>
  <w:style w:type="character" w:customStyle="1" w:styleId="lfejChar1">
    <w:name w:val="Élőfej Char1"/>
    <w:basedOn w:val="Bekezdsalapbettpusa"/>
    <w:link w:val="lfej"/>
    <w:rPr>
      <w:rFonts w:ascii="Times New Roman" w:eastAsia="Times New Roman" w:hAnsi="Times New Roman" w:cs="Times New Roman"/>
      <w:lang w:val="en-GB"/>
    </w:rPr>
  </w:style>
  <w:style w:type="paragraph" w:styleId="llb">
    <w:name w:val="footer"/>
    <w:basedOn w:val="Norml"/>
    <w:link w:val="llbChar1"/>
    <w:uiPriority w:val="99"/>
    <w:pPr>
      <w:tabs>
        <w:tab w:val="clear" w:pos="567"/>
        <w:tab w:val="center" w:pos="4513"/>
        <w:tab w:val="right" w:pos="9026"/>
      </w:tabs>
    </w:pPr>
  </w:style>
  <w:style w:type="character" w:customStyle="1" w:styleId="llbChar1">
    <w:name w:val="Élőláb Char1"/>
    <w:basedOn w:val="Bekezdsalapbettpusa"/>
    <w:link w:val="llb"/>
    <w:uiPriority w:val="99"/>
    <w:rPr>
      <w:rFonts w:ascii="Times New Roman" w:eastAsia="Times New Roman" w:hAnsi="Times New Roman" w:cs="Times New Roman"/>
      <w:lang w:val="en-GB"/>
    </w:rPr>
  </w:style>
  <w:style w:type="paragraph" w:styleId="Buborkszveg">
    <w:name w:val="Balloon Text"/>
    <w:basedOn w:val="Norml"/>
    <w:link w:val="BuborkszvegChar1"/>
    <w:uiPriority w:val="99"/>
    <w:semiHidden/>
    <w:unhideWhenUsed/>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Pr>
      <w:rFonts w:ascii="Segoe UI" w:eastAsia="Times New Roman" w:hAnsi="Segoe UI" w:cs="Segoe UI"/>
      <w:sz w:val="18"/>
      <w:szCs w:val="18"/>
      <w:lang w:val="en-GB"/>
    </w:rPr>
  </w:style>
  <w:style w:type="paragraph" w:styleId="Vltozat">
    <w:name w:val="Revision"/>
    <w:hidden/>
    <w:uiPriority w:val="99"/>
    <w:semiHidden/>
    <w:pPr>
      <w:spacing w:after="0" w:line="240" w:lineRule="auto"/>
    </w:pPr>
    <w:rPr>
      <w:rFonts w:ascii="Times New Roman" w:eastAsia="Times New Roman" w:hAnsi="Times New Roman" w:cs="Times New Roman"/>
      <w:lang w:val="en-GB"/>
    </w:rPr>
  </w:style>
  <w:style w:type="character" w:styleId="Jegyzethivatkozs">
    <w:name w:val="annotation reference"/>
    <w:basedOn w:val="Bekezdsalapbettpusa"/>
    <w:uiPriority w:val="99"/>
    <w:semiHidden/>
    <w:unhideWhenUsed/>
    <w:rPr>
      <w:sz w:val="16"/>
      <w:szCs w:val="16"/>
    </w:rPr>
  </w:style>
  <w:style w:type="paragraph" w:styleId="Jegyzetszveg">
    <w:name w:val="annotation text"/>
    <w:basedOn w:val="Norml"/>
    <w:link w:val="JegyzetszvegChar1"/>
    <w:uiPriority w:val="99"/>
    <w:unhideWhenUsed/>
    <w:pPr>
      <w:spacing w:line="240" w:lineRule="auto"/>
    </w:pPr>
    <w:rPr>
      <w:sz w:val="20"/>
      <w:szCs w:val="20"/>
    </w:rPr>
  </w:style>
  <w:style w:type="character" w:customStyle="1" w:styleId="JegyzetszvegChar1">
    <w:name w:val="Jegyzetszöveg Char1"/>
    <w:basedOn w:val="Bekezdsalapbettpusa"/>
    <w:link w:val="Jegyzetszveg"/>
    <w:uiPriority w:val="99"/>
    <w:rPr>
      <w:rFonts w:ascii="Times New Roman" w:eastAsia="Times New Roman" w:hAnsi="Times New Roman" w:cs="Times New Roman"/>
      <w:sz w:val="20"/>
      <w:szCs w:val="20"/>
      <w:lang w:val="en-GB"/>
    </w:rPr>
  </w:style>
  <w:style w:type="character" w:customStyle="1" w:styleId="cf01">
    <w:name w:val="cf01"/>
    <w:basedOn w:val="Bekezdsalapbettpusa"/>
    <w:rPr>
      <w:rFonts w:ascii="Segoe UI" w:hAnsi="Segoe UI" w:cs="Segoe UI" w:hint="default"/>
      <w:sz w:val="18"/>
      <w:szCs w:val="18"/>
    </w:rPr>
  </w:style>
  <w:style w:type="paragraph" w:styleId="Listaszerbekezds">
    <w:name w:val="List Paragraph"/>
    <w:basedOn w:val="Norml"/>
    <w:uiPriority w:val="34"/>
    <w:qFormat/>
    <w:pPr>
      <w:ind w:left="720"/>
      <w:contextualSpacing/>
    </w:pPr>
  </w:style>
  <w:style w:type="character" w:customStyle="1" w:styleId="SzvegtrzsChar">
    <w:name w:val="Szövegtörzs Char"/>
    <w:aliases w:val="Body Text PP Char"/>
    <w:basedOn w:val="Bekezdsalapbettpusa"/>
    <w:link w:val="Szvegtrzs"/>
    <w:semiHidden/>
    <w:locked/>
    <w:rPr>
      <w:rFonts w:ascii="HG Mincho Light J" w:eastAsia="HG Mincho Light J" w:hAnsi="HG Mincho Light J"/>
      <w:color w:val="000000"/>
      <w:sz w:val="24"/>
      <w:szCs w:val="24"/>
      <w:lang w:eastAsia="ar-SA"/>
    </w:rPr>
  </w:style>
  <w:style w:type="paragraph" w:styleId="Szvegtrzs">
    <w:name w:val="Body Text"/>
    <w:aliases w:val="Body Text PP"/>
    <w:basedOn w:val="Norml"/>
    <w:link w:val="SzvegtrzsChar"/>
    <w:semiHidden/>
    <w:unhideWhenUsed/>
    <w:pPr>
      <w:widowControl w:val="0"/>
      <w:tabs>
        <w:tab w:val="clear" w:pos="567"/>
      </w:tabs>
      <w:suppressAutoHyphens/>
      <w:spacing w:after="120" w:line="240" w:lineRule="auto"/>
    </w:pPr>
    <w:rPr>
      <w:rFonts w:ascii="HG Mincho Light J" w:eastAsia="HG Mincho Light J" w:hAnsi="HG Mincho Light J" w:cstheme="minorBidi"/>
      <w:color w:val="000000"/>
      <w:sz w:val="24"/>
      <w:szCs w:val="24"/>
      <w:lang w:val="hu-HU" w:eastAsia="ar-SA"/>
    </w:rPr>
  </w:style>
  <w:style w:type="character" w:customStyle="1" w:styleId="SzvegtrzsChar1">
    <w:name w:val="Szövegtörzs Char1"/>
    <w:basedOn w:val="Bekezdsalapbettpusa"/>
    <w:uiPriority w:val="99"/>
    <w:semiHidden/>
    <w:rPr>
      <w:rFonts w:ascii="Times New Roman" w:eastAsia="Times New Roman" w:hAnsi="Times New Roman" w:cs="Times New Roman"/>
      <w:lang w:val="en-GB"/>
    </w:rPr>
  </w:style>
  <w:style w:type="paragraph" w:customStyle="1" w:styleId="Default">
    <w:name w:val="Default"/>
    <w:pPr>
      <w:autoSpaceDE w:val="0"/>
      <w:autoSpaceDN w:val="0"/>
      <w:adjustRightInd w:val="0"/>
      <w:spacing w:after="0" w:line="240" w:lineRule="auto"/>
    </w:pPr>
    <w:rPr>
      <w:rFonts w:ascii="Times New Roman" w:eastAsia="Times New Roman" w:hAnsi="Times New Roman" w:cs="Times New Roman"/>
      <w:color w:val="000000"/>
      <w:sz w:val="24"/>
      <w:szCs w:val="24"/>
      <w:lang w:val="sl-SI" w:eastAsia="sl-SI"/>
    </w:rPr>
  </w:style>
  <w:style w:type="character" w:styleId="Hiperhivatkozs">
    <w:name w:val="Hyperlink"/>
    <w:unhideWhenUsed/>
    <w:rPr>
      <w:color w:val="0000FF"/>
      <w:u w:val="single"/>
    </w:rPr>
  </w:style>
  <w:style w:type="paragraph" w:customStyle="1" w:styleId="NoSpacing1">
    <w:name w:val="No Spacing1"/>
    <w:uiPriority w:val="1"/>
    <w:qFormat/>
    <w:pPr>
      <w:spacing w:after="0" w:line="240" w:lineRule="auto"/>
    </w:pPr>
    <w:rPr>
      <w:rFonts w:ascii="Calibri" w:eastAsia="Calibri" w:hAnsi="Calibri" w:cs="Times New Roman"/>
      <w:lang w:val="en-GB"/>
    </w:rPr>
  </w:style>
  <w:style w:type="paragraph" w:styleId="NormlWeb">
    <w:name w:val="Normal (Web)"/>
    <w:basedOn w:val="Norml"/>
    <w:uiPriority w:val="99"/>
    <w:semiHidden/>
    <w:unhideWhenUsed/>
    <w:pPr>
      <w:tabs>
        <w:tab w:val="clear" w:pos="567"/>
      </w:tabs>
      <w:spacing w:before="100" w:beforeAutospacing="1" w:after="100" w:afterAutospacing="1" w:line="240" w:lineRule="auto"/>
    </w:pPr>
    <w:rPr>
      <w:sz w:val="24"/>
      <w:szCs w:val="24"/>
      <w:lang w:val="hu-HU" w:eastAsia="hu-HU"/>
    </w:rPr>
  </w:style>
  <w:style w:type="paragraph" w:styleId="Megjegyzstrgya">
    <w:name w:val="annotation subject"/>
    <w:basedOn w:val="Jegyzetszveg"/>
    <w:next w:val="Jegyzetszveg"/>
    <w:link w:val="MegjegyzstrgyaChar1"/>
    <w:uiPriority w:val="99"/>
    <w:semiHidden/>
    <w:unhideWhenUsed/>
    <w:rPr>
      <w:b/>
      <w:bCs/>
    </w:rPr>
  </w:style>
  <w:style w:type="character" w:customStyle="1" w:styleId="MegjegyzstrgyaChar1">
    <w:name w:val="Megjegyzés tárgya Char1"/>
    <w:basedOn w:val="JegyzetszvegChar1"/>
    <w:link w:val="Megjegyzstrgya"/>
    <w:uiPriority w:val="99"/>
    <w:semiHidden/>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0966989">
      <w:bodyDiv w:val="1"/>
      <w:marLeft w:val="0"/>
      <w:marRight w:val="0"/>
      <w:marTop w:val="0"/>
      <w:marBottom w:val="0"/>
      <w:divBdr>
        <w:top w:val="none" w:sz="0" w:space="0" w:color="auto"/>
        <w:left w:val="none" w:sz="0" w:space="0" w:color="auto"/>
        <w:bottom w:val="none" w:sz="0" w:space="0" w:color="auto"/>
        <w:right w:val="none" w:sz="0" w:space="0" w:color="auto"/>
      </w:divBdr>
    </w:div>
    <w:div w:id="2054112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C463E-1E81-4E42-B21F-6AC210E2B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3673</Words>
  <Characters>25346</Characters>
  <Application>Microsoft Office Word</Application>
  <DocSecurity>0</DocSecurity>
  <Lines>211</Lines>
  <Paragraphs>57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Type IB C.I.2.a</dc:creator>
  <cp:keywords/>
  <dc:description/>
  <cp:lastModifiedBy>HU OGYI 49.1</cp:lastModifiedBy>
  <cp:revision>3</cp:revision>
  <dcterms:created xsi:type="dcterms:W3CDTF">2025-12-08T09:50:00Z</dcterms:created>
  <dcterms:modified xsi:type="dcterms:W3CDTF">2025-12-08T09:50:00Z</dcterms:modified>
</cp:coreProperties>
</file>