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67AC14" w14:textId="77777777" w:rsidR="00B14E32" w:rsidRPr="00B14E32" w:rsidRDefault="00B14E32" w:rsidP="00B14E32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bookmarkStart w:id="0" w:name="_GoBack"/>
      <w:bookmarkEnd w:id="0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Betegtájékoztató: Információk a beteg számára</w:t>
      </w:r>
    </w:p>
    <w:p w14:paraId="5F4167E9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B3C3E2B" w14:textId="77777777" w:rsidR="00B14E32" w:rsidRPr="00B14E32" w:rsidRDefault="00B14E32" w:rsidP="00B14E32">
      <w:pPr>
        <w:widowControl w:val="0"/>
        <w:tabs>
          <w:tab w:val="left" w:pos="567"/>
          <w:tab w:val="left" w:pos="993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MSN 120 mg gyomornedv-ellenálló kemény kapszula</w:t>
      </w:r>
    </w:p>
    <w:p w14:paraId="0129E060" w14:textId="77777777" w:rsidR="00B14E32" w:rsidRPr="00B14E32" w:rsidRDefault="00B14E32" w:rsidP="00B14E32">
      <w:pPr>
        <w:widowControl w:val="0"/>
        <w:tabs>
          <w:tab w:val="left" w:pos="567"/>
          <w:tab w:val="left" w:pos="993"/>
        </w:tabs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MSN 240 mg gyomornedv-ellenálló kemény kapszula</w:t>
      </w:r>
    </w:p>
    <w:p w14:paraId="3E9173F4" w14:textId="77777777" w:rsidR="00B14E32" w:rsidRPr="00B14E32" w:rsidRDefault="00B14E32" w:rsidP="00B14E32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dimetil-fumarát</w:t>
      </w:r>
      <w:proofErr w:type="spellEnd"/>
    </w:p>
    <w:p w14:paraId="6D1A3081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0C3BA81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0FD6A13C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Mielőtt elkezdi szedni ezt a gyógyszert, olvassa el figyelmesen az alábbi betegtájékoztatót, mert az Ön számára fontos információkat tartalmaz.</w:t>
      </w:r>
    </w:p>
    <w:p w14:paraId="37F44161" w14:textId="77777777" w:rsidR="00B14E32" w:rsidRPr="00B14E32" w:rsidRDefault="00B14E32" w:rsidP="00B14E32">
      <w:pPr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Tartsa meg a betegtájékoztatót, mert a benne szereplő információkra a későbbiekben is szüksége lehet.</w:t>
      </w:r>
    </w:p>
    <w:p w14:paraId="307D0420" w14:textId="77777777" w:rsidR="00B14E32" w:rsidRPr="00B14E32" w:rsidRDefault="00B14E32" w:rsidP="00B14E32">
      <w:pPr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További kérdéseivel forduljon kezelőorvosához vagy gyógyszerészéhez.</w:t>
      </w:r>
    </w:p>
    <w:p w14:paraId="471409F4" w14:textId="77777777" w:rsidR="00B14E32" w:rsidRPr="00B14E32" w:rsidRDefault="00B14E32" w:rsidP="00B14E32">
      <w:pPr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66CEB6AC" w14:textId="77777777" w:rsidR="00B14E32" w:rsidRPr="00B14E32" w:rsidRDefault="00B14E32" w:rsidP="00B14E32">
      <w:pPr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Ha Önnél bármilyen mellékhatás jelentkezik, tájékoztassa kezelőorvosát vagy gyógyszerészét. Ez a betegtájékoztatóban fel nem sorolt bármilyen lehetséges mellékhatásra is vonatkozik. Lásd 4. pont.</w:t>
      </w:r>
    </w:p>
    <w:p w14:paraId="2342C6F1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53D6D8F3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A betegtájékoztató tartalma</w:t>
      </w:r>
    </w:p>
    <w:p w14:paraId="744DD477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8DCD28A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1.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ab/>
        <w:t xml:space="preserve">Milyen típusú gyógyszer 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 és milyen betegségek esetén alkalmazható?</w:t>
      </w:r>
    </w:p>
    <w:p w14:paraId="7A85D4F7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2.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ab/>
        <w:t xml:space="preserve">Tudnivalók 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 szedése előtt</w:t>
      </w:r>
    </w:p>
    <w:p w14:paraId="7B4809F4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3.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ab/>
        <w:t xml:space="preserve">Hogyan kell szedni 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MSN-t?</w:t>
      </w:r>
    </w:p>
    <w:p w14:paraId="15B2CA28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4.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ab/>
        <w:t>Lehetséges mellékhatások</w:t>
      </w:r>
    </w:p>
    <w:p w14:paraId="07022565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5.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ab/>
        <w:t xml:space="preserve">Hogyan kell 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MSN-t tárolni?</w:t>
      </w:r>
    </w:p>
    <w:p w14:paraId="78614464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6.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ab/>
        <w:t>A csomagolás tartalma és egyéb információk</w:t>
      </w:r>
    </w:p>
    <w:p w14:paraId="4689B314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BA7DEC2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2197FCE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1.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 xml:space="preserve">Milyen típusú gyógyszer a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MSN és milyen betegségek esetén alkalmazható?</w:t>
      </w:r>
    </w:p>
    <w:p w14:paraId="0748FF0B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166D107B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Mi a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MSN?</w:t>
      </w:r>
    </w:p>
    <w:p w14:paraId="711DFD19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6838DB0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 a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dimetil-fumarát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nevű hatóanyagot tartalmazó gyógyszer.</w:t>
      </w:r>
    </w:p>
    <w:p w14:paraId="1FDF581B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5643BC01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Milyen betegségek esetén alkalmazható a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MSN?</w:t>
      </w:r>
    </w:p>
    <w:p w14:paraId="7F90550A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5F1B694D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A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MSN a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relapszáló-remittáló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szklerózis multiplex (SM) kezelésére szolgál 13 éves és annál idősebb betegeknél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.</w:t>
      </w:r>
    </w:p>
    <w:p w14:paraId="39A394CD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5390508B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Az SM a központi idegrendszert (KIR-t), annak részeként az agyat és a gerincvelőt is érintő, tartósan fennálló kóros állapot. 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relapszáló-remittáló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SM jellemzője az idegrendszeri tünetek ismétlődő kiújulása (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relapszusok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). A tünetek minden betegnél mások lehetnek, de jellemző a járás zavara, az egyensúlyérzés zavara és a látászavarok (például homályos vagy kettős látás). 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relapszus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végén ezek a tünetek teljesen elmúlhatnak, de néhány panasz maradandó lehet.</w:t>
      </w:r>
    </w:p>
    <w:p w14:paraId="626EB6B1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4C63881B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Hogyan hat a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MSN?</w:t>
      </w:r>
    </w:p>
    <w:p w14:paraId="21694B8D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5F842E99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 valószínűleg úgy hat, hogy megakadályozza, hogy a szervezet védekezőrendszere károsítsa az Ön agyát és gerincvelőjét. Ez az SM későbbi rosszabbodásának késleltetését is elősegítheti.</w:t>
      </w:r>
    </w:p>
    <w:p w14:paraId="6CFC7D45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D5EAA2B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3B2EEE4" w14:textId="77777777" w:rsidR="00B14E32" w:rsidRPr="00B14E32" w:rsidRDefault="00B14E32" w:rsidP="00B14E32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lastRenderedPageBreak/>
        <w:t>2.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 xml:space="preserve">Tudnivalók a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MSN szedése előtt</w:t>
      </w:r>
    </w:p>
    <w:p w14:paraId="22836E4E" w14:textId="77777777" w:rsidR="00B14E32" w:rsidRPr="00B14E32" w:rsidRDefault="00B14E32" w:rsidP="00B14E32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72B7922" w14:textId="77777777" w:rsidR="00B14E32" w:rsidRPr="00B14E32" w:rsidRDefault="00B14E32" w:rsidP="00B14E32">
      <w:pPr>
        <w:keepNext/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Ne szedje a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MSN-t</w:t>
      </w:r>
    </w:p>
    <w:p w14:paraId="49D2DC2D" w14:textId="77777777" w:rsidR="00B14E32" w:rsidRPr="00B14E32" w:rsidRDefault="00B14E32" w:rsidP="00B14E32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3955877C" w14:textId="77777777" w:rsidR="00B14E32" w:rsidRPr="00B14E32" w:rsidRDefault="00B14E32" w:rsidP="00B14E32">
      <w:pPr>
        <w:numPr>
          <w:ilvl w:val="0"/>
          <w:numId w:val="2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ha allergiás a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dimetil-fumarátra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vagy a gyógyszer (6. pontban felsorolt) egyéb összetevőjére.</w:t>
      </w:r>
    </w:p>
    <w:p w14:paraId="213B716C" w14:textId="77777777" w:rsidR="00B14E32" w:rsidRPr="00B14E32" w:rsidRDefault="00B14E32" w:rsidP="00B14E32">
      <w:pPr>
        <w:numPr>
          <w:ilvl w:val="0"/>
          <w:numId w:val="2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ha Ön feltételezhetően vagy igazoltan a progresszív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multifokális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leukoenkefalopátia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(PML) nevű, ritka agyi fertőzésben szenved.</w:t>
      </w:r>
    </w:p>
    <w:p w14:paraId="007AF9C1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08CC1977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Figyelmeztetések és óvintézkedések</w:t>
      </w:r>
    </w:p>
    <w:p w14:paraId="18F98E20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38CE20D4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 hatással lehet a 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fehérvérsejtszámra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, a 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vesére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, és a 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májra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. Mielőtt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elkezdené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szedni 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MSN-t, kezelőorvosa vérvizsgálattal meg fogja állapítani a vérében levő fehérvérsejtek számát, és ellenőrizni fogja, hogy a veséje és a mája megfelelően működik-e. A kezelés folyamán kezelőorvosa bizonyos időközönként el fogja végezni ezeket a vizsgálatokat. Ha az Ön fehérvérsejtszáma csökken a kezelés alatt, kezelőorvosa megfontolhatja további vizsgálatok elvégzését vagy a kezelés leállítását.</w:t>
      </w:r>
    </w:p>
    <w:p w14:paraId="56CE33E0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3FA90C37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 szedése előtt 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tájékoztassa kezelőorvosát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, ha Önnek:</w:t>
      </w:r>
    </w:p>
    <w:p w14:paraId="53466CC6" w14:textId="77777777" w:rsidR="00B14E32" w:rsidRPr="00B14E32" w:rsidRDefault="00B14E32" w:rsidP="00B14E32">
      <w:pPr>
        <w:numPr>
          <w:ilvl w:val="0"/>
          <w:numId w:val="2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súlyos 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vesebetegsége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van;</w:t>
      </w:r>
    </w:p>
    <w:p w14:paraId="4FC7DD1E" w14:textId="77777777" w:rsidR="00B14E32" w:rsidRPr="00B14E32" w:rsidRDefault="00B14E32" w:rsidP="00B14E32">
      <w:pPr>
        <w:numPr>
          <w:ilvl w:val="0"/>
          <w:numId w:val="2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súlyos 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májbetegsége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van;</w:t>
      </w:r>
    </w:p>
    <w:p w14:paraId="417AA509" w14:textId="77777777" w:rsidR="00B14E32" w:rsidRPr="00B14E32" w:rsidRDefault="00B14E32" w:rsidP="00B14E32">
      <w:pPr>
        <w:numPr>
          <w:ilvl w:val="0"/>
          <w:numId w:val="2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gyomorbetegsége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vagy 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bélbetegsége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van;</w:t>
      </w:r>
    </w:p>
    <w:p w14:paraId="191A1BA5" w14:textId="77777777" w:rsidR="00B14E32" w:rsidRPr="00B14E32" w:rsidRDefault="00B14E32" w:rsidP="00B14E32">
      <w:pPr>
        <w:numPr>
          <w:ilvl w:val="0"/>
          <w:numId w:val="2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súlyos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fertőzése 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(például tüdőgyulladása) van.</w:t>
      </w:r>
    </w:p>
    <w:p w14:paraId="19A34676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7D2D537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 xml:space="preserve">A </w:t>
      </w:r>
      <w:proofErr w:type="spellStart"/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 xml:space="preserve"> MSN-kezelés alatt övsömör (herpesz </w:t>
      </w:r>
      <w:proofErr w:type="spellStart"/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>zoszter</w:t>
      </w:r>
      <w:proofErr w:type="spellEnd"/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 xml:space="preserve">) alakulhat ki. Egyes esetekben súlyos szövődmények fordultak elő. Azonnal </w:t>
      </w:r>
      <w:r w:rsidRPr="00B14E32">
        <w:rPr>
          <w:rFonts w:ascii="Times New Roman" w:eastAsia="SimSun" w:hAnsi="Times New Roman" w:cs="Times New Roman"/>
          <w:b/>
          <w:bCs/>
          <w:kern w:val="0"/>
          <w:szCs w:val="20"/>
          <w:lang w:eastAsia="ar-SA"/>
          <w14:ligatures w14:val="none"/>
        </w:rPr>
        <w:t>tájékoztassa kezelőorvosát</w:t>
      </w:r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>, ha azt gyanítja, hogy övsömör tüneteit tapasztalja.</w:t>
      </w:r>
    </w:p>
    <w:p w14:paraId="5E4A693C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7B3FCDC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Ha úgy gondolja, hogy SM-betegsége rosszabbodik (például gyengeség vagy látászavar lép fel), vagy ha bármilyen új tünetet tapasztal, azonnal beszéljen kezelőorvosával, mivel ezek a PML nevű, ritka agyi fertőzés tünetei lehetnek. A PML súlyos betegség, amely súlyos egészségkárosodáshoz vagy halálhoz vezethet.</w:t>
      </w:r>
    </w:p>
    <w:p w14:paraId="7EF86A7F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1B1A7D87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Egy ritka, de súlyos vesebetegséget, úgynevezett Fanconi-szindrómát, jelentettek egy, a pikkelysömör (egy bőrbetegség) kezelésére alkalmazott,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dimetil-fumarátot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és egyéb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fumársav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-észtereket kombinációban tartalmazó gyógyszer esetén. Ha azt tapasztalja, hogy nagyobb mennyiségű vizeletet ürít, szomjasabb vagy a szokásosnál többet iszik, izmai gyengébbnek tűnnek, csonttörést szenved, vagy csak fájdalmai vannak, a lehető leghamarabb beszéljen kezelőorvosával, hogy ezeket kivizsgálhassa.</w:t>
      </w:r>
    </w:p>
    <w:p w14:paraId="624E7364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6ADAAE0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Gyermekek és serdülők</w:t>
      </w:r>
    </w:p>
    <w:p w14:paraId="7F81549F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1F9864B4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>A gyógyszer 10 évesnél fiatalabb gyermekeknél nem alkalmazható, mert ebben a korcsoportban nem állnak rendelkezésre adatok.</w:t>
      </w:r>
    </w:p>
    <w:p w14:paraId="345C1A7E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4C712A17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Egyéb gyógyszerek és a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MSN</w:t>
      </w:r>
    </w:p>
    <w:p w14:paraId="2C6897C9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4393D548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Feltétlenül tájékoztassa kezelőorvosát vagy gyógyszerészét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a jelenleg vagy nemrégiben szedett, valamint szedni tervezett egyéb gyógyszereiről, különös tekintettel a következőkre:</w:t>
      </w:r>
    </w:p>
    <w:p w14:paraId="196A0E24" w14:textId="77777777" w:rsidR="00B14E32" w:rsidRPr="00B14E32" w:rsidRDefault="00B14E32" w:rsidP="00B14E32">
      <w:pPr>
        <w:widowControl w:val="0"/>
        <w:numPr>
          <w:ilvl w:val="0"/>
          <w:numId w:val="1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fumársav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-észtereket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(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fumarátokat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) tartalmazó gyógyszerek, melyek a pikkelysömör kezelésére szolgálnak;</w:t>
      </w:r>
    </w:p>
    <w:p w14:paraId="14AD2C89" w14:textId="77777777" w:rsidR="00B14E32" w:rsidRPr="00B14E32" w:rsidRDefault="00B14E32" w:rsidP="00B14E32">
      <w:pPr>
        <w:widowControl w:val="0"/>
        <w:numPr>
          <w:ilvl w:val="0"/>
          <w:numId w:val="1"/>
        </w:numPr>
        <w:tabs>
          <w:tab w:val="left" w:pos="567"/>
        </w:tabs>
        <w:suppressAutoHyphens/>
        <w:autoSpaceDE w:val="0"/>
        <w:spacing w:after="0" w:line="240" w:lineRule="auto"/>
        <w:ind w:left="567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a szervezet immunrendszerére ható gyógyszerek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, beleértve 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a kemoterápiás gyógyszereket, az immunrendszert legyengítő gyógyszereket (úgynevezett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immunszuppresszánsokat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) 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vagy 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az SM kezelésére szolgáló más gyógyszereket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;</w:t>
      </w:r>
    </w:p>
    <w:p w14:paraId="529232C0" w14:textId="77777777" w:rsidR="00B14E32" w:rsidRPr="00B14E32" w:rsidRDefault="00B14E32" w:rsidP="00B14E32">
      <w:pPr>
        <w:widowControl w:val="0"/>
        <w:numPr>
          <w:ilvl w:val="0"/>
          <w:numId w:val="1"/>
        </w:numPr>
        <w:tabs>
          <w:tab w:val="left" w:pos="567"/>
        </w:tabs>
        <w:suppressAutoHyphens/>
        <w:autoSpaceDE w:val="0"/>
        <w:spacing w:after="0" w:line="240" w:lineRule="auto"/>
        <w:ind w:left="567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a vesére ható gyógyszerek, beleértve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bizonyos 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antibiotikumokat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(melyek a fertőzések kezelésére szolgálnak), „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vízhajtókat”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(</w:t>
      </w:r>
      <w:proofErr w:type="spellStart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diuretikumokat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),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bizonyos fajtájú fájdalomcsillapítókat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(például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ibuprofént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és más hasonló gyulladásgátlókat, valamint vény nélkül megvásárolt gyógyszereket) és a 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lítium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-tartalmú gyógyszereket is;</w:t>
      </w:r>
    </w:p>
    <w:p w14:paraId="4DB1C551" w14:textId="77777777" w:rsidR="00B14E32" w:rsidRPr="00B14E32" w:rsidRDefault="00B14E32" w:rsidP="00B14E32">
      <w:pPr>
        <w:widowControl w:val="0"/>
        <w:numPr>
          <w:ilvl w:val="0"/>
          <w:numId w:val="1"/>
        </w:numPr>
        <w:tabs>
          <w:tab w:val="left" w:pos="567"/>
        </w:tabs>
        <w:suppressAutoHyphens/>
        <w:autoSpaceDE w:val="0"/>
        <w:spacing w:after="0" w:line="240" w:lineRule="auto"/>
        <w:ind w:left="567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lastRenderedPageBreak/>
        <w:t xml:space="preserve">Ha 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 szedése közben bizonyos fajtájú 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védőoltásokat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(</w:t>
      </w:r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élő kórokozókat tartalmazó vakcinákat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) kap, fertőzés alakulhat ki Önnél, ezért ezt el kell kerülni. Kezelőorvosa tájékoztatni fogja Önt arról, hogy más típusú védőoltásokat (</w:t>
      </w:r>
      <w:proofErr w:type="spellStart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elölt</w:t>
      </w:r>
      <w:proofErr w:type="spellEnd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 xml:space="preserve"> kórokozókat tartalmazó vakcinákat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) kaphat-e.</w:t>
      </w:r>
    </w:p>
    <w:p w14:paraId="37EB9EE6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53BBBAA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Az alkohol hatása a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MSN-re</w:t>
      </w:r>
    </w:p>
    <w:p w14:paraId="3F9B47FE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4325AFF1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 bevételét követő egy órában nem szabad nagy mennyiségű (50 ml-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nél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több), magas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alkoholtartalmú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(több mint 30 térfogatszázalék alkoholt tartalmazó) szeszes italt, például párlatokat fogyasztani, mert az alkohol kölcsönhatásba lép ezzel a gyógyszerrel. Ez a gyomor gyulladásához (</w:t>
      </w:r>
      <w:proofErr w:type="spellStart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gasztritiszhez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) vezethet, különösképpen azoknál, akik egyébként is hajlamosak rá.</w:t>
      </w:r>
    </w:p>
    <w:p w14:paraId="17DB9422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5DCE9F30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Terhesség és szoptatás</w:t>
      </w:r>
    </w:p>
    <w:p w14:paraId="5ABDCF2D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3EC1C9EA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Ha Ön terhes vagy szoptat, illetve ha fennáll Önnél a terhesség lehetősége vagy gyermeket szeretne, a gyógyszer szedése előtt beszéljen kezelőorvosával vagy gyógyszerészével.</w:t>
      </w:r>
    </w:p>
    <w:p w14:paraId="2B6BE44F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5227D6B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u w:val="single"/>
          <w14:ligatures w14:val="none"/>
        </w:rPr>
        <w:t>Terhesség</w:t>
      </w:r>
    </w:p>
    <w:p w14:paraId="77326016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29D339C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Korlátozott információ áll rendelkezésre a gyógyszer magzatra gyakorolt hatásairól, ha terhesség alatt alkalmazzák. Ne alkalmazza 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MSN-t, ha Ön terhes, kivéve, ha ezt megbeszélte kezelőorvosával, és ez a gyógyszer egyértelműen szükséges az Ön számára.</w:t>
      </w:r>
    </w:p>
    <w:p w14:paraId="43D1DF2F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56BDD0C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u w:val="single"/>
          <w14:ligatures w14:val="none"/>
        </w:rPr>
        <w:t>Szoptatás</w:t>
      </w:r>
    </w:p>
    <w:p w14:paraId="760C006E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45796B74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Nem ismert, hogy 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 hatóanyaga átjut-e az anyatejbe. Kezelőorvosa tanácsot fog adni, hogy a szoptatást vagy 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 alkalmazását függessze fel. Ennek során felméri, hogy mekkora előnnyel jár gyermeke számára a szoptatás, és hogy Önnek mekkora előnye származik a kezelésből.</w:t>
      </w:r>
    </w:p>
    <w:p w14:paraId="5E1C25C5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8E1CE3B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A készítmény hatásai a gépjárművezetéshez és a gépek kezeléséhez szükséges képességekre</w:t>
      </w:r>
    </w:p>
    <w:p w14:paraId="09B19B35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D9BF7C6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 várhatóan nem befolyásolja a gépjárművezetéshez és a gépek kezeléséhez szükséges képességeket.</w:t>
      </w:r>
    </w:p>
    <w:p w14:paraId="637D579F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5A974FCB" w14:textId="77777777" w:rsidR="00B14E32" w:rsidRPr="00B14E32" w:rsidRDefault="00B14E32" w:rsidP="00B14E32">
      <w:pPr>
        <w:widowControl w:val="0"/>
        <w:numPr>
          <w:ilvl w:val="12"/>
          <w:numId w:val="0"/>
        </w:numPr>
        <w:tabs>
          <w:tab w:val="left" w:pos="567"/>
          <w:tab w:val="left" w:pos="940"/>
        </w:tabs>
        <w:spacing w:after="0" w:line="240" w:lineRule="auto"/>
        <w:ind w:right="-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B14E3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A </w:t>
      </w:r>
      <w:proofErr w:type="spellStart"/>
      <w:r w:rsidRPr="00B14E3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Dimethyl</w:t>
      </w:r>
      <w:proofErr w:type="spellEnd"/>
      <w:r w:rsidRPr="00B14E3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B14E3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fumarate</w:t>
      </w:r>
      <w:proofErr w:type="spellEnd"/>
      <w:r w:rsidRPr="00B14E3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MSN </w:t>
      </w:r>
      <w:r w:rsidRPr="00B14E32"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  <w:t>nátriumot</w:t>
      </w:r>
      <w:r w:rsidRPr="00B14E32">
        <w:rPr>
          <w:rFonts w:ascii="Times New Roman" w:eastAsia="Times New Roman" w:hAnsi="Times New Roman" w:cs="Times New Roman"/>
          <w:b/>
          <w:noProof/>
          <w:kern w:val="0"/>
          <w:szCs w:val="20"/>
          <w14:ligatures w14:val="none"/>
        </w:rPr>
        <w:t xml:space="preserve"> tartalmaz</w:t>
      </w:r>
    </w:p>
    <w:p w14:paraId="79DD0133" w14:textId="77777777" w:rsidR="00B14E32" w:rsidRPr="00B14E32" w:rsidRDefault="00B14E32" w:rsidP="00B14E32">
      <w:pPr>
        <w:widowControl w:val="0"/>
        <w:numPr>
          <w:ilvl w:val="12"/>
          <w:numId w:val="0"/>
        </w:numPr>
        <w:tabs>
          <w:tab w:val="left" w:pos="567"/>
          <w:tab w:val="left" w:pos="940"/>
        </w:tabs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E83F54B" w14:textId="77777777" w:rsidR="00B14E32" w:rsidRPr="00B14E32" w:rsidRDefault="00B14E32" w:rsidP="00B14E32">
      <w:pPr>
        <w:tabs>
          <w:tab w:val="left" w:pos="567"/>
        </w:tabs>
        <w:suppressAutoHyphens/>
        <w:spacing w:after="0" w:line="240" w:lineRule="auto"/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A készítmény kevesebb mint 1 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mmol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(23 mg) nátriumot tartalmaz kapszulánként, azaz gyakorlatilag „nátriummentes”.</w:t>
      </w:r>
    </w:p>
    <w:p w14:paraId="17660A27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40A02DB8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5C06C47C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3.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 xml:space="preserve">Hogyan kell szedni a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MSN-t?</w:t>
      </w:r>
    </w:p>
    <w:p w14:paraId="0AAC9E52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</w:pPr>
    </w:p>
    <w:p w14:paraId="1B425807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A gyógyszert mindig a kezelőorvosa által elmondottaknak megfelelően szedje. Amennyiben nem biztos abban, hogyan alkalmazza a gyógyszert, kérdezze meg kezelőorvosát.</w:t>
      </w:r>
    </w:p>
    <w:p w14:paraId="5B37CCC6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06B7A5AB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Kezdő adag: Naponta kétszer 120 mg.</w:t>
      </w:r>
    </w:p>
    <w:p w14:paraId="4E5B4D83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Ezt a kezdő adagot szedje az első 7 nap során, ezután szedje a szokásos adagot.</w:t>
      </w:r>
    </w:p>
    <w:p w14:paraId="1FB983DE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B0496FE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Szokásos adag: Naponta kétszer 240 mg.</w:t>
      </w:r>
    </w:p>
    <w:p w14:paraId="6A2162B7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1DD4FB85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14:ligatures w14:val="none"/>
        </w:rPr>
        <w:t xml:space="preserve">A </w:t>
      </w:r>
      <w:proofErr w:type="spellStart"/>
      <w:r w:rsidRPr="00B14E32">
        <w:rPr>
          <w:rFonts w:ascii="Times New Roman" w:eastAsia="SimSun" w:hAnsi="Times New Roman" w:cs="Times New Roman"/>
          <w:kern w:val="0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14:ligatures w14:val="none"/>
        </w:rPr>
        <w:t xml:space="preserve"> MSN szájon át alkalmazandó.</w:t>
      </w:r>
    </w:p>
    <w:p w14:paraId="0EC1EC85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409B5D91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A kapszulákat egészben nyelje le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, vízzel. Ne válassza szét, ne törje össze, ne oldja fel, ne szopogassa el, illetve ne rágja össze a kapszulát, mert ez fokozhatja bizonyos mellékhatások kialakulását.</w:t>
      </w:r>
    </w:p>
    <w:p w14:paraId="236166CF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AB1D296" w14:textId="77777777" w:rsidR="00B14E32" w:rsidRPr="00B14E32" w:rsidRDefault="00B14E32" w:rsidP="00E95C53">
      <w:pPr>
        <w:keepNext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A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MSN-t étkezés közben vegye be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– ez segíthet néhány nagyon gyakori (a 4. pontban felsorolt) mellékhatás enyhítésében.</w:t>
      </w:r>
    </w:p>
    <w:p w14:paraId="42E8B7F5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74E60852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Ha az előírtnál több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MSN-t vett be</w:t>
      </w:r>
    </w:p>
    <w:p w14:paraId="37DA1538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446CE0AE" w14:textId="77777777" w:rsidR="00B14E32" w:rsidRPr="00B14E32" w:rsidRDefault="00B14E32" w:rsidP="00B14E32">
      <w:pPr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Ha túl sok kapszulát vett be, 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azonnal tájékoztassa a kezelőorvosát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. Az alábbi, 4. pontban leírt mellékhatásokhoz hasonló tüneteket észlelhet.</w:t>
      </w:r>
    </w:p>
    <w:p w14:paraId="1FF45D29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7CA6C196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Ha elfelejtette bevenni a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MSN-t</w:t>
      </w:r>
    </w:p>
    <w:p w14:paraId="245D9393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34F34073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Ne vegyen be kétszeres adagot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az elfelejtett vagy kihagyott adag pótlására.</w:t>
      </w:r>
    </w:p>
    <w:p w14:paraId="72FC51A4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54D506EC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Beveheti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a kihagyott adagot, amennyiben legalább 4 órát hagy az adagok bevétele között. Ellenkező esetben várjon a következő tervezett adagjáig.</w:t>
      </w:r>
    </w:p>
    <w:p w14:paraId="0B777FCD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026E9CD0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Ha bármilyen további kérdése van a gyógyszer alkalmazásával kapcsolatban, kérdezze meg kezelőorvosát vagy gyógyszerészét.</w:t>
      </w:r>
    </w:p>
    <w:p w14:paraId="68829A06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55BB670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5A72EADC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4.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Lehetséges mellékhatások</w:t>
      </w:r>
    </w:p>
    <w:p w14:paraId="05A8E3A6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3B321618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Mint minden gyógyszer, így ez a gyógyszer is okozhat mellékhatásokat, amelyek azonban nem mindenkinél jelentkeznek.</w:t>
      </w:r>
    </w:p>
    <w:p w14:paraId="0B8678CE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40D52165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u w:val="single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u w:val="single"/>
          <w:lang w:eastAsia="ar-SA"/>
          <w14:ligatures w14:val="none"/>
        </w:rPr>
        <w:t>Súlyos mellékhatások</w:t>
      </w:r>
    </w:p>
    <w:p w14:paraId="4B6F0020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C649CB2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 csökkentheti 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limfocitaszámot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(a fehérvérsejtek egyik fajtája). Az alacsony fehérvérsejtszám miatt fokozódhat a fertőzések, köztük egy ritka agyi fertőzés, az úgynevezett progresszív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multifokális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leukoenkefalopátia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(PML) kockázata. A PML súlyos egészségkárosodáshoz vagy halálhoz vezethet. A PML 1–5 év kezelés után alakult ki, ezért kezelőorvosának a kezelés során továbbra is ellenőriznie kell az Ön fehérvérsejtszámát, és Önnek figyelnie kell a PML lent leírt lehetséges tüneteit. A PML kockázata nagyobb lehet, ha Ön korábban a szervezete immunrendszerének működését csökkentő gyógyszert szedett.</w:t>
      </w:r>
    </w:p>
    <w:p w14:paraId="3ADC4709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F9DED2D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A PML tünetei hasonlóak lehetnek ahhoz, mint amiket az SM kiújulásakor tapasztal. A tünetek közé a következők tartozhatnak: a test újonnan kialakuló vagy rosszabbodó féloldali gyengesége, elesettség, a látás, a gondolkodás és az emlékezet zavarai, zavartság vagy személyiségváltozás,</w:t>
      </w:r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 xml:space="preserve"> 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beszédzavar vagy kommunikációs nehézség, amelyek több napig is tarthatnak. Ezért nagyon fontos, hogy a lehető leghamarabb beszéljen kezelőorvosával, ha úgy gondolja, hogy SM-betegsége rosszabbodik, vagy ha bármilyen új tünetet észlel 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MSN-kezelés során. Továbbá, beszéljen partnerével vagy gondozójával, és tájékoztassa őket a kezeléséről. Olyan tünetek is kialakulhatnak, amelyeket lehet, hogy Ön nem vesz észre.</w:t>
      </w:r>
    </w:p>
    <w:p w14:paraId="58A0A712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6364192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val="fi-FI" w:eastAsia="ar-SA"/>
          <w14:ligatures w14:val="none"/>
        </w:rPr>
        <w:sym w:font="Wingdings" w:char="F0E0"/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ab/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Azonnal hívja kezelőorvosát, ha a felsorolt tünetek bármelyikét észleli.</w:t>
      </w:r>
    </w:p>
    <w:p w14:paraId="0A7E4453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90FE62A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u w:val="single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u w:val="single"/>
          <w:lang w:eastAsia="ar-SA"/>
          <w14:ligatures w14:val="none"/>
        </w:rPr>
        <w:t>Súlyos allergiás reakciók</w:t>
      </w:r>
    </w:p>
    <w:p w14:paraId="61FDB412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5CF1F612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A súlyos allergiás reakciók gyakorisága a rendelkezésre álló adatokból nem állapítható meg (nem ismert).</w:t>
      </w:r>
    </w:p>
    <w:p w14:paraId="497A0115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88855B9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Az arc vagy a test bőrének kipirosodása egy nagyon gyakori mellékhatás. Súlyos allergiás reakciót </w:t>
      </w:r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(</w:t>
      </w:r>
      <w:proofErr w:type="spellStart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anafilaxia</w:t>
      </w:r>
      <w:proofErr w:type="spellEnd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)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jelezhet azonban, ha a kipirulást vörös bőrkiütés vagy csalánkiütés megjelenése kíséri, 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és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az alábbi tünetek bármelyikét tapasztalja:</w:t>
      </w:r>
    </w:p>
    <w:p w14:paraId="514D84E7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5F084EF" w14:textId="77777777" w:rsidR="00B14E32" w:rsidRPr="00B14E32" w:rsidRDefault="00B14E32" w:rsidP="00B14E32">
      <w:pPr>
        <w:widowControl w:val="0"/>
        <w:numPr>
          <w:ilvl w:val="0"/>
          <w:numId w:val="4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az arc, az ajak, a száj vagy a nyelv duzzanata </w:t>
      </w:r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(</w:t>
      </w:r>
      <w:proofErr w:type="spellStart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angioödéma</w:t>
      </w:r>
      <w:proofErr w:type="spellEnd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)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;</w:t>
      </w:r>
    </w:p>
    <w:p w14:paraId="172897B3" w14:textId="77777777" w:rsidR="00B14E32" w:rsidRPr="00B14E32" w:rsidRDefault="00B14E32" w:rsidP="00B14E32">
      <w:pPr>
        <w:widowControl w:val="0"/>
        <w:numPr>
          <w:ilvl w:val="0"/>
          <w:numId w:val="4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zihálás, légzési nehézség vagy légszomj </w:t>
      </w:r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(</w:t>
      </w:r>
      <w:proofErr w:type="spellStart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diszpnoé</w:t>
      </w:r>
      <w:proofErr w:type="spellEnd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 xml:space="preserve">, </w:t>
      </w:r>
      <w:proofErr w:type="spellStart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hipoxia</w:t>
      </w:r>
      <w:proofErr w:type="spellEnd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)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;</w:t>
      </w:r>
    </w:p>
    <w:p w14:paraId="0B505D76" w14:textId="77777777" w:rsidR="00B14E32" w:rsidRPr="00B14E32" w:rsidRDefault="00B14E32" w:rsidP="00B14E32">
      <w:pPr>
        <w:widowControl w:val="0"/>
        <w:numPr>
          <w:ilvl w:val="0"/>
          <w:numId w:val="4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szédülés vagy eszméletvesztés </w:t>
      </w:r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(</w:t>
      </w:r>
      <w:proofErr w:type="spellStart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hipotenzió</w:t>
      </w:r>
      <w:proofErr w:type="spellEnd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)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.</w:t>
      </w:r>
    </w:p>
    <w:p w14:paraId="251E2A85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11520211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val="fi-FI" w:eastAsia="ar-SA"/>
          <w14:ligatures w14:val="none"/>
        </w:rPr>
        <w:sym w:font="Wingdings" w:char="F0E0"/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ab/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Hagyja abba a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MSN alkalmazását, és azonnal forduljon orvoshoz.</w:t>
      </w:r>
    </w:p>
    <w:p w14:paraId="1226002C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56E16216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u w:val="single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u w:val="single"/>
          <w:lang w:eastAsia="ar-SA"/>
          <w14:ligatures w14:val="none"/>
        </w:rPr>
        <w:t>Egyéb mellékhatások</w:t>
      </w:r>
    </w:p>
    <w:p w14:paraId="1F7CD87C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1389D581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Nagyon gyakori 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(</w:t>
      </w:r>
      <w:r w:rsidRPr="00B14E32">
        <w:rPr>
          <w:rFonts w:ascii="Times New Roman" w:eastAsia="SimSun" w:hAnsi="Times New Roman" w:cs="Times New Roman"/>
          <w:iCs/>
          <w:kern w:val="0"/>
          <w:lang w:eastAsia="ar-SA"/>
          <w14:ligatures w14:val="none"/>
        </w:rPr>
        <w:t>10-ből legalább 1 beteget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érinthet)</w:t>
      </w:r>
    </w:p>
    <w:p w14:paraId="29D08224" w14:textId="77777777" w:rsidR="00B14E32" w:rsidRPr="00B14E32" w:rsidRDefault="00B14E32" w:rsidP="00B14E32">
      <w:pPr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az arc vagy a test kipirosodása, melegség illetve forróság érzése, vagy égő érzés vagy viszketés;</w:t>
      </w:r>
    </w:p>
    <w:p w14:paraId="3F1D7579" w14:textId="77777777" w:rsidR="00B14E32" w:rsidRPr="00B14E32" w:rsidRDefault="00B14E32" w:rsidP="00B14E32">
      <w:pPr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hasmenés;</w:t>
      </w:r>
    </w:p>
    <w:p w14:paraId="683066FD" w14:textId="77777777" w:rsidR="00B14E32" w:rsidRPr="00B14E32" w:rsidRDefault="00B14E32" w:rsidP="00B14E32">
      <w:pPr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hányinger;</w:t>
      </w:r>
    </w:p>
    <w:p w14:paraId="23EBF56B" w14:textId="77777777" w:rsidR="00B14E32" w:rsidRPr="00B14E32" w:rsidRDefault="00B14E32" w:rsidP="00B14E32">
      <w:pPr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hasi vagy gyomortáji fájdalom.</w:t>
      </w:r>
    </w:p>
    <w:p w14:paraId="2E32C6DD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D03E094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val="fi-FI" w:eastAsia="ar-SA"/>
          <w14:ligatures w14:val="none"/>
        </w:rPr>
        <w:sym w:font="Wingdings" w:char="F0E0"/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ab/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Ha étkezés közben veszi be a gyógyszerét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, az enyhítheti a fenti mellékhatásokat.</w:t>
      </w:r>
    </w:p>
    <w:p w14:paraId="48CB74DE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404F4017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A ketonoknak nevezett, a szervezet által természetes úton előállított anyagok nagyon gyakran megjelennek 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MSN-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nel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kezelt betegek vizeletében.</w:t>
      </w:r>
    </w:p>
    <w:p w14:paraId="3B5A8B39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1B9BCD85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Beszéljen kezelőorvosával arról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, hogyan kezelje ezeket a mellékhatásokat. Kezelőorvosa csökkentheti az adagját. Ne csökkentse az adagját, hacsak kezelőorvosa nem utasítja erre.</w:t>
      </w:r>
    </w:p>
    <w:p w14:paraId="4328298E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6CEF5F0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Gyakori 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(10-ből legfeljebb 1 beteget érinthet)</w:t>
      </w:r>
    </w:p>
    <w:p w14:paraId="7CBDF1B8" w14:textId="77777777" w:rsidR="00B14E32" w:rsidRPr="00B14E32" w:rsidRDefault="00B14E32" w:rsidP="00B14E32">
      <w:pPr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a belek hámrétegének gyulladása (</w:t>
      </w:r>
      <w:proofErr w:type="spellStart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gasztroenteritisz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);</w:t>
      </w:r>
    </w:p>
    <w:p w14:paraId="1DEF11AA" w14:textId="77777777" w:rsidR="00B14E32" w:rsidRPr="00B14E32" w:rsidRDefault="00B14E32" w:rsidP="00B14E32">
      <w:pPr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hányás;</w:t>
      </w:r>
    </w:p>
    <w:p w14:paraId="778556EF" w14:textId="77777777" w:rsidR="00B14E32" w:rsidRPr="00B14E32" w:rsidRDefault="00B14E32" w:rsidP="00B14E32">
      <w:pPr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emésztési zavar (</w:t>
      </w:r>
      <w:proofErr w:type="spellStart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diszpepszia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);</w:t>
      </w:r>
    </w:p>
    <w:p w14:paraId="51650729" w14:textId="77777777" w:rsidR="00B14E32" w:rsidRPr="00B14E32" w:rsidRDefault="00B14E32" w:rsidP="00B14E32">
      <w:pPr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a gyomornyálkahártya gyulladása (</w:t>
      </w:r>
      <w:proofErr w:type="spellStart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gasztritisz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);</w:t>
      </w:r>
    </w:p>
    <w:p w14:paraId="2BD07EF2" w14:textId="77777777" w:rsidR="00B14E32" w:rsidRPr="00B14E32" w:rsidRDefault="00B14E32" w:rsidP="00B14E32">
      <w:pPr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emésztőrendszeri zavar;</w:t>
      </w:r>
    </w:p>
    <w:p w14:paraId="78A2D597" w14:textId="77777777" w:rsidR="00B14E32" w:rsidRPr="00B14E32" w:rsidRDefault="00B14E32" w:rsidP="00B14E32">
      <w:pPr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val="en-GB"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égő érzés;</w:t>
      </w:r>
    </w:p>
    <w:p w14:paraId="19E8ED3B" w14:textId="77777777" w:rsidR="00B14E32" w:rsidRPr="00B14E32" w:rsidRDefault="00B14E32" w:rsidP="00B14E32">
      <w:pPr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hőhullám, melegségérzet;</w:t>
      </w:r>
    </w:p>
    <w:p w14:paraId="17E1AF27" w14:textId="77777777" w:rsidR="00B14E32" w:rsidRPr="00B14E32" w:rsidRDefault="00B14E32" w:rsidP="00B14E32">
      <w:pPr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bőrviszketés (</w:t>
      </w:r>
      <w:proofErr w:type="spellStart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pruritusz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);</w:t>
      </w:r>
    </w:p>
    <w:p w14:paraId="48091FEB" w14:textId="77777777" w:rsidR="00B14E32" w:rsidRPr="00B14E32" w:rsidRDefault="00B14E32" w:rsidP="00B14E32">
      <w:pPr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bőrkiütés;</w:t>
      </w:r>
    </w:p>
    <w:p w14:paraId="211A4F6B" w14:textId="77777777" w:rsidR="00B14E32" w:rsidRPr="00B14E32" w:rsidRDefault="00B14E32" w:rsidP="00B14E32">
      <w:pPr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rózsaszín vagy piros foltok a bőrön (</w:t>
      </w:r>
      <w:proofErr w:type="spellStart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eritéma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);</w:t>
      </w:r>
    </w:p>
    <w:p w14:paraId="09657592" w14:textId="77777777" w:rsidR="00B14E32" w:rsidRPr="00B14E32" w:rsidRDefault="00B14E32" w:rsidP="00B14E32">
      <w:pPr>
        <w:widowControl w:val="0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hajhullás (</w:t>
      </w:r>
      <w:proofErr w:type="spellStart"/>
      <w:r w:rsidRPr="00B14E32">
        <w:rPr>
          <w:rFonts w:ascii="Times New Roman" w:eastAsia="SimSun" w:hAnsi="Times New Roman" w:cs="Times New Roman"/>
          <w:i/>
          <w:iCs/>
          <w:kern w:val="0"/>
          <w:lang w:eastAsia="ar-SA"/>
          <w14:ligatures w14:val="none"/>
        </w:rPr>
        <w:t>alopécia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).</w:t>
      </w:r>
    </w:p>
    <w:p w14:paraId="145C1046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2AE903AE" w14:textId="77777777" w:rsidR="00B14E32" w:rsidRPr="00B14E32" w:rsidRDefault="00B14E32" w:rsidP="00B14E32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  <w:t>Mellékhatások, melyek a vérvizsgálatok vagy vizeletvizsgálatok eredményeiben jelentkezhetnek</w:t>
      </w:r>
    </w:p>
    <w:p w14:paraId="483EF12B" w14:textId="77777777" w:rsidR="00B14E32" w:rsidRPr="00B14E32" w:rsidRDefault="00B14E32" w:rsidP="00B14E32">
      <w:pPr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alacsony fehérvérsejtszám a vérben (</w:t>
      </w:r>
      <w:proofErr w:type="spellStart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limfopénia</w:t>
      </w:r>
      <w:proofErr w:type="spellEnd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 xml:space="preserve">, </w:t>
      </w:r>
      <w:proofErr w:type="spellStart"/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leukopénia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). A fehérvérsejtek számának csökkenése azt jelentheti, hogy a szervezete kevésbé tudja leküzdeni a fertőzéseket. Ha súlyos fertőzése, például tüdőgyulladása van, azonnal tájékoztassa kezelőorvosát.</w:t>
      </w:r>
    </w:p>
    <w:p w14:paraId="31B6D8FC" w14:textId="77777777" w:rsidR="00B14E32" w:rsidRPr="00B14E32" w:rsidRDefault="00B14E32" w:rsidP="00B14E32">
      <w:pPr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fehérje (</w:t>
      </w:r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albumin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) a vizeletben;</w:t>
      </w:r>
    </w:p>
    <w:p w14:paraId="4EAF17A2" w14:textId="77777777" w:rsidR="00B14E32" w:rsidRPr="00B14E32" w:rsidRDefault="00B14E32" w:rsidP="00B14E32">
      <w:pPr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a májenzimek (GPT [</w:t>
      </w:r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>ALAT], GOT [ASAT]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) szintjének megemelkedése a vérben.</w:t>
      </w:r>
    </w:p>
    <w:p w14:paraId="2E2A84C2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3033D753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Nem gyakori 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(</w:t>
      </w:r>
      <w:r w:rsidRPr="00B14E32">
        <w:rPr>
          <w:rFonts w:ascii="Times New Roman" w:eastAsia="SimSun" w:hAnsi="Times New Roman" w:cs="Times New Roman"/>
          <w:iCs/>
          <w:kern w:val="0"/>
          <w:lang w:eastAsia="ar-SA"/>
          <w14:ligatures w14:val="none"/>
        </w:rPr>
        <w:t>100-ból legfeljebb 1 beteget</w:t>
      </w:r>
      <w:r w:rsidRPr="00B14E32">
        <w:rPr>
          <w:rFonts w:ascii="Times New Roman" w:eastAsia="SimSun" w:hAnsi="Times New Roman" w:cs="Times New Roman"/>
          <w:i/>
          <w:kern w:val="0"/>
          <w:lang w:eastAsia="ar-SA"/>
          <w14:ligatures w14:val="none"/>
        </w:rPr>
        <w:t xml:space="preserve"> 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érinthet)</w:t>
      </w:r>
    </w:p>
    <w:p w14:paraId="4FD8649E" w14:textId="77777777" w:rsidR="00B14E32" w:rsidRPr="00B14E32" w:rsidRDefault="00B14E32" w:rsidP="00B14E32">
      <w:pPr>
        <w:widowControl w:val="0"/>
        <w:numPr>
          <w:ilvl w:val="0"/>
          <w:numId w:val="5"/>
        </w:numPr>
        <w:tabs>
          <w:tab w:val="left" w:pos="567"/>
          <w:tab w:val="left" w:pos="720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val="en-GB" w:eastAsia="ar-SA"/>
          <w14:ligatures w14:val="none"/>
        </w:rPr>
      </w:pPr>
      <w:proofErr w:type="spellStart"/>
      <w:r w:rsidRPr="00B14E32">
        <w:rPr>
          <w:rFonts w:ascii="Times New Roman" w:eastAsia="SimSun" w:hAnsi="Times New Roman" w:cs="Times New Roman"/>
          <w:kern w:val="0"/>
          <w:lang w:val="en-GB" w:eastAsia="ar-SA"/>
          <w14:ligatures w14:val="none"/>
        </w:rPr>
        <w:t>allergiás</w:t>
      </w:r>
      <w:proofErr w:type="spellEnd"/>
      <w:r w:rsidRPr="00B14E32">
        <w:rPr>
          <w:rFonts w:ascii="Times New Roman" w:eastAsia="SimSun" w:hAnsi="Times New Roman" w:cs="Times New Roman"/>
          <w:kern w:val="0"/>
          <w:lang w:val="en-GB"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val="en-GB" w:eastAsia="ar-SA"/>
          <w14:ligatures w14:val="none"/>
        </w:rPr>
        <w:t>reakciók</w:t>
      </w:r>
      <w:proofErr w:type="spellEnd"/>
      <w:r w:rsidRPr="00B14E32">
        <w:rPr>
          <w:rFonts w:ascii="Times New Roman" w:eastAsia="SimSun" w:hAnsi="Times New Roman" w:cs="Times New Roman"/>
          <w:kern w:val="0"/>
          <w:lang w:val="en-GB" w:eastAsia="ar-SA"/>
          <w14:ligatures w14:val="none"/>
        </w:rPr>
        <w:t xml:space="preserve"> (</w:t>
      </w:r>
      <w:proofErr w:type="spellStart"/>
      <w:r w:rsidRPr="00B14E32">
        <w:rPr>
          <w:rFonts w:ascii="Times New Roman" w:eastAsia="SimSun" w:hAnsi="Times New Roman" w:cs="Times New Roman"/>
          <w:i/>
          <w:kern w:val="0"/>
          <w:lang w:val="en-GB" w:eastAsia="ar-SA"/>
          <w14:ligatures w14:val="none"/>
        </w:rPr>
        <w:t>túlérzékenység</w:t>
      </w:r>
      <w:proofErr w:type="spellEnd"/>
      <w:r w:rsidRPr="00B14E32">
        <w:rPr>
          <w:rFonts w:ascii="Times New Roman" w:eastAsia="SimSun" w:hAnsi="Times New Roman" w:cs="Times New Roman"/>
          <w:kern w:val="0"/>
          <w:lang w:val="en-GB" w:eastAsia="ar-SA"/>
          <w14:ligatures w14:val="none"/>
        </w:rPr>
        <w:t>);</w:t>
      </w:r>
    </w:p>
    <w:p w14:paraId="3B98D698" w14:textId="77777777" w:rsidR="00B14E32" w:rsidRPr="00B14E32" w:rsidRDefault="00B14E32" w:rsidP="00B14E32">
      <w:pPr>
        <w:widowControl w:val="0"/>
        <w:numPr>
          <w:ilvl w:val="0"/>
          <w:numId w:val="5"/>
        </w:numPr>
        <w:tabs>
          <w:tab w:val="left" w:pos="567"/>
        </w:tabs>
        <w:suppressAutoHyphens/>
        <w:spacing w:after="0" w:line="240" w:lineRule="auto"/>
        <w:ind w:right="-2" w:hanging="720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a vérlemezkék számának csökkenése.</w:t>
      </w:r>
    </w:p>
    <w:p w14:paraId="716D4CD9" w14:textId="77777777" w:rsid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E98CFC9" w14:textId="5DE23DD0" w:rsidR="00055A39" w:rsidRPr="00055A39" w:rsidRDefault="00055A39" w:rsidP="00055A39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CB4D82">
        <w:rPr>
          <w:rFonts w:ascii="Times New Roman" w:eastAsia="SimSun" w:hAnsi="Times New Roman" w:cs="Times New Roman"/>
          <w:b/>
          <w:bCs/>
          <w:kern w:val="0"/>
          <w:lang w:eastAsia="ar-SA"/>
          <w14:ligatures w14:val="none"/>
        </w:rPr>
        <w:t>Ritka</w:t>
      </w:r>
      <w:r w:rsidRPr="00055A39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(1000-ből legfeljebb 1</w:t>
      </w:r>
      <w:r>
        <w:rPr>
          <w:rFonts w:ascii="Times New Roman" w:eastAsia="SimSun" w:hAnsi="Times New Roman" w:cs="Times New Roman"/>
          <w:kern w:val="0"/>
          <w:lang w:eastAsia="ar-SA"/>
          <w14:ligatures w14:val="none"/>
        </w:rPr>
        <w:t> </w:t>
      </w:r>
      <w:r w:rsidRPr="00055A39">
        <w:rPr>
          <w:rFonts w:ascii="Times New Roman" w:eastAsia="SimSun" w:hAnsi="Times New Roman" w:cs="Times New Roman"/>
          <w:kern w:val="0"/>
          <w:lang w:eastAsia="ar-SA"/>
          <w14:ligatures w14:val="none"/>
        </w:rPr>
        <w:t>beteget érinthet)</w:t>
      </w:r>
    </w:p>
    <w:p w14:paraId="6BE7C8D4" w14:textId="26B24A29" w:rsidR="00055A39" w:rsidRPr="00055A39" w:rsidRDefault="00055A39" w:rsidP="00CB4D82">
      <w:pPr>
        <w:widowControl w:val="0"/>
        <w:numPr>
          <w:ilvl w:val="0"/>
          <w:numId w:val="5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055A39">
        <w:rPr>
          <w:rFonts w:ascii="Times New Roman" w:eastAsia="SimSun" w:hAnsi="Times New Roman" w:cs="Times New Roman"/>
          <w:kern w:val="0"/>
          <w:lang w:eastAsia="ar-SA"/>
          <w14:ligatures w14:val="none"/>
        </w:rPr>
        <w:t>májgyulladás és a májenzimszintek emelkedése (</w:t>
      </w:r>
      <w:proofErr w:type="spellStart"/>
      <w:r w:rsidRPr="00CB4D82">
        <w:rPr>
          <w:rFonts w:ascii="Times New Roman" w:eastAsia="SimSun" w:hAnsi="Times New Roman" w:cs="Times New Roman"/>
          <w:i/>
          <w:iCs/>
          <w:kern w:val="0"/>
          <w:lang w:eastAsia="ar-SA"/>
          <w14:ligatures w14:val="none"/>
        </w:rPr>
        <w:t>glutamát-piruvát-transzamináz</w:t>
      </w:r>
      <w:proofErr w:type="spellEnd"/>
      <w:r w:rsidRPr="00CB4D82">
        <w:rPr>
          <w:rFonts w:ascii="Times New Roman" w:eastAsia="SimSun" w:hAnsi="Times New Roman" w:cs="Times New Roman"/>
          <w:i/>
          <w:iCs/>
          <w:kern w:val="0"/>
          <w:lang w:eastAsia="ar-SA"/>
          <w14:ligatures w14:val="none"/>
        </w:rPr>
        <w:t xml:space="preserve">, más néven </w:t>
      </w:r>
      <w:proofErr w:type="spellStart"/>
      <w:r w:rsidRPr="00CB4D82">
        <w:rPr>
          <w:rFonts w:ascii="Times New Roman" w:eastAsia="SimSun" w:hAnsi="Times New Roman" w:cs="Times New Roman"/>
          <w:i/>
          <w:iCs/>
          <w:kern w:val="0"/>
          <w:lang w:eastAsia="ar-SA"/>
          <w14:ligatures w14:val="none"/>
        </w:rPr>
        <w:t>alanin-aminotranszferáz</w:t>
      </w:r>
      <w:proofErr w:type="spellEnd"/>
      <w:r w:rsidRPr="00CB4D82">
        <w:rPr>
          <w:rFonts w:ascii="Times New Roman" w:eastAsia="SimSun" w:hAnsi="Times New Roman" w:cs="Times New Roman"/>
          <w:i/>
          <w:iCs/>
          <w:kern w:val="0"/>
          <w:lang w:eastAsia="ar-SA"/>
          <w14:ligatures w14:val="none"/>
        </w:rPr>
        <w:t xml:space="preserve"> vagy </w:t>
      </w:r>
      <w:proofErr w:type="spellStart"/>
      <w:r w:rsidRPr="00CB4D82">
        <w:rPr>
          <w:rFonts w:ascii="Times New Roman" w:eastAsia="SimSun" w:hAnsi="Times New Roman" w:cs="Times New Roman"/>
          <w:i/>
          <w:iCs/>
          <w:kern w:val="0"/>
          <w:lang w:eastAsia="ar-SA"/>
          <w14:ligatures w14:val="none"/>
        </w:rPr>
        <w:t>glutamát</w:t>
      </w:r>
      <w:proofErr w:type="spellEnd"/>
      <w:r w:rsidRPr="00CB4D82">
        <w:rPr>
          <w:rFonts w:ascii="Times New Roman" w:eastAsia="SimSun" w:hAnsi="Times New Roman" w:cs="Times New Roman"/>
          <w:i/>
          <w:iCs/>
          <w:kern w:val="0"/>
          <w:lang w:eastAsia="ar-SA"/>
          <w14:ligatures w14:val="none"/>
        </w:rPr>
        <w:t>-oxálacetát-</w:t>
      </w:r>
      <w:proofErr w:type="spellStart"/>
      <w:r w:rsidRPr="00CB4D82">
        <w:rPr>
          <w:rFonts w:ascii="Times New Roman" w:eastAsia="SimSun" w:hAnsi="Times New Roman" w:cs="Times New Roman"/>
          <w:i/>
          <w:iCs/>
          <w:kern w:val="0"/>
          <w:lang w:eastAsia="ar-SA"/>
          <w14:ligatures w14:val="none"/>
        </w:rPr>
        <w:t>transzamináz</w:t>
      </w:r>
      <w:proofErr w:type="spellEnd"/>
      <w:r w:rsidRPr="00CB4D82">
        <w:rPr>
          <w:rFonts w:ascii="Times New Roman" w:eastAsia="SimSun" w:hAnsi="Times New Roman" w:cs="Times New Roman"/>
          <w:i/>
          <w:iCs/>
          <w:kern w:val="0"/>
          <w:lang w:eastAsia="ar-SA"/>
          <w14:ligatures w14:val="none"/>
        </w:rPr>
        <w:t>, más néven aszpartát-</w:t>
      </w:r>
      <w:proofErr w:type="spellStart"/>
      <w:r w:rsidRPr="00CB4D82">
        <w:rPr>
          <w:rFonts w:ascii="Times New Roman" w:eastAsia="SimSun" w:hAnsi="Times New Roman" w:cs="Times New Roman"/>
          <w:i/>
          <w:iCs/>
          <w:kern w:val="0"/>
          <w:lang w:eastAsia="ar-SA"/>
          <w14:ligatures w14:val="none"/>
        </w:rPr>
        <w:t>aminotranszferáz</w:t>
      </w:r>
      <w:proofErr w:type="spellEnd"/>
      <w:r w:rsidR="00EB7BDC">
        <w:rPr>
          <w:rFonts w:ascii="Times New Roman" w:eastAsia="SimSun" w:hAnsi="Times New Roman" w:cs="Times New Roman"/>
          <w:i/>
          <w:iCs/>
          <w:kern w:val="0"/>
          <w:lang w:eastAsia="ar-SA"/>
          <w14:ligatures w14:val="none"/>
        </w:rPr>
        <w:t>;</w:t>
      </w:r>
      <w:r w:rsidRPr="00CB4D82">
        <w:rPr>
          <w:rFonts w:ascii="Times New Roman" w:eastAsia="SimSun" w:hAnsi="Times New Roman" w:cs="Times New Roman"/>
          <w:i/>
          <w:iCs/>
          <w:kern w:val="0"/>
          <w:lang w:eastAsia="ar-SA"/>
          <w14:ligatures w14:val="none"/>
        </w:rPr>
        <w:t xml:space="preserve"> a bilirubinnal együtt</w:t>
      </w:r>
      <w:r w:rsidRPr="00055A39">
        <w:rPr>
          <w:rFonts w:ascii="Times New Roman" w:eastAsia="SimSun" w:hAnsi="Times New Roman" w:cs="Times New Roman"/>
          <w:kern w:val="0"/>
          <w:lang w:eastAsia="ar-SA"/>
          <w14:ligatures w14:val="none"/>
        </w:rPr>
        <w:t>).</w:t>
      </w:r>
    </w:p>
    <w:p w14:paraId="57BFDDBA" w14:textId="77777777" w:rsidR="00055A39" w:rsidRPr="00B14E32" w:rsidRDefault="00055A39" w:rsidP="00055A39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092A138D" w14:textId="77777777" w:rsidR="00B14E32" w:rsidRPr="00B14E32" w:rsidRDefault="00B14E32" w:rsidP="00B14E32">
      <w:pPr>
        <w:widowControl w:val="0"/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Nem ismert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gyakoriságú mellékhatások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(a gyakoriság a rendelkezésre álló adatokból nem állapítható meg)</w:t>
      </w:r>
    </w:p>
    <w:p w14:paraId="6B838D7D" w14:textId="77777777" w:rsidR="00B14E32" w:rsidRPr="00B14E32" w:rsidRDefault="00B14E32" w:rsidP="00B14E32">
      <w:pPr>
        <w:widowControl w:val="0"/>
        <w:numPr>
          <w:ilvl w:val="0"/>
          <w:numId w:val="5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zh-CN"/>
          <w14:ligatures w14:val="none"/>
        </w:rPr>
        <w:t>övsömör (</w:t>
      </w:r>
      <w:r w:rsidRPr="00B14E32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herpesz </w:t>
      </w:r>
      <w:proofErr w:type="spellStart"/>
      <w:r w:rsidRPr="00B14E32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zoszter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zh-CN"/>
          <w14:ligatures w14:val="none"/>
        </w:rPr>
        <w:t>) a következő tünetekkel: hólyagok, égő, viszkető érzés vagy fájdalom a bőrön, jellemzően a felsőtest vagy az arc egyik oldalán, valamint egyéb tünetek, például a fertőzés korai szakaszában a láz és a gyengeség, amelyet zsibbadás, viszketés vagy erős fájdalommal járó vörös foltok megjelenése követ;</w:t>
      </w:r>
    </w:p>
    <w:p w14:paraId="30D7EE2B" w14:textId="77777777" w:rsidR="00B14E32" w:rsidRPr="00B14E32" w:rsidRDefault="00B14E32" w:rsidP="00B14E32">
      <w:pPr>
        <w:widowControl w:val="0"/>
        <w:numPr>
          <w:ilvl w:val="0"/>
          <w:numId w:val="5"/>
        </w:numPr>
        <w:tabs>
          <w:tab w:val="left" w:pos="567"/>
        </w:tabs>
        <w:suppressAutoHyphens/>
        <w:spacing w:after="0" w:line="240" w:lineRule="auto"/>
        <w:ind w:left="567" w:right="-2" w:hanging="567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zh-CN"/>
          <w14:ligatures w14:val="none"/>
        </w:rPr>
        <w:t>orrfolyás.</w:t>
      </w:r>
    </w:p>
    <w:p w14:paraId="66D8C7E7" w14:textId="77777777" w:rsidR="00B14E32" w:rsidRPr="00B14E32" w:rsidRDefault="00B14E32" w:rsidP="00B14E32">
      <w:pPr>
        <w:widowControl w:val="0"/>
        <w:spacing w:after="0" w:line="240" w:lineRule="auto"/>
        <w:ind w:left="567" w:right="-2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579D26B" w14:textId="77777777" w:rsidR="00B14E32" w:rsidRPr="00B14E32" w:rsidRDefault="00B14E32" w:rsidP="00B14E32">
      <w:pPr>
        <w:keepNext/>
        <w:keepLines/>
        <w:widowControl w:val="0"/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14E32">
        <w:rPr>
          <w:rFonts w:ascii="Times New Roman" w:eastAsia="Times New Roman" w:hAnsi="Times New Roman" w:cs="Times New Roman"/>
          <w:b/>
          <w:kern w:val="0"/>
          <w14:ligatures w14:val="none"/>
        </w:rPr>
        <w:t>Gyermekek és serdülők (13 évesek vagy annál idősebbek)</w:t>
      </w:r>
    </w:p>
    <w:p w14:paraId="4D8A231E" w14:textId="77777777" w:rsidR="00B14E32" w:rsidRPr="00B14E32" w:rsidRDefault="00B14E32" w:rsidP="00B14E32">
      <w:pPr>
        <w:keepNext/>
        <w:keepLines/>
        <w:widowControl w:val="0"/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14E32">
        <w:rPr>
          <w:rFonts w:ascii="Times New Roman" w:eastAsia="Times New Roman" w:hAnsi="Times New Roman" w:cs="Times New Roman"/>
          <w:kern w:val="0"/>
          <w14:ligatures w14:val="none"/>
        </w:rPr>
        <w:t>A fent felsorolt mellékhatások gyermekekre és serdülőkre is vonatkoznak.</w:t>
      </w:r>
    </w:p>
    <w:p w14:paraId="47722458" w14:textId="77777777" w:rsidR="00B14E32" w:rsidRPr="00B14E32" w:rsidRDefault="00B14E32" w:rsidP="00B14E32">
      <w:pPr>
        <w:keepLines/>
        <w:widowControl w:val="0"/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14E32">
        <w:rPr>
          <w:rFonts w:ascii="Times New Roman" w:eastAsia="Times New Roman" w:hAnsi="Times New Roman" w:cs="Times New Roman"/>
          <w:kern w:val="0"/>
          <w14:ligatures w14:val="none"/>
        </w:rPr>
        <w:t xml:space="preserve">Néhány mellékhatás gyermekeknél és serdülőknél gyakrabban fordult elő, mint felnőtteknél, például fejfájás, hasi vagy gyomortáji fájdalom, </w:t>
      </w:r>
      <w:r w:rsidRPr="00B14E32">
        <w:rPr>
          <w:rFonts w:ascii="Times New Roman" w:eastAsia="Times New Roman" w:hAnsi="Times New Roman" w:cs="Times New Roman"/>
          <w:iCs/>
          <w:kern w:val="0"/>
          <w14:ligatures w14:val="none"/>
        </w:rPr>
        <w:t>hányás</w:t>
      </w:r>
      <w:r w:rsidRPr="00B14E32">
        <w:rPr>
          <w:rFonts w:ascii="Times New Roman" w:eastAsia="Times New Roman" w:hAnsi="Times New Roman" w:cs="Times New Roman"/>
          <w:kern w:val="0"/>
          <w14:ligatures w14:val="none"/>
        </w:rPr>
        <w:t>, torokfájás, köhögés és fájdalmas menstruáció.</w:t>
      </w:r>
    </w:p>
    <w:p w14:paraId="00E913C6" w14:textId="77777777" w:rsidR="00B14E32" w:rsidRPr="00B14E32" w:rsidRDefault="00B14E32" w:rsidP="00B14E32">
      <w:pPr>
        <w:widowControl w:val="0"/>
        <w:spacing w:after="0" w:line="240" w:lineRule="auto"/>
        <w:ind w:left="562" w:right="-2" w:hanging="562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A83134" w14:textId="77777777" w:rsidR="00B14E32" w:rsidRPr="00B14E32" w:rsidRDefault="00B14E32" w:rsidP="00B14E32">
      <w:pPr>
        <w:keepNext/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szCs w:val="20"/>
          <w:lang w:eastAsia="ar-SA"/>
          <w14:ligatures w14:val="none"/>
        </w:rPr>
        <w:t>Mellékhatások bejelentése</w:t>
      </w:r>
    </w:p>
    <w:p w14:paraId="37745A0E" w14:textId="77777777" w:rsidR="00B14E32" w:rsidRPr="00B14E32" w:rsidRDefault="00B14E32" w:rsidP="00B14E32">
      <w:pPr>
        <w:tabs>
          <w:tab w:val="left" w:pos="567"/>
        </w:tabs>
        <w:suppressAutoHyphens/>
        <w:spacing w:after="0" w:line="240" w:lineRule="auto"/>
        <w:ind w:right="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 w:history="1">
        <w:r w:rsidRPr="00B14E32">
          <w:rPr>
            <w:rFonts w:ascii="Times New Roman" w:eastAsia="SimSun" w:hAnsi="Times New Roman" w:cs="Times New Roman"/>
            <w:color w:val="0000FF"/>
            <w:kern w:val="0"/>
            <w:szCs w:val="20"/>
            <w:highlight w:val="lightGray"/>
            <w:u w:val="single"/>
            <w:lang w:eastAsia="ar-SA"/>
            <w14:ligatures w14:val="none"/>
          </w:rPr>
          <w:t>V. függelékben</w:t>
        </w:r>
      </w:hyperlink>
      <w:r w:rsidRPr="00B14E32">
        <w:rPr>
          <w:rFonts w:ascii="Times New Roman" w:eastAsia="SimSun" w:hAnsi="Times New Roman" w:cs="Times New Roman"/>
          <w:kern w:val="0"/>
          <w:szCs w:val="20"/>
          <w:highlight w:val="lightGray"/>
          <w:lang w:eastAsia="ar-SA"/>
          <w14:ligatures w14:val="none"/>
        </w:rPr>
        <w:t xml:space="preserve"> található elérhetőségeken keresztül</w:t>
      </w:r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>.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A mellékhatások bejelentésével Ön is hozzájárulhat ahhoz, hogy minél több információ álljon rendelkezésre a gyógyszer biztonságos alkalmazásával kapcsolatban.</w:t>
      </w:r>
    </w:p>
    <w:p w14:paraId="05AF98FA" w14:textId="77777777" w:rsidR="00B14E32" w:rsidRPr="00B14E32" w:rsidRDefault="00B14E32" w:rsidP="00B14E32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3C8C6E5C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2729A75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5.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 xml:space="preserve">Hogyan kell a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MSN-t tárolni?</w:t>
      </w:r>
    </w:p>
    <w:p w14:paraId="319C6EF2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5958F7E1" w14:textId="77777777" w:rsidR="00B14E32" w:rsidRPr="00B14E32" w:rsidRDefault="00B14E32" w:rsidP="00B14E32">
      <w:pPr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A gyógyszer gyermekektől elzárva tartandó!</w:t>
      </w:r>
    </w:p>
    <w:p w14:paraId="452A54E5" w14:textId="77777777" w:rsidR="00B14E32" w:rsidRPr="00B14E32" w:rsidRDefault="00B14E32" w:rsidP="00B14E32">
      <w:pPr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0407AD16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A buborékcsomagoláson és a dobozon feltüntetett lejárati idő („EXP”) után ne szedje ezt a gyógyszert.</w:t>
      </w:r>
    </w:p>
    <w:p w14:paraId="3587DAF1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A lejárati idő az adott hónap utolsó napjára vonatkozik.</w:t>
      </w:r>
    </w:p>
    <w:p w14:paraId="37E72100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38E9C17C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noProof/>
          <w:kern w:val="0"/>
          <w:szCs w:val="20"/>
          <w:lang w:eastAsia="ar-SA"/>
          <w14:ligatures w14:val="none"/>
        </w:rPr>
        <w:t>Ez a gyógyszer nem igényel különleges tárolást.</w:t>
      </w:r>
    </w:p>
    <w:p w14:paraId="7AB08CA2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21013D7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DD61C03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39FD7110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4AE741B6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6.</w:t>
      </w: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ab/>
        <w:t>A csomagolás tartalma és egyéb információk</w:t>
      </w:r>
    </w:p>
    <w:p w14:paraId="24D0C739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877A2F4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Mi tartalmaz a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MSN?</w:t>
      </w:r>
    </w:p>
    <w:p w14:paraId="20B37543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1FA64051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A készítmény hatóanyaga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dimetil-fumarát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.</w:t>
      </w:r>
    </w:p>
    <w:p w14:paraId="47FE2703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 120 mg: 120 mg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dimetil-fumarátot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tartalmaz gyomornedv-ellenálló kemény kapszulánként.</w:t>
      </w:r>
    </w:p>
    <w:p w14:paraId="7C2B71C8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MSN 240 mg: 240 mg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dimetil-fumarátot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tartalmaz gyomornedv-ellenálló kemény kapszulánként.</w:t>
      </w:r>
    </w:p>
    <w:p w14:paraId="29B901BD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398481B5" w14:textId="77777777" w:rsidR="00B14E32" w:rsidRPr="00B14E32" w:rsidRDefault="00B14E32" w:rsidP="00B14E32">
      <w:pPr>
        <w:widowControl w:val="0"/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Egyéb összetevők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: </w:t>
      </w:r>
    </w:p>
    <w:p w14:paraId="2B70D2A0" w14:textId="77777777" w:rsidR="00B14E32" w:rsidRPr="00CB4D82" w:rsidRDefault="00B14E32" w:rsidP="00B14E32">
      <w:pPr>
        <w:numPr>
          <w:ilvl w:val="0"/>
          <w:numId w:val="6"/>
        </w:numPr>
        <w:tabs>
          <w:tab w:val="left" w:pos="567"/>
        </w:tabs>
        <w:suppressAutoHyphens/>
        <w:spacing w:after="0" w:line="240" w:lineRule="auto"/>
        <w:ind w:left="567"/>
        <w:contextualSpacing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i/>
          <w:iCs/>
          <w:kern w:val="0"/>
          <w:lang w:eastAsia="ar-SA"/>
          <w14:ligatures w14:val="none"/>
        </w:rPr>
        <w:t xml:space="preserve">Kapszulatöltet (gyomornedv-ellenálló bevonattal ellátott </w:t>
      </w:r>
      <w:proofErr w:type="spellStart"/>
      <w:r w:rsidRPr="00B14E32">
        <w:rPr>
          <w:rFonts w:ascii="Times New Roman" w:eastAsia="SimSun" w:hAnsi="Times New Roman" w:cs="Times New Roman"/>
          <w:i/>
          <w:iCs/>
          <w:kern w:val="0"/>
          <w:lang w:eastAsia="ar-SA"/>
          <w14:ligatures w14:val="none"/>
        </w:rPr>
        <w:t>mikrotabletták</w:t>
      </w:r>
      <w:proofErr w:type="spellEnd"/>
      <w:r w:rsidRPr="00B14E32">
        <w:rPr>
          <w:rFonts w:ascii="Times New Roman" w:eastAsia="SimSun" w:hAnsi="Times New Roman" w:cs="Times New Roman"/>
          <w:i/>
          <w:iCs/>
          <w:kern w:val="0"/>
          <w:lang w:eastAsia="ar-SA"/>
          <w14:ligatures w14:val="none"/>
        </w:rPr>
        <w:t>):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mikrokristályos cellulóz (</w:t>
      </w:r>
      <w:r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E460),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kroszkarmellóz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-nátrium,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víztartalmú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 kolloid szilícium-dioxid, magnézium-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sztearát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r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(E470b), 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metakrilsav-metil-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metakrilát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-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kopolimer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 (1:1), metakrilsav-etil-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akrilát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-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kopolimer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 (1:1), 30%-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os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diszperzió,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trietil-citrát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r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(E1505), 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talkum </w:t>
      </w:r>
      <w:r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>(E553b)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nátrium-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lauril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-szulfát,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poliszorbát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 80 (E433).</w:t>
      </w:r>
    </w:p>
    <w:p w14:paraId="224CFDBF" w14:textId="77FEC8EA" w:rsidR="00B14E32" w:rsidRPr="00B14E32" w:rsidRDefault="00B14E32" w:rsidP="00B14E32">
      <w:pPr>
        <w:keepNext/>
        <w:widowControl w:val="0"/>
        <w:numPr>
          <w:ilvl w:val="0"/>
          <w:numId w:val="6"/>
        </w:numPr>
        <w:tabs>
          <w:tab w:val="left" w:pos="567"/>
        </w:tabs>
        <w:suppressAutoHyphens/>
        <w:spacing w:after="0" w:line="240" w:lineRule="auto"/>
        <w:ind w:left="567"/>
        <w:contextualSpacing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i/>
          <w:iCs/>
          <w:kern w:val="0"/>
          <w:lang w:eastAsia="ar-SA"/>
          <w14:ligatures w14:val="none"/>
        </w:rPr>
        <w:t>Kapszulahéj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: zselatin, titán-dioxid (E171), brillantkék FCF (E133), fekete vas-oxid (E172), sárga vas-oxid (E172).</w:t>
      </w:r>
    </w:p>
    <w:p w14:paraId="7EAF5602" w14:textId="046EB95D" w:rsidR="00B14E32" w:rsidRPr="00B14E32" w:rsidRDefault="00B14E32" w:rsidP="00B14E32">
      <w:pPr>
        <w:keepNext/>
        <w:numPr>
          <w:ilvl w:val="0"/>
          <w:numId w:val="6"/>
        </w:numPr>
        <w:tabs>
          <w:tab w:val="left" w:pos="567"/>
        </w:tabs>
        <w:suppressAutoHyphens/>
        <w:spacing w:after="0" w:line="240" w:lineRule="auto"/>
        <w:ind w:left="567"/>
        <w:contextualSpacing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i/>
          <w:iCs/>
          <w:kern w:val="0"/>
          <w:lang w:eastAsia="ar-SA"/>
          <w14:ligatures w14:val="none"/>
        </w:rPr>
        <w:t xml:space="preserve">Jelölőfesték: 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sellak </w:t>
      </w:r>
      <w:r w:rsidRPr="00B14E32">
        <w:rPr>
          <w:rFonts w:ascii="Times New Roman" w:eastAsia="SimSun" w:hAnsi="Times New Roman" w:cs="Times New Roman"/>
          <w:kern w:val="0"/>
          <w:lang w:val="es-ES" w:eastAsia="ar-SA"/>
          <w14:ligatures w14:val="none"/>
        </w:rPr>
        <w:t xml:space="preserve">(E904), 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kálium-hidroxid </w:t>
      </w:r>
      <w:r w:rsidRPr="00B14E32">
        <w:rPr>
          <w:rFonts w:ascii="Times New Roman" w:eastAsia="SimSun" w:hAnsi="Times New Roman" w:cs="Times New Roman"/>
          <w:kern w:val="0"/>
          <w:lang w:val="es-ES" w:eastAsia="ar-SA"/>
          <w14:ligatures w14:val="none"/>
        </w:rPr>
        <w:t xml:space="preserve">(E525), 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fekete vas-oxid (E172)</w:t>
      </w:r>
      <w:r w:rsidR="00885441" w:rsidRPr="00885441">
        <w:t xml:space="preserve"> </w:t>
      </w:r>
      <w:r w:rsidR="00885441" w:rsidRPr="00885441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és </w:t>
      </w:r>
      <w:proofErr w:type="spellStart"/>
      <w:r w:rsidR="00885441" w:rsidRPr="00885441">
        <w:rPr>
          <w:rFonts w:ascii="Times New Roman" w:eastAsia="SimSun" w:hAnsi="Times New Roman" w:cs="Times New Roman"/>
          <w:kern w:val="0"/>
          <w:lang w:eastAsia="ar-SA"/>
          <w14:ligatures w14:val="none"/>
        </w:rPr>
        <w:t>propilénglikol</w:t>
      </w:r>
      <w:proofErr w:type="spellEnd"/>
      <w:r w:rsidR="00885441" w:rsidRPr="00885441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(E1520).</w:t>
      </w:r>
    </w:p>
    <w:p w14:paraId="278391D3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D7E124E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Milyen a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 xml:space="preserve"> MSN külleme és mit tartalmaz a csomagolás?</w:t>
      </w:r>
    </w:p>
    <w:p w14:paraId="6891458D" w14:textId="77777777" w:rsidR="00B14E32" w:rsidRPr="00B14E32" w:rsidRDefault="00B14E32" w:rsidP="00B14E32">
      <w:pPr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28261EF2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</w:pPr>
      <w:proofErr w:type="spellStart"/>
      <w:r w:rsidRPr="00B14E32"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  <w:t xml:space="preserve"> MSN 120 mg gyomornedv-ellenálló kemény kapszula</w:t>
      </w:r>
    </w:p>
    <w:p w14:paraId="597DF2E5" w14:textId="412C7E2A" w:rsidR="00B14E32" w:rsidRPr="00B14E32" w:rsidRDefault="007B08A8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2F43A6">
        <w:rPr>
          <w:rFonts w:ascii="Times New Roman" w:eastAsia="SimSun" w:hAnsi="Times New Roman" w:cs="Times New Roman"/>
          <w:kern w:val="0"/>
          <w:lang w:eastAsia="ar-SA"/>
          <w14:ligatures w14:val="none"/>
        </w:rPr>
        <w:t>A kapszula átlátszatlan, zöld színű felső részén fekete jelölőfestékkel nyomtatott „M” felirat és jelölőcsík, átlátszatlan, fehér színű alsó részén fekete jelölőfestékkel nyomta</w:t>
      </w:r>
      <w:r>
        <w:rPr>
          <w:rFonts w:ascii="Times New Roman" w:eastAsia="SimSun" w:hAnsi="Times New Roman" w:cs="Times New Roman"/>
          <w:kern w:val="0"/>
          <w:lang w:eastAsia="ar-SA"/>
          <w14:ligatures w14:val="none"/>
        </w:rPr>
        <w:t>tott „120 mg” felirat található</w:t>
      </w:r>
      <w:r w:rsidR="00B14E32"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.</w:t>
      </w:r>
    </w:p>
    <w:p w14:paraId="4FDC11E2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48A6EB02" w14:textId="77777777" w:rsidR="00B14E32" w:rsidRPr="00B14E32" w:rsidRDefault="00B14E32" w:rsidP="00B14E32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</w:pPr>
      <w:proofErr w:type="spellStart"/>
      <w:r w:rsidRPr="00B14E32"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  <w:t xml:space="preserve"> MSN 240 mg gyomornedv-ellenálló kemény kapszula</w:t>
      </w:r>
    </w:p>
    <w:p w14:paraId="3595E4F7" w14:textId="77777777" w:rsidR="007B08A8" w:rsidRDefault="007B08A8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2F43A6">
        <w:rPr>
          <w:rFonts w:ascii="Times New Roman" w:eastAsia="SimSun" w:hAnsi="Times New Roman" w:cs="Times New Roman"/>
          <w:kern w:val="0"/>
          <w:lang w:eastAsia="ar-SA"/>
          <w14:ligatures w14:val="none"/>
        </w:rPr>
        <w:t>A kapszula átlátszatlan, zöld színű felső részén fekete jelölőfestékkel nyomtatott „M” felirat és jelölőcsík, átlátszatlan, zöld színű alsó részén fekete jelölőfestékkel nyomtatott „240 mg” felirat található.</w:t>
      </w:r>
    </w:p>
    <w:p w14:paraId="4C750BC9" w14:textId="77777777" w:rsidR="007B08A8" w:rsidRDefault="007B08A8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2E145CBC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A kapszulák fehér vagy törtfehér, gyomornedv-ellenálló réteggel bevont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mikrotablettákat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tartalmaznak.</w:t>
      </w:r>
    </w:p>
    <w:p w14:paraId="5E365357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65281B0A" w14:textId="77777777" w:rsidR="00B14E32" w:rsidRPr="00B14E32" w:rsidRDefault="00B14E32" w:rsidP="00B14E32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  <w:t>Kiszerelések:</w:t>
      </w:r>
    </w:p>
    <w:p w14:paraId="4EA23C7A" w14:textId="77777777" w:rsidR="00B14E32" w:rsidRPr="00B14E32" w:rsidRDefault="00B14E32" w:rsidP="00B14E32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40F6F919" w14:textId="77777777" w:rsidR="00B14E32" w:rsidRPr="00B14E32" w:rsidRDefault="00B14E32" w:rsidP="00B14E32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</w:pPr>
      <w:proofErr w:type="spellStart"/>
      <w:r w:rsidRPr="00B14E32"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  <w:t xml:space="preserve"> MSN 120 mg gyomornedv-ellenálló kemény kapszula</w:t>
      </w:r>
    </w:p>
    <w:p w14:paraId="5DBF19AF" w14:textId="77777777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14 db vagy 56 db gyomornedv-ellenálló kemény kapszula </w:t>
      </w:r>
      <w:r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>PVC/PE/PVDC//</w:t>
      </w:r>
      <w:proofErr w:type="spellStart"/>
      <w:r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>Al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buborékcsomagolásban.</w:t>
      </w:r>
    </w:p>
    <w:p w14:paraId="0749341B" w14:textId="26920DE9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14 × 1 db vagy 56 × 1 db gyomornedv-ellenálló kemény kapszula </w:t>
      </w:r>
      <w:r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>PVC/PE/PVDC//</w:t>
      </w:r>
      <w:proofErr w:type="spellStart"/>
      <w:r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>Al</w:t>
      </w:r>
      <w:proofErr w:type="spellEnd"/>
      <w:r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adagonként perforált buborékcsomagolásban</w:t>
      </w:r>
      <w:r w:rsidR="00B676CE"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>, dobozban</w:t>
      </w:r>
      <w:r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>.</w:t>
      </w:r>
    </w:p>
    <w:p w14:paraId="1E60A802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D1A110A" w14:textId="77777777" w:rsidR="00B14E32" w:rsidRPr="00B14E32" w:rsidRDefault="00B14E32" w:rsidP="00B14E32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</w:pPr>
      <w:proofErr w:type="spellStart"/>
      <w:r w:rsidRPr="00B14E32"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kern w:val="0"/>
          <w:u w:val="single"/>
          <w:lang w:eastAsia="ar-SA"/>
          <w14:ligatures w14:val="none"/>
        </w:rPr>
        <w:t xml:space="preserve"> MSN 240 mg gyomornedv-ellenálló kemény kapszula</w:t>
      </w:r>
    </w:p>
    <w:p w14:paraId="6C0CB54D" w14:textId="4AD38D80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56 db, 168 db vagy 196 db gyomornedv-ellenálló kemény kapszula </w:t>
      </w:r>
      <w:r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>PVC/PE/PVDC//</w:t>
      </w:r>
      <w:proofErr w:type="spellStart"/>
      <w:r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>Al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buborékcsomagolásban</w:t>
      </w:r>
      <w:r w:rsidR="006631F1">
        <w:rPr>
          <w:rFonts w:ascii="Times New Roman" w:eastAsia="SimSun" w:hAnsi="Times New Roman" w:cs="Times New Roman"/>
          <w:kern w:val="0"/>
          <w:lang w:eastAsia="ar-SA"/>
          <w14:ligatures w14:val="none"/>
        </w:rPr>
        <w:t>, dobozban</w:t>
      </w: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.</w:t>
      </w:r>
    </w:p>
    <w:p w14:paraId="3E9430CD" w14:textId="170A77D6" w:rsidR="00B14E32" w:rsidRPr="00B14E32" w:rsidRDefault="00B14E32" w:rsidP="00B14E32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56 × 1 db, 168 × 1 db vagy 196 × 1 db gyomornedv-ellenálló kemény kapszula </w:t>
      </w:r>
      <w:r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>PVC/PE/PVDC//</w:t>
      </w:r>
      <w:proofErr w:type="spellStart"/>
      <w:r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>Al</w:t>
      </w:r>
      <w:proofErr w:type="spellEnd"/>
      <w:r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adagonként perforált buborékcsomagolásban</w:t>
      </w:r>
      <w:r w:rsidR="00B676CE"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>, dobozban</w:t>
      </w:r>
      <w:r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>.</w:t>
      </w:r>
    </w:p>
    <w:p w14:paraId="5620FC9E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4A881290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Nem feltétlenül mindegyik kiszerelés kerül kereskedelmi forgalomba.</w:t>
      </w:r>
    </w:p>
    <w:p w14:paraId="613CFDFF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BE8F7C0" w14:textId="77777777" w:rsidR="00B14E32" w:rsidRPr="00B14E32" w:rsidRDefault="00B14E32" w:rsidP="00B14E32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A forgalomba hozatali engedély jogosultja</w:t>
      </w:r>
    </w:p>
    <w:p w14:paraId="337571F8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3BA1FC41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 xml:space="preserve">MSN </w:t>
      </w:r>
      <w:proofErr w:type="spellStart"/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>Labs</w:t>
      </w:r>
      <w:proofErr w:type="spellEnd"/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 xml:space="preserve"> Europe Limited</w:t>
      </w:r>
    </w:p>
    <w:p w14:paraId="50571630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 xml:space="preserve">KW20A, </w:t>
      </w:r>
      <w:proofErr w:type="spellStart"/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>Corradino</w:t>
      </w:r>
      <w:proofErr w:type="spellEnd"/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 xml:space="preserve"> Park</w:t>
      </w:r>
    </w:p>
    <w:p w14:paraId="37FB21B4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</w:pPr>
      <w:proofErr w:type="spellStart"/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>Paola</w:t>
      </w:r>
      <w:proofErr w:type="spellEnd"/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 xml:space="preserve"> PLA 3000</w:t>
      </w:r>
    </w:p>
    <w:p w14:paraId="3848D04E" w14:textId="77777777" w:rsidR="00B14E32" w:rsidRPr="00B14E32" w:rsidRDefault="00B14E32" w:rsidP="00B14E32">
      <w:pPr>
        <w:tabs>
          <w:tab w:val="left" w:pos="567"/>
          <w:tab w:val="left" w:pos="4962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lang w:val="it-IT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szCs w:val="20"/>
          <w:lang w:eastAsia="ar-SA"/>
          <w14:ligatures w14:val="none"/>
        </w:rPr>
        <w:t>Málta</w:t>
      </w:r>
    </w:p>
    <w:p w14:paraId="5C6C18FA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3A070417" w14:textId="77777777" w:rsidR="00B14E32" w:rsidRPr="00B14E32" w:rsidRDefault="00B14E32" w:rsidP="00B14E32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Gyártó</w:t>
      </w:r>
    </w:p>
    <w:p w14:paraId="3A34B4F5" w14:textId="77777777" w:rsidR="00B14E32" w:rsidRPr="00B14E32" w:rsidRDefault="00B14E32" w:rsidP="00B14E32">
      <w:pPr>
        <w:keepNext/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130EE33D" w14:textId="77777777" w:rsidR="00B14E32" w:rsidRPr="00B14E32" w:rsidRDefault="00B14E32" w:rsidP="00B14E32">
      <w:pPr>
        <w:keepNext/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MSN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Labs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Europe Limited</w:t>
      </w:r>
    </w:p>
    <w:p w14:paraId="3D305288" w14:textId="77777777" w:rsidR="00B14E32" w:rsidRPr="00B14E32" w:rsidRDefault="00B14E32" w:rsidP="00B14E32">
      <w:pPr>
        <w:keepNext/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KW20A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Korradino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Industrial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Park</w:t>
      </w:r>
    </w:p>
    <w:p w14:paraId="01DB0E2A" w14:textId="77777777" w:rsidR="00B14E32" w:rsidRPr="00B14E32" w:rsidRDefault="00B14E32" w:rsidP="00B14E32">
      <w:pPr>
        <w:keepNext/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Paola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, PLA3000</w:t>
      </w:r>
    </w:p>
    <w:p w14:paraId="4BBB242B" w14:textId="77777777" w:rsidR="00B14E32" w:rsidRPr="00B14E32" w:rsidRDefault="00B14E32" w:rsidP="00B14E32">
      <w:pPr>
        <w:keepNext/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Málta </w:t>
      </w:r>
    </w:p>
    <w:p w14:paraId="65676754" w14:textId="77777777" w:rsidR="00B14E32" w:rsidRPr="00B14E32" w:rsidRDefault="00B14E32" w:rsidP="00B14E32">
      <w:pPr>
        <w:keepNext/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4AF3ECF6" w14:textId="77777777" w:rsidR="00B14E32" w:rsidRPr="00B14E32" w:rsidRDefault="00B14E32" w:rsidP="00B14E32">
      <w:pPr>
        <w:keepNext/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Pharmadox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Healthcare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Limited</w:t>
      </w:r>
    </w:p>
    <w:p w14:paraId="0AD68558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KW20A Kordin </w:t>
      </w: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Industrial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Park</w:t>
      </w:r>
    </w:p>
    <w:p w14:paraId="62C62AA1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proofErr w:type="spellStart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Paola</w:t>
      </w:r>
      <w:proofErr w:type="spellEnd"/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, PLA3000</w:t>
      </w:r>
    </w:p>
    <w:p w14:paraId="675E3C07" w14:textId="77777777" w:rsidR="00B14E32" w:rsidRPr="00B14E32" w:rsidRDefault="00B14E32" w:rsidP="00B14E32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kern w:val="0"/>
          <w:lang w:eastAsia="ar-SA"/>
          <w14:ligatures w14:val="none"/>
        </w:rPr>
        <w:t>Málta</w:t>
      </w:r>
    </w:p>
    <w:p w14:paraId="2531B4B5" w14:textId="1A54984E" w:rsidR="00B14E32" w:rsidRDefault="00B14E32" w:rsidP="00B53DE6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52D76940" w14:textId="77777777" w:rsidR="00E95C53" w:rsidRPr="00CB4D82" w:rsidRDefault="00E95C53" w:rsidP="00CB4D82">
      <w:pPr>
        <w:spacing w:after="0" w:line="240" w:lineRule="auto"/>
        <w:rPr>
          <w:rFonts w:ascii="Times New Roman" w:hAnsi="Times New Roman" w:cs="Times New Roman"/>
          <w:u w:val="single"/>
          <w:lang w:eastAsia="ar-SA"/>
        </w:rPr>
      </w:pPr>
      <w:proofErr w:type="spellStart"/>
      <w:r w:rsidRPr="00CB4D82">
        <w:rPr>
          <w:rFonts w:ascii="Times New Roman" w:hAnsi="Times New Roman" w:cs="Times New Roman"/>
          <w:u w:val="single"/>
          <w:lang w:eastAsia="ar-SA"/>
        </w:rPr>
        <w:t>Dimethyl</w:t>
      </w:r>
      <w:proofErr w:type="spellEnd"/>
      <w:r w:rsidRPr="00CB4D82">
        <w:rPr>
          <w:rFonts w:ascii="Times New Roman" w:hAnsi="Times New Roman" w:cs="Times New Roman"/>
          <w:u w:val="single"/>
          <w:lang w:eastAsia="ar-SA"/>
        </w:rPr>
        <w:t xml:space="preserve"> </w:t>
      </w:r>
      <w:proofErr w:type="spellStart"/>
      <w:r w:rsidRPr="00CB4D82">
        <w:rPr>
          <w:rFonts w:ascii="Times New Roman" w:hAnsi="Times New Roman" w:cs="Times New Roman"/>
          <w:u w:val="single"/>
          <w:lang w:eastAsia="ar-SA"/>
        </w:rPr>
        <w:t>fumarate</w:t>
      </w:r>
      <w:proofErr w:type="spellEnd"/>
      <w:r w:rsidRPr="00CB4D82">
        <w:rPr>
          <w:rFonts w:ascii="Times New Roman" w:hAnsi="Times New Roman" w:cs="Times New Roman"/>
          <w:u w:val="single"/>
          <w:lang w:eastAsia="ar-SA"/>
        </w:rPr>
        <w:t xml:space="preserve"> MSN 120 mg gyomornedv-ellenálló kemény kapszula </w:t>
      </w:r>
    </w:p>
    <w:p w14:paraId="2CEDA1C8" w14:textId="116A13F4" w:rsidR="00E95C53" w:rsidRDefault="00E95C53" w:rsidP="00CB4D82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>
        <w:rPr>
          <w:rFonts w:ascii="Times New Roman" w:hAnsi="Times New Roman" w:cs="Times New Roman"/>
        </w:rPr>
        <w:t>OGYI-T-24380/01</w:t>
      </w:r>
      <w:r w:rsidR="00B53DE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14</w:t>
      </w:r>
      <w:r w:rsidR="00B53DE6">
        <w:rPr>
          <w:rFonts w:ascii="Times New Roman" w:hAnsi="Times New Roman" w:cs="Times New Roman"/>
        </w:rPr>
        <w:t>×</w:t>
      </w:r>
      <w:r w:rsidR="00B53DE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lang w:eastAsia="ar-SA"/>
        </w:rPr>
        <w:t>PVC/PE/PVDC//</w:t>
      </w:r>
      <w:proofErr w:type="spellStart"/>
      <w:r>
        <w:rPr>
          <w:rFonts w:ascii="Times New Roman" w:hAnsi="Times New Roman" w:cs="Times New Roman"/>
          <w:lang w:eastAsia="ar-SA"/>
        </w:rPr>
        <w:t>Al</w:t>
      </w:r>
      <w:proofErr w:type="spellEnd"/>
      <w:r>
        <w:rPr>
          <w:rFonts w:ascii="Times New Roman" w:hAnsi="Times New Roman" w:cs="Times New Roman"/>
          <w:lang w:eastAsia="ar-SA"/>
        </w:rPr>
        <w:t xml:space="preserve"> buborékcsomagolásban</w:t>
      </w:r>
    </w:p>
    <w:p w14:paraId="33642DDB" w14:textId="10BCC1BD" w:rsidR="00E95C53" w:rsidRDefault="00E95C53" w:rsidP="00CB4D82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>
        <w:rPr>
          <w:rFonts w:ascii="Times New Roman" w:hAnsi="Times New Roman" w:cs="Times New Roman"/>
        </w:rPr>
        <w:t>OGYI-T-24380/02</w:t>
      </w:r>
      <w:r w:rsidR="00B53DE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14</w:t>
      </w:r>
      <w:r w:rsidR="00B53DE6">
        <w:rPr>
          <w:rFonts w:ascii="Times New Roman" w:hAnsi="Times New Roman" w:cs="Times New Roman"/>
        </w:rPr>
        <w:t>×</w:t>
      </w:r>
      <w:r>
        <w:rPr>
          <w:rFonts w:ascii="Times New Roman" w:hAnsi="Times New Roman" w:cs="Times New Roman"/>
        </w:rPr>
        <w:t>1</w:t>
      </w:r>
      <w:r w:rsidR="00B53DE6">
        <w:rPr>
          <w:rFonts w:ascii="Times New Roman" w:hAnsi="Times New Roman" w:cs="Times New Roman"/>
          <w:lang w:eastAsia="ar-SA"/>
        </w:rPr>
        <w:tab/>
      </w:r>
      <w:r>
        <w:rPr>
          <w:rFonts w:ascii="Times New Roman" w:hAnsi="Times New Roman" w:cs="Times New Roman"/>
          <w:lang w:eastAsia="ar-SA"/>
        </w:rPr>
        <w:t>PVC/PE/PVDC//</w:t>
      </w:r>
      <w:proofErr w:type="spellStart"/>
      <w:r>
        <w:rPr>
          <w:rFonts w:ascii="Times New Roman" w:hAnsi="Times New Roman" w:cs="Times New Roman"/>
          <w:lang w:eastAsia="ar-SA"/>
        </w:rPr>
        <w:t>Al</w:t>
      </w:r>
      <w:proofErr w:type="spellEnd"/>
      <w:r>
        <w:rPr>
          <w:rFonts w:ascii="Times New Roman" w:hAnsi="Times New Roman" w:cs="Times New Roman"/>
          <w:lang w:eastAsia="ar-SA"/>
        </w:rPr>
        <w:t xml:space="preserve"> adagonként perforált buborékcsomagolásban</w:t>
      </w:r>
    </w:p>
    <w:p w14:paraId="253FE6E1" w14:textId="5A0D52CA" w:rsidR="00E95C53" w:rsidRDefault="00E95C53" w:rsidP="00CB4D8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OGYI-T-24380/03</w:t>
      </w:r>
      <w:r w:rsidR="00B53DE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56</w:t>
      </w:r>
      <w:r w:rsidR="00B53DE6">
        <w:rPr>
          <w:rFonts w:ascii="Times New Roman" w:hAnsi="Times New Roman" w:cs="Times New Roman"/>
        </w:rPr>
        <w:t>×</w:t>
      </w:r>
      <w:r w:rsidR="00B53DE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lang w:eastAsia="ar-SA"/>
        </w:rPr>
        <w:t>PVC/PE/PVDC//</w:t>
      </w:r>
      <w:proofErr w:type="spellStart"/>
      <w:r>
        <w:rPr>
          <w:rFonts w:ascii="Times New Roman" w:hAnsi="Times New Roman" w:cs="Times New Roman"/>
          <w:lang w:eastAsia="ar-SA"/>
        </w:rPr>
        <w:t>Al</w:t>
      </w:r>
      <w:proofErr w:type="spellEnd"/>
      <w:r>
        <w:rPr>
          <w:rFonts w:ascii="Times New Roman" w:hAnsi="Times New Roman" w:cs="Times New Roman"/>
          <w:lang w:eastAsia="ar-SA"/>
        </w:rPr>
        <w:t xml:space="preserve"> buborékcsomagolásban</w:t>
      </w:r>
    </w:p>
    <w:p w14:paraId="1F8901AF" w14:textId="6EB7E60B" w:rsidR="00E95C53" w:rsidRDefault="00E95C53" w:rsidP="00CB4D82">
      <w:pPr>
        <w:spacing w:after="0" w:line="240" w:lineRule="auto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</w:rPr>
        <w:t>OGYI-T-24380/04</w:t>
      </w:r>
      <w:r w:rsidR="00B53DE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56</w:t>
      </w:r>
      <w:r w:rsidR="00B53DE6">
        <w:rPr>
          <w:rFonts w:ascii="Times New Roman" w:hAnsi="Times New Roman" w:cs="Times New Roman"/>
        </w:rPr>
        <w:t>×</w:t>
      </w:r>
      <w:r>
        <w:rPr>
          <w:rFonts w:ascii="Times New Roman" w:hAnsi="Times New Roman" w:cs="Times New Roman"/>
        </w:rPr>
        <w:t>1</w:t>
      </w:r>
      <w:r w:rsidR="00B53DE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lang w:eastAsia="ar-SA"/>
        </w:rPr>
        <w:t>PVC/PE/PVDC//</w:t>
      </w:r>
      <w:proofErr w:type="spellStart"/>
      <w:r>
        <w:rPr>
          <w:rFonts w:ascii="Times New Roman" w:hAnsi="Times New Roman" w:cs="Times New Roman"/>
          <w:lang w:eastAsia="ar-SA"/>
        </w:rPr>
        <w:t>Al</w:t>
      </w:r>
      <w:proofErr w:type="spellEnd"/>
      <w:r>
        <w:rPr>
          <w:rFonts w:ascii="Times New Roman" w:hAnsi="Times New Roman" w:cs="Times New Roman"/>
          <w:lang w:eastAsia="ar-SA"/>
        </w:rPr>
        <w:t xml:space="preserve"> adagonként perforált buborékcsomagolásban</w:t>
      </w:r>
    </w:p>
    <w:p w14:paraId="66125609" w14:textId="77777777" w:rsidR="00E95C53" w:rsidRDefault="00E95C53" w:rsidP="00CB4D82">
      <w:pPr>
        <w:spacing w:after="0" w:line="240" w:lineRule="auto"/>
        <w:ind w:left="2268" w:hanging="1908"/>
        <w:jc w:val="both"/>
        <w:rPr>
          <w:rFonts w:ascii="Times New Roman" w:hAnsi="Times New Roman" w:cs="Times New Roman"/>
          <w:lang w:eastAsia="ar-SA"/>
        </w:rPr>
      </w:pPr>
    </w:p>
    <w:p w14:paraId="687B91B3" w14:textId="77777777" w:rsidR="00E95C53" w:rsidRPr="00CB4D82" w:rsidRDefault="00E95C53" w:rsidP="00CB4D82">
      <w:pPr>
        <w:spacing w:after="0" w:line="240" w:lineRule="auto"/>
        <w:rPr>
          <w:rFonts w:ascii="Times New Roman" w:hAnsi="Times New Roman" w:cs="Times New Roman"/>
          <w:u w:val="single"/>
          <w:lang w:eastAsia="ar-SA"/>
        </w:rPr>
      </w:pPr>
      <w:proofErr w:type="spellStart"/>
      <w:r w:rsidRPr="00CB4D82">
        <w:rPr>
          <w:rFonts w:ascii="Times New Roman" w:hAnsi="Times New Roman" w:cs="Times New Roman"/>
          <w:u w:val="single"/>
          <w:lang w:eastAsia="ar-SA"/>
        </w:rPr>
        <w:t>Dimethyl</w:t>
      </w:r>
      <w:proofErr w:type="spellEnd"/>
      <w:r w:rsidRPr="00CB4D82">
        <w:rPr>
          <w:rFonts w:ascii="Times New Roman" w:hAnsi="Times New Roman" w:cs="Times New Roman"/>
          <w:u w:val="single"/>
          <w:lang w:eastAsia="ar-SA"/>
        </w:rPr>
        <w:t xml:space="preserve"> </w:t>
      </w:r>
      <w:proofErr w:type="spellStart"/>
      <w:r w:rsidRPr="00CB4D82">
        <w:rPr>
          <w:rFonts w:ascii="Times New Roman" w:hAnsi="Times New Roman" w:cs="Times New Roman"/>
          <w:u w:val="single"/>
          <w:lang w:eastAsia="ar-SA"/>
        </w:rPr>
        <w:t>fumarate</w:t>
      </w:r>
      <w:proofErr w:type="spellEnd"/>
      <w:r w:rsidRPr="00CB4D82">
        <w:rPr>
          <w:rFonts w:ascii="Times New Roman" w:hAnsi="Times New Roman" w:cs="Times New Roman"/>
          <w:u w:val="single"/>
          <w:lang w:eastAsia="ar-SA"/>
        </w:rPr>
        <w:t xml:space="preserve"> MSN 240 mg gyomornedv-ellenálló kemény kapszula </w:t>
      </w:r>
    </w:p>
    <w:p w14:paraId="67917896" w14:textId="06BB12DE" w:rsidR="00E95C53" w:rsidRDefault="00E95C53" w:rsidP="00CB4D82">
      <w:pPr>
        <w:spacing w:after="0" w:line="240" w:lineRule="auto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</w:rPr>
        <w:t>OGYI-T-24380/05</w:t>
      </w:r>
      <w:r w:rsidR="00B53DE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56</w:t>
      </w:r>
      <w:r w:rsidR="00B53DE6">
        <w:rPr>
          <w:rFonts w:ascii="Times New Roman" w:hAnsi="Times New Roman" w:cs="Times New Roman"/>
        </w:rPr>
        <w:t>×</w:t>
      </w:r>
      <w:r w:rsidR="00B53DE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lang w:eastAsia="ar-SA"/>
        </w:rPr>
        <w:t>PVC/PE/PVDC//</w:t>
      </w:r>
      <w:proofErr w:type="spellStart"/>
      <w:r>
        <w:rPr>
          <w:rFonts w:ascii="Times New Roman" w:hAnsi="Times New Roman" w:cs="Times New Roman"/>
          <w:lang w:eastAsia="ar-SA"/>
        </w:rPr>
        <w:t>Al</w:t>
      </w:r>
      <w:proofErr w:type="spellEnd"/>
      <w:r>
        <w:rPr>
          <w:rFonts w:ascii="Times New Roman" w:hAnsi="Times New Roman" w:cs="Times New Roman"/>
          <w:lang w:eastAsia="ar-SA"/>
        </w:rPr>
        <w:t xml:space="preserve"> buborékcsomagolásban</w:t>
      </w:r>
    </w:p>
    <w:p w14:paraId="52CBF64C" w14:textId="788E39B8" w:rsidR="00E95C53" w:rsidRDefault="00E95C53" w:rsidP="00CB4D82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>
        <w:rPr>
          <w:rFonts w:ascii="Times New Roman" w:hAnsi="Times New Roman" w:cs="Times New Roman"/>
        </w:rPr>
        <w:t>OGYI-T-24380/06</w:t>
      </w:r>
      <w:r w:rsidR="00B53DE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56</w:t>
      </w:r>
      <w:r w:rsidR="00B53DE6">
        <w:rPr>
          <w:rFonts w:ascii="Times New Roman" w:hAnsi="Times New Roman" w:cs="Times New Roman"/>
        </w:rPr>
        <w:t>×</w:t>
      </w:r>
      <w:r>
        <w:rPr>
          <w:rFonts w:ascii="Times New Roman" w:hAnsi="Times New Roman" w:cs="Times New Roman"/>
        </w:rPr>
        <w:t>1</w:t>
      </w:r>
      <w:r w:rsidR="00B53DE6">
        <w:rPr>
          <w:rFonts w:ascii="Times New Roman" w:hAnsi="Times New Roman" w:cs="Times New Roman"/>
          <w:lang w:eastAsia="ar-SA"/>
        </w:rPr>
        <w:tab/>
      </w:r>
      <w:r>
        <w:rPr>
          <w:rFonts w:ascii="Times New Roman" w:hAnsi="Times New Roman" w:cs="Times New Roman"/>
          <w:lang w:eastAsia="ar-SA"/>
        </w:rPr>
        <w:t>PVC/PE/PVDC//</w:t>
      </w:r>
      <w:proofErr w:type="spellStart"/>
      <w:r>
        <w:rPr>
          <w:rFonts w:ascii="Times New Roman" w:hAnsi="Times New Roman" w:cs="Times New Roman"/>
          <w:lang w:eastAsia="ar-SA"/>
        </w:rPr>
        <w:t>Al</w:t>
      </w:r>
      <w:proofErr w:type="spellEnd"/>
      <w:r>
        <w:rPr>
          <w:rFonts w:ascii="Times New Roman" w:hAnsi="Times New Roman" w:cs="Times New Roman"/>
          <w:lang w:eastAsia="ar-SA"/>
        </w:rPr>
        <w:t xml:space="preserve"> adagonként perforált buborékcsomagolásban</w:t>
      </w:r>
    </w:p>
    <w:p w14:paraId="75B49959" w14:textId="25593D95" w:rsidR="00E95C53" w:rsidRDefault="00E95C53" w:rsidP="00CB4D8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OGYI-T-24380/07</w:t>
      </w:r>
      <w:r w:rsidR="00B53DE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168</w:t>
      </w:r>
      <w:r w:rsidR="00B53DE6">
        <w:rPr>
          <w:rFonts w:ascii="Times New Roman" w:hAnsi="Times New Roman" w:cs="Times New Roman"/>
        </w:rPr>
        <w:t>×</w:t>
      </w:r>
      <w:r w:rsidR="00B53DE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lang w:eastAsia="ar-SA"/>
        </w:rPr>
        <w:t>PVC/PE/PVDC//</w:t>
      </w:r>
      <w:proofErr w:type="spellStart"/>
      <w:r>
        <w:rPr>
          <w:rFonts w:ascii="Times New Roman" w:hAnsi="Times New Roman" w:cs="Times New Roman"/>
          <w:lang w:eastAsia="ar-SA"/>
        </w:rPr>
        <w:t>Al</w:t>
      </w:r>
      <w:proofErr w:type="spellEnd"/>
      <w:r>
        <w:rPr>
          <w:rFonts w:ascii="Times New Roman" w:hAnsi="Times New Roman" w:cs="Times New Roman"/>
          <w:lang w:eastAsia="ar-SA"/>
        </w:rPr>
        <w:t xml:space="preserve"> buborékcsomagolásban</w:t>
      </w:r>
    </w:p>
    <w:p w14:paraId="2C6BE012" w14:textId="551C86EC" w:rsidR="00E95C53" w:rsidRDefault="00E95C53" w:rsidP="00CB4D82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>
        <w:rPr>
          <w:rFonts w:ascii="Times New Roman" w:hAnsi="Times New Roman" w:cs="Times New Roman"/>
        </w:rPr>
        <w:t>OGYI-T-24380/08</w:t>
      </w:r>
      <w:r w:rsidR="00B53DE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168</w:t>
      </w:r>
      <w:r w:rsidR="00B53DE6">
        <w:rPr>
          <w:rFonts w:ascii="Times New Roman" w:hAnsi="Times New Roman" w:cs="Times New Roman"/>
        </w:rPr>
        <w:t>×</w:t>
      </w:r>
      <w:r>
        <w:rPr>
          <w:rFonts w:ascii="Times New Roman" w:hAnsi="Times New Roman" w:cs="Times New Roman"/>
        </w:rPr>
        <w:t>1</w:t>
      </w:r>
      <w:r w:rsidR="00B53DE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lang w:eastAsia="ar-SA"/>
        </w:rPr>
        <w:t>PVC/PE/PVDC//</w:t>
      </w:r>
      <w:proofErr w:type="spellStart"/>
      <w:r>
        <w:rPr>
          <w:rFonts w:ascii="Times New Roman" w:hAnsi="Times New Roman" w:cs="Times New Roman"/>
          <w:lang w:eastAsia="ar-SA"/>
        </w:rPr>
        <w:t>Al</w:t>
      </w:r>
      <w:proofErr w:type="spellEnd"/>
      <w:r>
        <w:rPr>
          <w:rFonts w:ascii="Times New Roman" w:hAnsi="Times New Roman" w:cs="Times New Roman"/>
          <w:lang w:eastAsia="ar-SA"/>
        </w:rPr>
        <w:t xml:space="preserve"> adagonként perforált buborékcsomagolásban</w:t>
      </w:r>
    </w:p>
    <w:p w14:paraId="417FEC61" w14:textId="524A5B43" w:rsidR="00E95C53" w:rsidRDefault="00E95C53" w:rsidP="00CB4D8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OGYI-T-24380/09</w:t>
      </w:r>
      <w:r w:rsidR="00B53DE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196</w:t>
      </w:r>
      <w:r w:rsidR="00B53DE6">
        <w:rPr>
          <w:rFonts w:ascii="Times New Roman" w:hAnsi="Times New Roman" w:cs="Times New Roman"/>
        </w:rPr>
        <w:t>×</w:t>
      </w:r>
      <w:r w:rsidR="00B53DE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lang w:eastAsia="ar-SA"/>
        </w:rPr>
        <w:t>PVC/PE/PVDC//</w:t>
      </w:r>
      <w:proofErr w:type="spellStart"/>
      <w:r>
        <w:rPr>
          <w:rFonts w:ascii="Times New Roman" w:hAnsi="Times New Roman" w:cs="Times New Roman"/>
          <w:lang w:eastAsia="ar-SA"/>
        </w:rPr>
        <w:t>Al</w:t>
      </w:r>
      <w:proofErr w:type="spellEnd"/>
      <w:r>
        <w:rPr>
          <w:rFonts w:ascii="Times New Roman" w:hAnsi="Times New Roman" w:cs="Times New Roman"/>
          <w:lang w:eastAsia="ar-SA"/>
        </w:rPr>
        <w:t xml:space="preserve"> buborékcsomagolásban</w:t>
      </w:r>
    </w:p>
    <w:p w14:paraId="3A63A7CD" w14:textId="528FB3FA" w:rsidR="00E95C53" w:rsidRDefault="00E95C53" w:rsidP="00B53DE6">
      <w:pPr>
        <w:widowControl w:val="0"/>
        <w:spacing w:after="0" w:line="240" w:lineRule="auto"/>
        <w:ind w:right="-2"/>
        <w:rPr>
          <w:rFonts w:ascii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OGYI-T-24380/10</w:t>
      </w:r>
      <w:r w:rsidR="00B53DE6">
        <w:rPr>
          <w:rFonts w:ascii="Times New Roman" w:hAnsi="Times New Roman" w:cs="Times New Roman"/>
          <w:kern w:val="0"/>
          <w14:ligatures w14:val="none"/>
        </w:rPr>
        <w:tab/>
      </w:r>
      <w:r>
        <w:rPr>
          <w:rFonts w:ascii="Times New Roman" w:hAnsi="Times New Roman" w:cs="Times New Roman"/>
          <w:kern w:val="0"/>
          <w14:ligatures w14:val="none"/>
        </w:rPr>
        <w:t>196</w:t>
      </w:r>
      <w:r w:rsidR="00B53DE6">
        <w:rPr>
          <w:rFonts w:ascii="Times New Roman" w:hAnsi="Times New Roman" w:cs="Times New Roman"/>
        </w:rPr>
        <w:t>×</w:t>
      </w:r>
      <w:r>
        <w:rPr>
          <w:rFonts w:ascii="Times New Roman" w:hAnsi="Times New Roman" w:cs="Times New Roman"/>
          <w:kern w:val="0"/>
          <w14:ligatures w14:val="none"/>
        </w:rPr>
        <w:t>1</w:t>
      </w:r>
      <w:r w:rsidR="00B53DE6">
        <w:rPr>
          <w:rFonts w:ascii="Times New Roman" w:hAnsi="Times New Roman" w:cs="Times New Roman"/>
          <w:kern w:val="0"/>
          <w14:ligatures w14:val="none"/>
        </w:rPr>
        <w:tab/>
      </w:r>
      <w:r>
        <w:rPr>
          <w:rFonts w:ascii="Times New Roman" w:hAnsi="Times New Roman" w:cs="Times New Roman"/>
          <w:kern w:val="0"/>
          <w:lang w:eastAsia="ar-SA"/>
          <w14:ligatures w14:val="none"/>
        </w:rPr>
        <w:t>PVC/PE/PVDC//</w:t>
      </w:r>
      <w:proofErr w:type="spellStart"/>
      <w:r>
        <w:rPr>
          <w:rFonts w:ascii="Times New Roman" w:hAnsi="Times New Roman" w:cs="Times New Roman"/>
          <w:kern w:val="0"/>
          <w:lang w:eastAsia="ar-SA"/>
          <w14:ligatures w14:val="none"/>
        </w:rPr>
        <w:t>Al</w:t>
      </w:r>
      <w:proofErr w:type="spellEnd"/>
      <w:r>
        <w:rPr>
          <w:rFonts w:ascii="Times New Roman" w:hAnsi="Times New Roman" w:cs="Times New Roman"/>
          <w:kern w:val="0"/>
          <w:lang w:eastAsia="ar-SA"/>
          <w14:ligatures w14:val="none"/>
        </w:rPr>
        <w:t xml:space="preserve"> adagonként perforált buborékcsoma</w:t>
      </w:r>
      <w:r w:rsidR="00B53DE6">
        <w:rPr>
          <w:rFonts w:ascii="Times New Roman" w:hAnsi="Times New Roman" w:cs="Times New Roman"/>
          <w:kern w:val="0"/>
          <w:lang w:eastAsia="ar-SA"/>
          <w14:ligatures w14:val="none"/>
        </w:rPr>
        <w:t>go</w:t>
      </w:r>
      <w:r>
        <w:rPr>
          <w:rFonts w:ascii="Times New Roman" w:hAnsi="Times New Roman" w:cs="Times New Roman"/>
          <w:kern w:val="0"/>
          <w:lang w:eastAsia="ar-SA"/>
          <w14:ligatures w14:val="none"/>
        </w:rPr>
        <w:t>lásban</w:t>
      </w:r>
    </w:p>
    <w:p w14:paraId="191F4389" w14:textId="7DB6DBF8" w:rsidR="00E95C53" w:rsidRDefault="00E95C53" w:rsidP="00B53DE6">
      <w:pPr>
        <w:widowControl w:val="0"/>
        <w:spacing w:after="0" w:line="240" w:lineRule="auto"/>
        <w:ind w:right="-2"/>
        <w:rPr>
          <w:rFonts w:ascii="Times New Roman" w:hAnsi="Times New Roman" w:cs="Times New Roman"/>
          <w:kern w:val="0"/>
          <w:lang w:eastAsia="ar-SA"/>
          <w14:ligatures w14:val="none"/>
        </w:rPr>
      </w:pPr>
    </w:p>
    <w:p w14:paraId="6B21BA7E" w14:textId="77777777" w:rsidR="00E95C53" w:rsidRPr="00B14E32" w:rsidRDefault="00E95C53" w:rsidP="00E95C53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</w:p>
    <w:p w14:paraId="7EEE4743" w14:textId="77777777" w:rsidR="00B14E32" w:rsidRPr="00B14E32" w:rsidRDefault="00B14E32" w:rsidP="00B14E32">
      <w:pPr>
        <w:tabs>
          <w:tab w:val="left" w:pos="567"/>
        </w:tabs>
        <w:suppressAutoHyphens/>
        <w:spacing w:after="0" w:line="240" w:lineRule="auto"/>
        <w:ind w:right="-2"/>
        <w:rPr>
          <w:rFonts w:ascii="Times New Roman" w:eastAsia="SimSun" w:hAnsi="Times New Roman" w:cs="Times New Roman"/>
          <w:b/>
          <w:kern w:val="0"/>
          <w:szCs w:val="20"/>
          <w:lang w:eastAsia="zh-CN"/>
          <w14:ligatures w14:val="none"/>
        </w:rPr>
      </w:pPr>
      <w:r w:rsidRPr="00B14E32">
        <w:rPr>
          <w:rFonts w:ascii="Times New Roman" w:eastAsia="SimSun" w:hAnsi="Times New Roman" w:cs="Times New Roman"/>
          <w:b/>
          <w:kern w:val="0"/>
          <w:szCs w:val="20"/>
          <w:lang w:eastAsia="ar-SA"/>
          <w14:ligatures w14:val="none"/>
        </w:rPr>
        <w:t>Ezt a gyógyszert az Európai Gazdasági Térség tagállamaiban az alábbi neveken engedélyezték:</w:t>
      </w:r>
    </w:p>
    <w:p w14:paraId="1630C86F" w14:textId="77777777" w:rsidR="00B14E32" w:rsidRPr="00B14E32" w:rsidRDefault="00B14E32" w:rsidP="00B14E32">
      <w:pPr>
        <w:tabs>
          <w:tab w:val="left" w:pos="1418"/>
        </w:tabs>
        <w:spacing w:after="0" w:line="240" w:lineRule="auto"/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Bulgária</w:t>
      </w: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ab/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Диметилфумарат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MSN 120 mg, 240 mg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стомашно-устойчиви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твърди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капсули</w:t>
      </w:r>
      <w:proofErr w:type="spellEnd"/>
    </w:p>
    <w:p w14:paraId="6885FDCC" w14:textId="77777777" w:rsidR="00B14E32" w:rsidRPr="00B14E32" w:rsidRDefault="00B14E32" w:rsidP="00B14E32">
      <w:pPr>
        <w:tabs>
          <w:tab w:val="left" w:pos="1418"/>
        </w:tabs>
        <w:spacing w:after="0" w:line="240" w:lineRule="auto"/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Csehország</w:t>
      </w: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ab/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MSN</w:t>
      </w:r>
    </w:p>
    <w:p w14:paraId="77667324" w14:textId="77777777" w:rsidR="00B14E32" w:rsidRPr="00B14E32" w:rsidRDefault="00B14E32" w:rsidP="00B14E32">
      <w:pPr>
        <w:tabs>
          <w:tab w:val="left" w:pos="1418"/>
        </w:tabs>
        <w:spacing w:after="0" w:line="240" w:lineRule="auto"/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Észtország</w:t>
      </w: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ab/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MSN</w:t>
      </w:r>
    </w:p>
    <w:p w14:paraId="305C2BD5" w14:textId="77777777" w:rsidR="00B14E32" w:rsidRPr="00B14E32" w:rsidRDefault="00B14E32" w:rsidP="00B14E32">
      <w:pPr>
        <w:tabs>
          <w:tab w:val="left" w:pos="1418"/>
        </w:tabs>
        <w:spacing w:after="0" w:line="240" w:lineRule="auto"/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Hollandia</w:t>
      </w: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ab/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Dimethylfumaraat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MSN 120 mg, 240 mg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maagsapresistente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harde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capsules</w:t>
      </w:r>
      <w:proofErr w:type="spellEnd"/>
    </w:p>
    <w:p w14:paraId="5B0A58AD" w14:textId="77777777" w:rsidR="00B14E32" w:rsidRPr="00B14E32" w:rsidRDefault="00B14E32" w:rsidP="00B14E32">
      <w:pPr>
        <w:tabs>
          <w:tab w:val="left" w:pos="1418"/>
        </w:tabs>
        <w:spacing w:after="0" w:line="240" w:lineRule="auto"/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Horvátország</w:t>
      </w: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ab/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Dimetilfumarat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MSN 120 mg, 240 mg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tvrde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želučanootporne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kapsule</w:t>
      </w:r>
      <w:proofErr w:type="spellEnd"/>
    </w:p>
    <w:p w14:paraId="36F8DDEF" w14:textId="77777777" w:rsidR="00B14E32" w:rsidRPr="00B14E32" w:rsidRDefault="00B14E32" w:rsidP="00B14E32">
      <w:pPr>
        <w:tabs>
          <w:tab w:val="left" w:pos="1418"/>
        </w:tabs>
        <w:spacing w:after="0" w:line="240" w:lineRule="auto"/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Lengyelország</w:t>
      </w: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ab/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MSN</w:t>
      </w:r>
    </w:p>
    <w:p w14:paraId="0466E1AF" w14:textId="77777777" w:rsidR="00B14E32" w:rsidRPr="00B14E32" w:rsidRDefault="00B14E32" w:rsidP="00B14E32">
      <w:pPr>
        <w:tabs>
          <w:tab w:val="left" w:pos="1418"/>
        </w:tabs>
        <w:spacing w:after="0" w:line="240" w:lineRule="auto"/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Lettország</w:t>
      </w: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ab/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MSN 120 mg, 240 mg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zarnās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šķīstošās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cietās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kapsulas</w:t>
      </w:r>
      <w:proofErr w:type="spellEnd"/>
    </w:p>
    <w:p w14:paraId="79ECB177" w14:textId="77777777" w:rsidR="00B14E32" w:rsidRPr="00B14E32" w:rsidRDefault="00B14E32" w:rsidP="00B14E32">
      <w:pPr>
        <w:tabs>
          <w:tab w:val="left" w:pos="1418"/>
        </w:tabs>
        <w:spacing w:after="0" w:line="240" w:lineRule="auto"/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Litvánia</w:t>
      </w: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ab/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MSN 120 mg, 240 mg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skrandyje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neirios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kietosios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kapsulės</w:t>
      </w:r>
      <w:proofErr w:type="spellEnd"/>
    </w:p>
    <w:p w14:paraId="08611998" w14:textId="77777777" w:rsidR="00B14E32" w:rsidRPr="00B14E32" w:rsidRDefault="00B14E32" w:rsidP="00B14E32">
      <w:pPr>
        <w:tabs>
          <w:tab w:val="left" w:pos="1418"/>
        </w:tabs>
        <w:spacing w:after="0" w:line="240" w:lineRule="auto"/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Magyarország</w:t>
      </w: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ab/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MSN 120 mg, 240 mg gyomornedv-ellenálló kemény kapszula</w:t>
      </w:r>
    </w:p>
    <w:p w14:paraId="101F9D56" w14:textId="77777777" w:rsidR="00B14E32" w:rsidRPr="00B14E32" w:rsidRDefault="00B14E32" w:rsidP="00B14E32">
      <w:pPr>
        <w:tabs>
          <w:tab w:val="left" w:pos="1418"/>
        </w:tabs>
        <w:spacing w:after="0" w:line="240" w:lineRule="auto"/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Románia</w:t>
      </w: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ab/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Dimetil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fumarat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MSN 120 mg, 240 mg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capsule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gastrorezistente</w:t>
      </w:r>
      <w:proofErr w:type="spellEnd"/>
    </w:p>
    <w:p w14:paraId="27E399CD" w14:textId="77777777" w:rsidR="00B14E32" w:rsidRPr="00B14E32" w:rsidRDefault="00B14E32" w:rsidP="00B14E32">
      <w:pPr>
        <w:tabs>
          <w:tab w:val="left" w:pos="1418"/>
        </w:tabs>
        <w:spacing w:after="0" w:line="240" w:lineRule="auto"/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Szlovákia</w:t>
      </w: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ab/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Dimethyl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fumarate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MSN 120 mg, 240 mg</w:t>
      </w:r>
    </w:p>
    <w:p w14:paraId="619011BB" w14:textId="77777777" w:rsidR="00B14E32" w:rsidRPr="00B14E32" w:rsidRDefault="00B14E32" w:rsidP="00B14E32">
      <w:pPr>
        <w:tabs>
          <w:tab w:val="left" w:pos="1418"/>
        </w:tabs>
        <w:spacing w:after="0" w:line="240" w:lineRule="auto"/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</w:pP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Szlovénia</w:t>
      </w:r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ab/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Dimetilfumarat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MSN 120 mg, 240 mg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gastrorezistentne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trde</w:t>
      </w:r>
      <w:proofErr w:type="spellEnd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 xml:space="preserve"> </w:t>
      </w:r>
      <w:proofErr w:type="spellStart"/>
      <w:r w:rsidRPr="00B14E32">
        <w:rPr>
          <w:rFonts w:ascii="Times New Roman" w:eastAsia="SimSun" w:hAnsi="Times New Roman" w:cs="Times New Roman"/>
          <w:bCs/>
          <w:kern w:val="0"/>
          <w:lang w:eastAsia="ar-SA"/>
          <w14:ligatures w14:val="none"/>
        </w:rPr>
        <w:t>kapsule</w:t>
      </w:r>
      <w:proofErr w:type="spellEnd"/>
    </w:p>
    <w:p w14:paraId="6F051EFA" w14:textId="77777777" w:rsidR="00B14E32" w:rsidRPr="00B14E32" w:rsidRDefault="00B14E32" w:rsidP="00B14E32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</w:pPr>
    </w:p>
    <w:p w14:paraId="1AFC2B13" w14:textId="6CAC3007" w:rsidR="00145300" w:rsidRPr="0080537E" w:rsidRDefault="00B14E32" w:rsidP="00E95C53">
      <w:pPr>
        <w:tabs>
          <w:tab w:val="left" w:pos="567"/>
        </w:tabs>
        <w:spacing w:after="0" w:line="240" w:lineRule="auto"/>
      </w:pPr>
      <w:r w:rsidRPr="00B14E32">
        <w:rPr>
          <w:rFonts w:ascii="Times New Roman" w:eastAsia="SimSun" w:hAnsi="Times New Roman" w:cs="Times New Roman"/>
          <w:b/>
          <w:kern w:val="0"/>
          <w:lang w:eastAsia="ar-SA"/>
          <w14:ligatures w14:val="none"/>
        </w:rPr>
        <w:t>A betegtájékoztató legutóbbi felülvizsgálatának dátuma:</w:t>
      </w:r>
      <w:r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</w:t>
      </w:r>
      <w:r w:rsidR="005C1EBC"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>202</w:t>
      </w:r>
      <w:r w:rsidR="00B53DE6"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>5</w:t>
      </w:r>
      <w:r w:rsidR="005C1EBC"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>.</w:t>
      </w:r>
      <w:r w:rsidR="0080537E" w:rsidRPr="00CB4D82">
        <w:rPr>
          <w:rFonts w:ascii="Times New Roman" w:eastAsia="SimSun" w:hAnsi="Times New Roman" w:cs="Times New Roman"/>
          <w:kern w:val="0"/>
          <w:lang w:eastAsia="ar-SA"/>
          <w14:ligatures w14:val="none"/>
        </w:rPr>
        <w:t xml:space="preserve"> március.</w:t>
      </w:r>
    </w:p>
    <w:sectPr w:rsidR="00145300" w:rsidRPr="0080537E" w:rsidSect="00944A07">
      <w:headerReference w:type="default" r:id="rId8"/>
      <w:foot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568FCE" w14:textId="77777777" w:rsidR="00567631" w:rsidRDefault="00567631" w:rsidP="00B14E32">
      <w:pPr>
        <w:spacing w:after="0" w:line="240" w:lineRule="auto"/>
      </w:pPr>
      <w:r>
        <w:separator/>
      </w:r>
    </w:p>
  </w:endnote>
  <w:endnote w:type="continuationSeparator" w:id="0">
    <w:p w14:paraId="367DC494" w14:textId="77777777" w:rsidR="00567631" w:rsidRDefault="00567631" w:rsidP="00B14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CA45D7" w14:textId="3C84BE44" w:rsidR="00B91CFE" w:rsidRDefault="00B91CFE" w:rsidP="00B14E32">
    <w:pPr>
      <w:pStyle w:val="llb"/>
      <w:tabs>
        <w:tab w:val="right" w:pos="8931"/>
      </w:tabs>
      <w:ind w:right="96"/>
      <w:rPr>
        <w:rFonts w:ascii="Arial" w:hAnsi="Arial" w:cs="Arial"/>
        <w:sz w:val="16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502BF" w14:textId="77777777" w:rsidR="0080537E" w:rsidRPr="0080537E" w:rsidRDefault="0080537E" w:rsidP="0080537E">
    <w:pPr>
      <w:pStyle w:val="llb"/>
      <w:rPr>
        <w:rFonts w:ascii="Times New Roman" w:hAnsi="Times New Roman" w:cs="Times New Roman"/>
        <w:bCs/>
        <w:sz w:val="18"/>
        <w:szCs w:val="18"/>
      </w:rPr>
    </w:pPr>
    <w:r w:rsidRPr="0080537E">
      <w:rPr>
        <w:rFonts w:ascii="Times New Roman" w:hAnsi="Times New Roman" w:cs="Times New Roman"/>
        <w:bCs/>
        <w:sz w:val="18"/>
        <w:szCs w:val="18"/>
      </w:rPr>
      <w:t>NNGYK/ETGY/12205/2025</w:t>
    </w:r>
  </w:p>
  <w:p w14:paraId="1759FF8F" w14:textId="10EAAB29" w:rsidR="007B1155" w:rsidRPr="007B1155" w:rsidRDefault="0080537E">
    <w:pPr>
      <w:pStyle w:val="llb"/>
      <w:rPr>
        <w:rFonts w:ascii="Times New Roman" w:hAnsi="Times New Roman" w:cs="Times New Roman"/>
      </w:rPr>
    </w:pPr>
    <w:r w:rsidRPr="0080537E">
      <w:rPr>
        <w:rFonts w:ascii="Times New Roman" w:hAnsi="Times New Roman" w:cs="Times New Roman"/>
        <w:bCs/>
        <w:sz w:val="18"/>
        <w:szCs w:val="18"/>
      </w:rPr>
      <w:t>NNGYK/ETGY/12206/2025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1040B7" w14:textId="77777777" w:rsidR="00567631" w:rsidRDefault="00567631" w:rsidP="00B14E32">
      <w:pPr>
        <w:spacing w:after="0" w:line="240" w:lineRule="auto"/>
      </w:pPr>
      <w:r>
        <w:separator/>
      </w:r>
    </w:p>
  </w:footnote>
  <w:footnote w:type="continuationSeparator" w:id="0">
    <w:p w14:paraId="45288F99" w14:textId="77777777" w:rsidR="00567631" w:rsidRDefault="00567631" w:rsidP="00B14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745555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696630A" w14:textId="076FA7BB" w:rsidR="00B14E32" w:rsidRPr="00B14E32" w:rsidRDefault="00B14E32">
        <w:pPr>
          <w:pStyle w:val="lfej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B14E3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B14E3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B14E3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B4D82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B14E3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0FFDF63" w14:textId="77777777" w:rsidR="00B14E32" w:rsidRDefault="00B14E3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b/>
        <w:sz w:val="22"/>
      </w:rPr>
    </w:lvl>
  </w:abstractNum>
  <w:abstractNum w:abstractNumId="2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/>
      </w:r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/>
      </w:rPr>
    </w:lvl>
  </w:abstractNum>
  <w:abstractNum w:abstractNumId="4" w15:restartNumberingAfterBreak="0">
    <w:nsid w:val="302D6EC9"/>
    <w:multiLevelType w:val="hybridMultilevel"/>
    <w:tmpl w:val="D0862DE8"/>
    <w:lvl w:ilvl="0" w:tplc="923EED72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42185"/>
    <w:multiLevelType w:val="hybridMultilevel"/>
    <w:tmpl w:val="4238E472"/>
    <w:lvl w:ilvl="0" w:tplc="00000002">
      <w:start w:val="1"/>
      <w:numFmt w:val="bullet"/>
      <w:lvlText w:val="-"/>
      <w:lvlJc w:val="left"/>
      <w:pPr>
        <w:ind w:left="720" w:hanging="360"/>
      </w:pPr>
      <w:rPr>
        <w:rFonts w:ascii="OpenSymbol" w:hAnsi="Open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E32"/>
    <w:rsid w:val="00055A39"/>
    <w:rsid w:val="00145300"/>
    <w:rsid w:val="001D7760"/>
    <w:rsid w:val="00256696"/>
    <w:rsid w:val="002C5DC9"/>
    <w:rsid w:val="00515946"/>
    <w:rsid w:val="00567631"/>
    <w:rsid w:val="005C1EBC"/>
    <w:rsid w:val="006631F1"/>
    <w:rsid w:val="0068408E"/>
    <w:rsid w:val="007B08A8"/>
    <w:rsid w:val="007B1155"/>
    <w:rsid w:val="007F3FA4"/>
    <w:rsid w:val="00800AF9"/>
    <w:rsid w:val="0080537E"/>
    <w:rsid w:val="00841E80"/>
    <w:rsid w:val="00885441"/>
    <w:rsid w:val="00944A07"/>
    <w:rsid w:val="009C0E1C"/>
    <w:rsid w:val="00AB19E0"/>
    <w:rsid w:val="00AC4A1E"/>
    <w:rsid w:val="00B14E32"/>
    <w:rsid w:val="00B53DE6"/>
    <w:rsid w:val="00B676CE"/>
    <w:rsid w:val="00B91CFE"/>
    <w:rsid w:val="00C90D9C"/>
    <w:rsid w:val="00CB4D82"/>
    <w:rsid w:val="00D42C3C"/>
    <w:rsid w:val="00E95C53"/>
    <w:rsid w:val="00EB7BDC"/>
    <w:rsid w:val="00FF0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1E0CD2"/>
  <w15:chartTrackingRefBased/>
  <w15:docId w15:val="{506D33D4-9003-4E16-A4F4-E592DBC95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nhideWhenUsed/>
    <w:rsid w:val="00B14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14E32"/>
  </w:style>
  <w:style w:type="character" w:styleId="Oldalszm">
    <w:name w:val="page number"/>
    <w:rsid w:val="00B14E32"/>
    <w:rPr>
      <w:rFonts w:cs="Times New Roman"/>
    </w:rPr>
  </w:style>
  <w:style w:type="paragraph" w:styleId="lfej">
    <w:name w:val="header"/>
    <w:basedOn w:val="Norml"/>
    <w:link w:val="lfejChar"/>
    <w:uiPriority w:val="99"/>
    <w:unhideWhenUsed/>
    <w:rsid w:val="00B14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14E32"/>
  </w:style>
  <w:style w:type="paragraph" w:styleId="Buborkszveg">
    <w:name w:val="Balloon Text"/>
    <w:basedOn w:val="Norml"/>
    <w:link w:val="BuborkszvegChar"/>
    <w:uiPriority w:val="99"/>
    <w:semiHidden/>
    <w:unhideWhenUsed/>
    <w:rsid w:val="007B08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B08A8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6631F1"/>
    <w:pPr>
      <w:spacing w:after="0" w:line="240" w:lineRule="auto"/>
    </w:pPr>
  </w:style>
  <w:style w:type="character" w:customStyle="1" w:styleId="llbChar1">
    <w:name w:val="Élőláb Char1"/>
    <w:basedOn w:val="Bekezdsalapbettpusa"/>
    <w:semiHidden/>
    <w:locked/>
    <w:rsid w:val="007B1155"/>
    <w:rPr>
      <w:rFonts w:ascii="Times New Roman" w:eastAsia="SimSun" w:hAnsi="Times New Roman" w:cs="Times New Roman"/>
      <w:kern w:val="0"/>
      <w:szCs w:val="20"/>
      <w:lang w:val="en-GB"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2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2420</Words>
  <Characters>16705</Characters>
  <Application>Microsoft Office Word</Application>
  <DocSecurity>0</DocSecurity>
  <Lines>139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RKV-VV</dc:creator>
  <cp:keywords/>
  <dc:description/>
  <cp:lastModifiedBy>HU_OGYI_56.1</cp:lastModifiedBy>
  <cp:revision>11</cp:revision>
  <dcterms:created xsi:type="dcterms:W3CDTF">2024-05-06T05:15:00Z</dcterms:created>
  <dcterms:modified xsi:type="dcterms:W3CDTF">2025-07-04T11:10:00Z</dcterms:modified>
</cp:coreProperties>
</file>