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4C498" w14:textId="77777777" w:rsidR="00AF0308" w:rsidRPr="00F93347" w:rsidRDefault="00AF0308" w:rsidP="00AF0308">
      <w:pPr>
        <w:spacing w:after="0" w:line="240" w:lineRule="auto"/>
        <w:jc w:val="center"/>
        <w:rPr>
          <w:rFonts w:ascii="Times New Roman" w:eastAsia="Times New Roman" w:hAnsi="Times New Roman" w:cs="Times New Roman"/>
          <w:noProof w:val="0"/>
          <w:color w:val="000000"/>
          <w:kern w:val="0"/>
          <w:lang w:val="hu-HU" w:eastAsia="hu-HU"/>
          <w14:ligatures w14:val="none"/>
        </w:rPr>
      </w:pPr>
      <w:bookmarkStart w:id="0" w:name="_Hlk68185303"/>
      <w:r w:rsidRPr="00F93347">
        <w:rPr>
          <w:rFonts w:ascii="Times New Roman" w:eastAsia="Times New Roman" w:hAnsi="Times New Roman" w:cs="Times New Roman"/>
          <w:b/>
          <w:noProof w:val="0"/>
          <w:color w:val="000000"/>
          <w:kern w:val="0"/>
          <w:lang w:val="hu-HU" w:eastAsia="hu-HU"/>
          <w14:ligatures w14:val="none"/>
        </w:rPr>
        <w:t>Betegtájékoztató: Információk a beteg számára</w:t>
      </w:r>
    </w:p>
    <w:p w14:paraId="3736C64C" w14:textId="77777777" w:rsidR="00AF0308" w:rsidRPr="00F93347" w:rsidRDefault="00AF0308" w:rsidP="00AF0308">
      <w:pPr>
        <w:spacing w:after="0" w:line="240" w:lineRule="auto"/>
        <w:jc w:val="center"/>
        <w:rPr>
          <w:rFonts w:ascii="Times New Roman" w:eastAsia="Times New Roman" w:hAnsi="Times New Roman" w:cs="Times New Roman"/>
          <w:bCs/>
          <w:noProof w:val="0"/>
          <w:color w:val="000000"/>
          <w:kern w:val="0"/>
          <w:lang w:val="hu-HU" w:eastAsia="hu-HU"/>
          <w14:ligatures w14:val="none"/>
        </w:rPr>
      </w:pPr>
    </w:p>
    <w:p w14:paraId="4B622B99" w14:textId="77777777" w:rsidR="00AF0308" w:rsidRPr="00F93347" w:rsidRDefault="00AF0308" w:rsidP="00AF0308">
      <w:pPr>
        <w:spacing w:after="0" w:line="240" w:lineRule="auto"/>
        <w:jc w:val="center"/>
        <w:rPr>
          <w:rFonts w:ascii="Times New Roman" w:eastAsia="Times New Roman" w:hAnsi="Times New Roman" w:cs="Times New Roman"/>
          <w:b/>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Telexer 150 mg kemény kapszula</w:t>
      </w:r>
    </w:p>
    <w:p w14:paraId="065664F4" w14:textId="77777777" w:rsidR="00AF0308" w:rsidRPr="00F93347" w:rsidRDefault="00AF0308" w:rsidP="00AF0308">
      <w:pPr>
        <w:spacing w:after="0" w:line="240" w:lineRule="auto"/>
        <w:jc w:val="center"/>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dabigatrán</w:t>
      </w:r>
      <w:r w:rsidRPr="00F93347">
        <w:rPr>
          <w:rFonts w:ascii="Times New Roman" w:eastAsia="Times New Roman" w:hAnsi="Times New Roman" w:cs="Times New Roman"/>
          <w:noProof w:val="0"/>
          <w:color w:val="000000"/>
          <w:kern w:val="0"/>
          <w:lang w:val="hu-HU" w:eastAsia="hu-HU"/>
          <w14:ligatures w14:val="none"/>
        </w:rPr>
        <w:noBreakHyphen/>
        <w:t>etexilát</w:t>
      </w:r>
    </w:p>
    <w:p w14:paraId="3B6B8D41"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2816BB53" w14:textId="77777777" w:rsidR="00AF0308" w:rsidRPr="00F93347" w:rsidRDefault="00AF0308" w:rsidP="00AF0308">
      <w:pPr>
        <w:spacing w:after="0" w:line="240" w:lineRule="auto"/>
        <w:ind w:left="11" w:hanging="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Mielőtt elkezdi szedni ezt a gyógyszert, olvassa el figyelmesen az alábbi betegtájékoztatót, mert az Ön számára fontos információkat tartalmaz.</w:t>
      </w:r>
    </w:p>
    <w:p w14:paraId="0B1D2849"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Tartsa meg a betegtájékoztatót, mert a benne szereplő információkra a későbbiekben is szüksége lehet.</w:t>
      </w:r>
    </w:p>
    <w:p w14:paraId="789F36C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További kérdéseivel forduljon kezelőorvosához vagy gyógyszerészéhez.</w:t>
      </w:r>
    </w:p>
    <w:p w14:paraId="0F0594B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Ezt a gyógyszert az orvos kizárólag Önnek írta fel. Ne adja át a készítményt másnak, mert számára ártalmas lehet még abban az esetben is, ha a betegsége tünetei az Önéhez hasonlóak.</w:t>
      </w:r>
    </w:p>
    <w:p w14:paraId="6425EB7E"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Önnél bármilyen mellékhatás jelentkezik, tájékoztassa erről kezelőorvosát vagy gyógyszerészét. Ez a betegtájékoztatóban fel nem sorolt bármilyen lehetséges mellékhatásra is vonatkozik. Lásd 4. pont.</w:t>
      </w:r>
    </w:p>
    <w:p w14:paraId="1DC82C86" w14:textId="77777777" w:rsidR="00AF0308" w:rsidRPr="00F93347" w:rsidRDefault="00AF0308" w:rsidP="00AF0308">
      <w:pPr>
        <w:spacing w:after="0" w:line="240" w:lineRule="auto"/>
        <w:rPr>
          <w:rFonts w:ascii="Times New Roman" w:eastAsia="Times New Roman" w:hAnsi="Times New Roman" w:cs="Times New Roman"/>
          <w:bCs/>
          <w:noProof w:val="0"/>
          <w:color w:val="000000"/>
          <w:kern w:val="0"/>
          <w:lang w:val="hu-HU" w:eastAsia="hu-HU"/>
          <w14:ligatures w14:val="none"/>
        </w:rPr>
      </w:pPr>
    </w:p>
    <w:p w14:paraId="2360CBCD" w14:textId="77777777" w:rsidR="00AF0308" w:rsidRPr="00F93347" w:rsidRDefault="00AF0308" w:rsidP="00AF0308">
      <w:pPr>
        <w:spacing w:after="0" w:line="240" w:lineRule="auto"/>
        <w:rPr>
          <w:rFonts w:ascii="Times New Roman" w:eastAsia="Times New Roman" w:hAnsi="Times New Roman" w:cs="Times New Roman"/>
          <w:b/>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A betegtájékoztató tartalma:</w:t>
      </w:r>
    </w:p>
    <w:p w14:paraId="53773703"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1F864921" w14:textId="77777777" w:rsidR="00AF0308" w:rsidRPr="00F93347" w:rsidRDefault="00AF0308" w:rsidP="00AF0308">
      <w:pPr>
        <w:tabs>
          <w:tab w:val="left" w:pos="567"/>
        </w:tabs>
        <w:spacing w:after="0" w:line="240" w:lineRule="auto"/>
        <w:ind w:left="567" w:right="-3"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1.</w:t>
      </w:r>
      <w:r w:rsidRPr="00F93347">
        <w:rPr>
          <w:rFonts w:ascii="Times New Roman" w:eastAsia="Times New Roman" w:hAnsi="Times New Roman" w:cs="Times New Roman"/>
          <w:noProof w:val="0"/>
          <w:color w:val="000000"/>
          <w:kern w:val="0"/>
          <w:lang w:val="hu-HU" w:eastAsia="hu-HU"/>
          <w14:ligatures w14:val="none"/>
        </w:rPr>
        <w:tab/>
        <w:t xml:space="preserve">Milyen típusú gyógyszer a Telexer 150 mg kemény kapszula (a továbbiakban: Telexer) és milyen betegségek esetén alkalmazható? </w:t>
      </w:r>
    </w:p>
    <w:p w14:paraId="7DB0450F" w14:textId="77777777" w:rsidR="00AF0308" w:rsidRPr="00F93347" w:rsidRDefault="00AF0308" w:rsidP="00AF0308">
      <w:pPr>
        <w:tabs>
          <w:tab w:val="left" w:pos="567"/>
        </w:tabs>
        <w:spacing w:after="0" w:line="240" w:lineRule="auto"/>
        <w:ind w:left="567" w:right="-3"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2.</w:t>
      </w:r>
      <w:r w:rsidRPr="00F93347">
        <w:rPr>
          <w:rFonts w:ascii="Times New Roman" w:eastAsia="Times New Roman" w:hAnsi="Times New Roman" w:cs="Times New Roman"/>
          <w:noProof w:val="0"/>
          <w:color w:val="000000"/>
          <w:kern w:val="0"/>
          <w:lang w:val="hu-HU" w:eastAsia="hu-HU"/>
          <w14:ligatures w14:val="none"/>
        </w:rPr>
        <w:tab/>
        <w:t>Tudnivalók a Telexer szedése előtt</w:t>
      </w:r>
    </w:p>
    <w:p w14:paraId="6E565AFD" w14:textId="77777777" w:rsidR="00AF0308" w:rsidRPr="00F93347" w:rsidRDefault="00AF0308" w:rsidP="00AF0308">
      <w:pPr>
        <w:tabs>
          <w:tab w:val="left" w:pos="567"/>
        </w:tabs>
        <w:spacing w:after="0" w:line="240" w:lineRule="auto"/>
        <w:ind w:left="567" w:right="-3"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3.</w:t>
      </w:r>
      <w:r w:rsidRPr="00F93347">
        <w:rPr>
          <w:rFonts w:ascii="Times New Roman" w:eastAsia="Times New Roman" w:hAnsi="Times New Roman" w:cs="Times New Roman"/>
          <w:noProof w:val="0"/>
          <w:color w:val="000000"/>
          <w:kern w:val="0"/>
          <w:lang w:val="hu-HU" w:eastAsia="hu-HU"/>
          <w14:ligatures w14:val="none"/>
        </w:rPr>
        <w:tab/>
        <w:t>Hogyan kell szedni a Telexert?</w:t>
      </w:r>
    </w:p>
    <w:p w14:paraId="01ED9692" w14:textId="77777777" w:rsidR="00AF0308" w:rsidRPr="00F93347" w:rsidRDefault="00AF0308" w:rsidP="00AF0308">
      <w:pPr>
        <w:tabs>
          <w:tab w:val="left" w:pos="567"/>
        </w:tabs>
        <w:spacing w:after="0" w:line="240" w:lineRule="auto"/>
        <w:ind w:left="567" w:right="-3"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4.</w:t>
      </w:r>
      <w:r w:rsidRPr="00F93347">
        <w:rPr>
          <w:rFonts w:ascii="Times New Roman" w:eastAsia="Times New Roman" w:hAnsi="Times New Roman" w:cs="Times New Roman"/>
          <w:noProof w:val="0"/>
          <w:color w:val="000000"/>
          <w:kern w:val="0"/>
          <w:lang w:val="hu-HU" w:eastAsia="hu-HU"/>
          <w14:ligatures w14:val="none"/>
        </w:rPr>
        <w:tab/>
        <w:t>Lehetséges mellékhatások</w:t>
      </w:r>
    </w:p>
    <w:p w14:paraId="12B61FDB" w14:textId="77777777" w:rsidR="00AF0308" w:rsidRPr="00F93347" w:rsidRDefault="00AF0308" w:rsidP="00AF0308">
      <w:pPr>
        <w:tabs>
          <w:tab w:val="left" w:pos="567"/>
        </w:tabs>
        <w:spacing w:after="0" w:line="240" w:lineRule="auto"/>
        <w:ind w:left="567" w:right="-3"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5</w:t>
      </w:r>
      <w:r w:rsidRPr="00F93347">
        <w:rPr>
          <w:rFonts w:ascii="Times New Roman" w:eastAsia="Times New Roman" w:hAnsi="Times New Roman" w:cs="Times New Roman"/>
          <w:noProof w:val="0"/>
          <w:color w:val="000000"/>
          <w:kern w:val="0"/>
          <w:lang w:val="hu-HU" w:eastAsia="hu-HU"/>
          <w14:ligatures w14:val="none"/>
        </w:rPr>
        <w:tab/>
        <w:t>Hogyan kell a Telexert tárolni?</w:t>
      </w:r>
    </w:p>
    <w:p w14:paraId="6FF0CC9B" w14:textId="77777777" w:rsidR="00AF0308" w:rsidRPr="00F93347" w:rsidRDefault="00AF0308" w:rsidP="00AF0308">
      <w:pPr>
        <w:tabs>
          <w:tab w:val="left" w:pos="567"/>
          <w:tab w:val="center" w:pos="2411"/>
        </w:tabs>
        <w:spacing w:after="0" w:line="240" w:lineRule="auto"/>
        <w:ind w:left="567" w:right="-3"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6.</w:t>
      </w:r>
      <w:r w:rsidRPr="00F93347">
        <w:rPr>
          <w:rFonts w:ascii="Times New Roman" w:eastAsia="Times New Roman" w:hAnsi="Times New Roman" w:cs="Times New Roman"/>
          <w:noProof w:val="0"/>
          <w:color w:val="000000"/>
          <w:kern w:val="0"/>
          <w:lang w:val="hu-HU" w:eastAsia="hu-HU"/>
          <w14:ligatures w14:val="none"/>
        </w:rPr>
        <w:tab/>
        <w:t>A csomagolás tartalma és egyéb információk</w:t>
      </w:r>
    </w:p>
    <w:p w14:paraId="03E6420F" w14:textId="77777777" w:rsidR="00AF0308" w:rsidRPr="00F93347" w:rsidRDefault="00AF0308" w:rsidP="00AF0308">
      <w:pPr>
        <w:tabs>
          <w:tab w:val="left" w:pos="567"/>
          <w:tab w:val="center" w:pos="2411"/>
        </w:tabs>
        <w:spacing w:after="0" w:line="240" w:lineRule="auto"/>
        <w:ind w:left="7" w:right="-3" w:hanging="10"/>
        <w:rPr>
          <w:rFonts w:ascii="Times New Roman" w:eastAsia="Times New Roman" w:hAnsi="Times New Roman" w:cs="Times New Roman"/>
          <w:noProof w:val="0"/>
          <w:color w:val="000000"/>
          <w:kern w:val="0"/>
          <w:lang w:val="hu-HU" w:eastAsia="hu-HU"/>
          <w14:ligatures w14:val="none"/>
        </w:rPr>
      </w:pPr>
    </w:p>
    <w:p w14:paraId="3380F4B8" w14:textId="77777777" w:rsidR="00AF0308" w:rsidRPr="00F93347" w:rsidRDefault="00AF0308" w:rsidP="00AF0308">
      <w:pPr>
        <w:tabs>
          <w:tab w:val="left" w:pos="567"/>
          <w:tab w:val="center" w:pos="2411"/>
        </w:tabs>
        <w:spacing w:after="0" w:line="240" w:lineRule="auto"/>
        <w:ind w:left="7" w:right="-3" w:hanging="10"/>
        <w:rPr>
          <w:rFonts w:ascii="Times New Roman" w:eastAsia="Times New Roman" w:hAnsi="Times New Roman" w:cs="Times New Roman"/>
          <w:noProof w:val="0"/>
          <w:color w:val="000000"/>
          <w:kern w:val="0"/>
          <w:lang w:val="hu-HU" w:eastAsia="hu-HU"/>
          <w14:ligatures w14:val="none"/>
        </w:rPr>
      </w:pPr>
    </w:p>
    <w:p w14:paraId="75390451" w14:textId="77777777" w:rsidR="00AF0308" w:rsidRPr="00F93347" w:rsidRDefault="00AF0308" w:rsidP="00AF0308">
      <w:pPr>
        <w:tabs>
          <w:tab w:val="center" w:pos="4248"/>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1.</w:t>
      </w:r>
      <w:r w:rsidRPr="00F93347">
        <w:rPr>
          <w:rFonts w:ascii="Times New Roman" w:eastAsia="Times New Roman" w:hAnsi="Times New Roman" w:cs="Times New Roman"/>
          <w:b/>
          <w:noProof w:val="0"/>
          <w:color w:val="000000"/>
          <w:kern w:val="0"/>
          <w:lang w:val="hu-HU" w:eastAsia="hu-HU"/>
          <w14:ligatures w14:val="none"/>
        </w:rPr>
        <w:tab/>
        <w:t>Milyen típusú gyógyszer a Telexer és milyen betegségek esetén alkalmazható?</w:t>
      </w:r>
    </w:p>
    <w:p w14:paraId="27679096"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4B229964"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 dabigatrán</w:t>
      </w:r>
      <w:r w:rsidRPr="00F93347">
        <w:rPr>
          <w:rFonts w:ascii="Times New Roman" w:eastAsia="Times New Roman" w:hAnsi="Times New Roman" w:cs="Times New Roman"/>
          <w:noProof w:val="0"/>
          <w:color w:val="000000"/>
          <w:kern w:val="0"/>
          <w:lang w:val="hu-HU" w:eastAsia="hu-HU"/>
          <w14:ligatures w14:val="none"/>
        </w:rPr>
        <w:noBreakHyphen/>
        <w:t>etexilát nevű hatóanyagot tartalmaz és a véralvadásgátlóknak nevezett gyógyszerek csoportjába tartozik. Hatását úgy fejti ki, hogy gátolja azt az anyagot a szervezetben, amely szerepet játszik a vérrögök kialakulásában.</w:t>
      </w:r>
    </w:p>
    <w:p w14:paraId="09637570"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479CF093" w14:textId="77777777" w:rsidR="00AF0308" w:rsidRPr="00F93347" w:rsidRDefault="00AF0308" w:rsidP="00AF0308">
      <w:pPr>
        <w:spacing w:after="0" w:line="240" w:lineRule="auto"/>
        <w:ind w:left="11" w:hanging="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 felnőtteknél:</w:t>
      </w:r>
    </w:p>
    <w:p w14:paraId="6AC61BA7"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az agyban (sztrók) és a szervezet egyéb ereiben kialakuló vérrögök megelőzésére szolgál nem billentyű eredetű pitvarfibrillációban szenvedő betegekben legalább egy további kockázati tényező fennállása esetén.</w:t>
      </w:r>
    </w:p>
    <w:p w14:paraId="4D1FD73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lábak és a tüdő vénáiban kialakuló vérrögök kezelésére, és az ilyen vérrögök ismételt kialakulásának megelőzésére szolgál.</w:t>
      </w:r>
    </w:p>
    <w:p w14:paraId="59905B6E"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2106DDF" w14:textId="77777777" w:rsidR="00AF0308" w:rsidRPr="00F93347" w:rsidRDefault="00AF0308" w:rsidP="00AF0308">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 gyermekeknél és serdülőknél:</w:t>
      </w:r>
    </w:p>
    <w:p w14:paraId="1B53AE8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vérrögök kezelésére és a vérrögök újbóli kialakulásának megelőzésére szolgál.</w:t>
      </w:r>
    </w:p>
    <w:p w14:paraId="745A1799"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3F484424"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526AE0C9" w14:textId="77777777" w:rsidR="00AF0308" w:rsidRPr="00F93347" w:rsidRDefault="00AF0308" w:rsidP="00AF0308">
      <w:pPr>
        <w:tabs>
          <w:tab w:val="left" w:pos="567"/>
          <w:tab w:val="center" w:pos="2223"/>
        </w:tabs>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2.</w:t>
      </w:r>
      <w:r w:rsidRPr="00F93347">
        <w:rPr>
          <w:rFonts w:ascii="Times New Roman" w:eastAsia="Times New Roman" w:hAnsi="Times New Roman" w:cs="Times New Roman"/>
          <w:b/>
          <w:noProof w:val="0"/>
          <w:color w:val="000000"/>
          <w:kern w:val="0"/>
          <w:lang w:val="hu-HU" w:eastAsia="hu-HU"/>
          <w14:ligatures w14:val="none"/>
        </w:rPr>
        <w:tab/>
        <w:t>Tudnivalók a Telexer szedése előtt</w:t>
      </w:r>
    </w:p>
    <w:p w14:paraId="693E5256" w14:textId="77777777" w:rsidR="00AF0308" w:rsidRPr="00F93347" w:rsidRDefault="00AF0308" w:rsidP="00AF0308">
      <w:pPr>
        <w:spacing w:after="0" w:line="240" w:lineRule="auto"/>
        <w:rPr>
          <w:rFonts w:ascii="Times New Roman" w:eastAsia="Times New Roman" w:hAnsi="Times New Roman" w:cs="Times New Roman"/>
          <w:bCs/>
          <w:noProof w:val="0"/>
          <w:color w:val="000000"/>
          <w:kern w:val="0"/>
          <w:lang w:val="hu-HU" w:eastAsia="hu-HU"/>
          <w14:ligatures w14:val="none"/>
        </w:rPr>
      </w:pPr>
    </w:p>
    <w:p w14:paraId="16E9ACD9"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Ne szedje a Telexert</w:t>
      </w:r>
    </w:p>
    <w:p w14:paraId="1D98C11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allergiás a dabigatrán</w:t>
      </w:r>
      <w:r w:rsidRPr="00F93347">
        <w:rPr>
          <w:rFonts w:ascii="Times New Roman" w:eastAsia="Times New Roman" w:hAnsi="Times New Roman" w:cs="Times New Roman"/>
          <w:noProof w:val="0"/>
          <w:color w:val="000000"/>
          <w:kern w:val="0"/>
          <w:lang w:val="hu-HU" w:eastAsia="hu-HU"/>
          <w14:ligatures w14:val="none"/>
        </w:rPr>
        <w:noBreakHyphen/>
        <w:t>etexilátra vagy a gyógyszer (6. pontban felsorolt) egyéb összetevőjére.</w:t>
      </w:r>
    </w:p>
    <w:p w14:paraId="0835964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súlyosan csökkent a veseműködése.</w:t>
      </w:r>
    </w:p>
    <w:p w14:paraId="0AD22D3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jelenleg vérzik.</w:t>
      </w:r>
    </w:p>
    <w:p w14:paraId="3C1D0BD1"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olyan szervi betegsége van, ami fokozza a súlyos vérzés kockázatát (például gyomorfekély, sérülés vagy vérzés az agyban, nemrég végzett agy- vagy szemműtét).</w:t>
      </w:r>
    </w:p>
    <w:p w14:paraId="415B284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fokozott a vérzéshajlama. Ez lehet veleszületett, ismeretlen eredetű, vagy kialakulhat más gyógyszerek következtében.</w:t>
      </w:r>
    </w:p>
    <w:p w14:paraId="61259724"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ha a vérrögképződés megelőzésére szolgáló gyógyszereket szed (például warfarin, rivaroxabán, apixabán vagy heparin), kivéve, ha éppen egy másik antikoaguláns kezelésről állítják át Telexerre, és vénás vagy artériás kanülje van, és heparint kap ennek nyitva tartásához vagy ha a </w:t>
      </w:r>
      <w:r w:rsidRPr="00F93347">
        <w:rPr>
          <w:rFonts w:ascii="Times New Roman" w:eastAsia="Times New Roman" w:hAnsi="Times New Roman" w:cs="Times New Roman"/>
          <w:noProof w:val="0"/>
          <w:color w:val="000000"/>
          <w:kern w:val="0"/>
          <w:lang w:val="hu-HU" w:eastAsia="hu-HU"/>
          <w14:ligatures w14:val="none"/>
        </w:rPr>
        <w:lastRenderedPageBreak/>
        <w:t>normális szívritmusát állítják be egy pitvarfibrilláció miatti katéteres ablációnak nevezett eljárással.</w:t>
      </w:r>
    </w:p>
    <w:p w14:paraId="7A242E5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súlyos májkárosodása, vagy olyan májbetegsége van, ami halálhoz vezethet.</w:t>
      </w:r>
    </w:p>
    <w:p w14:paraId="5913DABC"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szájon át ketokonazolt vagy itrakonazolt, a gombafertőzések kezelésére szolgáló gyógyszereket szed.</w:t>
      </w:r>
    </w:p>
    <w:p w14:paraId="69BB519C"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szájon át ciklosporint szed, mely gyógyszert a transzplantációt követő szervkilökődés megakadályozására alkalmaznak.</w:t>
      </w:r>
    </w:p>
    <w:p w14:paraId="5236BC6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dronedaront (a szívritmuszavar kezelésére szolgáló gyógyszert) szed.</w:t>
      </w:r>
    </w:p>
    <w:p w14:paraId="18E71A2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glekaprevirt és pibrentaszvirt tartalmazó kombinációs készítményt szed, ami egy vírusellenes gyógyszer, és a hepatitisz C kezelésére alkalmazzák.</w:t>
      </w:r>
    </w:p>
    <w:p w14:paraId="74E43139"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a szívébe műbillentyűt kapott, ami állandó vérhígítást tesz szükségessé.</w:t>
      </w:r>
    </w:p>
    <w:p w14:paraId="714141BA" w14:textId="77777777" w:rsidR="00AF0308" w:rsidRPr="00F93347" w:rsidRDefault="00AF0308" w:rsidP="00396DE0">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6F837DAB"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Figyelmeztetések és óvintézkedések</w:t>
      </w:r>
    </w:p>
    <w:p w14:paraId="22790820"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 szedése előtt beszéljen kezelőorvosával. Forduljon kezelőorvosához a gyógyszerrel történő kezelés alatt, ha tünetei jelentkeznek, vagy műtét előtt áll.</w:t>
      </w:r>
    </w:p>
    <w:p w14:paraId="183988F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24867A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Közölje orvosával</w:t>
      </w:r>
      <w:r w:rsidRPr="00F93347">
        <w:rPr>
          <w:rFonts w:ascii="Times New Roman" w:eastAsia="Times New Roman" w:hAnsi="Times New Roman" w:cs="Times New Roman"/>
          <w:noProof w:val="0"/>
          <w:color w:val="000000"/>
          <w:kern w:val="0"/>
          <w:lang w:val="hu-HU" w:eastAsia="hu-HU"/>
          <w14:ligatures w14:val="none"/>
        </w:rPr>
        <w:t>, ha bármilyen betegsége van vagy volt, különös tekintettel az alábbiakra:</w:t>
      </w:r>
    </w:p>
    <w:p w14:paraId="5EBDA8DE" w14:textId="77777777" w:rsidR="00AF0308" w:rsidRPr="00F93347" w:rsidRDefault="00AF0308" w:rsidP="00AF0308">
      <w:pPr>
        <w:numPr>
          <w:ilvl w:val="0"/>
          <w:numId w:val="5"/>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fokozott Önnél a vérzés veszélye, például:</w:t>
      </w:r>
    </w:p>
    <w:p w14:paraId="2D042AD6"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a közelmúltban vérzés lépett fel Önnél.</w:t>
      </w:r>
    </w:p>
    <w:p w14:paraId="13EC1396"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Önnél sebészi szövetmintavételt (biopsziát) végeztek az elmúlt hónapban.</w:t>
      </w:r>
    </w:p>
    <w:p w14:paraId="62B80BAD"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súlyos sérülése volt (például műtéti ellátást igénylő csonttörés, fejsérülés vagy bármilyen más sérülés).</w:t>
      </w:r>
    </w:p>
    <w:p w14:paraId="49A4CFCD"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nyelőcső- vagy gyomornyálkahártya-gyulladásban szenved.</w:t>
      </w:r>
    </w:p>
    <w:p w14:paraId="52C4D126"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a gyomorsav visszafolyik a nyelőcsövébe (reflux).</w:t>
      </w:r>
    </w:p>
    <w:p w14:paraId="63988B4D"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olyan gyógyszereket kap, amelyek fokozhatják a vérzés veszélyét. Lásd „Egyéb gyógyszerek és a Telexer” részt lejjebb.</w:t>
      </w:r>
    </w:p>
    <w:p w14:paraId="6E24E369"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gyulladáscsökkentő gyógyszereket szed, például diklofenák, ibuprofén, piroxikám.</w:t>
      </w:r>
    </w:p>
    <w:p w14:paraId="18351634"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a szívet érintő fertőzésben (bakteriális szívbelhártya-gyulladás) szenved.</w:t>
      </w:r>
    </w:p>
    <w:p w14:paraId="47A18176"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tudja, hogy vesekárosodása van, vagy a kiszáradás tüneteit tapasztalja (a tünetek közé tartozik a szomjúságérzés és a csökkent mennyiségű, sötét (sűrű)/habos vizelet ürítése).</w:t>
      </w:r>
    </w:p>
    <w:p w14:paraId="19F06B07"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Ön elmúlt 75 éves.</w:t>
      </w:r>
    </w:p>
    <w:p w14:paraId="3746B93F"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Ön felnőtt korú beteg, és a testsúlya 50 kg vagy annál kevesebb.</w:t>
      </w:r>
    </w:p>
    <w:p w14:paraId="2F3D673A" w14:textId="77777777" w:rsidR="00AF0308" w:rsidRPr="00F93347" w:rsidRDefault="00AF0308" w:rsidP="00AF0308">
      <w:pPr>
        <w:numPr>
          <w:ilvl w:val="0"/>
          <w:numId w:val="5"/>
        </w:numPr>
        <w:spacing w:after="0" w:line="240" w:lineRule="auto"/>
        <w:ind w:left="1134"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Kizárólag gyermekeknél és serdülőknél történő használat esetén: ha a gyermek agyában vagy agya körül fertőzés észlelhető.</w:t>
      </w:r>
    </w:p>
    <w:p w14:paraId="61ADDE88" w14:textId="77777777" w:rsidR="00AF0308" w:rsidRPr="00F93347" w:rsidRDefault="00AF0308" w:rsidP="00AF0308">
      <w:pPr>
        <w:numPr>
          <w:ilvl w:val="0"/>
          <w:numId w:val="5"/>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korábban volt szívrohama, vagy olyan betegséget diagnosztizáltak Önnél, ami növeli a szívroham kialakulásának veszélyét.</w:t>
      </w:r>
    </w:p>
    <w:p w14:paraId="663EE5AA" w14:textId="77777777" w:rsidR="00AF0308" w:rsidRPr="00F93347" w:rsidRDefault="00AF0308" w:rsidP="00AF0308">
      <w:pPr>
        <w:numPr>
          <w:ilvl w:val="0"/>
          <w:numId w:val="5"/>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olyan májbetegsége van, amely a vérvizsgálati értékek megváltozását okozza. Ebben az esetben a gyógyszer alkalmazása nem javasolt.</w:t>
      </w:r>
    </w:p>
    <w:p w14:paraId="15FD97EE" w14:textId="77777777" w:rsidR="00AF0308" w:rsidRPr="00F93347" w:rsidRDefault="00AF0308" w:rsidP="00AF0308">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3CBA51E3" w14:textId="77777777" w:rsidR="00AF0308" w:rsidRPr="00F93347" w:rsidRDefault="00AF0308" w:rsidP="00AF0308">
      <w:pPr>
        <w:spacing w:after="0" w:line="240" w:lineRule="auto"/>
        <w:ind w:right="11"/>
        <w:rPr>
          <w:rFonts w:ascii="Times New Roman" w:eastAsia="Times New Roman" w:hAnsi="Times New Roman" w:cs="Times New Roman"/>
          <w:b/>
          <w:bCs/>
          <w:noProof w:val="0"/>
          <w:color w:val="000000"/>
          <w:kern w:val="0"/>
          <w:lang w:val="hu-HU" w:eastAsia="hu-HU"/>
          <w14:ligatures w14:val="none"/>
        </w:rPr>
      </w:pPr>
      <w:r w:rsidRPr="00F93347">
        <w:rPr>
          <w:rFonts w:ascii="Times New Roman" w:eastAsia="Times New Roman" w:hAnsi="Times New Roman" w:cs="Times New Roman"/>
          <w:b/>
          <w:bCs/>
          <w:noProof w:val="0"/>
          <w:color w:val="000000"/>
          <w:kern w:val="0"/>
          <w:lang w:val="hu-HU" w:eastAsia="hu-HU"/>
          <w14:ligatures w14:val="none"/>
        </w:rPr>
        <w:t>Óvatosan alkalmazza a Telexert</w:t>
      </w:r>
    </w:p>
    <w:p w14:paraId="52E455CB" w14:textId="77777777" w:rsidR="00AF0308" w:rsidRPr="00F93347" w:rsidRDefault="00AF0308" w:rsidP="00AF0308">
      <w:pPr>
        <w:numPr>
          <w:ilvl w:val="0"/>
          <w:numId w:val="5"/>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Önnek műtétre van szüksége:</w:t>
      </w:r>
    </w:p>
    <w:p w14:paraId="1CBC2EE8" w14:textId="77777777" w:rsidR="00AF0308" w:rsidRPr="00F93347" w:rsidRDefault="00AF0308" w:rsidP="00AF0308">
      <w:pPr>
        <w:spacing w:after="0" w:line="240" w:lineRule="auto"/>
        <w:ind w:left="566" w:right="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Ebben az esetben a Telexer adását átmenetileg le kell állítani, mivel a műtét alatt és röviddel utána fokozott lehet a vérzésveszély. Nagyon fontos, hogy a Telexert a műtét előtt és után szigorúan az orvos utasításainak megfelelő időben szedje.</w:t>
      </w:r>
    </w:p>
    <w:p w14:paraId="7A602BCE" w14:textId="77777777" w:rsidR="00AF0308" w:rsidRPr="00F93347" w:rsidRDefault="00AF0308" w:rsidP="00AF0308">
      <w:pPr>
        <w:numPr>
          <w:ilvl w:val="0"/>
          <w:numId w:val="5"/>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a műtét során katétert vezetnek vagy injekciót kap a gerincoszlopába (például epidurális vagy spinális érzéstelenítéshez vagy fájdalomcsillapításhoz):</w:t>
      </w:r>
    </w:p>
    <w:p w14:paraId="567D8083" w14:textId="77777777" w:rsidR="00AF0308" w:rsidRPr="00F93347" w:rsidRDefault="00AF0308" w:rsidP="00AF0308">
      <w:pPr>
        <w:numPr>
          <w:ilvl w:val="0"/>
          <w:numId w:val="5"/>
        </w:numPr>
        <w:spacing w:after="0" w:line="240" w:lineRule="auto"/>
        <w:ind w:left="1134" w:right="11"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Nagyon fontos, hogy a Telexert a műtét előtt és után szigorúan az orvos utasításainak megfelelő időben szedje.</w:t>
      </w:r>
    </w:p>
    <w:p w14:paraId="27B7F30A" w14:textId="77777777" w:rsidR="00AF0308" w:rsidRPr="00F93347" w:rsidRDefault="00AF0308" w:rsidP="00AF0308">
      <w:pPr>
        <w:numPr>
          <w:ilvl w:val="0"/>
          <w:numId w:val="5"/>
        </w:numPr>
        <w:spacing w:after="0" w:line="240" w:lineRule="auto"/>
        <w:ind w:left="1134" w:right="11"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Azonnal tájékoztassa kezelőorvosát, ha gyengeséget vagy zsibbadást érez a lábában, vagy ha a belekkel, húgyhólyaggal kapcsolatos problémák lépnek fel az érzéstelenítést követően, mert sürgős ellátásra lehet szükség.</w:t>
      </w:r>
    </w:p>
    <w:p w14:paraId="56F38B1E" w14:textId="77777777" w:rsidR="00AF0308" w:rsidRPr="00F93347" w:rsidRDefault="00AF0308" w:rsidP="00AF0308">
      <w:pPr>
        <w:numPr>
          <w:ilvl w:val="0"/>
          <w:numId w:val="5"/>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elesik vagy más okból megsérül a kezelés alatt, különösen, ha a fejét üti meg. Kérjük, sürgősen forduljon orvoshoz. Orvosi ellenőrzésre lesz szüksége, mivel Önnél fokozott lehet a vérzésveszély.</w:t>
      </w:r>
    </w:p>
    <w:p w14:paraId="582CD87C" w14:textId="77777777" w:rsidR="00AF0308" w:rsidRPr="00F93347" w:rsidRDefault="00AF0308" w:rsidP="00AF0308">
      <w:pPr>
        <w:numPr>
          <w:ilvl w:val="0"/>
          <w:numId w:val="5"/>
        </w:numPr>
        <w:spacing w:after="0" w:line="240" w:lineRule="auto"/>
        <w:ind w:right="11" w:hanging="566"/>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ha Önnek tudomása van arról, hogy az antifoszfolipid szindróma elnevezésű betegségben szenved (az immunrendszer rendellenessége, amely a vérrögök magasabb kockázatát </w:t>
      </w:r>
      <w:r w:rsidRPr="00F93347">
        <w:rPr>
          <w:rFonts w:ascii="Times New Roman" w:eastAsia="Times New Roman" w:hAnsi="Times New Roman" w:cs="Times New Roman"/>
          <w:noProof w:val="0"/>
          <w:color w:val="000000"/>
          <w:kern w:val="0"/>
          <w:lang w:val="hu-HU" w:eastAsia="hu-HU"/>
          <w14:ligatures w14:val="none"/>
        </w:rPr>
        <w:lastRenderedPageBreak/>
        <w:t>eredményezi), tájékoztassa kezelőorvosát, aki eldönti, hogy szükség van-e a kezelés módosítására.</w:t>
      </w:r>
    </w:p>
    <w:p w14:paraId="4B79FE0A" w14:textId="77777777" w:rsidR="00AF0308" w:rsidRPr="00F93347" w:rsidRDefault="00AF0308" w:rsidP="00AF0308">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22139C2D"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Egyéb gyógyszerek és a Telexer</w:t>
      </w:r>
    </w:p>
    <w:p w14:paraId="655B3C51"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Feltétlenül tájékoztassa kezelőorvosát vagy gyógyszerészét a jelenleg vagy nemrégiben szedett, valamint szedni tervezett egyéb gyógyszereiről. </w:t>
      </w:r>
      <w:r w:rsidRPr="00F93347">
        <w:rPr>
          <w:rFonts w:ascii="Times New Roman" w:eastAsia="Times New Roman" w:hAnsi="Times New Roman" w:cs="Times New Roman"/>
          <w:b/>
          <w:noProof w:val="0"/>
          <w:color w:val="000000"/>
          <w:kern w:val="0"/>
          <w:lang w:val="hu-HU" w:eastAsia="hu-HU"/>
          <w14:ligatures w14:val="none"/>
        </w:rPr>
        <w:t>A Telexer szedése előtt különösen az alábbi gyógyszerek egyikének szedése esetén tájékoztassa kezelőorvosát:</w:t>
      </w:r>
    </w:p>
    <w:p w14:paraId="7825E4A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Vérhígító (a véralvadást csökkentő) gyógyszerek (például warfarin, fenprokumon, acenokumarol, heparin, klopidogrel, prazugrel, tikagrelor, rivaroxabán, acetilszalicilsav)</w:t>
      </w:r>
    </w:p>
    <w:p w14:paraId="60C3180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Gombafertőzések kezelésére szolgáló gyógyszerek (például ketokonazol, itrakonazol), kivéve, ha csak a bőrre alkalmazza őket</w:t>
      </w:r>
    </w:p>
    <w:p w14:paraId="377E2B3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Szívritmuszavar kezelésére szolgáló gyógyszerek (például amiodaron, dronedaron, kinidin, verapamil). Ha verapamil-tartalmú gyógyszert szed, kezelőorvosa tájékoztathatja majd arról, hogy a Telexer csökkentett adagját szedje, attól függően, hogy milyen betegség kezelésére írták fel azt Önnek. Lásd a 3. pontot.</w:t>
      </w:r>
    </w:p>
    <w:p w14:paraId="7E4DF42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transzplantációt követő szervkilökődés megakadályozására szolgáló gyógyszerek (például takrolimusz, ciklosporin)</w:t>
      </w:r>
    </w:p>
    <w:p w14:paraId="0F9BE44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glekaprevir és a pibrentaszvir kombinációját tartalmazó készítmény (vírusellenes gyógyszer, a hepatitisz C kezelésére szolgál)</w:t>
      </w:r>
    </w:p>
    <w:p w14:paraId="6A90E0C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Gyulladáscsökkentő és fájdalomcsillapító gyógyszerek (például acetilszalicilsav, ibuprofén, diklofenák)</w:t>
      </w:r>
    </w:p>
    <w:p w14:paraId="530C884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Közönséges orbáncfű, depresszió kezelésére szolgáló gyógynövény-készítmény</w:t>
      </w:r>
    </w:p>
    <w:p w14:paraId="22D54FBC"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Szelektív szerotoninvisszavétel-gátlók vagy szelektív szerotonin-noradrenalin-visszavétel gátlók csoportjába tartozó, depresszió elleni készítmények</w:t>
      </w:r>
    </w:p>
    <w:p w14:paraId="6C60926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Rifampicin vagy klaritromicin (két antibiotikum)</w:t>
      </w:r>
    </w:p>
    <w:p w14:paraId="4FDD283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AIDS kezelésére szolgáló vírus-ellenes szerek (például ritonavir)</w:t>
      </w:r>
    </w:p>
    <w:p w14:paraId="725DE6F4"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Epilepszia kezelésére szolgáló egyes gyógyszerek (például karbamazepin, fenitoin)</w:t>
      </w:r>
    </w:p>
    <w:p w14:paraId="17721854"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0F1C0165"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 xml:space="preserve">Terhesség és szoptatás </w:t>
      </w:r>
    </w:p>
    <w:p w14:paraId="406E3FFB"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 terhességre és a még meg nem született gyermekre kifejtett hatásai nem ismertek. A gyógyszer terhesség alatt nem szedhető, csak akkor, ha orvosa azt biztonságosnak ítéli meg. Amennyiben Ön fogamzóképes, vigyázzon, hogy ne essen teherbe, amíg Telexert szed.</w:t>
      </w:r>
    </w:p>
    <w:p w14:paraId="6099542D"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Telexer-kezelés alatt nem szabad szoptatnia.</w:t>
      </w:r>
    </w:p>
    <w:p w14:paraId="753F33F0"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4B8661E"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A készítmény hatásai a gépjárművezetéshez és a gépek kezeléséhez szükséges képességekre</w:t>
      </w:r>
    </w:p>
    <w:p w14:paraId="01323DFB"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 gépjárművezetéshez és gépek kezeléséhez szükséges képességekre kifejtett hatása nem ismert.</w:t>
      </w:r>
    </w:p>
    <w:p w14:paraId="7F8078AF"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EA2BBBF"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409829A" w14:textId="77777777" w:rsidR="00AF0308" w:rsidRPr="00F93347" w:rsidRDefault="00AF0308" w:rsidP="00AF0308">
      <w:pPr>
        <w:tabs>
          <w:tab w:val="left" w:pos="567"/>
          <w:tab w:val="center" w:pos="2052"/>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3.</w:t>
      </w:r>
      <w:r w:rsidRPr="00F93347">
        <w:rPr>
          <w:rFonts w:ascii="Times New Roman" w:eastAsia="Times New Roman" w:hAnsi="Times New Roman" w:cs="Times New Roman"/>
          <w:b/>
          <w:noProof w:val="0"/>
          <w:color w:val="000000"/>
          <w:kern w:val="0"/>
          <w:lang w:val="hu-HU" w:eastAsia="hu-HU"/>
          <w14:ligatures w14:val="none"/>
        </w:rPr>
        <w:tab/>
        <w:t>Hogyan kell szedni a Telexert?</w:t>
      </w:r>
    </w:p>
    <w:p w14:paraId="3BE41D4C"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944ADCC" w14:textId="3E67834B" w:rsidR="00AF0308" w:rsidRPr="00396DE0" w:rsidRDefault="00AF0308" w:rsidP="00AF0308">
      <w:pPr>
        <w:spacing w:after="0" w:line="240" w:lineRule="auto"/>
        <w:ind w:left="7" w:right="11" w:hanging="10"/>
        <w:rPr>
          <w:rFonts w:ascii="Times New Roman" w:eastAsia="Times New Roman" w:hAnsi="Times New Roman" w:cs="Times New Roman"/>
          <w:lang w:val="hu-HU" w:eastAsia="en-GB"/>
        </w:rPr>
      </w:pPr>
      <w:r w:rsidRPr="00F93347">
        <w:rPr>
          <w:rFonts w:ascii="Times New Roman" w:eastAsia="Times New Roman" w:hAnsi="Times New Roman" w:cs="Times New Roman"/>
          <w:noProof w:val="0"/>
          <w:color w:val="000000"/>
          <w:kern w:val="0"/>
          <w:lang w:val="hu-HU" w:eastAsia="hu-HU"/>
          <w14:ligatures w14:val="none"/>
        </w:rPr>
        <w:t xml:space="preserve">A Telexer kapszula felnőtteknek és 8 éves és idősebb gyermekeknek adható, akik képesek egészben lenyelni a kapszulákat. </w:t>
      </w:r>
      <w:r w:rsidR="00974E0C" w:rsidRPr="007E426C">
        <w:rPr>
          <w:rFonts w:ascii="Times New Roman" w:eastAsia="Times New Roman" w:hAnsi="Times New Roman" w:cs="Times New Roman"/>
          <w:noProof w:val="0"/>
          <w:color w:val="000000"/>
          <w:kern w:val="0"/>
          <w:lang w:val="hu-HU" w:eastAsia="hu-HU"/>
          <w14:ligatures w14:val="none"/>
        </w:rPr>
        <w:t xml:space="preserve">12 év alatti gyermekeknél a dabigatrán-etexilát egyéb gyógyszerformái (például bevont granulátum) alkalmazhatók, amint képesek puha ételt lenyelni. </w:t>
      </w:r>
      <w:r w:rsidR="00FC35C7" w:rsidRPr="00815E89">
        <w:rPr>
          <w:rFonts w:ascii="Times New Roman" w:eastAsia="Times New Roman" w:hAnsi="Times New Roman" w:cs="Times New Roman"/>
          <w:color w:val="000000" w:themeColor="text1"/>
          <w:lang w:bidi="en-US"/>
        </w:rPr>
        <w:t>A T</w:t>
      </w:r>
      <w:r w:rsidR="00FC35C7">
        <w:rPr>
          <w:rFonts w:ascii="Times New Roman" w:eastAsia="Times New Roman" w:hAnsi="Times New Roman" w:cs="Times New Roman"/>
          <w:color w:val="000000" w:themeColor="text1"/>
          <w:lang w:bidi="en-US"/>
        </w:rPr>
        <w:t>elexer</w:t>
      </w:r>
      <w:r w:rsidR="00FC35C7" w:rsidRPr="00815E89">
        <w:rPr>
          <w:rFonts w:ascii="Times New Roman" w:eastAsia="Times New Roman" w:hAnsi="Times New Roman" w:cs="Times New Roman"/>
          <w:color w:val="000000" w:themeColor="text1"/>
          <w:lang w:bidi="en-US"/>
        </w:rPr>
        <w:t xml:space="preserve"> 75 mg-os hatáserősségben nem </w:t>
      </w:r>
      <w:r w:rsidR="00FC35C7">
        <w:rPr>
          <w:rFonts w:ascii="Times New Roman" w:eastAsia="Times New Roman" w:hAnsi="Times New Roman" w:cs="Times New Roman"/>
          <w:color w:val="000000" w:themeColor="text1"/>
          <w:lang w:bidi="en-US"/>
        </w:rPr>
        <w:t>érhető el</w:t>
      </w:r>
      <w:r w:rsidR="00FC35C7" w:rsidRPr="00815E89">
        <w:rPr>
          <w:rFonts w:ascii="Times New Roman" w:eastAsia="Times New Roman" w:hAnsi="Times New Roman" w:cs="Times New Roman"/>
          <w:color w:val="000000" w:themeColor="text1"/>
          <w:lang w:bidi="en-US"/>
        </w:rPr>
        <w:t xml:space="preserve">. </w:t>
      </w:r>
      <w:r w:rsidR="00FC35C7">
        <w:rPr>
          <w:rFonts w:ascii="Times New Roman" w:eastAsia="Times New Roman" w:hAnsi="Times New Roman" w:cs="Times New Roman"/>
          <w:color w:val="000000" w:themeColor="text1"/>
          <w:lang w:val="hu-HU" w:bidi="en-US"/>
        </w:rPr>
        <w:t xml:space="preserve">Ezért </w:t>
      </w:r>
      <w:r w:rsidR="00FC35C7">
        <w:rPr>
          <w:rFonts w:ascii="Times New Roman" w:eastAsia="Times New Roman" w:hAnsi="Times New Roman" w:cs="Times New Roman"/>
          <w:noProof w:val="0"/>
          <w:color w:val="000000"/>
          <w:kern w:val="0"/>
          <w:lang w:val="hu-HU" w:eastAsia="hu-HU"/>
          <w14:ligatures w14:val="none"/>
        </w:rPr>
        <w:t>o</w:t>
      </w:r>
      <w:r w:rsidR="00974E0C" w:rsidRPr="007E426C">
        <w:rPr>
          <w:rFonts w:ascii="Times New Roman" w:eastAsia="Times New Roman" w:hAnsi="Times New Roman" w:cs="Times New Roman"/>
          <w:noProof w:val="0"/>
          <w:color w:val="000000"/>
          <w:kern w:val="0"/>
          <w:lang w:val="hu-HU" w:eastAsia="hu-HU"/>
          <w14:ligatures w14:val="none"/>
        </w:rPr>
        <w:t xml:space="preserve">lyan felnőttek esetében, akiknél alacsonyabb dózis </w:t>
      </w:r>
      <w:r w:rsidR="00FC35C7">
        <w:rPr>
          <w:rFonts w:ascii="Times New Roman" w:eastAsia="Times New Roman" w:hAnsi="Times New Roman" w:cs="Times New Roman"/>
          <w:noProof w:val="0"/>
          <w:color w:val="000000"/>
          <w:kern w:val="0"/>
          <w:lang w:val="hu-HU" w:eastAsia="hu-HU"/>
          <w14:ligatures w14:val="none"/>
        </w:rPr>
        <w:t xml:space="preserve">alkalmazása </w:t>
      </w:r>
      <w:r w:rsidR="00974E0C" w:rsidRPr="007E426C">
        <w:rPr>
          <w:rFonts w:ascii="Times New Roman" w:eastAsia="Times New Roman" w:hAnsi="Times New Roman" w:cs="Times New Roman"/>
          <w:noProof w:val="0"/>
          <w:color w:val="000000"/>
          <w:kern w:val="0"/>
          <w:lang w:val="hu-HU" w:eastAsia="hu-HU"/>
          <w14:ligatures w14:val="none"/>
        </w:rPr>
        <w:t>szükséges, a rendelkezésre álló más</w:t>
      </w:r>
      <w:r w:rsidR="00FC35C7">
        <w:rPr>
          <w:rFonts w:ascii="Times New Roman" w:eastAsia="Times New Roman" w:hAnsi="Times New Roman" w:cs="Times New Roman"/>
          <w:noProof w:val="0"/>
          <w:color w:val="000000"/>
          <w:kern w:val="0"/>
          <w:lang w:val="hu-HU" w:eastAsia="hu-HU"/>
          <w14:ligatures w14:val="none"/>
        </w:rPr>
        <w:t>,</w:t>
      </w:r>
      <w:r w:rsidR="00974E0C" w:rsidRPr="007E426C">
        <w:rPr>
          <w:rFonts w:ascii="Times New Roman" w:eastAsia="Times New Roman" w:hAnsi="Times New Roman" w:cs="Times New Roman"/>
          <w:noProof w:val="0"/>
          <w:color w:val="000000"/>
          <w:kern w:val="0"/>
          <w:lang w:val="hu-HU" w:eastAsia="hu-HU"/>
          <w14:ligatures w14:val="none"/>
        </w:rPr>
        <w:t xml:space="preserve"> </w:t>
      </w:r>
      <w:r w:rsidR="00FC35C7" w:rsidRPr="00815E89">
        <w:rPr>
          <w:rFonts w:ascii="Times New Roman" w:eastAsia="Times New Roman" w:hAnsi="Times New Roman" w:cs="Times New Roman"/>
          <w:color w:val="000000" w:themeColor="text1"/>
          <w:lang w:bidi="en-US"/>
        </w:rPr>
        <w:t xml:space="preserve">75 mg dabigatrán-etexilátot tartalmazó </w:t>
      </w:r>
      <w:r w:rsidR="00FC35C7">
        <w:rPr>
          <w:rFonts w:ascii="Times New Roman" w:eastAsia="Times New Roman" w:hAnsi="Times New Roman" w:cs="Times New Roman"/>
          <w:color w:val="000000" w:themeColor="text1"/>
          <w:lang w:val="hu-HU" w:bidi="en-US"/>
        </w:rPr>
        <w:t>gyógyszereket</w:t>
      </w:r>
      <w:r w:rsidR="00974E0C" w:rsidRPr="007E426C">
        <w:rPr>
          <w:rFonts w:ascii="Times New Roman" w:eastAsia="Times New Roman" w:hAnsi="Times New Roman" w:cs="Times New Roman"/>
          <w:noProof w:val="0"/>
          <w:color w:val="000000"/>
          <w:kern w:val="0"/>
          <w:lang w:val="hu-HU" w:eastAsia="hu-HU"/>
          <w14:ligatures w14:val="none"/>
        </w:rPr>
        <w:t xml:space="preserve"> kell alkalmazni</w:t>
      </w:r>
      <w:r w:rsidR="00224CD3" w:rsidRPr="00396DE0">
        <w:rPr>
          <w:rFonts w:ascii="Times New Roman" w:eastAsia="Times New Roman" w:hAnsi="Times New Roman" w:cs="Times New Roman"/>
          <w:lang w:val="hu-HU" w:eastAsia="en-GB"/>
        </w:rPr>
        <w:t>.</w:t>
      </w:r>
    </w:p>
    <w:p w14:paraId="0DFD7188" w14:textId="77777777" w:rsidR="00224CD3" w:rsidRPr="00F93347" w:rsidRDefault="00224CD3"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ACC4600"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gyógyszert mindig a kezelőorvosa által elmondottaknak megfelelően szedje. Amennyiben nem biztos az adagolást illetően, kérdezze meg kezelőorvosát.</w:t>
      </w:r>
    </w:p>
    <w:p w14:paraId="29A62E24"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744E122"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A következő esetekben a javasolt adagban alkalmazza a Telexert:</w:t>
      </w:r>
    </w:p>
    <w:p w14:paraId="587DCF2F" w14:textId="77777777" w:rsidR="00AF0308" w:rsidRPr="00F93347" w:rsidRDefault="00AF0308" w:rsidP="00AF0308">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p>
    <w:p w14:paraId="6D82253F" w14:textId="77777777" w:rsidR="00AF0308" w:rsidRPr="00F93347" w:rsidRDefault="00AF0308" w:rsidP="00AF0308">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F93347">
        <w:rPr>
          <w:rFonts w:ascii="Times New Roman" w:eastAsia="Times New Roman" w:hAnsi="Times New Roman" w:cs="Times New Roman"/>
          <w:noProof w:val="0"/>
          <w:color w:val="000000"/>
          <w:kern w:val="0"/>
          <w:u w:val="single" w:color="000000"/>
          <w:lang w:val="hu-HU" w:eastAsia="hu-HU"/>
          <w14:ligatures w14:val="none"/>
        </w:rPr>
        <w:t>A szívritmuszavart követően kifejlődő, agyi és testben lévő ereket elzáró vérrögképződés megelőzése</w:t>
      </w:r>
      <w:r w:rsidRPr="00F93347">
        <w:rPr>
          <w:rFonts w:ascii="Times New Roman" w:eastAsia="Times New Roman" w:hAnsi="Times New Roman" w:cs="Times New Roman"/>
          <w:noProof w:val="0"/>
          <w:color w:val="000000"/>
          <w:kern w:val="0"/>
          <w:u w:color="000000"/>
          <w:lang w:val="hu-HU" w:eastAsia="hu-HU"/>
          <w14:ligatures w14:val="none"/>
        </w:rPr>
        <w:t xml:space="preserve"> </w:t>
      </w:r>
      <w:r w:rsidRPr="00F93347">
        <w:rPr>
          <w:rFonts w:ascii="Times New Roman" w:eastAsia="Times New Roman" w:hAnsi="Times New Roman" w:cs="Times New Roman"/>
          <w:noProof w:val="0"/>
          <w:color w:val="000000"/>
          <w:kern w:val="0"/>
          <w:u w:val="single" w:color="000000"/>
          <w:lang w:val="hu-HU" w:eastAsia="hu-HU"/>
          <w14:ligatures w14:val="none"/>
        </w:rPr>
        <w:t>és a lábak, valamint a tüdő vénáiban kialakult vérrögök kezelése, és az ilyen vérrögök ismételt</w:t>
      </w:r>
      <w:r w:rsidRPr="00F93347">
        <w:rPr>
          <w:rFonts w:ascii="Times New Roman" w:eastAsia="Times New Roman" w:hAnsi="Times New Roman" w:cs="Times New Roman"/>
          <w:noProof w:val="0"/>
          <w:color w:val="000000"/>
          <w:kern w:val="0"/>
          <w:u w:color="000000"/>
          <w:lang w:val="hu-HU" w:eastAsia="hu-HU"/>
          <w14:ligatures w14:val="none"/>
        </w:rPr>
        <w:t xml:space="preserve"> </w:t>
      </w:r>
      <w:r w:rsidRPr="00F93347">
        <w:rPr>
          <w:rFonts w:ascii="Times New Roman" w:eastAsia="Times New Roman" w:hAnsi="Times New Roman" w:cs="Times New Roman"/>
          <w:noProof w:val="0"/>
          <w:color w:val="000000"/>
          <w:kern w:val="0"/>
          <w:u w:val="single" w:color="000000"/>
          <w:lang w:val="hu-HU" w:eastAsia="hu-HU"/>
          <w14:ligatures w14:val="none"/>
        </w:rPr>
        <w:t>kialakulásának megelőzése</w:t>
      </w:r>
    </w:p>
    <w:p w14:paraId="34DBE6A9"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732CB623"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lastRenderedPageBreak/>
        <w:t xml:space="preserve">Az ajánlott adag 300 mg naponta, </w:t>
      </w:r>
      <w:r w:rsidRPr="00F93347">
        <w:rPr>
          <w:rFonts w:ascii="Times New Roman" w:eastAsia="Times New Roman" w:hAnsi="Times New Roman" w:cs="Times New Roman"/>
          <w:b/>
          <w:noProof w:val="0"/>
          <w:color w:val="000000"/>
          <w:kern w:val="0"/>
          <w:lang w:val="hu-HU" w:eastAsia="hu-HU"/>
          <w14:ligatures w14:val="none"/>
        </w:rPr>
        <w:t>napi kétszer egy 150 mg-os kapszula formájában</w:t>
      </w:r>
      <w:r w:rsidRPr="00F93347">
        <w:rPr>
          <w:rFonts w:ascii="Times New Roman" w:eastAsia="Times New Roman" w:hAnsi="Times New Roman" w:cs="Times New Roman"/>
          <w:noProof w:val="0"/>
          <w:color w:val="000000"/>
          <w:kern w:val="0"/>
          <w:lang w:val="hu-HU" w:eastAsia="hu-HU"/>
          <w14:ligatures w14:val="none"/>
        </w:rPr>
        <w:t>.</w:t>
      </w:r>
    </w:p>
    <w:p w14:paraId="15544744"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5D3EBA91"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Ha </w:t>
      </w:r>
      <w:r w:rsidRPr="00F93347">
        <w:rPr>
          <w:rFonts w:ascii="Times New Roman" w:eastAsia="Times New Roman" w:hAnsi="Times New Roman" w:cs="Times New Roman"/>
          <w:b/>
          <w:noProof w:val="0"/>
          <w:color w:val="000000"/>
          <w:kern w:val="0"/>
          <w:lang w:val="hu-HU" w:eastAsia="hu-HU"/>
          <w14:ligatures w14:val="none"/>
        </w:rPr>
        <w:t>Ön 80 éves vagy idősebb</w:t>
      </w:r>
      <w:r w:rsidRPr="00F93347">
        <w:rPr>
          <w:rFonts w:ascii="Times New Roman" w:eastAsia="Times New Roman" w:hAnsi="Times New Roman" w:cs="Times New Roman"/>
          <w:noProof w:val="0"/>
          <w:color w:val="000000"/>
          <w:kern w:val="0"/>
          <w:lang w:val="hu-HU" w:eastAsia="hu-HU"/>
          <w14:ligatures w14:val="none"/>
        </w:rPr>
        <w:t xml:space="preserve">, a javasolt adag napi 220 mg, </w:t>
      </w:r>
      <w:r w:rsidRPr="00F93347">
        <w:rPr>
          <w:rFonts w:ascii="Times New Roman" w:eastAsia="Times New Roman" w:hAnsi="Times New Roman" w:cs="Times New Roman"/>
          <w:b/>
          <w:noProof w:val="0"/>
          <w:color w:val="000000"/>
          <w:kern w:val="0"/>
          <w:lang w:val="hu-HU" w:eastAsia="hu-HU"/>
          <w14:ligatures w14:val="none"/>
        </w:rPr>
        <w:t>napi kétszer egy 110 mg-os kapszula formájában</w:t>
      </w:r>
      <w:r w:rsidRPr="00F93347">
        <w:rPr>
          <w:rFonts w:ascii="Times New Roman" w:eastAsia="Times New Roman" w:hAnsi="Times New Roman" w:cs="Times New Roman"/>
          <w:noProof w:val="0"/>
          <w:color w:val="000000"/>
          <w:kern w:val="0"/>
          <w:lang w:val="hu-HU" w:eastAsia="hu-HU"/>
          <w14:ligatures w14:val="none"/>
        </w:rPr>
        <w:t>.</w:t>
      </w:r>
    </w:p>
    <w:p w14:paraId="4A8835BA"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681ED5F"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Ha Ön </w:t>
      </w:r>
      <w:r w:rsidRPr="00F93347">
        <w:rPr>
          <w:rFonts w:ascii="Times New Roman" w:eastAsia="Times New Roman" w:hAnsi="Times New Roman" w:cs="Times New Roman"/>
          <w:b/>
          <w:noProof w:val="0"/>
          <w:color w:val="000000"/>
          <w:kern w:val="0"/>
          <w:lang w:val="hu-HU" w:eastAsia="hu-HU"/>
          <w14:ligatures w14:val="none"/>
        </w:rPr>
        <w:t>verapamil-tartalmú gyógyszert szed</w:t>
      </w:r>
      <w:r w:rsidRPr="00F93347">
        <w:rPr>
          <w:rFonts w:ascii="Times New Roman" w:eastAsia="Times New Roman" w:hAnsi="Times New Roman" w:cs="Times New Roman"/>
          <w:noProof w:val="0"/>
          <w:color w:val="000000"/>
          <w:kern w:val="0"/>
          <w:lang w:val="hu-HU" w:eastAsia="hu-HU"/>
          <w14:ligatures w14:val="none"/>
        </w:rPr>
        <w:t xml:space="preserve">, csökkentett, 220 mg-os adagban – </w:t>
      </w:r>
      <w:r w:rsidRPr="00F93347">
        <w:rPr>
          <w:rFonts w:ascii="Times New Roman" w:eastAsia="Times New Roman" w:hAnsi="Times New Roman" w:cs="Times New Roman"/>
          <w:b/>
          <w:noProof w:val="0"/>
          <w:color w:val="000000"/>
          <w:kern w:val="0"/>
          <w:lang w:val="hu-HU" w:eastAsia="hu-HU"/>
          <w14:ligatures w14:val="none"/>
        </w:rPr>
        <w:t xml:space="preserve">110 mg-os kapszula napi kétszeri bevételével </w:t>
      </w:r>
      <w:r w:rsidRPr="00F93347">
        <w:rPr>
          <w:rFonts w:ascii="Times New Roman" w:eastAsia="Times New Roman" w:hAnsi="Times New Roman" w:cs="Times New Roman"/>
          <w:noProof w:val="0"/>
          <w:color w:val="000000"/>
          <w:kern w:val="0"/>
          <w:lang w:val="hu-HU" w:eastAsia="hu-HU"/>
          <w14:ligatures w14:val="none"/>
        </w:rPr>
        <w:t>– kell kapnia a Telexert, mert megnőhet a vérzés kockázata.</w:t>
      </w:r>
    </w:p>
    <w:p w14:paraId="217C3652"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353CB557"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Ha Önnél </w:t>
      </w:r>
      <w:r w:rsidRPr="00F93347">
        <w:rPr>
          <w:rFonts w:ascii="Times New Roman" w:eastAsia="Times New Roman" w:hAnsi="Times New Roman" w:cs="Times New Roman"/>
          <w:b/>
          <w:noProof w:val="0"/>
          <w:color w:val="000000"/>
          <w:kern w:val="0"/>
          <w:lang w:val="hu-HU" w:eastAsia="hu-HU"/>
          <w14:ligatures w14:val="none"/>
        </w:rPr>
        <w:t>nagyobb a vérzés veszélye</w:t>
      </w:r>
      <w:r w:rsidRPr="00F93347">
        <w:rPr>
          <w:rFonts w:ascii="Times New Roman" w:eastAsia="Times New Roman" w:hAnsi="Times New Roman" w:cs="Times New Roman"/>
          <w:noProof w:val="0"/>
          <w:color w:val="000000"/>
          <w:kern w:val="0"/>
          <w:lang w:val="hu-HU" w:eastAsia="hu-HU"/>
          <w14:ligatures w14:val="none"/>
        </w:rPr>
        <w:t xml:space="preserve">, kezelőorvosa napi 220 mg-os dózist rendelhet, ami </w:t>
      </w:r>
      <w:r w:rsidRPr="00F93347">
        <w:rPr>
          <w:rFonts w:ascii="Times New Roman" w:eastAsia="Times New Roman" w:hAnsi="Times New Roman" w:cs="Times New Roman"/>
          <w:b/>
          <w:noProof w:val="0"/>
          <w:color w:val="000000"/>
          <w:kern w:val="0"/>
          <w:lang w:val="hu-HU" w:eastAsia="hu-HU"/>
          <w14:ligatures w14:val="none"/>
        </w:rPr>
        <w:t xml:space="preserve">napi kétszer egy 110 mg-os kapszulának </w:t>
      </w:r>
      <w:r w:rsidRPr="00F93347">
        <w:rPr>
          <w:rFonts w:ascii="Times New Roman" w:eastAsia="Times New Roman" w:hAnsi="Times New Roman" w:cs="Times New Roman"/>
          <w:noProof w:val="0"/>
          <w:color w:val="000000"/>
          <w:kern w:val="0"/>
          <w:lang w:val="hu-HU" w:eastAsia="hu-HU"/>
          <w14:ligatures w14:val="none"/>
        </w:rPr>
        <w:t>felel meg.</w:t>
      </w:r>
    </w:p>
    <w:p w14:paraId="7505A45E"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747F9B36"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Folytathatja a gyógyszer szedését, ha a normális szívritmusát be kell állítani egy kardioverziónak nevezett eljárással, vagy egy olyan eljárással, amit pitvarfibrillációs katéterablációnak hívnak. A Telexert a kezelőorvosa által elmondottaknak megfelelően szedje.</w:t>
      </w:r>
    </w:p>
    <w:p w14:paraId="5E726A90"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666F1191"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perkután koronáriaintervenció stent alkalmazásával elnevezésű eljárás keretében egy orvosi eszközt (stentet) helyeztek egy vérerébe, hogy ezt nyitva tartsa, Önt kezelhetik Telexerrel, amennyiben kezelőorvosa szerint elérték a véralvadásának normál kezelését. A Telexert a kezelőorvosa által elmondottaknak megfelelően szedje.</w:t>
      </w:r>
    </w:p>
    <w:p w14:paraId="4E01E029"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390161BB" w14:textId="77777777" w:rsidR="00AF0308" w:rsidRPr="00F93347" w:rsidRDefault="00AF0308" w:rsidP="00AF0308">
      <w:pPr>
        <w:keepNext/>
        <w:keepLines/>
        <w:spacing w:after="0" w:line="240" w:lineRule="auto"/>
        <w:ind w:hanging="10"/>
        <w:outlineLvl w:val="0"/>
        <w:rPr>
          <w:rFonts w:ascii="Times New Roman" w:eastAsia="Times New Roman" w:hAnsi="Times New Roman" w:cs="Times New Roman"/>
          <w:noProof w:val="0"/>
          <w:color w:val="000000"/>
          <w:kern w:val="0"/>
          <w:u w:val="single" w:color="000000"/>
          <w:lang w:val="hu-HU" w:eastAsia="hu-HU"/>
          <w14:ligatures w14:val="none"/>
        </w:rPr>
      </w:pPr>
      <w:r w:rsidRPr="00F93347">
        <w:rPr>
          <w:rFonts w:ascii="Times New Roman" w:eastAsia="Times New Roman" w:hAnsi="Times New Roman" w:cs="Times New Roman"/>
          <w:noProof w:val="0"/>
          <w:color w:val="000000"/>
          <w:kern w:val="0"/>
          <w:u w:val="single" w:color="000000"/>
          <w:lang w:val="hu-HU" w:eastAsia="hu-HU"/>
          <w14:ligatures w14:val="none"/>
        </w:rPr>
        <w:t>Vérrögök kezelése és a vérrögök újbóli kialakulásának megelőzése gyermekeknél és serdülőknél</w:t>
      </w:r>
    </w:p>
    <w:p w14:paraId="050F1ECD" w14:textId="77777777" w:rsidR="00AF0308" w:rsidRPr="00F93347" w:rsidRDefault="00AF0308" w:rsidP="00AF0308">
      <w:pPr>
        <w:spacing w:after="0" w:line="240" w:lineRule="auto"/>
        <w:ind w:hanging="10"/>
        <w:rPr>
          <w:rFonts w:ascii="Times New Roman" w:eastAsia="Times New Roman" w:hAnsi="Times New Roman" w:cs="Times New Roman"/>
          <w:noProof w:val="0"/>
          <w:color w:val="000000"/>
          <w:kern w:val="0"/>
          <w:lang w:val="hu-HU" w:eastAsia="hu-HU"/>
          <w14:ligatures w14:val="none"/>
        </w:rPr>
      </w:pPr>
    </w:p>
    <w:p w14:paraId="301D461C" w14:textId="77777777" w:rsidR="00AF0308" w:rsidRPr="00F93347" w:rsidRDefault="00AF0308" w:rsidP="00AF0308">
      <w:pPr>
        <w:spacing w:after="0" w:line="240" w:lineRule="auto"/>
        <w:ind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bCs/>
          <w:noProof w:val="0"/>
          <w:color w:val="000000"/>
          <w:kern w:val="0"/>
          <w:lang w:val="hu-HU" w:eastAsia="hu-HU"/>
          <w14:ligatures w14:val="none"/>
        </w:rPr>
        <w:t>A Telexert naponta kétszer kell bevenni</w:t>
      </w:r>
      <w:r w:rsidRPr="00F93347">
        <w:rPr>
          <w:rFonts w:ascii="Times New Roman" w:eastAsia="Times New Roman" w:hAnsi="Times New Roman" w:cs="Times New Roman"/>
          <w:noProof w:val="0"/>
          <w:color w:val="000000"/>
          <w:kern w:val="0"/>
          <w:lang w:val="hu-HU" w:eastAsia="hu-HU"/>
          <w14:ligatures w14:val="none"/>
        </w:rPr>
        <w:t>, egy adagot reggel és egy adagot este, minden nap körülbelül azonos időben. A bevételek között eltelt időnek a lehető legközelebb kell lennie 12 órához.</w:t>
      </w:r>
    </w:p>
    <w:p w14:paraId="6E177D61" w14:textId="77777777" w:rsidR="00AF0308" w:rsidRPr="00F93347" w:rsidRDefault="00AF0308" w:rsidP="00AF0308">
      <w:pPr>
        <w:spacing w:after="0" w:line="240" w:lineRule="auto"/>
        <w:ind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javasolt adag a testtömegtől és az életkortól függ. Kezelőorvosa fogja meghatározni a megfelelő adagot. A kezelés előrehaladtával a kezelőorvos módosíthatja az adagot. Szedje tovább az egyéb gyógyszereit, kivéve, ha kezelőorvosa azt mondja, hogy hagyja abba valamelyiket.</w:t>
      </w:r>
    </w:p>
    <w:p w14:paraId="1631F0F2" w14:textId="77777777" w:rsidR="00AF0308" w:rsidRPr="00F93347" w:rsidRDefault="00AF0308" w:rsidP="00AF0308">
      <w:pPr>
        <w:spacing w:after="0" w:line="240" w:lineRule="auto"/>
        <w:ind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Az 1. táblázat mutatja az egyszeri és teljes napi Telexer adagot milligramm (mg) értékben megadva. Az adag a beteg kilogrammban megadott testtömegétől (kg) és évben megadott életkorától függ. </w:t>
      </w:r>
    </w:p>
    <w:p w14:paraId="14F52D63" w14:textId="77777777" w:rsidR="00AF0308" w:rsidRPr="00F93347" w:rsidRDefault="00AF0308" w:rsidP="00AF0308">
      <w:pPr>
        <w:spacing w:after="0" w:line="240" w:lineRule="auto"/>
        <w:ind w:hanging="10"/>
        <w:rPr>
          <w:rFonts w:ascii="Times New Roman" w:eastAsia="Times New Roman" w:hAnsi="Times New Roman" w:cs="Times New Roman"/>
          <w:noProof w:val="0"/>
          <w:color w:val="000000"/>
          <w:kern w:val="0"/>
          <w:lang w:val="hu-HU" w:eastAsia="hu-HU"/>
          <w14:ligatures w14:val="none"/>
        </w:rPr>
      </w:pPr>
    </w:p>
    <w:p w14:paraId="1CDAEEA8" w14:textId="77777777" w:rsidR="00AF0308" w:rsidRPr="00F93347" w:rsidRDefault="00AF0308" w:rsidP="00AF0308">
      <w:pPr>
        <w:spacing w:after="0" w:line="240" w:lineRule="auto"/>
        <w:ind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1. táblázat. A Telexer kapszulák adagolási táblázata</w:t>
      </w:r>
    </w:p>
    <w:p w14:paraId="160265A5"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tbl>
      <w:tblPr>
        <w:tblStyle w:val="Rcsostblzat"/>
        <w:tblW w:w="5000" w:type="pct"/>
        <w:tblLook w:val="04A0" w:firstRow="1" w:lastRow="0" w:firstColumn="1" w:lastColumn="0" w:noHBand="0" w:noVBand="1"/>
      </w:tblPr>
      <w:tblGrid>
        <w:gridCol w:w="2460"/>
        <w:gridCol w:w="3961"/>
        <w:gridCol w:w="1319"/>
        <w:gridCol w:w="1319"/>
      </w:tblGrid>
      <w:tr w:rsidR="00AF0308" w:rsidRPr="00F93347" w14:paraId="05380D51" w14:textId="77777777" w:rsidTr="00EC7F33">
        <w:trPr>
          <w:trHeight w:val="50"/>
        </w:trPr>
        <w:tc>
          <w:tcPr>
            <w:tcW w:w="3544" w:type="pct"/>
            <w:gridSpan w:val="2"/>
          </w:tcPr>
          <w:p w14:paraId="750230C6" w14:textId="77777777" w:rsidR="00AF0308" w:rsidRPr="00F93347" w:rsidRDefault="00AF0308" w:rsidP="00AF0308">
            <w:pPr>
              <w:ind w:left="7" w:hanging="10"/>
              <w:rPr>
                <w:rFonts w:ascii="Times New Roman" w:eastAsia="Times New Roman" w:hAnsi="Times New Roman" w:cs="Times New Roman"/>
                <w:b/>
                <w:noProof w:val="0"/>
                <w:color w:val="000000"/>
                <w:lang w:val="hu-HU"/>
              </w:rPr>
            </w:pPr>
            <w:r w:rsidRPr="00F93347">
              <w:rPr>
                <w:rFonts w:ascii="Times New Roman" w:eastAsia="Times New Roman" w:hAnsi="Times New Roman" w:cs="Times New Roman"/>
                <w:b/>
                <w:noProof w:val="0"/>
                <w:color w:val="000000"/>
                <w:lang w:val="hu-HU"/>
              </w:rPr>
              <w:t>Testtömeg/életkor kombinációk</w:t>
            </w:r>
          </w:p>
        </w:tc>
        <w:tc>
          <w:tcPr>
            <w:tcW w:w="728" w:type="pct"/>
            <w:vMerge w:val="restart"/>
          </w:tcPr>
          <w:p w14:paraId="701600DB" w14:textId="77777777" w:rsidR="00AF0308" w:rsidRPr="00F93347" w:rsidRDefault="00AF0308" w:rsidP="00AF0308">
            <w:pPr>
              <w:ind w:left="7" w:hanging="10"/>
              <w:rPr>
                <w:rFonts w:ascii="Times New Roman" w:eastAsia="Times New Roman" w:hAnsi="Times New Roman" w:cs="Times New Roman"/>
                <w:b/>
                <w:noProof w:val="0"/>
                <w:color w:val="000000"/>
                <w:lang w:val="hu-HU"/>
              </w:rPr>
            </w:pPr>
            <w:r w:rsidRPr="00F93347">
              <w:rPr>
                <w:rFonts w:ascii="Times New Roman" w:eastAsia="Times New Roman" w:hAnsi="Times New Roman" w:cs="Times New Roman"/>
                <w:b/>
                <w:noProof w:val="0"/>
                <w:color w:val="000000"/>
                <w:lang w:val="hu-HU"/>
              </w:rPr>
              <w:t>Egyszeri adag (mg)</w:t>
            </w:r>
          </w:p>
        </w:tc>
        <w:tc>
          <w:tcPr>
            <w:tcW w:w="728" w:type="pct"/>
            <w:vMerge w:val="restart"/>
          </w:tcPr>
          <w:p w14:paraId="172BC52D" w14:textId="77777777" w:rsidR="00AF0308" w:rsidRPr="00F93347" w:rsidRDefault="00AF0308" w:rsidP="00AF0308">
            <w:pPr>
              <w:ind w:left="7" w:hanging="10"/>
              <w:rPr>
                <w:rFonts w:ascii="Times New Roman" w:eastAsia="Times New Roman" w:hAnsi="Times New Roman" w:cs="Times New Roman"/>
                <w:b/>
                <w:noProof w:val="0"/>
                <w:color w:val="000000"/>
                <w:lang w:val="hu-HU"/>
              </w:rPr>
            </w:pPr>
            <w:r w:rsidRPr="00F93347">
              <w:rPr>
                <w:rFonts w:ascii="Times New Roman" w:eastAsia="Times New Roman" w:hAnsi="Times New Roman" w:cs="Times New Roman"/>
                <w:b/>
                <w:noProof w:val="0"/>
                <w:color w:val="000000"/>
                <w:lang w:val="hu-HU"/>
              </w:rPr>
              <w:t>Teljes napi adag (mg)</w:t>
            </w:r>
          </w:p>
        </w:tc>
      </w:tr>
      <w:tr w:rsidR="00AF0308" w:rsidRPr="00F93347" w14:paraId="6AA01D3E" w14:textId="77777777" w:rsidTr="00EC7F33">
        <w:trPr>
          <w:trHeight w:val="264"/>
        </w:trPr>
        <w:tc>
          <w:tcPr>
            <w:tcW w:w="1358" w:type="pct"/>
          </w:tcPr>
          <w:p w14:paraId="52639838" w14:textId="77777777" w:rsidR="00AF0308" w:rsidRPr="00F93347" w:rsidRDefault="00AF0308" w:rsidP="00AF0308">
            <w:pPr>
              <w:ind w:left="7" w:hanging="10"/>
              <w:rPr>
                <w:rFonts w:ascii="Times New Roman" w:eastAsia="Times New Roman" w:hAnsi="Times New Roman" w:cs="Times New Roman"/>
                <w:b/>
                <w:noProof w:val="0"/>
                <w:color w:val="000000"/>
                <w:lang w:val="hu-HU"/>
              </w:rPr>
            </w:pPr>
            <w:r w:rsidRPr="00F93347">
              <w:rPr>
                <w:rFonts w:ascii="Times New Roman" w:eastAsia="Times New Roman" w:hAnsi="Times New Roman" w:cs="Times New Roman"/>
                <w:b/>
                <w:noProof w:val="0"/>
                <w:color w:val="000000"/>
                <w:lang w:val="hu-HU"/>
              </w:rPr>
              <w:t>Testtömeg (kg)</w:t>
            </w:r>
          </w:p>
        </w:tc>
        <w:tc>
          <w:tcPr>
            <w:tcW w:w="2186" w:type="pct"/>
          </w:tcPr>
          <w:p w14:paraId="51D3743C" w14:textId="77777777" w:rsidR="00AF0308" w:rsidRPr="00F93347" w:rsidRDefault="00AF0308" w:rsidP="00AF0308">
            <w:pPr>
              <w:ind w:left="7" w:hanging="10"/>
              <w:rPr>
                <w:rFonts w:ascii="Times New Roman" w:eastAsia="Times New Roman" w:hAnsi="Times New Roman" w:cs="Times New Roman"/>
                <w:b/>
                <w:noProof w:val="0"/>
                <w:color w:val="000000"/>
                <w:lang w:val="hu-HU"/>
              </w:rPr>
            </w:pPr>
            <w:r w:rsidRPr="00F93347">
              <w:rPr>
                <w:rFonts w:ascii="Times New Roman" w:eastAsia="Times New Roman" w:hAnsi="Times New Roman" w:cs="Times New Roman"/>
                <w:b/>
                <w:noProof w:val="0"/>
                <w:color w:val="000000"/>
                <w:lang w:val="hu-HU"/>
              </w:rPr>
              <w:t>Életkor (év)</w:t>
            </w:r>
          </w:p>
        </w:tc>
        <w:tc>
          <w:tcPr>
            <w:tcW w:w="728" w:type="pct"/>
            <w:vMerge/>
          </w:tcPr>
          <w:p w14:paraId="381EFE1C" w14:textId="77777777" w:rsidR="00AF0308" w:rsidRPr="00F93347" w:rsidRDefault="00AF0308" w:rsidP="00AF0308">
            <w:pPr>
              <w:ind w:left="7" w:hanging="10"/>
              <w:rPr>
                <w:rFonts w:ascii="Times New Roman" w:eastAsia="Times New Roman" w:hAnsi="Times New Roman" w:cs="Times New Roman"/>
                <w:b/>
                <w:noProof w:val="0"/>
                <w:color w:val="000000"/>
                <w:lang w:val="hu-HU"/>
              </w:rPr>
            </w:pPr>
          </w:p>
        </w:tc>
        <w:tc>
          <w:tcPr>
            <w:tcW w:w="728" w:type="pct"/>
            <w:vMerge/>
          </w:tcPr>
          <w:p w14:paraId="1807499F" w14:textId="77777777" w:rsidR="00AF0308" w:rsidRPr="00F93347" w:rsidRDefault="00AF0308" w:rsidP="00AF0308">
            <w:pPr>
              <w:ind w:left="7" w:hanging="10"/>
              <w:rPr>
                <w:rFonts w:ascii="Times New Roman" w:eastAsia="Times New Roman" w:hAnsi="Times New Roman" w:cs="Times New Roman"/>
                <w:b/>
                <w:noProof w:val="0"/>
                <w:color w:val="000000"/>
                <w:lang w:val="hu-HU"/>
              </w:rPr>
            </w:pPr>
          </w:p>
        </w:tc>
      </w:tr>
      <w:tr w:rsidR="00AF0308" w:rsidRPr="00F93347" w14:paraId="1DA7693E" w14:textId="77777777" w:rsidTr="00EC7F33">
        <w:trPr>
          <w:trHeight w:val="516"/>
        </w:trPr>
        <w:tc>
          <w:tcPr>
            <w:tcW w:w="1358" w:type="pct"/>
          </w:tcPr>
          <w:p w14:paraId="1B8ED47A" w14:textId="2F230910"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13</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517A16F3"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9. életév betöltéséig</w:t>
            </w:r>
          </w:p>
        </w:tc>
        <w:tc>
          <w:tcPr>
            <w:tcW w:w="728" w:type="pct"/>
          </w:tcPr>
          <w:p w14:paraId="53CF3ED2"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75</w:t>
            </w:r>
            <w:r w:rsidRPr="00F93347">
              <w:rPr>
                <w:rFonts w:ascii="Times New Roman" w:eastAsia="Times New Roman" w:hAnsi="Times New Roman" w:cs="Times New Roman"/>
                <w:bCs/>
                <w:i/>
                <w:iCs/>
                <w:noProof w:val="0"/>
                <w:color w:val="000000"/>
                <w:lang w:val="hu-HU" w:bidi="en-US"/>
              </w:rPr>
              <w:t>*</w:t>
            </w:r>
          </w:p>
        </w:tc>
        <w:tc>
          <w:tcPr>
            <w:tcW w:w="728" w:type="pct"/>
          </w:tcPr>
          <w:p w14:paraId="50A9D043"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150</w:t>
            </w:r>
          </w:p>
        </w:tc>
      </w:tr>
      <w:tr w:rsidR="00AF0308" w:rsidRPr="00F93347" w14:paraId="25ABE2FE" w14:textId="77777777" w:rsidTr="00EC7F33">
        <w:trPr>
          <w:trHeight w:val="516"/>
        </w:trPr>
        <w:tc>
          <w:tcPr>
            <w:tcW w:w="1358" w:type="pct"/>
          </w:tcPr>
          <w:p w14:paraId="3A7D2D44" w14:textId="457982A8"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13</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16</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6F3E56F4"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11. életév betöltéséig</w:t>
            </w:r>
          </w:p>
        </w:tc>
        <w:tc>
          <w:tcPr>
            <w:tcW w:w="728" w:type="pct"/>
          </w:tcPr>
          <w:p w14:paraId="459AB2E5"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110</w:t>
            </w:r>
          </w:p>
        </w:tc>
        <w:tc>
          <w:tcPr>
            <w:tcW w:w="728" w:type="pct"/>
          </w:tcPr>
          <w:p w14:paraId="5ACDD687"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220</w:t>
            </w:r>
          </w:p>
        </w:tc>
      </w:tr>
      <w:tr w:rsidR="00AF0308" w:rsidRPr="00F93347" w14:paraId="71CA5943" w14:textId="77777777" w:rsidTr="00EC7F33">
        <w:trPr>
          <w:trHeight w:val="516"/>
        </w:trPr>
        <w:tc>
          <w:tcPr>
            <w:tcW w:w="1358" w:type="pct"/>
          </w:tcPr>
          <w:p w14:paraId="4E2FFDF8" w14:textId="5CE47571"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16</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21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222EE8D0"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14. életév betöltéséig</w:t>
            </w:r>
          </w:p>
        </w:tc>
        <w:tc>
          <w:tcPr>
            <w:tcW w:w="728" w:type="pct"/>
          </w:tcPr>
          <w:p w14:paraId="7CA6459B"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110</w:t>
            </w:r>
          </w:p>
        </w:tc>
        <w:tc>
          <w:tcPr>
            <w:tcW w:w="728" w:type="pct"/>
          </w:tcPr>
          <w:p w14:paraId="11C9478B"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220</w:t>
            </w:r>
          </w:p>
        </w:tc>
      </w:tr>
      <w:tr w:rsidR="00AF0308" w:rsidRPr="00F93347" w14:paraId="1F44AB6D" w14:textId="77777777" w:rsidTr="00EC7F33">
        <w:trPr>
          <w:trHeight w:val="516"/>
        </w:trPr>
        <w:tc>
          <w:tcPr>
            <w:tcW w:w="1358" w:type="pct"/>
          </w:tcPr>
          <w:p w14:paraId="7ACF6143" w14:textId="4549434F"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21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26</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00D34659"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16. életév betöltéséig</w:t>
            </w:r>
          </w:p>
        </w:tc>
        <w:tc>
          <w:tcPr>
            <w:tcW w:w="728" w:type="pct"/>
          </w:tcPr>
          <w:p w14:paraId="443E7350"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150</w:t>
            </w:r>
          </w:p>
        </w:tc>
        <w:tc>
          <w:tcPr>
            <w:tcW w:w="728" w:type="pct"/>
          </w:tcPr>
          <w:p w14:paraId="2ADA99A2"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300</w:t>
            </w:r>
          </w:p>
        </w:tc>
      </w:tr>
      <w:tr w:rsidR="00AF0308" w:rsidRPr="00F93347" w14:paraId="75FA57AF" w14:textId="77777777" w:rsidTr="00EC7F33">
        <w:trPr>
          <w:trHeight w:val="516"/>
        </w:trPr>
        <w:tc>
          <w:tcPr>
            <w:tcW w:w="1358" w:type="pct"/>
          </w:tcPr>
          <w:p w14:paraId="28714AB1" w14:textId="1A0A6A38"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26</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31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1D4B36D4"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18. életév betöltéséig</w:t>
            </w:r>
          </w:p>
        </w:tc>
        <w:tc>
          <w:tcPr>
            <w:tcW w:w="728" w:type="pct"/>
          </w:tcPr>
          <w:p w14:paraId="69832447"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150</w:t>
            </w:r>
          </w:p>
        </w:tc>
        <w:tc>
          <w:tcPr>
            <w:tcW w:w="728" w:type="pct"/>
          </w:tcPr>
          <w:p w14:paraId="671399A6"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300</w:t>
            </w:r>
          </w:p>
        </w:tc>
      </w:tr>
      <w:tr w:rsidR="00AF0308" w:rsidRPr="00F93347" w14:paraId="55E63197" w14:textId="77777777" w:rsidTr="00EC7F33">
        <w:trPr>
          <w:trHeight w:val="516"/>
        </w:trPr>
        <w:tc>
          <w:tcPr>
            <w:tcW w:w="1358" w:type="pct"/>
          </w:tcPr>
          <w:p w14:paraId="2002C15F" w14:textId="4B362464"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31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41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24C12976"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18. életév betöltéséig</w:t>
            </w:r>
          </w:p>
        </w:tc>
        <w:tc>
          <w:tcPr>
            <w:tcW w:w="728" w:type="pct"/>
          </w:tcPr>
          <w:p w14:paraId="21606671"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185</w:t>
            </w:r>
            <w:r w:rsidRPr="00F93347">
              <w:rPr>
                <w:rFonts w:ascii="Times New Roman" w:eastAsia="Times New Roman" w:hAnsi="Times New Roman" w:cs="Times New Roman"/>
                <w:bCs/>
                <w:i/>
                <w:iCs/>
                <w:noProof w:val="0"/>
                <w:color w:val="000000"/>
                <w:lang w:val="hu-HU"/>
              </w:rPr>
              <w:t>*</w:t>
            </w:r>
          </w:p>
        </w:tc>
        <w:tc>
          <w:tcPr>
            <w:tcW w:w="728" w:type="pct"/>
          </w:tcPr>
          <w:p w14:paraId="0A46B6F9"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370</w:t>
            </w:r>
          </w:p>
        </w:tc>
      </w:tr>
      <w:tr w:rsidR="00AF0308" w:rsidRPr="00F93347" w14:paraId="1BD0567F" w14:textId="77777777" w:rsidTr="00EC7F33">
        <w:trPr>
          <w:trHeight w:val="516"/>
        </w:trPr>
        <w:tc>
          <w:tcPr>
            <w:tcW w:w="1358" w:type="pct"/>
          </w:tcPr>
          <w:p w14:paraId="7B096477" w14:textId="7AEA242F"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41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51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326017AD"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18. életév betöltéséig</w:t>
            </w:r>
          </w:p>
        </w:tc>
        <w:tc>
          <w:tcPr>
            <w:tcW w:w="728" w:type="pct"/>
          </w:tcPr>
          <w:p w14:paraId="2B7917CC"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220</w:t>
            </w:r>
          </w:p>
        </w:tc>
        <w:tc>
          <w:tcPr>
            <w:tcW w:w="728" w:type="pct"/>
          </w:tcPr>
          <w:p w14:paraId="5F92BFAE"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440</w:t>
            </w:r>
          </w:p>
        </w:tc>
      </w:tr>
      <w:tr w:rsidR="00AF0308" w:rsidRPr="00F93347" w14:paraId="2035D6BD" w14:textId="77777777" w:rsidTr="00EC7F33">
        <w:trPr>
          <w:trHeight w:val="516"/>
        </w:trPr>
        <w:tc>
          <w:tcPr>
            <w:tcW w:w="1358" w:type="pct"/>
          </w:tcPr>
          <w:p w14:paraId="22930946" w14:textId="22805A2B"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51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61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7DD792AD"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18. életév betöltéséig</w:t>
            </w:r>
          </w:p>
        </w:tc>
        <w:tc>
          <w:tcPr>
            <w:tcW w:w="728" w:type="pct"/>
          </w:tcPr>
          <w:p w14:paraId="5222E54B"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260</w:t>
            </w:r>
          </w:p>
        </w:tc>
        <w:tc>
          <w:tcPr>
            <w:tcW w:w="728" w:type="pct"/>
          </w:tcPr>
          <w:p w14:paraId="1FC33E32"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520</w:t>
            </w:r>
          </w:p>
        </w:tc>
      </w:tr>
      <w:tr w:rsidR="00AF0308" w:rsidRPr="00F93347" w14:paraId="7531DE01" w14:textId="77777777" w:rsidTr="00EC7F33">
        <w:trPr>
          <w:trHeight w:val="516"/>
        </w:trPr>
        <w:tc>
          <w:tcPr>
            <w:tcW w:w="1358" w:type="pct"/>
          </w:tcPr>
          <w:p w14:paraId="4C7BCA94" w14:textId="484E4528"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61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71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44177944"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18. életév betöltéséig</w:t>
            </w:r>
          </w:p>
        </w:tc>
        <w:tc>
          <w:tcPr>
            <w:tcW w:w="728" w:type="pct"/>
          </w:tcPr>
          <w:p w14:paraId="5393F5F3"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300</w:t>
            </w:r>
          </w:p>
        </w:tc>
        <w:tc>
          <w:tcPr>
            <w:tcW w:w="728" w:type="pct"/>
          </w:tcPr>
          <w:p w14:paraId="6E4F59B8"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600</w:t>
            </w:r>
          </w:p>
        </w:tc>
      </w:tr>
      <w:tr w:rsidR="00AF0308" w:rsidRPr="00F93347" w14:paraId="6B86BA38" w14:textId="77777777" w:rsidTr="00EC7F33">
        <w:trPr>
          <w:trHeight w:val="516"/>
        </w:trPr>
        <w:tc>
          <w:tcPr>
            <w:tcW w:w="1358" w:type="pct"/>
          </w:tcPr>
          <w:p w14:paraId="151EB770" w14:textId="4956F16E"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71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kg-tól kevesebb mint 81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kg-ig</w:t>
            </w:r>
          </w:p>
        </w:tc>
        <w:tc>
          <w:tcPr>
            <w:tcW w:w="2186" w:type="pct"/>
          </w:tcPr>
          <w:p w14:paraId="56700CE4"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 éves kortól a 18. életév betöltéséig</w:t>
            </w:r>
          </w:p>
        </w:tc>
        <w:tc>
          <w:tcPr>
            <w:tcW w:w="728" w:type="pct"/>
          </w:tcPr>
          <w:p w14:paraId="23AB726D"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300</w:t>
            </w:r>
          </w:p>
        </w:tc>
        <w:tc>
          <w:tcPr>
            <w:tcW w:w="728" w:type="pct"/>
          </w:tcPr>
          <w:p w14:paraId="03519326"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600</w:t>
            </w:r>
          </w:p>
        </w:tc>
      </w:tr>
      <w:tr w:rsidR="00AF0308" w:rsidRPr="00F93347" w14:paraId="545B2575" w14:textId="77777777" w:rsidTr="00EC7F33">
        <w:trPr>
          <w:trHeight w:val="377"/>
        </w:trPr>
        <w:tc>
          <w:tcPr>
            <w:tcW w:w="1358" w:type="pct"/>
          </w:tcPr>
          <w:p w14:paraId="2AA2F700" w14:textId="2778E101"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81</w:t>
            </w:r>
            <w:r w:rsidR="00567369">
              <w:rPr>
                <w:rFonts w:ascii="Times New Roman" w:eastAsia="Times New Roman" w:hAnsi="Times New Roman" w:cs="Times New Roman"/>
                <w:bCs/>
                <w:noProof w:val="0"/>
                <w:color w:val="000000"/>
                <w:lang w:val="hu-HU"/>
              </w:rPr>
              <w:t> </w:t>
            </w:r>
            <w:r w:rsidRPr="00F93347">
              <w:rPr>
                <w:rFonts w:ascii="Times New Roman" w:eastAsia="Times New Roman" w:hAnsi="Times New Roman" w:cs="Times New Roman"/>
                <w:bCs/>
                <w:noProof w:val="0"/>
                <w:color w:val="000000"/>
                <w:lang w:val="hu-HU"/>
              </w:rPr>
              <w:t>kg vagy annál több</w:t>
            </w:r>
          </w:p>
        </w:tc>
        <w:tc>
          <w:tcPr>
            <w:tcW w:w="2186" w:type="pct"/>
          </w:tcPr>
          <w:p w14:paraId="48EA80C2"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10 éves kortól a 18. életév betöltéséig</w:t>
            </w:r>
          </w:p>
        </w:tc>
        <w:tc>
          <w:tcPr>
            <w:tcW w:w="728" w:type="pct"/>
          </w:tcPr>
          <w:p w14:paraId="675A706F"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300</w:t>
            </w:r>
          </w:p>
        </w:tc>
        <w:tc>
          <w:tcPr>
            <w:tcW w:w="728" w:type="pct"/>
          </w:tcPr>
          <w:p w14:paraId="139849FD"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600</w:t>
            </w:r>
          </w:p>
        </w:tc>
      </w:tr>
    </w:tbl>
    <w:p w14:paraId="47B8DC56" w14:textId="77777777" w:rsidR="00AF0308" w:rsidRPr="00396DE0" w:rsidRDefault="00AF0308" w:rsidP="00AF0308">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p>
    <w:p w14:paraId="19E99920" w14:textId="77777777" w:rsidR="00AF0308" w:rsidRPr="00F93347" w:rsidRDefault="00AF0308" w:rsidP="00AF0308">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r w:rsidRPr="00F93347">
        <w:rPr>
          <w:rFonts w:ascii="Times New Roman" w:eastAsia="Times New Roman" w:hAnsi="Times New Roman" w:cs="Times New Roman"/>
          <w:bCs/>
          <w:noProof w:val="0"/>
          <w:color w:val="000000"/>
          <w:kern w:val="0"/>
          <w:lang w:val="hu-HU" w:eastAsia="hu-HU"/>
          <w14:ligatures w14:val="none"/>
        </w:rPr>
        <w:lastRenderedPageBreak/>
        <w:t>Több kapszula kombinálásával alkalmazható egyszeri adagok:</w:t>
      </w:r>
    </w:p>
    <w:tbl>
      <w:tblPr>
        <w:tblStyle w:val="TableGrid"/>
        <w:tblW w:w="6379" w:type="dxa"/>
        <w:tblInd w:w="0" w:type="dxa"/>
        <w:tblLook w:val="04A0" w:firstRow="1" w:lastRow="0" w:firstColumn="1" w:lastColumn="0" w:noHBand="0" w:noVBand="1"/>
      </w:tblPr>
      <w:tblGrid>
        <w:gridCol w:w="1133"/>
        <w:gridCol w:w="5246"/>
      </w:tblGrid>
      <w:tr w:rsidR="00AF0308" w:rsidRPr="00F93347" w14:paraId="6C6B9A52" w14:textId="77777777" w:rsidTr="00EC7F33">
        <w:trPr>
          <w:trHeight w:val="480"/>
        </w:trPr>
        <w:tc>
          <w:tcPr>
            <w:tcW w:w="1133" w:type="dxa"/>
            <w:tcBorders>
              <w:top w:val="nil"/>
              <w:left w:val="nil"/>
              <w:bottom w:val="nil"/>
              <w:right w:val="nil"/>
            </w:tcBorders>
          </w:tcPr>
          <w:p w14:paraId="31A417D9"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300 mg:</w:t>
            </w:r>
          </w:p>
        </w:tc>
        <w:tc>
          <w:tcPr>
            <w:tcW w:w="5246" w:type="dxa"/>
            <w:tcBorders>
              <w:top w:val="nil"/>
              <w:left w:val="nil"/>
              <w:bottom w:val="nil"/>
              <w:right w:val="nil"/>
            </w:tcBorders>
          </w:tcPr>
          <w:p w14:paraId="7F33B4A6"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 xml:space="preserve">két 150 mg-os kapszulaként vagy </w:t>
            </w:r>
          </w:p>
          <w:p w14:paraId="7DA635D1"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négy 75 mg-os</w:t>
            </w:r>
            <w:r w:rsidRPr="00F93347">
              <w:rPr>
                <w:rFonts w:ascii="Times New Roman" w:eastAsia="Times New Roman" w:hAnsi="Times New Roman" w:cs="Times New Roman"/>
                <w:bCs/>
                <w:i/>
                <w:iCs/>
                <w:noProof w:val="0"/>
                <w:color w:val="000000"/>
                <w:lang w:val="hu-HU"/>
              </w:rPr>
              <w:t>*</w:t>
            </w:r>
            <w:r w:rsidRPr="00F93347">
              <w:rPr>
                <w:rFonts w:ascii="Times New Roman" w:eastAsia="Times New Roman" w:hAnsi="Times New Roman" w:cs="Times New Roman"/>
                <w:bCs/>
                <w:noProof w:val="0"/>
                <w:color w:val="000000"/>
                <w:lang w:val="hu-HU"/>
              </w:rPr>
              <w:t xml:space="preserve"> kapszulaként</w:t>
            </w:r>
          </w:p>
        </w:tc>
      </w:tr>
      <w:tr w:rsidR="00AF0308" w:rsidRPr="00F93347" w14:paraId="7A53408B" w14:textId="77777777" w:rsidTr="00EC7F33">
        <w:trPr>
          <w:trHeight w:val="505"/>
        </w:trPr>
        <w:tc>
          <w:tcPr>
            <w:tcW w:w="1133" w:type="dxa"/>
            <w:tcBorders>
              <w:top w:val="nil"/>
              <w:left w:val="nil"/>
              <w:bottom w:val="nil"/>
              <w:right w:val="nil"/>
            </w:tcBorders>
          </w:tcPr>
          <w:p w14:paraId="770C1E51"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260 mg:</w:t>
            </w:r>
          </w:p>
        </w:tc>
        <w:tc>
          <w:tcPr>
            <w:tcW w:w="5246" w:type="dxa"/>
            <w:tcBorders>
              <w:top w:val="nil"/>
              <w:left w:val="nil"/>
              <w:bottom w:val="nil"/>
              <w:right w:val="nil"/>
            </w:tcBorders>
          </w:tcPr>
          <w:p w14:paraId="26F4043C"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egy 110 mg-os és egy 150 mg-os kapszulaként vagy egy 110 mg-os és két 75 mg-os</w:t>
            </w:r>
            <w:r w:rsidRPr="00F93347">
              <w:rPr>
                <w:rFonts w:ascii="Times New Roman" w:eastAsia="Times New Roman" w:hAnsi="Times New Roman" w:cs="Times New Roman"/>
                <w:bCs/>
                <w:i/>
                <w:iCs/>
                <w:noProof w:val="0"/>
                <w:color w:val="000000"/>
                <w:lang w:val="hu-HU"/>
              </w:rPr>
              <w:t>*</w:t>
            </w:r>
            <w:r w:rsidRPr="00F93347">
              <w:rPr>
                <w:rFonts w:ascii="Times New Roman" w:eastAsia="Times New Roman" w:hAnsi="Times New Roman" w:cs="Times New Roman"/>
                <w:bCs/>
                <w:noProof w:val="0"/>
                <w:color w:val="000000"/>
                <w:lang w:val="hu-HU"/>
              </w:rPr>
              <w:t xml:space="preserve"> kapszulaként</w:t>
            </w:r>
          </w:p>
        </w:tc>
      </w:tr>
      <w:tr w:rsidR="00AF0308" w:rsidRPr="00F93347" w14:paraId="60256F84" w14:textId="77777777" w:rsidTr="00EC7F33">
        <w:trPr>
          <w:trHeight w:val="253"/>
        </w:trPr>
        <w:tc>
          <w:tcPr>
            <w:tcW w:w="1133" w:type="dxa"/>
            <w:tcBorders>
              <w:top w:val="nil"/>
              <w:left w:val="nil"/>
              <w:bottom w:val="nil"/>
              <w:right w:val="nil"/>
            </w:tcBorders>
          </w:tcPr>
          <w:p w14:paraId="66E01106"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220 mg:</w:t>
            </w:r>
          </w:p>
        </w:tc>
        <w:tc>
          <w:tcPr>
            <w:tcW w:w="5246" w:type="dxa"/>
            <w:tcBorders>
              <w:top w:val="nil"/>
              <w:left w:val="nil"/>
              <w:bottom w:val="nil"/>
              <w:right w:val="nil"/>
            </w:tcBorders>
          </w:tcPr>
          <w:p w14:paraId="3CFA0F30"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két 110 mg-os kapszulaként</w:t>
            </w:r>
          </w:p>
        </w:tc>
      </w:tr>
      <w:tr w:rsidR="00AF0308" w:rsidRPr="00F93347" w14:paraId="605B730A" w14:textId="77777777" w:rsidTr="00EC7F33">
        <w:trPr>
          <w:trHeight w:val="253"/>
        </w:trPr>
        <w:tc>
          <w:tcPr>
            <w:tcW w:w="1133" w:type="dxa"/>
            <w:tcBorders>
              <w:top w:val="nil"/>
              <w:left w:val="nil"/>
              <w:bottom w:val="nil"/>
              <w:right w:val="nil"/>
            </w:tcBorders>
          </w:tcPr>
          <w:p w14:paraId="1733F4F2"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185 mg:</w:t>
            </w:r>
          </w:p>
        </w:tc>
        <w:tc>
          <w:tcPr>
            <w:tcW w:w="5246" w:type="dxa"/>
            <w:tcBorders>
              <w:top w:val="nil"/>
              <w:left w:val="nil"/>
              <w:bottom w:val="nil"/>
              <w:right w:val="nil"/>
            </w:tcBorders>
          </w:tcPr>
          <w:p w14:paraId="3F48A129"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egy 75 mg-os</w:t>
            </w:r>
            <w:r w:rsidRPr="00F93347">
              <w:rPr>
                <w:rFonts w:ascii="Times New Roman" w:eastAsia="Times New Roman" w:hAnsi="Times New Roman" w:cs="Times New Roman"/>
                <w:bCs/>
                <w:i/>
                <w:iCs/>
                <w:noProof w:val="0"/>
                <w:color w:val="000000"/>
                <w:lang w:val="hu-HU"/>
              </w:rPr>
              <w:t>*</w:t>
            </w:r>
            <w:r w:rsidRPr="00F93347">
              <w:rPr>
                <w:rFonts w:ascii="Times New Roman" w:eastAsia="Times New Roman" w:hAnsi="Times New Roman" w:cs="Times New Roman"/>
                <w:bCs/>
                <w:noProof w:val="0"/>
                <w:color w:val="000000"/>
                <w:lang w:val="hu-HU"/>
              </w:rPr>
              <w:t xml:space="preserve"> és egy 110 mg-os kapszulaként</w:t>
            </w:r>
          </w:p>
        </w:tc>
      </w:tr>
      <w:tr w:rsidR="00AF0308" w:rsidRPr="00F93347" w14:paraId="0E6B6062" w14:textId="77777777" w:rsidTr="00EC7F33">
        <w:trPr>
          <w:trHeight w:val="481"/>
        </w:trPr>
        <w:tc>
          <w:tcPr>
            <w:tcW w:w="1133" w:type="dxa"/>
            <w:tcBorders>
              <w:top w:val="nil"/>
              <w:left w:val="nil"/>
              <w:bottom w:val="nil"/>
              <w:right w:val="nil"/>
            </w:tcBorders>
          </w:tcPr>
          <w:p w14:paraId="2F593BF9"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150 mg:</w:t>
            </w:r>
          </w:p>
        </w:tc>
        <w:tc>
          <w:tcPr>
            <w:tcW w:w="5246" w:type="dxa"/>
            <w:tcBorders>
              <w:top w:val="nil"/>
              <w:left w:val="nil"/>
              <w:bottom w:val="nil"/>
              <w:right w:val="nil"/>
            </w:tcBorders>
          </w:tcPr>
          <w:p w14:paraId="0D5E842B"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 xml:space="preserve">egy 150 mg-os kapszulaként vagy </w:t>
            </w:r>
          </w:p>
          <w:p w14:paraId="7E012EBF" w14:textId="77777777" w:rsidR="00AF0308" w:rsidRPr="00F93347" w:rsidRDefault="00AF0308" w:rsidP="00AF0308">
            <w:pPr>
              <w:ind w:left="7" w:hanging="10"/>
              <w:rPr>
                <w:rFonts w:ascii="Times New Roman" w:eastAsia="Times New Roman" w:hAnsi="Times New Roman" w:cs="Times New Roman"/>
                <w:bCs/>
                <w:noProof w:val="0"/>
                <w:color w:val="000000"/>
                <w:lang w:val="hu-HU"/>
              </w:rPr>
            </w:pPr>
            <w:r w:rsidRPr="00F93347">
              <w:rPr>
                <w:rFonts w:ascii="Times New Roman" w:eastAsia="Times New Roman" w:hAnsi="Times New Roman" w:cs="Times New Roman"/>
                <w:bCs/>
                <w:noProof w:val="0"/>
                <w:color w:val="000000"/>
                <w:lang w:val="hu-HU"/>
              </w:rPr>
              <w:t>két 75 mg-os</w:t>
            </w:r>
            <w:r w:rsidRPr="00F93347">
              <w:rPr>
                <w:rFonts w:ascii="Times New Roman" w:eastAsia="Times New Roman" w:hAnsi="Times New Roman" w:cs="Times New Roman"/>
                <w:bCs/>
                <w:i/>
                <w:iCs/>
                <w:noProof w:val="0"/>
                <w:color w:val="000000"/>
                <w:lang w:val="hu-HU"/>
              </w:rPr>
              <w:t>*</w:t>
            </w:r>
            <w:r w:rsidRPr="00F93347">
              <w:rPr>
                <w:rFonts w:ascii="Times New Roman" w:eastAsia="Times New Roman" w:hAnsi="Times New Roman" w:cs="Times New Roman"/>
                <w:bCs/>
                <w:noProof w:val="0"/>
                <w:color w:val="000000"/>
                <w:lang w:val="hu-HU"/>
              </w:rPr>
              <w:t xml:space="preserve"> kapszulaként</w:t>
            </w:r>
          </w:p>
        </w:tc>
      </w:tr>
    </w:tbl>
    <w:p w14:paraId="485D40FB" w14:textId="77777777" w:rsidR="00AF0308" w:rsidRPr="00F93347" w:rsidRDefault="00AF0308" w:rsidP="00AF0308">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p>
    <w:p w14:paraId="3C92AB8F" w14:textId="77777777" w:rsidR="00AF0308" w:rsidRPr="00F93347" w:rsidRDefault="00AF0308" w:rsidP="00AF0308">
      <w:pPr>
        <w:spacing w:after="0" w:line="240" w:lineRule="auto"/>
        <w:ind w:left="7" w:right="11" w:hanging="10"/>
        <w:rPr>
          <w:rFonts w:ascii="Times New Roman" w:eastAsia="Times New Roman" w:hAnsi="Times New Roman" w:cs="Times New Roman"/>
          <w:i/>
          <w:iCs/>
          <w:noProof w:val="0"/>
          <w:color w:val="000000"/>
          <w:kern w:val="0"/>
          <w:lang w:val="hu-HU" w:eastAsia="hu-HU"/>
          <w14:ligatures w14:val="none"/>
        </w:rPr>
      </w:pPr>
      <w:r w:rsidRPr="00F93347">
        <w:rPr>
          <w:rFonts w:ascii="Times New Roman" w:eastAsia="Times New Roman" w:hAnsi="Times New Roman" w:cs="Times New Roman"/>
          <w:i/>
          <w:iCs/>
          <w:noProof w:val="0"/>
          <w:color w:val="000000"/>
          <w:kern w:val="0"/>
          <w:lang w:val="hu-HU" w:eastAsia="hu-HU"/>
          <w14:ligatures w14:val="none"/>
        </w:rPr>
        <w:t>* A Telexer 75 mg-os adagja nem áll rendelkezésre, ezért nem alkalmas a fent említett betegcsoportok számára. Ezeknek a betegeknek más 75 mg dabigatrán</w:t>
      </w:r>
      <w:r w:rsidRPr="00F93347">
        <w:rPr>
          <w:rFonts w:ascii="Times New Roman" w:eastAsia="Times New Roman" w:hAnsi="Times New Roman" w:cs="Times New Roman"/>
          <w:i/>
          <w:iCs/>
          <w:noProof w:val="0"/>
          <w:color w:val="000000"/>
          <w:kern w:val="0"/>
          <w:lang w:val="hu-HU" w:eastAsia="hu-HU"/>
          <w14:ligatures w14:val="none"/>
        </w:rPr>
        <w:noBreakHyphen/>
        <w:t>etexilátot tartalmazó gyógyszert kell alkalmazniuk.</w:t>
      </w:r>
    </w:p>
    <w:p w14:paraId="61CC66A3" w14:textId="77777777" w:rsidR="00AF0308" w:rsidRPr="00F93347" w:rsidRDefault="00AF0308" w:rsidP="00AF0308">
      <w:pPr>
        <w:spacing w:after="0" w:line="240" w:lineRule="auto"/>
        <w:ind w:left="7" w:hanging="10"/>
        <w:rPr>
          <w:rFonts w:ascii="Times New Roman" w:eastAsia="Times New Roman" w:hAnsi="Times New Roman" w:cs="Times New Roman"/>
          <w:b/>
          <w:noProof w:val="0"/>
          <w:color w:val="000000"/>
          <w:kern w:val="0"/>
          <w:lang w:val="hu-HU" w:eastAsia="hu-HU"/>
          <w14:ligatures w14:val="none"/>
        </w:rPr>
      </w:pPr>
    </w:p>
    <w:p w14:paraId="798A654F"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Hogyan kell szedni a Telexert?</w:t>
      </w:r>
    </w:p>
    <w:p w14:paraId="4D5D8FB2"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 bevehető étkezés közben vagy attól függetlenül. A kapszulát egészben, a gyomorba jutás elősegítése érdekében egy pohár vízzel kell lenyelni. Ne törje össze, ne rágja szét a kapszulát és ne ürítse ki a töltetet a kapszulából, mert ez megnövelheti a vérzés kockázatát!</w:t>
      </w:r>
    </w:p>
    <w:p w14:paraId="195E6D38"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p>
    <w:p w14:paraId="5690B0BE" w14:textId="77777777" w:rsidR="00AF0308" w:rsidRPr="00F93347" w:rsidRDefault="00AF0308" w:rsidP="00AF0308">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bCs/>
          <w:noProof w:val="0"/>
          <w:color w:val="000000"/>
          <w:kern w:val="0"/>
          <w:lang w:val="hu-HU" w:eastAsia="hu-HU"/>
          <w14:ligatures w14:val="none"/>
        </w:rPr>
        <w:t>A buborékfóliával</w:t>
      </w:r>
      <w:r w:rsidRPr="00F93347">
        <w:rPr>
          <w:rFonts w:ascii="Times New Roman" w:eastAsia="Times New Roman" w:hAnsi="Times New Roman" w:cs="Times New Roman"/>
          <w:b/>
          <w:noProof w:val="0"/>
          <w:color w:val="000000"/>
          <w:kern w:val="0"/>
          <w:lang w:val="hu-HU" w:eastAsia="hu-HU"/>
          <w14:ligatures w14:val="none"/>
        </w:rPr>
        <w:t xml:space="preserve"> kapcsolatos utasítás</w:t>
      </w:r>
    </w:p>
    <w:p w14:paraId="07D95A18" w14:textId="77777777" w:rsidR="00AF0308" w:rsidRPr="00F93347" w:rsidRDefault="00AF0308" w:rsidP="00AF0308">
      <w:pPr>
        <w:numPr>
          <w:ilvl w:val="0"/>
          <w:numId w:val="4"/>
        </w:numPr>
        <w:tabs>
          <w:tab w:val="left" w:pos="567"/>
        </w:tabs>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Perforált buborékcsomagolás esetén: tépjen le egy önálló buborékcsomagolás részt a perforált vonal mentén a buborékcsomagolásról!</w:t>
      </w:r>
    </w:p>
    <w:p w14:paraId="386201DE" w14:textId="77777777" w:rsidR="00AF0308" w:rsidRPr="00F93347" w:rsidRDefault="00AF0308" w:rsidP="00AF0308">
      <w:pPr>
        <w:numPr>
          <w:ilvl w:val="0"/>
          <w:numId w:val="4"/>
        </w:numPr>
        <w:tabs>
          <w:tab w:val="left" w:pos="567"/>
        </w:tabs>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Nyomja át a kapszulát a buborékcsomagolás fóliáján.</w:t>
      </w:r>
    </w:p>
    <w:p w14:paraId="22EE6F80" w14:textId="77777777" w:rsidR="00AF0308" w:rsidRPr="00F93347" w:rsidRDefault="00AF0308" w:rsidP="00AF0308">
      <w:pPr>
        <w:spacing w:after="0" w:line="240" w:lineRule="auto"/>
        <w:ind w:left="567" w:hanging="567"/>
        <w:rPr>
          <w:rFonts w:ascii="Times New Roman" w:eastAsia="Times New Roman" w:hAnsi="Times New Roman" w:cs="Times New Roman"/>
          <w:noProof w:val="0"/>
          <w:color w:val="000000"/>
          <w:kern w:val="0"/>
          <w:highlight w:val="yellow"/>
          <w:lang w:val="hu-HU" w:eastAsia="hu-HU"/>
          <w14:ligatures w14:val="none"/>
        </w:rPr>
      </w:pPr>
    </w:p>
    <w:p w14:paraId="303850C7"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Alvadásgátló-kezelés váltás</w:t>
      </w:r>
    </w:p>
    <w:p w14:paraId="7B7F9C82"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 váltson más alvadásgátló-kezelésre kezelőorvosa kifejezett utasítása nélkül.</w:t>
      </w:r>
    </w:p>
    <w:p w14:paraId="69A42C99"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p>
    <w:p w14:paraId="5A4FCFB5"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Ha az előírtnál több Telexert vett be</w:t>
      </w:r>
    </w:p>
    <w:p w14:paraId="42E042B2"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Túl sok gyógyszer bevétele megnöveli a vérzésveszélyt. Azonnal tájékoztassa kezelőorvosát, ha túl sok kapszulát vett be. Speciális kezelési lehetőségek állnak rendelkezésre.</w:t>
      </w:r>
    </w:p>
    <w:p w14:paraId="306B8EBE"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p>
    <w:p w14:paraId="294FCDF7"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Ha elfelejtette bevenni a Telexert</w:t>
      </w:r>
    </w:p>
    <w:p w14:paraId="759D4662"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Az elfelejtett adag a következő adag esedékessége előtt 6 órával még bevehető.</w:t>
      </w:r>
    </w:p>
    <w:p w14:paraId="2DA20CA6"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Az elfelejtett adagot ki kell hagyni, ha a következő adag esedékességéig kevesebb mint 6 óra van hátra.</w:t>
      </w:r>
    </w:p>
    <w:p w14:paraId="3CCBF746"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 vegyen be kétszeres adagot a kihagyott adag pótlására.</w:t>
      </w:r>
    </w:p>
    <w:p w14:paraId="77DA1064"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p>
    <w:p w14:paraId="03B3D5FA"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Ha idő előtt abbahagyja a Telexer szedését</w:t>
      </w:r>
    </w:p>
    <w:p w14:paraId="25247EDC"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Telexert pontosan az orvos utasítása szerint szedje. Ne hagyja abba a gyógyszer szedését anélkül, hogy beszélne a kezelőorvosával, mert a gyógyszer szedésének idő előtti abbahagyása fokozhatja a vérrögök kialakulásának veszélyét. Forduljon kezelőorvosához, ha a Telexer szedését követően emésztési zavart tapasztal.</w:t>
      </w:r>
    </w:p>
    <w:p w14:paraId="042389C1"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p>
    <w:p w14:paraId="62685DB2" w14:textId="77777777" w:rsidR="00AF0308" w:rsidRPr="00F93347" w:rsidRDefault="00AF0308" w:rsidP="00AF0308">
      <w:pPr>
        <w:spacing w:after="0" w:line="240" w:lineRule="auto"/>
        <w:ind w:firstLine="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 bármilyen további kérdése van a gyógyszer alkalmazásával kapcsolatban, kérdezze meg kezelőorvosát vagy gyógyszerészét.</w:t>
      </w:r>
    </w:p>
    <w:p w14:paraId="58DF526D" w14:textId="77777777" w:rsidR="00AF0308" w:rsidRPr="00F93347" w:rsidRDefault="00AF0308" w:rsidP="00AF0308">
      <w:pPr>
        <w:spacing w:after="0" w:line="240" w:lineRule="auto"/>
        <w:ind w:hanging="10"/>
        <w:rPr>
          <w:rFonts w:ascii="Times New Roman" w:eastAsia="Times New Roman" w:hAnsi="Times New Roman" w:cs="Times New Roman"/>
          <w:noProof w:val="0"/>
          <w:color w:val="000000"/>
          <w:kern w:val="0"/>
          <w:lang w:val="hu-HU" w:eastAsia="hu-HU"/>
          <w14:ligatures w14:val="none"/>
        </w:rPr>
      </w:pPr>
    </w:p>
    <w:p w14:paraId="0A69F47F"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DD557E6" w14:textId="77777777" w:rsidR="00AF0308" w:rsidRPr="00F93347" w:rsidRDefault="00AF0308" w:rsidP="00AF0308">
      <w:pPr>
        <w:tabs>
          <w:tab w:val="center" w:pos="1781"/>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4.</w:t>
      </w:r>
      <w:r w:rsidRPr="00F93347">
        <w:rPr>
          <w:rFonts w:ascii="Times New Roman" w:eastAsia="Times New Roman" w:hAnsi="Times New Roman" w:cs="Times New Roman"/>
          <w:b/>
          <w:noProof w:val="0"/>
          <w:color w:val="000000"/>
          <w:kern w:val="0"/>
          <w:lang w:val="hu-HU" w:eastAsia="hu-HU"/>
          <w14:ligatures w14:val="none"/>
        </w:rPr>
        <w:tab/>
        <w:t>Lehetséges mellékhatások</w:t>
      </w:r>
    </w:p>
    <w:p w14:paraId="1C99C908"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52C1ED67"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Mint minden gyógyszer, így ez a gyógyszer is okozhat mellékhatásokat, amelyek azonban nem mindenkinél jelentkeznek.</w:t>
      </w:r>
    </w:p>
    <w:p w14:paraId="74BD7CC7"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2468E1DE"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Mivel a Telexer a véralvadási rendszerre hat, a legtöbb mellékhatás bőrbevérzés vagy vérzés kialakulásával kapcsolatos. Előfordulhatnak nagyfokú vagy súlyos vérzések, ezek a legsúlyosabb mellékhatások, amelyek kialakulásuk helyétől függetlenül rokkantsághoz, életet veszélyeztető állapothoz vagy akár halálhoz is vezethetnek. Egyes esetekben előfordulhat, hogy a vérzés nem nyilvánvaló.</w:t>
      </w:r>
    </w:p>
    <w:p w14:paraId="66ADD9FD"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36909EAB"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Azonnal forduljon orvoshoz minden szűnni nem akaró vérzés esetén vagy ha tartós vagy nagy mennyiségű vérzés jeleit tapasztalja (rendkívüli gyengeség, fáradtság, sápadtság, szédülés, fejfájás vagy tisztázatlan eredetű duzzadás). A kezelőorvos dönthet a szoros ellenőrzés vagy a gyógyszerelés megváltoztatása mellett is.</w:t>
      </w:r>
    </w:p>
    <w:p w14:paraId="6523E534"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2D1CE8FD"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Légzési nehézséget vagy szédülést okozó súlyos allergiás reakció esetén azonnal értesítse kezelőorvosát.</w:t>
      </w:r>
    </w:p>
    <w:p w14:paraId="4922F75E"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5D78B999"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felsorolt lehetséges mellékhatásokat a jelentkezésük gyakorisága alapján csoportosítottuk:</w:t>
      </w:r>
    </w:p>
    <w:p w14:paraId="7B75045C"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3353F32" w14:textId="77777777" w:rsidR="00AF0308" w:rsidRPr="00F93347" w:rsidRDefault="00AF0308" w:rsidP="00AF0308">
      <w:pPr>
        <w:keepNext/>
        <w:keepLines/>
        <w:spacing w:after="0" w:line="240" w:lineRule="auto"/>
        <w:ind w:left="11" w:hanging="11"/>
        <w:outlineLvl w:val="0"/>
        <w:rPr>
          <w:rFonts w:ascii="Times New Roman" w:eastAsia="Times New Roman" w:hAnsi="Times New Roman" w:cs="Times New Roman"/>
          <w:noProof w:val="0"/>
          <w:color w:val="000000"/>
          <w:kern w:val="0"/>
          <w:u w:val="single" w:color="000000"/>
          <w:lang w:val="hu-HU" w:eastAsia="hu-HU"/>
          <w14:ligatures w14:val="none"/>
        </w:rPr>
      </w:pPr>
      <w:r w:rsidRPr="00F93347">
        <w:rPr>
          <w:rFonts w:ascii="Times New Roman" w:eastAsia="Times New Roman" w:hAnsi="Times New Roman" w:cs="Times New Roman"/>
          <w:noProof w:val="0"/>
          <w:color w:val="000000"/>
          <w:kern w:val="0"/>
          <w:u w:val="single" w:color="000000"/>
          <w:lang w:val="hu-HU" w:eastAsia="hu-HU"/>
          <w14:ligatures w14:val="none"/>
        </w:rPr>
        <w:t>Az agyi vagy testben lévő erek vérrög miatti elzáródásának megelőzése szívritmuszavar esetén</w:t>
      </w:r>
    </w:p>
    <w:p w14:paraId="3CC65215"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F47BF34"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Gyakori mellékhatások (10 betegből legfeljebb 1-et érinthet):</w:t>
      </w:r>
    </w:p>
    <w:p w14:paraId="1E7F03FC"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vérzés történhet az orrból, a gyomorba vagy a belekbe, a hímvesszőből/hüvelyből vagy a húgyutakból (beleértve a vizeletben lévő vért is, ami a vizeletet rózsaszínűre vagy pirosra színezi), vagy a bőr alá</w:t>
      </w:r>
    </w:p>
    <w:p w14:paraId="09C8A91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vörösvértestek számának csökkenése a vérben (vérszegénység)</w:t>
      </w:r>
    </w:p>
    <w:p w14:paraId="720AFF2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Hasi- és gyomortáji fájdalom</w:t>
      </w:r>
    </w:p>
    <w:p w14:paraId="2AEBD01E"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Emésztési zavar</w:t>
      </w:r>
    </w:p>
    <w:p w14:paraId="339BCB11"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Gyakori, híg vagy folyékony széklet</w:t>
      </w:r>
    </w:p>
    <w:p w14:paraId="7ACA1F8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Hányinger</w:t>
      </w:r>
    </w:p>
    <w:p w14:paraId="37290591"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BC75F12"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Nem gyakori mellékhatások (100 betegből legfeljebb 1-et érinthet):</w:t>
      </w:r>
    </w:p>
    <w:p w14:paraId="6A9715B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Vérzés</w:t>
      </w:r>
    </w:p>
    <w:p w14:paraId="412A22E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Vérzés történhet az agyban, az aranyerekből, vagy a végbélből</w:t>
      </w:r>
    </w:p>
    <w:p w14:paraId="088A65BE"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Vérömleny kialakulása</w:t>
      </w:r>
    </w:p>
    <w:p w14:paraId="406DF1B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 felköhögése vagy véres köpet</w:t>
      </w:r>
    </w:p>
    <w:p w14:paraId="54DF6641"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Vérlemezkeszám-csökkenés a vérben</w:t>
      </w:r>
    </w:p>
    <w:p w14:paraId="1962A4D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hemoglobin (a vörösvértestekben lévő anyag) szintjének csökkenése a vérben</w:t>
      </w:r>
    </w:p>
    <w:p w14:paraId="785B25D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Allergiás reakció</w:t>
      </w:r>
    </w:p>
    <w:p w14:paraId="5BC7C9D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bőr színében és megjelenésében hirtelen kialakuló változás</w:t>
      </w:r>
    </w:p>
    <w:p w14:paraId="1A969552"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Viszketés</w:t>
      </w:r>
    </w:p>
    <w:p w14:paraId="1DEB3352"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Fekély a gyomorban vagy a bélben (beleértve a nyelőcsőfekélyt is)</w:t>
      </w:r>
    </w:p>
    <w:p w14:paraId="631CA40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nyelőcső és a gyomornyálkahártya gyulladása</w:t>
      </w:r>
    </w:p>
    <w:p w14:paraId="5CCDBF8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gyomornedv nyelőcsőbe történő visszafolyása (reflux betegség)</w:t>
      </w:r>
    </w:p>
    <w:p w14:paraId="5C39FBE7"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Hányás</w:t>
      </w:r>
    </w:p>
    <w:p w14:paraId="3781C6E7"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Nyelési nehézség</w:t>
      </w:r>
    </w:p>
    <w:p w14:paraId="08B85AAC"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Laboratóriumi vizsgálattal kimutatható kóros májfunkciós értékek</w:t>
      </w:r>
    </w:p>
    <w:p w14:paraId="237B284A"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6C57460"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Ritka mellékhatások (1000 betegből legfeljebb 1-et érinthet):</w:t>
      </w:r>
    </w:p>
    <w:p w14:paraId="200E6A62"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vérzés történhet az ízületbe, műtétet követően sebészeti bemetszésből, sérülés miatt, az injekció beszúrásának helyén vagy a kanül vénába történő bevezetésének helyén</w:t>
      </w:r>
    </w:p>
    <w:p w14:paraId="6413ED7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Súlyos allergiás reakció, amely légzési nehézséget vagy szédülést okoz</w:t>
      </w:r>
    </w:p>
    <w:p w14:paraId="6B89F37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Súlyos allergiás reakció, amely az arc vagy a torok duzzanatát okozza</w:t>
      </w:r>
    </w:p>
    <w:p w14:paraId="264D815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Bőrkiütés, nevezetesen: allergiás reakció okozta sötétvörös, a bőrfelszínből kiemelkedő, viszkető egyenetlenségek</w:t>
      </w:r>
    </w:p>
    <w:p w14:paraId="06676BC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vérsejtek arányának csökkenése</w:t>
      </w:r>
    </w:p>
    <w:p w14:paraId="489E7939"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Májenzimszint-emelkedés</w:t>
      </w:r>
    </w:p>
    <w:p w14:paraId="029D67F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bőr vagy a szemfehérje sárgás elszíneződése, melyet májprobléma vagy a vérösszetétel megváltozása okoz</w:t>
      </w:r>
    </w:p>
    <w:p w14:paraId="6BA908B3" w14:textId="77777777" w:rsidR="00AF0308" w:rsidRPr="00F93347" w:rsidRDefault="00AF0308" w:rsidP="00AF0308">
      <w:pPr>
        <w:spacing w:after="0" w:line="240" w:lineRule="auto"/>
        <w:rPr>
          <w:rFonts w:ascii="Times New Roman" w:eastAsia="Times New Roman" w:hAnsi="Times New Roman" w:cs="Times New Roman"/>
          <w:noProof w:val="0"/>
          <w:color w:val="000000"/>
          <w:kern w:val="0"/>
          <w:lang w:val="hu-HU" w:eastAsia="hu-HU"/>
          <w14:ligatures w14:val="none"/>
        </w:rPr>
      </w:pPr>
    </w:p>
    <w:p w14:paraId="4EBFA2CE" w14:textId="77777777" w:rsidR="00AF0308" w:rsidRPr="00F93347" w:rsidRDefault="00AF0308" w:rsidP="00AF0308">
      <w:pPr>
        <w:spacing w:after="0" w:line="240" w:lineRule="auto"/>
        <w:ind w:right="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Nem ismert gyakoriságú mellékhatások (a gyakoriság a rendelkezésre álló adatokból nem állapítható meg): </w:t>
      </w:r>
    </w:p>
    <w:p w14:paraId="28D5994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Nehézlégzés vagy sípoló légzés</w:t>
      </w:r>
    </w:p>
    <w:p w14:paraId="2565BD24"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fehérvérsejtek (a fertőzések leküzdésében segítenek) számának csökkenése vagy teljes hiányuk</w:t>
      </w:r>
    </w:p>
    <w:p w14:paraId="4B15D61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lastRenderedPageBreak/>
        <w:t>Hajhullás</w:t>
      </w:r>
    </w:p>
    <w:p w14:paraId="1FC2D2D3"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101EB16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Egy klinikai vizsgálatban a szívrohamok aránya dabigatrán</w:t>
      </w:r>
      <w:r w:rsidRPr="00F93347">
        <w:rPr>
          <w:rFonts w:ascii="Times New Roman" w:eastAsia="Times New Roman" w:hAnsi="Times New Roman" w:cs="Times New Roman"/>
          <w:noProof w:val="0"/>
          <w:color w:val="000000"/>
          <w:kern w:val="0"/>
          <w:lang w:val="hu-HU" w:eastAsia="hu-HU"/>
          <w14:ligatures w14:val="none"/>
        </w:rPr>
        <w:noBreakHyphen/>
        <w:t>etexilát mellett számszerűen nagyobb volt, mint a warfarin esetében. Az összes előfordulás alacsony volt.</w:t>
      </w:r>
    </w:p>
    <w:p w14:paraId="0488CAEF"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EDDF8BC" w14:textId="77777777" w:rsidR="00AF0308" w:rsidRPr="00F93347" w:rsidRDefault="00AF0308" w:rsidP="00AF0308">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F93347">
        <w:rPr>
          <w:rFonts w:ascii="Times New Roman" w:eastAsia="Times New Roman" w:hAnsi="Times New Roman" w:cs="Times New Roman"/>
          <w:noProof w:val="0"/>
          <w:color w:val="000000"/>
          <w:kern w:val="0"/>
          <w:u w:val="single" w:color="000000"/>
          <w:lang w:val="hu-HU" w:eastAsia="hu-HU"/>
          <w14:ligatures w14:val="none"/>
        </w:rPr>
        <w:t>A lábak és a tüdő vénáiban kialakult vérrögök kezelése és az ilyen vérrögök ismételt kialakulásának</w:t>
      </w:r>
      <w:r w:rsidRPr="00F93347">
        <w:rPr>
          <w:rFonts w:ascii="Times New Roman" w:eastAsia="Times New Roman" w:hAnsi="Times New Roman" w:cs="Times New Roman"/>
          <w:noProof w:val="0"/>
          <w:color w:val="000000"/>
          <w:kern w:val="0"/>
          <w:u w:color="000000"/>
          <w:lang w:val="hu-HU" w:eastAsia="hu-HU"/>
          <w14:ligatures w14:val="none"/>
        </w:rPr>
        <w:t xml:space="preserve"> </w:t>
      </w:r>
      <w:r w:rsidRPr="00F93347">
        <w:rPr>
          <w:rFonts w:ascii="Times New Roman" w:eastAsia="Times New Roman" w:hAnsi="Times New Roman" w:cs="Times New Roman"/>
          <w:noProof w:val="0"/>
          <w:color w:val="000000"/>
          <w:kern w:val="0"/>
          <w:u w:val="single" w:color="000000"/>
          <w:lang w:val="hu-HU" w:eastAsia="hu-HU"/>
          <w14:ligatures w14:val="none"/>
        </w:rPr>
        <w:t>megelőzése</w:t>
      </w:r>
    </w:p>
    <w:p w14:paraId="749C09D4" w14:textId="77777777" w:rsidR="00AF0308" w:rsidRPr="00F93347" w:rsidRDefault="00AF0308" w:rsidP="00AF0308">
      <w:pPr>
        <w:spacing w:after="15" w:line="248" w:lineRule="auto"/>
        <w:ind w:left="22" w:hanging="10"/>
        <w:rPr>
          <w:rFonts w:ascii="Times New Roman" w:eastAsia="Times New Roman" w:hAnsi="Times New Roman" w:cs="Times New Roman"/>
          <w:noProof w:val="0"/>
          <w:color w:val="000000"/>
          <w:kern w:val="0"/>
          <w:lang w:val="hu-HU" w:eastAsia="hu-HU"/>
          <w14:ligatures w14:val="none"/>
        </w:rPr>
      </w:pPr>
    </w:p>
    <w:p w14:paraId="2131F970"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Gyakori mellékhatások (10 betegből legfeljebb 1-et érinthet):</w:t>
      </w:r>
    </w:p>
    <w:p w14:paraId="153AF51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Jelentkezhet vérzés az orrból, a gyomorba vagy a belekbe, a végbélből, a hímvesszőből/hüvelyből vagy a húgyutakból (a vizeletet rózsaszínűre vagy vörösre színező vérzést is beleértve), vagy a bőr alatt</w:t>
      </w:r>
    </w:p>
    <w:p w14:paraId="11D8233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Emésztési zavar</w:t>
      </w:r>
    </w:p>
    <w:p w14:paraId="2BCB6B2B"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5DB0BF7"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Nem gyakori mellékhatások (100 betegből legfeljebb 1-et érinthet):</w:t>
      </w:r>
    </w:p>
    <w:p w14:paraId="2F66D72D"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Vérzés</w:t>
      </w:r>
    </w:p>
    <w:p w14:paraId="1759A806"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Vérzés egy ízületbe vagy egy sérülésből </w:t>
      </w:r>
    </w:p>
    <w:p w14:paraId="658FBD6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Vérzés aranyerekből</w:t>
      </w:r>
    </w:p>
    <w:p w14:paraId="56610BD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A vörösvértestek számának csökkenése a vérben (vérszegénység) </w:t>
      </w:r>
    </w:p>
    <w:p w14:paraId="64108D5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Vérömleny kialakulása</w:t>
      </w:r>
    </w:p>
    <w:p w14:paraId="6A0A8EE7"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 felköhögése vagy véres köpet</w:t>
      </w:r>
    </w:p>
    <w:p w14:paraId="32192762"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Allergiás reakció</w:t>
      </w:r>
    </w:p>
    <w:p w14:paraId="0A08B0EC"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bőr színében és megjelenésében hirtelen kialakuló változás</w:t>
      </w:r>
    </w:p>
    <w:p w14:paraId="0A780ACE"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Viszketés</w:t>
      </w:r>
    </w:p>
    <w:p w14:paraId="3A4335BC"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Fekély a gyomorban vagy a bélben (beleértve a nyelőcsőfekélyt is)</w:t>
      </w:r>
    </w:p>
    <w:p w14:paraId="3F715047"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nyelőcső és a gyomornyálkahártya gyulladása</w:t>
      </w:r>
    </w:p>
    <w:p w14:paraId="79218B9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gyomornedv nyelőcsőbe történő visszafolyása (reflux betegség)</w:t>
      </w:r>
    </w:p>
    <w:p w14:paraId="16F5B50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Hányinger</w:t>
      </w:r>
    </w:p>
    <w:p w14:paraId="6B2E301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Hányás</w:t>
      </w:r>
    </w:p>
    <w:p w14:paraId="65F7FA29"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Hasi- és gyomortáji fájdalom</w:t>
      </w:r>
    </w:p>
    <w:p w14:paraId="7544D10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Gyakori, híg vagy folyékony széklet</w:t>
      </w:r>
    </w:p>
    <w:p w14:paraId="6C140D7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Laboratóriumi vizsgálattal kimutatható kóros májfunkciós értékek</w:t>
      </w:r>
    </w:p>
    <w:p w14:paraId="5854E432"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Májenzimszint-emelkedés</w:t>
      </w:r>
    </w:p>
    <w:p w14:paraId="4BC32FE6" w14:textId="77777777" w:rsidR="00AF0308" w:rsidRPr="00F93347" w:rsidRDefault="00AF0308" w:rsidP="00AF0308">
      <w:pPr>
        <w:spacing w:after="0" w:line="240" w:lineRule="auto"/>
        <w:ind w:left="567" w:hanging="567"/>
        <w:rPr>
          <w:rFonts w:ascii="Times New Roman" w:eastAsia="Times New Roman" w:hAnsi="Times New Roman" w:cs="Times New Roman"/>
          <w:noProof w:val="0"/>
          <w:color w:val="000000"/>
          <w:kern w:val="0"/>
          <w:lang w:val="hu-HU" w:eastAsia="hu-HU"/>
          <w14:ligatures w14:val="none"/>
        </w:rPr>
      </w:pPr>
    </w:p>
    <w:p w14:paraId="1A116D50"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Ritka mellékhatások (1000 betegből legfeljebb 1-et érinthet):</w:t>
      </w:r>
    </w:p>
    <w:p w14:paraId="299B58F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Vérzés jelentkezhet a sebészi bemetszés helyén, az injekció beadásának helyén, a katéter vénába történő bevezetésének helyén, vagy az agyban  </w:t>
      </w:r>
    </w:p>
    <w:p w14:paraId="47B12A2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Vérlemezkeszám-csökkenés a vérben</w:t>
      </w:r>
    </w:p>
    <w:p w14:paraId="72AB61B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Súlyos allergiás reakció, amely légzési nehézséget vagy szédülést okoz</w:t>
      </w:r>
    </w:p>
    <w:p w14:paraId="33D00511"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Súlyos allergiás reakció, amely az arc vagy a torok duzzanatát okozza</w:t>
      </w:r>
    </w:p>
    <w:p w14:paraId="4E5F2C86"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Bőrkiütés, nevezetesen: allergiás reakció okozta sötétvörös, a bőrfelszínből kiemelkedő, viszkető egyenetlenségek</w:t>
      </w:r>
    </w:p>
    <w:p w14:paraId="343BF83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Nyelési nehézség</w:t>
      </w:r>
    </w:p>
    <w:p w14:paraId="7BAECA51"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B94924A"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Nem ismert gyakoriságú mellékhatások (a gyakoriság a rendelkezésre álló adatokból nem állapítható meg):</w:t>
      </w:r>
    </w:p>
    <w:p w14:paraId="0DBD0D4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Nehézlégzés vagy sípoló légzés</w:t>
      </w:r>
    </w:p>
    <w:p w14:paraId="28B43CE2"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hemoglobin (a vörösvértestekben lévő anyag) szintjének csökkenése a vérben</w:t>
      </w:r>
    </w:p>
    <w:p w14:paraId="259071E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vérsejtek arányának csökkenése</w:t>
      </w:r>
    </w:p>
    <w:p w14:paraId="316DC564"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fehérvérsejtek (melyek a fertőzések leküzdésében segítenek) számának csökkenése vagy teljes hiánya</w:t>
      </w:r>
    </w:p>
    <w:p w14:paraId="5B3A6272"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bőr vagy a szemfehérje sárgás elszíneződése, melyet májprobléma vagy a vérösszetétel megváltozása okoz</w:t>
      </w:r>
    </w:p>
    <w:p w14:paraId="69DF967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Hajhullás</w:t>
      </w:r>
    </w:p>
    <w:p w14:paraId="419B3D86"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highlight w:val="yellow"/>
          <w:lang w:val="hu-HU" w:eastAsia="hu-HU"/>
          <w14:ligatures w14:val="none"/>
        </w:rPr>
      </w:pPr>
    </w:p>
    <w:p w14:paraId="7B941AAA"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lastRenderedPageBreak/>
        <w:t>Egy klinikai vizsgálatban a szívrohamok aránya dabigatrán</w:t>
      </w:r>
      <w:r w:rsidRPr="00F93347">
        <w:rPr>
          <w:rFonts w:ascii="Times New Roman" w:eastAsia="Times New Roman" w:hAnsi="Times New Roman" w:cs="Times New Roman"/>
          <w:noProof w:val="0"/>
          <w:color w:val="000000"/>
          <w:kern w:val="0"/>
          <w:lang w:val="hu-HU" w:eastAsia="hu-HU"/>
          <w14:ligatures w14:val="none"/>
        </w:rPr>
        <w:noBreakHyphen/>
        <w:t>etexilát mellett számszerűen nagyobb volt, mint a warfarin esetében. Az összes előfordulás alacsony volt. Nem volt eltérés a szívrohamok arányában a dabigatrán</w:t>
      </w:r>
      <w:r w:rsidRPr="00F93347">
        <w:rPr>
          <w:rFonts w:ascii="Times New Roman" w:eastAsia="Times New Roman" w:hAnsi="Times New Roman" w:cs="Times New Roman"/>
          <w:noProof w:val="0"/>
          <w:color w:val="000000"/>
          <w:kern w:val="0"/>
          <w:lang w:val="hu-HU" w:eastAsia="hu-HU"/>
          <w14:ligatures w14:val="none"/>
        </w:rPr>
        <w:noBreakHyphen/>
        <w:t>etexilátot kapó betegcsoportban a placebocsoporthoz képest.</w:t>
      </w:r>
    </w:p>
    <w:p w14:paraId="7BCFD58E"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6F4094B4" w14:textId="77777777" w:rsidR="00AF0308" w:rsidRPr="00F93347" w:rsidRDefault="00AF0308" w:rsidP="00AF0308">
      <w:pPr>
        <w:keepNext/>
        <w:keepLines/>
        <w:spacing w:after="0" w:line="240" w:lineRule="auto"/>
        <w:ind w:left="7" w:hanging="10"/>
        <w:outlineLvl w:val="0"/>
        <w:rPr>
          <w:rFonts w:ascii="Times New Roman" w:eastAsia="Times New Roman" w:hAnsi="Times New Roman" w:cs="Times New Roman"/>
          <w:noProof w:val="0"/>
          <w:color w:val="000000"/>
          <w:kern w:val="0"/>
          <w:u w:val="single" w:color="000000"/>
          <w:lang w:val="hu-HU" w:eastAsia="hu-HU"/>
          <w14:ligatures w14:val="none"/>
        </w:rPr>
      </w:pPr>
      <w:r w:rsidRPr="00F93347">
        <w:rPr>
          <w:rFonts w:ascii="Times New Roman" w:eastAsia="Times New Roman" w:hAnsi="Times New Roman" w:cs="Times New Roman"/>
          <w:noProof w:val="0"/>
          <w:color w:val="000000"/>
          <w:kern w:val="0"/>
          <w:u w:val="single" w:color="000000"/>
          <w:lang w:val="hu-HU" w:eastAsia="hu-HU"/>
          <w14:ligatures w14:val="none"/>
        </w:rPr>
        <w:t>Vérrögök kezelése és a vérrögök újbóli kialakulásának megelőzése gyermekeknél és serdülőknél</w:t>
      </w:r>
    </w:p>
    <w:p w14:paraId="1B95C1CB" w14:textId="77777777" w:rsidR="00AF0308" w:rsidRPr="00F93347" w:rsidRDefault="00AF0308" w:rsidP="00AF0308">
      <w:pPr>
        <w:spacing w:after="15" w:line="248" w:lineRule="auto"/>
        <w:ind w:left="22" w:hanging="10"/>
        <w:rPr>
          <w:rFonts w:ascii="Times New Roman" w:eastAsia="Times New Roman" w:hAnsi="Times New Roman" w:cs="Times New Roman"/>
          <w:noProof w:val="0"/>
          <w:color w:val="000000"/>
          <w:kern w:val="0"/>
          <w:lang w:val="hu-HU" w:eastAsia="hu-HU"/>
          <w14:ligatures w14:val="none"/>
        </w:rPr>
      </w:pPr>
    </w:p>
    <w:p w14:paraId="5B383AB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Gyakori mellékhatások (10 betegből legfeljebb 1-et érinthet):</w:t>
      </w:r>
    </w:p>
    <w:p w14:paraId="1731AAF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vörösvértestek számának csökkenése a vérben (vérszegénység)</w:t>
      </w:r>
    </w:p>
    <w:p w14:paraId="6778A4D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Vérlemezkeszám-csökkenés a vérben</w:t>
      </w:r>
    </w:p>
    <w:p w14:paraId="1A57ACA9"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Bőrkiütés, nevezetesen: allergiás reakció okozta sötétvörös, a bőrfelszínből kiemelkedő, viszkető egyenetlenségek</w:t>
      </w:r>
    </w:p>
    <w:p w14:paraId="308794D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bőr színében és megjelenésében hirtelen kialakuló változás</w:t>
      </w:r>
    </w:p>
    <w:p w14:paraId="5C6657A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Vérömleny kialakulása</w:t>
      </w:r>
    </w:p>
    <w:p w14:paraId="5D3D36B9"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Orrvérzés</w:t>
      </w:r>
    </w:p>
    <w:p w14:paraId="1069329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gyomornedv nyelőcsőbe történő visszafolyása (reflux betegség)</w:t>
      </w:r>
    </w:p>
    <w:p w14:paraId="2EC7C851"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Hányás</w:t>
      </w:r>
    </w:p>
    <w:p w14:paraId="415C9B0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Hányinger</w:t>
      </w:r>
    </w:p>
    <w:p w14:paraId="18B32518"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Gyakori, híg vagy folyékony széklet</w:t>
      </w:r>
    </w:p>
    <w:p w14:paraId="2BA2D83F"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Emésztési zavar</w:t>
      </w:r>
    </w:p>
    <w:p w14:paraId="214EAA27"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Hajhullás</w:t>
      </w:r>
    </w:p>
    <w:p w14:paraId="61E255A9"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Májenzimszint-emelkedés</w:t>
      </w:r>
    </w:p>
    <w:p w14:paraId="42FD16C7" w14:textId="77777777" w:rsidR="00AF0308" w:rsidRPr="00F93347" w:rsidRDefault="00AF0308" w:rsidP="00AF0308">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025F96BB" w14:textId="77777777" w:rsidR="00AF0308" w:rsidRPr="00F93347" w:rsidRDefault="00AF0308" w:rsidP="00AF0308">
      <w:pPr>
        <w:spacing w:after="0" w:line="240" w:lineRule="auto"/>
        <w:ind w:right="11"/>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Nem gyakori mellékhatások (100 betegből legfeljebb 1-et érinthet):</w:t>
      </w:r>
    </w:p>
    <w:p w14:paraId="28262D8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fehérvérsejtek (a fertőzések leküzdésében segítenek) számának csökkenése</w:t>
      </w:r>
    </w:p>
    <w:p w14:paraId="5BAD19E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Jelentkezhet vérzés a gyomorba vagy a belekbe, az agyból, a végbélből, a hímvesszőből/hüvelyből vagy a húgyutakból (a vizeletet rózsaszínűre vagy vörösre színező vérzést is beleértve), vagy a bőr alatt</w:t>
      </w:r>
    </w:p>
    <w:p w14:paraId="1AC710C1"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hemoglobin (a vörösvértestekben lévő anyag) szintjének csökkenése a vérben</w:t>
      </w:r>
    </w:p>
    <w:p w14:paraId="61DA762E"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vérsejtek arányának csökkenése</w:t>
      </w:r>
    </w:p>
    <w:p w14:paraId="14F4BA26"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Viszketés</w:t>
      </w:r>
    </w:p>
    <w:p w14:paraId="0B960BD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 felköhögése vagy véres köpet</w:t>
      </w:r>
    </w:p>
    <w:p w14:paraId="164FF36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Hasi- és gyomortáji fájdalom</w:t>
      </w:r>
    </w:p>
    <w:p w14:paraId="14393273"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nyelőcső és a gyomornyálkahártya gyulladása</w:t>
      </w:r>
    </w:p>
    <w:p w14:paraId="7151279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Allergiás reakció</w:t>
      </w:r>
    </w:p>
    <w:p w14:paraId="5167AB9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Nyelési nehézség</w:t>
      </w:r>
    </w:p>
    <w:p w14:paraId="112E5F1B"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bőr vagy a szemfehérje sárgás elszíneződése, melyet májprobléma vagy a vérösszetétel megváltozása okoz</w:t>
      </w:r>
    </w:p>
    <w:p w14:paraId="3B033878"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59A2D23"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Nem ismert gyakoriságú mellékhatások (a gyakoriság a rendelkezésre álló adatokból nem állapítható meg):</w:t>
      </w:r>
    </w:p>
    <w:p w14:paraId="06C24D84"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fehérvérsejtek (a fertőzések leküzdésében segítenek) hiánya</w:t>
      </w:r>
    </w:p>
    <w:p w14:paraId="67248476"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Súlyos allergiás reakció, amely légzési nehézséget vagy szédülést okoz</w:t>
      </w:r>
    </w:p>
    <w:p w14:paraId="7EFA95F4"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Súlyos allergiás reakció, amely az arc vagy a torok duzzanatát okozza</w:t>
      </w:r>
    </w:p>
    <w:p w14:paraId="6E57B1D7"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Nehézlégzés vagy sípoló légzés</w:t>
      </w:r>
    </w:p>
    <w:p w14:paraId="354E7D37"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Vérzés</w:t>
      </w:r>
    </w:p>
    <w:p w14:paraId="1F26876A"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Vérzés történhet sérülés miatt az ízületbe, műtétet követően sebészeti bemetszésből, az injekció beszúrásának helyén vagy a kanül vénába történő bevezetésének helyén</w:t>
      </w:r>
    </w:p>
    <w:p w14:paraId="2425BE9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Vérzés aranyerekből</w:t>
      </w:r>
    </w:p>
    <w:p w14:paraId="570D2222"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Fekély a gyomorban vagy a bélben (beleértve a nyelőcsőfekélyt is)</w:t>
      </w:r>
    </w:p>
    <w:p w14:paraId="2DE3618C"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Laboratóriumi vizsgálattal kimutatható kóros májfunkciós értékek</w:t>
      </w:r>
    </w:p>
    <w:p w14:paraId="0722009E" w14:textId="77777777" w:rsidR="00AF0308" w:rsidRPr="00F93347" w:rsidRDefault="00AF0308" w:rsidP="00AF0308">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3E7E6F30"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A mellékhatások jelentése</w:t>
      </w:r>
    </w:p>
    <w:p w14:paraId="137C4A5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r w:rsidRPr="00F93347">
          <w:rPr>
            <w:rFonts w:ascii="Times New Roman" w:eastAsia="Times New Roman" w:hAnsi="Times New Roman" w:cs="Times New Roman"/>
            <w:noProof w:val="0"/>
            <w:color w:val="0000FF"/>
            <w:kern w:val="0"/>
            <w:highlight w:val="lightGray"/>
            <w:u w:val="single" w:color="0000FE"/>
            <w:lang w:val="hu-HU" w:eastAsia="hu-HU"/>
            <w14:ligatures w14:val="none"/>
          </w:rPr>
          <w:t>V.</w:t>
        </w:r>
      </w:hyperlink>
      <w:r w:rsidRPr="00F93347">
        <w:rPr>
          <w:rFonts w:ascii="Times New Roman" w:eastAsia="Times New Roman" w:hAnsi="Times New Roman" w:cs="Times New Roman"/>
          <w:noProof w:val="0"/>
          <w:color w:val="0000FF"/>
          <w:kern w:val="0"/>
          <w:highlight w:val="lightGray"/>
          <w:u w:val="single" w:color="0000FE"/>
          <w:lang w:val="hu-HU" w:eastAsia="hu-HU"/>
          <w14:ligatures w14:val="none"/>
        </w:rPr>
        <w:t xml:space="preserve"> </w:t>
      </w:r>
      <w:hyperlink r:id="rId8">
        <w:r w:rsidRPr="00F93347">
          <w:rPr>
            <w:rFonts w:ascii="Times New Roman" w:eastAsia="Times New Roman" w:hAnsi="Times New Roman" w:cs="Times New Roman"/>
            <w:noProof w:val="0"/>
            <w:color w:val="0000FF"/>
            <w:kern w:val="0"/>
            <w:highlight w:val="lightGray"/>
            <w:u w:val="single" w:color="0000FE"/>
            <w:lang w:val="hu-HU" w:eastAsia="hu-HU"/>
            <w14:ligatures w14:val="none"/>
          </w:rPr>
          <w:t>függelékben</w:t>
        </w:r>
      </w:hyperlink>
      <w:r w:rsidRPr="00F93347">
        <w:rPr>
          <w:rFonts w:ascii="Times New Roman" w:eastAsia="Times New Roman" w:hAnsi="Times New Roman" w:cs="Times New Roman"/>
          <w:noProof w:val="0"/>
          <w:color w:val="0000FF"/>
          <w:kern w:val="0"/>
          <w:highlight w:val="lightGray"/>
          <w:u w:val="single" w:color="0000FE"/>
          <w:lang w:val="hu-HU" w:eastAsia="hu-HU"/>
          <w14:ligatures w14:val="none"/>
        </w:rPr>
        <w:t xml:space="preserve"> </w:t>
      </w:r>
      <w:r w:rsidRPr="00F93347">
        <w:rPr>
          <w:rFonts w:ascii="Times New Roman" w:eastAsia="Times New Roman" w:hAnsi="Times New Roman" w:cs="Times New Roman"/>
          <w:noProof w:val="0"/>
          <w:color w:val="000000"/>
          <w:kern w:val="0"/>
          <w:highlight w:val="lightGray"/>
          <w:lang w:val="hu-HU" w:eastAsia="hu-HU"/>
          <w14:ligatures w14:val="none"/>
        </w:rPr>
        <w:t>található elérhetőségeken keresztül.</w:t>
      </w:r>
      <w:r w:rsidRPr="00F93347">
        <w:rPr>
          <w:rFonts w:ascii="Times New Roman" w:eastAsia="Times New Roman" w:hAnsi="Times New Roman" w:cs="Times New Roman"/>
          <w:noProof w:val="0"/>
          <w:color w:val="000000"/>
          <w:kern w:val="0"/>
          <w:lang w:val="hu-HU" w:eastAsia="hu-HU"/>
          <w14:ligatures w14:val="none"/>
        </w:rPr>
        <w:t xml:space="preserve"> </w:t>
      </w:r>
    </w:p>
    <w:p w14:paraId="223CFDDE"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lastRenderedPageBreak/>
        <w:t>A mellékhatások bejelentésével Ön is hozzájárulhat ahhoz, hogy minél több információ álljon rendelkezésre a gyógyszer biztonságos alkalmazásával kapcsolatban.</w:t>
      </w:r>
    </w:p>
    <w:p w14:paraId="18E3F6B5"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C7C350C"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40C0F83" w14:textId="77777777" w:rsidR="00AF0308" w:rsidRPr="00F93347" w:rsidRDefault="00AF0308" w:rsidP="00AF0308">
      <w:pPr>
        <w:tabs>
          <w:tab w:val="left" w:pos="567"/>
          <w:tab w:val="center" w:pos="2078"/>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5.</w:t>
      </w:r>
      <w:r w:rsidRPr="00F93347">
        <w:rPr>
          <w:rFonts w:ascii="Times New Roman" w:eastAsia="Times New Roman" w:hAnsi="Times New Roman" w:cs="Times New Roman"/>
          <w:b/>
          <w:noProof w:val="0"/>
          <w:color w:val="000000"/>
          <w:kern w:val="0"/>
          <w:lang w:val="hu-HU" w:eastAsia="hu-HU"/>
          <w14:ligatures w14:val="none"/>
        </w:rPr>
        <w:tab/>
        <w:t>Hogyan kell a Telexert tárolni?</w:t>
      </w:r>
    </w:p>
    <w:p w14:paraId="1DBBDBB3"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AE823F7"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gyógyszer gyermekektől elzárva tartandó!</w:t>
      </w:r>
    </w:p>
    <w:p w14:paraId="46B88E93"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142810F"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Ez a gyógyszer nem igényel különleges tárolási hőmérsékletet. A nedvességtől való védelem érdekében az eredeti csomagolásban tárolandó.</w:t>
      </w:r>
    </w:p>
    <w:p w14:paraId="5F5DE641"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057223B"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dobozon feltüntetett lejárati idő (EXP:) után ne alkalmazza ezt a gyógyszert. A lejárati idő az adott hónap utolsó napjára vonatkozik.</w:t>
      </w:r>
    </w:p>
    <w:p w14:paraId="19C90A60"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09FCFA7"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Semmilyen gyógyszert ne dobjon a szennyvízbe vagy a háztartási hulladékba. Kérdezze meg gyógyszerészét, hogy mit tegyen a már nem használt gyógyszereivel. Ezek az intézkedések elősegítik a környezet védelmét.</w:t>
      </w:r>
    </w:p>
    <w:p w14:paraId="1DEE1E26"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307618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D35946B" w14:textId="77777777" w:rsidR="00AF0308" w:rsidRPr="00F93347" w:rsidRDefault="00AF0308" w:rsidP="00AF0308">
      <w:pPr>
        <w:tabs>
          <w:tab w:val="left" w:pos="567"/>
          <w:tab w:val="center" w:pos="2661"/>
        </w:tabs>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6.</w:t>
      </w:r>
      <w:r w:rsidRPr="00F93347">
        <w:rPr>
          <w:rFonts w:ascii="Times New Roman" w:eastAsia="Times New Roman" w:hAnsi="Times New Roman" w:cs="Times New Roman"/>
          <w:b/>
          <w:noProof w:val="0"/>
          <w:color w:val="000000"/>
          <w:kern w:val="0"/>
          <w:lang w:val="hu-HU" w:eastAsia="hu-HU"/>
          <w14:ligatures w14:val="none"/>
        </w:rPr>
        <w:tab/>
        <w:t>A csomagolás tartalma és egyéb információk</w:t>
      </w:r>
    </w:p>
    <w:p w14:paraId="6B8BA9EE" w14:textId="77777777" w:rsidR="00AF0308" w:rsidRPr="00F93347" w:rsidRDefault="00AF0308" w:rsidP="00AF0308">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p>
    <w:p w14:paraId="6803003A"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Mit tartalmaz a Telexer?</w:t>
      </w:r>
    </w:p>
    <w:p w14:paraId="562C9925"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kapszula hatóanyaga a dabigatrán. 150 mg dabigatrán</w:t>
      </w:r>
      <w:r w:rsidRPr="00F93347">
        <w:rPr>
          <w:rFonts w:ascii="Times New Roman" w:eastAsia="Times New Roman" w:hAnsi="Times New Roman" w:cs="Times New Roman"/>
          <w:noProof w:val="0"/>
          <w:color w:val="000000"/>
          <w:kern w:val="0"/>
          <w:lang w:val="hu-HU" w:eastAsia="hu-HU"/>
          <w14:ligatures w14:val="none"/>
        </w:rPr>
        <w:noBreakHyphen/>
        <w:t>etexilát kemény kapszulánként (mezilát formában).</w:t>
      </w:r>
    </w:p>
    <w:p w14:paraId="07FC05C0" w14:textId="77777777"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Egyéb összetevők: borkősav, hipromellóz, dimetikon 350, talkum és hidroxipropilcellulóz.</w:t>
      </w:r>
    </w:p>
    <w:p w14:paraId="6A753A0A" w14:textId="19B06361"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kapszulahéj karragént (E</w:t>
      </w:r>
      <w:r w:rsidR="00E65C47">
        <w:rPr>
          <w:rFonts w:ascii="Times New Roman" w:eastAsia="Times New Roman" w:hAnsi="Times New Roman" w:cs="Times New Roman"/>
          <w:noProof w:val="0"/>
          <w:color w:val="000000"/>
          <w:kern w:val="0"/>
          <w:lang w:val="hu-HU" w:eastAsia="hu-HU"/>
          <w14:ligatures w14:val="none"/>
        </w:rPr>
        <w:t> </w:t>
      </w:r>
      <w:r w:rsidRPr="00F93347">
        <w:rPr>
          <w:rFonts w:ascii="Times New Roman" w:eastAsia="Times New Roman" w:hAnsi="Times New Roman" w:cs="Times New Roman"/>
          <w:noProof w:val="0"/>
          <w:color w:val="000000"/>
          <w:kern w:val="0"/>
          <w:lang w:val="hu-HU" w:eastAsia="hu-HU"/>
          <w14:ligatures w14:val="none"/>
        </w:rPr>
        <w:t>407), kálium-kloridot, titán-dioxidot (E</w:t>
      </w:r>
      <w:r w:rsidR="00E65C47">
        <w:rPr>
          <w:rFonts w:ascii="Times New Roman" w:eastAsia="Times New Roman" w:hAnsi="Times New Roman" w:cs="Times New Roman"/>
          <w:noProof w:val="0"/>
          <w:color w:val="000000"/>
          <w:kern w:val="0"/>
          <w:lang w:val="hu-HU" w:eastAsia="hu-HU"/>
          <w14:ligatures w14:val="none"/>
        </w:rPr>
        <w:t> </w:t>
      </w:r>
      <w:r w:rsidRPr="00F93347">
        <w:rPr>
          <w:rFonts w:ascii="Times New Roman" w:eastAsia="Times New Roman" w:hAnsi="Times New Roman" w:cs="Times New Roman"/>
          <w:noProof w:val="0"/>
          <w:color w:val="000000"/>
          <w:kern w:val="0"/>
          <w:lang w:val="hu-HU" w:eastAsia="hu-HU"/>
          <w14:ligatures w14:val="none"/>
        </w:rPr>
        <w:t xml:space="preserve">171), </w:t>
      </w:r>
      <w:r w:rsidRPr="00F93347">
        <w:rPr>
          <w:rFonts w:ascii="Times New Roman" w:eastAsia="Times New Roman" w:hAnsi="Times New Roman" w:cs="Times New Roman"/>
          <w:noProof w:val="0"/>
          <w:color w:val="000000"/>
          <w:kern w:val="0"/>
          <w:lang w:val="hu-HU" w:eastAsia="hu-HU" w:bidi="en-US"/>
          <w14:ligatures w14:val="none"/>
        </w:rPr>
        <w:t>indigókármin (E</w:t>
      </w:r>
      <w:r w:rsidR="00E65C47">
        <w:rPr>
          <w:rFonts w:ascii="Times New Roman" w:eastAsia="Times New Roman" w:hAnsi="Times New Roman" w:cs="Times New Roman"/>
          <w:noProof w:val="0"/>
          <w:color w:val="000000"/>
          <w:kern w:val="0"/>
          <w:lang w:val="hu-HU" w:eastAsia="hu-HU" w:bidi="en-US"/>
          <w14:ligatures w14:val="none"/>
        </w:rPr>
        <w:t> </w:t>
      </w:r>
      <w:r w:rsidRPr="00F93347">
        <w:rPr>
          <w:rFonts w:ascii="Times New Roman" w:eastAsia="Times New Roman" w:hAnsi="Times New Roman" w:cs="Times New Roman"/>
          <w:noProof w:val="0"/>
          <w:color w:val="000000"/>
          <w:kern w:val="0"/>
          <w:lang w:val="hu-HU" w:eastAsia="hu-HU" w:bidi="en-US"/>
          <w14:ligatures w14:val="none"/>
        </w:rPr>
        <w:t>132)</w:t>
      </w:r>
      <w:r w:rsidRPr="00F93347">
        <w:rPr>
          <w:rFonts w:ascii="Times New Roman" w:eastAsia="Times New Roman" w:hAnsi="Times New Roman" w:cs="Times New Roman"/>
          <w:noProof w:val="0"/>
          <w:color w:val="000000"/>
          <w:kern w:val="0"/>
          <w:lang w:val="hu-HU" w:eastAsia="hu-HU"/>
          <w14:ligatures w14:val="none"/>
        </w:rPr>
        <w:t xml:space="preserve"> és hipromellózt tartalmaz.</w:t>
      </w:r>
    </w:p>
    <w:p w14:paraId="2E4080AE" w14:textId="527F2149" w:rsidR="00AF0308" w:rsidRPr="00F93347" w:rsidRDefault="00AF0308" w:rsidP="00AF0308">
      <w:pPr>
        <w:numPr>
          <w:ilvl w:val="0"/>
          <w:numId w:val="5"/>
        </w:numPr>
        <w:spacing w:after="0" w:line="240" w:lineRule="auto"/>
        <w:ind w:left="567" w:hanging="567"/>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A fekete jelölőfesték sellakot</w:t>
      </w:r>
      <w:r w:rsidRPr="00F93347">
        <w:rPr>
          <w:rFonts w:ascii="Times New Roman" w:eastAsia="Times New Roman" w:hAnsi="Times New Roman" w:cs="Times New Roman"/>
          <w:noProof w:val="0"/>
          <w:color w:val="000000"/>
          <w:kern w:val="0"/>
          <w:lang w:val="hu-HU" w:eastAsia="hu-HU" w:bidi="en-US"/>
          <w14:ligatures w14:val="none"/>
        </w:rPr>
        <w:t xml:space="preserve"> (E</w:t>
      </w:r>
      <w:r w:rsidR="00E65C47">
        <w:rPr>
          <w:rFonts w:ascii="Times New Roman" w:eastAsia="Times New Roman" w:hAnsi="Times New Roman" w:cs="Times New Roman"/>
          <w:noProof w:val="0"/>
          <w:color w:val="000000"/>
          <w:kern w:val="0"/>
          <w:lang w:val="hu-HU" w:eastAsia="hu-HU" w:bidi="en-US"/>
          <w14:ligatures w14:val="none"/>
        </w:rPr>
        <w:t> </w:t>
      </w:r>
      <w:r w:rsidRPr="00F93347">
        <w:rPr>
          <w:rFonts w:ascii="Times New Roman" w:eastAsia="Times New Roman" w:hAnsi="Times New Roman" w:cs="Times New Roman"/>
          <w:noProof w:val="0"/>
          <w:color w:val="000000"/>
          <w:kern w:val="0"/>
          <w:lang w:val="hu-HU" w:eastAsia="hu-HU" w:bidi="en-US"/>
          <w14:ligatures w14:val="none"/>
        </w:rPr>
        <w:t xml:space="preserve">904), </w:t>
      </w:r>
      <w:r w:rsidRPr="00F93347">
        <w:rPr>
          <w:rFonts w:ascii="Times New Roman" w:eastAsia="Times New Roman" w:hAnsi="Times New Roman" w:cs="Times New Roman"/>
          <w:noProof w:val="0"/>
          <w:color w:val="000000"/>
          <w:kern w:val="0"/>
          <w:lang w:val="hu-HU" w:eastAsia="hu-HU"/>
          <w14:ligatures w14:val="none"/>
        </w:rPr>
        <w:t xml:space="preserve">fekete vas-oxidot </w:t>
      </w:r>
      <w:r w:rsidRPr="00F93347">
        <w:rPr>
          <w:rFonts w:ascii="Times New Roman" w:eastAsia="Times New Roman" w:hAnsi="Times New Roman" w:cs="Times New Roman"/>
          <w:noProof w:val="0"/>
          <w:color w:val="000000"/>
          <w:kern w:val="0"/>
          <w:lang w:val="hu-HU" w:eastAsia="hu-HU" w:bidi="en-US"/>
          <w14:ligatures w14:val="none"/>
        </w:rPr>
        <w:t>(E</w:t>
      </w:r>
      <w:r w:rsidR="00E65C47">
        <w:rPr>
          <w:rFonts w:ascii="Times New Roman" w:eastAsia="Times New Roman" w:hAnsi="Times New Roman" w:cs="Times New Roman"/>
          <w:noProof w:val="0"/>
          <w:color w:val="000000"/>
          <w:kern w:val="0"/>
          <w:lang w:val="hu-HU" w:eastAsia="hu-HU" w:bidi="en-US"/>
          <w14:ligatures w14:val="none"/>
        </w:rPr>
        <w:t> </w:t>
      </w:r>
      <w:r w:rsidRPr="00F93347">
        <w:rPr>
          <w:rFonts w:ascii="Times New Roman" w:eastAsia="Times New Roman" w:hAnsi="Times New Roman" w:cs="Times New Roman"/>
          <w:noProof w:val="0"/>
          <w:color w:val="000000"/>
          <w:kern w:val="0"/>
          <w:lang w:val="hu-HU" w:eastAsia="hu-HU" w:bidi="en-US"/>
          <w14:ligatures w14:val="none"/>
        </w:rPr>
        <w:t>172), propilénglikolt (E</w:t>
      </w:r>
      <w:r w:rsidR="00E65C47">
        <w:rPr>
          <w:rFonts w:ascii="Times New Roman" w:eastAsia="Times New Roman" w:hAnsi="Times New Roman" w:cs="Times New Roman"/>
          <w:noProof w:val="0"/>
          <w:color w:val="000000"/>
          <w:kern w:val="0"/>
          <w:lang w:val="hu-HU" w:eastAsia="hu-HU" w:bidi="en-US"/>
          <w14:ligatures w14:val="none"/>
        </w:rPr>
        <w:t> </w:t>
      </w:r>
      <w:r w:rsidRPr="00F93347">
        <w:rPr>
          <w:rFonts w:ascii="Times New Roman" w:eastAsia="Times New Roman" w:hAnsi="Times New Roman" w:cs="Times New Roman"/>
          <w:noProof w:val="0"/>
          <w:color w:val="000000"/>
          <w:kern w:val="0"/>
          <w:lang w:val="hu-HU" w:eastAsia="hu-HU" w:bidi="en-US"/>
          <w14:ligatures w14:val="none"/>
        </w:rPr>
        <w:t xml:space="preserve">1520), tömény </w:t>
      </w:r>
      <w:r w:rsidRPr="00F93347">
        <w:rPr>
          <w:rFonts w:ascii="Times New Roman" w:eastAsia="Times New Roman" w:hAnsi="Times New Roman" w:cs="Times New Roman"/>
          <w:noProof w:val="0"/>
          <w:color w:val="000000"/>
          <w:kern w:val="0"/>
          <w:lang w:val="hu-HU" w:eastAsia="hu-HU"/>
          <w14:ligatures w14:val="none"/>
        </w:rPr>
        <w:t>ammónia-oldatot</w:t>
      </w:r>
      <w:r w:rsidRPr="00F93347">
        <w:rPr>
          <w:rFonts w:ascii="Times New Roman" w:eastAsia="Times New Roman" w:hAnsi="Times New Roman" w:cs="Times New Roman"/>
          <w:noProof w:val="0"/>
          <w:color w:val="000000"/>
          <w:kern w:val="0"/>
          <w:lang w:val="hu-HU" w:eastAsia="hu-HU" w:bidi="en-US"/>
          <w14:ligatures w14:val="none"/>
        </w:rPr>
        <w:t xml:space="preserve"> (E</w:t>
      </w:r>
      <w:r w:rsidR="00E65C47">
        <w:rPr>
          <w:rFonts w:ascii="Times New Roman" w:eastAsia="Times New Roman" w:hAnsi="Times New Roman" w:cs="Times New Roman"/>
          <w:noProof w:val="0"/>
          <w:color w:val="000000"/>
          <w:kern w:val="0"/>
          <w:lang w:val="hu-HU" w:eastAsia="hu-HU" w:bidi="en-US"/>
          <w14:ligatures w14:val="none"/>
        </w:rPr>
        <w:t> </w:t>
      </w:r>
      <w:r w:rsidRPr="00F93347">
        <w:rPr>
          <w:rFonts w:ascii="Times New Roman" w:eastAsia="Times New Roman" w:hAnsi="Times New Roman" w:cs="Times New Roman"/>
          <w:noProof w:val="0"/>
          <w:color w:val="000000"/>
          <w:kern w:val="0"/>
          <w:lang w:val="hu-HU" w:eastAsia="hu-HU" w:bidi="en-US"/>
          <w14:ligatures w14:val="none"/>
        </w:rPr>
        <w:t xml:space="preserve">527) </w:t>
      </w:r>
      <w:r w:rsidRPr="00F93347">
        <w:rPr>
          <w:rFonts w:ascii="Times New Roman" w:eastAsia="Times New Roman" w:hAnsi="Times New Roman" w:cs="Times New Roman"/>
          <w:noProof w:val="0"/>
          <w:color w:val="000000"/>
          <w:kern w:val="0"/>
          <w:lang w:val="hu-HU" w:eastAsia="hu-HU"/>
          <w14:ligatures w14:val="none"/>
        </w:rPr>
        <w:t>és kálium-hidroxidot (E</w:t>
      </w:r>
      <w:r w:rsidR="00E65C47">
        <w:rPr>
          <w:rFonts w:ascii="Times New Roman" w:eastAsia="Times New Roman" w:hAnsi="Times New Roman" w:cs="Times New Roman"/>
          <w:noProof w:val="0"/>
          <w:color w:val="000000"/>
          <w:kern w:val="0"/>
          <w:lang w:val="hu-HU" w:eastAsia="hu-HU"/>
          <w14:ligatures w14:val="none"/>
        </w:rPr>
        <w:t> </w:t>
      </w:r>
      <w:r w:rsidRPr="00F93347">
        <w:rPr>
          <w:rFonts w:ascii="Times New Roman" w:eastAsia="Times New Roman" w:hAnsi="Times New Roman" w:cs="Times New Roman"/>
          <w:noProof w:val="0"/>
          <w:color w:val="000000"/>
          <w:kern w:val="0"/>
          <w:lang w:val="hu-HU" w:eastAsia="hu-HU"/>
          <w14:ligatures w14:val="none"/>
        </w:rPr>
        <w:t>525) tartalmaz.</w:t>
      </w:r>
    </w:p>
    <w:p w14:paraId="7B954E07" w14:textId="77777777" w:rsidR="00AF0308" w:rsidRPr="00F93347" w:rsidRDefault="00AF0308" w:rsidP="00AF0308">
      <w:pPr>
        <w:spacing w:after="0" w:line="240" w:lineRule="auto"/>
        <w:ind w:left="7" w:hanging="10"/>
        <w:rPr>
          <w:rFonts w:ascii="Times New Roman" w:eastAsia="Times New Roman" w:hAnsi="Times New Roman" w:cs="Times New Roman"/>
          <w:bCs/>
          <w:noProof w:val="0"/>
          <w:color w:val="000000"/>
          <w:kern w:val="0"/>
          <w:lang w:val="hu-HU" w:eastAsia="hu-HU"/>
          <w14:ligatures w14:val="none"/>
        </w:rPr>
      </w:pPr>
    </w:p>
    <w:p w14:paraId="29DF52F0"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Milyen a Telexer külleme és mit tartalmaz a csomagolás</w:t>
      </w:r>
    </w:p>
    <w:p w14:paraId="777D8658"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bidi="en-US"/>
          <w14:ligatures w14:val="none"/>
        </w:rPr>
      </w:pPr>
      <w:r w:rsidRPr="00F93347">
        <w:rPr>
          <w:rFonts w:ascii="Times New Roman" w:eastAsia="Times New Roman" w:hAnsi="Times New Roman" w:cs="Times New Roman"/>
          <w:noProof w:val="0"/>
          <w:color w:val="000000"/>
          <w:kern w:val="0"/>
          <w:lang w:val="hu-HU" w:eastAsia="hu-HU" w:bidi="en-US"/>
          <w14:ligatures w14:val="none"/>
        </w:rPr>
        <w:t xml:space="preserve">A Telexer 150 mg </w:t>
      </w:r>
      <w:r w:rsidRPr="00F93347">
        <w:rPr>
          <w:rFonts w:ascii="Times New Roman" w:eastAsia="Times New Roman" w:hAnsi="Times New Roman" w:cs="Times New Roman"/>
          <w:noProof w:val="0"/>
          <w:color w:val="000000"/>
          <w:kern w:val="0"/>
          <w:lang w:val="hu-HU" w:eastAsia="hu-HU"/>
          <w14:ligatures w14:val="none"/>
        </w:rPr>
        <w:t xml:space="preserve">kemény kapszula </w:t>
      </w:r>
      <w:r w:rsidRPr="00F93347">
        <w:rPr>
          <w:rFonts w:ascii="Times New Roman" w:eastAsia="Times New Roman" w:hAnsi="Times New Roman" w:cs="Times New Roman"/>
          <w:noProof w:val="0"/>
          <w:color w:val="000000"/>
          <w:kern w:val="0"/>
          <w:lang w:val="hu-HU" w:eastAsia="hu-HU" w:bidi="en-US"/>
          <w14:ligatures w14:val="none"/>
        </w:rPr>
        <w:t xml:space="preserve">(kb. 21,7 mm hosszú) kék felső és fehér alsó résszel. </w:t>
      </w:r>
      <w:r w:rsidRPr="00F93347">
        <w:rPr>
          <w:rFonts w:ascii="Times New Roman" w:eastAsia="Times New Roman" w:hAnsi="Times New Roman" w:cs="Times New Roman"/>
          <w:noProof w:val="0"/>
          <w:color w:val="000000"/>
          <w:kern w:val="0"/>
          <w:lang w:val="hu-HU" w:eastAsia="hu-HU"/>
          <w14:ligatures w14:val="none"/>
        </w:rPr>
        <w:t>A kemény kapszula felső része a Richter Gedeon logójával, az alsó része „150” jelzéssel van ellátva.</w:t>
      </w:r>
    </w:p>
    <w:p w14:paraId="2597D0E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C3646B2"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bookmarkStart w:id="1" w:name="_Hlk108172130"/>
      <w:r w:rsidRPr="00F93347">
        <w:rPr>
          <w:rFonts w:ascii="Times New Roman" w:eastAsia="Times New Roman" w:hAnsi="Times New Roman" w:cs="Times New Roman"/>
          <w:noProof w:val="0"/>
          <w:color w:val="000000"/>
          <w:kern w:val="0"/>
          <w:lang w:val="hu-HU" w:eastAsia="hu-HU"/>
          <w14:ligatures w14:val="none"/>
        </w:rPr>
        <w:t>10 kemény kapszulát tartalmazó, nedvességmegkötővel ellátott, OPA/AL/PE lágy fóliából és kemény alumíniumfóliából álló Al/Al buborékcsomagolás dobozban. A dobozok 10, 30 vagy 60 kemény kapszulát tartalmaznak.</w:t>
      </w:r>
    </w:p>
    <w:p w14:paraId="59430283"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AC4525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Gyűjtőcsomagolás, ami 3 doboz 60 kemény kapszulát (180 kemény kapszulát) tartalmazó doboz. A gyűjtőcsomagolásban található egyedi dobozok 6 darab, egyenként 10 kemény kapszulát tartalmazó Al/Al buborékcsomagolást tartalmaznak.</w:t>
      </w:r>
    </w:p>
    <w:p w14:paraId="58981CB6"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5E92600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10 kemény kapszulát tartalmazó, perforált, nedvességmegkötővel ellátott, OPA/AL/PE lágy fóliából és kemény alumíniumfóliából álló Al/Al buborékcsomagolás dobozban. A dobozok 10, 30 vagy 60 kemény kapszulát tartalmaznak.</w:t>
      </w:r>
    </w:p>
    <w:p w14:paraId="307B2505" w14:textId="77777777" w:rsidR="00AF0308" w:rsidRPr="00F93347" w:rsidRDefault="00AF0308" w:rsidP="00AF0308">
      <w:pPr>
        <w:spacing w:after="0" w:line="240" w:lineRule="auto"/>
        <w:ind w:right="11"/>
        <w:rPr>
          <w:rFonts w:ascii="Times New Roman" w:eastAsia="Times New Roman" w:hAnsi="Times New Roman" w:cs="Times New Roman"/>
          <w:noProof w:val="0"/>
          <w:color w:val="000000"/>
          <w:kern w:val="0"/>
          <w:lang w:val="hu-HU" w:eastAsia="hu-HU"/>
          <w14:ligatures w14:val="none"/>
        </w:rPr>
      </w:pPr>
    </w:p>
    <w:p w14:paraId="7F47EBEE"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Gyűjtőcsomagolás, ami 3 doboz 60 kemény kapszulát (180 kemény kapszulát) tartalmazó doboz. A gyűjtőcsomagolásban található egyedi dobozok 6 darab, egyenként 10 kemény kapszulát tartalmazó, perforált Al/Al buborékcsomagolást tartalmaznak.</w:t>
      </w:r>
    </w:p>
    <w:bookmarkEnd w:id="1"/>
    <w:p w14:paraId="053315BB" w14:textId="77777777" w:rsidR="00AF0308" w:rsidRPr="00F93347" w:rsidRDefault="00AF0308" w:rsidP="00AF0308">
      <w:pPr>
        <w:spacing w:after="0" w:line="240" w:lineRule="auto"/>
        <w:ind w:left="22" w:right="11" w:hanging="10"/>
        <w:rPr>
          <w:rFonts w:ascii="Times New Roman" w:eastAsia="Times New Roman" w:hAnsi="Times New Roman" w:cs="Times New Roman"/>
          <w:noProof w:val="0"/>
          <w:color w:val="000000"/>
          <w:kern w:val="0"/>
          <w:lang w:val="hu-HU" w:eastAsia="hu-HU"/>
          <w14:ligatures w14:val="none"/>
        </w:rPr>
      </w:pPr>
    </w:p>
    <w:p w14:paraId="13D55B9C"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Nem feltétlenül mindegyik kiszerelés kerül kereskedelmi forgalomba.</w:t>
      </w:r>
    </w:p>
    <w:p w14:paraId="7B283DBE"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0D4A0AF9"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A forgalomba hozatali engedély jogosultja:</w:t>
      </w:r>
    </w:p>
    <w:p w14:paraId="6C93B331"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Richter Gedeon Nyrt.</w:t>
      </w:r>
    </w:p>
    <w:p w14:paraId="794E5C9A"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Gyömrői út 19-21.</w:t>
      </w:r>
    </w:p>
    <w:p w14:paraId="4E437F3F"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1103 Budapest</w:t>
      </w:r>
    </w:p>
    <w:p w14:paraId="0E75851B"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Magyarország</w:t>
      </w:r>
    </w:p>
    <w:p w14:paraId="4D8021E4"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47A113CD" w14:textId="77777777" w:rsidR="00AF0308" w:rsidRPr="00F93347" w:rsidRDefault="00AF0308" w:rsidP="00AF0308">
      <w:pPr>
        <w:widowControl w:val="0"/>
        <w:autoSpaceDE w:val="0"/>
        <w:autoSpaceDN w:val="0"/>
        <w:adjustRightInd w:val="0"/>
        <w:spacing w:after="0" w:line="240" w:lineRule="auto"/>
        <w:rPr>
          <w:rFonts w:ascii="Times New Roman" w:eastAsia="Times New Roman" w:hAnsi="Times New Roman" w:cs="Times New Roman"/>
          <w:b/>
          <w:bCs/>
          <w:noProof w:val="0"/>
          <w:kern w:val="0"/>
          <w:lang w:val="hu-HU" w:eastAsia="pl-PL"/>
          <w14:ligatures w14:val="none"/>
        </w:rPr>
      </w:pPr>
      <w:r w:rsidRPr="00F93347">
        <w:rPr>
          <w:rFonts w:ascii="Times New Roman" w:eastAsia="Times New Roman" w:hAnsi="Times New Roman" w:cs="Times New Roman"/>
          <w:b/>
          <w:bCs/>
          <w:noProof w:val="0"/>
          <w:kern w:val="0"/>
          <w:lang w:val="hu-HU" w:eastAsia="pl-PL"/>
          <w14:ligatures w14:val="none"/>
        </w:rPr>
        <w:t>A gyártó:</w:t>
      </w:r>
    </w:p>
    <w:p w14:paraId="09816F80" w14:textId="77777777" w:rsidR="00AF0308" w:rsidRPr="00F93347" w:rsidRDefault="00AF0308" w:rsidP="00AF0308">
      <w:pPr>
        <w:widowControl w:val="0"/>
        <w:autoSpaceDE w:val="0"/>
        <w:autoSpaceDN w:val="0"/>
        <w:adjustRightInd w:val="0"/>
        <w:spacing w:after="0" w:line="240" w:lineRule="auto"/>
        <w:rPr>
          <w:rFonts w:ascii="Times New Roman" w:eastAsia="Times New Roman" w:hAnsi="Times New Roman" w:cs="Times New Roman"/>
          <w:noProof w:val="0"/>
          <w:kern w:val="0"/>
          <w:lang w:val="hu-HU" w:eastAsia="pl-PL"/>
          <w14:ligatures w14:val="none"/>
        </w:rPr>
      </w:pPr>
      <w:r w:rsidRPr="00F93347">
        <w:rPr>
          <w:rFonts w:ascii="Times New Roman" w:eastAsia="Times New Roman" w:hAnsi="Times New Roman" w:cs="Times New Roman"/>
          <w:noProof w:val="0"/>
          <w:kern w:val="0"/>
          <w:lang w:val="hu-HU" w:eastAsia="pl-PL"/>
          <w14:ligatures w14:val="none"/>
        </w:rPr>
        <w:t>GEDEON RICHTER POLSKA Sp. z o.o.</w:t>
      </w:r>
    </w:p>
    <w:p w14:paraId="459F34AD" w14:textId="77777777" w:rsidR="00AF0308" w:rsidRPr="00F93347" w:rsidRDefault="00AF0308" w:rsidP="00AF0308">
      <w:pPr>
        <w:widowControl w:val="0"/>
        <w:autoSpaceDE w:val="0"/>
        <w:autoSpaceDN w:val="0"/>
        <w:adjustRightInd w:val="0"/>
        <w:spacing w:after="0" w:line="240" w:lineRule="auto"/>
        <w:rPr>
          <w:rFonts w:ascii="Times New Roman" w:eastAsia="Times New Roman" w:hAnsi="Times New Roman" w:cs="Times New Roman"/>
          <w:noProof w:val="0"/>
          <w:kern w:val="0"/>
          <w:lang w:val="hu-HU" w:eastAsia="pl-PL"/>
          <w14:ligatures w14:val="none"/>
        </w:rPr>
      </w:pPr>
      <w:r w:rsidRPr="00F93347">
        <w:rPr>
          <w:rFonts w:ascii="Times New Roman" w:eastAsia="Times New Roman" w:hAnsi="Times New Roman" w:cs="Times New Roman"/>
          <w:noProof w:val="0"/>
          <w:kern w:val="0"/>
          <w:lang w:val="hu-HU" w:eastAsia="pl-PL"/>
          <w14:ligatures w14:val="none"/>
        </w:rPr>
        <w:t>ul. ks. J. Poniatowskiego 5</w:t>
      </w:r>
    </w:p>
    <w:p w14:paraId="07B4AD03" w14:textId="77777777" w:rsidR="00AF0308" w:rsidRPr="00F93347" w:rsidRDefault="00AF0308" w:rsidP="00AF0308">
      <w:pPr>
        <w:widowControl w:val="0"/>
        <w:autoSpaceDE w:val="0"/>
        <w:autoSpaceDN w:val="0"/>
        <w:adjustRightInd w:val="0"/>
        <w:spacing w:after="0" w:line="240" w:lineRule="auto"/>
        <w:rPr>
          <w:rFonts w:ascii="Times New Roman" w:eastAsia="Times New Roman" w:hAnsi="Times New Roman" w:cs="Times New Roman"/>
          <w:noProof w:val="0"/>
          <w:kern w:val="0"/>
          <w:lang w:val="hu-HU" w:eastAsia="pl-PL"/>
          <w14:ligatures w14:val="none"/>
        </w:rPr>
      </w:pPr>
      <w:r w:rsidRPr="00F93347">
        <w:rPr>
          <w:rFonts w:ascii="Times New Roman" w:eastAsia="Times New Roman" w:hAnsi="Times New Roman" w:cs="Times New Roman"/>
          <w:noProof w:val="0"/>
          <w:kern w:val="0"/>
          <w:lang w:val="hu-HU" w:eastAsia="pl-PL"/>
          <w14:ligatures w14:val="none"/>
        </w:rPr>
        <w:t>05-825 Grodzisk Mazowiecki</w:t>
      </w:r>
    </w:p>
    <w:p w14:paraId="395E0F9A" w14:textId="77777777" w:rsidR="00AF0308" w:rsidRPr="00F93347" w:rsidRDefault="00AF0308" w:rsidP="00AF0308">
      <w:pPr>
        <w:widowControl w:val="0"/>
        <w:spacing w:after="0" w:line="240" w:lineRule="auto"/>
        <w:ind w:left="22" w:hanging="10"/>
        <w:rPr>
          <w:rFonts w:ascii="Times New Roman" w:eastAsia="Times New Roman" w:hAnsi="Times New Roman" w:cs="Times New Roman"/>
          <w:b/>
          <w:bCs/>
          <w:noProof w:val="0"/>
          <w:color w:val="000000"/>
          <w:kern w:val="0"/>
          <w:lang w:val="hu-HU" w:eastAsia="hu-HU" w:bidi="en-US"/>
          <w14:ligatures w14:val="none"/>
        </w:rPr>
      </w:pPr>
      <w:r w:rsidRPr="00F93347">
        <w:rPr>
          <w:rFonts w:ascii="Times New Roman" w:eastAsia="Times New Roman" w:hAnsi="Times New Roman" w:cs="Times New Roman"/>
          <w:noProof w:val="0"/>
          <w:color w:val="000000"/>
          <w:kern w:val="0"/>
          <w:lang w:val="hu-HU" w:eastAsia="hu-HU" w:bidi="en-US"/>
          <w14:ligatures w14:val="none"/>
        </w:rPr>
        <w:t>Lengyelország</w:t>
      </w:r>
    </w:p>
    <w:p w14:paraId="688953AB"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p>
    <w:p w14:paraId="775BC752"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és</w:t>
      </w:r>
    </w:p>
    <w:p w14:paraId="16FA8CD4"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p>
    <w:p w14:paraId="24F95432"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Richter Gedeon Nyrt.</w:t>
      </w:r>
    </w:p>
    <w:p w14:paraId="0C1FB7F7"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Gyömrői út 19-21.</w:t>
      </w:r>
    </w:p>
    <w:p w14:paraId="37E1423E"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 xml:space="preserve">H-1103 Budapest </w:t>
      </w:r>
    </w:p>
    <w:p w14:paraId="57B71140" w14:textId="77777777" w:rsidR="00AF0308" w:rsidRPr="00F93347" w:rsidRDefault="00AF0308" w:rsidP="00AF0308">
      <w:pPr>
        <w:widowControl w:val="0"/>
        <w:autoSpaceDE w:val="0"/>
        <w:autoSpaceDN w:val="0"/>
        <w:adjustRightInd w:val="0"/>
        <w:spacing w:after="0" w:line="240"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Magyarország</w:t>
      </w:r>
    </w:p>
    <w:p w14:paraId="251D9E17"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7C46AA06" w14:textId="77777777" w:rsidR="00AF0308" w:rsidRPr="00F93347" w:rsidRDefault="00AF0308" w:rsidP="00AF0308">
      <w:pPr>
        <w:spacing w:after="0" w:line="240" w:lineRule="auto"/>
        <w:ind w:left="7" w:right="11" w:hanging="10"/>
        <w:rPr>
          <w:rFonts w:ascii="Times New Roman" w:eastAsia="Times New Roman" w:hAnsi="Times New Roman" w:cs="Times New Roman"/>
          <w:noProof w:val="0"/>
          <w:color w:val="000000"/>
          <w:kern w:val="0"/>
          <w:lang w:val="hu-HU" w:eastAsia="hu-HU"/>
          <w14:ligatures w14:val="none"/>
        </w:rPr>
      </w:pPr>
    </w:p>
    <w:p w14:paraId="3DF5A7EF" w14:textId="77777777" w:rsidR="00AF0308" w:rsidRPr="00F93347" w:rsidRDefault="00AF0308" w:rsidP="00AF0308">
      <w:pPr>
        <w:spacing w:after="0" w:line="240" w:lineRule="auto"/>
        <w:ind w:left="7" w:hanging="10"/>
        <w:rPr>
          <w:rFonts w:ascii="Times New Roman" w:eastAsia="Times New Roman" w:hAnsi="Times New Roman" w:cs="Times New Roman"/>
          <w:b/>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Ezt a gyógyszert az Európai Gazdasági Térség tagállamaiban az alábbi neveken engedélyezték:</w:t>
      </w:r>
    </w:p>
    <w:p w14:paraId="14384A21"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4E808058"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Bulgária</w:t>
      </w:r>
      <w:r w:rsidRPr="00F93347">
        <w:rPr>
          <w:rFonts w:ascii="Times New Roman" w:eastAsia="Times New Roman" w:hAnsi="Times New Roman" w:cs="Times New Roman"/>
          <w:noProof w:val="0"/>
          <w:color w:val="000000"/>
          <w:kern w:val="0"/>
          <w:lang w:val="hu-HU" w:eastAsia="hu-HU"/>
          <w14:ligatures w14:val="none"/>
        </w:rPr>
        <w:tab/>
      </w:r>
      <w:r w:rsidRPr="00F93347">
        <w:rPr>
          <w:rFonts w:ascii="Times New Roman" w:eastAsia="Times New Roman" w:hAnsi="Times New Roman" w:cs="Times New Roman"/>
          <w:bCs/>
          <w:color w:val="000000"/>
          <w:kern w:val="0"/>
          <w:lang w:val="hu-HU" w:eastAsia="hu-HU"/>
          <w14:ligatures w14:val="none"/>
        </w:rPr>
        <w:t>Телексер</w:t>
      </w:r>
      <w:r w:rsidRPr="00F93347">
        <w:rPr>
          <w:rFonts w:ascii="Times New Roman" w:eastAsia="Times New Roman" w:hAnsi="Times New Roman" w:cs="Times New Roman"/>
          <w:noProof w:val="0"/>
          <w:color w:val="000000"/>
          <w:kern w:val="0"/>
          <w:lang w:val="hu-HU" w:eastAsia="hu-HU"/>
          <w14:ligatures w14:val="none"/>
        </w:rPr>
        <w:t xml:space="preserve"> 150 mg твърди капсули</w:t>
      </w:r>
    </w:p>
    <w:p w14:paraId="32C89E30"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Csehország</w:t>
      </w:r>
      <w:r w:rsidRPr="00F93347">
        <w:rPr>
          <w:rFonts w:ascii="Times New Roman" w:eastAsia="Times New Roman" w:hAnsi="Times New Roman" w:cs="Times New Roman"/>
          <w:noProof w:val="0"/>
          <w:color w:val="000000"/>
          <w:kern w:val="0"/>
          <w:lang w:val="hu-HU" w:eastAsia="hu-HU"/>
          <w14:ligatures w14:val="none"/>
        </w:rPr>
        <w:tab/>
        <w:t>Telexer</w:t>
      </w:r>
    </w:p>
    <w:p w14:paraId="556978B2"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Észtország</w:t>
      </w:r>
      <w:r w:rsidRPr="00F93347">
        <w:rPr>
          <w:rFonts w:ascii="Times New Roman" w:eastAsia="Times New Roman" w:hAnsi="Times New Roman" w:cs="Times New Roman"/>
          <w:noProof w:val="0"/>
          <w:color w:val="000000"/>
          <w:kern w:val="0"/>
          <w:lang w:val="hu-HU" w:eastAsia="hu-HU"/>
          <w14:ligatures w14:val="none"/>
        </w:rPr>
        <w:tab/>
        <w:t>Telexer</w:t>
      </w:r>
    </w:p>
    <w:p w14:paraId="4A4815A9"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Lengyelország</w:t>
      </w:r>
      <w:r w:rsidRPr="00F93347">
        <w:rPr>
          <w:rFonts w:ascii="Times New Roman" w:eastAsia="Times New Roman" w:hAnsi="Times New Roman" w:cs="Times New Roman"/>
          <w:noProof w:val="0"/>
          <w:color w:val="000000"/>
          <w:kern w:val="0"/>
          <w:lang w:val="hu-HU" w:eastAsia="hu-HU"/>
          <w14:ligatures w14:val="none"/>
        </w:rPr>
        <w:tab/>
        <w:t>Telexer</w:t>
      </w:r>
    </w:p>
    <w:p w14:paraId="4A73DBCC"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Lettország</w:t>
      </w:r>
      <w:r w:rsidRPr="00F93347">
        <w:rPr>
          <w:rFonts w:ascii="Times New Roman" w:eastAsia="Times New Roman" w:hAnsi="Times New Roman" w:cs="Times New Roman"/>
          <w:noProof w:val="0"/>
          <w:color w:val="000000"/>
          <w:kern w:val="0"/>
          <w:lang w:val="hu-HU" w:eastAsia="hu-HU"/>
          <w14:ligatures w14:val="none"/>
        </w:rPr>
        <w:tab/>
        <w:t>Telexer 150 mg cietās kapsulas</w:t>
      </w:r>
    </w:p>
    <w:p w14:paraId="59C3EE0F" w14:textId="77777777" w:rsidR="00AF0308" w:rsidRPr="00F93347" w:rsidRDefault="00AF0308" w:rsidP="00AF0308">
      <w:pPr>
        <w:tabs>
          <w:tab w:val="left" w:pos="2268"/>
        </w:tabs>
        <w:autoSpaceDE w:val="0"/>
        <w:autoSpaceDN w:val="0"/>
        <w:adjustRightInd w:val="0"/>
        <w:spacing w:after="0"/>
        <w:rPr>
          <w:noProof w:val="0"/>
          <w:kern w:val="0"/>
          <w:lang w:val="hu-HU"/>
          <w14:ligatures w14:val="none"/>
        </w:rPr>
      </w:pPr>
      <w:r w:rsidRPr="00F93347">
        <w:rPr>
          <w:rFonts w:ascii="Times New Roman" w:eastAsia="Times New Roman" w:hAnsi="Times New Roman" w:cs="Times New Roman"/>
          <w:noProof w:val="0"/>
          <w:color w:val="000000"/>
          <w:kern w:val="0"/>
          <w:lang w:val="hu-HU" w:eastAsia="hu-HU"/>
          <w14:ligatures w14:val="none"/>
        </w:rPr>
        <w:t>Litvánia</w:t>
      </w:r>
      <w:r w:rsidRPr="00F93347">
        <w:rPr>
          <w:rFonts w:ascii="Times New Roman" w:eastAsia="Times New Roman" w:hAnsi="Times New Roman" w:cs="Times New Roman"/>
          <w:noProof w:val="0"/>
          <w:color w:val="000000"/>
          <w:kern w:val="0"/>
          <w:lang w:val="hu-HU" w:eastAsia="hu-HU"/>
          <w14:ligatures w14:val="none"/>
        </w:rPr>
        <w:tab/>
        <w:t>Telexer 150 mg kietosios kapsulės</w:t>
      </w:r>
    </w:p>
    <w:p w14:paraId="4C90A431"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Magyarország</w:t>
      </w:r>
      <w:r w:rsidRPr="00F93347">
        <w:rPr>
          <w:rFonts w:ascii="Times New Roman" w:eastAsia="Times New Roman" w:hAnsi="Times New Roman" w:cs="Times New Roman"/>
          <w:noProof w:val="0"/>
          <w:color w:val="000000"/>
          <w:kern w:val="0"/>
          <w:lang w:val="hu-HU" w:eastAsia="hu-HU"/>
          <w14:ligatures w14:val="none"/>
        </w:rPr>
        <w:tab/>
        <w:t>Telexer 150 mg kemény kapszula</w:t>
      </w:r>
    </w:p>
    <w:p w14:paraId="63F7D779"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Románia</w:t>
      </w:r>
      <w:r w:rsidRPr="00F93347">
        <w:rPr>
          <w:rFonts w:ascii="Times New Roman" w:eastAsia="Times New Roman" w:hAnsi="Times New Roman" w:cs="Times New Roman"/>
          <w:noProof w:val="0"/>
          <w:color w:val="000000"/>
          <w:kern w:val="0"/>
          <w:lang w:val="hu-HU" w:eastAsia="hu-HU"/>
          <w14:ligatures w14:val="none"/>
        </w:rPr>
        <w:tab/>
        <w:t>Telexer 150 mg capsule</w:t>
      </w:r>
    </w:p>
    <w:p w14:paraId="36121779"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Szlovákia</w:t>
      </w:r>
      <w:r w:rsidRPr="00F93347">
        <w:rPr>
          <w:rFonts w:ascii="Times New Roman" w:eastAsia="Times New Roman" w:hAnsi="Times New Roman" w:cs="Times New Roman"/>
          <w:noProof w:val="0"/>
          <w:color w:val="000000"/>
          <w:kern w:val="0"/>
          <w:lang w:val="hu-HU" w:eastAsia="hu-HU"/>
          <w14:ligatures w14:val="none"/>
        </w:rPr>
        <w:tab/>
        <w:t>Telexer 150 mg tvrdé kapsuly</w:t>
      </w:r>
    </w:p>
    <w:p w14:paraId="6F1B409D"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p>
    <w:p w14:paraId="038AC811"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OGYI-T-24106/09</w:t>
      </w:r>
      <w:r w:rsidRPr="00F93347">
        <w:rPr>
          <w:rFonts w:ascii="Times New Roman" w:eastAsia="Times New Roman" w:hAnsi="Times New Roman" w:cs="Times New Roman"/>
          <w:noProof w:val="0"/>
          <w:color w:val="000000"/>
          <w:kern w:val="0"/>
          <w:lang w:val="hu-HU" w:eastAsia="hu-HU"/>
          <w14:ligatures w14:val="none"/>
        </w:rPr>
        <w:tab/>
        <w:t>10×</w:t>
      </w:r>
      <w:r w:rsidRPr="00F93347">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7E29DF8E"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OGYI-T-24106/11</w:t>
      </w:r>
      <w:r w:rsidRPr="00F93347">
        <w:rPr>
          <w:rFonts w:ascii="Times New Roman" w:eastAsia="Times New Roman" w:hAnsi="Times New Roman" w:cs="Times New Roman"/>
          <w:noProof w:val="0"/>
          <w:color w:val="000000"/>
          <w:kern w:val="0"/>
          <w:lang w:val="hu-HU" w:eastAsia="hu-HU"/>
          <w14:ligatures w14:val="none"/>
        </w:rPr>
        <w:tab/>
        <w:t>30×</w:t>
      </w:r>
      <w:r w:rsidRPr="00F93347">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2772514F" w14:textId="77777777" w:rsidR="00AF0308" w:rsidRPr="00F93347" w:rsidRDefault="00AF0308" w:rsidP="00AF0308">
      <w:pPr>
        <w:tabs>
          <w:tab w:val="left" w:pos="2268"/>
        </w:tabs>
        <w:autoSpaceDE w:val="0"/>
        <w:autoSpaceDN w:val="0"/>
        <w:adjustRightInd w:val="0"/>
        <w:spacing w:after="15" w:line="248" w:lineRule="auto"/>
        <w:ind w:left="22"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OGYI-T-24106/13</w:t>
      </w:r>
      <w:r w:rsidRPr="00F93347">
        <w:rPr>
          <w:rFonts w:ascii="Times New Roman" w:eastAsia="Times New Roman" w:hAnsi="Times New Roman" w:cs="Times New Roman"/>
          <w:noProof w:val="0"/>
          <w:color w:val="000000"/>
          <w:kern w:val="0"/>
          <w:lang w:val="hu-HU" w:eastAsia="hu-HU"/>
          <w14:ligatures w14:val="none"/>
        </w:rPr>
        <w:tab/>
        <w:t>60×</w:t>
      </w:r>
      <w:r w:rsidRPr="00F93347">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67A60DF3" w14:textId="74890B74"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noProof w:val="0"/>
          <w:color w:val="000000"/>
          <w:kern w:val="0"/>
          <w:lang w:val="hu-HU" w:eastAsia="hu-HU"/>
          <w14:ligatures w14:val="none"/>
        </w:rPr>
        <w:t>OGYI-T-24106/15</w:t>
      </w:r>
      <w:r w:rsidRPr="00F93347">
        <w:rPr>
          <w:rFonts w:ascii="Times New Roman" w:eastAsia="Times New Roman" w:hAnsi="Times New Roman" w:cs="Times New Roman"/>
          <w:noProof w:val="0"/>
          <w:color w:val="000000"/>
          <w:kern w:val="0"/>
          <w:lang w:val="hu-HU" w:eastAsia="hu-HU"/>
          <w14:ligatures w14:val="none"/>
        </w:rPr>
        <w:tab/>
        <w:t>180× (3×60)</w:t>
      </w:r>
      <w:r w:rsidRPr="00F93347">
        <w:rPr>
          <w:rFonts w:ascii="Times New Roman" w:eastAsia="Times New Roman" w:hAnsi="Times New Roman" w:cs="Times New Roman"/>
          <w:noProof w:val="0"/>
          <w:color w:val="000000"/>
          <w:kern w:val="0"/>
          <w:lang w:val="hu-HU" w:eastAsia="hu-HU"/>
          <w14:ligatures w14:val="none"/>
        </w:rPr>
        <w:tab/>
        <w:t>OPA/Al/PE lágy fóliából és kemény alumíniumfóliából álló Al/Al buborékcsomagolás.</w:t>
      </w:r>
    </w:p>
    <w:p w14:paraId="687223B4" w14:textId="77777777" w:rsidR="00AF0308" w:rsidRPr="00F93347" w:rsidRDefault="00AF0308" w:rsidP="00AF0308">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463C751F" w14:textId="5651C234" w:rsidR="00AF0308" w:rsidRPr="00F93347" w:rsidRDefault="00AF0308" w:rsidP="00396DE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r w:rsidRPr="00F93347">
        <w:rPr>
          <w:rFonts w:ascii="Times New Roman" w:eastAsia="Times New Roman" w:hAnsi="Times New Roman" w:cs="Times New Roman"/>
          <w:b/>
          <w:noProof w:val="0"/>
          <w:color w:val="000000"/>
          <w:kern w:val="0"/>
          <w:lang w:val="hu-HU" w:eastAsia="hu-HU"/>
          <w14:ligatures w14:val="none"/>
        </w:rPr>
        <w:t xml:space="preserve">A betegtájékoztató legutóbbi felülvizsgálatának dátuma: </w:t>
      </w:r>
      <w:r w:rsidR="00FC35C7">
        <w:rPr>
          <w:rFonts w:ascii="Times New Roman" w:eastAsia="Times New Roman" w:hAnsi="Times New Roman" w:cs="Times New Roman"/>
          <w:b/>
          <w:noProof w:val="0"/>
          <w:color w:val="000000"/>
          <w:kern w:val="0"/>
          <w:lang w:val="hu-HU" w:eastAsia="hu-HU"/>
          <w14:ligatures w14:val="none"/>
        </w:rPr>
        <w:t>2026. július.</w:t>
      </w:r>
      <w:bookmarkEnd w:id="0"/>
    </w:p>
    <w:p w14:paraId="1865F59D" w14:textId="77777777" w:rsidR="00AF0308" w:rsidRPr="00396DE0" w:rsidRDefault="00AF0308" w:rsidP="00396DE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p w14:paraId="2D637A05" w14:textId="77777777" w:rsidR="00955F00" w:rsidRPr="00396DE0" w:rsidRDefault="00955F00" w:rsidP="00396DE0">
      <w:pPr>
        <w:spacing w:after="0" w:line="240" w:lineRule="auto"/>
        <w:ind w:left="7" w:hanging="10"/>
        <w:rPr>
          <w:rFonts w:ascii="Times New Roman" w:eastAsia="Times New Roman" w:hAnsi="Times New Roman" w:cs="Times New Roman"/>
          <w:noProof w:val="0"/>
          <w:color w:val="000000"/>
          <w:kern w:val="0"/>
          <w:lang w:val="hu-HU" w:eastAsia="hu-HU"/>
          <w14:ligatures w14:val="none"/>
        </w:rPr>
      </w:pPr>
    </w:p>
    <w:sectPr w:rsidR="00955F00" w:rsidRPr="00396DE0" w:rsidSect="0066607D">
      <w:headerReference w:type="even" r:id="rId9"/>
      <w:headerReference w:type="default" r:id="rId10"/>
      <w:footerReference w:type="even" r:id="rId11"/>
      <w:footerReference w:type="default" r:id="rId12"/>
      <w:headerReference w:type="first" r:id="rId13"/>
      <w:footerReference w:type="first" r:id="rId14"/>
      <w:pgSz w:w="11905" w:h="16838"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B9F41" w14:textId="77777777" w:rsidR="002931B1" w:rsidRDefault="002931B1">
      <w:pPr>
        <w:spacing w:after="0" w:line="240" w:lineRule="auto"/>
      </w:pPr>
      <w:r>
        <w:separator/>
      </w:r>
    </w:p>
  </w:endnote>
  <w:endnote w:type="continuationSeparator" w:id="0">
    <w:p w14:paraId="37C6B945" w14:textId="77777777" w:rsidR="002931B1" w:rsidRDefault="00293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9F51B" w14:textId="77777777" w:rsidR="00AF0308" w:rsidRDefault="00AF0308">
    <w:pPr>
      <w:spacing w:after="0"/>
      <w:ind w:right="97"/>
      <w:jc w:val="center"/>
    </w:pPr>
    <w:r>
      <w:rPr>
        <w:rFonts w:ascii="Times New Roman" w:eastAsia="Times New Roman" w:hAnsi="Times New Roman" w:cs="Times New Roman"/>
      </w:rPr>
      <w:fldChar w:fldCharType="begin"/>
    </w:r>
    <w:r>
      <w:instrText xml:space="preserve"> PAGE   \* MERGEFORMAT </w:instrText>
    </w:r>
    <w:r>
      <w:rPr>
        <w:rFonts w:ascii="Times New Roman" w:eastAsia="Times New Roman" w:hAnsi="Times New Roman" w:cs="Times New Roman"/>
      </w:rPr>
      <w:fldChar w:fldCharType="separate"/>
    </w:r>
    <w:r>
      <w:rPr>
        <w:rFonts w:ascii="Arial" w:eastAsia="Arial" w:hAnsi="Arial" w:cs="Arial"/>
        <w:sz w:val="16"/>
      </w:rPr>
      <w:t>1</w:t>
    </w:r>
    <w:r>
      <w:rPr>
        <w:rFonts w:ascii="Arial" w:eastAsia="Arial" w:hAnsi="Arial" w:cs="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8B30C" w14:textId="77777777" w:rsidR="00AF0308" w:rsidRDefault="00AF0308">
    <w:pPr>
      <w:spacing w:after="0"/>
      <w:ind w:right="9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E27BD" w14:textId="795F1E23" w:rsidR="00AF0308" w:rsidRPr="003C25BB" w:rsidRDefault="00DB0B35" w:rsidP="00DF2AE3">
    <w:pPr>
      <w:spacing w:after="0"/>
      <w:ind w:right="97"/>
      <w:rPr>
        <w:sz w:val="18"/>
        <w:szCs w:val="18"/>
      </w:rPr>
    </w:pPr>
    <w:r w:rsidRPr="00DB0B35">
      <w:rPr>
        <w:rFonts w:ascii="Times New Roman" w:eastAsia="Times New Roman" w:hAnsi="Times New Roman" w:cs="Times New Roman"/>
        <w:sz w:val="18"/>
        <w:szCs w:val="18"/>
      </w:rPr>
      <w:t>NNGYK/ETGY/19799/2026</w:t>
    </w:r>
    <w:r w:rsidRPr="00DB0B35" w:rsidDel="00224CD3">
      <w:rPr>
        <w:rFonts w:ascii="Times New Roman" w:eastAsia="Times New Roman" w:hAnsi="Times New Roman" w:cs="Times New Roman"/>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C2CE7" w14:textId="77777777" w:rsidR="002931B1" w:rsidRDefault="002931B1">
      <w:pPr>
        <w:spacing w:after="0" w:line="240" w:lineRule="auto"/>
      </w:pPr>
      <w:r>
        <w:separator/>
      </w:r>
    </w:p>
  </w:footnote>
  <w:footnote w:type="continuationSeparator" w:id="0">
    <w:p w14:paraId="40425C3C" w14:textId="77777777" w:rsidR="002931B1" w:rsidRDefault="002931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C493A" w14:textId="77777777" w:rsidR="00AF0308" w:rsidRDefault="00AF0308">
    <w:pPr>
      <w:spacing w:after="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18"/>
        <w:szCs w:val="18"/>
      </w:rPr>
      <w:id w:val="260656337"/>
      <w:docPartObj>
        <w:docPartGallery w:val="Page Numbers (Top of Page)"/>
        <w:docPartUnique/>
      </w:docPartObj>
    </w:sdtPr>
    <w:sdtEndPr/>
    <w:sdtContent>
      <w:p w14:paraId="7FF1AFB8" w14:textId="77777777" w:rsidR="00AF0308" w:rsidRPr="00DF2AE3" w:rsidRDefault="00AF0308">
        <w:pPr>
          <w:pStyle w:val="lfej"/>
          <w:jc w:val="center"/>
          <w:rPr>
            <w:rFonts w:ascii="Times New Roman" w:hAnsi="Times New Roman"/>
            <w:sz w:val="18"/>
            <w:szCs w:val="18"/>
          </w:rPr>
        </w:pPr>
        <w:r w:rsidRPr="00DF2AE3">
          <w:rPr>
            <w:rFonts w:ascii="Times New Roman" w:hAnsi="Times New Roman"/>
            <w:sz w:val="18"/>
            <w:szCs w:val="18"/>
          </w:rPr>
          <w:fldChar w:fldCharType="begin"/>
        </w:r>
        <w:r w:rsidRPr="00DF2AE3">
          <w:rPr>
            <w:rFonts w:ascii="Times New Roman" w:hAnsi="Times New Roman"/>
            <w:sz w:val="18"/>
            <w:szCs w:val="18"/>
          </w:rPr>
          <w:instrText>PAGE   \* MERGEFORMAT</w:instrText>
        </w:r>
        <w:r w:rsidRPr="00DF2AE3">
          <w:rPr>
            <w:rFonts w:ascii="Times New Roman" w:hAnsi="Times New Roman"/>
            <w:sz w:val="18"/>
            <w:szCs w:val="18"/>
          </w:rPr>
          <w:fldChar w:fldCharType="separate"/>
        </w:r>
        <w:r>
          <w:rPr>
            <w:rFonts w:ascii="Times New Roman" w:hAnsi="Times New Roman"/>
            <w:sz w:val="18"/>
            <w:szCs w:val="18"/>
          </w:rPr>
          <w:t>9</w:t>
        </w:r>
        <w:r w:rsidRPr="00DF2AE3">
          <w:rPr>
            <w:rFonts w:ascii="Times New Roman" w:hAnsi="Times New Roman"/>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680DC" w14:textId="77777777" w:rsidR="00AF0308" w:rsidRPr="00F93347" w:rsidRDefault="00AF0308">
    <w:pPr>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57E91"/>
    <w:multiLevelType w:val="hybridMultilevel"/>
    <w:tmpl w:val="C062F9DC"/>
    <w:lvl w:ilvl="0" w:tplc="5B180E30">
      <w:start w:val="1"/>
      <w:numFmt w:val="bullet"/>
      <w:lvlText w:val="•"/>
      <w:lvlJc w:val="left"/>
      <w:pPr>
        <w:ind w:left="720" w:firstLine="0"/>
      </w:pPr>
      <w:rPr>
        <w:rFonts w:ascii="Calibri" w:eastAsia="Calibri" w:hAnsi="Calibri" w:cs="Times New Roman" w:hint="default"/>
        <w:b w:val="0"/>
        <w:i w:val="0"/>
        <w:strike w:val="0"/>
        <w:dstrike w:val="0"/>
        <w:color w:val="000000"/>
        <w:sz w:val="22"/>
        <w:szCs w:val="22"/>
        <w:u w:val="none" w:color="000000"/>
        <w:effect w:val="none"/>
        <w:bdr w:val="none" w:sz="0" w:space="0" w:color="auto" w:frame="1"/>
        <w:vertAlign w:val="baseline"/>
      </w:rPr>
    </w:lvl>
    <w:lvl w:ilvl="1" w:tplc="71C2B1A4">
      <w:start w:val="1"/>
      <w:numFmt w:val="bullet"/>
      <w:lvlText w:val="o"/>
      <w:lvlJc w:val="left"/>
      <w:pPr>
        <w:ind w:left="14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7D36243A">
      <w:start w:val="1"/>
      <w:numFmt w:val="bullet"/>
      <w:lvlText w:val="▪"/>
      <w:lvlJc w:val="left"/>
      <w:pPr>
        <w:ind w:left="21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4CA23F9E">
      <w:start w:val="1"/>
      <w:numFmt w:val="bullet"/>
      <w:lvlText w:val="•"/>
      <w:lvlJc w:val="left"/>
      <w:pPr>
        <w:ind w:left="28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E6529002">
      <w:start w:val="1"/>
      <w:numFmt w:val="bullet"/>
      <w:lvlText w:val="o"/>
      <w:lvlJc w:val="left"/>
      <w:pPr>
        <w:ind w:left="36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25D25C50">
      <w:start w:val="1"/>
      <w:numFmt w:val="bullet"/>
      <w:lvlText w:val="▪"/>
      <w:lvlJc w:val="left"/>
      <w:pPr>
        <w:ind w:left="43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EB6C213A">
      <w:start w:val="1"/>
      <w:numFmt w:val="bullet"/>
      <w:lvlText w:val="•"/>
      <w:lvlJc w:val="left"/>
      <w:pPr>
        <w:ind w:left="50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24122066">
      <w:start w:val="1"/>
      <w:numFmt w:val="bullet"/>
      <w:lvlText w:val="o"/>
      <w:lvlJc w:val="left"/>
      <w:pPr>
        <w:ind w:left="57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3D4883BE">
      <w:start w:val="1"/>
      <w:numFmt w:val="bullet"/>
      <w:lvlText w:val="▪"/>
      <w:lvlJc w:val="left"/>
      <w:pPr>
        <w:ind w:left="64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43C758BB"/>
    <w:multiLevelType w:val="hybridMultilevel"/>
    <w:tmpl w:val="8D9892EC"/>
    <w:lvl w:ilvl="0" w:tplc="DBB6749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D2251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EEFDE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B22AB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F0514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287ED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B2AAA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4ED2A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2A603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AE94862"/>
    <w:multiLevelType w:val="hybridMultilevel"/>
    <w:tmpl w:val="47920BFC"/>
    <w:lvl w:ilvl="0" w:tplc="26DE5D40">
      <w:start w:val="1"/>
      <w:numFmt w:val="bullet"/>
      <w:lvlText w:val="•"/>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B610F46C">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7B001AF4">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6A4AF276">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3C7A6976">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6AEC4036">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E872E202">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232378A">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165C4598">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6E8C4C5A"/>
    <w:multiLevelType w:val="hybridMultilevel"/>
    <w:tmpl w:val="BA92EC32"/>
    <w:lvl w:ilvl="0" w:tplc="2172565C">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6620C0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BCC68F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56CE5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0864618">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FA228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DC2D4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3645C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3655A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A100D28"/>
    <w:multiLevelType w:val="hybridMultilevel"/>
    <w:tmpl w:val="979479BE"/>
    <w:lvl w:ilvl="0" w:tplc="23F275C6">
      <w:start w:val="1"/>
      <w:numFmt w:val="upperLetter"/>
      <w:lvlText w:val="%1."/>
      <w:lvlJc w:val="left"/>
      <w:pPr>
        <w:ind w:left="5670" w:hanging="5670"/>
      </w:pPr>
      <w:rPr>
        <w:b/>
      </w:rPr>
    </w:lvl>
    <w:lvl w:ilvl="1" w:tplc="87AC6204">
      <w:start w:val="17"/>
      <w:numFmt w:val="decimal"/>
      <w:lvlText w:val="%2."/>
      <w:lvlJc w:val="left"/>
      <w:pPr>
        <w:ind w:left="1650" w:hanging="570"/>
      </w:pPr>
      <w:rPr>
        <w:b/>
        <w:i w:val="0"/>
      </w:rPr>
    </w:lvl>
    <w:lvl w:ilvl="2" w:tplc="9C3AC908">
      <w:start w:val="1"/>
      <w:numFmt w:val="lowerRoman"/>
      <w:lvlText w:val="%3."/>
      <w:lvlJc w:val="right"/>
      <w:pPr>
        <w:ind w:left="2160" w:hanging="180"/>
      </w:pPr>
    </w:lvl>
    <w:lvl w:ilvl="3" w:tplc="D53AC710">
      <w:start w:val="1"/>
      <w:numFmt w:val="decimal"/>
      <w:lvlText w:val="%4."/>
      <w:lvlJc w:val="left"/>
      <w:pPr>
        <w:ind w:left="2880" w:hanging="360"/>
      </w:pPr>
    </w:lvl>
    <w:lvl w:ilvl="4" w:tplc="52F27914">
      <w:start w:val="1"/>
      <w:numFmt w:val="lowerLetter"/>
      <w:lvlText w:val="%5."/>
      <w:lvlJc w:val="left"/>
      <w:pPr>
        <w:ind w:left="3600" w:hanging="360"/>
      </w:pPr>
    </w:lvl>
    <w:lvl w:ilvl="5" w:tplc="58DAFE44">
      <w:start w:val="1"/>
      <w:numFmt w:val="lowerRoman"/>
      <w:lvlText w:val="%6."/>
      <w:lvlJc w:val="right"/>
      <w:pPr>
        <w:ind w:left="4320" w:hanging="180"/>
      </w:pPr>
    </w:lvl>
    <w:lvl w:ilvl="6" w:tplc="01E2B752">
      <w:start w:val="1"/>
      <w:numFmt w:val="decimal"/>
      <w:lvlText w:val="%7."/>
      <w:lvlJc w:val="left"/>
      <w:pPr>
        <w:ind w:left="5040" w:hanging="360"/>
      </w:pPr>
    </w:lvl>
    <w:lvl w:ilvl="7" w:tplc="7D0E0EA0">
      <w:start w:val="1"/>
      <w:numFmt w:val="lowerLetter"/>
      <w:lvlText w:val="%8."/>
      <w:lvlJc w:val="left"/>
      <w:pPr>
        <w:ind w:left="5760" w:hanging="360"/>
      </w:pPr>
    </w:lvl>
    <w:lvl w:ilvl="8" w:tplc="8214A74E">
      <w:start w:val="1"/>
      <w:numFmt w:val="lowerRoman"/>
      <w:lvlText w:val="%9."/>
      <w:lvlJc w:val="right"/>
      <w:pPr>
        <w:ind w:left="6480" w:hanging="180"/>
      </w:pPr>
    </w:lvl>
  </w:abstractNum>
  <w:num w:numId="1" w16cid:durableId="2085443706">
    <w:abstractNumId w:val="4"/>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6776857">
    <w:abstractNumId w:val="2"/>
  </w:num>
  <w:num w:numId="3" w16cid:durableId="767585224">
    <w:abstractNumId w:val="0"/>
  </w:num>
  <w:num w:numId="4" w16cid:durableId="430702863">
    <w:abstractNumId w:val="1"/>
  </w:num>
  <w:num w:numId="5" w16cid:durableId="11312413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308"/>
    <w:rsid w:val="000C48E4"/>
    <w:rsid w:val="00174BC3"/>
    <w:rsid w:val="001838C2"/>
    <w:rsid w:val="001A6E5F"/>
    <w:rsid w:val="00224CD3"/>
    <w:rsid w:val="002931B1"/>
    <w:rsid w:val="002F065E"/>
    <w:rsid w:val="0030331B"/>
    <w:rsid w:val="00396DE0"/>
    <w:rsid w:val="00567369"/>
    <w:rsid w:val="0066607D"/>
    <w:rsid w:val="006956E6"/>
    <w:rsid w:val="00916A60"/>
    <w:rsid w:val="00937215"/>
    <w:rsid w:val="00955F00"/>
    <w:rsid w:val="009630CC"/>
    <w:rsid w:val="00974E0C"/>
    <w:rsid w:val="00997842"/>
    <w:rsid w:val="009A0737"/>
    <w:rsid w:val="00A00954"/>
    <w:rsid w:val="00AF0308"/>
    <w:rsid w:val="00CA4FE0"/>
    <w:rsid w:val="00DB0B35"/>
    <w:rsid w:val="00E27573"/>
    <w:rsid w:val="00E65C47"/>
    <w:rsid w:val="00F852D6"/>
    <w:rsid w:val="00F93347"/>
    <w:rsid w:val="00F946DC"/>
    <w:rsid w:val="00FA196B"/>
    <w:rsid w:val="00FC35C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3EA95"/>
  <w15:chartTrackingRefBased/>
  <w15:docId w15:val="{84E8787D-A558-41F2-AC5F-4CC592400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noProof/>
      <w:lang w:val="ru-R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semiHidden/>
    <w:unhideWhenUsed/>
    <w:rsid w:val="00AF0308"/>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AF0308"/>
    <w:rPr>
      <w:noProof/>
      <w:lang w:val="ru-RU"/>
    </w:rPr>
  </w:style>
  <w:style w:type="table" w:customStyle="1" w:styleId="TableGrid">
    <w:name w:val="TableGrid"/>
    <w:rsid w:val="00AF0308"/>
    <w:pPr>
      <w:spacing w:after="0" w:line="240" w:lineRule="auto"/>
    </w:pPr>
    <w:rPr>
      <w:rFonts w:eastAsiaTheme="minorEastAsia"/>
      <w:kern w:val="0"/>
      <w:lang w:eastAsia="hu-HU"/>
      <w14:ligatures w14:val="none"/>
    </w:rPr>
    <w:tblPr>
      <w:tblCellMar>
        <w:top w:w="0" w:type="dxa"/>
        <w:left w:w="0" w:type="dxa"/>
        <w:bottom w:w="0" w:type="dxa"/>
        <w:right w:w="0" w:type="dxa"/>
      </w:tblCellMar>
    </w:tblPr>
  </w:style>
  <w:style w:type="table" w:styleId="Rcsostblzat">
    <w:name w:val="Table Grid"/>
    <w:basedOn w:val="Normltblzat"/>
    <w:uiPriority w:val="39"/>
    <w:rsid w:val="00AF0308"/>
    <w:pPr>
      <w:spacing w:after="0" w:line="240" w:lineRule="auto"/>
    </w:pPr>
    <w:rPr>
      <w:rFonts w:eastAsiaTheme="minorEastAsia"/>
      <w:kern w:val="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0C48E4"/>
    <w:pPr>
      <w:spacing w:after="0" w:line="240" w:lineRule="auto"/>
    </w:pPr>
    <w:rPr>
      <w:noProo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33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3345</Words>
  <Characters>23087</Characters>
  <Application>Microsoft Office Word</Application>
  <DocSecurity>0</DocSecurity>
  <Lines>192</Lines>
  <Paragraphs>52</Paragraphs>
  <ScaleCrop>false</ScaleCrop>
  <Company/>
  <LinksUpToDate>false</LinksUpToDate>
  <CharactersWithSpaces>26380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 Author</dc:creator>
  <cp:keywords/>
  <dc:description/>
  <cp:lastModifiedBy>OGYI_62.1</cp:lastModifiedBy>
  <cp:revision>7</cp:revision>
  <dcterms:created xsi:type="dcterms:W3CDTF">2026-06-12T10:24:00Z</dcterms:created>
  <dcterms:modified xsi:type="dcterms:W3CDTF">2026-09-15T08:15:00Z</dcterms:modified>
</cp:coreProperties>
</file>