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E88CE" w14:textId="77777777" w:rsidR="00860BB1" w:rsidRPr="00860BB1" w:rsidRDefault="00860BB1" w:rsidP="00860BB1">
      <w:pPr>
        <w:spacing w:after="0" w:line="240" w:lineRule="auto"/>
        <w:ind w:left="7" w:right="-3" w:hanging="10"/>
        <w:jc w:val="center"/>
        <w:rPr>
          <w:rFonts w:ascii="Times New Roman" w:eastAsia="Times New Roman" w:hAnsi="Times New Roman" w:cs="Times New Roman"/>
          <w:b/>
          <w:noProof w:val="0"/>
          <w:color w:val="000000"/>
          <w:kern w:val="0"/>
          <w:lang w:val="hu-HU" w:eastAsia="hu-HU"/>
          <w14:ligatures w14:val="none"/>
        </w:rPr>
      </w:pPr>
      <w:bookmarkStart w:id="0" w:name="_Hlk68185270"/>
      <w:r w:rsidRPr="00860BB1">
        <w:rPr>
          <w:rFonts w:ascii="Times New Roman" w:eastAsia="Times New Roman" w:hAnsi="Times New Roman" w:cs="Times New Roman"/>
          <w:b/>
          <w:noProof w:val="0"/>
          <w:color w:val="000000"/>
          <w:kern w:val="0"/>
          <w:lang w:val="hu-HU" w:eastAsia="hu-HU"/>
          <w14:ligatures w14:val="none"/>
        </w:rPr>
        <w:t>Betegtájékoztató: Információk a beteg számára</w:t>
      </w:r>
    </w:p>
    <w:p w14:paraId="21531BBB" w14:textId="77777777" w:rsidR="00860BB1" w:rsidRPr="00860BB1" w:rsidRDefault="00860BB1" w:rsidP="00860BB1">
      <w:pPr>
        <w:spacing w:after="0" w:line="240" w:lineRule="auto"/>
        <w:ind w:left="7" w:right="-3" w:hanging="10"/>
        <w:jc w:val="center"/>
        <w:rPr>
          <w:rFonts w:ascii="Times New Roman" w:eastAsia="Times New Roman" w:hAnsi="Times New Roman" w:cs="Times New Roman"/>
          <w:noProof w:val="0"/>
          <w:color w:val="000000"/>
          <w:kern w:val="0"/>
          <w:lang w:val="hu-HU" w:eastAsia="hu-HU"/>
          <w14:ligatures w14:val="none"/>
        </w:rPr>
      </w:pPr>
    </w:p>
    <w:p w14:paraId="0C5BA70F" w14:textId="77777777" w:rsidR="00860BB1" w:rsidRPr="00860BB1" w:rsidRDefault="00860BB1" w:rsidP="00860BB1">
      <w:pPr>
        <w:spacing w:after="0" w:line="240" w:lineRule="auto"/>
        <w:ind w:left="7" w:right="-3" w:hanging="10"/>
        <w:jc w:val="center"/>
        <w:rPr>
          <w:rFonts w:ascii="Times New Roman" w:eastAsia="Times New Roman" w:hAnsi="Times New Roman" w:cs="Times New Roman"/>
          <w:b/>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Telexer 110 mg kemény kapszula</w:t>
      </w:r>
    </w:p>
    <w:p w14:paraId="1F3E5999" w14:textId="77777777" w:rsidR="00860BB1" w:rsidRPr="00860BB1" w:rsidRDefault="00860BB1" w:rsidP="00860BB1">
      <w:pPr>
        <w:spacing w:after="0" w:line="240" w:lineRule="auto"/>
        <w:ind w:left="7" w:right="-3" w:hanging="10"/>
        <w:jc w:val="center"/>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dabigatrán</w:t>
      </w:r>
      <w:r w:rsidRPr="00860BB1">
        <w:rPr>
          <w:rFonts w:ascii="Times New Roman" w:eastAsia="Times New Roman" w:hAnsi="Times New Roman" w:cs="Times New Roman"/>
          <w:noProof w:val="0"/>
          <w:color w:val="000000"/>
          <w:kern w:val="0"/>
          <w:lang w:val="hu-HU" w:eastAsia="hu-HU"/>
          <w14:ligatures w14:val="none"/>
        </w:rPr>
        <w:noBreakHyphen/>
        <w:t>etexilát</w:t>
      </w:r>
    </w:p>
    <w:p w14:paraId="36001095" w14:textId="77777777" w:rsidR="00860BB1" w:rsidRPr="00860BB1" w:rsidRDefault="00860BB1" w:rsidP="00860BB1">
      <w:pPr>
        <w:spacing w:after="0" w:line="240" w:lineRule="auto"/>
        <w:ind w:left="7" w:right="-3" w:hanging="10"/>
        <w:rPr>
          <w:rFonts w:ascii="Times New Roman" w:eastAsia="Times New Roman" w:hAnsi="Times New Roman" w:cs="Times New Roman"/>
          <w:noProof w:val="0"/>
          <w:color w:val="000000"/>
          <w:kern w:val="0"/>
          <w:lang w:val="hu-HU" w:eastAsia="hu-HU"/>
          <w14:ligatures w14:val="none"/>
        </w:rPr>
      </w:pPr>
    </w:p>
    <w:p w14:paraId="3B890157" w14:textId="77777777" w:rsidR="00860BB1" w:rsidRPr="00860BB1" w:rsidRDefault="00860BB1" w:rsidP="00860BB1">
      <w:pPr>
        <w:spacing w:after="0" w:line="240" w:lineRule="auto"/>
        <w:ind w:left="11" w:hanging="11"/>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Mielőtt elkezdi szedni ezt a gyógyszert, olvassa el figyelmesen az alábbi betegtájékoztatót, mert az Ön számára fontos információkat tartalmaz.</w:t>
      </w:r>
    </w:p>
    <w:p w14:paraId="12053EF3"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Tartsa meg a betegtájékoztatót, mert a benne szereplő információkra a későbbiekben is szüksége lehet.</w:t>
      </w:r>
    </w:p>
    <w:p w14:paraId="6E4CA9AB"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További kérdéseivel forduljon kezelőorvosához vagy gyógyszerészéhez.</w:t>
      </w:r>
    </w:p>
    <w:p w14:paraId="0E160A92"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Ezt a gyógyszert az orvos kizárólag Önnek írta fel. Ne adja át a készítményt másnak, mert számára ártalmas lehet még abban az esetben is, ha a betegsége tünetei az Önéhez hasonlóak.</w:t>
      </w:r>
    </w:p>
    <w:p w14:paraId="7EA049D8"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Önnél bármilyen mellékhatás jelentkezik, tájékoztassa erről kezelőorvosát vagy gyógyszerészét. Ez a betegtájékoztatóban fel nem sorolt bármilyen lehetséges mellékhatásra is vonatkozik. Lásd 4. pont.</w:t>
      </w:r>
    </w:p>
    <w:p w14:paraId="663DD642" w14:textId="77777777" w:rsidR="00860BB1" w:rsidRPr="00860BB1" w:rsidRDefault="00860BB1" w:rsidP="00860BB1">
      <w:pPr>
        <w:spacing w:after="0" w:line="240" w:lineRule="auto"/>
        <w:ind w:right="11"/>
        <w:rPr>
          <w:rFonts w:ascii="Times New Roman" w:eastAsia="Times New Roman" w:hAnsi="Times New Roman" w:cs="Times New Roman"/>
          <w:noProof w:val="0"/>
          <w:color w:val="000000"/>
          <w:kern w:val="0"/>
          <w:lang w:val="hu-HU" w:eastAsia="hu-HU"/>
          <w14:ligatures w14:val="none"/>
        </w:rPr>
      </w:pPr>
    </w:p>
    <w:p w14:paraId="6D51864E" w14:textId="77777777" w:rsidR="00860BB1" w:rsidRPr="00860BB1" w:rsidRDefault="00860BB1" w:rsidP="00860BB1">
      <w:pPr>
        <w:spacing w:after="0" w:line="240" w:lineRule="auto"/>
        <w:ind w:left="7" w:hanging="10"/>
        <w:rPr>
          <w:rFonts w:ascii="Times New Roman" w:eastAsia="Times New Roman" w:hAnsi="Times New Roman" w:cs="Times New Roman"/>
          <w:b/>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A betegtájékoztató tartalma:</w:t>
      </w:r>
    </w:p>
    <w:p w14:paraId="6B9A407D"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p>
    <w:p w14:paraId="17A8F9D1" w14:textId="77777777" w:rsidR="00860BB1" w:rsidRPr="00860BB1" w:rsidRDefault="00860BB1" w:rsidP="00860BB1">
      <w:p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1.</w:t>
      </w:r>
      <w:r w:rsidRPr="00860BB1">
        <w:rPr>
          <w:rFonts w:ascii="Times New Roman" w:eastAsia="Times New Roman" w:hAnsi="Times New Roman" w:cs="Times New Roman"/>
          <w:noProof w:val="0"/>
          <w:color w:val="000000"/>
          <w:kern w:val="0"/>
          <w:lang w:val="hu-HU" w:eastAsia="hu-HU"/>
          <w14:ligatures w14:val="none"/>
        </w:rPr>
        <w:tab/>
        <w:t>Milyen típusú gyógyszer a Telexer 110 mg kemény kapszula (a továbbiakban: Telexer) és milyen betegségek esetén alkalmazható?</w:t>
      </w:r>
    </w:p>
    <w:p w14:paraId="48848AE3" w14:textId="77777777" w:rsidR="00860BB1" w:rsidRPr="00860BB1" w:rsidRDefault="00860BB1" w:rsidP="00860BB1">
      <w:p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2.</w:t>
      </w:r>
      <w:r w:rsidRPr="00860BB1">
        <w:rPr>
          <w:rFonts w:ascii="Times New Roman" w:eastAsia="Times New Roman" w:hAnsi="Times New Roman" w:cs="Times New Roman"/>
          <w:noProof w:val="0"/>
          <w:color w:val="000000"/>
          <w:kern w:val="0"/>
          <w:lang w:val="hu-HU" w:eastAsia="hu-HU"/>
          <w14:ligatures w14:val="none"/>
        </w:rPr>
        <w:tab/>
        <w:t>Tudnivalók a Telexer szedése előtt</w:t>
      </w:r>
    </w:p>
    <w:p w14:paraId="1FD0F6A4" w14:textId="77777777" w:rsidR="00860BB1" w:rsidRPr="00860BB1" w:rsidRDefault="00860BB1" w:rsidP="00860BB1">
      <w:p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3.</w:t>
      </w:r>
      <w:r w:rsidRPr="00860BB1">
        <w:rPr>
          <w:rFonts w:ascii="Times New Roman" w:eastAsia="Times New Roman" w:hAnsi="Times New Roman" w:cs="Times New Roman"/>
          <w:noProof w:val="0"/>
          <w:color w:val="000000"/>
          <w:kern w:val="0"/>
          <w:lang w:val="hu-HU" w:eastAsia="hu-HU"/>
          <w14:ligatures w14:val="none"/>
        </w:rPr>
        <w:tab/>
        <w:t>Hogyan kell szedni a Telexert?</w:t>
      </w:r>
    </w:p>
    <w:p w14:paraId="2E92B2B1" w14:textId="77777777" w:rsidR="00860BB1" w:rsidRPr="00860BB1" w:rsidRDefault="00860BB1" w:rsidP="00860BB1">
      <w:p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4.</w:t>
      </w:r>
      <w:r w:rsidRPr="00860BB1">
        <w:rPr>
          <w:rFonts w:ascii="Times New Roman" w:eastAsia="Times New Roman" w:hAnsi="Times New Roman" w:cs="Times New Roman"/>
          <w:noProof w:val="0"/>
          <w:color w:val="000000"/>
          <w:kern w:val="0"/>
          <w:lang w:val="hu-HU" w:eastAsia="hu-HU"/>
          <w14:ligatures w14:val="none"/>
        </w:rPr>
        <w:tab/>
        <w:t>Lehetséges mellékhatások</w:t>
      </w:r>
    </w:p>
    <w:p w14:paraId="4CDE0438" w14:textId="77777777" w:rsidR="00860BB1" w:rsidRPr="00860BB1" w:rsidRDefault="00860BB1" w:rsidP="00860BB1">
      <w:p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5</w:t>
      </w:r>
      <w:r w:rsidRPr="00860BB1">
        <w:rPr>
          <w:rFonts w:ascii="Times New Roman" w:eastAsia="Times New Roman" w:hAnsi="Times New Roman" w:cs="Times New Roman"/>
          <w:noProof w:val="0"/>
          <w:color w:val="000000"/>
          <w:kern w:val="0"/>
          <w:lang w:val="hu-HU" w:eastAsia="hu-HU"/>
          <w14:ligatures w14:val="none"/>
        </w:rPr>
        <w:tab/>
        <w:t>Hogyan kell a Telexert tárolni?</w:t>
      </w:r>
    </w:p>
    <w:p w14:paraId="7C54C2F7" w14:textId="77777777" w:rsidR="00860BB1" w:rsidRPr="00860BB1" w:rsidRDefault="00860BB1" w:rsidP="00860BB1">
      <w:p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6.</w:t>
      </w:r>
      <w:r w:rsidRPr="00860BB1">
        <w:rPr>
          <w:rFonts w:ascii="Times New Roman" w:eastAsia="Times New Roman" w:hAnsi="Times New Roman" w:cs="Times New Roman"/>
          <w:noProof w:val="0"/>
          <w:color w:val="000000"/>
          <w:kern w:val="0"/>
          <w:lang w:val="hu-HU" w:eastAsia="hu-HU"/>
          <w14:ligatures w14:val="none"/>
        </w:rPr>
        <w:tab/>
        <w:t>A csomagolás tartalma és egyéb információk</w:t>
      </w:r>
    </w:p>
    <w:p w14:paraId="5AC869C7" w14:textId="77777777" w:rsidR="00860BB1" w:rsidRPr="00860BB1" w:rsidRDefault="00860BB1" w:rsidP="00860BB1">
      <w:pPr>
        <w:spacing w:after="0" w:line="240" w:lineRule="auto"/>
        <w:ind w:left="22" w:right="11" w:hanging="10"/>
        <w:rPr>
          <w:rFonts w:ascii="Times New Roman" w:eastAsia="Times New Roman" w:hAnsi="Times New Roman" w:cs="Times New Roman"/>
          <w:noProof w:val="0"/>
          <w:color w:val="000000"/>
          <w:kern w:val="0"/>
          <w:lang w:val="hu-HU" w:eastAsia="hu-HU"/>
          <w14:ligatures w14:val="none"/>
        </w:rPr>
      </w:pPr>
    </w:p>
    <w:p w14:paraId="558ECE6F" w14:textId="77777777" w:rsidR="00860BB1" w:rsidRPr="00860BB1" w:rsidRDefault="00860BB1" w:rsidP="00860BB1">
      <w:pPr>
        <w:spacing w:after="0" w:line="240" w:lineRule="auto"/>
        <w:ind w:left="22" w:right="11" w:hanging="10"/>
        <w:rPr>
          <w:rFonts w:ascii="Times New Roman" w:eastAsia="Times New Roman" w:hAnsi="Times New Roman" w:cs="Times New Roman"/>
          <w:noProof w:val="0"/>
          <w:color w:val="000000"/>
          <w:kern w:val="0"/>
          <w:lang w:val="hu-HU" w:eastAsia="hu-HU"/>
          <w14:ligatures w14:val="none"/>
        </w:rPr>
      </w:pPr>
    </w:p>
    <w:p w14:paraId="62925BAD" w14:textId="77777777" w:rsidR="00860BB1" w:rsidRPr="00860BB1" w:rsidRDefault="00860BB1" w:rsidP="00860BB1">
      <w:pPr>
        <w:tabs>
          <w:tab w:val="left" w:pos="567"/>
          <w:tab w:val="center" w:pos="4248"/>
        </w:tabs>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1.</w:t>
      </w:r>
      <w:r w:rsidRPr="00860BB1">
        <w:rPr>
          <w:rFonts w:ascii="Times New Roman" w:eastAsia="Times New Roman" w:hAnsi="Times New Roman" w:cs="Times New Roman"/>
          <w:b/>
          <w:noProof w:val="0"/>
          <w:color w:val="000000"/>
          <w:kern w:val="0"/>
          <w:lang w:val="hu-HU" w:eastAsia="hu-HU"/>
          <w14:ligatures w14:val="none"/>
        </w:rPr>
        <w:tab/>
        <w:t>Milyen típusú gyógyszer a Telexer és milyen betegségek esetén alkalmazható?</w:t>
      </w:r>
    </w:p>
    <w:p w14:paraId="23D3F682"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15A499F8" w14:textId="77777777" w:rsidR="00860BB1" w:rsidRPr="00860BB1" w:rsidRDefault="00860BB1" w:rsidP="00860BB1">
      <w:pPr>
        <w:spacing w:after="0" w:line="240" w:lineRule="auto"/>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Telexer dabigatrán</w:t>
      </w:r>
      <w:r w:rsidRPr="00860BB1">
        <w:rPr>
          <w:rFonts w:ascii="Times New Roman" w:eastAsia="Times New Roman" w:hAnsi="Times New Roman" w:cs="Times New Roman"/>
          <w:noProof w:val="0"/>
          <w:color w:val="000000"/>
          <w:kern w:val="0"/>
          <w:lang w:val="hu-HU" w:eastAsia="hu-HU"/>
          <w14:ligatures w14:val="none"/>
        </w:rPr>
        <w:noBreakHyphen/>
        <w:t>etexilát nevű hatóanyagot tartalmaz és a véralvadásgátlóknak nevezett gyógyszerek csoportjába tartozik. Hatását úgy fejti ki, hogy gátolja azt az anyagot a szervezetben, amely szerepet játszik a vérrögök kialakulásában.</w:t>
      </w:r>
    </w:p>
    <w:p w14:paraId="66B3702B" w14:textId="77777777" w:rsidR="00860BB1" w:rsidRPr="00860BB1" w:rsidRDefault="00860BB1" w:rsidP="00860BB1">
      <w:pPr>
        <w:spacing w:after="0" w:line="240" w:lineRule="auto"/>
        <w:ind w:firstLine="11"/>
        <w:rPr>
          <w:rFonts w:ascii="Times New Roman" w:eastAsia="Times New Roman" w:hAnsi="Times New Roman" w:cs="Times New Roman"/>
          <w:noProof w:val="0"/>
          <w:color w:val="000000"/>
          <w:kern w:val="0"/>
          <w:lang w:val="hu-HU" w:eastAsia="hu-HU"/>
          <w14:ligatures w14:val="none"/>
        </w:rPr>
      </w:pPr>
    </w:p>
    <w:p w14:paraId="0CE320DA" w14:textId="77777777" w:rsidR="00860BB1" w:rsidRPr="00860BB1" w:rsidRDefault="00860BB1" w:rsidP="00860BB1">
      <w:p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Telexer felnőtteknél:</w:t>
      </w:r>
    </w:p>
    <w:p w14:paraId="00700F02"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térd- vagy csípőízületi protézisműtétet követően a vénákban kialakuló vérrögök képződésének megelőzésére szolgál.</w:t>
      </w:r>
    </w:p>
    <w:p w14:paraId="65FC81F6"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az agyban (sztrók) és a szervezet egyéb ereiben kialakuló vérrögök megelőzésére szolgál nem billentyű eredetű pitvarfibrillációban szenvedő betegekben legalább egy további kockázati tényező fennállása esetén.</w:t>
      </w:r>
    </w:p>
    <w:p w14:paraId="2312AA17"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lábak és a tüdő vénáiban kialakuló vérrögök kezelésére, és az ilyen vérrögök ismételt kialakulásának megelőzésére szolgál.</w:t>
      </w:r>
    </w:p>
    <w:p w14:paraId="1E13ECA1"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7D699FC5" w14:textId="77777777" w:rsidR="00860BB1" w:rsidRPr="00860BB1" w:rsidRDefault="00860BB1" w:rsidP="00860BB1">
      <w:p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Telexer a gyermekeknél és serdülőknél:</w:t>
      </w:r>
    </w:p>
    <w:p w14:paraId="58234D1D"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vérrögök kezelésére és a vérrögök újbóli kialakulásának megelőzésére szolgál.</w:t>
      </w:r>
    </w:p>
    <w:p w14:paraId="5D5237D0" w14:textId="77777777" w:rsidR="00860BB1" w:rsidRPr="00860BB1" w:rsidRDefault="00860BB1" w:rsidP="00860BB1">
      <w:pPr>
        <w:spacing w:after="0" w:line="240" w:lineRule="auto"/>
        <w:ind w:left="22" w:right="11" w:hanging="10"/>
        <w:rPr>
          <w:rFonts w:ascii="Times New Roman" w:eastAsia="Times New Roman" w:hAnsi="Times New Roman" w:cs="Times New Roman"/>
          <w:noProof w:val="0"/>
          <w:color w:val="000000"/>
          <w:kern w:val="0"/>
          <w:lang w:val="hu-HU" w:eastAsia="hu-HU"/>
          <w14:ligatures w14:val="none"/>
        </w:rPr>
      </w:pPr>
    </w:p>
    <w:p w14:paraId="3633FE14" w14:textId="77777777" w:rsidR="00860BB1" w:rsidRPr="00860BB1" w:rsidRDefault="00860BB1" w:rsidP="00860BB1">
      <w:pPr>
        <w:spacing w:after="0" w:line="240" w:lineRule="auto"/>
        <w:ind w:left="22" w:right="11" w:hanging="10"/>
        <w:rPr>
          <w:rFonts w:ascii="Times New Roman" w:eastAsia="Times New Roman" w:hAnsi="Times New Roman" w:cs="Times New Roman"/>
          <w:noProof w:val="0"/>
          <w:color w:val="000000"/>
          <w:kern w:val="0"/>
          <w:lang w:val="hu-HU" w:eastAsia="hu-HU"/>
          <w14:ligatures w14:val="none"/>
        </w:rPr>
      </w:pPr>
    </w:p>
    <w:p w14:paraId="03A7251A" w14:textId="77777777" w:rsidR="00860BB1" w:rsidRPr="00860BB1" w:rsidRDefault="00860BB1" w:rsidP="00860BB1">
      <w:pPr>
        <w:tabs>
          <w:tab w:val="left" w:pos="567"/>
          <w:tab w:val="center" w:pos="2223"/>
        </w:tabs>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2.</w:t>
      </w:r>
      <w:r w:rsidRPr="00860BB1">
        <w:rPr>
          <w:rFonts w:ascii="Times New Roman" w:eastAsia="Times New Roman" w:hAnsi="Times New Roman" w:cs="Times New Roman"/>
          <w:b/>
          <w:noProof w:val="0"/>
          <w:color w:val="000000"/>
          <w:kern w:val="0"/>
          <w:lang w:val="hu-HU" w:eastAsia="hu-HU"/>
          <w14:ligatures w14:val="none"/>
        </w:rPr>
        <w:tab/>
        <w:t>Tudnivalók a Telexer szedése előtt</w:t>
      </w:r>
    </w:p>
    <w:p w14:paraId="3E471623" w14:textId="77777777" w:rsidR="00860BB1" w:rsidRPr="00860BB1" w:rsidRDefault="00860BB1" w:rsidP="00860BB1">
      <w:pPr>
        <w:spacing w:after="0" w:line="240" w:lineRule="auto"/>
        <w:ind w:left="7" w:hanging="10"/>
        <w:rPr>
          <w:rFonts w:ascii="Times New Roman" w:eastAsia="Times New Roman" w:hAnsi="Times New Roman" w:cs="Times New Roman"/>
          <w:bCs/>
          <w:noProof w:val="0"/>
          <w:color w:val="000000"/>
          <w:kern w:val="0"/>
          <w:lang w:val="hu-HU" w:eastAsia="hu-HU"/>
          <w14:ligatures w14:val="none"/>
        </w:rPr>
      </w:pPr>
    </w:p>
    <w:p w14:paraId="4828FF53"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Ne szedje a Telexert</w:t>
      </w:r>
    </w:p>
    <w:p w14:paraId="67D7FF59"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allergiás a dabigatrán</w:t>
      </w:r>
      <w:r w:rsidRPr="00860BB1">
        <w:rPr>
          <w:rFonts w:ascii="Times New Roman" w:eastAsia="Times New Roman" w:hAnsi="Times New Roman" w:cs="Times New Roman"/>
          <w:noProof w:val="0"/>
          <w:color w:val="000000"/>
          <w:kern w:val="0"/>
          <w:lang w:val="hu-HU" w:eastAsia="hu-HU"/>
          <w14:ligatures w14:val="none"/>
        </w:rPr>
        <w:noBreakHyphen/>
        <w:t>etexilátra vagy a gyógyszer (6. pontban felsorolt) egyéb összetevőjére.</w:t>
      </w:r>
    </w:p>
    <w:p w14:paraId="646BDE42"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súlyosan csökkent a veseműködése.</w:t>
      </w:r>
    </w:p>
    <w:p w14:paraId="193A7D85"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jelenleg vérzik.</w:t>
      </w:r>
    </w:p>
    <w:p w14:paraId="73EE0E3C"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olyan szervi betegsége van, ami fokozza a súlyos vérzés kockázatát (például gyomorfekély, sérülés vagy vérzés az agyban, nemrég végzett agy- vagy szemműtét).</w:t>
      </w:r>
    </w:p>
    <w:p w14:paraId="0EA51979"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fokozott a vérzéshajlama. Ez lehet veleszületett, ismeretlen eredetű, vagy kialakulhat más gyógyszerek következtében.</w:t>
      </w:r>
    </w:p>
    <w:p w14:paraId="6ECEEC3B"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lastRenderedPageBreak/>
        <w:t>ha a vérrögképződés megelőzésére szolgáló gyógyszereket szed (például warfarin, rivaroxabán, apixabán vagy heparin), kivéve, ha éppen egy másik antikoaguláns kezelésről állítják át Telexerre, és vénás vagy artériás kanülje van, és heparint kap ennek nyitva tartásához vagy ha a normális szívritmusát állítják be egy pitvarfibrilláció miatti katéteres ablációnak nevezett eljárással.</w:t>
      </w:r>
    </w:p>
    <w:p w14:paraId="134972E5"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súlyos májkárosodása, vagy olyan májbetegsége van, ami halálhoz vezethet.</w:t>
      </w:r>
    </w:p>
    <w:p w14:paraId="03C97E8E"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szájon át ketokonazolt vagy itrakonazolt, a gombafertőzések kezelésére szolgáló gyógyszereket szed.</w:t>
      </w:r>
    </w:p>
    <w:p w14:paraId="6408CC60"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szájon át ciklosporint szed, mely gyógyszert a transzplantációt követő szervkilökődés megakadályozására alkalmaznak.</w:t>
      </w:r>
    </w:p>
    <w:p w14:paraId="409560F5"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dronedaront (a szívritmuszavar kezelésére szolgáló gyógyszert) szed.</w:t>
      </w:r>
    </w:p>
    <w:p w14:paraId="3DB567ED"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glekaprevirt és pibrentaszvirt tartalmazó kombinációs készítményt szed, ami egy vírusellenes gyógyszer, és a hepatitisz C kezelésére alkalmazzák.</w:t>
      </w:r>
    </w:p>
    <w:p w14:paraId="7360CF87"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a szívébe műbillentyűt kapott, ami állandó vérhígítást tesz szükségessé.</w:t>
      </w:r>
    </w:p>
    <w:p w14:paraId="6406657A" w14:textId="77777777" w:rsidR="00860BB1" w:rsidRPr="00860BB1" w:rsidRDefault="00860BB1" w:rsidP="00860BB1">
      <w:pPr>
        <w:spacing w:after="0" w:line="240" w:lineRule="auto"/>
        <w:ind w:right="11"/>
        <w:rPr>
          <w:rFonts w:ascii="Times New Roman" w:eastAsia="Times New Roman" w:hAnsi="Times New Roman" w:cs="Times New Roman"/>
          <w:noProof w:val="0"/>
          <w:color w:val="000000"/>
          <w:kern w:val="0"/>
          <w:lang w:val="hu-HU" w:eastAsia="hu-HU"/>
          <w14:ligatures w14:val="none"/>
        </w:rPr>
      </w:pPr>
    </w:p>
    <w:p w14:paraId="646FE7D6"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Figyelmeztetések és óvintézkedések</w:t>
      </w:r>
    </w:p>
    <w:p w14:paraId="341DF9E0"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 xml:space="preserve">A Telexer szedése előtt beszéljen kezelőorvosával. Forduljon kezelőorvosához a gyógyszerrel történő kezelés alatt, ha tünetei jelentkeznek, vagy műtét előtt áll. </w:t>
      </w:r>
    </w:p>
    <w:p w14:paraId="7D07C6E3"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2E65DB5E"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Közölje orvosával</w:t>
      </w:r>
      <w:r w:rsidRPr="00860BB1">
        <w:rPr>
          <w:rFonts w:ascii="Times New Roman" w:eastAsia="Times New Roman" w:hAnsi="Times New Roman" w:cs="Times New Roman"/>
          <w:noProof w:val="0"/>
          <w:color w:val="000000"/>
          <w:kern w:val="0"/>
          <w:lang w:val="hu-HU" w:eastAsia="hu-HU"/>
          <w14:ligatures w14:val="none"/>
        </w:rPr>
        <w:t>, ha bármilyen betegsége van vagy volt, különös tekintettel az alábbiakra:</w:t>
      </w:r>
    </w:p>
    <w:p w14:paraId="149D6404"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fokozott Önnél a vérzés veszélye, például:</w:t>
      </w:r>
    </w:p>
    <w:p w14:paraId="7512B023" w14:textId="77777777" w:rsidR="00860BB1" w:rsidRPr="00860BB1" w:rsidRDefault="00860BB1" w:rsidP="00DD0D96">
      <w:pPr>
        <w:numPr>
          <w:ilvl w:val="0"/>
          <w:numId w:val="2"/>
        </w:numPr>
        <w:spacing w:after="0" w:line="240" w:lineRule="auto"/>
        <w:ind w:left="1134"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a közelmúltban vérzés lépett fel Önnél.</w:t>
      </w:r>
    </w:p>
    <w:p w14:paraId="68FC21E1" w14:textId="77777777" w:rsidR="00860BB1" w:rsidRPr="00860BB1" w:rsidRDefault="00860BB1" w:rsidP="00DD0D96">
      <w:pPr>
        <w:numPr>
          <w:ilvl w:val="0"/>
          <w:numId w:val="2"/>
        </w:numPr>
        <w:spacing w:after="0" w:line="240" w:lineRule="auto"/>
        <w:ind w:left="1134"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Önnél sebészi szövetmintavételt (biopsziát) végeztek az elmúlt hónapban.</w:t>
      </w:r>
    </w:p>
    <w:p w14:paraId="2BAC959F" w14:textId="77777777" w:rsidR="00860BB1" w:rsidRPr="00860BB1" w:rsidRDefault="00860BB1" w:rsidP="00DD0D96">
      <w:pPr>
        <w:numPr>
          <w:ilvl w:val="0"/>
          <w:numId w:val="2"/>
        </w:numPr>
        <w:spacing w:after="0" w:line="240" w:lineRule="auto"/>
        <w:ind w:left="1134"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súlyos sérülése volt (például műtéti ellátást igénylő csonttörés, fejsérülés vagy bármilyen más sérülés).</w:t>
      </w:r>
    </w:p>
    <w:p w14:paraId="16F4C949" w14:textId="77777777" w:rsidR="00860BB1" w:rsidRPr="00860BB1" w:rsidRDefault="00860BB1" w:rsidP="00DD0D96">
      <w:pPr>
        <w:numPr>
          <w:ilvl w:val="0"/>
          <w:numId w:val="2"/>
        </w:numPr>
        <w:spacing w:after="0" w:line="240" w:lineRule="auto"/>
        <w:ind w:left="1134"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nyelőcső- vagy gyomornyálkahártya gyulladásban szenved.</w:t>
      </w:r>
    </w:p>
    <w:p w14:paraId="47DAA4CD" w14:textId="77777777" w:rsidR="00860BB1" w:rsidRPr="00860BB1" w:rsidRDefault="00860BB1" w:rsidP="00DD0D96">
      <w:pPr>
        <w:numPr>
          <w:ilvl w:val="0"/>
          <w:numId w:val="2"/>
        </w:numPr>
        <w:spacing w:after="0" w:line="240" w:lineRule="auto"/>
        <w:ind w:left="1134"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a gyomorsav visszafolyik a nyelőcsövébe (reflux).</w:t>
      </w:r>
    </w:p>
    <w:p w14:paraId="29F1178D" w14:textId="77777777" w:rsidR="00860BB1" w:rsidRPr="00860BB1" w:rsidRDefault="00860BB1" w:rsidP="00DD0D96">
      <w:pPr>
        <w:numPr>
          <w:ilvl w:val="0"/>
          <w:numId w:val="2"/>
        </w:numPr>
        <w:spacing w:after="0" w:line="240" w:lineRule="auto"/>
        <w:ind w:left="1134"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olyan gyógyszereket kap, amelyek fokozhatják a vérzés veszélyét. Lásd „Egyéb gyógyszerek és a Telexer” részt lejjebb.</w:t>
      </w:r>
    </w:p>
    <w:p w14:paraId="21215637" w14:textId="77777777" w:rsidR="00860BB1" w:rsidRPr="00860BB1" w:rsidRDefault="00860BB1" w:rsidP="00DD0D96">
      <w:pPr>
        <w:numPr>
          <w:ilvl w:val="0"/>
          <w:numId w:val="2"/>
        </w:numPr>
        <w:spacing w:after="0" w:line="240" w:lineRule="auto"/>
        <w:ind w:left="1134"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gyulladáscsökkentő gyógyszereket szed, például diklofenák, ibuprofén, piroxikám.</w:t>
      </w:r>
    </w:p>
    <w:p w14:paraId="16F5353B" w14:textId="77777777" w:rsidR="00860BB1" w:rsidRPr="00860BB1" w:rsidRDefault="00860BB1" w:rsidP="00DD0D96">
      <w:pPr>
        <w:numPr>
          <w:ilvl w:val="0"/>
          <w:numId w:val="2"/>
        </w:numPr>
        <w:spacing w:after="0" w:line="240" w:lineRule="auto"/>
        <w:ind w:left="1134"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a szívet érintő fertőzésben (bakteriális szívbelhártya-gyulladás) szenved.</w:t>
      </w:r>
    </w:p>
    <w:p w14:paraId="5807C337" w14:textId="77777777" w:rsidR="00860BB1" w:rsidRPr="00860BB1" w:rsidRDefault="00860BB1" w:rsidP="00DD0D96">
      <w:pPr>
        <w:numPr>
          <w:ilvl w:val="0"/>
          <w:numId w:val="2"/>
        </w:numPr>
        <w:spacing w:after="0" w:line="240" w:lineRule="auto"/>
        <w:ind w:left="1134"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tudja, hogy vesekárosodása van, vagy a kiszáradás tüneteit tapasztalja (a tünetek közé tartozik a szomjúságérzés és a csökkent mennyiségű, sötét (sűrű)/habos vizelet ürítése).</w:t>
      </w:r>
    </w:p>
    <w:p w14:paraId="3CD90A52" w14:textId="77777777" w:rsidR="00860BB1" w:rsidRPr="00860BB1" w:rsidRDefault="00860BB1" w:rsidP="00DD0D96">
      <w:pPr>
        <w:numPr>
          <w:ilvl w:val="0"/>
          <w:numId w:val="2"/>
        </w:numPr>
        <w:spacing w:after="0" w:line="240" w:lineRule="auto"/>
        <w:ind w:left="1134"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Ön elmúlt 75 éves.</w:t>
      </w:r>
    </w:p>
    <w:p w14:paraId="6D6DB07F" w14:textId="77777777" w:rsidR="00860BB1" w:rsidRPr="00860BB1" w:rsidRDefault="00860BB1" w:rsidP="00DD0D96">
      <w:pPr>
        <w:numPr>
          <w:ilvl w:val="0"/>
          <w:numId w:val="2"/>
        </w:numPr>
        <w:spacing w:after="0" w:line="240" w:lineRule="auto"/>
        <w:ind w:left="1134"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Ön felnőtt korú beteg, és a testsúlya 50 kg vagy annál kevesebb.</w:t>
      </w:r>
    </w:p>
    <w:p w14:paraId="2418E7A2" w14:textId="77777777" w:rsidR="00860BB1" w:rsidRPr="00860BB1" w:rsidRDefault="00860BB1" w:rsidP="00DD0D96">
      <w:pPr>
        <w:numPr>
          <w:ilvl w:val="0"/>
          <w:numId w:val="2"/>
        </w:numPr>
        <w:spacing w:after="0" w:line="240" w:lineRule="auto"/>
        <w:ind w:left="1134"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Kizárólag gyermekeknél és serdülőknél történő használat esetén: ha a gyermek agyában vagy agya körül fertőzés észlelhető.</w:t>
      </w:r>
    </w:p>
    <w:p w14:paraId="6A7AF01D"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korábban volt szívrohama, vagy olyan betegséget diagnosztizáltak Önnél, ami növeli a szívroham kialakulásának veszélyét.</w:t>
      </w:r>
    </w:p>
    <w:p w14:paraId="095A8691"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 xml:space="preserve">Ha olyan májbetegsége van, amely a vérvizsgálati értékek megváltozását okozza. Ebben az esetben a gyógyszer alkalmazása nem javasolt. </w:t>
      </w:r>
    </w:p>
    <w:p w14:paraId="70E93014" w14:textId="77777777" w:rsidR="00860BB1" w:rsidRPr="00860BB1" w:rsidRDefault="00860BB1" w:rsidP="00860BB1">
      <w:pPr>
        <w:spacing w:after="0" w:line="240" w:lineRule="auto"/>
        <w:ind w:right="11"/>
        <w:rPr>
          <w:rFonts w:ascii="Times New Roman" w:eastAsia="Times New Roman" w:hAnsi="Times New Roman" w:cs="Times New Roman"/>
          <w:noProof w:val="0"/>
          <w:color w:val="000000"/>
          <w:kern w:val="0"/>
          <w:lang w:val="hu-HU" w:eastAsia="hu-HU"/>
          <w14:ligatures w14:val="none"/>
        </w:rPr>
      </w:pPr>
    </w:p>
    <w:p w14:paraId="3CE67371" w14:textId="77777777" w:rsidR="00860BB1" w:rsidRPr="00860BB1" w:rsidRDefault="00860BB1" w:rsidP="00860BB1">
      <w:pPr>
        <w:spacing w:after="0" w:line="240" w:lineRule="auto"/>
        <w:ind w:right="11"/>
        <w:rPr>
          <w:rFonts w:ascii="Times New Roman" w:eastAsia="Times New Roman" w:hAnsi="Times New Roman" w:cs="Times New Roman"/>
          <w:b/>
          <w:bCs/>
          <w:noProof w:val="0"/>
          <w:color w:val="000000"/>
          <w:kern w:val="0"/>
          <w:lang w:val="hu-HU" w:eastAsia="hu-HU"/>
          <w14:ligatures w14:val="none"/>
        </w:rPr>
      </w:pPr>
      <w:r w:rsidRPr="00860BB1">
        <w:rPr>
          <w:rFonts w:ascii="Times New Roman" w:eastAsia="Times New Roman" w:hAnsi="Times New Roman" w:cs="Times New Roman"/>
          <w:b/>
          <w:bCs/>
          <w:noProof w:val="0"/>
          <w:color w:val="000000"/>
          <w:kern w:val="0"/>
          <w:lang w:val="hu-HU" w:eastAsia="hu-HU"/>
          <w14:ligatures w14:val="none"/>
        </w:rPr>
        <w:t>Óvatosan alkalmazza a Telexert</w:t>
      </w:r>
    </w:p>
    <w:p w14:paraId="6FE77969"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Önnek műtétre van szüksége:</w:t>
      </w:r>
    </w:p>
    <w:p w14:paraId="1E29964D" w14:textId="77777777" w:rsidR="00860BB1" w:rsidRPr="00860BB1" w:rsidRDefault="00860BB1" w:rsidP="00860BB1">
      <w:pPr>
        <w:spacing w:after="0" w:line="240" w:lineRule="auto"/>
        <w:ind w:left="566" w:right="11"/>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Ebben az esetben a Telexer adását átmenetileg le kell állítani, mivel a műtét alatt és röviddel utána fokozott lehet a vérzésveszély. Nagyon fontos, hogy a Telexert a műtét előtt és után szigorúan az orvos utasításainak megfelelő időben szedje.</w:t>
      </w:r>
    </w:p>
    <w:p w14:paraId="3C77C3D7"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a műtét során katétert vezetnek vagy injekciót kap a gerincoszlopába (például epidurális vagy spinális érzéstelenítéshez vagy fájdalomcsillapításhoz):</w:t>
      </w:r>
    </w:p>
    <w:p w14:paraId="59A0EDF7" w14:textId="77777777" w:rsidR="00860BB1" w:rsidRPr="00860BB1" w:rsidRDefault="00860BB1" w:rsidP="00DD0D96">
      <w:pPr>
        <w:numPr>
          <w:ilvl w:val="0"/>
          <w:numId w:val="2"/>
        </w:numPr>
        <w:spacing w:after="0" w:line="240" w:lineRule="auto"/>
        <w:ind w:left="1134" w:right="11"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Nagyon fontos, hogy a Telexert a műtét előtt és után szigorúan az orvos utasításainak megfelelő időben szedje.</w:t>
      </w:r>
    </w:p>
    <w:p w14:paraId="0DD5F4ED" w14:textId="77777777" w:rsidR="00860BB1" w:rsidRPr="00860BB1" w:rsidRDefault="00860BB1" w:rsidP="00DD0D96">
      <w:pPr>
        <w:numPr>
          <w:ilvl w:val="0"/>
          <w:numId w:val="2"/>
        </w:numPr>
        <w:spacing w:after="0" w:line="240" w:lineRule="auto"/>
        <w:ind w:left="1134" w:right="11"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Azonnal tájékoztassa kezelőorvosát, ha gyengeséget vagy zsibbadást érez a lábában, vagy ha a belekkel, húgyhólyaggal kapcsolatos problémák lépnek fel az érzéstelenítést követően, mert sürgős ellátásra lehet szükség.</w:t>
      </w:r>
    </w:p>
    <w:p w14:paraId="6421D38E" w14:textId="77777777" w:rsidR="00860BB1" w:rsidRPr="00860BB1" w:rsidRDefault="00860BB1" w:rsidP="00DD0D96">
      <w:pPr>
        <w:numPr>
          <w:ilvl w:val="0"/>
          <w:numId w:val="2"/>
        </w:numPr>
        <w:spacing w:after="0" w:line="240" w:lineRule="auto"/>
        <w:ind w:left="567" w:right="11"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elesik vagy más okból megsérül a kezelés alatt, különösen, ha a fejét üti meg. Kérjük, sürgősen forduljon orvoshoz. Orvosi ellenőrzésre lesz szüksége, mivel Önnél fokozott lehet a vérzésveszély.</w:t>
      </w:r>
    </w:p>
    <w:p w14:paraId="00BDD5EB"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lastRenderedPageBreak/>
        <w:t>ha Önnek tudomása van arról, hogy az antifoszfolipid szindróma elnevezésű betegségben szenved (az immunrendszer rendellenessége, amely a vérrögök magasabb kockázatát eredményezi), tájékoztassa kezelőorvosát, aki eldönti, hogy szükség van-e a kezelés módosítására.</w:t>
      </w:r>
    </w:p>
    <w:p w14:paraId="0DC437FF" w14:textId="77777777" w:rsidR="00860BB1" w:rsidRPr="00860BB1" w:rsidRDefault="00860BB1" w:rsidP="00860BB1">
      <w:pPr>
        <w:spacing w:after="0" w:line="240" w:lineRule="auto"/>
        <w:ind w:right="11"/>
        <w:rPr>
          <w:rFonts w:ascii="Times New Roman" w:eastAsia="Times New Roman" w:hAnsi="Times New Roman" w:cs="Times New Roman"/>
          <w:noProof w:val="0"/>
          <w:color w:val="000000"/>
          <w:kern w:val="0"/>
          <w:lang w:val="hu-HU" w:eastAsia="hu-HU"/>
          <w14:ligatures w14:val="none"/>
        </w:rPr>
      </w:pPr>
    </w:p>
    <w:p w14:paraId="3BA4D7C7"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Egyéb gyógyszerek és a Telexer</w:t>
      </w:r>
    </w:p>
    <w:p w14:paraId="3DF6BDBB"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 xml:space="preserve">Feltétlenül tájékoztassa kezelőorvosát vagy gyógyszerészét a jelenleg vagy nemrégiben szedett, valamint szedni tervezett egyéb gyógyszereiről. </w:t>
      </w:r>
      <w:r w:rsidRPr="00860BB1">
        <w:rPr>
          <w:rFonts w:ascii="Times New Roman" w:eastAsia="Times New Roman" w:hAnsi="Times New Roman" w:cs="Times New Roman"/>
          <w:b/>
          <w:bCs/>
          <w:noProof w:val="0"/>
          <w:color w:val="000000"/>
          <w:kern w:val="0"/>
          <w:lang w:val="hu-HU" w:eastAsia="hu-HU"/>
          <w14:ligatures w14:val="none"/>
        </w:rPr>
        <w:t>A Telexer szedése előtt különösen az alábbi gyógyszerek egyikének szedése esetén tájékoztassa kezelőorvosát</w:t>
      </w:r>
      <w:r w:rsidRPr="00860BB1">
        <w:rPr>
          <w:rFonts w:ascii="Times New Roman" w:eastAsia="Times New Roman" w:hAnsi="Times New Roman" w:cs="Times New Roman"/>
          <w:noProof w:val="0"/>
          <w:color w:val="000000"/>
          <w:kern w:val="0"/>
          <w:lang w:val="hu-HU" w:eastAsia="hu-HU"/>
          <w14:ligatures w14:val="none"/>
        </w:rPr>
        <w:t>:</w:t>
      </w:r>
    </w:p>
    <w:p w14:paraId="3DD97537"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Vérhígító (a véralvadást csökkentő) gyógyszerek (például warfarin, fenprokumon, acenokumarol, heparin, klopidogrel, prazugrel, tikagrelor, rivaroxabán, acetilszalicilsav)</w:t>
      </w:r>
    </w:p>
    <w:p w14:paraId="5A72A75B"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Gombafertőzések kezelésére szolgáló gyógyszerek (például ketokonazol, itrakonazol), kivéve, ha csak a bőrre alkalmazza őket</w:t>
      </w:r>
    </w:p>
    <w:p w14:paraId="7B8B28DE"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Szívritmuszavar kezelésére szolgáló gyógyszerek (például amiodaron, dronedaron, kinidin, verapamil). Ha amiodaron-, kinidin- vagy verapamil-tartalmú gyógyszert szed, kezelőorvosa tájékoztathatja majd arról, hogy a Telexer csökkentett adagját szedje, attól függően, hogy milyen betegség miatt írták fel azt Önnek. Lásd a 3. pontot.</w:t>
      </w:r>
    </w:p>
    <w:p w14:paraId="24ABD28C"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transzplantációt követő szervkilökődés megakadályozására szolgáló gyógyszerek (például takrolimusz, ciklosporin)</w:t>
      </w:r>
    </w:p>
    <w:p w14:paraId="6EB90F1C"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glekaprevir és a pibrentaszvir kombinációját tartalmazó készítmény (vírusellenes gyógyszer, a hepatitisz C kezelésére szolgál)</w:t>
      </w:r>
    </w:p>
    <w:p w14:paraId="4C85A599"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Gyulladáscsökkentő és fájdalomcsillapító gyógyszerek (például acetilszalicilsav, ibuprofén, diklofenák)</w:t>
      </w:r>
    </w:p>
    <w:p w14:paraId="3E2EC54F"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Közönséges orbáncfű, depresszió kezelésére szolgáló gyógynövény-készítmény</w:t>
      </w:r>
    </w:p>
    <w:p w14:paraId="235442AA"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Szelektív szerotoninvisszavétel-gátlók vagy szelektív szerotonin-noradrenalin-visszavétel-gátlók csoportjába tartozó, depresszió elleni készítmények</w:t>
      </w:r>
    </w:p>
    <w:p w14:paraId="728E3ADD"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Rifampicin vagy klaritromicin (két antibiotikum)</w:t>
      </w:r>
    </w:p>
    <w:p w14:paraId="55751896"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AIDS kezelésére szolgáló vírus-ellenes szerek (például ritonavir)</w:t>
      </w:r>
    </w:p>
    <w:p w14:paraId="083D0657" w14:textId="77777777" w:rsidR="00860BB1" w:rsidRPr="00860BB1" w:rsidRDefault="00860BB1" w:rsidP="00DD0D96">
      <w:pPr>
        <w:numPr>
          <w:ilvl w:val="0"/>
          <w:numId w:val="2"/>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Epilepszia kezelésére szolgáló egyes gyógyszerek (például karbamazepin, fenitoin)</w:t>
      </w:r>
    </w:p>
    <w:p w14:paraId="2828F4E6" w14:textId="77777777" w:rsidR="00860BB1" w:rsidRPr="00860BB1" w:rsidRDefault="00860BB1" w:rsidP="00860BB1">
      <w:pPr>
        <w:spacing w:after="0" w:line="240" w:lineRule="auto"/>
        <w:ind w:right="11"/>
        <w:rPr>
          <w:rFonts w:ascii="Times New Roman" w:eastAsia="Times New Roman" w:hAnsi="Times New Roman" w:cs="Times New Roman"/>
          <w:noProof w:val="0"/>
          <w:color w:val="000000"/>
          <w:kern w:val="0"/>
          <w:lang w:val="hu-HU" w:eastAsia="hu-HU"/>
          <w14:ligatures w14:val="none"/>
        </w:rPr>
      </w:pPr>
    </w:p>
    <w:p w14:paraId="4647E55C"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 xml:space="preserve">Terhesség és szoptatás </w:t>
      </w:r>
    </w:p>
    <w:p w14:paraId="4F36D10A"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Telexer terhességre és a még meg nem született gyermekre kifejtett hatásai nem ismertek. A gyógyszer terhesség alatt nem szedhető, csak akkor, ha kezelőorvosa azt biztonságosnak ítéli meg. Amennyiben Ön fogamzóképes, vigyázzon, hogy ne essen teherbe, amíg Telexert szed.</w:t>
      </w:r>
    </w:p>
    <w:p w14:paraId="04FE4594"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Telexer-kezelés alatt nem szabad szoptatnia.</w:t>
      </w:r>
    </w:p>
    <w:p w14:paraId="29BFE32F"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417B4031"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A készítmény hatásai a gépjárművezetéshez és a gépek kezeléséhez szükséges képességekre</w:t>
      </w:r>
    </w:p>
    <w:p w14:paraId="305A6188"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Telexer gépjárművezetéshez és gépek kezeléséhez szükséges képességekre kifejtett hatása nem ismert.</w:t>
      </w:r>
    </w:p>
    <w:p w14:paraId="165C6E0F"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72F6EC25"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05CE3836" w14:textId="77777777" w:rsidR="00860BB1" w:rsidRPr="00860BB1" w:rsidRDefault="00860BB1" w:rsidP="00860BB1">
      <w:pPr>
        <w:tabs>
          <w:tab w:val="left" w:pos="567"/>
          <w:tab w:val="center" w:pos="2052"/>
        </w:tabs>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3.</w:t>
      </w:r>
      <w:r w:rsidRPr="00860BB1">
        <w:rPr>
          <w:rFonts w:ascii="Times New Roman" w:eastAsia="Times New Roman" w:hAnsi="Times New Roman" w:cs="Times New Roman"/>
          <w:b/>
          <w:noProof w:val="0"/>
          <w:color w:val="000000"/>
          <w:kern w:val="0"/>
          <w:lang w:val="hu-HU" w:eastAsia="hu-HU"/>
          <w14:ligatures w14:val="none"/>
        </w:rPr>
        <w:tab/>
        <w:t>Hogyan kell szedni a Telexert?</w:t>
      </w:r>
    </w:p>
    <w:p w14:paraId="534F3154"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617038BA" w14:textId="1AF100C9" w:rsidR="007E426C" w:rsidRPr="007E426C" w:rsidRDefault="00860BB1" w:rsidP="007E426C">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 xml:space="preserve">A Telexer kapszula felnőtteknek és 8 éves és idősebb gyermekeknek adható, akik képesek egészben lenyelni a kapszulákat. </w:t>
      </w:r>
      <w:r w:rsidR="007E426C" w:rsidRPr="007E426C">
        <w:rPr>
          <w:rFonts w:ascii="Times New Roman" w:eastAsia="Times New Roman" w:hAnsi="Times New Roman" w:cs="Times New Roman"/>
          <w:noProof w:val="0"/>
          <w:color w:val="000000"/>
          <w:kern w:val="0"/>
          <w:lang w:val="hu-HU" w:eastAsia="hu-HU"/>
          <w14:ligatures w14:val="none"/>
        </w:rPr>
        <w:t xml:space="preserve">12 év alatti gyermekeknél a dabigatrán-etexilát egyéb gyógyszerformái (például bevont granulátum) alkalmazhatók, amint képesek puha ételt lenyelni. </w:t>
      </w:r>
      <w:r w:rsidR="00056119" w:rsidRPr="00815E89">
        <w:rPr>
          <w:rFonts w:ascii="Times New Roman" w:eastAsia="Times New Roman" w:hAnsi="Times New Roman" w:cs="Times New Roman"/>
          <w:color w:val="000000" w:themeColor="text1"/>
          <w:lang w:bidi="en-US"/>
        </w:rPr>
        <w:t>A T</w:t>
      </w:r>
      <w:r w:rsidR="00056119">
        <w:rPr>
          <w:rFonts w:ascii="Times New Roman" w:eastAsia="Times New Roman" w:hAnsi="Times New Roman" w:cs="Times New Roman"/>
          <w:color w:val="000000" w:themeColor="text1"/>
          <w:lang w:bidi="en-US"/>
        </w:rPr>
        <w:t>elexer</w:t>
      </w:r>
      <w:r w:rsidR="00056119" w:rsidRPr="00815E89">
        <w:rPr>
          <w:rFonts w:ascii="Times New Roman" w:eastAsia="Times New Roman" w:hAnsi="Times New Roman" w:cs="Times New Roman"/>
          <w:color w:val="000000" w:themeColor="text1"/>
          <w:lang w:bidi="en-US"/>
        </w:rPr>
        <w:t xml:space="preserve"> 75 mg-os hatáserősségben nem </w:t>
      </w:r>
      <w:r w:rsidR="00056119">
        <w:rPr>
          <w:rFonts w:ascii="Times New Roman" w:eastAsia="Times New Roman" w:hAnsi="Times New Roman" w:cs="Times New Roman"/>
          <w:color w:val="000000" w:themeColor="text1"/>
          <w:lang w:bidi="en-US"/>
        </w:rPr>
        <w:t>érhető el</w:t>
      </w:r>
      <w:r w:rsidR="00056119" w:rsidRPr="00815E89">
        <w:rPr>
          <w:rFonts w:ascii="Times New Roman" w:eastAsia="Times New Roman" w:hAnsi="Times New Roman" w:cs="Times New Roman"/>
          <w:color w:val="000000" w:themeColor="text1"/>
          <w:lang w:bidi="en-US"/>
        </w:rPr>
        <w:t xml:space="preserve">. </w:t>
      </w:r>
      <w:r w:rsidR="00056119">
        <w:rPr>
          <w:rFonts w:ascii="Times New Roman" w:eastAsia="Times New Roman" w:hAnsi="Times New Roman" w:cs="Times New Roman"/>
          <w:color w:val="000000" w:themeColor="text1"/>
          <w:lang w:val="hu-HU" w:bidi="en-US"/>
        </w:rPr>
        <w:t xml:space="preserve">Ezért </w:t>
      </w:r>
      <w:r w:rsidR="00056119">
        <w:rPr>
          <w:rFonts w:ascii="Times New Roman" w:eastAsia="Times New Roman" w:hAnsi="Times New Roman" w:cs="Times New Roman"/>
          <w:noProof w:val="0"/>
          <w:color w:val="000000"/>
          <w:kern w:val="0"/>
          <w:lang w:val="hu-HU" w:eastAsia="hu-HU"/>
          <w14:ligatures w14:val="none"/>
        </w:rPr>
        <w:t>o</w:t>
      </w:r>
      <w:r w:rsidR="007E426C" w:rsidRPr="007E426C">
        <w:rPr>
          <w:rFonts w:ascii="Times New Roman" w:eastAsia="Times New Roman" w:hAnsi="Times New Roman" w:cs="Times New Roman"/>
          <w:noProof w:val="0"/>
          <w:color w:val="000000"/>
          <w:kern w:val="0"/>
          <w:lang w:val="hu-HU" w:eastAsia="hu-HU"/>
          <w14:ligatures w14:val="none"/>
        </w:rPr>
        <w:t xml:space="preserve">lyan felnőttek esetében, akiknél alacsonyabb dózis </w:t>
      </w:r>
      <w:r w:rsidR="0055789C">
        <w:rPr>
          <w:rFonts w:ascii="Times New Roman" w:eastAsia="Times New Roman" w:hAnsi="Times New Roman" w:cs="Times New Roman"/>
          <w:noProof w:val="0"/>
          <w:color w:val="000000"/>
          <w:kern w:val="0"/>
          <w:lang w:val="hu-HU" w:eastAsia="hu-HU"/>
          <w14:ligatures w14:val="none"/>
        </w:rPr>
        <w:t xml:space="preserve">alkalmazása </w:t>
      </w:r>
      <w:r w:rsidR="007E426C" w:rsidRPr="007E426C">
        <w:rPr>
          <w:rFonts w:ascii="Times New Roman" w:eastAsia="Times New Roman" w:hAnsi="Times New Roman" w:cs="Times New Roman"/>
          <w:noProof w:val="0"/>
          <w:color w:val="000000"/>
          <w:kern w:val="0"/>
          <w:lang w:val="hu-HU" w:eastAsia="hu-HU"/>
          <w14:ligatures w14:val="none"/>
        </w:rPr>
        <w:t>szükséges, a rendelkezésre álló más</w:t>
      </w:r>
      <w:r w:rsidR="00056119">
        <w:rPr>
          <w:rFonts w:ascii="Times New Roman" w:eastAsia="Times New Roman" w:hAnsi="Times New Roman" w:cs="Times New Roman"/>
          <w:noProof w:val="0"/>
          <w:color w:val="000000"/>
          <w:kern w:val="0"/>
          <w:lang w:val="hu-HU" w:eastAsia="hu-HU"/>
          <w14:ligatures w14:val="none"/>
        </w:rPr>
        <w:t>,</w:t>
      </w:r>
      <w:r w:rsidR="007E426C" w:rsidRPr="007E426C">
        <w:rPr>
          <w:rFonts w:ascii="Times New Roman" w:eastAsia="Times New Roman" w:hAnsi="Times New Roman" w:cs="Times New Roman"/>
          <w:noProof w:val="0"/>
          <w:color w:val="000000"/>
          <w:kern w:val="0"/>
          <w:lang w:val="hu-HU" w:eastAsia="hu-HU"/>
          <w14:ligatures w14:val="none"/>
        </w:rPr>
        <w:t xml:space="preserve"> </w:t>
      </w:r>
      <w:r w:rsidR="00056119" w:rsidRPr="00815E89">
        <w:rPr>
          <w:rFonts w:ascii="Times New Roman" w:eastAsia="Times New Roman" w:hAnsi="Times New Roman" w:cs="Times New Roman"/>
          <w:color w:val="000000" w:themeColor="text1"/>
          <w:lang w:bidi="en-US"/>
        </w:rPr>
        <w:t xml:space="preserve">75 mg dabigatrán-etexilátot tartalmazó </w:t>
      </w:r>
      <w:r w:rsidR="00056119">
        <w:rPr>
          <w:rFonts w:ascii="Times New Roman" w:eastAsia="Times New Roman" w:hAnsi="Times New Roman" w:cs="Times New Roman"/>
          <w:color w:val="000000" w:themeColor="text1"/>
          <w:lang w:val="hu-HU" w:bidi="en-US"/>
        </w:rPr>
        <w:t xml:space="preserve">gyógyszereket </w:t>
      </w:r>
      <w:r w:rsidR="007E426C" w:rsidRPr="007E426C">
        <w:rPr>
          <w:rFonts w:ascii="Times New Roman" w:eastAsia="Times New Roman" w:hAnsi="Times New Roman" w:cs="Times New Roman"/>
          <w:noProof w:val="0"/>
          <w:color w:val="000000"/>
          <w:kern w:val="0"/>
          <w:lang w:val="hu-HU" w:eastAsia="hu-HU"/>
          <w14:ligatures w14:val="none"/>
        </w:rPr>
        <w:t>kell alkalmazni.</w:t>
      </w:r>
    </w:p>
    <w:p w14:paraId="4620F50B" w14:textId="77777777" w:rsidR="007E426C" w:rsidRPr="00860BB1" w:rsidRDefault="007E426C"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498F3198"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gyógyszert mindig a kezelőorvosa által elmondottaknak megfelelően szedje. Amennyiben nem biztos az adagolást illetően, kérdezze meg kezelőorvosát.</w:t>
      </w:r>
    </w:p>
    <w:p w14:paraId="156E7567"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499ABA72" w14:textId="77777777" w:rsidR="00860BB1" w:rsidRPr="00860BB1" w:rsidRDefault="00860BB1" w:rsidP="00860BB1">
      <w:pPr>
        <w:spacing w:after="0" w:line="240" w:lineRule="auto"/>
        <w:ind w:left="7" w:hanging="10"/>
        <w:rPr>
          <w:rFonts w:ascii="Times New Roman" w:eastAsia="Times New Roman" w:hAnsi="Times New Roman" w:cs="Times New Roman"/>
          <w:b/>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A következő esetekben a javasolt adagban alkalmazza a Telexert:</w:t>
      </w:r>
    </w:p>
    <w:p w14:paraId="4FEF92EF"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p>
    <w:p w14:paraId="34E4CDC4" w14:textId="77777777" w:rsidR="00860BB1" w:rsidRPr="00860BB1" w:rsidRDefault="00860BB1" w:rsidP="00860BB1">
      <w:pPr>
        <w:keepNext/>
        <w:keepLines/>
        <w:spacing w:after="0" w:line="240" w:lineRule="auto"/>
        <w:ind w:left="7" w:hanging="10"/>
        <w:outlineLvl w:val="0"/>
        <w:rPr>
          <w:rFonts w:ascii="Times New Roman" w:eastAsia="Times New Roman" w:hAnsi="Times New Roman" w:cs="Times New Roman"/>
          <w:noProof w:val="0"/>
          <w:color w:val="000000"/>
          <w:kern w:val="0"/>
          <w:u w:val="single" w:color="000000"/>
          <w:lang w:val="hu-HU" w:eastAsia="hu-HU"/>
          <w14:ligatures w14:val="none"/>
        </w:rPr>
      </w:pPr>
      <w:r w:rsidRPr="00860BB1">
        <w:rPr>
          <w:rFonts w:ascii="Times New Roman" w:eastAsia="Times New Roman" w:hAnsi="Times New Roman" w:cs="Times New Roman"/>
          <w:noProof w:val="0"/>
          <w:color w:val="000000"/>
          <w:kern w:val="0"/>
          <w:u w:val="single" w:color="000000"/>
          <w:lang w:val="hu-HU" w:eastAsia="hu-HU"/>
          <w14:ligatures w14:val="none"/>
        </w:rPr>
        <w:t>A vérrögképződés megelőzésére térd- vagy csípőprotézis műtétet követően</w:t>
      </w:r>
      <w:r w:rsidRPr="00860BB1">
        <w:rPr>
          <w:rFonts w:ascii="Times New Roman" w:eastAsia="Times New Roman" w:hAnsi="Times New Roman" w:cs="Times New Roman"/>
          <w:noProof w:val="0"/>
          <w:color w:val="000000"/>
          <w:kern w:val="0"/>
          <w:u w:color="000000"/>
          <w:lang w:val="hu-HU" w:eastAsia="hu-HU"/>
          <w14:ligatures w14:val="none"/>
        </w:rPr>
        <w:t xml:space="preserve"> </w:t>
      </w:r>
    </w:p>
    <w:p w14:paraId="48B6A41B"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21C279BA"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lastRenderedPageBreak/>
        <w:t xml:space="preserve">A készítmény ajánlott adagja </w:t>
      </w:r>
      <w:r w:rsidRPr="00860BB1">
        <w:rPr>
          <w:rFonts w:ascii="Times New Roman" w:eastAsia="Times New Roman" w:hAnsi="Times New Roman" w:cs="Times New Roman"/>
          <w:b/>
          <w:noProof w:val="0"/>
          <w:color w:val="000000"/>
          <w:kern w:val="0"/>
          <w:lang w:val="hu-HU" w:eastAsia="hu-HU"/>
          <w14:ligatures w14:val="none"/>
        </w:rPr>
        <w:t xml:space="preserve">220 mg naponta egyszer </w:t>
      </w:r>
      <w:r w:rsidRPr="00860BB1">
        <w:rPr>
          <w:rFonts w:ascii="Times New Roman" w:eastAsia="Times New Roman" w:hAnsi="Times New Roman" w:cs="Times New Roman"/>
          <w:noProof w:val="0"/>
          <w:color w:val="000000"/>
          <w:kern w:val="0"/>
          <w:lang w:val="hu-HU" w:eastAsia="hu-HU"/>
          <w14:ligatures w14:val="none"/>
        </w:rPr>
        <w:t>(2 db 110 mg-os kapszula formájában).</w:t>
      </w:r>
    </w:p>
    <w:p w14:paraId="3CC486D9"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5A760819"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 xml:space="preserve">Ha az Ön </w:t>
      </w:r>
      <w:r w:rsidRPr="00860BB1">
        <w:rPr>
          <w:rFonts w:ascii="Times New Roman" w:eastAsia="Times New Roman" w:hAnsi="Times New Roman" w:cs="Times New Roman"/>
          <w:b/>
          <w:noProof w:val="0"/>
          <w:color w:val="000000"/>
          <w:kern w:val="0"/>
          <w:lang w:val="hu-HU" w:eastAsia="hu-HU"/>
          <w14:ligatures w14:val="none"/>
        </w:rPr>
        <w:t xml:space="preserve">veseműködése </w:t>
      </w:r>
      <w:r w:rsidRPr="00860BB1">
        <w:rPr>
          <w:rFonts w:ascii="Times New Roman" w:eastAsia="Times New Roman" w:hAnsi="Times New Roman" w:cs="Times New Roman"/>
          <w:noProof w:val="0"/>
          <w:color w:val="000000"/>
          <w:kern w:val="0"/>
          <w:lang w:val="hu-HU" w:eastAsia="hu-HU"/>
          <w14:ligatures w14:val="none"/>
        </w:rPr>
        <w:t xml:space="preserve">több mint felével </w:t>
      </w:r>
      <w:r w:rsidRPr="00860BB1">
        <w:rPr>
          <w:rFonts w:ascii="Times New Roman" w:eastAsia="Times New Roman" w:hAnsi="Times New Roman" w:cs="Times New Roman"/>
          <w:b/>
          <w:noProof w:val="0"/>
          <w:color w:val="000000"/>
          <w:kern w:val="0"/>
          <w:lang w:val="hu-HU" w:eastAsia="hu-HU"/>
          <w14:ligatures w14:val="none"/>
        </w:rPr>
        <w:t>csökkent</w:t>
      </w:r>
      <w:r w:rsidRPr="00860BB1">
        <w:rPr>
          <w:rFonts w:ascii="Times New Roman" w:eastAsia="Times New Roman" w:hAnsi="Times New Roman" w:cs="Times New Roman"/>
          <w:noProof w:val="0"/>
          <w:color w:val="000000"/>
          <w:kern w:val="0"/>
          <w:lang w:val="hu-HU" w:eastAsia="hu-HU"/>
          <w14:ligatures w14:val="none"/>
        </w:rPr>
        <w:t xml:space="preserve">, vagy ha Ön </w:t>
      </w:r>
      <w:r w:rsidRPr="00860BB1">
        <w:rPr>
          <w:rFonts w:ascii="Times New Roman" w:eastAsia="Times New Roman" w:hAnsi="Times New Roman" w:cs="Times New Roman"/>
          <w:b/>
          <w:noProof w:val="0"/>
          <w:color w:val="000000"/>
          <w:kern w:val="0"/>
          <w:lang w:val="hu-HU" w:eastAsia="hu-HU"/>
          <w14:ligatures w14:val="none"/>
        </w:rPr>
        <w:t>75 éves vagy idősebb</w:t>
      </w:r>
      <w:r w:rsidRPr="00860BB1">
        <w:rPr>
          <w:rFonts w:ascii="Times New Roman" w:eastAsia="Times New Roman" w:hAnsi="Times New Roman" w:cs="Times New Roman"/>
          <w:noProof w:val="0"/>
          <w:color w:val="000000"/>
          <w:kern w:val="0"/>
          <w:lang w:val="hu-HU" w:eastAsia="hu-HU"/>
          <w14:ligatures w14:val="none"/>
        </w:rPr>
        <w:t>, a javasolt adag naponta egyszer 150 mg (2 db 75 mg-os* kapszula formájában).</w:t>
      </w:r>
    </w:p>
    <w:p w14:paraId="7D219C0B"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0D6C4098"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 xml:space="preserve">Ha Ön </w:t>
      </w:r>
      <w:r w:rsidRPr="00860BB1">
        <w:rPr>
          <w:rFonts w:ascii="Times New Roman" w:eastAsia="Times New Roman" w:hAnsi="Times New Roman" w:cs="Times New Roman"/>
          <w:b/>
          <w:noProof w:val="0"/>
          <w:color w:val="000000"/>
          <w:kern w:val="0"/>
          <w:lang w:val="hu-HU" w:eastAsia="hu-HU"/>
          <w14:ligatures w14:val="none"/>
        </w:rPr>
        <w:t>amiodaron-, kinidin- vagy verapamil</w:t>
      </w:r>
      <w:r w:rsidRPr="00860BB1">
        <w:rPr>
          <w:rFonts w:ascii="Times New Roman" w:eastAsia="Times New Roman" w:hAnsi="Times New Roman" w:cs="Times New Roman"/>
          <w:noProof w:val="0"/>
          <w:color w:val="000000"/>
          <w:kern w:val="0"/>
          <w:lang w:val="hu-HU" w:eastAsia="hu-HU"/>
          <w14:ligatures w14:val="none"/>
        </w:rPr>
        <w:t xml:space="preserve">-tartalmú gyógyszert szed, a Telexer ajánlott adagja </w:t>
      </w:r>
      <w:r w:rsidRPr="00860BB1">
        <w:rPr>
          <w:rFonts w:ascii="Times New Roman" w:eastAsia="Times New Roman" w:hAnsi="Times New Roman" w:cs="Times New Roman"/>
          <w:b/>
          <w:noProof w:val="0"/>
          <w:color w:val="000000"/>
          <w:kern w:val="0"/>
          <w:lang w:val="hu-HU" w:eastAsia="hu-HU"/>
          <w14:ligatures w14:val="none"/>
        </w:rPr>
        <w:t xml:space="preserve">150 mg naponta </w:t>
      </w:r>
      <w:r w:rsidRPr="00860BB1">
        <w:rPr>
          <w:rFonts w:ascii="Times New Roman" w:eastAsia="Times New Roman" w:hAnsi="Times New Roman" w:cs="Times New Roman"/>
          <w:noProof w:val="0"/>
          <w:color w:val="000000"/>
          <w:kern w:val="0"/>
          <w:lang w:val="hu-HU" w:eastAsia="hu-HU"/>
          <w14:ligatures w14:val="none"/>
        </w:rPr>
        <w:t>(2 db 75 mg-os* kapszula formájában).</w:t>
      </w:r>
    </w:p>
    <w:p w14:paraId="0CF6BE98"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70FA899C"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 xml:space="preserve">Ha Ön </w:t>
      </w:r>
      <w:r w:rsidRPr="00860BB1">
        <w:rPr>
          <w:rFonts w:ascii="Times New Roman" w:eastAsia="Times New Roman" w:hAnsi="Times New Roman" w:cs="Times New Roman"/>
          <w:b/>
          <w:noProof w:val="0"/>
          <w:color w:val="000000"/>
          <w:kern w:val="0"/>
          <w:lang w:val="hu-HU" w:eastAsia="hu-HU"/>
          <w14:ligatures w14:val="none"/>
        </w:rPr>
        <w:t>verapamil-tartalmú gyógyszert szed</w:t>
      </w:r>
      <w:r w:rsidRPr="00860BB1">
        <w:rPr>
          <w:rFonts w:ascii="Times New Roman" w:eastAsia="Times New Roman" w:hAnsi="Times New Roman" w:cs="Times New Roman"/>
          <w:noProof w:val="0"/>
          <w:color w:val="000000"/>
          <w:kern w:val="0"/>
          <w:lang w:val="hu-HU" w:eastAsia="hu-HU"/>
          <w14:ligatures w14:val="none"/>
        </w:rPr>
        <w:t xml:space="preserve">, és </w:t>
      </w:r>
      <w:r w:rsidRPr="00860BB1">
        <w:rPr>
          <w:rFonts w:ascii="Times New Roman" w:eastAsia="Times New Roman" w:hAnsi="Times New Roman" w:cs="Times New Roman"/>
          <w:b/>
          <w:noProof w:val="0"/>
          <w:color w:val="000000"/>
          <w:kern w:val="0"/>
          <w:lang w:val="hu-HU" w:eastAsia="hu-HU"/>
          <w14:ligatures w14:val="none"/>
        </w:rPr>
        <w:t xml:space="preserve">vesefunkciója </w:t>
      </w:r>
      <w:r w:rsidRPr="00860BB1">
        <w:rPr>
          <w:rFonts w:ascii="Times New Roman" w:eastAsia="Times New Roman" w:hAnsi="Times New Roman" w:cs="Times New Roman"/>
          <w:noProof w:val="0"/>
          <w:color w:val="000000"/>
          <w:kern w:val="0"/>
          <w:lang w:val="hu-HU" w:eastAsia="hu-HU"/>
          <w14:ligatures w14:val="none"/>
        </w:rPr>
        <w:t>több mint a felével csökkent, akkor a vérzés megnövekedett kockázata miatt a dabigatrán</w:t>
      </w:r>
      <w:r w:rsidRPr="00860BB1">
        <w:rPr>
          <w:rFonts w:ascii="Times New Roman" w:eastAsia="Times New Roman" w:hAnsi="Times New Roman" w:cs="Times New Roman"/>
          <w:noProof w:val="0"/>
          <w:color w:val="000000"/>
          <w:kern w:val="0"/>
          <w:lang w:val="hu-HU" w:eastAsia="hu-HU"/>
          <w14:ligatures w14:val="none"/>
        </w:rPr>
        <w:noBreakHyphen/>
        <w:t xml:space="preserve">etexilát </w:t>
      </w:r>
      <w:r w:rsidRPr="00860BB1">
        <w:rPr>
          <w:rFonts w:ascii="Times New Roman" w:eastAsia="Times New Roman" w:hAnsi="Times New Roman" w:cs="Times New Roman"/>
          <w:b/>
          <w:noProof w:val="0"/>
          <w:color w:val="000000"/>
          <w:kern w:val="0"/>
          <w:lang w:val="hu-HU" w:eastAsia="hu-HU"/>
          <w14:ligatures w14:val="none"/>
        </w:rPr>
        <w:t>75 mg</w:t>
      </w:r>
      <w:r w:rsidRPr="00860BB1">
        <w:rPr>
          <w:rFonts w:ascii="Times New Roman" w:eastAsia="Times New Roman" w:hAnsi="Times New Roman" w:cs="Times New Roman"/>
          <w:noProof w:val="0"/>
          <w:color w:val="000000"/>
          <w:kern w:val="0"/>
          <w:lang w:val="hu-HU" w:eastAsia="hu-HU"/>
          <w14:ligatures w14:val="none"/>
        </w:rPr>
        <w:t>-ra* csökkentett adagjával kell kezelni Önt.</w:t>
      </w:r>
    </w:p>
    <w:p w14:paraId="567E0EF2"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3D103BB2"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Egyik műtéttípus esetén sem kezdhető el a kezelés, ha vérzés észlelhető a műtéti területen. Ha a kezelés nem kezdhető el a műtétet követő napon sem, az adagolást napi egyszer adott 2 kapszulával kell kezdeni.</w:t>
      </w:r>
    </w:p>
    <w:p w14:paraId="32CEF714"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48E984D2" w14:textId="77777777" w:rsidR="00860BB1" w:rsidRPr="00860BB1" w:rsidRDefault="00860BB1" w:rsidP="00860BB1">
      <w:pPr>
        <w:spacing w:after="0" w:line="240" w:lineRule="auto"/>
        <w:ind w:left="7" w:right="11" w:hanging="10"/>
        <w:rPr>
          <w:rFonts w:ascii="Times New Roman" w:eastAsia="Times New Roman" w:hAnsi="Times New Roman" w:cs="Times New Roman"/>
          <w:i/>
          <w:iCs/>
          <w:noProof w:val="0"/>
          <w:color w:val="000000"/>
          <w:kern w:val="0"/>
          <w:lang w:val="hu-HU" w:eastAsia="hu-HU"/>
          <w14:ligatures w14:val="none"/>
        </w:rPr>
      </w:pPr>
      <w:r w:rsidRPr="00860BB1">
        <w:rPr>
          <w:rFonts w:ascii="Times New Roman" w:eastAsia="Times New Roman" w:hAnsi="Times New Roman" w:cs="Times New Roman"/>
          <w:i/>
          <w:iCs/>
          <w:noProof w:val="0"/>
          <w:color w:val="000000"/>
          <w:kern w:val="0"/>
          <w:lang w:val="hu-HU" w:eastAsia="hu-HU"/>
          <w14:ligatures w14:val="none"/>
        </w:rPr>
        <w:t>* A Telexer 75 mg-os adagja nem áll rendelkezésre, ezért nem alkalmas a fent említett betegcsoportok számára. Ezeknek a betegeknek más 75 mg dabigatrán</w:t>
      </w:r>
      <w:r w:rsidRPr="00860BB1">
        <w:rPr>
          <w:rFonts w:ascii="Times New Roman" w:eastAsia="Times New Roman" w:hAnsi="Times New Roman" w:cs="Times New Roman"/>
          <w:i/>
          <w:iCs/>
          <w:noProof w:val="0"/>
          <w:color w:val="000000"/>
          <w:kern w:val="0"/>
          <w:lang w:val="hu-HU" w:eastAsia="hu-HU"/>
          <w14:ligatures w14:val="none"/>
        </w:rPr>
        <w:noBreakHyphen/>
        <w:t>etexilátot tartalmazó gyógyszert kell alkalmazniuk.</w:t>
      </w:r>
    </w:p>
    <w:p w14:paraId="41993BDD"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2E9A6361"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i/>
          <w:noProof w:val="0"/>
          <w:color w:val="000000"/>
          <w:kern w:val="0"/>
          <w:u w:val="single" w:color="000000"/>
          <w:lang w:val="hu-HU" w:eastAsia="hu-HU"/>
          <w14:ligatures w14:val="none"/>
        </w:rPr>
        <w:t>Térdprotézisműtét után</w:t>
      </w:r>
    </w:p>
    <w:p w14:paraId="73E34EC3"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72517677"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Telexer-kezelést a műtét befejezését követő 1-4 órán belül kell elkezdeni egy kapszulával. Ezt követően két kapszulát kell bevenni naponta, összesen 10 napig.</w:t>
      </w:r>
    </w:p>
    <w:p w14:paraId="3A3A952A"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74792F51"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i/>
          <w:noProof w:val="0"/>
          <w:color w:val="000000"/>
          <w:kern w:val="0"/>
          <w:u w:val="single" w:color="000000"/>
          <w:lang w:val="hu-HU" w:eastAsia="hu-HU"/>
          <w14:ligatures w14:val="none"/>
        </w:rPr>
        <w:t>Csípőprotézisműtét után</w:t>
      </w:r>
      <w:r w:rsidRPr="00860BB1">
        <w:rPr>
          <w:rFonts w:ascii="Times New Roman" w:eastAsia="Times New Roman" w:hAnsi="Times New Roman" w:cs="Times New Roman"/>
          <w:i/>
          <w:noProof w:val="0"/>
          <w:color w:val="000000"/>
          <w:kern w:val="0"/>
          <w:lang w:val="hu-HU" w:eastAsia="hu-HU"/>
          <w14:ligatures w14:val="none"/>
        </w:rPr>
        <w:t xml:space="preserve"> </w:t>
      </w:r>
    </w:p>
    <w:p w14:paraId="68192611"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27D64CE5" w14:textId="2AB7D98A"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Telexer-kezelést a műtét befejezését követő 1</w:t>
      </w:r>
      <w:r w:rsidR="00E2301D" w:rsidRPr="00860BB1">
        <w:rPr>
          <w:rFonts w:ascii="Times New Roman" w:eastAsia="Times New Roman" w:hAnsi="Times New Roman" w:cs="Times New Roman"/>
          <w:noProof w:val="0"/>
          <w:color w:val="000000"/>
          <w:kern w:val="0"/>
          <w:lang w:val="hu-HU" w:eastAsia="hu-HU"/>
          <w14:ligatures w14:val="none"/>
        </w:rPr>
        <w:t>–</w:t>
      </w:r>
      <w:r w:rsidRPr="00860BB1">
        <w:rPr>
          <w:rFonts w:ascii="Times New Roman" w:eastAsia="Times New Roman" w:hAnsi="Times New Roman" w:cs="Times New Roman"/>
          <w:noProof w:val="0"/>
          <w:color w:val="000000"/>
          <w:kern w:val="0"/>
          <w:lang w:val="hu-HU" w:eastAsia="hu-HU"/>
          <w14:ligatures w14:val="none"/>
        </w:rPr>
        <w:t>4 órán belül kell elkezdeni egy kapszulával. Ezt követően két kapszulát kell bevenni naponta, összesen 28</w:t>
      </w:r>
      <w:r w:rsidRPr="00860BB1">
        <w:rPr>
          <w:rFonts w:ascii="Times New Roman" w:eastAsia="Times New Roman" w:hAnsi="Times New Roman" w:cs="Times New Roman"/>
          <w:noProof w:val="0"/>
          <w:color w:val="000000"/>
          <w:kern w:val="0"/>
          <w:lang w:val="hu-HU" w:eastAsia="hu-HU"/>
          <w14:ligatures w14:val="none"/>
        </w:rPr>
        <w:noBreakHyphen/>
        <w:t>35 napig.</w:t>
      </w:r>
    </w:p>
    <w:p w14:paraId="6350A430"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27B7ABB7" w14:textId="77777777" w:rsidR="00860BB1" w:rsidRPr="00860BB1" w:rsidRDefault="00860BB1" w:rsidP="00860BB1">
      <w:pPr>
        <w:keepNext/>
        <w:keepLines/>
        <w:spacing w:after="0" w:line="240" w:lineRule="auto"/>
        <w:ind w:left="7" w:hanging="10"/>
        <w:outlineLvl w:val="0"/>
        <w:rPr>
          <w:rFonts w:ascii="Times New Roman" w:eastAsia="Times New Roman" w:hAnsi="Times New Roman" w:cs="Times New Roman"/>
          <w:noProof w:val="0"/>
          <w:color w:val="000000"/>
          <w:kern w:val="0"/>
          <w:u w:val="single" w:color="000000"/>
          <w:lang w:val="hu-HU" w:eastAsia="hu-HU"/>
          <w14:ligatures w14:val="none"/>
        </w:rPr>
      </w:pPr>
      <w:r w:rsidRPr="00860BB1">
        <w:rPr>
          <w:rFonts w:ascii="Times New Roman" w:eastAsia="Times New Roman" w:hAnsi="Times New Roman" w:cs="Times New Roman"/>
          <w:noProof w:val="0"/>
          <w:color w:val="000000"/>
          <w:kern w:val="0"/>
          <w:u w:val="single" w:color="000000"/>
          <w:lang w:val="hu-HU" w:eastAsia="hu-HU"/>
          <w14:ligatures w14:val="none"/>
        </w:rPr>
        <w:t>A szívritmuszavart követően kifejlődő, agyi és testben lévő ereket elzáró vérrögképződés megelőzése</w:t>
      </w:r>
      <w:r w:rsidRPr="00860BB1">
        <w:rPr>
          <w:rFonts w:ascii="Times New Roman" w:eastAsia="Times New Roman" w:hAnsi="Times New Roman" w:cs="Times New Roman"/>
          <w:noProof w:val="0"/>
          <w:color w:val="000000"/>
          <w:kern w:val="0"/>
          <w:u w:color="000000"/>
          <w:lang w:val="hu-HU" w:eastAsia="hu-HU"/>
          <w14:ligatures w14:val="none"/>
        </w:rPr>
        <w:t xml:space="preserve"> </w:t>
      </w:r>
      <w:r w:rsidRPr="00860BB1">
        <w:rPr>
          <w:rFonts w:ascii="Times New Roman" w:eastAsia="Times New Roman" w:hAnsi="Times New Roman" w:cs="Times New Roman"/>
          <w:noProof w:val="0"/>
          <w:color w:val="000000"/>
          <w:kern w:val="0"/>
          <w:u w:val="single" w:color="000000"/>
          <w:lang w:val="hu-HU" w:eastAsia="hu-HU"/>
          <w14:ligatures w14:val="none"/>
        </w:rPr>
        <w:t>és a lábak, valamint a tüdő vénáiban kialakult vérrögök kezelése, és az ilyen vérrögök ismételt</w:t>
      </w:r>
      <w:r w:rsidRPr="00860BB1">
        <w:rPr>
          <w:rFonts w:ascii="Times New Roman" w:eastAsia="Times New Roman" w:hAnsi="Times New Roman" w:cs="Times New Roman"/>
          <w:noProof w:val="0"/>
          <w:color w:val="000000"/>
          <w:kern w:val="0"/>
          <w:u w:color="000000"/>
          <w:lang w:val="hu-HU" w:eastAsia="hu-HU"/>
          <w14:ligatures w14:val="none"/>
        </w:rPr>
        <w:t xml:space="preserve"> </w:t>
      </w:r>
      <w:r w:rsidRPr="00860BB1">
        <w:rPr>
          <w:rFonts w:ascii="Times New Roman" w:eastAsia="Times New Roman" w:hAnsi="Times New Roman" w:cs="Times New Roman"/>
          <w:noProof w:val="0"/>
          <w:color w:val="000000"/>
          <w:kern w:val="0"/>
          <w:u w:val="single" w:color="000000"/>
          <w:lang w:val="hu-HU" w:eastAsia="hu-HU"/>
          <w14:ligatures w14:val="none"/>
        </w:rPr>
        <w:t>kialakulásának megelőzése</w:t>
      </w:r>
    </w:p>
    <w:p w14:paraId="4C4362FF"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p>
    <w:p w14:paraId="5039B078"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Az ajánlott adag 300 mg naponta</w:t>
      </w:r>
      <w:r w:rsidRPr="00860BB1">
        <w:rPr>
          <w:rFonts w:ascii="Times New Roman" w:eastAsia="Times New Roman" w:hAnsi="Times New Roman" w:cs="Times New Roman"/>
          <w:b/>
          <w:noProof w:val="0"/>
          <w:color w:val="000000"/>
          <w:kern w:val="0"/>
          <w:lang w:val="hu-HU" w:eastAsia="hu-HU"/>
          <w14:ligatures w14:val="none"/>
        </w:rPr>
        <w:t>, napi kétszer egy 150 mg-os kapszula formájában</w:t>
      </w:r>
      <w:r w:rsidRPr="00860BB1">
        <w:rPr>
          <w:rFonts w:ascii="Times New Roman" w:eastAsia="Times New Roman" w:hAnsi="Times New Roman" w:cs="Times New Roman"/>
          <w:noProof w:val="0"/>
          <w:color w:val="000000"/>
          <w:kern w:val="0"/>
          <w:lang w:val="hu-HU" w:eastAsia="hu-HU"/>
          <w14:ligatures w14:val="none"/>
        </w:rPr>
        <w:t>.</w:t>
      </w:r>
    </w:p>
    <w:p w14:paraId="5033D1A5"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p>
    <w:p w14:paraId="6EFE8FEA"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 xml:space="preserve">Ha Ön </w:t>
      </w:r>
      <w:r w:rsidRPr="00860BB1">
        <w:rPr>
          <w:rFonts w:ascii="Times New Roman" w:eastAsia="Times New Roman" w:hAnsi="Times New Roman" w:cs="Times New Roman"/>
          <w:b/>
          <w:noProof w:val="0"/>
          <w:color w:val="000000"/>
          <w:kern w:val="0"/>
          <w:lang w:val="hu-HU" w:eastAsia="hu-HU"/>
          <w14:ligatures w14:val="none"/>
        </w:rPr>
        <w:t>80 éves vagy idősebb</w:t>
      </w:r>
      <w:r w:rsidRPr="00860BB1">
        <w:rPr>
          <w:rFonts w:ascii="Times New Roman" w:eastAsia="Times New Roman" w:hAnsi="Times New Roman" w:cs="Times New Roman"/>
          <w:noProof w:val="0"/>
          <w:color w:val="000000"/>
          <w:kern w:val="0"/>
          <w:lang w:val="hu-HU" w:eastAsia="hu-HU"/>
          <w14:ligatures w14:val="none"/>
        </w:rPr>
        <w:t xml:space="preserve">, a javasolt adag napi 220 mg, </w:t>
      </w:r>
      <w:r w:rsidRPr="00860BB1">
        <w:rPr>
          <w:rFonts w:ascii="Times New Roman" w:eastAsia="Times New Roman" w:hAnsi="Times New Roman" w:cs="Times New Roman"/>
          <w:b/>
          <w:noProof w:val="0"/>
          <w:color w:val="000000"/>
          <w:kern w:val="0"/>
          <w:lang w:val="hu-HU" w:eastAsia="hu-HU"/>
          <w14:ligatures w14:val="none"/>
        </w:rPr>
        <w:t>napi kétszer egy 110 mg-os kapszula formájában</w:t>
      </w:r>
      <w:r w:rsidRPr="00860BB1">
        <w:rPr>
          <w:rFonts w:ascii="Times New Roman" w:eastAsia="Times New Roman" w:hAnsi="Times New Roman" w:cs="Times New Roman"/>
          <w:noProof w:val="0"/>
          <w:color w:val="000000"/>
          <w:kern w:val="0"/>
          <w:lang w:val="hu-HU" w:eastAsia="hu-HU"/>
          <w14:ligatures w14:val="none"/>
        </w:rPr>
        <w:t>.</w:t>
      </w:r>
    </w:p>
    <w:p w14:paraId="36E3F035"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p>
    <w:p w14:paraId="6182DFD1"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 xml:space="preserve">Ha Ön </w:t>
      </w:r>
      <w:r w:rsidRPr="00860BB1">
        <w:rPr>
          <w:rFonts w:ascii="Times New Roman" w:eastAsia="Times New Roman" w:hAnsi="Times New Roman" w:cs="Times New Roman"/>
          <w:b/>
          <w:noProof w:val="0"/>
          <w:color w:val="000000"/>
          <w:kern w:val="0"/>
          <w:lang w:val="hu-HU" w:eastAsia="hu-HU"/>
          <w14:ligatures w14:val="none"/>
        </w:rPr>
        <w:t>verapamil-tartalmú gyógyszert szed</w:t>
      </w:r>
      <w:r w:rsidRPr="00860BB1">
        <w:rPr>
          <w:rFonts w:ascii="Times New Roman" w:eastAsia="Times New Roman" w:hAnsi="Times New Roman" w:cs="Times New Roman"/>
          <w:noProof w:val="0"/>
          <w:color w:val="000000"/>
          <w:kern w:val="0"/>
          <w:lang w:val="hu-HU" w:eastAsia="hu-HU"/>
          <w14:ligatures w14:val="none"/>
        </w:rPr>
        <w:t xml:space="preserve">, csökkentett, 220 mg-os adagban – </w:t>
      </w:r>
      <w:r w:rsidRPr="00860BB1">
        <w:rPr>
          <w:rFonts w:ascii="Times New Roman" w:eastAsia="Times New Roman" w:hAnsi="Times New Roman" w:cs="Times New Roman"/>
          <w:b/>
          <w:noProof w:val="0"/>
          <w:color w:val="000000"/>
          <w:kern w:val="0"/>
          <w:lang w:val="hu-HU" w:eastAsia="hu-HU"/>
          <w14:ligatures w14:val="none"/>
        </w:rPr>
        <w:t xml:space="preserve">110 mg-os kapszula napi kétszeri bevételével </w:t>
      </w:r>
      <w:r w:rsidRPr="00860BB1">
        <w:rPr>
          <w:rFonts w:ascii="Times New Roman" w:eastAsia="Times New Roman" w:hAnsi="Times New Roman" w:cs="Times New Roman"/>
          <w:noProof w:val="0"/>
          <w:color w:val="000000"/>
          <w:kern w:val="0"/>
          <w:lang w:val="hu-HU" w:eastAsia="hu-HU"/>
          <w14:ligatures w14:val="none"/>
        </w:rPr>
        <w:t>– kell kapnia a Telexert, mert megnőhet a vérzés kockázata.</w:t>
      </w:r>
    </w:p>
    <w:p w14:paraId="74D14876"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1BD5DA85"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 xml:space="preserve">Ha Önnél </w:t>
      </w:r>
      <w:r w:rsidRPr="00860BB1">
        <w:rPr>
          <w:rFonts w:ascii="Times New Roman" w:eastAsia="Times New Roman" w:hAnsi="Times New Roman" w:cs="Times New Roman"/>
          <w:b/>
          <w:noProof w:val="0"/>
          <w:color w:val="000000"/>
          <w:kern w:val="0"/>
          <w:lang w:val="hu-HU" w:eastAsia="hu-HU"/>
          <w14:ligatures w14:val="none"/>
        </w:rPr>
        <w:t>nagyobb a vérzés veszélye</w:t>
      </w:r>
      <w:r w:rsidRPr="00860BB1">
        <w:rPr>
          <w:rFonts w:ascii="Times New Roman" w:eastAsia="Times New Roman" w:hAnsi="Times New Roman" w:cs="Times New Roman"/>
          <w:noProof w:val="0"/>
          <w:color w:val="000000"/>
          <w:kern w:val="0"/>
          <w:lang w:val="hu-HU" w:eastAsia="hu-HU"/>
          <w14:ligatures w14:val="none"/>
        </w:rPr>
        <w:t xml:space="preserve">, kezelőorvosa napi 220 mg-os dózist rendelhet, ami </w:t>
      </w:r>
      <w:r w:rsidRPr="00860BB1">
        <w:rPr>
          <w:rFonts w:ascii="Times New Roman" w:eastAsia="Times New Roman" w:hAnsi="Times New Roman" w:cs="Times New Roman"/>
          <w:b/>
          <w:noProof w:val="0"/>
          <w:color w:val="000000"/>
          <w:kern w:val="0"/>
          <w:lang w:val="hu-HU" w:eastAsia="hu-HU"/>
          <w14:ligatures w14:val="none"/>
        </w:rPr>
        <w:t xml:space="preserve">napi kétszer egy 110 mg-os kapszulának </w:t>
      </w:r>
      <w:r w:rsidRPr="00860BB1">
        <w:rPr>
          <w:rFonts w:ascii="Times New Roman" w:eastAsia="Times New Roman" w:hAnsi="Times New Roman" w:cs="Times New Roman"/>
          <w:noProof w:val="0"/>
          <w:color w:val="000000"/>
          <w:kern w:val="0"/>
          <w:lang w:val="hu-HU" w:eastAsia="hu-HU"/>
          <w14:ligatures w14:val="none"/>
        </w:rPr>
        <w:t>felel meg.</w:t>
      </w:r>
    </w:p>
    <w:p w14:paraId="762CD955"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319A9AD9"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Folytathatja a gyógyszer szedését, ha a normális szívritmusát be kell állítani egy kardioverziónak nevezett eljárással. A Telexert a kezelőorvosa által elmondottaknak megfelelően szedje.</w:t>
      </w:r>
    </w:p>
    <w:p w14:paraId="1333522C"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32E42592"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perkután koronáriaintervenció stent alkalmazásával elnevezésű eljárás keretében egy orvosi eszközt (stentet) helyeztek egy vérerébe, hogy ezt nyitva tartsa, Önt kezelhetik Telexerrel, amennyiben kezelőorvosa szerint elérték a véralvadásának normál kezelését. A Telexert a kezelőorvosa által elmondottaknak megfelelően szedje.</w:t>
      </w:r>
    </w:p>
    <w:p w14:paraId="758225BB"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u w:val="single"/>
          <w:lang w:val="hu-HU" w:eastAsia="hu-HU"/>
          <w14:ligatures w14:val="none"/>
        </w:rPr>
      </w:pPr>
    </w:p>
    <w:p w14:paraId="1CEE7304" w14:textId="77777777" w:rsidR="00860BB1" w:rsidRPr="00860BB1" w:rsidRDefault="00860BB1" w:rsidP="00860BB1">
      <w:pPr>
        <w:keepNext/>
        <w:keepLines/>
        <w:spacing w:after="0" w:line="240" w:lineRule="auto"/>
        <w:ind w:left="7" w:hanging="10"/>
        <w:outlineLvl w:val="0"/>
        <w:rPr>
          <w:rFonts w:ascii="Times New Roman" w:eastAsia="Times New Roman" w:hAnsi="Times New Roman" w:cs="Times New Roman"/>
          <w:noProof w:val="0"/>
          <w:color w:val="000000"/>
          <w:kern w:val="0"/>
          <w:u w:val="single" w:color="000000"/>
          <w:lang w:val="hu-HU" w:eastAsia="hu-HU"/>
          <w14:ligatures w14:val="none"/>
        </w:rPr>
      </w:pPr>
      <w:r w:rsidRPr="00860BB1">
        <w:rPr>
          <w:rFonts w:ascii="Times New Roman" w:eastAsia="Times New Roman" w:hAnsi="Times New Roman" w:cs="Times New Roman"/>
          <w:noProof w:val="0"/>
          <w:color w:val="000000"/>
          <w:kern w:val="0"/>
          <w:u w:val="single" w:color="000000"/>
          <w:lang w:val="hu-HU" w:eastAsia="hu-HU"/>
          <w14:ligatures w14:val="none"/>
        </w:rPr>
        <w:t>Vérrögök kezelése és a vérrögök újbóli kialakulásának megelőzése gyermekeknél és serdülőknél</w:t>
      </w:r>
    </w:p>
    <w:p w14:paraId="02BF3281"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7C012E5D"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bCs/>
          <w:noProof w:val="0"/>
          <w:color w:val="000000"/>
          <w:kern w:val="0"/>
          <w:lang w:val="hu-HU" w:eastAsia="hu-HU"/>
          <w14:ligatures w14:val="none"/>
        </w:rPr>
        <w:t>A Telexert naponta kétszer kell bevenni</w:t>
      </w:r>
      <w:r w:rsidRPr="00860BB1">
        <w:rPr>
          <w:rFonts w:ascii="Times New Roman" w:eastAsia="Times New Roman" w:hAnsi="Times New Roman" w:cs="Times New Roman"/>
          <w:noProof w:val="0"/>
          <w:color w:val="000000"/>
          <w:kern w:val="0"/>
          <w:lang w:val="hu-HU" w:eastAsia="hu-HU"/>
          <w14:ligatures w14:val="none"/>
        </w:rPr>
        <w:t>, egy adagot reggel és egy adagot este, minden nap körülbelül azonos időben. A bevételek között eltelt időnek a lehető legközelebb kell lennie 12 órához.</w:t>
      </w:r>
    </w:p>
    <w:p w14:paraId="545CAC22" w14:textId="77777777" w:rsid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lastRenderedPageBreak/>
        <w:t>A javasolt adag a testtömegtől és az életkortól függ. Kezelőorvosa fogja meghatározni a megfelelő adagot. A kezelés előrehaladtával a kezelőorvos módosíthatja az adagot. Szedje tovább az egyéb gyógyszereit, kivéve, ha kezelőorvosa azt mondja, hogy hagyja abba valamelyiket.</w:t>
      </w:r>
    </w:p>
    <w:p w14:paraId="35B44814" w14:textId="77777777" w:rsidR="00F74B44" w:rsidRPr="00860BB1" w:rsidRDefault="00F74B44"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024478FC"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Az 1. táblázat mutatja az egyszeri és teljes napi Telexer adagot milligramm (mg) értékben megadva. Az adag a beteg kilogrammban megadott testtömegétől (kg) és évben megadott életkorától függ.</w:t>
      </w:r>
    </w:p>
    <w:p w14:paraId="17E20CDA"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5613CE9A"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1. táblázat. A Telexer kapszulák adagolási táblázata</w:t>
      </w:r>
    </w:p>
    <w:p w14:paraId="50E9DEC2" w14:textId="77777777" w:rsidR="00860BB1" w:rsidRPr="00860BB1" w:rsidRDefault="00860BB1" w:rsidP="00860BB1">
      <w:pPr>
        <w:spacing w:after="0" w:line="240" w:lineRule="auto"/>
        <w:rPr>
          <w:rFonts w:ascii="Times New Roman" w:eastAsia="Times New Roman" w:hAnsi="Times New Roman" w:cs="Times New Roman"/>
          <w:bCs/>
          <w:noProof w:val="0"/>
          <w:color w:val="000000"/>
          <w:kern w:val="0"/>
          <w:lang w:val="hu-HU" w:eastAsia="hu-HU"/>
          <w14:ligatures w14:val="none"/>
        </w:rPr>
      </w:pPr>
    </w:p>
    <w:tbl>
      <w:tblPr>
        <w:tblStyle w:val="Rcsostblzat"/>
        <w:tblW w:w="5000" w:type="pct"/>
        <w:tblLook w:val="04A0" w:firstRow="1" w:lastRow="0" w:firstColumn="1" w:lastColumn="0" w:noHBand="0" w:noVBand="1"/>
      </w:tblPr>
      <w:tblGrid>
        <w:gridCol w:w="1980"/>
        <w:gridCol w:w="2689"/>
        <w:gridCol w:w="2051"/>
        <w:gridCol w:w="2339"/>
      </w:tblGrid>
      <w:tr w:rsidR="00860BB1" w:rsidRPr="00860BB1" w14:paraId="44C1E1A2" w14:textId="77777777" w:rsidTr="00595A6B">
        <w:trPr>
          <w:trHeight w:val="50"/>
        </w:trPr>
        <w:tc>
          <w:tcPr>
            <w:tcW w:w="2577" w:type="pct"/>
            <w:gridSpan w:val="2"/>
          </w:tcPr>
          <w:p w14:paraId="37139923" w14:textId="77777777" w:rsidR="00860BB1" w:rsidRPr="00860BB1" w:rsidRDefault="00860BB1" w:rsidP="00860BB1">
            <w:pPr>
              <w:ind w:left="7"/>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b/>
                <w:noProof w:val="0"/>
                <w:color w:val="000000"/>
                <w:lang w:val="hu-HU"/>
              </w:rPr>
              <w:t>Testtömeg/életkor kombinációk</w:t>
            </w:r>
          </w:p>
        </w:tc>
        <w:tc>
          <w:tcPr>
            <w:tcW w:w="1132" w:type="pct"/>
            <w:vMerge w:val="restart"/>
          </w:tcPr>
          <w:p w14:paraId="05E69355" w14:textId="77777777" w:rsidR="00860BB1" w:rsidRPr="00860BB1" w:rsidRDefault="00860BB1" w:rsidP="00860BB1">
            <w:pPr>
              <w:ind w:left="7"/>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b/>
                <w:noProof w:val="0"/>
                <w:color w:val="000000"/>
                <w:lang w:val="hu-HU"/>
              </w:rPr>
              <w:t>Egyszeri adag (mg)</w:t>
            </w:r>
          </w:p>
        </w:tc>
        <w:tc>
          <w:tcPr>
            <w:tcW w:w="1291" w:type="pct"/>
            <w:vMerge w:val="restart"/>
          </w:tcPr>
          <w:p w14:paraId="79AEDF85" w14:textId="77777777" w:rsidR="00860BB1" w:rsidRPr="00860BB1" w:rsidRDefault="00860BB1" w:rsidP="00860BB1">
            <w:pPr>
              <w:ind w:left="7"/>
              <w:rPr>
                <w:rFonts w:ascii="Times New Roman" w:eastAsia="Times New Roman" w:hAnsi="Times New Roman" w:cs="Times New Roman"/>
                <w:b/>
                <w:noProof w:val="0"/>
                <w:color w:val="000000"/>
                <w:lang w:val="hu-HU"/>
              </w:rPr>
            </w:pPr>
            <w:r w:rsidRPr="00860BB1">
              <w:rPr>
                <w:rFonts w:ascii="Times New Roman" w:eastAsia="Times New Roman" w:hAnsi="Times New Roman" w:cs="Times New Roman"/>
                <w:b/>
                <w:noProof w:val="0"/>
                <w:color w:val="000000"/>
                <w:lang w:val="hu-HU"/>
              </w:rPr>
              <w:t>Teljes napi adag (mg)</w:t>
            </w:r>
          </w:p>
        </w:tc>
      </w:tr>
      <w:tr w:rsidR="00860BB1" w:rsidRPr="00860BB1" w14:paraId="71A08834" w14:textId="77777777" w:rsidTr="00595A6B">
        <w:trPr>
          <w:trHeight w:val="264"/>
        </w:trPr>
        <w:tc>
          <w:tcPr>
            <w:tcW w:w="1093" w:type="pct"/>
          </w:tcPr>
          <w:p w14:paraId="5CF9E87B" w14:textId="77777777" w:rsidR="00860BB1" w:rsidRPr="00860BB1" w:rsidRDefault="00860BB1" w:rsidP="00860BB1">
            <w:pPr>
              <w:ind w:left="7"/>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b/>
                <w:noProof w:val="0"/>
                <w:color w:val="000000"/>
                <w:lang w:val="hu-HU"/>
              </w:rPr>
              <w:t>Testtömeg (kg)</w:t>
            </w:r>
          </w:p>
        </w:tc>
        <w:tc>
          <w:tcPr>
            <w:tcW w:w="1484" w:type="pct"/>
          </w:tcPr>
          <w:p w14:paraId="7A588E59" w14:textId="77777777" w:rsidR="00860BB1" w:rsidRPr="00860BB1" w:rsidRDefault="00860BB1" w:rsidP="00860BB1">
            <w:pPr>
              <w:ind w:left="5"/>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b/>
                <w:noProof w:val="0"/>
                <w:color w:val="000000"/>
                <w:lang w:val="hu-HU"/>
              </w:rPr>
              <w:t>Életkor (év)</w:t>
            </w:r>
          </w:p>
        </w:tc>
        <w:tc>
          <w:tcPr>
            <w:tcW w:w="1132" w:type="pct"/>
            <w:vMerge/>
          </w:tcPr>
          <w:p w14:paraId="3259DA1A" w14:textId="77777777" w:rsidR="00860BB1" w:rsidRPr="00860BB1" w:rsidRDefault="00860BB1" w:rsidP="00860BB1">
            <w:pPr>
              <w:rPr>
                <w:rFonts w:ascii="Times New Roman" w:eastAsia="Times New Roman" w:hAnsi="Times New Roman" w:cs="Times New Roman"/>
                <w:noProof w:val="0"/>
                <w:color w:val="000000"/>
                <w:lang w:val="hu-HU"/>
              </w:rPr>
            </w:pPr>
          </w:p>
        </w:tc>
        <w:tc>
          <w:tcPr>
            <w:tcW w:w="1291" w:type="pct"/>
            <w:vMerge/>
          </w:tcPr>
          <w:p w14:paraId="3C10F555" w14:textId="77777777" w:rsidR="00860BB1" w:rsidRPr="00860BB1" w:rsidRDefault="00860BB1" w:rsidP="00860BB1">
            <w:pPr>
              <w:rPr>
                <w:rFonts w:ascii="Times New Roman" w:eastAsia="Times New Roman" w:hAnsi="Times New Roman" w:cs="Times New Roman"/>
                <w:b/>
                <w:noProof w:val="0"/>
                <w:color w:val="000000"/>
                <w:lang w:val="hu-HU"/>
              </w:rPr>
            </w:pPr>
          </w:p>
        </w:tc>
      </w:tr>
      <w:tr w:rsidR="00860BB1" w:rsidRPr="00860BB1" w14:paraId="4E1FC0EB" w14:textId="77777777" w:rsidTr="00595A6B">
        <w:trPr>
          <w:trHeight w:val="516"/>
        </w:trPr>
        <w:tc>
          <w:tcPr>
            <w:tcW w:w="1093" w:type="pct"/>
          </w:tcPr>
          <w:p w14:paraId="36963A49"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11 kg-tól kevesebb mint 13 kg-ig</w:t>
            </w:r>
          </w:p>
        </w:tc>
        <w:tc>
          <w:tcPr>
            <w:tcW w:w="1484" w:type="pct"/>
          </w:tcPr>
          <w:p w14:paraId="3C46E50D"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8 éves kortól a 9. életév betöltéséig</w:t>
            </w:r>
          </w:p>
        </w:tc>
        <w:tc>
          <w:tcPr>
            <w:tcW w:w="1132" w:type="pct"/>
          </w:tcPr>
          <w:p w14:paraId="06CDF819"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75*</w:t>
            </w:r>
          </w:p>
        </w:tc>
        <w:tc>
          <w:tcPr>
            <w:tcW w:w="1291" w:type="pct"/>
          </w:tcPr>
          <w:p w14:paraId="26B3786D"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150</w:t>
            </w:r>
          </w:p>
        </w:tc>
      </w:tr>
      <w:tr w:rsidR="00860BB1" w:rsidRPr="00860BB1" w14:paraId="6A9D1AD4" w14:textId="77777777" w:rsidTr="00595A6B">
        <w:trPr>
          <w:trHeight w:val="516"/>
        </w:trPr>
        <w:tc>
          <w:tcPr>
            <w:tcW w:w="1093" w:type="pct"/>
          </w:tcPr>
          <w:p w14:paraId="3338D09D"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13 kg-tól kevesebb mint 16 kg-ig</w:t>
            </w:r>
          </w:p>
        </w:tc>
        <w:tc>
          <w:tcPr>
            <w:tcW w:w="1484" w:type="pct"/>
          </w:tcPr>
          <w:p w14:paraId="25A7D753"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8 éves kortól a 11. életév betöltéséig</w:t>
            </w:r>
          </w:p>
        </w:tc>
        <w:tc>
          <w:tcPr>
            <w:tcW w:w="1132" w:type="pct"/>
          </w:tcPr>
          <w:p w14:paraId="32FC5F26"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110</w:t>
            </w:r>
          </w:p>
        </w:tc>
        <w:tc>
          <w:tcPr>
            <w:tcW w:w="1291" w:type="pct"/>
          </w:tcPr>
          <w:p w14:paraId="16DB0009"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220</w:t>
            </w:r>
          </w:p>
        </w:tc>
      </w:tr>
      <w:tr w:rsidR="00860BB1" w:rsidRPr="00860BB1" w14:paraId="3A082851" w14:textId="77777777" w:rsidTr="00595A6B">
        <w:trPr>
          <w:trHeight w:val="516"/>
        </w:trPr>
        <w:tc>
          <w:tcPr>
            <w:tcW w:w="1093" w:type="pct"/>
          </w:tcPr>
          <w:p w14:paraId="281B34BF"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16 kg-tól kevesebb mint 21 kg-ig</w:t>
            </w:r>
          </w:p>
        </w:tc>
        <w:tc>
          <w:tcPr>
            <w:tcW w:w="1484" w:type="pct"/>
          </w:tcPr>
          <w:p w14:paraId="36C35549"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8 éves kortól a 14. életév betöltéséig</w:t>
            </w:r>
          </w:p>
        </w:tc>
        <w:tc>
          <w:tcPr>
            <w:tcW w:w="1132" w:type="pct"/>
          </w:tcPr>
          <w:p w14:paraId="7EAB9972"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110</w:t>
            </w:r>
          </w:p>
        </w:tc>
        <w:tc>
          <w:tcPr>
            <w:tcW w:w="1291" w:type="pct"/>
          </w:tcPr>
          <w:p w14:paraId="182AB901"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220</w:t>
            </w:r>
          </w:p>
        </w:tc>
      </w:tr>
      <w:tr w:rsidR="00860BB1" w:rsidRPr="00860BB1" w14:paraId="56AA7250" w14:textId="77777777" w:rsidTr="00595A6B">
        <w:trPr>
          <w:trHeight w:val="516"/>
        </w:trPr>
        <w:tc>
          <w:tcPr>
            <w:tcW w:w="1093" w:type="pct"/>
          </w:tcPr>
          <w:p w14:paraId="65FF73CE"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21 kg-tól kevesebb mint 26 kg-ig</w:t>
            </w:r>
          </w:p>
        </w:tc>
        <w:tc>
          <w:tcPr>
            <w:tcW w:w="1484" w:type="pct"/>
          </w:tcPr>
          <w:p w14:paraId="140A9183"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8 éves kortól a 16. életév betöltéséig</w:t>
            </w:r>
          </w:p>
        </w:tc>
        <w:tc>
          <w:tcPr>
            <w:tcW w:w="1132" w:type="pct"/>
          </w:tcPr>
          <w:p w14:paraId="747D02BD"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150</w:t>
            </w:r>
          </w:p>
        </w:tc>
        <w:tc>
          <w:tcPr>
            <w:tcW w:w="1291" w:type="pct"/>
          </w:tcPr>
          <w:p w14:paraId="7ADEF6AE"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300</w:t>
            </w:r>
          </w:p>
        </w:tc>
      </w:tr>
      <w:tr w:rsidR="00860BB1" w:rsidRPr="00860BB1" w14:paraId="2FE8C663" w14:textId="77777777" w:rsidTr="00595A6B">
        <w:trPr>
          <w:trHeight w:val="516"/>
        </w:trPr>
        <w:tc>
          <w:tcPr>
            <w:tcW w:w="1093" w:type="pct"/>
          </w:tcPr>
          <w:p w14:paraId="63F03FB3"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26 kg-tól kevesebb mint 31 kg-ig</w:t>
            </w:r>
          </w:p>
        </w:tc>
        <w:tc>
          <w:tcPr>
            <w:tcW w:w="1484" w:type="pct"/>
          </w:tcPr>
          <w:p w14:paraId="12C8B1A9"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8 éves kortól a 18. életév betöltéséig</w:t>
            </w:r>
          </w:p>
        </w:tc>
        <w:tc>
          <w:tcPr>
            <w:tcW w:w="1132" w:type="pct"/>
          </w:tcPr>
          <w:p w14:paraId="38546EFF"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150</w:t>
            </w:r>
          </w:p>
        </w:tc>
        <w:tc>
          <w:tcPr>
            <w:tcW w:w="1291" w:type="pct"/>
          </w:tcPr>
          <w:p w14:paraId="1A32F4DF"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300</w:t>
            </w:r>
          </w:p>
        </w:tc>
      </w:tr>
      <w:tr w:rsidR="00860BB1" w:rsidRPr="00860BB1" w14:paraId="496765F0" w14:textId="77777777" w:rsidTr="00595A6B">
        <w:trPr>
          <w:trHeight w:val="516"/>
        </w:trPr>
        <w:tc>
          <w:tcPr>
            <w:tcW w:w="1093" w:type="pct"/>
          </w:tcPr>
          <w:p w14:paraId="100F805C"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31 kg-tól kevesebb mint 41 kg-ig</w:t>
            </w:r>
          </w:p>
        </w:tc>
        <w:tc>
          <w:tcPr>
            <w:tcW w:w="1484" w:type="pct"/>
          </w:tcPr>
          <w:p w14:paraId="3DBC0C55"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8 éves kortól a 18. életév betöltéséig</w:t>
            </w:r>
          </w:p>
        </w:tc>
        <w:tc>
          <w:tcPr>
            <w:tcW w:w="1132" w:type="pct"/>
          </w:tcPr>
          <w:p w14:paraId="7231FA95"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185*</w:t>
            </w:r>
          </w:p>
        </w:tc>
        <w:tc>
          <w:tcPr>
            <w:tcW w:w="1291" w:type="pct"/>
          </w:tcPr>
          <w:p w14:paraId="026720F1"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370</w:t>
            </w:r>
          </w:p>
        </w:tc>
      </w:tr>
      <w:tr w:rsidR="00860BB1" w:rsidRPr="00860BB1" w14:paraId="7C483C94" w14:textId="77777777" w:rsidTr="00595A6B">
        <w:trPr>
          <w:trHeight w:val="516"/>
        </w:trPr>
        <w:tc>
          <w:tcPr>
            <w:tcW w:w="1093" w:type="pct"/>
          </w:tcPr>
          <w:p w14:paraId="1EBE7E5C"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41 kg-tól kevesebb mint 51 kg-ig</w:t>
            </w:r>
          </w:p>
        </w:tc>
        <w:tc>
          <w:tcPr>
            <w:tcW w:w="1484" w:type="pct"/>
          </w:tcPr>
          <w:p w14:paraId="0D02558F"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8 éves kortól a 18. életév betöltéséig</w:t>
            </w:r>
          </w:p>
        </w:tc>
        <w:tc>
          <w:tcPr>
            <w:tcW w:w="1132" w:type="pct"/>
          </w:tcPr>
          <w:p w14:paraId="2D990307"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220</w:t>
            </w:r>
          </w:p>
        </w:tc>
        <w:tc>
          <w:tcPr>
            <w:tcW w:w="1291" w:type="pct"/>
          </w:tcPr>
          <w:p w14:paraId="6215E03C"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440</w:t>
            </w:r>
          </w:p>
        </w:tc>
      </w:tr>
      <w:tr w:rsidR="00860BB1" w:rsidRPr="00860BB1" w14:paraId="4180D49F" w14:textId="77777777" w:rsidTr="00595A6B">
        <w:trPr>
          <w:trHeight w:val="516"/>
        </w:trPr>
        <w:tc>
          <w:tcPr>
            <w:tcW w:w="1093" w:type="pct"/>
          </w:tcPr>
          <w:p w14:paraId="7A48F159"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51 kg-tól kevesebb mint 61 kg-ig</w:t>
            </w:r>
          </w:p>
        </w:tc>
        <w:tc>
          <w:tcPr>
            <w:tcW w:w="1484" w:type="pct"/>
          </w:tcPr>
          <w:p w14:paraId="5B5FDFA3"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8 éves kortól a 18. életév betöltéséig</w:t>
            </w:r>
          </w:p>
        </w:tc>
        <w:tc>
          <w:tcPr>
            <w:tcW w:w="1132" w:type="pct"/>
          </w:tcPr>
          <w:p w14:paraId="0813573F"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260</w:t>
            </w:r>
          </w:p>
        </w:tc>
        <w:tc>
          <w:tcPr>
            <w:tcW w:w="1291" w:type="pct"/>
          </w:tcPr>
          <w:p w14:paraId="6906B5FF"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520</w:t>
            </w:r>
          </w:p>
        </w:tc>
      </w:tr>
      <w:tr w:rsidR="00860BB1" w:rsidRPr="00860BB1" w14:paraId="57267505" w14:textId="77777777" w:rsidTr="00595A6B">
        <w:trPr>
          <w:trHeight w:val="516"/>
        </w:trPr>
        <w:tc>
          <w:tcPr>
            <w:tcW w:w="1093" w:type="pct"/>
          </w:tcPr>
          <w:p w14:paraId="0669C190"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61 kg-tól kevesebb mint 71 kg-ig</w:t>
            </w:r>
          </w:p>
        </w:tc>
        <w:tc>
          <w:tcPr>
            <w:tcW w:w="1484" w:type="pct"/>
          </w:tcPr>
          <w:p w14:paraId="22337713"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8 éves kortól a 18. életév betöltéséig</w:t>
            </w:r>
          </w:p>
        </w:tc>
        <w:tc>
          <w:tcPr>
            <w:tcW w:w="1132" w:type="pct"/>
          </w:tcPr>
          <w:p w14:paraId="2B6BCB80"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300</w:t>
            </w:r>
          </w:p>
        </w:tc>
        <w:tc>
          <w:tcPr>
            <w:tcW w:w="1291" w:type="pct"/>
          </w:tcPr>
          <w:p w14:paraId="616ABECC"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600</w:t>
            </w:r>
          </w:p>
        </w:tc>
      </w:tr>
      <w:tr w:rsidR="00860BB1" w:rsidRPr="00860BB1" w14:paraId="62B971EA" w14:textId="77777777" w:rsidTr="00595A6B">
        <w:trPr>
          <w:trHeight w:val="516"/>
        </w:trPr>
        <w:tc>
          <w:tcPr>
            <w:tcW w:w="1093" w:type="pct"/>
          </w:tcPr>
          <w:p w14:paraId="796423A5"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71 kg-tól kevesebb mint 81 kg-ig</w:t>
            </w:r>
          </w:p>
        </w:tc>
        <w:tc>
          <w:tcPr>
            <w:tcW w:w="1484" w:type="pct"/>
          </w:tcPr>
          <w:p w14:paraId="11B86130"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8 éves kortól a 18. életév betöltéséig</w:t>
            </w:r>
          </w:p>
        </w:tc>
        <w:tc>
          <w:tcPr>
            <w:tcW w:w="1132" w:type="pct"/>
          </w:tcPr>
          <w:p w14:paraId="697525CF"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300</w:t>
            </w:r>
          </w:p>
        </w:tc>
        <w:tc>
          <w:tcPr>
            <w:tcW w:w="1291" w:type="pct"/>
          </w:tcPr>
          <w:p w14:paraId="4E3858F4"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600</w:t>
            </w:r>
          </w:p>
        </w:tc>
      </w:tr>
      <w:tr w:rsidR="00860BB1" w:rsidRPr="00860BB1" w14:paraId="4278B57E" w14:textId="77777777" w:rsidTr="00595A6B">
        <w:trPr>
          <w:trHeight w:val="516"/>
        </w:trPr>
        <w:tc>
          <w:tcPr>
            <w:tcW w:w="1093" w:type="pct"/>
          </w:tcPr>
          <w:p w14:paraId="7F53FFB6"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81 kg vagy annál több</w:t>
            </w:r>
          </w:p>
        </w:tc>
        <w:tc>
          <w:tcPr>
            <w:tcW w:w="1484" w:type="pct"/>
          </w:tcPr>
          <w:p w14:paraId="5485E3EC" w14:textId="77777777" w:rsidR="00860BB1" w:rsidRPr="00860BB1" w:rsidRDefault="00860BB1" w:rsidP="00860BB1">
            <w:pP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10 éves kortól a 18. életév betöltéséig</w:t>
            </w:r>
          </w:p>
        </w:tc>
        <w:tc>
          <w:tcPr>
            <w:tcW w:w="1132" w:type="pct"/>
          </w:tcPr>
          <w:p w14:paraId="2F85C9D9"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300</w:t>
            </w:r>
          </w:p>
        </w:tc>
        <w:tc>
          <w:tcPr>
            <w:tcW w:w="1291" w:type="pct"/>
          </w:tcPr>
          <w:p w14:paraId="3A9D6000" w14:textId="77777777" w:rsidR="00860BB1" w:rsidRPr="00860BB1" w:rsidRDefault="00860BB1" w:rsidP="00860BB1">
            <w:pPr>
              <w:ind w:left="6"/>
              <w:jc w:val="center"/>
              <w:rPr>
                <w:rFonts w:ascii="Times New Roman" w:eastAsia="Times New Roman" w:hAnsi="Times New Roman" w:cs="Times New Roman"/>
                <w:noProof w:val="0"/>
                <w:color w:val="000000"/>
                <w:lang w:val="hu-HU"/>
              </w:rPr>
            </w:pPr>
            <w:r w:rsidRPr="00860BB1">
              <w:rPr>
                <w:rFonts w:ascii="Times New Roman" w:eastAsia="Times New Roman" w:hAnsi="Times New Roman" w:cs="Times New Roman"/>
                <w:noProof w:val="0"/>
                <w:color w:val="000000"/>
                <w:lang w:val="hu-HU"/>
              </w:rPr>
              <w:t>600</w:t>
            </w:r>
          </w:p>
        </w:tc>
      </w:tr>
    </w:tbl>
    <w:p w14:paraId="06473407" w14:textId="77777777" w:rsidR="00860BB1" w:rsidRPr="00860BB1" w:rsidRDefault="00860BB1" w:rsidP="00860BB1">
      <w:pPr>
        <w:spacing w:after="0" w:line="240" w:lineRule="auto"/>
        <w:ind w:left="7" w:hanging="10"/>
        <w:rPr>
          <w:rFonts w:ascii="Times New Roman" w:eastAsia="Times New Roman" w:hAnsi="Times New Roman" w:cs="Times New Roman"/>
          <w:bCs/>
          <w:noProof w:val="0"/>
          <w:color w:val="000000"/>
          <w:kern w:val="0"/>
          <w:lang w:val="hu-HU" w:eastAsia="hu-HU"/>
          <w14:ligatures w14:val="none"/>
        </w:rPr>
      </w:pPr>
      <w:r w:rsidRPr="00860BB1">
        <w:rPr>
          <w:rFonts w:ascii="Times New Roman" w:eastAsia="Times New Roman" w:hAnsi="Times New Roman" w:cs="Times New Roman"/>
          <w:bCs/>
          <w:noProof w:val="0"/>
          <w:color w:val="000000"/>
          <w:kern w:val="0"/>
          <w:lang w:val="hu-HU" w:eastAsia="hu-HU"/>
          <w14:ligatures w14:val="none"/>
        </w:rPr>
        <w:t>Több kapszula kombinálásával alkalmazható egyszeri adagok:</w:t>
      </w:r>
    </w:p>
    <w:tbl>
      <w:tblPr>
        <w:tblStyle w:val="TableGrid"/>
        <w:tblW w:w="6663" w:type="dxa"/>
        <w:tblInd w:w="0" w:type="dxa"/>
        <w:tblLook w:val="04A0" w:firstRow="1" w:lastRow="0" w:firstColumn="1" w:lastColumn="0" w:noHBand="0" w:noVBand="1"/>
      </w:tblPr>
      <w:tblGrid>
        <w:gridCol w:w="1133"/>
        <w:gridCol w:w="5530"/>
      </w:tblGrid>
      <w:tr w:rsidR="00860BB1" w:rsidRPr="00860BB1" w14:paraId="3E9E3527" w14:textId="77777777" w:rsidTr="00595A6B">
        <w:trPr>
          <w:trHeight w:val="480"/>
        </w:trPr>
        <w:tc>
          <w:tcPr>
            <w:tcW w:w="1133" w:type="dxa"/>
            <w:tcBorders>
              <w:top w:val="nil"/>
              <w:left w:val="nil"/>
              <w:bottom w:val="nil"/>
              <w:right w:val="nil"/>
            </w:tcBorders>
          </w:tcPr>
          <w:p w14:paraId="74A3A909" w14:textId="77777777" w:rsidR="00860BB1" w:rsidRPr="00860BB1" w:rsidRDefault="00860BB1" w:rsidP="00860BB1">
            <w:pPr>
              <w:ind w:left="7" w:hanging="10"/>
              <w:rPr>
                <w:rFonts w:ascii="Times New Roman" w:eastAsia="Times New Roman" w:hAnsi="Times New Roman" w:cs="Times New Roman"/>
                <w:bCs/>
                <w:noProof w:val="0"/>
                <w:color w:val="000000"/>
                <w:lang w:val="hu-HU"/>
              </w:rPr>
            </w:pPr>
            <w:r w:rsidRPr="00860BB1">
              <w:rPr>
                <w:rFonts w:ascii="Times New Roman" w:eastAsia="Times New Roman" w:hAnsi="Times New Roman" w:cs="Times New Roman"/>
                <w:bCs/>
                <w:noProof w:val="0"/>
                <w:color w:val="000000"/>
                <w:lang w:val="hu-HU"/>
              </w:rPr>
              <w:t>300 mg:</w:t>
            </w:r>
          </w:p>
        </w:tc>
        <w:tc>
          <w:tcPr>
            <w:tcW w:w="5530" w:type="dxa"/>
            <w:tcBorders>
              <w:top w:val="nil"/>
              <w:left w:val="nil"/>
              <w:bottom w:val="nil"/>
              <w:right w:val="nil"/>
            </w:tcBorders>
          </w:tcPr>
          <w:p w14:paraId="4598BCD3" w14:textId="77777777" w:rsidR="00860BB1" w:rsidRPr="00860BB1" w:rsidRDefault="00860BB1" w:rsidP="00860BB1">
            <w:pPr>
              <w:ind w:left="7" w:hanging="10"/>
              <w:rPr>
                <w:rFonts w:ascii="Times New Roman" w:eastAsia="Times New Roman" w:hAnsi="Times New Roman" w:cs="Times New Roman"/>
                <w:bCs/>
                <w:noProof w:val="0"/>
                <w:color w:val="000000"/>
                <w:lang w:val="hu-HU"/>
              </w:rPr>
            </w:pPr>
            <w:r w:rsidRPr="00860BB1">
              <w:rPr>
                <w:rFonts w:ascii="Times New Roman" w:eastAsia="Times New Roman" w:hAnsi="Times New Roman" w:cs="Times New Roman"/>
                <w:bCs/>
                <w:noProof w:val="0"/>
                <w:color w:val="000000"/>
                <w:lang w:val="hu-HU"/>
              </w:rPr>
              <w:t xml:space="preserve">két 150 mg-os kapszulaként vagy </w:t>
            </w:r>
          </w:p>
          <w:p w14:paraId="0F90BC8D" w14:textId="77777777" w:rsidR="00860BB1" w:rsidRPr="00860BB1" w:rsidRDefault="00860BB1" w:rsidP="00860BB1">
            <w:pPr>
              <w:ind w:left="7" w:hanging="10"/>
              <w:rPr>
                <w:rFonts w:ascii="Times New Roman" w:eastAsia="Times New Roman" w:hAnsi="Times New Roman" w:cs="Times New Roman"/>
                <w:bCs/>
                <w:noProof w:val="0"/>
                <w:color w:val="000000"/>
                <w:lang w:val="hu-HU"/>
              </w:rPr>
            </w:pPr>
            <w:r w:rsidRPr="00860BB1">
              <w:rPr>
                <w:rFonts w:ascii="Times New Roman" w:eastAsia="Times New Roman" w:hAnsi="Times New Roman" w:cs="Times New Roman"/>
                <w:bCs/>
                <w:noProof w:val="0"/>
                <w:color w:val="000000"/>
                <w:lang w:val="hu-HU"/>
              </w:rPr>
              <w:t>négy 75 mg-os</w:t>
            </w:r>
            <w:r w:rsidRPr="00860BB1">
              <w:rPr>
                <w:rFonts w:ascii="Times New Roman" w:eastAsia="Times New Roman" w:hAnsi="Times New Roman" w:cs="Times New Roman"/>
                <w:i/>
                <w:iCs/>
                <w:noProof w:val="0"/>
                <w:color w:val="000000"/>
                <w:lang w:val="hu-HU"/>
              </w:rPr>
              <w:t>*</w:t>
            </w:r>
            <w:r w:rsidRPr="00860BB1">
              <w:rPr>
                <w:rFonts w:ascii="Times New Roman" w:eastAsia="Times New Roman" w:hAnsi="Times New Roman" w:cs="Times New Roman"/>
                <w:bCs/>
                <w:noProof w:val="0"/>
                <w:color w:val="000000"/>
                <w:lang w:val="hu-HU"/>
              </w:rPr>
              <w:t xml:space="preserve"> kapszulaként</w:t>
            </w:r>
          </w:p>
        </w:tc>
      </w:tr>
      <w:tr w:rsidR="00860BB1" w:rsidRPr="00860BB1" w14:paraId="74BA3E73" w14:textId="77777777" w:rsidTr="00595A6B">
        <w:trPr>
          <w:trHeight w:val="505"/>
        </w:trPr>
        <w:tc>
          <w:tcPr>
            <w:tcW w:w="1133" w:type="dxa"/>
            <w:tcBorders>
              <w:top w:val="nil"/>
              <w:left w:val="nil"/>
              <w:bottom w:val="nil"/>
              <w:right w:val="nil"/>
            </w:tcBorders>
          </w:tcPr>
          <w:p w14:paraId="566A0164" w14:textId="77777777" w:rsidR="00860BB1" w:rsidRPr="00860BB1" w:rsidRDefault="00860BB1" w:rsidP="00860BB1">
            <w:pPr>
              <w:ind w:left="7" w:hanging="10"/>
              <w:rPr>
                <w:rFonts w:ascii="Times New Roman" w:eastAsia="Times New Roman" w:hAnsi="Times New Roman" w:cs="Times New Roman"/>
                <w:bCs/>
                <w:noProof w:val="0"/>
                <w:color w:val="000000"/>
                <w:lang w:val="hu-HU"/>
              </w:rPr>
            </w:pPr>
            <w:r w:rsidRPr="00860BB1">
              <w:rPr>
                <w:rFonts w:ascii="Times New Roman" w:eastAsia="Times New Roman" w:hAnsi="Times New Roman" w:cs="Times New Roman"/>
                <w:bCs/>
                <w:noProof w:val="0"/>
                <w:color w:val="000000"/>
                <w:lang w:val="hu-HU"/>
              </w:rPr>
              <w:t>260 mg:</w:t>
            </w:r>
          </w:p>
        </w:tc>
        <w:tc>
          <w:tcPr>
            <w:tcW w:w="5530" w:type="dxa"/>
            <w:tcBorders>
              <w:top w:val="nil"/>
              <w:left w:val="nil"/>
              <w:bottom w:val="nil"/>
              <w:right w:val="nil"/>
            </w:tcBorders>
          </w:tcPr>
          <w:p w14:paraId="3BC44C92" w14:textId="77777777" w:rsidR="00860BB1" w:rsidRPr="00860BB1" w:rsidRDefault="00860BB1" w:rsidP="00860BB1">
            <w:pPr>
              <w:ind w:left="7" w:hanging="10"/>
              <w:rPr>
                <w:rFonts w:ascii="Times New Roman" w:eastAsia="Times New Roman" w:hAnsi="Times New Roman" w:cs="Times New Roman"/>
                <w:bCs/>
                <w:noProof w:val="0"/>
                <w:color w:val="000000"/>
                <w:lang w:val="hu-HU"/>
              </w:rPr>
            </w:pPr>
            <w:r w:rsidRPr="00860BB1">
              <w:rPr>
                <w:rFonts w:ascii="Times New Roman" w:eastAsia="Times New Roman" w:hAnsi="Times New Roman" w:cs="Times New Roman"/>
                <w:bCs/>
                <w:noProof w:val="0"/>
                <w:color w:val="000000"/>
                <w:lang w:val="hu-HU"/>
              </w:rPr>
              <w:t>egy 110 mg-os és egy 150 mg-os kapszulaként vagy egy 110 mg-os és két 75 mg-os</w:t>
            </w:r>
            <w:r w:rsidRPr="00860BB1">
              <w:rPr>
                <w:rFonts w:ascii="Times New Roman" w:eastAsia="Times New Roman" w:hAnsi="Times New Roman" w:cs="Times New Roman"/>
                <w:i/>
                <w:iCs/>
                <w:noProof w:val="0"/>
                <w:color w:val="000000"/>
                <w:lang w:val="hu-HU"/>
              </w:rPr>
              <w:t>*</w:t>
            </w:r>
            <w:r w:rsidRPr="00860BB1">
              <w:rPr>
                <w:rFonts w:ascii="Times New Roman" w:eastAsia="Times New Roman" w:hAnsi="Times New Roman" w:cs="Times New Roman"/>
                <w:bCs/>
                <w:noProof w:val="0"/>
                <w:color w:val="000000"/>
                <w:lang w:val="hu-HU"/>
              </w:rPr>
              <w:t xml:space="preserve"> kapszulaként</w:t>
            </w:r>
          </w:p>
        </w:tc>
      </w:tr>
      <w:tr w:rsidR="00860BB1" w:rsidRPr="00860BB1" w14:paraId="25F593E5" w14:textId="77777777" w:rsidTr="00595A6B">
        <w:trPr>
          <w:trHeight w:val="253"/>
        </w:trPr>
        <w:tc>
          <w:tcPr>
            <w:tcW w:w="1133" w:type="dxa"/>
            <w:tcBorders>
              <w:top w:val="nil"/>
              <w:left w:val="nil"/>
              <w:bottom w:val="nil"/>
              <w:right w:val="nil"/>
            </w:tcBorders>
          </w:tcPr>
          <w:p w14:paraId="27FAB192" w14:textId="77777777" w:rsidR="00860BB1" w:rsidRPr="00860BB1" w:rsidRDefault="00860BB1" w:rsidP="00860BB1">
            <w:pPr>
              <w:ind w:left="7" w:hanging="10"/>
              <w:rPr>
                <w:rFonts w:ascii="Times New Roman" w:eastAsia="Times New Roman" w:hAnsi="Times New Roman" w:cs="Times New Roman"/>
                <w:bCs/>
                <w:noProof w:val="0"/>
                <w:color w:val="000000"/>
                <w:lang w:val="hu-HU"/>
              </w:rPr>
            </w:pPr>
            <w:r w:rsidRPr="00860BB1">
              <w:rPr>
                <w:rFonts w:ascii="Times New Roman" w:eastAsia="Times New Roman" w:hAnsi="Times New Roman" w:cs="Times New Roman"/>
                <w:bCs/>
                <w:noProof w:val="0"/>
                <w:color w:val="000000"/>
                <w:lang w:val="hu-HU"/>
              </w:rPr>
              <w:t>220 mg:</w:t>
            </w:r>
          </w:p>
        </w:tc>
        <w:tc>
          <w:tcPr>
            <w:tcW w:w="5530" w:type="dxa"/>
            <w:tcBorders>
              <w:top w:val="nil"/>
              <w:left w:val="nil"/>
              <w:bottom w:val="nil"/>
              <w:right w:val="nil"/>
            </w:tcBorders>
          </w:tcPr>
          <w:p w14:paraId="577B082D" w14:textId="77777777" w:rsidR="00860BB1" w:rsidRPr="00860BB1" w:rsidRDefault="00860BB1" w:rsidP="00860BB1">
            <w:pPr>
              <w:ind w:left="7" w:hanging="10"/>
              <w:rPr>
                <w:rFonts w:ascii="Times New Roman" w:eastAsia="Times New Roman" w:hAnsi="Times New Roman" w:cs="Times New Roman"/>
                <w:bCs/>
                <w:noProof w:val="0"/>
                <w:color w:val="000000"/>
                <w:lang w:val="hu-HU"/>
              </w:rPr>
            </w:pPr>
            <w:r w:rsidRPr="00860BB1">
              <w:rPr>
                <w:rFonts w:ascii="Times New Roman" w:eastAsia="Times New Roman" w:hAnsi="Times New Roman" w:cs="Times New Roman"/>
                <w:bCs/>
                <w:noProof w:val="0"/>
                <w:color w:val="000000"/>
                <w:lang w:val="hu-HU"/>
              </w:rPr>
              <w:t>két 110 mg-os kapszulaként</w:t>
            </w:r>
          </w:p>
        </w:tc>
      </w:tr>
      <w:tr w:rsidR="00860BB1" w:rsidRPr="00860BB1" w14:paraId="2B14A1DE" w14:textId="77777777" w:rsidTr="00595A6B">
        <w:trPr>
          <w:trHeight w:val="253"/>
        </w:trPr>
        <w:tc>
          <w:tcPr>
            <w:tcW w:w="1133" w:type="dxa"/>
            <w:tcBorders>
              <w:top w:val="nil"/>
              <w:left w:val="nil"/>
              <w:bottom w:val="nil"/>
              <w:right w:val="nil"/>
            </w:tcBorders>
          </w:tcPr>
          <w:p w14:paraId="59378118" w14:textId="77777777" w:rsidR="00860BB1" w:rsidRPr="00860BB1" w:rsidRDefault="00860BB1" w:rsidP="00860BB1">
            <w:pPr>
              <w:ind w:left="7" w:hanging="10"/>
              <w:rPr>
                <w:rFonts w:ascii="Times New Roman" w:eastAsia="Times New Roman" w:hAnsi="Times New Roman" w:cs="Times New Roman"/>
                <w:bCs/>
                <w:noProof w:val="0"/>
                <w:color w:val="000000"/>
                <w:lang w:val="hu-HU"/>
              </w:rPr>
            </w:pPr>
            <w:r w:rsidRPr="00860BB1">
              <w:rPr>
                <w:rFonts w:ascii="Times New Roman" w:eastAsia="Times New Roman" w:hAnsi="Times New Roman" w:cs="Times New Roman"/>
                <w:bCs/>
                <w:noProof w:val="0"/>
                <w:color w:val="000000"/>
                <w:lang w:val="hu-HU"/>
              </w:rPr>
              <w:t>185 mg</w:t>
            </w:r>
            <w:r w:rsidRPr="00860BB1">
              <w:rPr>
                <w:rFonts w:ascii="Times New Roman" w:eastAsia="Times New Roman" w:hAnsi="Times New Roman" w:cs="Times New Roman"/>
                <w:noProof w:val="0"/>
                <w:color w:val="000000"/>
                <w:lang w:val="hu-HU"/>
              </w:rPr>
              <w:t>*</w:t>
            </w:r>
            <w:r w:rsidRPr="00860BB1">
              <w:rPr>
                <w:rFonts w:ascii="Times New Roman" w:eastAsia="Times New Roman" w:hAnsi="Times New Roman" w:cs="Times New Roman"/>
                <w:bCs/>
                <w:noProof w:val="0"/>
                <w:color w:val="000000"/>
                <w:lang w:val="hu-HU"/>
              </w:rPr>
              <w:t>:</w:t>
            </w:r>
          </w:p>
        </w:tc>
        <w:tc>
          <w:tcPr>
            <w:tcW w:w="5530" w:type="dxa"/>
            <w:tcBorders>
              <w:top w:val="nil"/>
              <w:left w:val="nil"/>
              <w:bottom w:val="nil"/>
              <w:right w:val="nil"/>
            </w:tcBorders>
          </w:tcPr>
          <w:p w14:paraId="41606BCE" w14:textId="77777777" w:rsidR="00860BB1" w:rsidRPr="00860BB1" w:rsidRDefault="00860BB1" w:rsidP="00860BB1">
            <w:pPr>
              <w:ind w:left="7" w:hanging="10"/>
              <w:rPr>
                <w:rFonts w:ascii="Times New Roman" w:eastAsia="Times New Roman" w:hAnsi="Times New Roman" w:cs="Times New Roman"/>
                <w:bCs/>
                <w:noProof w:val="0"/>
                <w:color w:val="000000"/>
                <w:lang w:val="hu-HU"/>
              </w:rPr>
            </w:pPr>
            <w:r w:rsidRPr="00860BB1">
              <w:rPr>
                <w:rFonts w:ascii="Times New Roman" w:eastAsia="Times New Roman" w:hAnsi="Times New Roman" w:cs="Times New Roman"/>
                <w:bCs/>
                <w:noProof w:val="0"/>
                <w:color w:val="000000"/>
                <w:lang w:val="hu-HU"/>
              </w:rPr>
              <w:t>egy 75 mg-os</w:t>
            </w:r>
            <w:r w:rsidRPr="00860BB1">
              <w:rPr>
                <w:rFonts w:ascii="Times New Roman" w:eastAsia="Times New Roman" w:hAnsi="Times New Roman" w:cs="Times New Roman"/>
                <w:i/>
                <w:iCs/>
                <w:noProof w:val="0"/>
                <w:color w:val="000000"/>
                <w:lang w:val="hu-HU"/>
              </w:rPr>
              <w:t>*</w:t>
            </w:r>
            <w:r w:rsidRPr="00860BB1">
              <w:rPr>
                <w:rFonts w:ascii="Times New Roman" w:eastAsia="Times New Roman" w:hAnsi="Times New Roman" w:cs="Times New Roman"/>
                <w:bCs/>
                <w:noProof w:val="0"/>
                <w:color w:val="000000"/>
                <w:lang w:val="hu-HU"/>
              </w:rPr>
              <w:t xml:space="preserve"> és egy 110 mg-os kapszulaként</w:t>
            </w:r>
          </w:p>
        </w:tc>
      </w:tr>
      <w:tr w:rsidR="00860BB1" w:rsidRPr="00860BB1" w14:paraId="1EBD281F" w14:textId="77777777" w:rsidTr="00595A6B">
        <w:trPr>
          <w:trHeight w:val="481"/>
        </w:trPr>
        <w:tc>
          <w:tcPr>
            <w:tcW w:w="1133" w:type="dxa"/>
            <w:tcBorders>
              <w:top w:val="nil"/>
              <w:left w:val="nil"/>
              <w:bottom w:val="nil"/>
              <w:right w:val="nil"/>
            </w:tcBorders>
          </w:tcPr>
          <w:p w14:paraId="519287EE" w14:textId="77777777" w:rsidR="00860BB1" w:rsidRPr="00860BB1" w:rsidRDefault="00860BB1" w:rsidP="00860BB1">
            <w:pPr>
              <w:ind w:left="7" w:hanging="10"/>
              <w:rPr>
                <w:rFonts w:ascii="Times New Roman" w:eastAsia="Times New Roman" w:hAnsi="Times New Roman" w:cs="Times New Roman"/>
                <w:bCs/>
                <w:noProof w:val="0"/>
                <w:color w:val="000000"/>
                <w:lang w:val="hu-HU"/>
              </w:rPr>
            </w:pPr>
            <w:r w:rsidRPr="00860BB1">
              <w:rPr>
                <w:rFonts w:ascii="Times New Roman" w:eastAsia="Times New Roman" w:hAnsi="Times New Roman" w:cs="Times New Roman"/>
                <w:bCs/>
                <w:noProof w:val="0"/>
                <w:color w:val="000000"/>
                <w:lang w:val="hu-HU"/>
              </w:rPr>
              <w:t>150 mg:</w:t>
            </w:r>
          </w:p>
        </w:tc>
        <w:tc>
          <w:tcPr>
            <w:tcW w:w="5530" w:type="dxa"/>
            <w:tcBorders>
              <w:top w:val="nil"/>
              <w:left w:val="nil"/>
              <w:bottom w:val="nil"/>
              <w:right w:val="nil"/>
            </w:tcBorders>
          </w:tcPr>
          <w:p w14:paraId="7D759DD5" w14:textId="77777777" w:rsidR="00860BB1" w:rsidRPr="00860BB1" w:rsidRDefault="00860BB1" w:rsidP="00860BB1">
            <w:pPr>
              <w:ind w:left="7" w:hanging="10"/>
              <w:rPr>
                <w:rFonts w:ascii="Times New Roman" w:eastAsia="Times New Roman" w:hAnsi="Times New Roman" w:cs="Times New Roman"/>
                <w:bCs/>
                <w:noProof w:val="0"/>
                <w:color w:val="000000"/>
                <w:lang w:val="hu-HU"/>
              </w:rPr>
            </w:pPr>
            <w:r w:rsidRPr="00860BB1">
              <w:rPr>
                <w:rFonts w:ascii="Times New Roman" w:eastAsia="Times New Roman" w:hAnsi="Times New Roman" w:cs="Times New Roman"/>
                <w:bCs/>
                <w:noProof w:val="0"/>
                <w:color w:val="000000"/>
                <w:lang w:val="hu-HU"/>
              </w:rPr>
              <w:t xml:space="preserve">egy 150 mg-os kapszulaként vagy </w:t>
            </w:r>
          </w:p>
          <w:p w14:paraId="2434F58F" w14:textId="77777777" w:rsidR="00860BB1" w:rsidRPr="00860BB1" w:rsidRDefault="00860BB1" w:rsidP="00860BB1">
            <w:pPr>
              <w:ind w:left="7" w:hanging="10"/>
              <w:rPr>
                <w:rFonts w:ascii="Times New Roman" w:eastAsia="Times New Roman" w:hAnsi="Times New Roman" w:cs="Times New Roman"/>
                <w:bCs/>
                <w:noProof w:val="0"/>
                <w:color w:val="000000"/>
                <w:lang w:val="hu-HU"/>
              </w:rPr>
            </w:pPr>
            <w:r w:rsidRPr="00860BB1">
              <w:rPr>
                <w:rFonts w:ascii="Times New Roman" w:eastAsia="Times New Roman" w:hAnsi="Times New Roman" w:cs="Times New Roman"/>
                <w:bCs/>
                <w:noProof w:val="0"/>
                <w:color w:val="000000"/>
                <w:lang w:val="hu-HU"/>
              </w:rPr>
              <w:t>két 75 mg-os</w:t>
            </w:r>
            <w:r w:rsidRPr="00860BB1">
              <w:rPr>
                <w:rFonts w:ascii="Times New Roman" w:eastAsia="Times New Roman" w:hAnsi="Times New Roman" w:cs="Times New Roman"/>
                <w:i/>
                <w:iCs/>
                <w:noProof w:val="0"/>
                <w:color w:val="000000"/>
                <w:lang w:val="hu-HU"/>
              </w:rPr>
              <w:t>*</w:t>
            </w:r>
            <w:r w:rsidRPr="00860BB1">
              <w:rPr>
                <w:rFonts w:ascii="Times New Roman" w:eastAsia="Times New Roman" w:hAnsi="Times New Roman" w:cs="Times New Roman"/>
                <w:bCs/>
                <w:noProof w:val="0"/>
                <w:color w:val="000000"/>
                <w:lang w:val="hu-HU"/>
              </w:rPr>
              <w:t xml:space="preserve"> kapszulaként</w:t>
            </w:r>
          </w:p>
        </w:tc>
      </w:tr>
    </w:tbl>
    <w:p w14:paraId="59B8F771" w14:textId="77777777" w:rsidR="00860BB1" w:rsidRPr="00860BB1" w:rsidRDefault="00860BB1" w:rsidP="00860BB1">
      <w:pPr>
        <w:spacing w:after="0" w:line="240" w:lineRule="auto"/>
        <w:ind w:left="7" w:hanging="10"/>
        <w:rPr>
          <w:rFonts w:ascii="Times New Roman" w:eastAsia="Times New Roman" w:hAnsi="Times New Roman" w:cs="Times New Roman"/>
          <w:bCs/>
          <w:noProof w:val="0"/>
          <w:color w:val="000000"/>
          <w:kern w:val="0"/>
          <w:lang w:val="hu-HU" w:eastAsia="hu-HU"/>
          <w14:ligatures w14:val="none"/>
        </w:rPr>
      </w:pPr>
    </w:p>
    <w:p w14:paraId="27F97D26" w14:textId="77777777" w:rsidR="00860BB1" w:rsidRPr="00860BB1" w:rsidRDefault="00860BB1" w:rsidP="00860BB1">
      <w:pPr>
        <w:spacing w:after="0" w:line="240" w:lineRule="auto"/>
        <w:ind w:left="7" w:right="11" w:hanging="10"/>
        <w:rPr>
          <w:rFonts w:ascii="Times New Roman" w:eastAsia="Times New Roman" w:hAnsi="Times New Roman" w:cs="Times New Roman"/>
          <w:i/>
          <w:iCs/>
          <w:noProof w:val="0"/>
          <w:color w:val="000000"/>
          <w:kern w:val="0"/>
          <w:lang w:val="hu-HU" w:eastAsia="hu-HU"/>
          <w14:ligatures w14:val="none"/>
        </w:rPr>
      </w:pPr>
      <w:r w:rsidRPr="00860BB1">
        <w:rPr>
          <w:rFonts w:ascii="Times New Roman" w:eastAsia="Times New Roman" w:hAnsi="Times New Roman" w:cs="Times New Roman"/>
          <w:i/>
          <w:iCs/>
          <w:noProof w:val="0"/>
          <w:color w:val="000000"/>
          <w:kern w:val="0"/>
          <w:lang w:val="hu-HU" w:eastAsia="hu-HU"/>
          <w14:ligatures w14:val="none"/>
        </w:rPr>
        <w:t>* A Telexer 75 mg-os adagja nem áll rendelkezésre, ezért nem alkalmas a fent említett betegcsoportok számára. Ezeknek a betegeknek más 75 mg dabigatrán</w:t>
      </w:r>
      <w:r w:rsidRPr="00860BB1">
        <w:rPr>
          <w:rFonts w:ascii="Times New Roman" w:eastAsia="Times New Roman" w:hAnsi="Times New Roman" w:cs="Times New Roman"/>
          <w:i/>
          <w:iCs/>
          <w:noProof w:val="0"/>
          <w:color w:val="000000"/>
          <w:kern w:val="0"/>
          <w:lang w:val="hu-HU" w:eastAsia="hu-HU"/>
          <w14:ligatures w14:val="none"/>
        </w:rPr>
        <w:noBreakHyphen/>
        <w:t>etexilátot tartalmazó gyógyszert kell alkalmazniuk.</w:t>
      </w:r>
    </w:p>
    <w:p w14:paraId="2942DF24" w14:textId="77777777" w:rsidR="00860BB1" w:rsidRPr="00860BB1" w:rsidRDefault="00860BB1" w:rsidP="00860BB1">
      <w:pPr>
        <w:spacing w:after="0" w:line="240" w:lineRule="auto"/>
        <w:ind w:left="7" w:hanging="10"/>
        <w:rPr>
          <w:rFonts w:ascii="Times New Roman" w:eastAsia="Times New Roman" w:hAnsi="Times New Roman" w:cs="Times New Roman"/>
          <w:bCs/>
          <w:noProof w:val="0"/>
          <w:color w:val="000000"/>
          <w:kern w:val="0"/>
          <w:lang w:val="hu-HU" w:eastAsia="hu-HU"/>
          <w14:ligatures w14:val="none"/>
        </w:rPr>
      </w:pPr>
    </w:p>
    <w:p w14:paraId="057734BC"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Hogyan kell szedni a Telexert?</w:t>
      </w:r>
    </w:p>
    <w:p w14:paraId="492EBCCE"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Telexer bevehető étkezés közben vagy attól függetlenül. A kapszulát egészben, a gyomorba jutás elősegítése érdekében egy pohár vízzel kell lenyelni. Ne törje össze, ne rágja szét a kapszulát és ne ürítse ki a töltetet a kapszulából, mert ez megnövelheti a vérzés kockázatát!</w:t>
      </w:r>
    </w:p>
    <w:p w14:paraId="210E00A2"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313AF981" w14:textId="77777777" w:rsidR="00860BB1" w:rsidRPr="00860BB1" w:rsidRDefault="00860BB1" w:rsidP="00860BB1">
      <w:pPr>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bCs/>
          <w:noProof w:val="0"/>
          <w:color w:val="000000"/>
          <w:kern w:val="0"/>
          <w:lang w:val="hu-HU" w:eastAsia="hu-HU"/>
          <w14:ligatures w14:val="none"/>
        </w:rPr>
        <w:t>A buborékfóliával</w:t>
      </w:r>
      <w:r w:rsidRPr="00860BB1">
        <w:rPr>
          <w:rFonts w:ascii="Times New Roman" w:eastAsia="Times New Roman" w:hAnsi="Times New Roman" w:cs="Times New Roman"/>
          <w:b/>
          <w:noProof w:val="0"/>
          <w:color w:val="000000"/>
          <w:kern w:val="0"/>
          <w:lang w:val="hu-HU" w:eastAsia="hu-HU"/>
          <w14:ligatures w14:val="none"/>
        </w:rPr>
        <w:t xml:space="preserve"> kapcsolatos utasítás</w:t>
      </w:r>
    </w:p>
    <w:p w14:paraId="3E829B9C" w14:textId="77777777" w:rsidR="00860BB1" w:rsidRPr="00860BB1" w:rsidRDefault="00860BB1" w:rsidP="00DD0D96">
      <w:pPr>
        <w:numPr>
          <w:ilvl w:val="0"/>
          <w:numId w:val="1"/>
        </w:numPr>
        <w:tabs>
          <w:tab w:val="left" w:pos="567"/>
        </w:tabs>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Perforált buborékcsomagolás esetén: tépjen le egy önálló buborékcsomagolás részt a perforált vonal mentén a buborékcsomagolásról!</w:t>
      </w:r>
    </w:p>
    <w:p w14:paraId="33989008" w14:textId="77777777" w:rsidR="00860BB1" w:rsidRPr="00860BB1" w:rsidRDefault="00860BB1" w:rsidP="00DD0D96">
      <w:pPr>
        <w:numPr>
          <w:ilvl w:val="0"/>
          <w:numId w:val="1"/>
        </w:numPr>
        <w:tabs>
          <w:tab w:val="left" w:pos="567"/>
        </w:tabs>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Nyomja át a kapszulát a buborékcsomagolás fóliáján.</w:t>
      </w:r>
    </w:p>
    <w:p w14:paraId="7EDA4D02" w14:textId="77777777" w:rsidR="00860BB1" w:rsidRPr="00860BB1" w:rsidRDefault="00860BB1" w:rsidP="00860BB1">
      <w:pPr>
        <w:spacing w:after="0" w:line="240" w:lineRule="auto"/>
        <w:ind w:left="22" w:right="11" w:hanging="10"/>
        <w:rPr>
          <w:rFonts w:ascii="Times New Roman" w:eastAsia="Times New Roman" w:hAnsi="Times New Roman" w:cs="Times New Roman"/>
          <w:noProof w:val="0"/>
          <w:color w:val="000000"/>
          <w:kern w:val="0"/>
          <w:lang w:val="hu-HU" w:eastAsia="hu-HU"/>
          <w14:ligatures w14:val="none"/>
        </w:rPr>
      </w:pPr>
    </w:p>
    <w:p w14:paraId="17C93838"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Alvadásgátló-kezelés váltás</w:t>
      </w:r>
    </w:p>
    <w:p w14:paraId="1D7E84CD"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Ne váltson más alvadásgátló-kezelésre kezelőorvosa kifejezett utasítása nélkül.</w:t>
      </w:r>
    </w:p>
    <w:p w14:paraId="19B978C1"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7B5A3424"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Ha az előírtnál több Telexert vett be</w:t>
      </w:r>
    </w:p>
    <w:p w14:paraId="4E8F337A"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Túl sok gyógyszer bevétele megnöveli a vérzésveszélyt. Azonnal tájékoztassa kezelőorvosát, ha túl sok kapszulát vett be. Speciális kezelési lehetőségek állnak rendelkezésre.</w:t>
      </w:r>
    </w:p>
    <w:p w14:paraId="66B6A676"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081CE03A" w14:textId="77777777" w:rsidR="00860BB1" w:rsidRPr="00860BB1" w:rsidRDefault="00860BB1" w:rsidP="00860BB1">
      <w:pPr>
        <w:keepNext/>
        <w:spacing w:after="0" w:line="240" w:lineRule="auto"/>
        <w:ind w:left="5" w:hanging="11"/>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Ha elfelejtette bevenni a Telexert</w:t>
      </w:r>
    </w:p>
    <w:p w14:paraId="56D2BF00" w14:textId="77777777" w:rsidR="00860BB1" w:rsidRPr="00860BB1" w:rsidRDefault="00860BB1" w:rsidP="00860BB1">
      <w:pPr>
        <w:spacing w:after="0" w:line="240" w:lineRule="auto"/>
        <w:ind w:left="7" w:right="1759" w:hanging="10"/>
        <w:rPr>
          <w:rFonts w:ascii="Times New Roman" w:eastAsia="Times New Roman" w:hAnsi="Times New Roman" w:cs="Times New Roman"/>
          <w:noProof w:val="0"/>
          <w:color w:val="000000"/>
          <w:kern w:val="0"/>
          <w:u w:val="single" w:color="000000"/>
          <w:lang w:val="hu-HU" w:eastAsia="hu-HU"/>
          <w14:ligatures w14:val="none"/>
        </w:rPr>
      </w:pPr>
    </w:p>
    <w:p w14:paraId="6DF64A19" w14:textId="77777777" w:rsidR="00860BB1" w:rsidRPr="00860BB1" w:rsidRDefault="00860BB1" w:rsidP="00860BB1">
      <w:pPr>
        <w:spacing w:after="0" w:line="240" w:lineRule="auto"/>
        <w:ind w:left="7" w:right="1759"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u w:val="single" w:color="000000"/>
          <w:lang w:val="hu-HU" w:eastAsia="hu-HU"/>
          <w14:ligatures w14:val="none"/>
        </w:rPr>
        <w:t xml:space="preserve">A vérrögképződés megelőzésére térd- vagy csípőprotézis műtétet követően </w:t>
      </w:r>
      <w:r w:rsidRPr="00860BB1">
        <w:rPr>
          <w:rFonts w:ascii="Times New Roman" w:eastAsia="Times New Roman" w:hAnsi="Times New Roman" w:cs="Times New Roman"/>
          <w:noProof w:val="0"/>
          <w:color w:val="000000"/>
          <w:kern w:val="0"/>
          <w:lang w:val="hu-HU" w:eastAsia="hu-HU"/>
          <w14:ligatures w14:val="none"/>
        </w:rPr>
        <w:t xml:space="preserve">Másnap a szokott időben, a soron következő adaggal folytassa a Telexer szedését. </w:t>
      </w:r>
    </w:p>
    <w:p w14:paraId="1C859EE4" w14:textId="77777777" w:rsidR="00860BB1" w:rsidRPr="00860BB1" w:rsidRDefault="00860BB1" w:rsidP="00860BB1">
      <w:pPr>
        <w:spacing w:after="0" w:line="240" w:lineRule="auto"/>
        <w:ind w:left="7" w:right="1759"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Ne vegyen be kétszeres adagot az elfelejtett adag pótlására.</w:t>
      </w:r>
    </w:p>
    <w:p w14:paraId="4D2D4367" w14:textId="77777777" w:rsidR="00860BB1" w:rsidRPr="00860BB1" w:rsidRDefault="00860BB1" w:rsidP="00860BB1">
      <w:pPr>
        <w:spacing w:after="0" w:line="240" w:lineRule="auto"/>
        <w:ind w:left="7" w:right="1759" w:hanging="10"/>
        <w:rPr>
          <w:rFonts w:ascii="Times New Roman" w:eastAsia="Times New Roman" w:hAnsi="Times New Roman" w:cs="Times New Roman"/>
          <w:noProof w:val="0"/>
          <w:color w:val="000000"/>
          <w:kern w:val="0"/>
          <w:lang w:val="hu-HU" w:eastAsia="hu-HU"/>
          <w14:ligatures w14:val="none"/>
        </w:rPr>
      </w:pPr>
    </w:p>
    <w:p w14:paraId="5C7FB78F" w14:textId="77777777" w:rsidR="00860BB1" w:rsidRPr="00860BB1" w:rsidRDefault="00860BB1" w:rsidP="00860BB1">
      <w:pPr>
        <w:keepNext/>
        <w:keepLines/>
        <w:spacing w:after="0" w:line="240" w:lineRule="auto"/>
        <w:ind w:left="7" w:hanging="10"/>
        <w:outlineLvl w:val="0"/>
        <w:rPr>
          <w:rFonts w:ascii="Times New Roman" w:eastAsia="Times New Roman" w:hAnsi="Times New Roman" w:cs="Times New Roman"/>
          <w:noProof w:val="0"/>
          <w:color w:val="000000"/>
          <w:kern w:val="0"/>
          <w:u w:val="single" w:color="000000"/>
          <w:lang w:val="hu-HU" w:eastAsia="hu-HU"/>
          <w14:ligatures w14:val="none"/>
        </w:rPr>
      </w:pPr>
      <w:r w:rsidRPr="00860BB1">
        <w:rPr>
          <w:rFonts w:ascii="Times New Roman" w:eastAsia="Times New Roman" w:hAnsi="Times New Roman" w:cs="Times New Roman"/>
          <w:noProof w:val="0"/>
          <w:color w:val="000000"/>
          <w:kern w:val="0"/>
          <w:u w:val="single" w:color="000000"/>
          <w:lang w:val="hu-HU" w:eastAsia="hu-HU"/>
          <w14:ligatures w14:val="none"/>
        </w:rPr>
        <w:t>Alkalmazása felnőtteknél: A szívritmuszavart követően kifejlődő, agyi és testben lévő ereket elzáró</w:t>
      </w:r>
      <w:r w:rsidRPr="00860BB1">
        <w:rPr>
          <w:rFonts w:ascii="Times New Roman" w:eastAsia="Times New Roman" w:hAnsi="Times New Roman" w:cs="Times New Roman"/>
          <w:noProof w:val="0"/>
          <w:color w:val="000000"/>
          <w:kern w:val="0"/>
          <w:u w:color="000000"/>
          <w:lang w:val="hu-HU" w:eastAsia="hu-HU"/>
          <w14:ligatures w14:val="none"/>
        </w:rPr>
        <w:t xml:space="preserve"> </w:t>
      </w:r>
      <w:r w:rsidRPr="00860BB1">
        <w:rPr>
          <w:rFonts w:ascii="Times New Roman" w:eastAsia="Times New Roman" w:hAnsi="Times New Roman" w:cs="Times New Roman"/>
          <w:noProof w:val="0"/>
          <w:color w:val="000000"/>
          <w:kern w:val="0"/>
          <w:u w:val="single" w:color="000000"/>
          <w:lang w:val="hu-HU" w:eastAsia="hu-HU"/>
          <w14:ligatures w14:val="none"/>
        </w:rPr>
        <w:t>vérrögképződés megelőzése és a lábak, valamint a tüdő vénáiban kialakult vérrögök kezelése, és az ilyen vérrögök ismételt kialakulásának megelőzése</w:t>
      </w:r>
    </w:p>
    <w:p w14:paraId="2AB1CD6E" w14:textId="77777777" w:rsidR="00860BB1" w:rsidRPr="00860BB1" w:rsidRDefault="00860BB1" w:rsidP="00860BB1">
      <w:pPr>
        <w:keepNext/>
        <w:keepLines/>
        <w:spacing w:after="0" w:line="240" w:lineRule="auto"/>
        <w:ind w:left="7" w:hanging="10"/>
        <w:outlineLvl w:val="0"/>
        <w:rPr>
          <w:rFonts w:ascii="Times New Roman" w:eastAsia="Times New Roman" w:hAnsi="Times New Roman" w:cs="Times New Roman"/>
          <w:noProof w:val="0"/>
          <w:color w:val="000000"/>
          <w:kern w:val="0"/>
          <w:u w:val="single" w:color="000000"/>
          <w:lang w:val="hu-HU" w:eastAsia="hu-HU"/>
          <w14:ligatures w14:val="none"/>
        </w:rPr>
      </w:pPr>
      <w:r w:rsidRPr="00860BB1">
        <w:rPr>
          <w:rFonts w:ascii="Times New Roman" w:eastAsia="Times New Roman" w:hAnsi="Times New Roman" w:cs="Times New Roman"/>
          <w:noProof w:val="0"/>
          <w:color w:val="000000"/>
          <w:kern w:val="0"/>
          <w:u w:val="single" w:color="000000"/>
          <w:lang w:val="hu-HU" w:eastAsia="hu-HU"/>
          <w14:ligatures w14:val="none"/>
        </w:rPr>
        <w:t>Alkalmazása gyermekeknél és serdülőknél: Vérrögök kezelése és a vérrögök újbóli kialakulásának</w:t>
      </w:r>
      <w:r w:rsidRPr="00860BB1">
        <w:rPr>
          <w:rFonts w:ascii="Times New Roman" w:eastAsia="Times New Roman" w:hAnsi="Times New Roman" w:cs="Times New Roman"/>
          <w:noProof w:val="0"/>
          <w:color w:val="000000"/>
          <w:kern w:val="0"/>
          <w:u w:color="000000"/>
          <w:lang w:val="hu-HU" w:eastAsia="hu-HU"/>
          <w14:ligatures w14:val="none"/>
        </w:rPr>
        <w:t xml:space="preserve"> </w:t>
      </w:r>
      <w:r w:rsidRPr="00860BB1">
        <w:rPr>
          <w:rFonts w:ascii="Times New Roman" w:eastAsia="Times New Roman" w:hAnsi="Times New Roman" w:cs="Times New Roman"/>
          <w:noProof w:val="0"/>
          <w:color w:val="000000"/>
          <w:kern w:val="0"/>
          <w:u w:val="single" w:color="000000"/>
          <w:lang w:val="hu-HU" w:eastAsia="hu-HU"/>
          <w14:ligatures w14:val="none"/>
        </w:rPr>
        <w:t>megelőzése</w:t>
      </w:r>
    </w:p>
    <w:p w14:paraId="0222BEB2"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Az elfelejtett adag a következő adag esedékessége előtt 6 órával még bevehető.</w:t>
      </w:r>
    </w:p>
    <w:p w14:paraId="09FA5BF4"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Az elfelejtett adagot ki kell hagyni, ha a következő adag esedékességéig kevesebb mint 6 óra van hátra.</w:t>
      </w:r>
    </w:p>
    <w:p w14:paraId="64A65657"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Ne vegyen be kétszeres adagot a kihagyott adag pótlására.</w:t>
      </w:r>
    </w:p>
    <w:p w14:paraId="5C4B2900"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4A70DB03"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Ha idő előtt abbahagyja a Telexer szedését</w:t>
      </w:r>
    </w:p>
    <w:p w14:paraId="668EDF26"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Telexert pontosan az orvos utasítása szerint szedje. Ne hagyja abba a gyógyszer szedését anélkül, hogy beszélne a kezelőorvosával, mert a gyógyszer szedésének idő előtti abbahagyása fokozhatja a vérrögök kialakulásának veszélyét. Forduljon kezelőorvosához, ha a Telexer szedését követően emésztési zavart tapasztal.</w:t>
      </w:r>
    </w:p>
    <w:p w14:paraId="1213A593"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16C3BA0B"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 bármilyen további kérdése van a gyógyszer alkalmazásával kapcsolatban, kérdezze meg kezelőorvosát vagy gyógyszerészét.</w:t>
      </w:r>
    </w:p>
    <w:p w14:paraId="6DC4EFF7"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3736CADF"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4C119578" w14:textId="77777777" w:rsidR="00860BB1" w:rsidRPr="00860BB1" w:rsidRDefault="00860BB1" w:rsidP="00860BB1">
      <w:pPr>
        <w:tabs>
          <w:tab w:val="left" w:pos="567"/>
          <w:tab w:val="center" w:pos="1781"/>
        </w:tabs>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4.</w:t>
      </w:r>
      <w:r w:rsidRPr="00860BB1">
        <w:rPr>
          <w:rFonts w:ascii="Times New Roman" w:eastAsia="Times New Roman" w:hAnsi="Times New Roman" w:cs="Times New Roman"/>
          <w:b/>
          <w:noProof w:val="0"/>
          <w:color w:val="000000"/>
          <w:kern w:val="0"/>
          <w:lang w:val="hu-HU" w:eastAsia="hu-HU"/>
          <w14:ligatures w14:val="none"/>
        </w:rPr>
        <w:tab/>
        <w:t>Lehetséges mellékhatások</w:t>
      </w:r>
    </w:p>
    <w:p w14:paraId="599FE8DF"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66B58967"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Mint minden gyógyszer, így ez a gyógyszer is okozhat mellékhatásokat, amelyek azonban nem mindenkinél jelentkeznek.</w:t>
      </w:r>
    </w:p>
    <w:p w14:paraId="5D651ED1"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0B5C0F12" w14:textId="77777777" w:rsid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Mivel a Telexer a véralvadási rendszerre hat, a legtöbb mellékhatás bőrbevérzés vagy vérzés kialakulásával kapcsolatos. Előfordulhatnak nagyfokú vagy súlyos vérzések, ezek a legsúlyosabb mellékhatások, amelyek kialakulásuk helyétől függetlenül rokkantsághoz, életet veszélyeztető állapothoz vagy akár halálhoz is vezethetnek. Egyes esetekben előfordulhat, hogy a vérzés nem nyilvánvaló.</w:t>
      </w:r>
    </w:p>
    <w:p w14:paraId="155FC07C" w14:textId="77777777" w:rsidR="00DB199B" w:rsidRPr="00860BB1" w:rsidRDefault="00DB199B"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65BAE287"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Azonnal forduljon orvoshoz minden szűnni nem akaró vérzés esetén vagy ha tartós vagy nagy mennyiségű vérzés jeleit tapasztalja (rendkívüli gyengeség, fáradtság, sápadtság, szédülés, fejfájás vagy tisztázatlan eredetű duzzadás). A kezelőorvos dönthet a szoros ellenőrzés vagy a gyógyszerelés megváltoztatása mellett is.</w:t>
      </w:r>
    </w:p>
    <w:p w14:paraId="4D914FB3"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5AAB6D21"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Légzési nehézséget vagy szédülést okozó súlyos allergiás reakció esetén azonnal értesítse kezelőorvosát.</w:t>
      </w:r>
    </w:p>
    <w:p w14:paraId="7D86626D"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277AEED4"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felsorolt lehetséges mellékhatásokat a jelentkezésük gyakorisága alapján csoportosítottuk:</w:t>
      </w:r>
    </w:p>
    <w:p w14:paraId="3228FEFA"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69CA8CFE" w14:textId="77777777" w:rsidR="00860BB1" w:rsidRPr="00860BB1" w:rsidRDefault="00860BB1" w:rsidP="00860BB1">
      <w:pPr>
        <w:keepNext/>
        <w:keepLines/>
        <w:spacing w:after="0" w:line="240" w:lineRule="auto"/>
        <w:ind w:left="7" w:hanging="10"/>
        <w:outlineLvl w:val="0"/>
        <w:rPr>
          <w:rFonts w:ascii="Times New Roman" w:eastAsia="Times New Roman" w:hAnsi="Times New Roman" w:cs="Times New Roman"/>
          <w:noProof w:val="0"/>
          <w:color w:val="000000"/>
          <w:kern w:val="0"/>
          <w:u w:val="single" w:color="000000"/>
          <w:lang w:val="hu-HU" w:eastAsia="hu-HU"/>
          <w14:ligatures w14:val="none"/>
        </w:rPr>
      </w:pPr>
      <w:r w:rsidRPr="00860BB1">
        <w:rPr>
          <w:rFonts w:ascii="Times New Roman" w:eastAsia="Times New Roman" w:hAnsi="Times New Roman" w:cs="Times New Roman"/>
          <w:noProof w:val="0"/>
          <w:color w:val="000000"/>
          <w:kern w:val="0"/>
          <w:u w:val="single" w:color="000000"/>
          <w:lang w:val="hu-HU" w:eastAsia="hu-HU"/>
          <w14:ligatures w14:val="none"/>
        </w:rPr>
        <w:t>A vérrögképződés megelőzésére térd- vagy csípőprotézis műtétet követően</w:t>
      </w:r>
    </w:p>
    <w:p w14:paraId="1A8FD3C1" w14:textId="77777777" w:rsidR="00860BB1" w:rsidRPr="00860BB1" w:rsidRDefault="00860BB1" w:rsidP="00860BB1">
      <w:pPr>
        <w:spacing w:after="15" w:line="248" w:lineRule="auto"/>
        <w:ind w:left="22" w:hanging="10"/>
        <w:rPr>
          <w:rFonts w:ascii="Times New Roman" w:eastAsia="Times New Roman" w:hAnsi="Times New Roman" w:cs="Times New Roman"/>
          <w:noProof w:val="0"/>
          <w:color w:val="000000"/>
          <w:kern w:val="0"/>
          <w:lang w:val="hu-HU" w:eastAsia="hu-HU"/>
          <w14:ligatures w14:val="none"/>
        </w:rPr>
      </w:pPr>
    </w:p>
    <w:p w14:paraId="1ABB40AC"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lastRenderedPageBreak/>
        <w:t>Gyakori mellékhatások (10 betegből legfeljebb 1-et érinthet):</w:t>
      </w:r>
    </w:p>
    <w:p w14:paraId="1CACCABF"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hemoglobin (a vörösvértestekben lévő anyag) szintjének csökkenése a vérben</w:t>
      </w:r>
    </w:p>
    <w:p w14:paraId="2BEAC712"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Laboratóriumi vizsgálattal kimutatható kóros májfunkciós értékek</w:t>
      </w:r>
    </w:p>
    <w:p w14:paraId="68E3D487"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075D3AD4"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Nem gyakori mellékhatások (100 betegből legfeljebb 1-et érinthet):</w:t>
      </w:r>
    </w:p>
    <w:p w14:paraId="1EA68D31"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vérzés történhet az orrból, a gyomorba vagy a belekbe, a hímvesszőből/hüvelyből vagy a húgyutakból (beleértve a vizeletben lévő vért is, ami a vizeletet rózsaszínűre vagy pirosra színezi), az aranyerekből, a végbélből, a bőr alá, az ízületekbe, sérülés miatt vagy után, vagy műtétet követően</w:t>
      </w:r>
    </w:p>
    <w:p w14:paraId="768350C9"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Vérömleny kialakulása vagy műtét után kialakuló véraláfutás</w:t>
      </w:r>
    </w:p>
    <w:p w14:paraId="26BF33DF"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Laboratóriumi vizsgálatokkal kimutatható vér a székletben</w:t>
      </w:r>
    </w:p>
    <w:p w14:paraId="1035A770"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vörösvértestek számának csökkenése a vérben (vérszegénység)</w:t>
      </w:r>
    </w:p>
    <w:p w14:paraId="75653AB7"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vérsejtek arányának csökkenése</w:t>
      </w:r>
    </w:p>
    <w:p w14:paraId="478A862D"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Allergiás reakció</w:t>
      </w:r>
    </w:p>
    <w:p w14:paraId="284A4464"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Hányás</w:t>
      </w:r>
    </w:p>
    <w:p w14:paraId="442E7437"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Gyakori, híg vagy folyékony széklet</w:t>
      </w:r>
    </w:p>
    <w:p w14:paraId="452D2B2F"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Hányinger</w:t>
      </w:r>
    </w:p>
    <w:p w14:paraId="70DE95AB"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Sebváladékozás (folyadék szivárgása a műtéti sebből)</w:t>
      </w:r>
    </w:p>
    <w:p w14:paraId="2620BB08"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Májenzimszint-emelkedés</w:t>
      </w:r>
    </w:p>
    <w:p w14:paraId="50B3E9C3"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bőr vagy a szemfehérje sárgás elszíneződése, melyet májprobléma vagy a vérösszetétel megváltozása okoz</w:t>
      </w:r>
    </w:p>
    <w:p w14:paraId="211BBF19"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407EF314"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Ritka mellékhatások (1000 betegből legfeljebb 1-et érinthet):</w:t>
      </w:r>
    </w:p>
    <w:p w14:paraId="61402DAA"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Vérzés</w:t>
      </w:r>
    </w:p>
    <w:p w14:paraId="7624C612"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vérzés történhet az agyban, sebészeti bemetszésből, az injekció beszúrásának helyén, a kanül vénába történő bevezetésének helyén</w:t>
      </w:r>
    </w:p>
    <w:p w14:paraId="7BCF8F48"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Véres váladékozás a kanül vénába történő belépésének helyén</w:t>
      </w:r>
    </w:p>
    <w:p w14:paraId="64B8A8FA"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 felköhögése vagy véres köpet</w:t>
      </w:r>
    </w:p>
    <w:p w14:paraId="1B376759"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Vérlemezkeszám-csökkenés a vérben</w:t>
      </w:r>
    </w:p>
    <w:p w14:paraId="378483B8"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vörösvértestek számának csökkenése a vérben műtét után</w:t>
      </w:r>
    </w:p>
    <w:p w14:paraId="71BE0122"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Súlyos allergiás reakció, amely légzési nehézséget vagy szédülést okoz</w:t>
      </w:r>
    </w:p>
    <w:p w14:paraId="213E66A5"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Súlyos allergiás reakció, amely az arc vagy a torok duzzanatát okozza</w:t>
      </w:r>
    </w:p>
    <w:p w14:paraId="71F493FE"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Bőrkiütés, nevezetesen: allergiás reakció okozta sötétvörös, a bőrfelszínből kiemelkedő, viszkető egyenetlenségek</w:t>
      </w:r>
    </w:p>
    <w:p w14:paraId="4EDE5F20"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bőr színében és megjelenésében hirtelen kialakuló változás</w:t>
      </w:r>
    </w:p>
    <w:p w14:paraId="43F41F2C"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Viszketés</w:t>
      </w:r>
    </w:p>
    <w:p w14:paraId="075CBEF1"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Fekély a gyomorban vagy a bélben (beleértve a nyelőcsőfekélyt is)</w:t>
      </w:r>
    </w:p>
    <w:p w14:paraId="0C15E2DE"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nyelőcső és a gyomornyálkahártya gyulladása</w:t>
      </w:r>
    </w:p>
    <w:p w14:paraId="3EAD24C8"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gyomornedv nyelőcsőbe történő visszafolyása (reflux betegség)</w:t>
      </w:r>
    </w:p>
    <w:p w14:paraId="1368E719"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Hasi- és gyomortáji fájdalom</w:t>
      </w:r>
    </w:p>
    <w:p w14:paraId="3A7666C6"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Emésztési zavar</w:t>
      </w:r>
    </w:p>
    <w:p w14:paraId="6B5198B6"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Nyelési nehézség</w:t>
      </w:r>
    </w:p>
    <w:p w14:paraId="345C75B4"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Váladék ürülése egy sebből</w:t>
      </w:r>
    </w:p>
    <w:p w14:paraId="5A1C5055"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Váladék ürülése a sebből a műtét után</w:t>
      </w:r>
    </w:p>
    <w:p w14:paraId="0B42B3D5"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18F9BBE3"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Nem ismert gyakoriságú mellékhatások (a gyakoriság a rendelkezésre álló adatokból nem állapítható meg):</w:t>
      </w:r>
    </w:p>
    <w:p w14:paraId="3FA9AE35"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Nehézlégzés vagy sípoló légzés</w:t>
      </w:r>
    </w:p>
    <w:p w14:paraId="6B8D10AD"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fehérvérsejtek (a fertőzések leküzdésében segítenek) számának csökkenése vagy teljes hiányuk</w:t>
      </w:r>
    </w:p>
    <w:p w14:paraId="1DC5AC7E"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Hajhullás</w:t>
      </w:r>
    </w:p>
    <w:p w14:paraId="43772A20" w14:textId="77777777" w:rsidR="00860BB1" w:rsidRPr="00860BB1" w:rsidRDefault="00860BB1" w:rsidP="00860BB1">
      <w:pPr>
        <w:spacing w:after="0" w:line="240" w:lineRule="auto"/>
        <w:ind w:right="11"/>
        <w:rPr>
          <w:rFonts w:ascii="Times New Roman" w:eastAsia="Times New Roman" w:hAnsi="Times New Roman" w:cs="Times New Roman"/>
          <w:noProof w:val="0"/>
          <w:color w:val="000000"/>
          <w:kern w:val="0"/>
          <w:lang w:val="hu-HU" w:eastAsia="hu-HU"/>
          <w14:ligatures w14:val="none"/>
        </w:rPr>
      </w:pPr>
    </w:p>
    <w:p w14:paraId="4D97EAFC" w14:textId="77777777" w:rsidR="00860BB1" w:rsidRPr="00860BB1" w:rsidRDefault="00860BB1" w:rsidP="00860BB1">
      <w:pPr>
        <w:keepNext/>
        <w:keepLines/>
        <w:spacing w:after="0" w:line="240" w:lineRule="auto"/>
        <w:ind w:left="7" w:hanging="10"/>
        <w:outlineLvl w:val="0"/>
        <w:rPr>
          <w:rFonts w:ascii="Times New Roman" w:eastAsia="Times New Roman" w:hAnsi="Times New Roman" w:cs="Times New Roman"/>
          <w:noProof w:val="0"/>
          <w:color w:val="000000"/>
          <w:kern w:val="0"/>
          <w:u w:val="single" w:color="000000"/>
          <w:lang w:val="hu-HU" w:eastAsia="hu-HU"/>
          <w14:ligatures w14:val="none"/>
        </w:rPr>
      </w:pPr>
      <w:r w:rsidRPr="00860BB1">
        <w:rPr>
          <w:rFonts w:ascii="Times New Roman" w:eastAsia="Times New Roman" w:hAnsi="Times New Roman" w:cs="Times New Roman"/>
          <w:noProof w:val="0"/>
          <w:color w:val="000000"/>
          <w:kern w:val="0"/>
          <w:u w:val="single" w:color="000000"/>
          <w:lang w:val="hu-HU" w:eastAsia="hu-HU"/>
          <w14:ligatures w14:val="none"/>
        </w:rPr>
        <w:t>Az agyi vagy testben lévő erek vérrög miatti elzáródásának megelőzése szívritmuszavar esetén</w:t>
      </w:r>
    </w:p>
    <w:p w14:paraId="581EABD3"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2BB2952C"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Gyakori mellékhatások (10 betegből legfeljebb 1-et érinthet):</w:t>
      </w:r>
    </w:p>
    <w:p w14:paraId="7D117273"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lastRenderedPageBreak/>
        <w:t>A vérzés történhet az orrból, a gyomorba vagy a belekbe, a hímvesszőből/hüvelyből vagy a húgyutakból (beleértve a vizeletben lévő vért is, ami a vizeletet rózsaszínűre vagy pirosra színezi), vagy a bőr alá</w:t>
      </w:r>
    </w:p>
    <w:p w14:paraId="2160B232"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vörösvértestek számának csökkenése a vérben (vérszegénység)</w:t>
      </w:r>
    </w:p>
    <w:p w14:paraId="15A0EAEE"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Hasi- és gyomortáji fájdalom</w:t>
      </w:r>
    </w:p>
    <w:p w14:paraId="596159DE"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Emésztési zavar</w:t>
      </w:r>
    </w:p>
    <w:p w14:paraId="06C17657"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Gyakori, híg vagy folyékony széklet</w:t>
      </w:r>
    </w:p>
    <w:p w14:paraId="46E58F2B"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Hányinger</w:t>
      </w:r>
    </w:p>
    <w:p w14:paraId="6FB23ADC"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23890CC0"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Nem gyakori mellékhatások (100 betegből legfeljebb 1-et érinthet):</w:t>
      </w:r>
    </w:p>
    <w:p w14:paraId="5BBADAEB"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Vérzés</w:t>
      </w:r>
    </w:p>
    <w:p w14:paraId="2A6D59EA"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Vérzés történhet az agyban, az aranyerekből, vagy a végbélből</w:t>
      </w:r>
    </w:p>
    <w:p w14:paraId="401F391B"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Vérömleny kialakulása</w:t>
      </w:r>
    </w:p>
    <w:p w14:paraId="08DE8526"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 felköhögése vagy véres köpet</w:t>
      </w:r>
    </w:p>
    <w:p w14:paraId="5BA6A917"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Vérlemezkeszám-csökkenés a vérben</w:t>
      </w:r>
    </w:p>
    <w:p w14:paraId="23B1D097"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hemoglobin (a vörösvértestekben lévő anyag) szintjének csökkenése a vérben</w:t>
      </w:r>
    </w:p>
    <w:p w14:paraId="779C06A5"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Allergiás reakció</w:t>
      </w:r>
    </w:p>
    <w:p w14:paraId="37B7E752"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bőr színében és megjelenésében hirtelen kialakuló változás</w:t>
      </w:r>
    </w:p>
    <w:p w14:paraId="2532068A"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Viszketés</w:t>
      </w:r>
    </w:p>
    <w:p w14:paraId="0B319622"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Fekély a gyomorban vagy a bélben (beleértve a nyelőcsőfekélyt is)</w:t>
      </w:r>
    </w:p>
    <w:p w14:paraId="08593A19"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nyelőcső és a gyomornyálkahártya gyulladása</w:t>
      </w:r>
    </w:p>
    <w:p w14:paraId="621676D8"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gyomornedv nyelőcsőbe történő visszafolyása (reflux betegség)</w:t>
      </w:r>
    </w:p>
    <w:p w14:paraId="12DA2B4A"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Hányás</w:t>
      </w:r>
    </w:p>
    <w:p w14:paraId="56BB8229"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Nyelési nehézség</w:t>
      </w:r>
    </w:p>
    <w:p w14:paraId="727D3549"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Laboratóriumi vizsgálattal kimutatható kóros májfunkciós értékek</w:t>
      </w:r>
    </w:p>
    <w:p w14:paraId="48721BEB"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5CA5DD83"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Ritka mellékhatások (1000 betegből legfeljebb 1-et érinthet):</w:t>
      </w:r>
    </w:p>
    <w:p w14:paraId="622FCDF1"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vérzés történhet az ízületbe, műtétet követően sebészeti bemetszésből, sérülés miatt, az injekció beszúrásának helyén vagy a kanül vénába történő bevezetésének helyén</w:t>
      </w:r>
    </w:p>
    <w:p w14:paraId="5EFC9135"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Súlyos allergiás reakció, amely légzési nehézséget vagy szédülést okoz</w:t>
      </w:r>
    </w:p>
    <w:p w14:paraId="1A5B855C"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Súlyos allergiás reakció, amely az arc vagy a torok duzzanatát okozza</w:t>
      </w:r>
    </w:p>
    <w:p w14:paraId="4417CB80"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Bőrkiütés, nevezetesen: allergiás reakció okozta sötétvörös, a bőrfelszínből kiemelkedő, viszkető egyenetlenségek</w:t>
      </w:r>
    </w:p>
    <w:p w14:paraId="5FE6C65D"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vérsejtek arányának csökkenése</w:t>
      </w:r>
    </w:p>
    <w:p w14:paraId="3354C7F6"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Májenzimszint-emelkedés</w:t>
      </w:r>
    </w:p>
    <w:p w14:paraId="5687EA9A"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bőr vagy a szemfehérje sárgás elszíneződése, melyet májprobléma vagy a vérösszetétel megváltozása okoz</w:t>
      </w:r>
    </w:p>
    <w:p w14:paraId="374005AA" w14:textId="77777777" w:rsidR="00860BB1" w:rsidRPr="00860BB1" w:rsidRDefault="00860BB1" w:rsidP="00860BB1">
      <w:pPr>
        <w:spacing w:after="0" w:line="240" w:lineRule="auto"/>
        <w:ind w:right="11"/>
        <w:rPr>
          <w:rFonts w:ascii="Times New Roman" w:eastAsia="Times New Roman" w:hAnsi="Times New Roman" w:cs="Times New Roman"/>
          <w:noProof w:val="0"/>
          <w:color w:val="000000"/>
          <w:kern w:val="0"/>
          <w:lang w:val="hu-HU" w:eastAsia="hu-HU"/>
          <w14:ligatures w14:val="none"/>
        </w:rPr>
      </w:pPr>
    </w:p>
    <w:p w14:paraId="2E261DEE" w14:textId="77777777" w:rsidR="00860BB1" w:rsidRPr="00860BB1" w:rsidRDefault="00860BB1" w:rsidP="00860BB1">
      <w:pPr>
        <w:spacing w:after="0" w:line="240" w:lineRule="auto"/>
        <w:ind w:right="11"/>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Nem ismert gyakoriságú mellékhatások (a gyakoriság a rendelkezésre álló adatokból nem állapítható meg):</w:t>
      </w:r>
    </w:p>
    <w:p w14:paraId="0756FEC5"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Nehézlégzés vagy sípoló légzés</w:t>
      </w:r>
    </w:p>
    <w:p w14:paraId="2F786DBC"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fehérvérsejtek (a fertőzések leküzdésében segítenek) számának csökkenése vagy teljes hiányuk</w:t>
      </w:r>
    </w:p>
    <w:p w14:paraId="3A16988B"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Hajhullás</w:t>
      </w:r>
    </w:p>
    <w:p w14:paraId="6C7ED631" w14:textId="77777777" w:rsidR="00DB199B" w:rsidRDefault="00DB199B"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0FE6DEC5" w14:textId="25EC121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Egy klinikai vizsgálatban a szívrohamok aránya dabigatrán</w:t>
      </w:r>
      <w:r w:rsidRPr="00860BB1">
        <w:rPr>
          <w:rFonts w:ascii="Times New Roman" w:eastAsia="Times New Roman" w:hAnsi="Times New Roman" w:cs="Times New Roman"/>
          <w:noProof w:val="0"/>
          <w:color w:val="000000"/>
          <w:kern w:val="0"/>
          <w:lang w:val="hu-HU" w:eastAsia="hu-HU"/>
          <w14:ligatures w14:val="none"/>
        </w:rPr>
        <w:noBreakHyphen/>
        <w:t>etexilát</w:t>
      </w:r>
      <w:r w:rsidRPr="00860BB1" w:rsidDel="003862F2">
        <w:rPr>
          <w:rFonts w:ascii="Times New Roman" w:eastAsia="Times New Roman" w:hAnsi="Times New Roman" w:cs="Times New Roman"/>
          <w:noProof w:val="0"/>
          <w:color w:val="000000"/>
          <w:kern w:val="0"/>
          <w:lang w:val="hu-HU" w:eastAsia="hu-HU"/>
          <w14:ligatures w14:val="none"/>
        </w:rPr>
        <w:t xml:space="preserve"> </w:t>
      </w:r>
      <w:r w:rsidRPr="00860BB1">
        <w:rPr>
          <w:rFonts w:ascii="Times New Roman" w:eastAsia="Times New Roman" w:hAnsi="Times New Roman" w:cs="Times New Roman"/>
          <w:noProof w:val="0"/>
          <w:color w:val="000000"/>
          <w:kern w:val="0"/>
          <w:lang w:val="hu-HU" w:eastAsia="hu-HU"/>
          <w14:ligatures w14:val="none"/>
        </w:rPr>
        <w:t>mellett számszerűen nagyobb volt, mint a warfarin esetében. Az összes előfordulás alacsony volt.</w:t>
      </w:r>
    </w:p>
    <w:p w14:paraId="26FCEFFA"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508F1D71" w14:textId="77777777" w:rsidR="00860BB1" w:rsidRPr="00860BB1" w:rsidRDefault="00860BB1" w:rsidP="00860BB1">
      <w:pPr>
        <w:keepNext/>
        <w:keepLines/>
        <w:spacing w:after="0" w:line="240" w:lineRule="auto"/>
        <w:ind w:left="7" w:hanging="10"/>
        <w:outlineLvl w:val="0"/>
        <w:rPr>
          <w:rFonts w:ascii="Times New Roman" w:eastAsia="Times New Roman" w:hAnsi="Times New Roman" w:cs="Times New Roman"/>
          <w:noProof w:val="0"/>
          <w:color w:val="000000"/>
          <w:kern w:val="0"/>
          <w:u w:val="single" w:color="000000"/>
          <w:lang w:val="hu-HU" w:eastAsia="hu-HU"/>
          <w14:ligatures w14:val="none"/>
        </w:rPr>
      </w:pPr>
      <w:r w:rsidRPr="00860BB1">
        <w:rPr>
          <w:rFonts w:ascii="Times New Roman" w:eastAsia="Times New Roman" w:hAnsi="Times New Roman" w:cs="Times New Roman"/>
          <w:noProof w:val="0"/>
          <w:color w:val="000000"/>
          <w:kern w:val="0"/>
          <w:u w:val="single" w:color="000000"/>
          <w:lang w:val="hu-HU" w:eastAsia="hu-HU"/>
          <w14:ligatures w14:val="none"/>
        </w:rPr>
        <w:t>A lábak és a tüdő vénáiban kialakult vérrögök kezelése és az ilyen vérrögök ismételt kialakulásának</w:t>
      </w:r>
      <w:r w:rsidRPr="00860BB1">
        <w:rPr>
          <w:rFonts w:ascii="Times New Roman" w:eastAsia="Times New Roman" w:hAnsi="Times New Roman" w:cs="Times New Roman"/>
          <w:noProof w:val="0"/>
          <w:color w:val="000000"/>
          <w:kern w:val="0"/>
          <w:u w:color="000000"/>
          <w:lang w:val="hu-HU" w:eastAsia="hu-HU"/>
          <w14:ligatures w14:val="none"/>
        </w:rPr>
        <w:t xml:space="preserve"> </w:t>
      </w:r>
      <w:r w:rsidRPr="00860BB1">
        <w:rPr>
          <w:rFonts w:ascii="Times New Roman" w:eastAsia="Times New Roman" w:hAnsi="Times New Roman" w:cs="Times New Roman"/>
          <w:noProof w:val="0"/>
          <w:color w:val="000000"/>
          <w:kern w:val="0"/>
          <w:u w:val="single" w:color="000000"/>
          <w:lang w:val="hu-HU" w:eastAsia="hu-HU"/>
          <w14:ligatures w14:val="none"/>
        </w:rPr>
        <w:t>megelőzése</w:t>
      </w:r>
    </w:p>
    <w:p w14:paraId="1D6946CE"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6ACDFCA3"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Gyakori mellékhatások (10 betegből legfeljebb 1-et érinthet):</w:t>
      </w:r>
    </w:p>
    <w:p w14:paraId="7B61F511"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Jelentkezhet vérzés az orrból, a gyomorba vagy a belekbe, a végbélből, a hímvesszőből/hüvelyből vagy a húgyutakból (a vizeletet rózsaszínűre vagy vörösre színező vérzést is beleértve), vagy a bőr alatt</w:t>
      </w:r>
    </w:p>
    <w:p w14:paraId="7803971E"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Emésztési zavar</w:t>
      </w:r>
    </w:p>
    <w:p w14:paraId="3CC9432C"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1022D0C5"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lastRenderedPageBreak/>
        <w:t>Nem gyakori mellékhatások (100 betegből legfeljebb 1-et érinthet):</w:t>
      </w:r>
    </w:p>
    <w:p w14:paraId="22AFCA9E"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Vérzés</w:t>
      </w:r>
    </w:p>
    <w:p w14:paraId="4CFCD9F4"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 xml:space="preserve">Vérzés egy ízületbe vagy egy sérülésből </w:t>
      </w:r>
    </w:p>
    <w:p w14:paraId="1B423538"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Vérzés aranyerekből</w:t>
      </w:r>
    </w:p>
    <w:p w14:paraId="56005512"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vörösvértestek számának csökkenése a vérben (vérszegénység)</w:t>
      </w:r>
    </w:p>
    <w:p w14:paraId="65CC886D"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Vérömleny kialakulása</w:t>
      </w:r>
    </w:p>
    <w:p w14:paraId="729AA539"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 felköhögése vagy véres köpet</w:t>
      </w:r>
    </w:p>
    <w:p w14:paraId="31C15D91"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Allergiás reakció</w:t>
      </w:r>
    </w:p>
    <w:p w14:paraId="622F3FD7"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bőr színében és megjelenésében hirtelen kialakuló változás</w:t>
      </w:r>
    </w:p>
    <w:p w14:paraId="49B115D6"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Viszketés</w:t>
      </w:r>
    </w:p>
    <w:p w14:paraId="299FA0D0"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Fekély a gyomorban vagy a bélben (beleértve a nyelőcsőfekélyt is)</w:t>
      </w:r>
    </w:p>
    <w:p w14:paraId="6BE91EE1"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nyelőcső és a gyomornyálkahártya gyulladása</w:t>
      </w:r>
    </w:p>
    <w:p w14:paraId="69529D57"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gyomornedv nyelőcsőbe történő visszafolyása (reflux betegség)</w:t>
      </w:r>
    </w:p>
    <w:p w14:paraId="216AF956"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Hányinger</w:t>
      </w:r>
    </w:p>
    <w:p w14:paraId="1FEC0CD8"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Hányás</w:t>
      </w:r>
    </w:p>
    <w:p w14:paraId="3DB58193"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Hasi- és gyomortáji fájdalom</w:t>
      </w:r>
    </w:p>
    <w:p w14:paraId="7738CCB3"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Gyakori, híg vagy folyékony széklet</w:t>
      </w:r>
    </w:p>
    <w:p w14:paraId="5911E93C"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Laboratóriumi vizsgálattal kimutatható kóros májfunkciós értékek</w:t>
      </w:r>
    </w:p>
    <w:p w14:paraId="1F2D8687"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Májenzimszint-emelkedés</w:t>
      </w:r>
    </w:p>
    <w:p w14:paraId="308EB9D1"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6E7B596B"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Ritka mellékhatások (1000 betegből legfeljebb 1-et érinthet):</w:t>
      </w:r>
    </w:p>
    <w:p w14:paraId="0D225D8D"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 xml:space="preserve">Vérzés jelentkezhet a sebészi bemetszés helyén, az injekció beadásának helyén, a katéter vénába történő bevezetésének helyén, vagy az agyban  </w:t>
      </w:r>
    </w:p>
    <w:p w14:paraId="7A6BB17A"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Vérlemezkeszám-csökkenés a vérben</w:t>
      </w:r>
    </w:p>
    <w:p w14:paraId="10848B8F"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Súlyos allergiás reakció, amely légzési nehézséget vagy szédülést okoz</w:t>
      </w:r>
    </w:p>
    <w:p w14:paraId="47EAB8B4"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Súlyos allergiás reakció, amely az arc vagy a torok duzzanatát okozza</w:t>
      </w:r>
    </w:p>
    <w:p w14:paraId="12BC9D5F"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Bőrkiütés, nevezetesen: allergiás reakció okozta sötétvörös, a bőrfelszínből kiemelkedő, viszkető egyenetlenségek</w:t>
      </w:r>
    </w:p>
    <w:p w14:paraId="68EE0007"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Nyelési nehézség</w:t>
      </w:r>
    </w:p>
    <w:p w14:paraId="0D84076E"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1D1DB63E"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Nem ismert gyakoriságú mellékhatások (a gyakoriság a rendelkezésre álló adatokból nem állapítható meg):</w:t>
      </w:r>
    </w:p>
    <w:p w14:paraId="17E5339B"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Nehézlégzés vagy sípoló légzés</w:t>
      </w:r>
    </w:p>
    <w:p w14:paraId="4EF974EF"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hemoglobin (a vörösvértestekben lévő anyag) szintjének csökkenése a vérben</w:t>
      </w:r>
    </w:p>
    <w:p w14:paraId="5307D46F"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vérsejtek arányának csökkenése</w:t>
      </w:r>
    </w:p>
    <w:p w14:paraId="6E6D7778"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fehérvérsejtek (melyek a fertőzések leküzdésében segítenek) számának csökkenése vagy teljes hiánya</w:t>
      </w:r>
    </w:p>
    <w:p w14:paraId="788D2BEE"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bőr vagy a szemfehérje sárgás elszíneződése, melyet májprobléma vagy a vérösszetétel megváltozása okoz</w:t>
      </w:r>
    </w:p>
    <w:p w14:paraId="5ADB34AF"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Hajhullás</w:t>
      </w:r>
    </w:p>
    <w:p w14:paraId="2680F4B8"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3C38F3D6"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Egy klinikai vizsgálatban a szívrohamok aránya dabigatrán</w:t>
      </w:r>
      <w:r w:rsidRPr="00860BB1">
        <w:rPr>
          <w:rFonts w:ascii="Times New Roman" w:eastAsia="Times New Roman" w:hAnsi="Times New Roman" w:cs="Times New Roman"/>
          <w:noProof w:val="0"/>
          <w:color w:val="000000"/>
          <w:kern w:val="0"/>
          <w:lang w:val="hu-HU" w:eastAsia="hu-HU"/>
          <w14:ligatures w14:val="none"/>
        </w:rPr>
        <w:noBreakHyphen/>
        <w:t>etexilát mellett számszerűen nagyobb volt, mint a warfarin esetében. Az összes előfordulás alacsony volt. Nem volt eltérés a szívrohamok arányában a dabigatrán</w:t>
      </w:r>
      <w:r w:rsidRPr="00860BB1">
        <w:rPr>
          <w:rFonts w:ascii="Times New Roman" w:eastAsia="Times New Roman" w:hAnsi="Times New Roman" w:cs="Times New Roman"/>
          <w:noProof w:val="0"/>
          <w:color w:val="000000"/>
          <w:kern w:val="0"/>
          <w:lang w:val="hu-HU" w:eastAsia="hu-HU"/>
          <w14:ligatures w14:val="none"/>
        </w:rPr>
        <w:noBreakHyphen/>
        <w:t>etexilátot kapó betegcsoportban a placebocsoporthoz képest.</w:t>
      </w:r>
    </w:p>
    <w:p w14:paraId="6FEF2D09"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459F995F" w14:textId="77777777" w:rsidR="00860BB1" w:rsidRPr="00860BB1" w:rsidRDefault="00860BB1" w:rsidP="00860BB1">
      <w:pPr>
        <w:keepNext/>
        <w:keepLines/>
        <w:spacing w:after="0" w:line="240" w:lineRule="auto"/>
        <w:ind w:left="7" w:hanging="10"/>
        <w:outlineLvl w:val="0"/>
        <w:rPr>
          <w:rFonts w:ascii="Times New Roman" w:eastAsia="Times New Roman" w:hAnsi="Times New Roman" w:cs="Times New Roman"/>
          <w:noProof w:val="0"/>
          <w:color w:val="000000"/>
          <w:kern w:val="0"/>
          <w:u w:val="single" w:color="000000"/>
          <w:lang w:val="hu-HU" w:eastAsia="hu-HU"/>
          <w14:ligatures w14:val="none"/>
        </w:rPr>
      </w:pPr>
      <w:r w:rsidRPr="00860BB1">
        <w:rPr>
          <w:rFonts w:ascii="Times New Roman" w:eastAsia="Times New Roman" w:hAnsi="Times New Roman" w:cs="Times New Roman"/>
          <w:noProof w:val="0"/>
          <w:color w:val="000000"/>
          <w:kern w:val="0"/>
          <w:u w:val="single" w:color="000000"/>
          <w:lang w:val="hu-HU" w:eastAsia="hu-HU"/>
          <w14:ligatures w14:val="none"/>
        </w:rPr>
        <w:t>Vérrögök kezelése és a vérrögök újbóli kialakulásának megelőzése gyermekeknél és serdülőknél</w:t>
      </w:r>
    </w:p>
    <w:p w14:paraId="16CBA8F5" w14:textId="77777777" w:rsidR="00860BB1" w:rsidRPr="00860BB1" w:rsidRDefault="00860BB1" w:rsidP="00860BB1">
      <w:pPr>
        <w:spacing w:after="15" w:line="248" w:lineRule="auto"/>
        <w:ind w:left="22" w:hanging="10"/>
        <w:rPr>
          <w:rFonts w:ascii="Times New Roman" w:eastAsia="Times New Roman" w:hAnsi="Times New Roman" w:cs="Times New Roman"/>
          <w:noProof w:val="0"/>
          <w:color w:val="000000"/>
          <w:kern w:val="0"/>
          <w:lang w:val="hu-HU" w:eastAsia="hu-HU"/>
          <w14:ligatures w14:val="none"/>
        </w:rPr>
      </w:pPr>
    </w:p>
    <w:p w14:paraId="1E1D7182"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Gyakori mellékhatások (10 betegből legfeljebb 1-et érinthet):</w:t>
      </w:r>
    </w:p>
    <w:p w14:paraId="6A984C09"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vörösvértestek számának csökkenése a vérben (vérszegénység)</w:t>
      </w:r>
    </w:p>
    <w:p w14:paraId="6FA9DDDE"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Vérlemezkeszám-csökkenés a vérben</w:t>
      </w:r>
    </w:p>
    <w:p w14:paraId="62B17D5D"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Bőrkiütés, nevezetesen: allergiás reakció okozta sötétvörös, a bőrfelszínből kiemelkedő, viszkető egyenetlenségek</w:t>
      </w:r>
    </w:p>
    <w:p w14:paraId="4E235265"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bőr színében és megjelenésében hirtelen kialakuló változás</w:t>
      </w:r>
    </w:p>
    <w:p w14:paraId="3C1CBEF7"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Vérömleny kialakulása</w:t>
      </w:r>
    </w:p>
    <w:p w14:paraId="35D6CE24"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Orrvérzés</w:t>
      </w:r>
    </w:p>
    <w:p w14:paraId="0CAF0EB4"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gyomornedv nyelőcsőbe történő visszafolyása (reflux betegség)</w:t>
      </w:r>
    </w:p>
    <w:p w14:paraId="32D3B7C7"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Hányás</w:t>
      </w:r>
    </w:p>
    <w:p w14:paraId="7F3E2375"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lastRenderedPageBreak/>
        <w:t>Hányinger</w:t>
      </w:r>
    </w:p>
    <w:p w14:paraId="0DE33B5D"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Gyakori, híg vagy folyékony széklet</w:t>
      </w:r>
    </w:p>
    <w:p w14:paraId="61691C00"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Emésztési zavar</w:t>
      </w:r>
    </w:p>
    <w:p w14:paraId="18641534"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Hajhullás</w:t>
      </w:r>
    </w:p>
    <w:p w14:paraId="528E2044"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Májenzimszint-emelkedés</w:t>
      </w:r>
    </w:p>
    <w:p w14:paraId="3178A945"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7D028A5D"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Nem gyakori mellékhatások (100 betegből legfeljebb 1-et érinthet):</w:t>
      </w:r>
    </w:p>
    <w:p w14:paraId="65830ADE"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fehérvérsejtek (a fertőzések leküzdésében segítenek) számának csökkenése</w:t>
      </w:r>
    </w:p>
    <w:p w14:paraId="6F44D4DE"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Jelentkezhet vérzés a gyomorba vagy a belekbe, az agyból, a végbélből, a hímvesszőből/hüvelyből vagy a húgyutakból (a vizeletet rózsaszínűre vagy vörösre színező vérzést is beleértve), vagy a bőr alatt</w:t>
      </w:r>
    </w:p>
    <w:p w14:paraId="3EA729E8"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hemoglobin (a vörösvértestekben lévő anyag) szintjének csökkenése a vérben</w:t>
      </w:r>
    </w:p>
    <w:p w14:paraId="2DFF7A6E"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vérsejtek arányának csökkenése</w:t>
      </w:r>
    </w:p>
    <w:p w14:paraId="3D089CF0"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Viszketés</w:t>
      </w:r>
    </w:p>
    <w:p w14:paraId="0E7967E6"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 felköhögése vagy véres köpet</w:t>
      </w:r>
    </w:p>
    <w:p w14:paraId="6293ABAF"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Hasi- és gyomortáji fájdalom</w:t>
      </w:r>
    </w:p>
    <w:p w14:paraId="562E3D34"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nyelőcső és a gyomornyálkahártya gyulladása</w:t>
      </w:r>
    </w:p>
    <w:p w14:paraId="46EECB8E"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Allergiás reakció</w:t>
      </w:r>
    </w:p>
    <w:p w14:paraId="5203F45B"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Nyelési nehézség</w:t>
      </w:r>
    </w:p>
    <w:p w14:paraId="7CC224DE"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bőr vagy a szemfehérje sárgás elszíneződése, melyet májprobléma vagy a vérösszetétel megváltozása okoz</w:t>
      </w:r>
    </w:p>
    <w:p w14:paraId="3F0D425F"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7AB81BBD"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Nem ismert gyakoriságú mellékhatások (a gyakoriság a rendelkezésre álló adatokból nem állapítható meg):</w:t>
      </w:r>
    </w:p>
    <w:p w14:paraId="040D0AB7"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fehérvérsejtek (a fertőzések leküzdésében segítenek) hiánya</w:t>
      </w:r>
    </w:p>
    <w:p w14:paraId="0360B513"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Súlyos allergiás reakció, amely légzési nehézséget vagy szédülést okoz</w:t>
      </w:r>
    </w:p>
    <w:p w14:paraId="300F3BEC"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Súlyos allergiás reakció, amely az arc vagy a torok duzzanatát okozza</w:t>
      </w:r>
    </w:p>
    <w:p w14:paraId="537A920B"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Nehézlégzés vagy sípoló légzés</w:t>
      </w:r>
    </w:p>
    <w:p w14:paraId="20418A83"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Vérzés</w:t>
      </w:r>
    </w:p>
    <w:p w14:paraId="0D6B8741"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Vérzés történhet sérülés miatt az ízületbe, műtétet követően sebészeti bemetszésből, az injekció beszúrásának helyén vagy a kanül vénába történő bevezetésének helyén</w:t>
      </w:r>
    </w:p>
    <w:p w14:paraId="71307CE9"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Vérzés az aranyerekből</w:t>
      </w:r>
    </w:p>
    <w:p w14:paraId="6C34EE9A"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Fekély a gyomorban vagy a bélben (beleértve a nyelőcsőfekélyt is)</w:t>
      </w:r>
    </w:p>
    <w:p w14:paraId="45B282CE"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Laboratóriumi vizsgálattal kimutatható kóros májfunkciós értékek</w:t>
      </w:r>
    </w:p>
    <w:p w14:paraId="6C50F239" w14:textId="77777777" w:rsidR="00860BB1" w:rsidRPr="00860BB1" w:rsidRDefault="00860BB1" w:rsidP="00860BB1">
      <w:pPr>
        <w:spacing w:after="0" w:line="240" w:lineRule="auto"/>
        <w:ind w:left="7" w:hanging="10"/>
        <w:rPr>
          <w:rFonts w:ascii="Times New Roman" w:eastAsia="Times New Roman" w:hAnsi="Times New Roman" w:cs="Times New Roman"/>
          <w:bCs/>
          <w:noProof w:val="0"/>
          <w:color w:val="000000"/>
          <w:kern w:val="0"/>
          <w:lang w:val="hu-HU" w:eastAsia="hu-HU"/>
          <w14:ligatures w14:val="none"/>
        </w:rPr>
      </w:pPr>
    </w:p>
    <w:p w14:paraId="7869694B"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A mellékhatások jelentése</w:t>
      </w:r>
    </w:p>
    <w:p w14:paraId="7EF9545C" w14:textId="77777777" w:rsidR="00860BB1" w:rsidRPr="00194AAF"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194AAF">
        <w:rPr>
          <w:rFonts w:ascii="Times New Roman" w:eastAsia="Times New Roman" w:hAnsi="Times New Roman" w:cs="Times New Roman"/>
          <w:noProof w:val="0"/>
          <w:color w:val="000000"/>
          <w:kern w:val="0"/>
          <w:lang w:val="hu-HU" w:eastAsia="hu-HU"/>
          <w14:ligatures w14:val="none"/>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7">
        <w:r w:rsidRPr="00194AAF">
          <w:rPr>
            <w:rFonts w:ascii="Times New Roman" w:eastAsia="Times New Roman" w:hAnsi="Times New Roman" w:cs="Times New Roman"/>
            <w:noProof w:val="0"/>
            <w:color w:val="0000FF"/>
            <w:kern w:val="0"/>
            <w:highlight w:val="lightGray"/>
            <w:u w:val="single" w:color="0000FE"/>
            <w:lang w:val="hu-HU" w:eastAsia="hu-HU"/>
            <w14:ligatures w14:val="none"/>
          </w:rPr>
          <w:t>V.</w:t>
        </w:r>
      </w:hyperlink>
      <w:r w:rsidRPr="00194AAF">
        <w:rPr>
          <w:rFonts w:ascii="Times New Roman" w:eastAsia="Times New Roman" w:hAnsi="Times New Roman" w:cs="Times New Roman"/>
          <w:noProof w:val="0"/>
          <w:color w:val="0000FF"/>
          <w:kern w:val="0"/>
          <w:highlight w:val="lightGray"/>
          <w:u w:val="single" w:color="0000FE"/>
          <w:lang w:val="hu-HU" w:eastAsia="hu-HU"/>
          <w14:ligatures w14:val="none"/>
        </w:rPr>
        <w:t xml:space="preserve"> </w:t>
      </w:r>
      <w:hyperlink r:id="rId8">
        <w:r w:rsidRPr="00194AAF">
          <w:rPr>
            <w:rFonts w:ascii="Times New Roman" w:eastAsia="Times New Roman" w:hAnsi="Times New Roman" w:cs="Times New Roman"/>
            <w:noProof w:val="0"/>
            <w:color w:val="0000FF"/>
            <w:kern w:val="0"/>
            <w:highlight w:val="lightGray"/>
            <w:u w:val="single" w:color="0000FE"/>
            <w:lang w:val="hu-HU" w:eastAsia="hu-HU"/>
            <w14:ligatures w14:val="none"/>
          </w:rPr>
          <w:t>függelékben</w:t>
        </w:r>
      </w:hyperlink>
      <w:r w:rsidRPr="00194AAF">
        <w:rPr>
          <w:rFonts w:ascii="Times New Roman" w:eastAsia="Times New Roman" w:hAnsi="Times New Roman" w:cs="Times New Roman"/>
          <w:noProof w:val="0"/>
          <w:color w:val="0000FF"/>
          <w:kern w:val="0"/>
          <w:highlight w:val="lightGray"/>
          <w:u w:val="single" w:color="0000FE"/>
          <w:lang w:val="hu-HU" w:eastAsia="hu-HU"/>
          <w14:ligatures w14:val="none"/>
        </w:rPr>
        <w:t xml:space="preserve"> </w:t>
      </w:r>
      <w:r w:rsidRPr="00194AAF">
        <w:rPr>
          <w:rFonts w:ascii="Times New Roman" w:eastAsia="Times New Roman" w:hAnsi="Times New Roman" w:cs="Times New Roman"/>
          <w:noProof w:val="0"/>
          <w:color w:val="000000"/>
          <w:kern w:val="0"/>
          <w:highlight w:val="lightGray"/>
          <w:lang w:val="hu-HU" w:eastAsia="hu-HU"/>
          <w14:ligatures w14:val="none"/>
        </w:rPr>
        <w:t>található</w:t>
      </w:r>
      <w:r w:rsidRPr="00260C00">
        <w:rPr>
          <w:rFonts w:ascii="Times New Roman" w:eastAsia="Times New Roman" w:hAnsi="Times New Roman" w:cs="Times New Roman"/>
          <w:noProof w:val="0"/>
          <w:color w:val="000000"/>
          <w:kern w:val="0"/>
          <w:highlight w:val="lightGray"/>
          <w:lang w:val="hu-HU" w:eastAsia="hu-HU"/>
          <w14:ligatures w14:val="none"/>
        </w:rPr>
        <w:t xml:space="preserve"> elérhetőségeken keresztül</w:t>
      </w:r>
      <w:r w:rsidRPr="00194AAF">
        <w:rPr>
          <w:rFonts w:ascii="Times New Roman" w:eastAsia="Times New Roman" w:hAnsi="Times New Roman" w:cs="Times New Roman"/>
          <w:noProof w:val="0"/>
          <w:color w:val="000000"/>
          <w:kern w:val="0"/>
          <w:lang w:val="hu-HU" w:eastAsia="hu-HU"/>
          <w14:ligatures w14:val="none"/>
        </w:rPr>
        <w:t xml:space="preserve">. </w:t>
      </w:r>
    </w:p>
    <w:p w14:paraId="3E263FD6" w14:textId="77777777" w:rsidR="00860BB1" w:rsidRPr="00194AAF"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194AAF">
        <w:rPr>
          <w:rFonts w:ascii="Times New Roman" w:eastAsia="Times New Roman" w:hAnsi="Times New Roman" w:cs="Times New Roman"/>
          <w:noProof w:val="0"/>
          <w:color w:val="000000"/>
          <w:kern w:val="0"/>
          <w:lang w:val="hu-HU" w:eastAsia="hu-HU"/>
          <w14:ligatures w14:val="none"/>
        </w:rPr>
        <w:t>A mellékhatások bejelentésével Ön is hozzájárulhat ahhoz, hogy minél több információ álljon rendelkezésre a gyógyszer biztonságos alkalmazásával kapcsolatban.</w:t>
      </w:r>
    </w:p>
    <w:p w14:paraId="5C6BDCAB"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30FD637D"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03DE8450" w14:textId="77777777" w:rsidR="00860BB1" w:rsidRPr="00860BB1" w:rsidRDefault="00860BB1" w:rsidP="00860BB1">
      <w:pPr>
        <w:tabs>
          <w:tab w:val="center" w:pos="2077"/>
        </w:tabs>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5.</w:t>
      </w:r>
      <w:r w:rsidRPr="00860BB1">
        <w:rPr>
          <w:rFonts w:ascii="Times New Roman" w:eastAsia="Times New Roman" w:hAnsi="Times New Roman" w:cs="Times New Roman"/>
          <w:b/>
          <w:noProof w:val="0"/>
          <w:color w:val="000000"/>
          <w:kern w:val="0"/>
          <w:lang w:val="hu-HU" w:eastAsia="hu-HU"/>
          <w14:ligatures w14:val="none"/>
        </w:rPr>
        <w:tab/>
        <w:t>Hogyan kell a Telexert tárolni?</w:t>
      </w:r>
    </w:p>
    <w:p w14:paraId="0A8692A2"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67B412B6"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gyógyszer gyermekektől elzárva tartandó!</w:t>
      </w:r>
    </w:p>
    <w:p w14:paraId="023EC35C"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3CD961D6"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Ez a gyógyszer nem igényel különleges tárolási hőmérsékletet. A nedvességtől való védelem érdekében az eredeti csomagolásban tárolandó.</w:t>
      </w:r>
    </w:p>
    <w:p w14:paraId="7A8B182C"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452B4120"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bookmarkStart w:id="1" w:name="_Hlk69306423"/>
      <w:r w:rsidRPr="00860BB1">
        <w:rPr>
          <w:rFonts w:ascii="Times New Roman" w:eastAsia="Times New Roman" w:hAnsi="Times New Roman" w:cs="Times New Roman"/>
          <w:noProof w:val="0"/>
          <w:color w:val="000000"/>
          <w:kern w:val="0"/>
          <w:lang w:val="hu-HU" w:eastAsia="hu-HU"/>
          <w14:ligatures w14:val="none"/>
        </w:rPr>
        <w:t>A dobozon feltüntetett lejárati idő (EXP:) után ne alkalmazza ezt a gyógyszert. A lejárati idő az adott hónap utolsó napjára vonatkozik.</w:t>
      </w:r>
    </w:p>
    <w:p w14:paraId="276E4D41"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bookmarkEnd w:id="1"/>
    <w:p w14:paraId="4D968E47"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Semmilyen gyógyszert ne dobjon a szennyvízbe vagy a háztartási hulladékba. Kérdezze meg gyógyszerészét, hogy mit tegyen a már nem használt gyógyszereivel. Ezek az intézkedések elősegítik a környezet védelmét.</w:t>
      </w:r>
    </w:p>
    <w:p w14:paraId="23DD2791"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76439D1F"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1AEF97FD" w14:textId="77777777" w:rsidR="00860BB1" w:rsidRPr="00860BB1" w:rsidRDefault="00860BB1" w:rsidP="00860BB1">
      <w:pPr>
        <w:keepNext/>
        <w:tabs>
          <w:tab w:val="center" w:pos="2661"/>
        </w:tabs>
        <w:spacing w:after="0" w:line="240" w:lineRule="auto"/>
        <w:ind w:left="5" w:hanging="11"/>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6.</w:t>
      </w:r>
      <w:r w:rsidRPr="00860BB1">
        <w:rPr>
          <w:rFonts w:ascii="Times New Roman" w:eastAsia="Times New Roman" w:hAnsi="Times New Roman" w:cs="Times New Roman"/>
          <w:b/>
          <w:noProof w:val="0"/>
          <w:color w:val="000000"/>
          <w:kern w:val="0"/>
          <w:lang w:val="hu-HU" w:eastAsia="hu-HU"/>
          <w14:ligatures w14:val="none"/>
        </w:rPr>
        <w:tab/>
        <w:t>A csomagolás tartalma és egyéb információk</w:t>
      </w:r>
    </w:p>
    <w:p w14:paraId="74A683C6" w14:textId="77777777" w:rsidR="00860BB1" w:rsidRPr="00860BB1" w:rsidRDefault="00860BB1" w:rsidP="00860BB1">
      <w:pPr>
        <w:keepNext/>
        <w:tabs>
          <w:tab w:val="left" w:pos="567"/>
        </w:tabs>
        <w:spacing w:after="0" w:line="240" w:lineRule="auto"/>
        <w:ind w:left="5" w:hanging="11"/>
        <w:rPr>
          <w:rFonts w:ascii="Times New Roman" w:eastAsia="Times New Roman" w:hAnsi="Times New Roman" w:cs="Times New Roman"/>
          <w:bCs/>
          <w:noProof w:val="0"/>
          <w:color w:val="000000"/>
          <w:kern w:val="0"/>
          <w:lang w:val="hu-HU" w:eastAsia="hu-HU"/>
          <w14:ligatures w14:val="none"/>
        </w:rPr>
      </w:pPr>
    </w:p>
    <w:p w14:paraId="331A2BFB" w14:textId="77777777" w:rsidR="00860BB1" w:rsidRPr="00860BB1" w:rsidRDefault="00860BB1" w:rsidP="00860BB1">
      <w:pPr>
        <w:keepNext/>
        <w:spacing w:after="0" w:line="240" w:lineRule="auto"/>
        <w:ind w:left="5" w:hanging="11"/>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Mit tartalmaz a Telexer?</w:t>
      </w:r>
    </w:p>
    <w:p w14:paraId="0E160923"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 xml:space="preserve">A </w:t>
      </w:r>
      <w:r w:rsidRPr="00860BB1">
        <w:rPr>
          <w:rFonts w:ascii="Times New Roman" w:eastAsia="Times New Roman" w:hAnsi="Times New Roman" w:cs="Times New Roman"/>
          <w:noProof w:val="0"/>
          <w:kern w:val="0"/>
          <w:lang w:val="hu-HU" w:eastAsia="hu-HU"/>
          <w14:ligatures w14:val="none"/>
        </w:rPr>
        <w:t>kapszula hatóanyaga a dabigatrán. 110 mg dabigatrán</w:t>
      </w:r>
      <w:r w:rsidRPr="00860BB1">
        <w:rPr>
          <w:rFonts w:ascii="Times New Roman" w:eastAsia="Times New Roman" w:hAnsi="Times New Roman" w:cs="Times New Roman"/>
          <w:noProof w:val="0"/>
          <w:kern w:val="0"/>
          <w:lang w:val="hu-HU" w:eastAsia="hu-HU"/>
          <w14:ligatures w14:val="none"/>
        </w:rPr>
        <w:noBreakHyphen/>
        <w:t>etexilát kemény kapszulánként (mezilát formában).</w:t>
      </w:r>
    </w:p>
    <w:p w14:paraId="7E694C18" w14:textId="77777777"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kern w:val="0"/>
          <w:lang w:val="hu-HU" w:eastAsia="hu-HU"/>
          <w14:ligatures w14:val="none"/>
        </w:rPr>
      </w:pPr>
      <w:r w:rsidRPr="00860BB1">
        <w:rPr>
          <w:rFonts w:ascii="Times New Roman" w:eastAsia="Times New Roman" w:hAnsi="Times New Roman" w:cs="Times New Roman"/>
          <w:noProof w:val="0"/>
          <w:kern w:val="0"/>
          <w:lang w:val="hu-HU" w:eastAsia="hu-HU"/>
          <w14:ligatures w14:val="none"/>
        </w:rPr>
        <w:t>Egyéb összetevők: borkősav, hipromellóz, dimetikon 350, talkum és hidroxipropilcellulóz.</w:t>
      </w:r>
    </w:p>
    <w:p w14:paraId="28992064" w14:textId="6764AD75"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kern w:val="0"/>
          <w:lang w:val="hu-HU" w:eastAsia="hu-HU"/>
          <w14:ligatures w14:val="none"/>
        </w:rPr>
      </w:pPr>
      <w:r w:rsidRPr="00860BB1">
        <w:rPr>
          <w:rFonts w:ascii="Times New Roman" w:eastAsia="Times New Roman" w:hAnsi="Times New Roman" w:cs="Times New Roman"/>
          <w:noProof w:val="0"/>
          <w:kern w:val="0"/>
          <w:lang w:val="hu-HU" w:eastAsia="hu-HU"/>
          <w14:ligatures w14:val="none"/>
        </w:rPr>
        <w:t>A kapszulahéj karragént (E</w:t>
      </w:r>
      <w:r w:rsidR="00EB6657">
        <w:rPr>
          <w:rFonts w:ascii="Times New Roman" w:eastAsia="Times New Roman" w:hAnsi="Times New Roman" w:cs="Times New Roman"/>
          <w:noProof w:val="0"/>
          <w:kern w:val="0"/>
          <w:lang w:val="hu-HU" w:eastAsia="hu-HU"/>
          <w14:ligatures w14:val="none"/>
        </w:rPr>
        <w:t> </w:t>
      </w:r>
      <w:r w:rsidRPr="00860BB1">
        <w:rPr>
          <w:rFonts w:ascii="Times New Roman" w:eastAsia="Times New Roman" w:hAnsi="Times New Roman" w:cs="Times New Roman"/>
          <w:noProof w:val="0"/>
          <w:kern w:val="0"/>
          <w:lang w:val="hu-HU" w:eastAsia="hu-HU"/>
          <w14:ligatures w14:val="none"/>
        </w:rPr>
        <w:t>407), kálium-kloridot, titán-dioxidot (E</w:t>
      </w:r>
      <w:r w:rsidR="00EB6657">
        <w:rPr>
          <w:rFonts w:ascii="Times New Roman" w:eastAsia="Times New Roman" w:hAnsi="Times New Roman" w:cs="Times New Roman"/>
          <w:noProof w:val="0"/>
          <w:kern w:val="0"/>
          <w:lang w:val="hu-HU" w:eastAsia="hu-HU"/>
          <w14:ligatures w14:val="none"/>
        </w:rPr>
        <w:t> </w:t>
      </w:r>
      <w:r w:rsidRPr="00860BB1">
        <w:rPr>
          <w:rFonts w:ascii="Times New Roman" w:eastAsia="Times New Roman" w:hAnsi="Times New Roman" w:cs="Times New Roman"/>
          <w:noProof w:val="0"/>
          <w:kern w:val="0"/>
          <w:lang w:val="hu-HU" w:eastAsia="hu-HU"/>
          <w14:ligatures w14:val="none"/>
        </w:rPr>
        <w:t xml:space="preserve">171), </w:t>
      </w:r>
      <w:r w:rsidRPr="00860BB1">
        <w:rPr>
          <w:rFonts w:ascii="Times New Roman" w:eastAsia="Times New Roman" w:hAnsi="Times New Roman" w:cs="Times New Roman"/>
          <w:noProof w:val="0"/>
          <w:kern w:val="0"/>
          <w:lang w:val="hu-HU" w:eastAsia="hu-HU" w:bidi="en-US"/>
          <w14:ligatures w14:val="none"/>
        </w:rPr>
        <w:t>indigókármin (E</w:t>
      </w:r>
      <w:r w:rsidR="00EB6657">
        <w:rPr>
          <w:rFonts w:ascii="Times New Roman" w:eastAsia="Times New Roman" w:hAnsi="Times New Roman" w:cs="Times New Roman"/>
          <w:noProof w:val="0"/>
          <w:kern w:val="0"/>
          <w:lang w:val="hu-HU" w:eastAsia="hu-HU" w:bidi="en-US"/>
          <w14:ligatures w14:val="none"/>
        </w:rPr>
        <w:t> </w:t>
      </w:r>
      <w:r w:rsidRPr="00860BB1">
        <w:rPr>
          <w:rFonts w:ascii="Times New Roman" w:eastAsia="Times New Roman" w:hAnsi="Times New Roman" w:cs="Times New Roman"/>
          <w:noProof w:val="0"/>
          <w:kern w:val="0"/>
          <w:lang w:val="hu-HU" w:eastAsia="hu-HU" w:bidi="en-US"/>
          <w14:ligatures w14:val="none"/>
        </w:rPr>
        <w:t>132)</w:t>
      </w:r>
      <w:r w:rsidRPr="00860BB1">
        <w:rPr>
          <w:rFonts w:ascii="Times New Roman" w:eastAsia="Times New Roman" w:hAnsi="Times New Roman" w:cs="Times New Roman"/>
          <w:noProof w:val="0"/>
          <w:kern w:val="0"/>
          <w:lang w:val="hu-HU" w:eastAsia="hu-HU"/>
          <w14:ligatures w14:val="none"/>
        </w:rPr>
        <w:t xml:space="preserve"> és hipromellózt tartalmaz.</w:t>
      </w:r>
    </w:p>
    <w:p w14:paraId="157C76EB" w14:textId="2BC2C04D" w:rsidR="00860BB1" w:rsidRPr="00860BB1" w:rsidRDefault="00860BB1" w:rsidP="00DD0D96">
      <w:pPr>
        <w:numPr>
          <w:ilvl w:val="0"/>
          <w:numId w:val="2"/>
        </w:numPr>
        <w:spacing w:after="0" w:line="240" w:lineRule="auto"/>
        <w:ind w:right="11" w:hanging="566"/>
        <w:rPr>
          <w:rFonts w:ascii="Times New Roman" w:eastAsia="Times New Roman" w:hAnsi="Times New Roman" w:cs="Times New Roman"/>
          <w:noProof w:val="0"/>
          <w:kern w:val="0"/>
          <w:lang w:val="hu-HU" w:eastAsia="hu-HU"/>
          <w14:ligatures w14:val="none"/>
        </w:rPr>
      </w:pPr>
      <w:r w:rsidRPr="00860BB1">
        <w:rPr>
          <w:rFonts w:ascii="Times New Roman" w:eastAsia="Times New Roman" w:hAnsi="Times New Roman" w:cs="Times New Roman"/>
          <w:noProof w:val="0"/>
          <w:kern w:val="0"/>
          <w:lang w:val="hu-HU" w:eastAsia="hu-HU"/>
          <w14:ligatures w14:val="none"/>
        </w:rPr>
        <w:t>A fekete jelölőfesték sellakot</w:t>
      </w:r>
      <w:r w:rsidRPr="00860BB1">
        <w:rPr>
          <w:rFonts w:ascii="Times New Roman" w:eastAsia="Times New Roman" w:hAnsi="Times New Roman" w:cs="Times New Roman"/>
          <w:noProof w:val="0"/>
          <w:kern w:val="0"/>
          <w:lang w:val="hu-HU" w:eastAsia="hu-HU" w:bidi="en-US"/>
          <w14:ligatures w14:val="none"/>
        </w:rPr>
        <w:t xml:space="preserve"> (E</w:t>
      </w:r>
      <w:r w:rsidR="00EB6657">
        <w:rPr>
          <w:rFonts w:ascii="Times New Roman" w:eastAsia="Times New Roman" w:hAnsi="Times New Roman" w:cs="Times New Roman"/>
          <w:noProof w:val="0"/>
          <w:kern w:val="0"/>
          <w:lang w:val="hu-HU" w:eastAsia="hu-HU" w:bidi="en-US"/>
          <w14:ligatures w14:val="none"/>
        </w:rPr>
        <w:t> </w:t>
      </w:r>
      <w:r w:rsidRPr="00860BB1">
        <w:rPr>
          <w:rFonts w:ascii="Times New Roman" w:eastAsia="Times New Roman" w:hAnsi="Times New Roman" w:cs="Times New Roman"/>
          <w:noProof w:val="0"/>
          <w:kern w:val="0"/>
          <w:lang w:val="hu-HU" w:eastAsia="hu-HU" w:bidi="en-US"/>
          <w14:ligatures w14:val="none"/>
        </w:rPr>
        <w:t xml:space="preserve">904), </w:t>
      </w:r>
      <w:r w:rsidRPr="00860BB1">
        <w:rPr>
          <w:rFonts w:ascii="Times New Roman" w:eastAsia="Times New Roman" w:hAnsi="Times New Roman" w:cs="Times New Roman"/>
          <w:noProof w:val="0"/>
          <w:kern w:val="0"/>
          <w:lang w:val="hu-HU" w:eastAsia="hu-HU"/>
          <w14:ligatures w14:val="none"/>
        </w:rPr>
        <w:t xml:space="preserve">fekete vas-oxidot </w:t>
      </w:r>
      <w:r w:rsidRPr="00860BB1">
        <w:rPr>
          <w:rFonts w:ascii="Times New Roman" w:eastAsia="Times New Roman" w:hAnsi="Times New Roman" w:cs="Times New Roman"/>
          <w:noProof w:val="0"/>
          <w:kern w:val="0"/>
          <w:lang w:val="hu-HU" w:eastAsia="hu-HU" w:bidi="en-US"/>
          <w14:ligatures w14:val="none"/>
        </w:rPr>
        <w:t>(E</w:t>
      </w:r>
      <w:r w:rsidR="00EB6657">
        <w:rPr>
          <w:rFonts w:ascii="Times New Roman" w:eastAsia="Times New Roman" w:hAnsi="Times New Roman" w:cs="Times New Roman"/>
          <w:noProof w:val="0"/>
          <w:kern w:val="0"/>
          <w:lang w:val="hu-HU" w:eastAsia="hu-HU" w:bidi="en-US"/>
          <w14:ligatures w14:val="none"/>
        </w:rPr>
        <w:t> </w:t>
      </w:r>
      <w:r w:rsidRPr="00860BB1">
        <w:rPr>
          <w:rFonts w:ascii="Times New Roman" w:eastAsia="Times New Roman" w:hAnsi="Times New Roman" w:cs="Times New Roman"/>
          <w:noProof w:val="0"/>
          <w:kern w:val="0"/>
          <w:lang w:val="hu-HU" w:eastAsia="hu-HU" w:bidi="en-US"/>
          <w14:ligatures w14:val="none"/>
        </w:rPr>
        <w:t>172), propilén-glikolt (E</w:t>
      </w:r>
      <w:r w:rsidR="00EB6657">
        <w:rPr>
          <w:rFonts w:ascii="Times New Roman" w:eastAsia="Times New Roman" w:hAnsi="Times New Roman" w:cs="Times New Roman"/>
          <w:noProof w:val="0"/>
          <w:kern w:val="0"/>
          <w:lang w:val="hu-HU" w:eastAsia="hu-HU" w:bidi="en-US"/>
          <w14:ligatures w14:val="none"/>
        </w:rPr>
        <w:t> </w:t>
      </w:r>
      <w:r w:rsidRPr="00860BB1">
        <w:rPr>
          <w:rFonts w:ascii="Times New Roman" w:eastAsia="Times New Roman" w:hAnsi="Times New Roman" w:cs="Times New Roman"/>
          <w:noProof w:val="0"/>
          <w:kern w:val="0"/>
          <w:lang w:val="hu-HU" w:eastAsia="hu-HU" w:bidi="en-US"/>
          <w14:ligatures w14:val="none"/>
        </w:rPr>
        <w:t xml:space="preserve">1520), tömény </w:t>
      </w:r>
      <w:r w:rsidRPr="00860BB1">
        <w:rPr>
          <w:rFonts w:ascii="Times New Roman" w:eastAsia="Times New Roman" w:hAnsi="Times New Roman" w:cs="Times New Roman"/>
          <w:noProof w:val="0"/>
          <w:kern w:val="0"/>
          <w:lang w:val="hu-HU" w:eastAsia="hu-HU"/>
          <w14:ligatures w14:val="none"/>
        </w:rPr>
        <w:t>ammónia-oldatot</w:t>
      </w:r>
      <w:r w:rsidRPr="00860BB1">
        <w:rPr>
          <w:rFonts w:ascii="Times New Roman" w:eastAsia="Times New Roman" w:hAnsi="Times New Roman" w:cs="Times New Roman"/>
          <w:noProof w:val="0"/>
          <w:kern w:val="0"/>
          <w:lang w:val="hu-HU" w:eastAsia="hu-HU" w:bidi="en-US"/>
          <w14:ligatures w14:val="none"/>
        </w:rPr>
        <w:t xml:space="preserve"> (E</w:t>
      </w:r>
      <w:r w:rsidR="00EB6657">
        <w:rPr>
          <w:rFonts w:ascii="Times New Roman" w:eastAsia="Times New Roman" w:hAnsi="Times New Roman" w:cs="Times New Roman"/>
          <w:noProof w:val="0"/>
          <w:kern w:val="0"/>
          <w:lang w:val="hu-HU" w:eastAsia="hu-HU" w:bidi="en-US"/>
          <w14:ligatures w14:val="none"/>
        </w:rPr>
        <w:t> </w:t>
      </w:r>
      <w:r w:rsidRPr="00860BB1">
        <w:rPr>
          <w:rFonts w:ascii="Times New Roman" w:eastAsia="Times New Roman" w:hAnsi="Times New Roman" w:cs="Times New Roman"/>
          <w:noProof w:val="0"/>
          <w:kern w:val="0"/>
          <w:lang w:val="hu-HU" w:eastAsia="hu-HU" w:bidi="en-US"/>
          <w14:ligatures w14:val="none"/>
        </w:rPr>
        <w:t xml:space="preserve">527) </w:t>
      </w:r>
      <w:r w:rsidRPr="00860BB1">
        <w:rPr>
          <w:rFonts w:ascii="Times New Roman" w:eastAsia="Times New Roman" w:hAnsi="Times New Roman" w:cs="Times New Roman"/>
          <w:noProof w:val="0"/>
          <w:kern w:val="0"/>
          <w:lang w:val="hu-HU" w:eastAsia="hu-HU"/>
          <w14:ligatures w14:val="none"/>
        </w:rPr>
        <w:t>és kálium-hidroxidot (E</w:t>
      </w:r>
      <w:r w:rsidR="00EB6657">
        <w:rPr>
          <w:rFonts w:ascii="Times New Roman" w:eastAsia="Times New Roman" w:hAnsi="Times New Roman" w:cs="Times New Roman"/>
          <w:noProof w:val="0"/>
          <w:kern w:val="0"/>
          <w:lang w:val="hu-HU" w:eastAsia="hu-HU"/>
          <w14:ligatures w14:val="none"/>
        </w:rPr>
        <w:t> </w:t>
      </w:r>
      <w:r w:rsidRPr="00860BB1">
        <w:rPr>
          <w:rFonts w:ascii="Times New Roman" w:eastAsia="Times New Roman" w:hAnsi="Times New Roman" w:cs="Times New Roman"/>
          <w:noProof w:val="0"/>
          <w:kern w:val="0"/>
          <w:lang w:val="hu-HU" w:eastAsia="hu-HU"/>
          <w14:ligatures w14:val="none"/>
        </w:rPr>
        <w:t>525) tartalmaz.</w:t>
      </w:r>
    </w:p>
    <w:p w14:paraId="62EADFFF" w14:textId="77777777" w:rsidR="00860BB1" w:rsidRPr="00860BB1" w:rsidRDefault="00860BB1" w:rsidP="00860BB1">
      <w:pPr>
        <w:spacing w:after="0" w:line="240" w:lineRule="auto"/>
        <w:ind w:left="22" w:right="11" w:hanging="10"/>
        <w:rPr>
          <w:rFonts w:ascii="Times New Roman" w:eastAsia="Times New Roman" w:hAnsi="Times New Roman" w:cs="Times New Roman"/>
          <w:noProof w:val="0"/>
          <w:color w:val="000000"/>
          <w:kern w:val="0"/>
          <w:lang w:val="hu-HU" w:eastAsia="hu-HU"/>
          <w14:ligatures w14:val="none"/>
        </w:rPr>
      </w:pPr>
    </w:p>
    <w:p w14:paraId="67A0368A"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Milyen a Telexer külleme és mit tartalmaz a csomagolás</w:t>
      </w:r>
    </w:p>
    <w:p w14:paraId="08594479"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63A47E7E" w14:textId="77777777" w:rsidR="00860BB1" w:rsidRPr="00860BB1" w:rsidRDefault="00860BB1" w:rsidP="00860BB1">
      <w:pPr>
        <w:widowControl w:val="0"/>
        <w:spacing w:after="0" w:line="240" w:lineRule="auto"/>
        <w:rPr>
          <w:rFonts w:ascii="Times New Roman" w:eastAsia="Times New Roman" w:hAnsi="Times New Roman" w:cs="Times New Roman"/>
          <w:noProof w:val="0"/>
          <w:kern w:val="0"/>
          <w:lang w:val="hu-HU" w:eastAsia="hu-HU" w:bidi="en-US"/>
          <w14:ligatures w14:val="none"/>
        </w:rPr>
      </w:pPr>
      <w:r w:rsidRPr="00860BB1">
        <w:rPr>
          <w:rFonts w:ascii="Times New Roman" w:eastAsia="Times New Roman" w:hAnsi="Times New Roman" w:cs="Times New Roman"/>
          <w:noProof w:val="0"/>
          <w:color w:val="000000"/>
          <w:kern w:val="0"/>
          <w:lang w:val="hu-HU" w:eastAsia="hu-HU" w:bidi="en-US"/>
          <w14:ligatures w14:val="none"/>
        </w:rPr>
        <w:t xml:space="preserve">A Telexer 110 mg </w:t>
      </w:r>
      <w:r w:rsidRPr="00860BB1">
        <w:rPr>
          <w:rFonts w:ascii="Times New Roman" w:eastAsia="Times New Roman" w:hAnsi="Times New Roman" w:cs="Times New Roman"/>
          <w:noProof w:val="0"/>
          <w:kern w:val="0"/>
          <w:lang w:val="hu-HU" w:eastAsia="hu-HU"/>
          <w14:ligatures w14:val="none"/>
        </w:rPr>
        <w:t xml:space="preserve">kemény kapszula </w:t>
      </w:r>
      <w:r w:rsidRPr="00860BB1">
        <w:rPr>
          <w:rFonts w:ascii="Times New Roman" w:eastAsia="Times New Roman" w:hAnsi="Times New Roman" w:cs="Times New Roman"/>
          <w:noProof w:val="0"/>
          <w:color w:val="000000"/>
          <w:kern w:val="0"/>
          <w:lang w:val="hu-HU" w:eastAsia="hu-HU" w:bidi="en-US"/>
          <w14:ligatures w14:val="none"/>
        </w:rPr>
        <w:t xml:space="preserve">(kb. 19,4 mm hosszú) kék felső és alsó résszel. </w:t>
      </w:r>
      <w:r w:rsidRPr="00860BB1">
        <w:rPr>
          <w:rFonts w:ascii="Times New Roman" w:eastAsia="Times New Roman" w:hAnsi="Times New Roman" w:cs="Times New Roman"/>
          <w:noProof w:val="0"/>
          <w:kern w:val="0"/>
          <w:lang w:val="hu-HU" w:eastAsia="hu-HU"/>
          <w14:ligatures w14:val="none"/>
        </w:rPr>
        <w:t>A kemény kapszula felső része a Richter Gedeon logójával, az alsó része „110” jelzéssel van ellátva.</w:t>
      </w:r>
    </w:p>
    <w:p w14:paraId="38958BE1"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5C2403FD"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10 kem</w:t>
      </w:r>
      <w:r w:rsidRPr="00860BB1">
        <w:rPr>
          <w:rFonts w:ascii="Times New Roman" w:eastAsia="Times New Roman" w:hAnsi="Times New Roman" w:cs="Times New Roman" w:hint="eastAsia"/>
          <w:noProof w:val="0"/>
          <w:color w:val="000000"/>
          <w:kern w:val="0"/>
          <w:lang w:val="hu-HU" w:eastAsia="hu-HU"/>
          <w14:ligatures w14:val="none"/>
        </w:rPr>
        <w:t>é</w:t>
      </w:r>
      <w:r w:rsidRPr="00860BB1">
        <w:rPr>
          <w:rFonts w:ascii="Times New Roman" w:eastAsia="Times New Roman" w:hAnsi="Times New Roman" w:cs="Times New Roman"/>
          <w:noProof w:val="0"/>
          <w:color w:val="000000"/>
          <w:kern w:val="0"/>
          <w:lang w:val="hu-HU" w:eastAsia="hu-HU"/>
          <w14:ligatures w14:val="none"/>
        </w:rPr>
        <w:t>ny kapszul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t tartalmazó, nedvességmegkötővel ellátott, OPA/AL/PE lágy fóliából és kemény alumíniumfóliából álló Al/Al bubor</w:t>
      </w:r>
      <w:r w:rsidRPr="00860BB1">
        <w:rPr>
          <w:rFonts w:ascii="Times New Roman" w:eastAsia="Times New Roman" w:hAnsi="Times New Roman" w:cs="Times New Roman" w:hint="eastAsia"/>
          <w:noProof w:val="0"/>
          <w:color w:val="000000"/>
          <w:kern w:val="0"/>
          <w:lang w:val="hu-HU" w:eastAsia="hu-HU"/>
          <w14:ligatures w14:val="none"/>
        </w:rPr>
        <w:t>é</w:t>
      </w:r>
      <w:r w:rsidRPr="00860BB1">
        <w:rPr>
          <w:rFonts w:ascii="Times New Roman" w:eastAsia="Times New Roman" w:hAnsi="Times New Roman" w:cs="Times New Roman"/>
          <w:noProof w:val="0"/>
          <w:color w:val="000000"/>
          <w:kern w:val="0"/>
          <w:lang w:val="hu-HU" w:eastAsia="hu-HU"/>
          <w14:ligatures w14:val="none"/>
        </w:rPr>
        <w:t>kcsomagol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s dobozban. A dobozok 10, 30 vagy 60 kem</w:t>
      </w:r>
      <w:r w:rsidRPr="00860BB1">
        <w:rPr>
          <w:rFonts w:ascii="Times New Roman" w:eastAsia="Times New Roman" w:hAnsi="Times New Roman" w:cs="Times New Roman" w:hint="eastAsia"/>
          <w:noProof w:val="0"/>
          <w:color w:val="000000"/>
          <w:kern w:val="0"/>
          <w:lang w:val="hu-HU" w:eastAsia="hu-HU"/>
          <w14:ligatures w14:val="none"/>
        </w:rPr>
        <w:t>é</w:t>
      </w:r>
      <w:r w:rsidRPr="00860BB1">
        <w:rPr>
          <w:rFonts w:ascii="Times New Roman" w:eastAsia="Times New Roman" w:hAnsi="Times New Roman" w:cs="Times New Roman"/>
          <w:noProof w:val="0"/>
          <w:color w:val="000000"/>
          <w:kern w:val="0"/>
          <w:lang w:val="hu-HU" w:eastAsia="hu-HU"/>
          <w14:ligatures w14:val="none"/>
        </w:rPr>
        <w:t>ny kapszul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t tartalmaznak.</w:t>
      </w:r>
    </w:p>
    <w:p w14:paraId="6CB9E529"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32995772"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Gy</w:t>
      </w:r>
      <w:r w:rsidRPr="00860BB1">
        <w:rPr>
          <w:rFonts w:ascii="Times New Roman" w:eastAsia="Times New Roman" w:hAnsi="Times New Roman" w:cs="Times New Roman" w:hint="eastAsia"/>
          <w:noProof w:val="0"/>
          <w:color w:val="000000"/>
          <w:kern w:val="0"/>
          <w:lang w:val="hu-HU" w:eastAsia="hu-HU"/>
          <w14:ligatures w14:val="none"/>
        </w:rPr>
        <w:t>ű</w:t>
      </w:r>
      <w:r w:rsidRPr="00860BB1">
        <w:rPr>
          <w:rFonts w:ascii="Times New Roman" w:eastAsia="Times New Roman" w:hAnsi="Times New Roman" w:cs="Times New Roman"/>
          <w:noProof w:val="0"/>
          <w:color w:val="000000"/>
          <w:kern w:val="0"/>
          <w:lang w:val="hu-HU" w:eastAsia="hu-HU"/>
          <w14:ligatures w14:val="none"/>
        </w:rPr>
        <w:t>jt</w:t>
      </w:r>
      <w:r w:rsidRPr="00860BB1">
        <w:rPr>
          <w:rFonts w:ascii="Times New Roman" w:eastAsia="Times New Roman" w:hAnsi="Times New Roman" w:cs="Times New Roman" w:hint="eastAsia"/>
          <w:noProof w:val="0"/>
          <w:color w:val="000000"/>
          <w:kern w:val="0"/>
          <w:lang w:val="hu-HU" w:eastAsia="hu-HU"/>
          <w14:ligatures w14:val="none"/>
        </w:rPr>
        <w:t>ő</w:t>
      </w:r>
      <w:r w:rsidRPr="00860BB1">
        <w:rPr>
          <w:rFonts w:ascii="Times New Roman" w:eastAsia="Times New Roman" w:hAnsi="Times New Roman" w:cs="Times New Roman"/>
          <w:noProof w:val="0"/>
          <w:color w:val="000000"/>
          <w:kern w:val="0"/>
          <w:lang w:val="hu-HU" w:eastAsia="hu-HU"/>
          <w14:ligatures w14:val="none"/>
        </w:rPr>
        <w:t>csomagol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s, ami 3 doboz 60 kem</w:t>
      </w:r>
      <w:r w:rsidRPr="00860BB1">
        <w:rPr>
          <w:rFonts w:ascii="Times New Roman" w:eastAsia="Times New Roman" w:hAnsi="Times New Roman" w:cs="Times New Roman" w:hint="eastAsia"/>
          <w:noProof w:val="0"/>
          <w:color w:val="000000"/>
          <w:kern w:val="0"/>
          <w:lang w:val="hu-HU" w:eastAsia="hu-HU"/>
          <w14:ligatures w14:val="none"/>
        </w:rPr>
        <w:t>é</w:t>
      </w:r>
      <w:r w:rsidRPr="00860BB1">
        <w:rPr>
          <w:rFonts w:ascii="Times New Roman" w:eastAsia="Times New Roman" w:hAnsi="Times New Roman" w:cs="Times New Roman"/>
          <w:noProof w:val="0"/>
          <w:color w:val="000000"/>
          <w:kern w:val="0"/>
          <w:lang w:val="hu-HU" w:eastAsia="hu-HU"/>
          <w14:ligatures w14:val="none"/>
        </w:rPr>
        <w:t>ny kapszul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t (180 kemény kapszulát) tartalmaz</w:t>
      </w:r>
      <w:r w:rsidRPr="00860BB1">
        <w:rPr>
          <w:rFonts w:ascii="Times New Roman" w:eastAsia="Times New Roman" w:hAnsi="Times New Roman" w:cs="Times New Roman" w:hint="eastAsia"/>
          <w:noProof w:val="0"/>
          <w:color w:val="000000"/>
          <w:kern w:val="0"/>
          <w:lang w:val="hu-HU" w:eastAsia="hu-HU"/>
          <w14:ligatures w14:val="none"/>
        </w:rPr>
        <w:t>ó</w:t>
      </w:r>
      <w:r w:rsidRPr="00860BB1">
        <w:rPr>
          <w:rFonts w:ascii="Times New Roman" w:eastAsia="Times New Roman" w:hAnsi="Times New Roman" w:cs="Times New Roman"/>
          <w:noProof w:val="0"/>
          <w:color w:val="000000"/>
          <w:kern w:val="0"/>
          <w:lang w:val="hu-HU" w:eastAsia="hu-HU"/>
          <w14:ligatures w14:val="none"/>
        </w:rPr>
        <w:t xml:space="preserve"> doboz. </w:t>
      </w:r>
    </w:p>
    <w:p w14:paraId="3FBC8C80"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gy</w:t>
      </w:r>
      <w:r w:rsidRPr="00860BB1">
        <w:rPr>
          <w:rFonts w:ascii="Times New Roman" w:eastAsia="Times New Roman" w:hAnsi="Times New Roman" w:cs="Times New Roman" w:hint="eastAsia"/>
          <w:noProof w:val="0"/>
          <w:color w:val="000000"/>
          <w:kern w:val="0"/>
          <w:lang w:val="hu-HU" w:eastAsia="hu-HU"/>
          <w14:ligatures w14:val="none"/>
        </w:rPr>
        <w:t>ű</w:t>
      </w:r>
      <w:r w:rsidRPr="00860BB1">
        <w:rPr>
          <w:rFonts w:ascii="Times New Roman" w:eastAsia="Times New Roman" w:hAnsi="Times New Roman" w:cs="Times New Roman"/>
          <w:noProof w:val="0"/>
          <w:color w:val="000000"/>
          <w:kern w:val="0"/>
          <w:lang w:val="hu-HU" w:eastAsia="hu-HU"/>
          <w14:ligatures w14:val="none"/>
        </w:rPr>
        <w:t>jt</w:t>
      </w:r>
      <w:r w:rsidRPr="00860BB1">
        <w:rPr>
          <w:rFonts w:ascii="Times New Roman" w:eastAsia="Times New Roman" w:hAnsi="Times New Roman" w:cs="Times New Roman" w:hint="eastAsia"/>
          <w:noProof w:val="0"/>
          <w:color w:val="000000"/>
          <w:kern w:val="0"/>
          <w:lang w:val="hu-HU" w:eastAsia="hu-HU"/>
          <w14:ligatures w14:val="none"/>
        </w:rPr>
        <w:t>ő</w:t>
      </w:r>
      <w:r w:rsidRPr="00860BB1">
        <w:rPr>
          <w:rFonts w:ascii="Times New Roman" w:eastAsia="Times New Roman" w:hAnsi="Times New Roman" w:cs="Times New Roman"/>
          <w:noProof w:val="0"/>
          <w:color w:val="000000"/>
          <w:kern w:val="0"/>
          <w:lang w:val="hu-HU" w:eastAsia="hu-HU"/>
          <w14:ligatures w14:val="none"/>
        </w:rPr>
        <w:t>csomagol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sban tal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lhat</w:t>
      </w:r>
      <w:r w:rsidRPr="00860BB1">
        <w:rPr>
          <w:rFonts w:ascii="Times New Roman" w:eastAsia="Times New Roman" w:hAnsi="Times New Roman" w:cs="Times New Roman" w:hint="eastAsia"/>
          <w:noProof w:val="0"/>
          <w:color w:val="000000"/>
          <w:kern w:val="0"/>
          <w:lang w:val="hu-HU" w:eastAsia="hu-HU"/>
          <w14:ligatures w14:val="none"/>
        </w:rPr>
        <w:t>ó</w:t>
      </w:r>
      <w:r w:rsidRPr="00860BB1">
        <w:rPr>
          <w:rFonts w:ascii="Times New Roman" w:eastAsia="Times New Roman" w:hAnsi="Times New Roman" w:cs="Times New Roman"/>
          <w:noProof w:val="0"/>
          <w:color w:val="000000"/>
          <w:kern w:val="0"/>
          <w:lang w:val="hu-HU" w:eastAsia="hu-HU"/>
          <w14:ligatures w14:val="none"/>
        </w:rPr>
        <w:t xml:space="preserve"> egyedi dobozok 6 darab, egyenk</w:t>
      </w:r>
      <w:r w:rsidRPr="00860BB1">
        <w:rPr>
          <w:rFonts w:ascii="Times New Roman" w:eastAsia="Times New Roman" w:hAnsi="Times New Roman" w:cs="Times New Roman" w:hint="eastAsia"/>
          <w:noProof w:val="0"/>
          <w:color w:val="000000"/>
          <w:kern w:val="0"/>
          <w:lang w:val="hu-HU" w:eastAsia="hu-HU"/>
          <w14:ligatures w14:val="none"/>
        </w:rPr>
        <w:t>é</w:t>
      </w:r>
      <w:r w:rsidRPr="00860BB1">
        <w:rPr>
          <w:rFonts w:ascii="Times New Roman" w:eastAsia="Times New Roman" w:hAnsi="Times New Roman" w:cs="Times New Roman"/>
          <w:noProof w:val="0"/>
          <w:color w:val="000000"/>
          <w:kern w:val="0"/>
          <w:lang w:val="hu-HU" w:eastAsia="hu-HU"/>
          <w14:ligatures w14:val="none"/>
        </w:rPr>
        <w:t>nt 10 kem</w:t>
      </w:r>
      <w:r w:rsidRPr="00860BB1">
        <w:rPr>
          <w:rFonts w:ascii="Times New Roman" w:eastAsia="Times New Roman" w:hAnsi="Times New Roman" w:cs="Times New Roman" w:hint="eastAsia"/>
          <w:noProof w:val="0"/>
          <w:color w:val="000000"/>
          <w:kern w:val="0"/>
          <w:lang w:val="hu-HU" w:eastAsia="hu-HU"/>
          <w14:ligatures w14:val="none"/>
        </w:rPr>
        <w:t>é</w:t>
      </w:r>
      <w:r w:rsidRPr="00860BB1">
        <w:rPr>
          <w:rFonts w:ascii="Times New Roman" w:eastAsia="Times New Roman" w:hAnsi="Times New Roman" w:cs="Times New Roman"/>
          <w:noProof w:val="0"/>
          <w:color w:val="000000"/>
          <w:kern w:val="0"/>
          <w:lang w:val="hu-HU" w:eastAsia="hu-HU"/>
          <w14:ligatures w14:val="none"/>
        </w:rPr>
        <w:t>ny kapszul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t tartalmaz</w:t>
      </w:r>
      <w:r w:rsidRPr="00860BB1">
        <w:rPr>
          <w:rFonts w:ascii="Times New Roman" w:eastAsia="Times New Roman" w:hAnsi="Times New Roman" w:cs="Times New Roman" w:hint="eastAsia"/>
          <w:noProof w:val="0"/>
          <w:color w:val="000000"/>
          <w:kern w:val="0"/>
          <w:lang w:val="hu-HU" w:eastAsia="hu-HU"/>
          <w14:ligatures w14:val="none"/>
        </w:rPr>
        <w:t>ó</w:t>
      </w:r>
      <w:r w:rsidRPr="00860BB1">
        <w:rPr>
          <w:rFonts w:ascii="Times New Roman" w:eastAsia="Times New Roman" w:hAnsi="Times New Roman" w:cs="Times New Roman"/>
          <w:noProof w:val="0"/>
          <w:color w:val="000000"/>
          <w:kern w:val="0"/>
          <w:lang w:val="hu-HU" w:eastAsia="hu-HU"/>
          <w14:ligatures w14:val="none"/>
        </w:rPr>
        <w:t xml:space="preserve"> Al/Al bubor</w:t>
      </w:r>
      <w:r w:rsidRPr="00860BB1">
        <w:rPr>
          <w:rFonts w:ascii="Times New Roman" w:eastAsia="Times New Roman" w:hAnsi="Times New Roman" w:cs="Times New Roman" w:hint="eastAsia"/>
          <w:noProof w:val="0"/>
          <w:color w:val="000000"/>
          <w:kern w:val="0"/>
          <w:lang w:val="hu-HU" w:eastAsia="hu-HU"/>
          <w14:ligatures w14:val="none"/>
        </w:rPr>
        <w:t>é</w:t>
      </w:r>
      <w:r w:rsidRPr="00860BB1">
        <w:rPr>
          <w:rFonts w:ascii="Times New Roman" w:eastAsia="Times New Roman" w:hAnsi="Times New Roman" w:cs="Times New Roman"/>
          <w:noProof w:val="0"/>
          <w:color w:val="000000"/>
          <w:kern w:val="0"/>
          <w:lang w:val="hu-HU" w:eastAsia="hu-HU"/>
          <w14:ligatures w14:val="none"/>
        </w:rPr>
        <w:t>kcsomagol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st tartalmaznak.</w:t>
      </w:r>
    </w:p>
    <w:p w14:paraId="3F66ED68"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6AAE7FA0"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10 kem</w:t>
      </w:r>
      <w:r w:rsidRPr="00860BB1">
        <w:rPr>
          <w:rFonts w:ascii="Times New Roman" w:eastAsia="Times New Roman" w:hAnsi="Times New Roman" w:cs="Times New Roman" w:hint="eastAsia"/>
          <w:noProof w:val="0"/>
          <w:color w:val="000000"/>
          <w:kern w:val="0"/>
          <w:lang w:val="hu-HU" w:eastAsia="hu-HU"/>
          <w14:ligatures w14:val="none"/>
        </w:rPr>
        <w:t>é</w:t>
      </w:r>
      <w:r w:rsidRPr="00860BB1">
        <w:rPr>
          <w:rFonts w:ascii="Times New Roman" w:eastAsia="Times New Roman" w:hAnsi="Times New Roman" w:cs="Times New Roman"/>
          <w:noProof w:val="0"/>
          <w:color w:val="000000"/>
          <w:kern w:val="0"/>
          <w:lang w:val="hu-HU" w:eastAsia="hu-HU"/>
          <w14:ligatures w14:val="none"/>
        </w:rPr>
        <w:t>ny kapszul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t tartalmaz</w:t>
      </w:r>
      <w:r w:rsidRPr="00860BB1">
        <w:rPr>
          <w:rFonts w:ascii="Times New Roman" w:eastAsia="Times New Roman" w:hAnsi="Times New Roman" w:cs="Times New Roman" w:hint="eastAsia"/>
          <w:noProof w:val="0"/>
          <w:color w:val="000000"/>
          <w:kern w:val="0"/>
          <w:lang w:val="hu-HU" w:eastAsia="hu-HU"/>
          <w14:ligatures w14:val="none"/>
        </w:rPr>
        <w:t>ó</w:t>
      </w:r>
      <w:r w:rsidRPr="00860BB1">
        <w:rPr>
          <w:rFonts w:ascii="Times New Roman" w:eastAsia="Times New Roman" w:hAnsi="Times New Roman" w:cs="Times New Roman"/>
          <w:noProof w:val="0"/>
          <w:color w:val="000000"/>
          <w:kern w:val="0"/>
          <w:lang w:val="hu-HU" w:eastAsia="hu-HU"/>
          <w14:ligatures w14:val="none"/>
        </w:rPr>
        <w:t>, perfor</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lt, nedvességmegkötővel ellátott, OPA/AL/PE lágy fóliából és kemény alumíniumfóliából álló Al/Al bubor</w:t>
      </w:r>
      <w:r w:rsidRPr="00860BB1">
        <w:rPr>
          <w:rFonts w:ascii="Times New Roman" w:eastAsia="Times New Roman" w:hAnsi="Times New Roman" w:cs="Times New Roman" w:hint="eastAsia"/>
          <w:noProof w:val="0"/>
          <w:color w:val="000000"/>
          <w:kern w:val="0"/>
          <w:lang w:val="hu-HU" w:eastAsia="hu-HU"/>
          <w14:ligatures w14:val="none"/>
        </w:rPr>
        <w:t>é</w:t>
      </w:r>
      <w:r w:rsidRPr="00860BB1">
        <w:rPr>
          <w:rFonts w:ascii="Times New Roman" w:eastAsia="Times New Roman" w:hAnsi="Times New Roman" w:cs="Times New Roman"/>
          <w:noProof w:val="0"/>
          <w:color w:val="000000"/>
          <w:kern w:val="0"/>
          <w:lang w:val="hu-HU" w:eastAsia="hu-HU"/>
          <w14:ligatures w14:val="none"/>
        </w:rPr>
        <w:t>kcsomagol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s dobozban.</w:t>
      </w:r>
    </w:p>
    <w:p w14:paraId="43631CF4"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dobozok 10, 30 vagy 60 kem</w:t>
      </w:r>
      <w:r w:rsidRPr="00860BB1">
        <w:rPr>
          <w:rFonts w:ascii="Times New Roman" w:eastAsia="Times New Roman" w:hAnsi="Times New Roman" w:cs="Times New Roman" w:hint="eastAsia"/>
          <w:noProof w:val="0"/>
          <w:color w:val="000000"/>
          <w:kern w:val="0"/>
          <w:lang w:val="hu-HU" w:eastAsia="hu-HU"/>
          <w14:ligatures w14:val="none"/>
        </w:rPr>
        <w:t>é</w:t>
      </w:r>
      <w:r w:rsidRPr="00860BB1">
        <w:rPr>
          <w:rFonts w:ascii="Times New Roman" w:eastAsia="Times New Roman" w:hAnsi="Times New Roman" w:cs="Times New Roman"/>
          <w:noProof w:val="0"/>
          <w:color w:val="000000"/>
          <w:kern w:val="0"/>
          <w:lang w:val="hu-HU" w:eastAsia="hu-HU"/>
          <w14:ligatures w14:val="none"/>
        </w:rPr>
        <w:t>ny kapszul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t tartalmaznak.</w:t>
      </w:r>
    </w:p>
    <w:p w14:paraId="4C5A91D5"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49998660"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Gy</w:t>
      </w:r>
      <w:r w:rsidRPr="00860BB1">
        <w:rPr>
          <w:rFonts w:ascii="Times New Roman" w:eastAsia="Times New Roman" w:hAnsi="Times New Roman" w:cs="Times New Roman" w:hint="eastAsia"/>
          <w:noProof w:val="0"/>
          <w:color w:val="000000"/>
          <w:kern w:val="0"/>
          <w:lang w:val="hu-HU" w:eastAsia="hu-HU"/>
          <w14:ligatures w14:val="none"/>
        </w:rPr>
        <w:t>ű</w:t>
      </w:r>
      <w:r w:rsidRPr="00860BB1">
        <w:rPr>
          <w:rFonts w:ascii="Times New Roman" w:eastAsia="Times New Roman" w:hAnsi="Times New Roman" w:cs="Times New Roman"/>
          <w:noProof w:val="0"/>
          <w:color w:val="000000"/>
          <w:kern w:val="0"/>
          <w:lang w:val="hu-HU" w:eastAsia="hu-HU"/>
          <w14:ligatures w14:val="none"/>
        </w:rPr>
        <w:t>jt</w:t>
      </w:r>
      <w:r w:rsidRPr="00860BB1">
        <w:rPr>
          <w:rFonts w:ascii="Times New Roman" w:eastAsia="Times New Roman" w:hAnsi="Times New Roman" w:cs="Times New Roman" w:hint="eastAsia"/>
          <w:noProof w:val="0"/>
          <w:color w:val="000000"/>
          <w:kern w:val="0"/>
          <w:lang w:val="hu-HU" w:eastAsia="hu-HU"/>
          <w14:ligatures w14:val="none"/>
        </w:rPr>
        <w:t>ő</w:t>
      </w:r>
      <w:r w:rsidRPr="00860BB1">
        <w:rPr>
          <w:rFonts w:ascii="Times New Roman" w:eastAsia="Times New Roman" w:hAnsi="Times New Roman" w:cs="Times New Roman"/>
          <w:noProof w:val="0"/>
          <w:color w:val="000000"/>
          <w:kern w:val="0"/>
          <w:lang w:val="hu-HU" w:eastAsia="hu-HU"/>
          <w14:ligatures w14:val="none"/>
        </w:rPr>
        <w:t>csomagol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s, ami 3 doboz 60 kem</w:t>
      </w:r>
      <w:r w:rsidRPr="00860BB1">
        <w:rPr>
          <w:rFonts w:ascii="Times New Roman" w:eastAsia="Times New Roman" w:hAnsi="Times New Roman" w:cs="Times New Roman" w:hint="eastAsia"/>
          <w:noProof w:val="0"/>
          <w:color w:val="000000"/>
          <w:kern w:val="0"/>
          <w:lang w:val="hu-HU" w:eastAsia="hu-HU"/>
          <w14:ligatures w14:val="none"/>
        </w:rPr>
        <w:t>é</w:t>
      </w:r>
      <w:r w:rsidRPr="00860BB1">
        <w:rPr>
          <w:rFonts w:ascii="Times New Roman" w:eastAsia="Times New Roman" w:hAnsi="Times New Roman" w:cs="Times New Roman"/>
          <w:noProof w:val="0"/>
          <w:color w:val="000000"/>
          <w:kern w:val="0"/>
          <w:lang w:val="hu-HU" w:eastAsia="hu-HU"/>
          <w14:ligatures w14:val="none"/>
        </w:rPr>
        <w:t>ny kapszul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t (180 kemény kapszulát) tartalmaz</w:t>
      </w:r>
      <w:r w:rsidRPr="00860BB1">
        <w:rPr>
          <w:rFonts w:ascii="Times New Roman" w:eastAsia="Times New Roman" w:hAnsi="Times New Roman" w:cs="Times New Roman" w:hint="eastAsia"/>
          <w:noProof w:val="0"/>
          <w:color w:val="000000"/>
          <w:kern w:val="0"/>
          <w:lang w:val="hu-HU" w:eastAsia="hu-HU"/>
          <w14:ligatures w14:val="none"/>
        </w:rPr>
        <w:t>ó</w:t>
      </w:r>
      <w:r w:rsidRPr="00860BB1">
        <w:rPr>
          <w:rFonts w:ascii="Times New Roman" w:eastAsia="Times New Roman" w:hAnsi="Times New Roman" w:cs="Times New Roman"/>
          <w:noProof w:val="0"/>
          <w:color w:val="000000"/>
          <w:kern w:val="0"/>
          <w:lang w:val="hu-HU" w:eastAsia="hu-HU"/>
          <w14:ligatures w14:val="none"/>
        </w:rPr>
        <w:t xml:space="preserve"> doboz. </w:t>
      </w:r>
    </w:p>
    <w:p w14:paraId="21C4DD3B"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A gy</w:t>
      </w:r>
      <w:r w:rsidRPr="00860BB1">
        <w:rPr>
          <w:rFonts w:ascii="Times New Roman" w:eastAsia="Times New Roman" w:hAnsi="Times New Roman" w:cs="Times New Roman" w:hint="eastAsia"/>
          <w:noProof w:val="0"/>
          <w:color w:val="000000"/>
          <w:kern w:val="0"/>
          <w:lang w:val="hu-HU" w:eastAsia="hu-HU"/>
          <w14:ligatures w14:val="none"/>
        </w:rPr>
        <w:t>ű</w:t>
      </w:r>
      <w:r w:rsidRPr="00860BB1">
        <w:rPr>
          <w:rFonts w:ascii="Times New Roman" w:eastAsia="Times New Roman" w:hAnsi="Times New Roman" w:cs="Times New Roman"/>
          <w:noProof w:val="0"/>
          <w:color w:val="000000"/>
          <w:kern w:val="0"/>
          <w:lang w:val="hu-HU" w:eastAsia="hu-HU"/>
          <w14:ligatures w14:val="none"/>
        </w:rPr>
        <w:t>jt</w:t>
      </w:r>
      <w:r w:rsidRPr="00860BB1">
        <w:rPr>
          <w:rFonts w:ascii="Times New Roman" w:eastAsia="Times New Roman" w:hAnsi="Times New Roman" w:cs="Times New Roman" w:hint="eastAsia"/>
          <w:noProof w:val="0"/>
          <w:color w:val="000000"/>
          <w:kern w:val="0"/>
          <w:lang w:val="hu-HU" w:eastAsia="hu-HU"/>
          <w14:ligatures w14:val="none"/>
        </w:rPr>
        <w:t>ő</w:t>
      </w:r>
      <w:r w:rsidRPr="00860BB1">
        <w:rPr>
          <w:rFonts w:ascii="Times New Roman" w:eastAsia="Times New Roman" w:hAnsi="Times New Roman" w:cs="Times New Roman"/>
          <w:noProof w:val="0"/>
          <w:color w:val="000000"/>
          <w:kern w:val="0"/>
          <w:lang w:val="hu-HU" w:eastAsia="hu-HU"/>
          <w14:ligatures w14:val="none"/>
        </w:rPr>
        <w:t>csomagol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sban tal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lhat</w:t>
      </w:r>
      <w:r w:rsidRPr="00860BB1">
        <w:rPr>
          <w:rFonts w:ascii="Times New Roman" w:eastAsia="Times New Roman" w:hAnsi="Times New Roman" w:cs="Times New Roman" w:hint="eastAsia"/>
          <w:noProof w:val="0"/>
          <w:color w:val="000000"/>
          <w:kern w:val="0"/>
          <w:lang w:val="hu-HU" w:eastAsia="hu-HU"/>
          <w14:ligatures w14:val="none"/>
        </w:rPr>
        <w:t>ó</w:t>
      </w:r>
      <w:r w:rsidRPr="00860BB1">
        <w:rPr>
          <w:rFonts w:ascii="Times New Roman" w:eastAsia="Times New Roman" w:hAnsi="Times New Roman" w:cs="Times New Roman"/>
          <w:noProof w:val="0"/>
          <w:color w:val="000000"/>
          <w:kern w:val="0"/>
          <w:lang w:val="hu-HU" w:eastAsia="hu-HU"/>
          <w14:ligatures w14:val="none"/>
        </w:rPr>
        <w:t xml:space="preserve"> egyedi dobozok 6 darab, egyenk</w:t>
      </w:r>
      <w:r w:rsidRPr="00860BB1">
        <w:rPr>
          <w:rFonts w:ascii="Times New Roman" w:eastAsia="Times New Roman" w:hAnsi="Times New Roman" w:cs="Times New Roman" w:hint="eastAsia"/>
          <w:noProof w:val="0"/>
          <w:color w:val="000000"/>
          <w:kern w:val="0"/>
          <w:lang w:val="hu-HU" w:eastAsia="hu-HU"/>
          <w14:ligatures w14:val="none"/>
        </w:rPr>
        <w:t>é</w:t>
      </w:r>
      <w:r w:rsidRPr="00860BB1">
        <w:rPr>
          <w:rFonts w:ascii="Times New Roman" w:eastAsia="Times New Roman" w:hAnsi="Times New Roman" w:cs="Times New Roman"/>
          <w:noProof w:val="0"/>
          <w:color w:val="000000"/>
          <w:kern w:val="0"/>
          <w:lang w:val="hu-HU" w:eastAsia="hu-HU"/>
          <w14:ligatures w14:val="none"/>
        </w:rPr>
        <w:t>nt 10 kem</w:t>
      </w:r>
      <w:r w:rsidRPr="00860BB1">
        <w:rPr>
          <w:rFonts w:ascii="Times New Roman" w:eastAsia="Times New Roman" w:hAnsi="Times New Roman" w:cs="Times New Roman" w:hint="eastAsia"/>
          <w:noProof w:val="0"/>
          <w:color w:val="000000"/>
          <w:kern w:val="0"/>
          <w:lang w:val="hu-HU" w:eastAsia="hu-HU"/>
          <w14:ligatures w14:val="none"/>
        </w:rPr>
        <w:t>é</w:t>
      </w:r>
      <w:r w:rsidRPr="00860BB1">
        <w:rPr>
          <w:rFonts w:ascii="Times New Roman" w:eastAsia="Times New Roman" w:hAnsi="Times New Roman" w:cs="Times New Roman"/>
          <w:noProof w:val="0"/>
          <w:color w:val="000000"/>
          <w:kern w:val="0"/>
          <w:lang w:val="hu-HU" w:eastAsia="hu-HU"/>
          <w14:ligatures w14:val="none"/>
        </w:rPr>
        <w:t>ny kapszul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t tartalmaz</w:t>
      </w:r>
      <w:r w:rsidRPr="00860BB1">
        <w:rPr>
          <w:rFonts w:ascii="Times New Roman" w:eastAsia="Times New Roman" w:hAnsi="Times New Roman" w:cs="Times New Roman" w:hint="eastAsia"/>
          <w:noProof w:val="0"/>
          <w:color w:val="000000"/>
          <w:kern w:val="0"/>
          <w:lang w:val="hu-HU" w:eastAsia="hu-HU"/>
          <w14:ligatures w14:val="none"/>
        </w:rPr>
        <w:t>ó</w:t>
      </w:r>
      <w:r w:rsidRPr="00860BB1">
        <w:rPr>
          <w:rFonts w:ascii="Times New Roman" w:eastAsia="Times New Roman" w:hAnsi="Times New Roman" w:cs="Times New Roman"/>
          <w:noProof w:val="0"/>
          <w:color w:val="000000"/>
          <w:kern w:val="0"/>
          <w:lang w:val="hu-HU" w:eastAsia="hu-HU"/>
          <w14:ligatures w14:val="none"/>
        </w:rPr>
        <w:t xml:space="preserve"> perfor</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lt Al/Al bubor</w:t>
      </w:r>
      <w:r w:rsidRPr="00860BB1">
        <w:rPr>
          <w:rFonts w:ascii="Times New Roman" w:eastAsia="Times New Roman" w:hAnsi="Times New Roman" w:cs="Times New Roman" w:hint="eastAsia"/>
          <w:noProof w:val="0"/>
          <w:color w:val="000000"/>
          <w:kern w:val="0"/>
          <w:lang w:val="hu-HU" w:eastAsia="hu-HU"/>
          <w14:ligatures w14:val="none"/>
        </w:rPr>
        <w:t>é</w:t>
      </w:r>
      <w:r w:rsidRPr="00860BB1">
        <w:rPr>
          <w:rFonts w:ascii="Times New Roman" w:eastAsia="Times New Roman" w:hAnsi="Times New Roman" w:cs="Times New Roman"/>
          <w:noProof w:val="0"/>
          <w:color w:val="000000"/>
          <w:kern w:val="0"/>
          <w:lang w:val="hu-HU" w:eastAsia="hu-HU"/>
          <w14:ligatures w14:val="none"/>
        </w:rPr>
        <w:t>kcsomagol</w:t>
      </w:r>
      <w:r w:rsidRPr="00860BB1">
        <w:rPr>
          <w:rFonts w:ascii="Times New Roman" w:eastAsia="Times New Roman" w:hAnsi="Times New Roman" w:cs="Times New Roman" w:hint="eastAsia"/>
          <w:noProof w:val="0"/>
          <w:color w:val="000000"/>
          <w:kern w:val="0"/>
          <w:lang w:val="hu-HU" w:eastAsia="hu-HU"/>
          <w14:ligatures w14:val="none"/>
        </w:rPr>
        <w:t>á</w:t>
      </w:r>
      <w:r w:rsidRPr="00860BB1">
        <w:rPr>
          <w:rFonts w:ascii="Times New Roman" w:eastAsia="Times New Roman" w:hAnsi="Times New Roman" w:cs="Times New Roman"/>
          <w:noProof w:val="0"/>
          <w:color w:val="000000"/>
          <w:kern w:val="0"/>
          <w:lang w:val="hu-HU" w:eastAsia="hu-HU"/>
          <w14:ligatures w14:val="none"/>
        </w:rPr>
        <w:t>st tartalmaznak.</w:t>
      </w:r>
    </w:p>
    <w:p w14:paraId="1867D76F"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62C07D3C"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Nem feltétlenül mindegyik kiszerelés kerül kereskedelmi forgalomba.</w:t>
      </w:r>
    </w:p>
    <w:p w14:paraId="0D9164AE" w14:textId="77777777" w:rsidR="00860BB1" w:rsidRPr="00860BB1" w:rsidRDefault="00860BB1" w:rsidP="00860BB1">
      <w:pPr>
        <w:spacing w:after="0" w:line="240" w:lineRule="auto"/>
        <w:ind w:right="11"/>
        <w:rPr>
          <w:rFonts w:ascii="Times New Roman" w:eastAsia="Times New Roman" w:hAnsi="Times New Roman" w:cs="Times New Roman"/>
          <w:noProof w:val="0"/>
          <w:color w:val="000000"/>
          <w:kern w:val="0"/>
          <w:lang w:val="hu-HU" w:eastAsia="hu-HU"/>
          <w14:ligatures w14:val="none"/>
        </w:rPr>
      </w:pPr>
    </w:p>
    <w:p w14:paraId="54829943"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A forgalomba hozatali engedély jogosultja:</w:t>
      </w:r>
    </w:p>
    <w:p w14:paraId="313E8851" w14:textId="77777777" w:rsidR="00860BB1" w:rsidRPr="00860BB1" w:rsidRDefault="00860BB1" w:rsidP="00860BB1">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Richter Gedeon Nyrt.</w:t>
      </w:r>
    </w:p>
    <w:p w14:paraId="47005142" w14:textId="77777777" w:rsidR="00860BB1" w:rsidRPr="00860BB1" w:rsidRDefault="00860BB1" w:rsidP="00860BB1">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Gyömrői út 19-21.</w:t>
      </w:r>
    </w:p>
    <w:p w14:paraId="723A35E7" w14:textId="77777777" w:rsidR="00860BB1" w:rsidRPr="00860BB1" w:rsidRDefault="00860BB1" w:rsidP="00860BB1">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1103 Budapest</w:t>
      </w:r>
    </w:p>
    <w:p w14:paraId="3E32D275" w14:textId="77777777" w:rsidR="00860BB1" w:rsidRPr="00860BB1" w:rsidRDefault="00860BB1" w:rsidP="00860BB1">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Magyarország</w:t>
      </w:r>
    </w:p>
    <w:p w14:paraId="3EC0AFF1" w14:textId="77777777" w:rsidR="00860BB1" w:rsidRPr="00860BB1" w:rsidRDefault="00860BB1" w:rsidP="00860BB1">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012A7770" w14:textId="77777777" w:rsidR="00860BB1" w:rsidRPr="00860BB1" w:rsidRDefault="00860BB1" w:rsidP="00860BB1">
      <w:pPr>
        <w:widowControl w:val="0"/>
        <w:autoSpaceDE w:val="0"/>
        <w:autoSpaceDN w:val="0"/>
        <w:adjustRightInd w:val="0"/>
        <w:spacing w:after="0" w:line="240" w:lineRule="auto"/>
        <w:rPr>
          <w:rFonts w:ascii="Times New Roman" w:eastAsia="Times New Roman" w:hAnsi="Times New Roman" w:cs="Times New Roman"/>
          <w:b/>
          <w:bCs/>
          <w:noProof w:val="0"/>
          <w:kern w:val="0"/>
          <w:lang w:val="hu-HU" w:eastAsia="pl-PL"/>
          <w14:ligatures w14:val="none"/>
        </w:rPr>
      </w:pPr>
      <w:r w:rsidRPr="00860BB1">
        <w:rPr>
          <w:rFonts w:ascii="Times New Roman" w:eastAsia="Times New Roman" w:hAnsi="Times New Roman" w:cs="Times New Roman"/>
          <w:b/>
          <w:bCs/>
          <w:noProof w:val="0"/>
          <w:kern w:val="0"/>
          <w:lang w:val="hu-HU" w:eastAsia="pl-PL"/>
          <w14:ligatures w14:val="none"/>
        </w:rPr>
        <w:t>A gyártó:</w:t>
      </w:r>
    </w:p>
    <w:p w14:paraId="5534B0B8" w14:textId="77777777" w:rsidR="00860BB1" w:rsidRPr="00860BB1" w:rsidRDefault="00860BB1" w:rsidP="00860BB1">
      <w:pPr>
        <w:widowControl w:val="0"/>
        <w:autoSpaceDE w:val="0"/>
        <w:autoSpaceDN w:val="0"/>
        <w:adjustRightInd w:val="0"/>
        <w:spacing w:after="0" w:line="240" w:lineRule="auto"/>
        <w:rPr>
          <w:rFonts w:ascii="Times New Roman" w:eastAsia="Times New Roman" w:hAnsi="Times New Roman" w:cs="Times New Roman"/>
          <w:noProof w:val="0"/>
          <w:kern w:val="0"/>
          <w:lang w:val="hu-HU" w:eastAsia="pl-PL"/>
          <w14:ligatures w14:val="none"/>
        </w:rPr>
      </w:pPr>
      <w:r w:rsidRPr="00860BB1">
        <w:rPr>
          <w:rFonts w:ascii="Times New Roman" w:eastAsia="Times New Roman" w:hAnsi="Times New Roman" w:cs="Times New Roman"/>
          <w:noProof w:val="0"/>
          <w:kern w:val="0"/>
          <w:lang w:val="hu-HU" w:eastAsia="pl-PL"/>
          <w14:ligatures w14:val="none"/>
        </w:rPr>
        <w:t>GEDEON RICHTER POLSKA Sp. z o.o.</w:t>
      </w:r>
    </w:p>
    <w:p w14:paraId="616C630D" w14:textId="77777777" w:rsidR="00860BB1" w:rsidRPr="00860BB1" w:rsidRDefault="00860BB1" w:rsidP="00860BB1">
      <w:pPr>
        <w:widowControl w:val="0"/>
        <w:autoSpaceDE w:val="0"/>
        <w:autoSpaceDN w:val="0"/>
        <w:adjustRightInd w:val="0"/>
        <w:spacing w:after="0" w:line="240" w:lineRule="auto"/>
        <w:rPr>
          <w:rFonts w:ascii="Times New Roman" w:eastAsia="Times New Roman" w:hAnsi="Times New Roman" w:cs="Times New Roman"/>
          <w:noProof w:val="0"/>
          <w:kern w:val="0"/>
          <w:lang w:val="hu-HU" w:eastAsia="pl-PL"/>
          <w14:ligatures w14:val="none"/>
        </w:rPr>
      </w:pPr>
      <w:r w:rsidRPr="00860BB1">
        <w:rPr>
          <w:rFonts w:ascii="Times New Roman" w:eastAsia="Times New Roman" w:hAnsi="Times New Roman" w:cs="Times New Roman"/>
          <w:noProof w:val="0"/>
          <w:kern w:val="0"/>
          <w:lang w:val="hu-HU" w:eastAsia="pl-PL"/>
          <w14:ligatures w14:val="none"/>
        </w:rPr>
        <w:t>ul. ks. J. Poniatowskiego 5</w:t>
      </w:r>
    </w:p>
    <w:p w14:paraId="1620D7B8" w14:textId="77777777" w:rsidR="00860BB1" w:rsidRPr="00860BB1" w:rsidRDefault="00860BB1" w:rsidP="00860BB1">
      <w:pPr>
        <w:widowControl w:val="0"/>
        <w:autoSpaceDE w:val="0"/>
        <w:autoSpaceDN w:val="0"/>
        <w:adjustRightInd w:val="0"/>
        <w:spacing w:after="0" w:line="240" w:lineRule="auto"/>
        <w:rPr>
          <w:rFonts w:ascii="Times New Roman" w:eastAsia="Times New Roman" w:hAnsi="Times New Roman" w:cs="Times New Roman"/>
          <w:noProof w:val="0"/>
          <w:kern w:val="0"/>
          <w:lang w:val="hu-HU" w:eastAsia="pl-PL"/>
          <w14:ligatures w14:val="none"/>
        </w:rPr>
      </w:pPr>
      <w:r w:rsidRPr="00860BB1">
        <w:rPr>
          <w:rFonts w:ascii="Times New Roman" w:eastAsia="Times New Roman" w:hAnsi="Times New Roman" w:cs="Times New Roman"/>
          <w:noProof w:val="0"/>
          <w:kern w:val="0"/>
          <w:lang w:val="hu-HU" w:eastAsia="pl-PL"/>
          <w14:ligatures w14:val="none"/>
        </w:rPr>
        <w:t>05-825 Grodzisk Mazowiecki</w:t>
      </w:r>
    </w:p>
    <w:p w14:paraId="05007A33" w14:textId="77777777" w:rsidR="00860BB1" w:rsidRPr="00860BB1" w:rsidRDefault="00860BB1" w:rsidP="00860BB1">
      <w:pPr>
        <w:widowControl w:val="0"/>
        <w:spacing w:after="0" w:line="240" w:lineRule="auto"/>
        <w:ind w:left="22" w:hanging="10"/>
        <w:rPr>
          <w:rFonts w:ascii="Times New Roman" w:eastAsia="Times New Roman" w:hAnsi="Times New Roman" w:cs="Times New Roman"/>
          <w:b/>
          <w:bCs/>
          <w:noProof w:val="0"/>
          <w:color w:val="000000"/>
          <w:kern w:val="0"/>
          <w:lang w:val="hu-HU" w:eastAsia="hu-HU" w:bidi="en-US"/>
          <w14:ligatures w14:val="none"/>
        </w:rPr>
      </w:pPr>
      <w:r w:rsidRPr="00860BB1">
        <w:rPr>
          <w:rFonts w:ascii="Times New Roman" w:eastAsia="Times New Roman" w:hAnsi="Times New Roman" w:cs="Times New Roman"/>
          <w:noProof w:val="0"/>
          <w:color w:val="000000"/>
          <w:kern w:val="0"/>
          <w:lang w:val="hu-HU" w:eastAsia="hu-HU" w:bidi="en-US"/>
          <w14:ligatures w14:val="none"/>
        </w:rPr>
        <w:t>Lengyelország</w:t>
      </w:r>
    </w:p>
    <w:p w14:paraId="7E5CAD85" w14:textId="77777777" w:rsidR="00860BB1" w:rsidRPr="00860BB1" w:rsidRDefault="00860BB1" w:rsidP="00860BB1">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p>
    <w:p w14:paraId="4479D3F5" w14:textId="77777777" w:rsidR="00860BB1" w:rsidRPr="00860BB1" w:rsidRDefault="00860BB1" w:rsidP="00860BB1">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és</w:t>
      </w:r>
    </w:p>
    <w:p w14:paraId="10C53599" w14:textId="77777777" w:rsidR="00860BB1" w:rsidRPr="00860BB1" w:rsidRDefault="00860BB1" w:rsidP="00860BB1">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p>
    <w:p w14:paraId="78A5EF04" w14:textId="77777777" w:rsidR="00860BB1" w:rsidRPr="00860BB1" w:rsidRDefault="00860BB1" w:rsidP="00860BB1">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Richter Gedeon Nyrt.</w:t>
      </w:r>
    </w:p>
    <w:p w14:paraId="10CF74C0" w14:textId="77777777" w:rsidR="00860BB1" w:rsidRPr="00860BB1" w:rsidRDefault="00860BB1" w:rsidP="00860BB1">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Gyömrői út 19-21.</w:t>
      </w:r>
    </w:p>
    <w:p w14:paraId="01BEACD1" w14:textId="77777777" w:rsidR="00860BB1" w:rsidRPr="00860BB1" w:rsidRDefault="00860BB1" w:rsidP="00860BB1">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H</w:t>
      </w:r>
      <w:r w:rsidRPr="00860BB1">
        <w:rPr>
          <w:rFonts w:ascii="Times New Roman" w:eastAsia="Times New Roman" w:hAnsi="Times New Roman" w:cs="Times New Roman"/>
          <w:noProof w:val="0"/>
          <w:color w:val="000000"/>
          <w:kern w:val="0"/>
          <w:lang w:val="hu-HU" w:eastAsia="hu-HU"/>
          <w14:ligatures w14:val="none"/>
        </w:rPr>
        <w:noBreakHyphen/>
        <w:t>1103 Budapest</w:t>
      </w:r>
    </w:p>
    <w:p w14:paraId="0AF870D9" w14:textId="77777777" w:rsidR="00860BB1" w:rsidRPr="00860BB1" w:rsidRDefault="00860BB1" w:rsidP="00860BB1">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Magyarország</w:t>
      </w:r>
    </w:p>
    <w:p w14:paraId="780DDAAC" w14:textId="77777777" w:rsidR="00860BB1" w:rsidRPr="00860BB1" w:rsidRDefault="00860BB1" w:rsidP="00860BB1">
      <w:pPr>
        <w:spacing w:after="0" w:line="240" w:lineRule="auto"/>
        <w:ind w:right="11"/>
        <w:rPr>
          <w:rFonts w:ascii="Times New Roman" w:eastAsia="Times New Roman" w:hAnsi="Times New Roman" w:cs="Times New Roman"/>
          <w:noProof w:val="0"/>
          <w:color w:val="000000"/>
          <w:kern w:val="0"/>
          <w:highlight w:val="yellow"/>
          <w:lang w:val="hu-HU" w:eastAsia="hu-HU"/>
          <w14:ligatures w14:val="none"/>
        </w:rPr>
      </w:pPr>
    </w:p>
    <w:p w14:paraId="468ADEE7" w14:textId="77777777" w:rsidR="00860BB1" w:rsidRPr="00860BB1" w:rsidRDefault="00860BB1" w:rsidP="00860BB1">
      <w:pPr>
        <w:spacing w:after="0" w:line="240" w:lineRule="auto"/>
        <w:ind w:left="7" w:hanging="10"/>
        <w:rPr>
          <w:rFonts w:ascii="Times New Roman" w:eastAsia="Times New Roman" w:hAnsi="Times New Roman" w:cs="Times New Roman"/>
          <w:b/>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Ezt a gyógyszert az Európai Gazdasági Térség az alábbi neveken engedélyezték:</w:t>
      </w:r>
    </w:p>
    <w:p w14:paraId="58961A29"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highlight w:val="yellow"/>
          <w:lang w:val="hu-HU" w:eastAsia="hu-HU"/>
          <w14:ligatures w14:val="none"/>
        </w:rPr>
      </w:pPr>
    </w:p>
    <w:p w14:paraId="1176735C" w14:textId="77777777" w:rsidR="00860BB1" w:rsidRPr="00860BB1" w:rsidRDefault="00860BB1" w:rsidP="00860BB1">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lastRenderedPageBreak/>
        <w:t>Bulgária</w:t>
      </w:r>
      <w:r w:rsidRPr="00860BB1">
        <w:rPr>
          <w:rFonts w:ascii="Times New Roman" w:eastAsia="Times New Roman" w:hAnsi="Times New Roman" w:cs="Times New Roman"/>
          <w:noProof w:val="0"/>
          <w:color w:val="000000"/>
          <w:kern w:val="0"/>
          <w:lang w:val="hu-HU" w:eastAsia="hu-HU"/>
          <w14:ligatures w14:val="none"/>
        </w:rPr>
        <w:tab/>
      </w:r>
      <w:r w:rsidRPr="00860BB1">
        <w:rPr>
          <w:rFonts w:ascii="Times New Roman" w:eastAsia="Times New Roman" w:hAnsi="Times New Roman" w:cs="Times New Roman"/>
          <w:bCs/>
          <w:color w:val="000000"/>
          <w:kern w:val="0"/>
          <w:lang w:val="hu-HU" w:eastAsia="hu-HU"/>
          <w14:ligatures w14:val="none"/>
        </w:rPr>
        <w:t>Телексер</w:t>
      </w:r>
      <w:r w:rsidRPr="00860BB1">
        <w:rPr>
          <w:rFonts w:ascii="Times New Roman" w:eastAsia="Times New Roman" w:hAnsi="Times New Roman" w:cs="Times New Roman"/>
          <w:noProof w:val="0"/>
          <w:color w:val="000000"/>
          <w:kern w:val="0"/>
          <w:lang w:val="hu-HU" w:eastAsia="hu-HU"/>
          <w14:ligatures w14:val="none"/>
        </w:rPr>
        <w:t xml:space="preserve"> 110 mg твърди капсули</w:t>
      </w:r>
    </w:p>
    <w:p w14:paraId="08344972" w14:textId="77777777" w:rsidR="00860BB1" w:rsidRPr="00860BB1" w:rsidRDefault="00860BB1" w:rsidP="00860BB1">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Csehország</w:t>
      </w:r>
      <w:r w:rsidRPr="00860BB1">
        <w:rPr>
          <w:rFonts w:ascii="Times New Roman" w:eastAsia="Times New Roman" w:hAnsi="Times New Roman" w:cs="Times New Roman"/>
          <w:noProof w:val="0"/>
          <w:color w:val="000000"/>
          <w:kern w:val="0"/>
          <w:lang w:val="hu-HU" w:eastAsia="hu-HU"/>
          <w14:ligatures w14:val="none"/>
        </w:rPr>
        <w:tab/>
        <w:t>Telexer</w:t>
      </w:r>
    </w:p>
    <w:p w14:paraId="58F256A8" w14:textId="77777777" w:rsidR="00860BB1" w:rsidRPr="00860BB1" w:rsidRDefault="00860BB1" w:rsidP="00860BB1">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Észtország</w:t>
      </w:r>
      <w:r w:rsidRPr="00860BB1">
        <w:rPr>
          <w:rFonts w:ascii="Times New Roman" w:eastAsia="Times New Roman" w:hAnsi="Times New Roman" w:cs="Times New Roman"/>
          <w:noProof w:val="0"/>
          <w:color w:val="000000"/>
          <w:kern w:val="0"/>
          <w:lang w:val="hu-HU" w:eastAsia="hu-HU"/>
          <w14:ligatures w14:val="none"/>
        </w:rPr>
        <w:tab/>
        <w:t>Telexer</w:t>
      </w:r>
    </w:p>
    <w:p w14:paraId="63F3465E" w14:textId="77777777" w:rsidR="00860BB1" w:rsidRPr="00860BB1" w:rsidRDefault="00860BB1" w:rsidP="00860BB1">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Lengyelország</w:t>
      </w:r>
      <w:r w:rsidRPr="00860BB1">
        <w:rPr>
          <w:rFonts w:ascii="Times New Roman" w:eastAsia="Times New Roman" w:hAnsi="Times New Roman" w:cs="Times New Roman"/>
          <w:noProof w:val="0"/>
          <w:color w:val="000000"/>
          <w:kern w:val="0"/>
          <w:lang w:val="hu-HU" w:eastAsia="hu-HU"/>
          <w14:ligatures w14:val="none"/>
        </w:rPr>
        <w:tab/>
        <w:t>Telexer</w:t>
      </w:r>
    </w:p>
    <w:p w14:paraId="06DF6E1A" w14:textId="77777777" w:rsidR="00860BB1" w:rsidRPr="00860BB1" w:rsidRDefault="00860BB1" w:rsidP="00860BB1">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Lettország</w:t>
      </w:r>
      <w:r w:rsidRPr="00860BB1">
        <w:rPr>
          <w:rFonts w:ascii="Times New Roman" w:eastAsia="Times New Roman" w:hAnsi="Times New Roman" w:cs="Times New Roman"/>
          <w:noProof w:val="0"/>
          <w:color w:val="000000"/>
          <w:kern w:val="0"/>
          <w:lang w:val="hu-HU" w:eastAsia="hu-HU"/>
          <w14:ligatures w14:val="none"/>
        </w:rPr>
        <w:tab/>
      </w:r>
      <w:r w:rsidRPr="00860BB1">
        <w:rPr>
          <w:rFonts w:ascii="Times New Roman" w:eastAsia="Times New Roman" w:hAnsi="Times New Roman" w:cs="Times New Roman"/>
          <w:noProof w:val="0"/>
          <w:color w:val="000000"/>
          <w:spacing w:val="-2"/>
          <w:kern w:val="0"/>
          <w:lang w:val="hu-HU" w:eastAsia="hu-HU"/>
          <w14:ligatures w14:val="none"/>
        </w:rPr>
        <w:t>Telexer 110</w:t>
      </w:r>
      <w:r w:rsidRPr="00860BB1">
        <w:rPr>
          <w:rFonts w:ascii="Times New Roman" w:eastAsia="Times New Roman" w:hAnsi="Times New Roman" w:cs="Times New Roman"/>
          <w:color w:val="000000"/>
          <w:kern w:val="0"/>
          <w:szCs w:val="24"/>
          <w:lang w:val="lt-LT" w:eastAsia="hu-HU"/>
          <w14:ligatures w14:val="none"/>
        </w:rPr>
        <w:t> </w:t>
      </w:r>
      <w:r w:rsidRPr="00860BB1">
        <w:rPr>
          <w:rFonts w:ascii="Times New Roman" w:eastAsia="Times New Roman" w:hAnsi="Times New Roman" w:cs="Times New Roman"/>
          <w:noProof w:val="0"/>
          <w:color w:val="000000"/>
          <w:spacing w:val="-2"/>
          <w:kern w:val="0"/>
          <w:lang w:val="hu-HU" w:eastAsia="hu-HU"/>
          <w14:ligatures w14:val="none"/>
        </w:rPr>
        <w:t>mg cietās kapsulas</w:t>
      </w:r>
    </w:p>
    <w:p w14:paraId="448F88C7" w14:textId="77777777" w:rsidR="00860BB1" w:rsidRPr="00860BB1" w:rsidRDefault="00860BB1" w:rsidP="00860BB1">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Litvánia</w:t>
      </w:r>
      <w:r w:rsidRPr="00860BB1">
        <w:rPr>
          <w:rFonts w:ascii="Times New Roman" w:eastAsia="Times New Roman" w:hAnsi="Times New Roman" w:cs="Times New Roman"/>
          <w:noProof w:val="0"/>
          <w:color w:val="000000"/>
          <w:kern w:val="0"/>
          <w:lang w:val="hu-HU" w:eastAsia="hu-HU"/>
          <w14:ligatures w14:val="none"/>
        </w:rPr>
        <w:tab/>
        <w:t>Telexer 110 mg kietosios kapsulės</w:t>
      </w:r>
    </w:p>
    <w:p w14:paraId="517F1003" w14:textId="77777777" w:rsidR="00860BB1" w:rsidRPr="00860BB1" w:rsidRDefault="00860BB1" w:rsidP="00860BB1">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Magyarország</w:t>
      </w:r>
      <w:r w:rsidRPr="00860BB1">
        <w:rPr>
          <w:rFonts w:ascii="Times New Roman" w:eastAsia="Times New Roman" w:hAnsi="Times New Roman" w:cs="Times New Roman"/>
          <w:noProof w:val="0"/>
          <w:color w:val="000000"/>
          <w:kern w:val="0"/>
          <w:lang w:val="hu-HU" w:eastAsia="hu-HU"/>
          <w14:ligatures w14:val="none"/>
        </w:rPr>
        <w:tab/>
        <w:t>Telexer 110 mg kemény kapszula</w:t>
      </w:r>
    </w:p>
    <w:p w14:paraId="12961524" w14:textId="77777777" w:rsidR="00860BB1" w:rsidRPr="00860BB1" w:rsidRDefault="00860BB1" w:rsidP="00860BB1">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Románia</w:t>
      </w:r>
      <w:r w:rsidRPr="00860BB1">
        <w:rPr>
          <w:rFonts w:ascii="Times New Roman" w:eastAsia="Times New Roman" w:hAnsi="Times New Roman" w:cs="Times New Roman"/>
          <w:noProof w:val="0"/>
          <w:color w:val="000000"/>
          <w:kern w:val="0"/>
          <w:lang w:val="hu-HU" w:eastAsia="hu-HU"/>
          <w14:ligatures w14:val="none"/>
        </w:rPr>
        <w:tab/>
        <w:t>Telexer 110 mg capsule</w:t>
      </w:r>
    </w:p>
    <w:p w14:paraId="22B5B596" w14:textId="77777777" w:rsidR="00860BB1" w:rsidRPr="00860BB1" w:rsidRDefault="00860BB1" w:rsidP="00860BB1">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Szlovákia</w:t>
      </w:r>
      <w:r w:rsidRPr="00860BB1">
        <w:rPr>
          <w:rFonts w:ascii="Times New Roman" w:eastAsia="Times New Roman" w:hAnsi="Times New Roman" w:cs="Times New Roman"/>
          <w:noProof w:val="0"/>
          <w:color w:val="000000"/>
          <w:kern w:val="0"/>
          <w:lang w:val="hu-HU" w:eastAsia="hu-HU"/>
          <w14:ligatures w14:val="none"/>
        </w:rPr>
        <w:tab/>
        <w:t>Telexer 110 mg tvrdé kapsuly</w:t>
      </w:r>
    </w:p>
    <w:p w14:paraId="3003F51D"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p>
    <w:p w14:paraId="22DF272A" w14:textId="1C2C7750"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OGYI-T-24106/01</w:t>
      </w:r>
      <w:r w:rsidRPr="00860BB1">
        <w:rPr>
          <w:rFonts w:ascii="Times New Roman" w:eastAsia="Times New Roman" w:hAnsi="Times New Roman" w:cs="Times New Roman"/>
          <w:noProof w:val="0"/>
          <w:color w:val="000000"/>
          <w:kern w:val="0"/>
          <w:lang w:val="hu-HU" w:eastAsia="hu-HU"/>
          <w14:ligatures w14:val="none"/>
        </w:rPr>
        <w:tab/>
        <w:t>10×</w:t>
      </w:r>
      <w:r w:rsidRPr="00860BB1">
        <w:rPr>
          <w:rFonts w:ascii="Times New Roman" w:eastAsia="Times New Roman" w:hAnsi="Times New Roman" w:cs="Times New Roman"/>
          <w:noProof w:val="0"/>
          <w:color w:val="000000"/>
          <w:kern w:val="0"/>
          <w:lang w:val="hu-HU" w:eastAsia="hu-HU"/>
          <w14:ligatures w14:val="none"/>
        </w:rPr>
        <w:tab/>
        <w:t>OPA/Al/PE lágy fóliából és kemény alumíniumfóliából álló Al/Al buborékcsomagolás.</w:t>
      </w:r>
    </w:p>
    <w:p w14:paraId="65EE30A0" w14:textId="70EA0323"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OGYI-T-24106/03</w:t>
      </w:r>
      <w:r w:rsidRPr="00860BB1">
        <w:rPr>
          <w:rFonts w:ascii="Times New Roman" w:eastAsia="Times New Roman" w:hAnsi="Times New Roman" w:cs="Times New Roman"/>
          <w:noProof w:val="0"/>
          <w:color w:val="000000"/>
          <w:kern w:val="0"/>
          <w:lang w:val="hu-HU" w:eastAsia="hu-HU"/>
          <w14:ligatures w14:val="none"/>
        </w:rPr>
        <w:tab/>
        <w:t>30×</w:t>
      </w:r>
      <w:r w:rsidRPr="00860BB1">
        <w:rPr>
          <w:rFonts w:ascii="Times New Roman" w:eastAsia="Times New Roman" w:hAnsi="Times New Roman" w:cs="Times New Roman"/>
          <w:noProof w:val="0"/>
          <w:color w:val="000000"/>
          <w:kern w:val="0"/>
          <w:lang w:val="hu-HU" w:eastAsia="hu-HU"/>
          <w14:ligatures w14:val="none"/>
        </w:rPr>
        <w:tab/>
        <w:t>OPA/Al/PE lágy fóliából és kemény alumíniumfóliából álló Al/Al buborékcsomagolás.</w:t>
      </w:r>
    </w:p>
    <w:p w14:paraId="7DCC5711"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OGYI-T-24106/05</w:t>
      </w:r>
      <w:r w:rsidRPr="00860BB1">
        <w:rPr>
          <w:rFonts w:ascii="Times New Roman" w:eastAsia="Times New Roman" w:hAnsi="Times New Roman" w:cs="Times New Roman"/>
          <w:noProof w:val="0"/>
          <w:color w:val="000000"/>
          <w:kern w:val="0"/>
          <w:lang w:val="hu-HU" w:eastAsia="hu-HU"/>
          <w14:ligatures w14:val="none"/>
        </w:rPr>
        <w:tab/>
        <w:t>60×</w:t>
      </w:r>
      <w:r w:rsidRPr="00860BB1">
        <w:rPr>
          <w:rFonts w:ascii="Times New Roman" w:eastAsia="Times New Roman" w:hAnsi="Times New Roman" w:cs="Times New Roman"/>
          <w:noProof w:val="0"/>
          <w:color w:val="000000"/>
          <w:kern w:val="0"/>
          <w:lang w:val="hu-HU" w:eastAsia="hu-HU"/>
          <w14:ligatures w14:val="none"/>
        </w:rPr>
        <w:tab/>
        <w:t>OPA/Al/PE lágy fóliából és kemény alumíniumfóliából álló Al/Al buborékcsomagolás.</w:t>
      </w:r>
    </w:p>
    <w:p w14:paraId="23352B6D" w14:textId="4EFDA9DC" w:rsidR="00860BB1" w:rsidRPr="00860BB1" w:rsidRDefault="00860BB1" w:rsidP="00860BB1">
      <w:pPr>
        <w:spacing w:after="0" w:line="240" w:lineRule="auto"/>
        <w:rPr>
          <w:rFonts w:ascii="Times New Roman" w:eastAsia="Times New Roman" w:hAnsi="Times New Roman" w:cs="Times New Roman"/>
          <w:noProof w:val="0"/>
          <w:color w:val="000000"/>
          <w:kern w:val="0"/>
          <w:lang w:val="hu-HU" w:eastAsia="hu-HU"/>
          <w14:ligatures w14:val="none"/>
        </w:rPr>
      </w:pPr>
      <w:r w:rsidRPr="00860BB1">
        <w:rPr>
          <w:rFonts w:ascii="Times New Roman" w:eastAsia="Times New Roman" w:hAnsi="Times New Roman" w:cs="Times New Roman"/>
          <w:noProof w:val="0"/>
          <w:color w:val="000000"/>
          <w:kern w:val="0"/>
          <w:lang w:val="hu-HU" w:eastAsia="hu-HU"/>
          <w14:ligatures w14:val="none"/>
        </w:rPr>
        <w:t>OGYI-T-24106/07</w:t>
      </w:r>
      <w:r w:rsidR="001613D9">
        <w:rPr>
          <w:rFonts w:ascii="Times New Roman" w:eastAsia="Times New Roman" w:hAnsi="Times New Roman" w:cs="Times New Roman"/>
          <w:noProof w:val="0"/>
          <w:color w:val="000000"/>
          <w:kern w:val="0"/>
          <w:lang w:val="hu-HU" w:eastAsia="hu-HU"/>
          <w14:ligatures w14:val="none"/>
        </w:rPr>
        <w:tab/>
      </w:r>
      <w:r w:rsidRPr="00860BB1">
        <w:rPr>
          <w:rFonts w:ascii="Times New Roman" w:eastAsia="Times New Roman" w:hAnsi="Times New Roman" w:cs="Times New Roman"/>
          <w:noProof w:val="0"/>
          <w:color w:val="000000"/>
          <w:kern w:val="0"/>
          <w:lang w:val="hu-HU" w:eastAsia="hu-HU"/>
          <w14:ligatures w14:val="none"/>
        </w:rPr>
        <w:t>180× (3×60)</w:t>
      </w:r>
      <w:r w:rsidRPr="00860BB1">
        <w:rPr>
          <w:rFonts w:ascii="Times New Roman" w:eastAsia="Times New Roman" w:hAnsi="Times New Roman" w:cs="Times New Roman"/>
          <w:noProof w:val="0"/>
          <w:color w:val="000000"/>
          <w:kern w:val="0"/>
          <w:lang w:val="hu-HU" w:eastAsia="hu-HU"/>
          <w14:ligatures w14:val="none"/>
        </w:rPr>
        <w:tab/>
        <w:t>OPA/Al/PE lágy fóliából és kemény alumíniumfóliából álló Al/Al buborékcsomagolás.</w:t>
      </w:r>
    </w:p>
    <w:p w14:paraId="49CFBF00" w14:textId="77777777" w:rsidR="00860BB1" w:rsidRPr="00860BB1" w:rsidRDefault="00860BB1" w:rsidP="00860BB1">
      <w:pPr>
        <w:spacing w:after="0" w:line="240" w:lineRule="auto"/>
        <w:ind w:left="7" w:hanging="10"/>
        <w:rPr>
          <w:rFonts w:ascii="Times New Roman" w:eastAsia="Times New Roman" w:hAnsi="Times New Roman" w:cs="Times New Roman"/>
          <w:noProof w:val="0"/>
          <w:color w:val="000000"/>
          <w:kern w:val="0"/>
          <w:lang w:val="hu-HU" w:eastAsia="hu-HU"/>
          <w14:ligatures w14:val="none"/>
        </w:rPr>
      </w:pPr>
    </w:p>
    <w:p w14:paraId="41DF4B00" w14:textId="746A3509" w:rsidR="00860BB1" w:rsidRPr="00860BB1" w:rsidRDefault="00860BB1" w:rsidP="00860BB1">
      <w:pPr>
        <w:spacing w:after="0" w:line="240" w:lineRule="auto"/>
        <w:ind w:left="7" w:hanging="10"/>
        <w:rPr>
          <w:rFonts w:ascii="Times New Roman" w:eastAsia="Times New Roman" w:hAnsi="Times New Roman" w:cs="Times New Roman"/>
          <w:b/>
          <w:noProof w:val="0"/>
          <w:color w:val="000000"/>
          <w:kern w:val="0"/>
          <w:lang w:val="hu-HU" w:eastAsia="hu-HU"/>
          <w14:ligatures w14:val="none"/>
        </w:rPr>
      </w:pPr>
      <w:r w:rsidRPr="00860BB1">
        <w:rPr>
          <w:rFonts w:ascii="Times New Roman" w:eastAsia="Times New Roman" w:hAnsi="Times New Roman" w:cs="Times New Roman"/>
          <w:b/>
          <w:noProof w:val="0"/>
          <w:color w:val="000000"/>
          <w:kern w:val="0"/>
          <w:lang w:val="hu-HU" w:eastAsia="hu-HU"/>
          <w14:ligatures w14:val="none"/>
        </w:rPr>
        <w:t xml:space="preserve">A betegtájékoztató legutóbbi felülvizsgálatának dátuma: </w:t>
      </w:r>
      <w:r w:rsidR="0055789C">
        <w:rPr>
          <w:rFonts w:ascii="Times New Roman" w:eastAsia="Times New Roman" w:hAnsi="Times New Roman" w:cs="Times New Roman"/>
          <w:b/>
          <w:noProof w:val="0"/>
          <w:color w:val="000000"/>
          <w:kern w:val="0"/>
          <w:lang w:val="hu-HU" w:eastAsia="hu-HU"/>
          <w14:ligatures w14:val="none"/>
        </w:rPr>
        <w:t>2026. július.</w:t>
      </w:r>
    </w:p>
    <w:bookmarkEnd w:id="0"/>
    <w:p w14:paraId="2E4D1D56" w14:textId="77777777" w:rsidR="00860BB1" w:rsidRPr="00860BB1" w:rsidRDefault="00860BB1" w:rsidP="00860BB1">
      <w:pPr>
        <w:spacing w:after="0" w:line="240" w:lineRule="auto"/>
        <w:ind w:right="11"/>
        <w:rPr>
          <w:rFonts w:ascii="Times New Roman" w:eastAsia="Times New Roman" w:hAnsi="Times New Roman" w:cs="Times New Roman"/>
          <w:noProof w:val="0"/>
          <w:color w:val="000000"/>
          <w:kern w:val="0"/>
          <w:lang w:val="hu-HU" w:eastAsia="hu-HU"/>
          <w14:ligatures w14:val="none"/>
        </w:rPr>
      </w:pPr>
    </w:p>
    <w:p w14:paraId="6D2E1A51" w14:textId="77777777" w:rsidR="00955F00" w:rsidRPr="00260C00" w:rsidRDefault="00955F00" w:rsidP="00260C0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p>
    <w:sectPr w:rsidR="00955F00" w:rsidRPr="00260C00" w:rsidSect="000D5FE6">
      <w:headerReference w:type="even" r:id="rId9"/>
      <w:headerReference w:type="default" r:id="rId10"/>
      <w:footerReference w:type="even" r:id="rId11"/>
      <w:footerReference w:type="default" r:id="rId12"/>
      <w:headerReference w:type="first" r:id="rId13"/>
      <w:footerReference w:type="first" r:id="rId14"/>
      <w:pgSz w:w="11905" w:h="16838"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F7181" w14:textId="77777777" w:rsidR="00032131" w:rsidRDefault="00032131">
      <w:pPr>
        <w:spacing w:after="0" w:line="240" w:lineRule="auto"/>
      </w:pPr>
      <w:r>
        <w:separator/>
      </w:r>
    </w:p>
  </w:endnote>
  <w:endnote w:type="continuationSeparator" w:id="0">
    <w:p w14:paraId="1242CC49" w14:textId="77777777" w:rsidR="00032131" w:rsidRDefault="00032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92E82" w14:textId="77777777" w:rsidR="00860BB1" w:rsidRDefault="00860BB1">
    <w:pPr>
      <w:spacing w:after="0"/>
      <w:ind w:right="97"/>
      <w:jc w:val="center"/>
    </w:pPr>
    <w:r>
      <w:rPr>
        <w:rFonts w:ascii="Times New Roman" w:eastAsia="Times New Roman" w:hAnsi="Times New Roman" w:cs="Times New Roman"/>
      </w:rPr>
      <w:fldChar w:fldCharType="begin"/>
    </w:r>
    <w:r>
      <w:instrText xml:space="preserve"> PAGE   \* MERGEFORMAT </w:instrText>
    </w:r>
    <w:r>
      <w:rPr>
        <w:rFonts w:ascii="Times New Roman" w:eastAsia="Times New Roman" w:hAnsi="Times New Roman" w:cs="Times New Roman"/>
      </w:rPr>
      <w:fldChar w:fldCharType="separate"/>
    </w:r>
    <w:r w:rsidRPr="00624C38">
      <w:rPr>
        <w:rFonts w:ascii="Arial" w:eastAsia="Arial" w:hAnsi="Arial" w:cs="Arial"/>
        <w:sz w:val="16"/>
      </w:rPr>
      <w:t>12</w:t>
    </w:r>
    <w:r>
      <w:rPr>
        <w:rFonts w:ascii="Arial" w:eastAsia="Arial" w:hAnsi="Arial" w:cs="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1A781" w14:textId="77777777" w:rsidR="00860BB1" w:rsidRDefault="00860BB1">
    <w:pPr>
      <w:spacing w:after="0"/>
      <w:ind w:right="97"/>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CA317" w14:textId="3C416EDB" w:rsidR="00860BB1" w:rsidRPr="00260C00" w:rsidRDefault="00706291" w:rsidP="00570560">
    <w:pPr>
      <w:tabs>
        <w:tab w:val="left" w:pos="2760"/>
        <w:tab w:val="center" w:pos="4486"/>
      </w:tabs>
      <w:spacing w:after="0"/>
      <w:ind w:right="97"/>
      <w:rPr>
        <w:rFonts w:ascii="Times New Roman" w:hAnsi="Times New Roman" w:cs="Times New Roman"/>
        <w:sz w:val="18"/>
        <w:szCs w:val="18"/>
      </w:rPr>
    </w:pPr>
    <w:r w:rsidRPr="00260C00">
      <w:rPr>
        <w:rFonts w:ascii="Times New Roman" w:hAnsi="Times New Roman" w:cs="Times New Roman"/>
        <w:sz w:val="18"/>
        <w:szCs w:val="18"/>
      </w:rPr>
      <w:t>NNGYK/ETGY/19798/2026</w:t>
    </w:r>
    <w:r w:rsidRPr="00260C00" w:rsidDel="00011728">
      <w:rPr>
        <w:rFonts w:ascii="Times New Roman" w:hAnsi="Times New Roman" w:cs="Times New Roman"/>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FD568" w14:textId="77777777" w:rsidR="00032131" w:rsidRDefault="00032131">
      <w:pPr>
        <w:spacing w:after="0" w:line="240" w:lineRule="auto"/>
      </w:pPr>
      <w:r>
        <w:separator/>
      </w:r>
    </w:p>
  </w:footnote>
  <w:footnote w:type="continuationSeparator" w:id="0">
    <w:p w14:paraId="40F4C02F" w14:textId="77777777" w:rsidR="00032131" w:rsidRDefault="000321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B3A04" w14:textId="77777777" w:rsidR="00860BB1" w:rsidRDefault="00860BB1">
    <w:pPr>
      <w:spacing w:after="0"/>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18"/>
        <w:szCs w:val="18"/>
      </w:rPr>
      <w:id w:val="450746555"/>
      <w:docPartObj>
        <w:docPartGallery w:val="Page Numbers (Top of Page)"/>
        <w:docPartUnique/>
      </w:docPartObj>
    </w:sdtPr>
    <w:sdtEndPr/>
    <w:sdtContent>
      <w:p w14:paraId="4C2E7BF7" w14:textId="77777777" w:rsidR="00860BB1" w:rsidRPr="00570560" w:rsidRDefault="00860BB1">
        <w:pPr>
          <w:pStyle w:val="lfej"/>
          <w:jc w:val="center"/>
          <w:rPr>
            <w:rFonts w:ascii="Times New Roman" w:hAnsi="Times New Roman"/>
            <w:sz w:val="18"/>
            <w:szCs w:val="18"/>
          </w:rPr>
        </w:pPr>
        <w:r w:rsidRPr="00570560">
          <w:rPr>
            <w:rFonts w:ascii="Times New Roman" w:hAnsi="Times New Roman"/>
            <w:sz w:val="18"/>
            <w:szCs w:val="18"/>
          </w:rPr>
          <w:fldChar w:fldCharType="begin"/>
        </w:r>
        <w:r w:rsidRPr="00570560">
          <w:rPr>
            <w:rFonts w:ascii="Times New Roman" w:hAnsi="Times New Roman"/>
            <w:sz w:val="18"/>
            <w:szCs w:val="18"/>
          </w:rPr>
          <w:instrText>PAGE   \* MERGEFORMAT</w:instrText>
        </w:r>
        <w:r w:rsidRPr="00570560">
          <w:rPr>
            <w:rFonts w:ascii="Times New Roman" w:hAnsi="Times New Roman"/>
            <w:sz w:val="18"/>
            <w:szCs w:val="18"/>
          </w:rPr>
          <w:fldChar w:fldCharType="separate"/>
        </w:r>
        <w:r>
          <w:rPr>
            <w:rFonts w:ascii="Times New Roman" w:hAnsi="Times New Roman"/>
            <w:noProof/>
            <w:sz w:val="18"/>
            <w:szCs w:val="18"/>
          </w:rPr>
          <w:t>11</w:t>
        </w:r>
        <w:r w:rsidRPr="00570560">
          <w:rPr>
            <w:rFonts w:ascii="Times New Roman" w:hAnsi="Times New Roman"/>
            <w:sz w:val="18"/>
            <w:szCs w:val="1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76C8A" w14:textId="77777777" w:rsidR="00860BB1" w:rsidRDefault="00860BB1">
    <w:pPr>
      <w:spacing w:after="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C758BB"/>
    <w:multiLevelType w:val="hybridMultilevel"/>
    <w:tmpl w:val="8D9892EC"/>
    <w:lvl w:ilvl="0" w:tplc="DBB67494">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D2251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5EEFDE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B22AB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F0514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9287ED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7B2AAA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04ED2A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52A603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6E8C4C5A"/>
    <w:multiLevelType w:val="hybridMultilevel"/>
    <w:tmpl w:val="BA92EC32"/>
    <w:lvl w:ilvl="0" w:tplc="2172565C">
      <w:start w:val="1"/>
      <w:numFmt w:val="bullet"/>
      <w:lvlText w:val="-"/>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6620C02">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BCC68F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B56CE54">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0864618">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CFA2286">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3DC2D4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3645C8">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33655AC">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289632232">
    <w:abstractNumId w:val="0"/>
  </w:num>
  <w:num w:numId="2" w16cid:durableId="64004253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BB1"/>
    <w:rsid w:val="00011728"/>
    <w:rsid w:val="00032131"/>
    <w:rsid w:val="00047D07"/>
    <w:rsid w:val="00056119"/>
    <w:rsid w:val="000D5FE6"/>
    <w:rsid w:val="00137741"/>
    <w:rsid w:val="001613D9"/>
    <w:rsid w:val="00174BC3"/>
    <w:rsid w:val="00194AAF"/>
    <w:rsid w:val="001E7C9B"/>
    <w:rsid w:val="002603F3"/>
    <w:rsid w:val="00260C00"/>
    <w:rsid w:val="002D60B6"/>
    <w:rsid w:val="002E4819"/>
    <w:rsid w:val="003E454D"/>
    <w:rsid w:val="0055789C"/>
    <w:rsid w:val="00605B58"/>
    <w:rsid w:val="006902BB"/>
    <w:rsid w:val="006956E6"/>
    <w:rsid w:val="006D419D"/>
    <w:rsid w:val="00706291"/>
    <w:rsid w:val="007A7C95"/>
    <w:rsid w:val="007E426C"/>
    <w:rsid w:val="00860BB1"/>
    <w:rsid w:val="00916A60"/>
    <w:rsid w:val="00937215"/>
    <w:rsid w:val="00955F00"/>
    <w:rsid w:val="009864B6"/>
    <w:rsid w:val="009A0050"/>
    <w:rsid w:val="00B82643"/>
    <w:rsid w:val="00BD5B63"/>
    <w:rsid w:val="00CA05D1"/>
    <w:rsid w:val="00CA4FE0"/>
    <w:rsid w:val="00D627A2"/>
    <w:rsid w:val="00D954CB"/>
    <w:rsid w:val="00DB199B"/>
    <w:rsid w:val="00DD0D96"/>
    <w:rsid w:val="00DD2504"/>
    <w:rsid w:val="00E0035F"/>
    <w:rsid w:val="00E2301D"/>
    <w:rsid w:val="00EB6657"/>
    <w:rsid w:val="00ED5190"/>
    <w:rsid w:val="00F74B4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0F204"/>
  <w15:chartTrackingRefBased/>
  <w15:docId w15:val="{C2F2C6B2-193D-4E65-B4EA-9D1D9684C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noProof/>
      <w:lang w:val="ru-RU"/>
    </w:rPr>
  </w:style>
  <w:style w:type="paragraph" w:styleId="Cmsor1">
    <w:name w:val="heading 1"/>
    <w:next w:val="Norml"/>
    <w:link w:val="Cmsor1Char"/>
    <w:uiPriority w:val="9"/>
    <w:qFormat/>
    <w:rsid w:val="00860BB1"/>
    <w:pPr>
      <w:keepNext/>
      <w:keepLines/>
      <w:spacing w:after="242" w:line="248" w:lineRule="auto"/>
      <w:ind w:left="22" w:hanging="10"/>
      <w:outlineLvl w:val="0"/>
    </w:pPr>
    <w:rPr>
      <w:rFonts w:ascii="Times New Roman" w:eastAsia="Times New Roman" w:hAnsi="Times New Roman" w:cs="Times New Roman"/>
      <w:color w:val="000000"/>
      <w:kern w:val="0"/>
      <w:u w:val="single" w:color="000000"/>
      <w:lang w:eastAsia="hu-HU"/>
      <w14:ligatures w14:val="none"/>
    </w:rPr>
  </w:style>
  <w:style w:type="paragraph" w:styleId="Cmsor2">
    <w:name w:val="heading 2"/>
    <w:next w:val="Norml"/>
    <w:link w:val="Cmsor2Char"/>
    <w:uiPriority w:val="9"/>
    <w:unhideWhenUsed/>
    <w:qFormat/>
    <w:rsid w:val="00860BB1"/>
    <w:pPr>
      <w:keepNext/>
      <w:keepLines/>
      <w:spacing w:after="0"/>
      <w:ind w:left="1363" w:hanging="10"/>
      <w:jc w:val="center"/>
      <w:outlineLvl w:val="1"/>
    </w:pPr>
    <w:rPr>
      <w:rFonts w:ascii="Times New Roman" w:eastAsia="Times New Roman" w:hAnsi="Times New Roman" w:cs="Times New Roman"/>
      <w:b/>
      <w:color w:val="000000"/>
      <w:kern w:val="0"/>
      <w:sz w:val="20"/>
      <w:lang w:eastAsia="hu-HU"/>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60BB1"/>
    <w:rPr>
      <w:rFonts w:ascii="Times New Roman" w:eastAsia="Times New Roman" w:hAnsi="Times New Roman" w:cs="Times New Roman"/>
      <w:color w:val="000000"/>
      <w:kern w:val="0"/>
      <w:u w:val="single" w:color="000000"/>
      <w:lang w:eastAsia="hu-HU"/>
      <w14:ligatures w14:val="none"/>
    </w:rPr>
  </w:style>
  <w:style w:type="character" w:customStyle="1" w:styleId="Cmsor2Char">
    <w:name w:val="Címsor 2 Char"/>
    <w:basedOn w:val="Bekezdsalapbettpusa"/>
    <w:link w:val="Cmsor2"/>
    <w:uiPriority w:val="9"/>
    <w:rsid w:val="00860BB1"/>
    <w:rPr>
      <w:rFonts w:ascii="Times New Roman" w:eastAsia="Times New Roman" w:hAnsi="Times New Roman" w:cs="Times New Roman"/>
      <w:b/>
      <w:color w:val="000000"/>
      <w:kern w:val="0"/>
      <w:sz w:val="20"/>
      <w:lang w:eastAsia="hu-HU"/>
      <w14:ligatures w14:val="none"/>
    </w:rPr>
  </w:style>
  <w:style w:type="numbering" w:customStyle="1" w:styleId="Nemlista1">
    <w:name w:val="Nem lista1"/>
    <w:next w:val="Nemlista"/>
    <w:uiPriority w:val="99"/>
    <w:semiHidden/>
    <w:unhideWhenUsed/>
    <w:rsid w:val="00860BB1"/>
  </w:style>
  <w:style w:type="table" w:customStyle="1" w:styleId="TableGrid">
    <w:name w:val="TableGrid"/>
    <w:rsid w:val="00860BB1"/>
    <w:pPr>
      <w:spacing w:after="0" w:line="240" w:lineRule="auto"/>
    </w:pPr>
    <w:rPr>
      <w:rFonts w:eastAsiaTheme="minorEastAsia"/>
      <w:kern w:val="0"/>
      <w:lang w:eastAsia="hu-HU"/>
      <w14:ligatures w14:val="none"/>
    </w:rPr>
    <w:tblPr>
      <w:tblCellMar>
        <w:top w:w="0" w:type="dxa"/>
        <w:left w:w="0" w:type="dxa"/>
        <w:bottom w:w="0" w:type="dxa"/>
        <w:right w:w="0" w:type="dxa"/>
      </w:tblCellMar>
    </w:tblPr>
  </w:style>
  <w:style w:type="paragraph" w:styleId="Buborkszveg">
    <w:name w:val="Balloon Text"/>
    <w:basedOn w:val="Norml"/>
    <w:link w:val="BuborkszvegChar"/>
    <w:uiPriority w:val="99"/>
    <w:semiHidden/>
    <w:unhideWhenUsed/>
    <w:rsid w:val="00860BB1"/>
    <w:pPr>
      <w:spacing w:after="0" w:line="240" w:lineRule="auto"/>
      <w:ind w:left="22" w:hanging="10"/>
    </w:pPr>
    <w:rPr>
      <w:rFonts w:ascii="Segoe UI" w:eastAsia="Times New Roman" w:hAnsi="Segoe UI" w:cs="Segoe UI"/>
      <w:noProof w:val="0"/>
      <w:color w:val="000000"/>
      <w:kern w:val="0"/>
      <w:sz w:val="18"/>
      <w:szCs w:val="18"/>
      <w:lang w:val="hu-HU" w:eastAsia="hu-HU"/>
      <w14:ligatures w14:val="none"/>
    </w:rPr>
  </w:style>
  <w:style w:type="character" w:customStyle="1" w:styleId="BuborkszvegChar">
    <w:name w:val="Buborékszöveg Char"/>
    <w:basedOn w:val="Bekezdsalapbettpusa"/>
    <w:link w:val="Buborkszveg"/>
    <w:uiPriority w:val="99"/>
    <w:semiHidden/>
    <w:rsid w:val="00860BB1"/>
    <w:rPr>
      <w:rFonts w:ascii="Segoe UI" w:eastAsia="Times New Roman" w:hAnsi="Segoe UI" w:cs="Segoe UI"/>
      <w:color w:val="000000"/>
      <w:kern w:val="0"/>
      <w:sz w:val="18"/>
      <w:szCs w:val="18"/>
      <w:lang w:eastAsia="hu-HU"/>
      <w14:ligatures w14:val="none"/>
    </w:rPr>
  </w:style>
  <w:style w:type="table" w:styleId="Rcsostblzat">
    <w:name w:val="Table Grid"/>
    <w:basedOn w:val="Normltblzat"/>
    <w:uiPriority w:val="39"/>
    <w:rsid w:val="00860BB1"/>
    <w:pPr>
      <w:spacing w:after="0" w:line="240" w:lineRule="auto"/>
    </w:pPr>
    <w:rPr>
      <w:rFonts w:eastAsiaTheme="minorEastAsia"/>
      <w:kern w:val="0"/>
      <w:lang w:eastAsia="hu-H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Bekezdsalapbettpusa"/>
    <w:rsid w:val="00860BB1"/>
  </w:style>
  <w:style w:type="paragraph" w:styleId="Listaszerbekezds">
    <w:name w:val="List Paragraph"/>
    <w:basedOn w:val="Norml"/>
    <w:uiPriority w:val="34"/>
    <w:qFormat/>
    <w:rsid w:val="00860BB1"/>
    <w:pPr>
      <w:spacing w:after="15" w:line="248" w:lineRule="auto"/>
      <w:ind w:left="720" w:hanging="10"/>
      <w:contextualSpacing/>
    </w:pPr>
    <w:rPr>
      <w:rFonts w:ascii="Times New Roman" w:eastAsia="Times New Roman" w:hAnsi="Times New Roman" w:cs="Times New Roman"/>
      <w:noProof w:val="0"/>
      <w:color w:val="000000"/>
      <w:kern w:val="0"/>
      <w:lang w:val="hu-HU" w:eastAsia="hu-HU"/>
      <w14:ligatures w14:val="none"/>
    </w:rPr>
  </w:style>
  <w:style w:type="character" w:customStyle="1" w:styleId="viiyi">
    <w:name w:val="viiyi"/>
    <w:basedOn w:val="Bekezdsalapbettpusa"/>
    <w:rsid w:val="00860BB1"/>
  </w:style>
  <w:style w:type="character" w:customStyle="1" w:styleId="Szvegtrzs">
    <w:name w:val="Szövegtörzs_"/>
    <w:basedOn w:val="Bekezdsalapbettpusa"/>
    <w:link w:val="Szvegtrzs1"/>
    <w:rsid w:val="00860BB1"/>
    <w:rPr>
      <w:rFonts w:ascii="Times New Roman" w:eastAsia="Times New Roman" w:hAnsi="Times New Roman" w:cs="Times New Roman"/>
    </w:rPr>
  </w:style>
  <w:style w:type="paragraph" w:customStyle="1" w:styleId="Szvegtrzs1">
    <w:name w:val="Szövegtörzs1"/>
    <w:basedOn w:val="Norml"/>
    <w:link w:val="Szvegtrzs"/>
    <w:rsid w:val="00860BB1"/>
    <w:pPr>
      <w:widowControl w:val="0"/>
      <w:spacing w:after="220" w:line="240" w:lineRule="auto"/>
    </w:pPr>
    <w:rPr>
      <w:rFonts w:ascii="Times New Roman" w:eastAsia="Times New Roman" w:hAnsi="Times New Roman" w:cs="Times New Roman"/>
      <w:noProof w:val="0"/>
      <w:lang w:val="hu-HU"/>
    </w:rPr>
  </w:style>
  <w:style w:type="paragraph" w:styleId="Szvegtrzsbehzssal2">
    <w:name w:val="Body Text Indent 2"/>
    <w:basedOn w:val="Norml"/>
    <w:link w:val="Szvegtrzsbehzssal2Char"/>
    <w:rsid w:val="00860BB1"/>
    <w:pPr>
      <w:widowControl w:val="0"/>
      <w:autoSpaceDE w:val="0"/>
      <w:autoSpaceDN w:val="0"/>
      <w:adjustRightInd w:val="0"/>
      <w:spacing w:after="120" w:line="480" w:lineRule="auto"/>
      <w:ind w:left="283"/>
    </w:pPr>
    <w:rPr>
      <w:rFonts w:ascii="Times New Roman" w:eastAsia="Times New Roman" w:hAnsi="Times New Roman" w:cs="Times New Roman"/>
      <w:noProof w:val="0"/>
      <w:kern w:val="0"/>
      <w:sz w:val="20"/>
      <w:szCs w:val="20"/>
      <w:lang w:val="pl-PL" w:eastAsia="pl-PL"/>
      <w14:ligatures w14:val="none"/>
    </w:rPr>
  </w:style>
  <w:style w:type="character" w:customStyle="1" w:styleId="Szvegtrzsbehzssal2Char">
    <w:name w:val="Szövegtörzs behúzással 2 Char"/>
    <w:basedOn w:val="Bekezdsalapbettpusa"/>
    <w:link w:val="Szvegtrzsbehzssal2"/>
    <w:rsid w:val="00860BB1"/>
    <w:rPr>
      <w:rFonts w:ascii="Times New Roman" w:eastAsia="Times New Roman" w:hAnsi="Times New Roman" w:cs="Times New Roman"/>
      <w:kern w:val="0"/>
      <w:sz w:val="20"/>
      <w:szCs w:val="20"/>
      <w:lang w:val="pl-PL" w:eastAsia="pl-PL"/>
      <w14:ligatures w14:val="none"/>
    </w:rPr>
  </w:style>
  <w:style w:type="character" w:customStyle="1" w:styleId="acopre">
    <w:name w:val="acopre"/>
    <w:basedOn w:val="Bekezdsalapbettpusa"/>
    <w:rsid w:val="00860BB1"/>
  </w:style>
  <w:style w:type="character" w:styleId="Jegyzethivatkozs">
    <w:name w:val="annotation reference"/>
    <w:basedOn w:val="Bekezdsalapbettpusa"/>
    <w:uiPriority w:val="99"/>
    <w:semiHidden/>
    <w:unhideWhenUsed/>
    <w:rsid w:val="00860BB1"/>
    <w:rPr>
      <w:sz w:val="16"/>
      <w:szCs w:val="16"/>
    </w:rPr>
  </w:style>
  <w:style w:type="paragraph" w:styleId="Jegyzetszveg">
    <w:name w:val="annotation text"/>
    <w:basedOn w:val="Norml"/>
    <w:link w:val="JegyzetszvegChar"/>
    <w:uiPriority w:val="99"/>
    <w:semiHidden/>
    <w:unhideWhenUsed/>
    <w:rsid w:val="00860BB1"/>
    <w:pPr>
      <w:spacing w:after="15" w:line="240" w:lineRule="auto"/>
      <w:ind w:left="22" w:hanging="10"/>
    </w:pPr>
    <w:rPr>
      <w:rFonts w:ascii="Times New Roman" w:eastAsia="Times New Roman" w:hAnsi="Times New Roman" w:cs="Times New Roman"/>
      <w:noProof w:val="0"/>
      <w:color w:val="000000"/>
      <w:kern w:val="0"/>
      <w:sz w:val="20"/>
      <w:szCs w:val="20"/>
      <w:lang w:val="hu-HU" w:eastAsia="hu-HU"/>
      <w14:ligatures w14:val="none"/>
    </w:rPr>
  </w:style>
  <w:style w:type="character" w:customStyle="1" w:styleId="JegyzetszvegChar">
    <w:name w:val="Jegyzetszöveg Char"/>
    <w:basedOn w:val="Bekezdsalapbettpusa"/>
    <w:link w:val="Jegyzetszveg"/>
    <w:uiPriority w:val="99"/>
    <w:semiHidden/>
    <w:rsid w:val="00860BB1"/>
    <w:rPr>
      <w:rFonts w:ascii="Times New Roman" w:eastAsia="Times New Roman" w:hAnsi="Times New Roman" w:cs="Times New Roman"/>
      <w:color w:val="000000"/>
      <w:kern w:val="0"/>
      <w:sz w:val="20"/>
      <w:szCs w:val="20"/>
      <w:lang w:eastAsia="hu-HU"/>
      <w14:ligatures w14:val="none"/>
    </w:rPr>
  </w:style>
  <w:style w:type="paragraph" w:styleId="Megjegyzstrgya">
    <w:name w:val="annotation subject"/>
    <w:basedOn w:val="Jegyzetszveg"/>
    <w:next w:val="Jegyzetszveg"/>
    <w:link w:val="MegjegyzstrgyaChar"/>
    <w:uiPriority w:val="99"/>
    <w:semiHidden/>
    <w:unhideWhenUsed/>
    <w:rsid w:val="00860BB1"/>
    <w:rPr>
      <w:b/>
      <w:bCs/>
    </w:rPr>
  </w:style>
  <w:style w:type="character" w:customStyle="1" w:styleId="MegjegyzstrgyaChar">
    <w:name w:val="Megjegyzés tárgya Char"/>
    <w:basedOn w:val="JegyzetszvegChar"/>
    <w:link w:val="Megjegyzstrgya"/>
    <w:uiPriority w:val="99"/>
    <w:semiHidden/>
    <w:rsid w:val="00860BB1"/>
    <w:rPr>
      <w:rFonts w:ascii="Times New Roman" w:eastAsia="Times New Roman" w:hAnsi="Times New Roman" w:cs="Times New Roman"/>
      <w:b/>
      <w:bCs/>
      <w:color w:val="000000"/>
      <w:kern w:val="0"/>
      <w:sz w:val="20"/>
      <w:szCs w:val="20"/>
      <w:lang w:eastAsia="hu-HU"/>
      <w14:ligatures w14:val="none"/>
    </w:rPr>
  </w:style>
  <w:style w:type="paragraph" w:styleId="Vltozat">
    <w:name w:val="Revision"/>
    <w:hidden/>
    <w:uiPriority w:val="99"/>
    <w:semiHidden/>
    <w:rsid w:val="00860BB1"/>
    <w:pPr>
      <w:spacing w:after="0" w:line="240" w:lineRule="auto"/>
    </w:pPr>
    <w:rPr>
      <w:rFonts w:ascii="Times New Roman" w:eastAsia="Times New Roman" w:hAnsi="Times New Roman" w:cs="Times New Roman"/>
      <w:color w:val="000000"/>
      <w:kern w:val="0"/>
      <w:lang w:eastAsia="hu-HU"/>
      <w14:ligatures w14:val="none"/>
    </w:rPr>
  </w:style>
  <w:style w:type="paragraph" w:styleId="lfej">
    <w:name w:val="header"/>
    <w:basedOn w:val="Norml"/>
    <w:link w:val="lfejChar"/>
    <w:uiPriority w:val="99"/>
    <w:unhideWhenUsed/>
    <w:rsid w:val="00860BB1"/>
    <w:pPr>
      <w:tabs>
        <w:tab w:val="center" w:pos="4680"/>
        <w:tab w:val="right" w:pos="9360"/>
      </w:tabs>
      <w:spacing w:after="0" w:line="240" w:lineRule="auto"/>
    </w:pPr>
    <w:rPr>
      <w:rFonts w:eastAsiaTheme="minorEastAsia" w:cs="Times New Roman"/>
      <w:noProof w:val="0"/>
      <w:kern w:val="0"/>
      <w:lang w:val="hu-HU" w:eastAsia="hu-HU"/>
      <w14:ligatures w14:val="none"/>
    </w:rPr>
  </w:style>
  <w:style w:type="character" w:customStyle="1" w:styleId="lfejChar">
    <w:name w:val="Élőfej Char"/>
    <w:basedOn w:val="Bekezdsalapbettpusa"/>
    <w:link w:val="lfej"/>
    <w:uiPriority w:val="99"/>
    <w:rsid w:val="00860BB1"/>
    <w:rPr>
      <w:rFonts w:eastAsiaTheme="minorEastAsia" w:cs="Times New Roman"/>
      <w:kern w:val="0"/>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3904</Words>
  <Characters>26940</Characters>
  <Application>Microsoft Office Word</Application>
  <DocSecurity>0</DocSecurity>
  <Lines>224</Lines>
  <Paragraphs>61</Paragraphs>
  <ScaleCrop>false</ScaleCrop>
  <HeadingPairs>
    <vt:vector size="2" baseType="variant">
      <vt:variant>
        <vt:lpstr>Cím</vt:lpstr>
      </vt:variant>
      <vt:variant>
        <vt:i4>1</vt:i4>
      </vt:variant>
    </vt:vector>
  </HeadingPairs>
  <TitlesOfParts>
    <vt:vector size="1" baseType="lpstr">
      <vt:lpstr>dabigatran</vt:lpstr>
    </vt:vector>
  </TitlesOfParts>
  <Company/>
  <LinksUpToDate>false</LinksUpToDate>
  <CharactersWithSpaces>30783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dabigatran</dc:title>
  <dc:subject/>
  <dc:creator>RG Author</dc:creator>
  <cp:keywords>dabigatran</cp:keywords>
  <dc:description/>
  <cp:lastModifiedBy>OGYI_62.1</cp:lastModifiedBy>
  <cp:revision>7</cp:revision>
  <dcterms:created xsi:type="dcterms:W3CDTF">2026-06-12T08:47:00Z</dcterms:created>
  <dcterms:modified xsi:type="dcterms:W3CDTF">2026-09-15T08:14:00Z</dcterms:modified>
</cp:coreProperties>
</file>