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4DE" w:rsidRDefault="000C1DC5">
      <w:pPr>
        <w:jc w:val="center"/>
        <w:rPr>
          <w:b/>
          <w:bCs/>
          <w:lang w:val="hu-HU"/>
        </w:rPr>
      </w:pPr>
      <w:bookmarkStart w:id="0" w:name="_Hlk112057487"/>
      <w:bookmarkStart w:id="1" w:name="_GoBack"/>
      <w:bookmarkEnd w:id="1"/>
      <w:r>
        <w:rPr>
          <w:b/>
          <w:bCs/>
          <w:lang w:val="hu-HU"/>
        </w:rPr>
        <w:t>Betegtájékoztató:</w:t>
      </w:r>
      <w:r>
        <w:rPr>
          <w:b/>
          <w:bCs/>
          <w:spacing w:val="-6"/>
          <w:lang w:val="hu-HU"/>
        </w:rPr>
        <w:t xml:space="preserve"> </w:t>
      </w:r>
      <w:r>
        <w:rPr>
          <w:b/>
          <w:bCs/>
          <w:lang w:val="hu-HU"/>
        </w:rPr>
        <w:t>Információk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beteg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számára</w:t>
      </w:r>
    </w:p>
    <w:p w:rsidR="008524DE" w:rsidRDefault="008524DE">
      <w:pPr>
        <w:jc w:val="center"/>
        <w:rPr>
          <w:b/>
          <w:bCs/>
          <w:lang w:val="hu-HU"/>
        </w:rPr>
      </w:pPr>
    </w:p>
    <w:p w:rsidR="008524DE" w:rsidRDefault="000C1DC5">
      <w:pPr>
        <w:jc w:val="center"/>
        <w:rPr>
          <w:b/>
          <w:bCs/>
          <w:lang w:val="hu-HU"/>
        </w:rPr>
      </w:pPr>
      <w:r>
        <w:rPr>
          <w:b/>
          <w:bCs/>
          <w:lang w:val="hu-HU"/>
        </w:rPr>
        <w:t>Dabigatran etexilate Sandoz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150 mg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kemény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kapszula</w:t>
      </w:r>
    </w:p>
    <w:p w:rsidR="008524DE" w:rsidRDefault="000C1DC5">
      <w:pPr>
        <w:jc w:val="center"/>
        <w:rPr>
          <w:lang w:val="hu-HU"/>
        </w:rPr>
      </w:pPr>
      <w:r>
        <w:rPr>
          <w:lang w:val="hu-HU"/>
        </w:rPr>
        <w:t>dabigatrán</w:t>
      </w:r>
      <w:r>
        <w:rPr>
          <w:lang w:val="hu-HU"/>
        </w:rPr>
        <w:noBreakHyphen/>
        <w:t>etexilát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Mielőtt elkezdi szedni ezt a gyógyszert, olvassa el figyelmesen az alábbi betegtájékoztatót, mert az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Ön</w:t>
      </w:r>
      <w:r>
        <w:rPr>
          <w:b/>
          <w:bCs/>
          <w:spacing w:val="-1"/>
          <w:lang w:val="hu-HU"/>
        </w:rPr>
        <w:t xml:space="preserve"> </w:t>
      </w:r>
      <w:r>
        <w:rPr>
          <w:b/>
          <w:bCs/>
          <w:lang w:val="hu-HU"/>
        </w:rPr>
        <w:t>számára</w:t>
      </w:r>
      <w:r>
        <w:rPr>
          <w:b/>
          <w:bCs/>
          <w:spacing w:val="-1"/>
          <w:lang w:val="hu-HU"/>
        </w:rPr>
        <w:t xml:space="preserve"> </w:t>
      </w:r>
      <w:r>
        <w:rPr>
          <w:b/>
          <w:bCs/>
          <w:lang w:val="hu-HU"/>
        </w:rPr>
        <w:t>fontos</w:t>
      </w:r>
      <w:r>
        <w:rPr>
          <w:b/>
          <w:bCs/>
          <w:spacing w:val="-1"/>
          <w:lang w:val="hu-HU"/>
        </w:rPr>
        <w:t xml:space="preserve"> </w:t>
      </w:r>
      <w:r>
        <w:rPr>
          <w:b/>
          <w:bCs/>
          <w:lang w:val="hu-HU"/>
        </w:rPr>
        <w:t>információkat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tartalmaz.</w:t>
      </w:r>
    </w:p>
    <w:p w:rsidR="008524DE" w:rsidRDefault="000C1DC5">
      <w:pPr>
        <w:pStyle w:val="Listaszerbekezds"/>
        <w:numPr>
          <w:ilvl w:val="0"/>
          <w:numId w:val="1"/>
        </w:numPr>
        <w:ind w:left="567" w:hanging="567"/>
        <w:rPr>
          <w:lang w:val="hu-HU"/>
        </w:rPr>
      </w:pPr>
      <w:r>
        <w:rPr>
          <w:lang w:val="hu-HU"/>
        </w:rPr>
        <w:t>Tartsa meg a betegtájékoztatót, mert a benne szereplő információkra a későbbiekben is szüksége lehet.</w:t>
      </w:r>
    </w:p>
    <w:p w:rsidR="008524DE" w:rsidRDefault="000C1DC5">
      <w:pPr>
        <w:pStyle w:val="Listaszerbekezds"/>
        <w:numPr>
          <w:ilvl w:val="0"/>
          <w:numId w:val="1"/>
        </w:numPr>
        <w:ind w:left="567" w:hanging="567"/>
        <w:rPr>
          <w:lang w:val="hu-HU"/>
        </w:rPr>
      </w:pPr>
      <w:r>
        <w:rPr>
          <w:lang w:val="hu-HU"/>
        </w:rPr>
        <w:t>További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kérdéseivel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forduljon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kezelőorvosához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gyógyszerészéhez.</w:t>
      </w:r>
    </w:p>
    <w:p w:rsidR="008524DE" w:rsidRDefault="000C1DC5">
      <w:pPr>
        <w:pStyle w:val="Listaszerbekezds"/>
        <w:numPr>
          <w:ilvl w:val="0"/>
          <w:numId w:val="1"/>
        </w:numPr>
        <w:ind w:left="567" w:hanging="567"/>
        <w:rPr>
          <w:lang w:val="hu-HU"/>
        </w:rPr>
      </w:pPr>
      <w:r>
        <w:rPr>
          <w:lang w:val="hu-HU"/>
        </w:rPr>
        <w:t>Ezt a gyógyszert az orvos kizárólag Önnek írta fel. Ne adja át a készítményt másnak, mert</w:t>
      </w:r>
      <w:r>
        <w:rPr>
          <w:spacing w:val="1"/>
          <w:lang w:val="hu-HU"/>
        </w:rPr>
        <w:t xml:space="preserve"> </w:t>
      </w:r>
      <w:r>
        <w:rPr>
          <w:lang w:val="hu-HU"/>
        </w:rPr>
        <w:t>számára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ártalmas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lehet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még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abban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esetben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is,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betegsége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tünetei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Önéhez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hasonlóak.</w:t>
      </w:r>
    </w:p>
    <w:p w:rsidR="008524DE" w:rsidRDefault="000C1DC5">
      <w:pPr>
        <w:pStyle w:val="Listaszerbekezds"/>
        <w:numPr>
          <w:ilvl w:val="0"/>
          <w:numId w:val="1"/>
        </w:numPr>
        <w:ind w:left="567" w:hanging="567"/>
        <w:rPr>
          <w:lang w:val="hu-HU"/>
        </w:rPr>
      </w:pPr>
      <w:r>
        <w:rPr>
          <w:lang w:val="hu-HU"/>
        </w:rPr>
        <w:t>Ha Önnél bármilyen mellékhatás jelentkezik, tájékoztassa erről kezelőorvosát vagy</w:t>
      </w:r>
      <w:r>
        <w:rPr>
          <w:spacing w:val="1"/>
          <w:lang w:val="hu-HU"/>
        </w:rPr>
        <w:t xml:space="preserve"> </w:t>
      </w:r>
      <w:r>
        <w:rPr>
          <w:lang w:val="hu-HU"/>
        </w:rPr>
        <w:t>gyógyszerészét. Ez a betegtájékoztatóban fel nem sorolt bármilyen lehetséges mellékhatásra is vonatkozik.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Lásd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4.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pont.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A</w:t>
      </w:r>
      <w:r>
        <w:rPr>
          <w:b/>
          <w:bCs/>
          <w:spacing w:val="-6"/>
          <w:lang w:val="hu-HU"/>
        </w:rPr>
        <w:t xml:space="preserve"> </w:t>
      </w:r>
      <w:r>
        <w:rPr>
          <w:b/>
          <w:bCs/>
          <w:lang w:val="hu-HU"/>
        </w:rPr>
        <w:t>betegtájékoztató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tartalma:</w:t>
      </w:r>
    </w:p>
    <w:p w:rsidR="008524DE" w:rsidRDefault="008524DE">
      <w:pPr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Milyen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típusú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gyógyszer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Dabigatran etexilate Sandoz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milyen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betegségek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esetén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alkalmazható?</w:t>
      </w:r>
    </w:p>
    <w:p w:rsidR="008524DE" w:rsidRDefault="000C1DC5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Tudnivalók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Dabigatran etexilate Sandoz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szedése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előtt</w:t>
      </w:r>
    </w:p>
    <w:p w:rsidR="008524DE" w:rsidRDefault="000C1DC5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Hogyan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szedni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Dabigatran etexilate Sandoz</w:t>
      </w:r>
      <w:r>
        <w:rPr>
          <w:lang w:val="hu-HU"/>
        </w:rPr>
        <w:noBreakHyphen/>
        <w:t>t?</w:t>
      </w:r>
    </w:p>
    <w:p w:rsidR="008524DE" w:rsidRDefault="000C1DC5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Lehetséges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mellékhatások</w:t>
      </w:r>
    </w:p>
    <w:p w:rsidR="008524DE" w:rsidRDefault="000C1DC5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Hogyan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Dabigatran etexilate Sandoz</w:t>
      </w:r>
      <w:r>
        <w:rPr>
          <w:lang w:val="hu-HU"/>
        </w:rPr>
        <w:noBreakHyphen/>
        <w:t>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tárolni?</w:t>
      </w:r>
    </w:p>
    <w:p w:rsidR="008524DE" w:rsidRDefault="000C1DC5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csomagolás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tartalma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egyéb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információk</w:t>
      </w:r>
    </w:p>
    <w:p w:rsidR="008524DE" w:rsidRDefault="008524DE">
      <w:pPr>
        <w:rPr>
          <w:lang w:val="hu-HU"/>
        </w:rPr>
      </w:pPr>
    </w:p>
    <w:p w:rsidR="008524DE" w:rsidRDefault="008524DE">
      <w:pPr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3"/>
        </w:numPr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Milyen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típusú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gyógyszer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Dabigatran etexilate Sandoz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és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milyen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betegségek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esetén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alkalmazható?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A Dabigatran etexilate Sandoz a dabigatrán</w:t>
      </w:r>
      <w:r>
        <w:rPr>
          <w:lang w:val="hu-HU"/>
        </w:rPr>
        <w:noBreakHyphen/>
        <w:t>etexilát hatóanyagot tartalmazza, amely a véralvadásgátlóknak nevezett</w:t>
      </w:r>
      <w:r>
        <w:rPr>
          <w:spacing w:val="1"/>
          <w:lang w:val="hu-HU"/>
        </w:rPr>
        <w:t xml:space="preserve"> </w:t>
      </w:r>
      <w:r>
        <w:rPr>
          <w:lang w:val="hu-HU"/>
        </w:rPr>
        <w:t>gyógyszerek csoportjába tartozik. Hatását úgy fejti ki, hogy gátolja azt az anyagot a szervezetben, amely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szerepet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játszik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vérrögök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kialakulásában.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Dabigatran etexilate Sandoz</w:t>
      </w:r>
      <w:r>
        <w:rPr>
          <w:lang w:val="hu-HU"/>
        </w:rPr>
        <w:noBreakHyphen/>
        <w:t>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felnőtteknél az alábbi esetekben alkalmazzák:</w:t>
      </w:r>
    </w:p>
    <w:p w:rsidR="008524DE" w:rsidRDefault="008524DE">
      <w:pPr>
        <w:rPr>
          <w:lang w:val="hu-HU"/>
        </w:rPr>
      </w:pPr>
    </w:p>
    <w:p w:rsidR="008524DE" w:rsidRDefault="000C1DC5">
      <w:pPr>
        <w:widowControl/>
        <w:numPr>
          <w:ilvl w:val="0"/>
          <w:numId w:val="4"/>
        </w:numPr>
        <w:autoSpaceDE/>
        <w:autoSpaceDN/>
        <w:ind w:left="567" w:hanging="567"/>
        <w:rPr>
          <w:lang w:val="hu-HU"/>
        </w:rPr>
      </w:pPr>
      <w:r>
        <w:rPr>
          <w:lang w:val="hu-HU"/>
        </w:rPr>
        <w:t>az agyban kialakuló vérrögök (sztrók) és a szervezet egyéb ereiben létrejövő vérrögök megelőzésére, olyan, nem billentyű eredetű pitvarfibrilláció elnevezésű szívritmuszavarban szenvedő betegeknél, akiknél legalább egy további kockázati tényező van jelen;</w:t>
      </w:r>
    </w:p>
    <w:p w:rsidR="008524DE" w:rsidRDefault="000C1DC5">
      <w:pPr>
        <w:widowControl/>
        <w:numPr>
          <w:ilvl w:val="0"/>
          <w:numId w:val="4"/>
        </w:numPr>
        <w:autoSpaceDE/>
        <w:autoSpaceDN/>
        <w:ind w:left="567" w:hanging="567"/>
        <w:rPr>
          <w:lang w:val="hu-HU"/>
        </w:rPr>
      </w:pPr>
      <w:r>
        <w:rPr>
          <w:lang w:val="hu-HU"/>
        </w:rPr>
        <w:t>a lábak és a tüdő vénáiban kialakuló vérrögök kezelésére, és a lábak, valamint a tüdő vénáiban újra kialakuló vérrögök megelőzésére.</w:t>
      </w:r>
    </w:p>
    <w:p w:rsidR="008524DE" w:rsidRDefault="008524DE">
      <w:pPr>
        <w:ind w:left="567" w:hanging="567"/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Dabigatran etexilate Sandoz</w:t>
      </w:r>
      <w:r>
        <w:rPr>
          <w:lang w:val="hu-HU"/>
        </w:rPr>
        <w:noBreakHyphen/>
        <w:t>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gyermekeknél és serdülőknél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az alábbi esetekben alkalmazzák:</w:t>
      </w:r>
    </w:p>
    <w:p w:rsidR="008524DE" w:rsidRDefault="008524DE">
      <w:pPr>
        <w:ind w:left="567" w:hanging="567"/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4"/>
        </w:numPr>
        <w:ind w:left="567" w:hanging="567"/>
        <w:rPr>
          <w:lang w:val="hu-HU"/>
        </w:rPr>
      </w:pPr>
      <w:r>
        <w:rPr>
          <w:lang w:val="hu-HU"/>
        </w:rPr>
        <w:t>vérrögök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vérrögök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újbóli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kialakulásának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megelőzésére.</w:t>
      </w:r>
    </w:p>
    <w:p w:rsidR="008524DE" w:rsidRDefault="008524DE">
      <w:pPr>
        <w:rPr>
          <w:lang w:val="hu-HU"/>
        </w:rPr>
      </w:pPr>
    </w:p>
    <w:p w:rsidR="008524DE" w:rsidRDefault="008524DE">
      <w:pPr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3"/>
        </w:numPr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Tudnivalók a Dabigatran etexilate Sandoz szedése előtt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 xml:space="preserve"> Ne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szedje</w:t>
      </w:r>
      <w:r>
        <w:rPr>
          <w:b/>
          <w:bCs/>
          <w:spacing w:val="-1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1"/>
          <w:lang w:val="hu-HU"/>
        </w:rPr>
        <w:t xml:space="preserve"> </w:t>
      </w:r>
      <w:r>
        <w:rPr>
          <w:b/>
          <w:bCs/>
          <w:lang w:val="hu-HU"/>
        </w:rPr>
        <w:t>Dabigatran etexilate Sandoz</w:t>
      </w:r>
      <w:r>
        <w:rPr>
          <w:b/>
          <w:bCs/>
          <w:lang w:val="hu-HU"/>
        </w:rPr>
        <w:noBreakHyphen/>
        <w:t>t</w:t>
      </w:r>
    </w:p>
    <w:p w:rsidR="008524DE" w:rsidRDefault="000C1DC5">
      <w:pPr>
        <w:pStyle w:val="Listaszerbekezd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allergiás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dabigatrán</w:t>
      </w:r>
      <w:r>
        <w:rPr>
          <w:lang w:val="hu-HU"/>
        </w:rPr>
        <w:noBreakHyphen/>
        <w:t>etexilátra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gyógyszer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(6.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pontban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felsorolt)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egyéb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összetevőjére;</w:t>
      </w:r>
    </w:p>
    <w:p w:rsidR="008524DE" w:rsidRDefault="000C1DC5">
      <w:pPr>
        <w:pStyle w:val="Listaszerbekezd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súlyos</w:t>
      </w:r>
      <w:r>
        <w:rPr>
          <w:spacing w:val="-4"/>
          <w:lang w:val="hu-HU"/>
        </w:rPr>
        <w:t xml:space="preserve"> vese</w:t>
      </w:r>
      <w:r>
        <w:rPr>
          <w:lang w:val="hu-HU"/>
        </w:rPr>
        <w:t>károsodása van,</w:t>
      </w:r>
    </w:p>
    <w:p w:rsidR="008524DE" w:rsidRDefault="000C1DC5">
      <w:pPr>
        <w:pStyle w:val="Listaszerbekezd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jelenleg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vérzik,</w:t>
      </w:r>
    </w:p>
    <w:p w:rsidR="008524DE" w:rsidRDefault="000C1DC5">
      <w:pPr>
        <w:pStyle w:val="Listaszerbekezd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 olyan szervi betegsége van, ami fokozza a súlyos vérzés kockázatát (például gyomorfekély, sérülés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vérzés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agyban,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nemrég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végzett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agy</w:t>
      </w:r>
      <w:r>
        <w:rPr>
          <w:lang w:val="hu-HU"/>
        </w:rPr>
        <w:noBreakHyphen/>
      </w:r>
      <w:r>
        <w:rPr>
          <w:spacing w:val="-3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szemműtét);</w:t>
      </w:r>
    </w:p>
    <w:p w:rsidR="008524DE" w:rsidRDefault="000C1DC5">
      <w:pPr>
        <w:pStyle w:val="Listaszerbekezd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 fokozott a vérzéshajlama. Ez lehet veleszületett, ismeretlen eredetű, vagy kialakulhat más gyógyszerek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következtében.</w:t>
      </w:r>
    </w:p>
    <w:p w:rsidR="008524DE" w:rsidRDefault="000C1DC5">
      <w:pPr>
        <w:pStyle w:val="Listaszerbekezd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lastRenderedPageBreak/>
        <w:t>ha a vérrögképződés megelőzésére szolgáló gyógyszereket szed (például warfarin, rivaroxabán, apixabán vagy heparin), kivéve, ha éppen egy másik antikoaguláns kezelésre állítják át,</w:t>
      </w:r>
      <w:r>
        <w:rPr>
          <w:spacing w:val="-4"/>
          <w:lang w:val="hu-HU"/>
        </w:rPr>
        <w:t xml:space="preserve"> és ehhez Önnél </w:t>
      </w:r>
      <w:r>
        <w:rPr>
          <w:lang w:val="hu-HU"/>
        </w:rPr>
        <w:t>vénás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artériás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kanült alkalmaznak,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3"/>
          <w:lang w:val="hu-HU"/>
        </w:rPr>
        <w:t xml:space="preserve"> ezen keresztül </w:t>
      </w:r>
      <w:r>
        <w:rPr>
          <w:lang w:val="hu-HU"/>
        </w:rPr>
        <w:t>heparint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kap</w:t>
      </w:r>
      <w:r>
        <w:rPr>
          <w:spacing w:val="-4"/>
          <w:lang w:val="hu-HU"/>
        </w:rPr>
        <w:t xml:space="preserve"> annak érdekében, hogy fenntartható legyen a </w:t>
      </w:r>
      <w:r>
        <w:rPr>
          <w:spacing w:val="-3"/>
          <w:lang w:val="hu-HU"/>
        </w:rPr>
        <w:t>kanül</w:t>
      </w:r>
      <w:r>
        <w:rPr>
          <w:lang w:val="hu-HU"/>
        </w:rPr>
        <w:t xml:space="preserve"> átjárhatósága,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 normális szívritmusát állítják be egy pitvarfibrilláció miatti katéteres ablációnak nevezett eljárással.</w:t>
      </w:r>
    </w:p>
    <w:p w:rsidR="008524DE" w:rsidRDefault="000C1DC5">
      <w:pPr>
        <w:pStyle w:val="Listaszerbekezd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spacing w:val="-4"/>
          <w:lang w:val="hu-HU"/>
        </w:rPr>
        <w:t xml:space="preserve">súlyos </w:t>
      </w:r>
      <w:r>
        <w:rPr>
          <w:lang w:val="hu-HU"/>
        </w:rPr>
        <w:t>májkárosodása,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olyan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májbetegsége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van,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ami</w:t>
      </w:r>
      <w:r>
        <w:rPr>
          <w:spacing w:val="-4"/>
          <w:lang w:val="hu-HU"/>
        </w:rPr>
        <w:t xml:space="preserve"> esetleg </w:t>
      </w:r>
      <w:r>
        <w:rPr>
          <w:lang w:val="hu-HU"/>
        </w:rPr>
        <w:t>halálhoz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vezethet;</w:t>
      </w:r>
    </w:p>
    <w:p w:rsidR="008524DE" w:rsidRDefault="000C1DC5">
      <w:pPr>
        <w:pStyle w:val="Listaszerbekezd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 szájon át ketokonazolt vagy itrakonazolt, gombafertőzések kezelésére szolgáló gyógyszereket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szed;</w:t>
      </w:r>
    </w:p>
    <w:p w:rsidR="008524DE" w:rsidRDefault="000C1DC5">
      <w:pPr>
        <w:pStyle w:val="Listaszerbekezd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 szájon át ciklosporint szed, mely gyógyszert a szervátültetést (transzplantációt) követően a szerv kilökődésének megakadályozására alkalmazzák;</w:t>
      </w:r>
    </w:p>
    <w:p w:rsidR="008524DE" w:rsidRDefault="000C1DC5">
      <w:pPr>
        <w:pStyle w:val="Listaszerbekezd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dronedaront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(a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szívritmuszavar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szolgáló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gyógyszert)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szed;</w:t>
      </w:r>
    </w:p>
    <w:p w:rsidR="008524DE" w:rsidRDefault="000C1DC5">
      <w:pPr>
        <w:pStyle w:val="Listaszerbekezd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 glekaprevirt és pibrentaszvirt tartalmazó kombinációs készítményt szed, ami egy vírusellenes gyógyszer,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hepatitisz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C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alkalmazzák;</w:t>
      </w:r>
    </w:p>
    <w:p w:rsidR="008524DE" w:rsidRDefault="000C1DC5">
      <w:pPr>
        <w:pStyle w:val="Listaszerbekezd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szívébe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műbillentyűt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kapott,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ami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állandó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vérhígítást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tesz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szükségessé.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Figyelmeztetések</w:t>
      </w:r>
      <w:r>
        <w:rPr>
          <w:b/>
          <w:bCs/>
          <w:spacing w:val="-7"/>
          <w:lang w:val="hu-HU"/>
        </w:rPr>
        <w:t xml:space="preserve"> </w:t>
      </w:r>
      <w:r>
        <w:rPr>
          <w:b/>
          <w:bCs/>
          <w:lang w:val="hu-HU"/>
        </w:rPr>
        <w:t>és</w:t>
      </w:r>
      <w:r>
        <w:rPr>
          <w:b/>
          <w:bCs/>
          <w:spacing w:val="-6"/>
          <w:lang w:val="hu-HU"/>
        </w:rPr>
        <w:t xml:space="preserve"> </w:t>
      </w:r>
      <w:r>
        <w:rPr>
          <w:b/>
          <w:bCs/>
          <w:lang w:val="hu-HU"/>
        </w:rPr>
        <w:t>óvintézkedések</w:t>
      </w:r>
    </w:p>
    <w:p w:rsidR="008524DE" w:rsidRDefault="000C1DC5">
      <w:pPr>
        <w:rPr>
          <w:lang w:val="hu-HU"/>
        </w:rPr>
      </w:pPr>
      <w:r>
        <w:rPr>
          <w:lang w:val="hu-HU"/>
        </w:rPr>
        <w:t>A Dabigatran etexilate Sandoz szedése előtt beszéljen kezelőorvosával. Akkor is szükség lehet arra, hogy beszéljen kezelőorvosával a Dabigatran etexilate Sandoz</w:t>
      </w:r>
      <w:r>
        <w:rPr>
          <w:lang w:val="hu-HU"/>
        </w:rPr>
        <w:noBreakHyphen/>
        <w:t>kezelés alatt,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tünetei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jelentkeznek,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műtét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előtt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áll.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b/>
          <w:bCs/>
          <w:lang w:val="hu-HU"/>
        </w:rPr>
        <w:t>Közölje</w:t>
      </w:r>
      <w:r>
        <w:rPr>
          <w:b/>
          <w:bCs/>
          <w:spacing w:val="-5"/>
          <w:lang w:val="hu-HU"/>
        </w:rPr>
        <w:t xml:space="preserve"> kezelő</w:t>
      </w:r>
      <w:r>
        <w:rPr>
          <w:b/>
          <w:bCs/>
          <w:lang w:val="hu-HU"/>
        </w:rPr>
        <w:t>orvosával</w:t>
      </w:r>
      <w:r>
        <w:rPr>
          <w:lang w:val="hu-HU"/>
        </w:rPr>
        <w:t>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bármilyen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betegsége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volt,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különös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tekintettel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 xml:space="preserve">azokra, amelyek az alábbi felsorolásban szerepelnek: </w:t>
      </w:r>
    </w:p>
    <w:p w:rsidR="008524DE" w:rsidRDefault="008524DE">
      <w:pPr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6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fokozott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Önnél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vérzés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veszélye,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például:</w:t>
      </w:r>
    </w:p>
    <w:p w:rsidR="008524DE" w:rsidRDefault="000C1DC5">
      <w:pPr>
        <w:pStyle w:val="Listaszerbekezds"/>
        <w:numPr>
          <w:ilvl w:val="0"/>
          <w:numId w:val="7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közelmúltban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vérzés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lépett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fel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önnél;</w:t>
      </w:r>
    </w:p>
    <w:p w:rsidR="008524DE" w:rsidRDefault="000C1DC5">
      <w:pPr>
        <w:pStyle w:val="Listaszerbekezds"/>
        <w:numPr>
          <w:ilvl w:val="0"/>
          <w:numId w:val="7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önnél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sebészi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szövetmintavételt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(biopsziát)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végeztek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az előző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hónapban;</w:t>
      </w:r>
    </w:p>
    <w:p w:rsidR="008524DE" w:rsidRDefault="000C1DC5">
      <w:pPr>
        <w:pStyle w:val="Listaszerbekezds"/>
        <w:numPr>
          <w:ilvl w:val="0"/>
          <w:numId w:val="7"/>
        </w:numPr>
        <w:ind w:left="1134" w:hanging="567"/>
        <w:rPr>
          <w:lang w:val="hu-HU"/>
        </w:rPr>
      </w:pPr>
      <w:r>
        <w:rPr>
          <w:lang w:val="hu-HU"/>
        </w:rPr>
        <w:t>ha súlyos sérülése volt (például műtéti ellátást igénylő csonttörés, fejsérülés vagy bármilyen más sérülés);</w:t>
      </w:r>
    </w:p>
    <w:p w:rsidR="008524DE" w:rsidRDefault="000C1DC5">
      <w:pPr>
        <w:pStyle w:val="Listaszerbekezds"/>
        <w:numPr>
          <w:ilvl w:val="0"/>
          <w:numId w:val="7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nyelőcső-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gyomornyálkahártya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gyulladásban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szenved;</w:t>
      </w:r>
    </w:p>
    <w:p w:rsidR="008524DE" w:rsidRDefault="000C1DC5">
      <w:pPr>
        <w:pStyle w:val="Listaszerbekezds"/>
        <w:numPr>
          <w:ilvl w:val="0"/>
          <w:numId w:val="7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gyomorsav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visszafolyik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nyelőcsövébe</w:t>
      </w:r>
      <w:r>
        <w:rPr>
          <w:spacing w:val="-4"/>
          <w:lang w:val="hu-HU"/>
        </w:rPr>
        <w:t xml:space="preserve"> (reflux)</w:t>
      </w:r>
      <w:r>
        <w:rPr>
          <w:lang w:val="hu-HU"/>
        </w:rPr>
        <w:t>;</w:t>
      </w:r>
    </w:p>
    <w:p w:rsidR="008524DE" w:rsidRDefault="000C1DC5">
      <w:pPr>
        <w:pStyle w:val="Listaszerbekezds"/>
        <w:numPr>
          <w:ilvl w:val="0"/>
          <w:numId w:val="7"/>
        </w:numPr>
        <w:ind w:left="1134" w:hanging="567"/>
        <w:rPr>
          <w:lang w:val="hu-HU"/>
        </w:rPr>
      </w:pPr>
      <w:r>
        <w:rPr>
          <w:lang w:val="hu-HU"/>
        </w:rPr>
        <w:t>ha olyan gyógyszereket kap, amelyek fokozhatják a vérzés veszélyét. Lásd „Egyéb gyógyszerek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Dabigatran etexilate Sandoz”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részt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lejjebb;</w:t>
      </w:r>
    </w:p>
    <w:p w:rsidR="008524DE" w:rsidRDefault="000C1DC5">
      <w:pPr>
        <w:pStyle w:val="Listaszerbekezds"/>
        <w:numPr>
          <w:ilvl w:val="0"/>
          <w:numId w:val="7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gyulladáscsökkentő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gyógyszereket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szed,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például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diklofenák,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ibuprofén,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piroxikám;</w:t>
      </w:r>
    </w:p>
    <w:p w:rsidR="008524DE" w:rsidRDefault="000C1DC5">
      <w:pPr>
        <w:pStyle w:val="Listaszerbekezds"/>
        <w:numPr>
          <w:ilvl w:val="0"/>
          <w:numId w:val="7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szívet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érintő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fertőzésben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(bakteriális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szívbelhártya-gyulladás)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szenved;</w:t>
      </w:r>
    </w:p>
    <w:p w:rsidR="008524DE" w:rsidRDefault="000C1DC5">
      <w:pPr>
        <w:pStyle w:val="Listaszerbekezds"/>
        <w:numPr>
          <w:ilvl w:val="0"/>
          <w:numId w:val="7"/>
        </w:numPr>
        <w:ind w:left="1134" w:hanging="567"/>
        <w:rPr>
          <w:lang w:val="hu-HU"/>
        </w:rPr>
      </w:pPr>
      <w:r>
        <w:rPr>
          <w:lang w:val="hu-HU"/>
        </w:rPr>
        <w:t>ha tudja, hogy vesekárosodása van, vagy kiszáradásban szenved (a tünetek közé tartozik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szomjúságérzés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csökkent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mennyiségű,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sötét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[sűrű]/habos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vizelet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ürítése);</w:t>
      </w:r>
    </w:p>
    <w:p w:rsidR="008524DE" w:rsidRDefault="000C1DC5">
      <w:pPr>
        <w:pStyle w:val="Listaszerbekezds"/>
        <w:numPr>
          <w:ilvl w:val="0"/>
          <w:numId w:val="7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ön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elmúlt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75 éves;</w:t>
      </w:r>
    </w:p>
    <w:p w:rsidR="008524DE" w:rsidRDefault="000C1DC5">
      <w:pPr>
        <w:pStyle w:val="Listaszerbekezds"/>
        <w:numPr>
          <w:ilvl w:val="0"/>
          <w:numId w:val="7"/>
        </w:numPr>
        <w:ind w:left="1134" w:hanging="567"/>
        <w:rPr>
          <w:lang w:val="hu-HU"/>
        </w:rPr>
      </w:pPr>
      <w:r>
        <w:rPr>
          <w:lang w:val="hu-HU"/>
        </w:rPr>
        <w:t>ha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ön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felnőtt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beteg,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testtömege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50</w:t>
      </w:r>
      <w:r>
        <w:rPr>
          <w:spacing w:val="-2"/>
          <w:lang w:val="hu-HU"/>
        </w:rPr>
        <w:t> </w:t>
      </w:r>
      <w:r>
        <w:rPr>
          <w:lang w:val="hu-HU"/>
        </w:rPr>
        <w:t>kg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annál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kevesebb;</w:t>
      </w:r>
    </w:p>
    <w:p w:rsidR="008524DE" w:rsidRDefault="000C1DC5">
      <w:pPr>
        <w:pStyle w:val="Listaszerbekezds"/>
        <w:numPr>
          <w:ilvl w:val="0"/>
          <w:numId w:val="7"/>
        </w:numPr>
        <w:ind w:left="1134" w:hanging="567"/>
        <w:rPr>
          <w:lang w:val="hu-HU"/>
        </w:rPr>
      </w:pPr>
      <w:r>
        <w:rPr>
          <w:lang w:val="hu-HU"/>
        </w:rPr>
        <w:t>kizárólag gyermekeknél és serdülőknél történő alkalmazás esetén: ha a gyermeknél az agy körüli területen, vagy agyban fertőzés alakul ki.</w:t>
      </w:r>
    </w:p>
    <w:p w:rsidR="008524DE" w:rsidRDefault="008524DE">
      <w:pPr>
        <w:ind w:left="1134" w:hanging="567"/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8"/>
        </w:numPr>
        <w:ind w:left="567" w:hanging="567"/>
        <w:rPr>
          <w:lang w:val="hu-HU"/>
        </w:rPr>
      </w:pPr>
      <w:r>
        <w:rPr>
          <w:lang w:val="hu-HU"/>
        </w:rPr>
        <w:t>ha korábban volt szívrohama, vagy olyan betegséget állapítottak meg Önnél, ami növeli a szívroham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kialakulásának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veszélyét.</w:t>
      </w:r>
    </w:p>
    <w:p w:rsidR="008524DE" w:rsidRDefault="008524DE">
      <w:pPr>
        <w:ind w:left="567" w:hanging="567"/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8"/>
        </w:numPr>
        <w:ind w:left="567" w:hanging="567"/>
        <w:rPr>
          <w:lang w:val="hu-HU"/>
        </w:rPr>
      </w:pPr>
      <w:r>
        <w:rPr>
          <w:lang w:val="hu-HU"/>
        </w:rPr>
        <w:t>ha olyan májbetegsége van, amely a vérvizsgálati értékek megváltozását okozza. Ebben az esetben</w:t>
      </w:r>
      <w:r>
        <w:rPr>
          <w:spacing w:val="-2"/>
          <w:lang w:val="hu-HU"/>
        </w:rPr>
        <w:t xml:space="preserve"> ennek </w:t>
      </w:r>
      <w:r>
        <w:rPr>
          <w:lang w:val="hu-HU"/>
        </w:rPr>
        <w:t>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gyógyszernek az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alkalmazása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javasolt.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A Dabigatran etexilate Sandoz fokozott elővigyázatossággal alkalmazandó</w:t>
      </w:r>
    </w:p>
    <w:p w:rsidR="008524DE" w:rsidRDefault="008524DE">
      <w:pPr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9"/>
        </w:numPr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műtétet kell végrehajtani Önnél:</w:t>
      </w:r>
    </w:p>
    <w:p w:rsidR="008524DE" w:rsidRDefault="000C1DC5">
      <w:pPr>
        <w:pStyle w:val="Listaszerbekezds"/>
        <w:ind w:left="567" w:firstLine="0"/>
        <w:rPr>
          <w:lang w:val="hu-HU"/>
        </w:rPr>
      </w:pPr>
      <w:r>
        <w:rPr>
          <w:lang w:val="hu-HU"/>
        </w:rPr>
        <w:t>Ebben az esetben a Dabigatran etexilate Sandoz adását átmenetileg le kell állítani, mivel a műtét alatt és röviddel utána fokozott lehet a vérzés veszélye. Nagyon fontos, hogy a Dabigatran etexilate Sandoz</w:t>
      </w:r>
      <w:r>
        <w:rPr>
          <w:lang w:val="hu-HU"/>
        </w:rPr>
        <w:noBreakHyphen/>
        <w:t>t a műtét előtt és után</w:t>
      </w:r>
      <w:r>
        <w:rPr>
          <w:spacing w:val="1"/>
          <w:lang w:val="hu-HU"/>
        </w:rPr>
        <w:t xml:space="preserve"> </w:t>
      </w:r>
      <w:r>
        <w:rPr>
          <w:lang w:val="hu-HU"/>
        </w:rPr>
        <w:t>szigorúan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orvos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utasításainak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megfelelő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időben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vegye be.</w:t>
      </w:r>
    </w:p>
    <w:p w:rsidR="008524DE" w:rsidRDefault="008524DE">
      <w:pPr>
        <w:ind w:left="567" w:hanging="567"/>
        <w:rPr>
          <w:lang w:val="hu-HU"/>
        </w:rPr>
      </w:pPr>
    </w:p>
    <w:p w:rsidR="008524DE" w:rsidRDefault="000C1DC5" w:rsidP="001B03D4">
      <w:pPr>
        <w:pStyle w:val="Listaszerbekezds"/>
        <w:widowControl/>
        <w:numPr>
          <w:ilvl w:val="0"/>
          <w:numId w:val="9"/>
        </w:numPr>
        <w:ind w:left="567" w:hanging="567"/>
        <w:rPr>
          <w:lang w:val="hu-HU"/>
        </w:rPr>
      </w:pPr>
      <w:r>
        <w:rPr>
          <w:lang w:val="hu-HU"/>
        </w:rPr>
        <w:lastRenderedPageBreak/>
        <w:t>ha a műtét során katétert vezetnek be vagy injekciót kap a gerincoszlopába (pl. epidurális vagy spinális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érzéstelenítéshez,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fájdalomcsillapításhoz):</w:t>
      </w:r>
    </w:p>
    <w:p w:rsidR="008524DE" w:rsidRDefault="000C1DC5">
      <w:pPr>
        <w:pStyle w:val="Listaszerbekezds"/>
        <w:numPr>
          <w:ilvl w:val="0"/>
          <w:numId w:val="10"/>
        </w:numPr>
        <w:ind w:left="1134" w:hanging="567"/>
        <w:rPr>
          <w:lang w:val="hu-HU"/>
        </w:rPr>
      </w:pPr>
      <w:r>
        <w:rPr>
          <w:lang w:val="hu-HU"/>
        </w:rPr>
        <w:t>nagyon fontos, hogy a Dabigatran etexilate Sandoz</w:t>
      </w:r>
      <w:r>
        <w:rPr>
          <w:lang w:val="hu-HU"/>
        </w:rPr>
        <w:noBreakHyphen/>
        <w:t>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 műtét előtt és után pontosan a kezelőorvos utasításainak megfelelő időben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vegye be;</w:t>
      </w:r>
    </w:p>
    <w:p w:rsidR="008524DE" w:rsidRDefault="000C1DC5">
      <w:pPr>
        <w:pStyle w:val="Listaszerbekezds"/>
        <w:numPr>
          <w:ilvl w:val="0"/>
          <w:numId w:val="10"/>
        </w:numPr>
        <w:ind w:left="1134" w:hanging="567"/>
        <w:rPr>
          <w:lang w:val="hu-HU"/>
        </w:rPr>
      </w:pPr>
      <w:r>
        <w:rPr>
          <w:lang w:val="hu-HU"/>
        </w:rPr>
        <w:t>azonnal tájékoztassa kezelőorvosát, ha gyengeséget vagy zsibbadást érez a lábában,</w:t>
      </w:r>
      <w:r>
        <w:rPr>
          <w:spacing w:val="1"/>
          <w:lang w:val="hu-HU"/>
        </w:rPr>
        <w:t xml:space="preserve"> </w:t>
      </w:r>
      <w:r>
        <w:rPr>
          <w:lang w:val="hu-HU"/>
        </w:rPr>
        <w:t>vagy ha a beleivel, húgyhólyagjával kapcsolatos problémák lépnek fel az érzéstelenítést követően,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mert</w:t>
      </w:r>
      <w:r>
        <w:rPr>
          <w:spacing w:val="-1"/>
          <w:lang w:val="hu-HU"/>
        </w:rPr>
        <w:t xml:space="preserve"> ilyen esetben </w:t>
      </w:r>
      <w:r>
        <w:rPr>
          <w:lang w:val="hu-HU"/>
        </w:rPr>
        <w:t>sürgős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ellátásra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lehet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szükség.</w:t>
      </w:r>
    </w:p>
    <w:p w:rsidR="008524DE" w:rsidRDefault="008524DE">
      <w:pPr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9"/>
        </w:numPr>
        <w:ind w:left="567" w:hanging="567"/>
        <w:rPr>
          <w:lang w:val="hu-HU"/>
        </w:rPr>
      </w:pPr>
      <w:r>
        <w:rPr>
          <w:lang w:val="hu-HU"/>
        </w:rPr>
        <w:t>ha elesik vagy más okból megsérül a kezelés alatt, különösen, ha a fejét üti meg. Kérjük,</w:t>
      </w:r>
      <w:r>
        <w:rPr>
          <w:spacing w:val="1"/>
          <w:lang w:val="hu-HU"/>
        </w:rPr>
        <w:t xml:space="preserve"> </w:t>
      </w:r>
      <w:r>
        <w:rPr>
          <w:lang w:val="hu-HU"/>
        </w:rPr>
        <w:t>sürgősen kérjen orvosi segítséget. Orvosi vizsgálatra lesz szüksége, mivel Önnél fokozott lehet a vérzés veszélye.</w:t>
      </w:r>
    </w:p>
    <w:p w:rsidR="008524DE" w:rsidRDefault="008524DE">
      <w:pPr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9"/>
        </w:numPr>
        <w:ind w:left="567" w:hanging="567"/>
        <w:rPr>
          <w:lang w:val="hu-HU"/>
        </w:rPr>
      </w:pPr>
      <w:r>
        <w:rPr>
          <w:lang w:val="hu-HU"/>
        </w:rPr>
        <w:t>ha Önnek tudomása van arról, hogy az antifoszfolipid szindróma nevű betegségben szenved (ez az immunrendszer rendellenessége, amely a vérrögök keletkezésének magasabb kockázatát</w:t>
      </w:r>
      <w:r>
        <w:rPr>
          <w:spacing w:val="1"/>
          <w:lang w:val="hu-HU"/>
        </w:rPr>
        <w:t xml:space="preserve"> </w:t>
      </w:r>
      <w:r>
        <w:rPr>
          <w:lang w:val="hu-HU"/>
        </w:rPr>
        <w:t>eredményezi), tájékoztassa kezelőorvosát, aki eldönti, hogy szükség van</w:t>
      </w:r>
      <w:r>
        <w:rPr>
          <w:lang w:val="hu-HU"/>
        </w:rPr>
        <w:noBreakHyphen/>
        <w:t>e a kezelés</w:t>
      </w:r>
      <w:r>
        <w:rPr>
          <w:spacing w:val="1"/>
          <w:lang w:val="hu-HU"/>
        </w:rPr>
        <w:t xml:space="preserve"> </w:t>
      </w:r>
      <w:r>
        <w:rPr>
          <w:lang w:val="hu-HU"/>
        </w:rPr>
        <w:t>módosítására.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Egyéb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gyógyszerek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és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Dabigatran etexilate Sandoz</w:t>
      </w:r>
    </w:p>
    <w:p w:rsidR="008524DE" w:rsidRDefault="000C1DC5">
      <w:pPr>
        <w:rPr>
          <w:b/>
          <w:bCs/>
          <w:lang w:val="hu-HU"/>
        </w:rPr>
      </w:pPr>
      <w:r>
        <w:rPr>
          <w:lang w:val="hu-HU"/>
        </w:rPr>
        <w:t xml:space="preserve">Feltétlenül tájékoztassa kezelőorvosát vagy gyógyszerészét a jelenleg vagy nemrégiben szedett, valamint szedni tervezett egyéb gyógyszereiről. </w:t>
      </w:r>
      <w:r>
        <w:rPr>
          <w:b/>
          <w:bCs/>
          <w:lang w:val="hu-HU"/>
        </w:rPr>
        <w:t>Különösen fontos, hogy a Dabigatran etexilate Sandoz szedése előtt elmondja kezelőorvosának, ha az alábbi gyógyszerek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bármelyikét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szedi:</w:t>
      </w:r>
    </w:p>
    <w:p w:rsidR="008524DE" w:rsidRDefault="008524DE">
      <w:pPr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11"/>
        </w:numPr>
        <w:ind w:left="567" w:hanging="567"/>
        <w:rPr>
          <w:lang w:val="hu-HU"/>
        </w:rPr>
      </w:pPr>
      <w:r>
        <w:rPr>
          <w:lang w:val="hu-HU"/>
        </w:rPr>
        <w:t>vérhígító (a véralvadást csökkentő) gyógyszerek (például warfarin, fenprokumon,</w:t>
      </w:r>
      <w:r>
        <w:rPr>
          <w:spacing w:val="1"/>
          <w:lang w:val="hu-HU"/>
        </w:rPr>
        <w:t xml:space="preserve"> </w:t>
      </w:r>
      <w:r>
        <w:rPr>
          <w:lang w:val="hu-HU"/>
        </w:rPr>
        <w:t>acenokumarol,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heparin,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klopidogrel,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prazugrel,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tikagrelor,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rivaroxabán,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acetilszalicilsav);</w:t>
      </w:r>
    </w:p>
    <w:p w:rsidR="008524DE" w:rsidRDefault="000C1DC5">
      <w:pPr>
        <w:pStyle w:val="Listaszerbekezds"/>
        <w:numPr>
          <w:ilvl w:val="0"/>
          <w:numId w:val="11"/>
        </w:numPr>
        <w:ind w:left="567" w:hanging="567"/>
        <w:rPr>
          <w:lang w:val="hu-HU"/>
        </w:rPr>
      </w:pPr>
      <w:r>
        <w:rPr>
          <w:lang w:val="hu-HU"/>
        </w:rPr>
        <w:t>gombafertőzések kezelésére szolgáló gyógyszerek (például ketokonazol, itrakonazol), kivéve, ha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csak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bőrön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alkalmazza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ezeket;</w:t>
      </w:r>
    </w:p>
    <w:p w:rsidR="008524DE" w:rsidRDefault="000C1DC5">
      <w:pPr>
        <w:pStyle w:val="Listaszerbekezds"/>
        <w:numPr>
          <w:ilvl w:val="0"/>
          <w:numId w:val="11"/>
        </w:numPr>
        <w:ind w:left="567" w:hanging="567"/>
        <w:rPr>
          <w:lang w:val="hu-HU"/>
        </w:rPr>
      </w:pPr>
      <w:r>
        <w:rPr>
          <w:lang w:val="hu-HU"/>
        </w:rPr>
        <w:t xml:space="preserve">szívritmuszavar kezelésére szolgáló gyógyszerek (például amiodaron, dronedaron, kinidin, verapamil). Ha amiodaron-, kinidin- vagy verapamil-tartalmú gyógyszert szed, kezelőorvosa arról tájékoztathatja Önt, hogy a Dabigatran etexilate Sandoz csökkentett adagját kell szednie, </w:t>
      </w:r>
      <w:bookmarkStart w:id="2" w:name="_Hlk139295573"/>
      <w:r>
        <w:rPr>
          <w:lang w:val="hu-HU"/>
        </w:rPr>
        <w:t>attól függően, hogy milyen betegségre írták fel a gyógyszert</w:t>
      </w:r>
      <w:bookmarkEnd w:id="2"/>
      <w:r>
        <w:rPr>
          <w:lang w:val="hu-HU"/>
        </w:rPr>
        <w:t>.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Lásd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3.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pontot.</w:t>
      </w:r>
    </w:p>
    <w:p w:rsidR="008524DE" w:rsidRDefault="000C1DC5">
      <w:pPr>
        <w:pStyle w:val="Listaszerbekezds"/>
        <w:numPr>
          <w:ilvl w:val="0"/>
          <w:numId w:val="11"/>
        </w:numPr>
        <w:ind w:left="567" w:hanging="567"/>
        <w:rPr>
          <w:lang w:val="hu-HU"/>
        </w:rPr>
      </w:pPr>
      <w:r>
        <w:rPr>
          <w:lang w:val="hu-HU"/>
        </w:rPr>
        <w:t>a szervátültetést (transzplantációt) követő szervkilökődés megakadályozására szolgáló gyógyszerek (például takrolimusz,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ciklosporin);</w:t>
      </w:r>
    </w:p>
    <w:p w:rsidR="008524DE" w:rsidRDefault="000C1DC5">
      <w:pPr>
        <w:pStyle w:val="Listaszerbekezds"/>
        <w:numPr>
          <w:ilvl w:val="0"/>
          <w:numId w:val="11"/>
        </w:numPr>
        <w:ind w:left="567" w:hanging="567"/>
        <w:rPr>
          <w:lang w:val="hu-HU"/>
        </w:rPr>
      </w:pPr>
      <w:r>
        <w:rPr>
          <w:lang w:val="hu-HU"/>
        </w:rPr>
        <w:t>glekaprevir és a pibrentaszvir kombinációját tartalmazó készítmény (vírusellenes gyógyszer, a hepatitisz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C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szolgál);</w:t>
      </w:r>
    </w:p>
    <w:p w:rsidR="008524DE" w:rsidRDefault="000C1DC5">
      <w:pPr>
        <w:pStyle w:val="Listaszerbekezds"/>
        <w:numPr>
          <w:ilvl w:val="0"/>
          <w:numId w:val="11"/>
        </w:numPr>
        <w:ind w:left="567" w:hanging="567"/>
        <w:rPr>
          <w:lang w:val="hu-HU"/>
        </w:rPr>
      </w:pPr>
      <w:r>
        <w:rPr>
          <w:lang w:val="hu-HU"/>
        </w:rPr>
        <w:t>gyulladáscsökkentő és fájdalomcsillapító gyógyszerek (például acetilszalicilsav, ibuprofén, diklofenák);</w:t>
      </w:r>
    </w:p>
    <w:p w:rsidR="008524DE" w:rsidRDefault="000C1DC5">
      <w:pPr>
        <w:pStyle w:val="Listaszerbekezds"/>
        <w:numPr>
          <w:ilvl w:val="0"/>
          <w:numId w:val="11"/>
        </w:numPr>
        <w:ind w:left="567" w:hanging="567"/>
        <w:rPr>
          <w:lang w:val="hu-HU"/>
        </w:rPr>
      </w:pPr>
      <w:r>
        <w:rPr>
          <w:lang w:val="hu-HU"/>
        </w:rPr>
        <w:t>közönséges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orbáncfű,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depresszió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szolgáló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gyógynövény-készítmény;</w:t>
      </w:r>
    </w:p>
    <w:p w:rsidR="008524DE" w:rsidRDefault="000C1DC5">
      <w:pPr>
        <w:pStyle w:val="Listaszerbekezds"/>
        <w:numPr>
          <w:ilvl w:val="0"/>
          <w:numId w:val="11"/>
        </w:numPr>
        <w:ind w:left="567" w:hanging="567"/>
        <w:rPr>
          <w:lang w:val="hu-HU"/>
        </w:rPr>
      </w:pPr>
      <w:r>
        <w:rPr>
          <w:lang w:val="hu-HU"/>
        </w:rPr>
        <w:t>a szelektív szerotoninvisszavétel</w:t>
      </w:r>
      <w:r>
        <w:rPr>
          <w:lang w:val="hu-HU"/>
        </w:rPr>
        <w:noBreakHyphen/>
        <w:t>gátlóknak vagy szelektív szerotonin</w:t>
      </w:r>
      <w:r>
        <w:rPr>
          <w:lang w:val="hu-HU"/>
        </w:rPr>
        <w:noBreakHyphen/>
        <w:t>noradrenalin</w:t>
      </w:r>
      <w:r>
        <w:rPr>
          <w:lang w:val="hu-HU"/>
        </w:rPr>
        <w:noBreakHyphen/>
        <w:t>visszavétel</w:t>
      </w:r>
      <w:r>
        <w:rPr>
          <w:lang w:val="hu-HU"/>
        </w:rPr>
        <w:noBreakHyphen/>
        <w:t>gátlóknak nevezett,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depresszió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elleni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gyógyszerek;</w:t>
      </w:r>
    </w:p>
    <w:p w:rsidR="008524DE" w:rsidRDefault="000C1DC5">
      <w:pPr>
        <w:pStyle w:val="Listaszerbekezds"/>
        <w:numPr>
          <w:ilvl w:val="0"/>
          <w:numId w:val="11"/>
        </w:numPr>
        <w:ind w:left="567" w:hanging="567"/>
        <w:rPr>
          <w:lang w:val="hu-HU"/>
        </w:rPr>
      </w:pPr>
      <w:r>
        <w:rPr>
          <w:lang w:val="hu-HU"/>
        </w:rPr>
        <w:t>rifampicin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klaritromicin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(két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antibiotikum);</w:t>
      </w:r>
    </w:p>
    <w:p w:rsidR="008524DE" w:rsidRDefault="000C1DC5">
      <w:pPr>
        <w:pStyle w:val="Listaszerbekezds"/>
        <w:numPr>
          <w:ilvl w:val="0"/>
          <w:numId w:val="11"/>
        </w:numPr>
        <w:ind w:left="567" w:hanging="567"/>
        <w:rPr>
          <w:lang w:val="hu-HU"/>
        </w:rPr>
      </w:pPr>
      <w:r>
        <w:rPr>
          <w:lang w:val="hu-HU"/>
        </w:rPr>
        <w:t>AIDS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szolgáló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vírusellenes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szerek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(például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ritonavir);</w:t>
      </w:r>
    </w:p>
    <w:p w:rsidR="008524DE" w:rsidRDefault="000C1DC5">
      <w:pPr>
        <w:pStyle w:val="Listaszerbekezds"/>
        <w:numPr>
          <w:ilvl w:val="0"/>
          <w:numId w:val="11"/>
        </w:numPr>
        <w:ind w:left="567" w:hanging="567"/>
        <w:rPr>
          <w:lang w:val="hu-HU"/>
        </w:rPr>
      </w:pPr>
      <w:r>
        <w:rPr>
          <w:lang w:val="hu-HU"/>
        </w:rPr>
        <w:t>epilepszia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kezelésére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szolgáló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egyes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gyógyszerek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(például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karbamazepin,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fenitoin).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Terhesség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és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szoptatás</w:t>
      </w:r>
    </w:p>
    <w:p w:rsidR="008524DE" w:rsidRDefault="000C1DC5">
      <w:pPr>
        <w:rPr>
          <w:lang w:val="hu-HU"/>
        </w:rPr>
      </w:pPr>
      <w:r>
        <w:rPr>
          <w:lang w:val="hu-HU"/>
        </w:rPr>
        <w:t>Ha Ön terhes vagy szoptat, illetve ha fennáll Önnél a terhesség lehetősége vagy gyermeket szeretne, a gyógyszer alkalmazása előtt beszéljen kezelőorvosával.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A Dabigatran etexilate Sandoz terhességre és a még meg nem született gyermekre kifejtett hatásai nem ismertek. Terhesség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alatt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nem szedheti ezt a gyógyszert,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csak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akkor,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3"/>
          <w:lang w:val="hu-HU"/>
        </w:rPr>
        <w:t xml:space="preserve"> kezelő</w:t>
      </w:r>
      <w:r>
        <w:rPr>
          <w:lang w:val="hu-HU"/>
        </w:rPr>
        <w:t>orvosa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azt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biztonságosnak</w:t>
      </w:r>
      <w:r>
        <w:rPr>
          <w:spacing w:val="-3"/>
          <w:lang w:val="hu-HU"/>
        </w:rPr>
        <w:t xml:space="preserve"> </w:t>
      </w:r>
      <w:r>
        <w:rPr>
          <w:lang w:val="hu-HU"/>
        </w:rPr>
        <w:t xml:space="preserve">tartja. Amennyiben Ön fogamzóképes nő, </w:t>
      </w:r>
      <w:bookmarkStart w:id="3" w:name="_Hlk112572502"/>
      <w:r>
        <w:rPr>
          <w:lang w:val="hu-HU"/>
        </w:rPr>
        <w:t>el kell kerülnie a teherbe esést, amíg Dabigatran etexilate Sandoz</w:t>
      </w:r>
      <w:r>
        <w:rPr>
          <w:lang w:val="hu-HU"/>
        </w:rPr>
        <w:noBreakHyphen/>
        <w:t>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 xml:space="preserve">szed. </w:t>
      </w:r>
      <w:bookmarkEnd w:id="3"/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A Dabigatran etexilate Sandoz szedése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alatt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szabad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szoptatnia.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A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készítmény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hatásai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gépjárművezetéshez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és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gépek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kezeléséhez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szükséges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képességekre</w:t>
      </w:r>
    </w:p>
    <w:p w:rsidR="008524DE" w:rsidRDefault="000C1DC5">
      <w:pPr>
        <w:rPr>
          <w:lang w:val="hu-HU"/>
        </w:rPr>
      </w:pPr>
      <w:bookmarkStart w:id="4" w:name="_Hlk112427078"/>
      <w:r>
        <w:rPr>
          <w:lang w:val="hu-HU"/>
        </w:rPr>
        <w:t>A Dabigatran etexilate Sandoz</w:t>
      </w:r>
      <w:r>
        <w:rPr>
          <w:lang w:val="hu-HU"/>
        </w:rPr>
        <w:noBreakHyphen/>
        <w:t>nak nincs, a gépjárművezetéshez és gépek kezeléséhez szükséges képességekre gyakorolt ismert hatása.</w:t>
      </w:r>
      <w:bookmarkEnd w:id="4"/>
    </w:p>
    <w:p w:rsidR="008524DE" w:rsidRDefault="008524DE">
      <w:pPr>
        <w:rPr>
          <w:lang w:val="hu-HU"/>
        </w:rPr>
      </w:pPr>
    </w:p>
    <w:p w:rsidR="008524DE" w:rsidRDefault="000C1DC5">
      <w:pPr>
        <w:tabs>
          <w:tab w:val="left" w:pos="720"/>
        </w:tabs>
        <w:ind w:right="-2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A Dabigatran etexilate Sandoz nátriumot tartalmaz</w:t>
      </w:r>
    </w:p>
    <w:p w:rsidR="008524DE" w:rsidRDefault="000C1DC5">
      <w:pPr>
        <w:rPr>
          <w:lang w:val="hu-HU"/>
        </w:rPr>
      </w:pPr>
      <w:r>
        <w:rPr>
          <w:lang w:val="hu-HU"/>
        </w:rPr>
        <w:t>Ez a gyógyszer kevesebb mint 1 mmol (23 mg) nátriumot tartalmaz kemény kapszulánként, tehát gyakorlatilag „nátriummentes”.</w:t>
      </w:r>
    </w:p>
    <w:p w:rsidR="008524DE" w:rsidRDefault="008524DE">
      <w:pPr>
        <w:rPr>
          <w:lang w:val="hu-HU"/>
        </w:rPr>
      </w:pPr>
    </w:p>
    <w:p w:rsidR="008524DE" w:rsidRDefault="008524DE">
      <w:pPr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3"/>
        </w:numPr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Hogyan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kell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szedni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Dabigatran etexilate Sandoz</w:t>
      </w:r>
      <w:r>
        <w:rPr>
          <w:b/>
          <w:bCs/>
          <w:lang w:val="hu-HU"/>
        </w:rPr>
        <w:noBreakHyphen/>
        <w:t>t?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 xml:space="preserve">A Dabigatran etexilate Sandoz kapszula felnőtteknek és 8 éves kortól olyan gyermekeknek adható, akik képesek egészben lenyelni a kapszulákat. 12 év alatti gyermekek kezelésére egyéb, megfelelő gyógyszerformák állnak rendelkezésre, amint képesek a pépes ételek lenyelésére 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A gyógyszert mindig a kezelőorvosa által elmondottaknak megfelelően szedje. Amennyiben nem biztos abban, hogyan alkalmazza a gyógyszert, kérdezze meg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kezelőorvosát.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A következő állapotokra a javaslat szerint szedje a Dabigatran etexilate Sandoz</w:t>
      </w:r>
      <w:r>
        <w:rPr>
          <w:b/>
          <w:bCs/>
          <w:lang w:val="hu-HU"/>
        </w:rPr>
        <w:noBreakHyphen/>
        <w:t>t:</w:t>
      </w:r>
    </w:p>
    <w:p w:rsidR="008524DE" w:rsidRDefault="008524DE">
      <w:pPr>
        <w:rPr>
          <w:lang w:val="hu-HU"/>
        </w:rPr>
      </w:pPr>
    </w:p>
    <w:p w:rsidR="008524DE" w:rsidRDefault="000C1DC5">
      <w:pPr>
        <w:pStyle w:val="Cmsor1"/>
        <w:ind w:left="5" w:hanging="11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A szívritmuszavart követően kifejlődő, agyi vagy a testben lévő ereket elzáró vérrögképződés megelőzése és a lábak, valamint a tüdő vénáiban kialakult vérrögök kezelése, beleértve ebbe az ilyen vérrögök a lábakban, illetve a tüdőben történő ismételt kialakulásának megelőzését</w:t>
      </w:r>
      <w:r>
        <w:rPr>
          <w:sz w:val="22"/>
          <w:szCs w:val="22"/>
          <w:lang w:val="hu-HU"/>
        </w:rPr>
        <w:t>.</w:t>
      </w:r>
    </w:p>
    <w:p w:rsidR="008524DE" w:rsidRDefault="008524DE">
      <w:pPr>
        <w:ind w:left="7"/>
        <w:rPr>
          <w:lang w:val="hu-HU"/>
        </w:rPr>
      </w:pPr>
    </w:p>
    <w:p w:rsidR="008524DE" w:rsidRDefault="000C1DC5">
      <w:pPr>
        <w:ind w:left="7"/>
        <w:rPr>
          <w:lang w:val="hu-HU"/>
        </w:rPr>
      </w:pPr>
      <w:r>
        <w:rPr>
          <w:lang w:val="hu-HU"/>
        </w:rPr>
        <w:t>Az ajánlott adag 300 mg naponta</w:t>
      </w:r>
      <w:r>
        <w:rPr>
          <w:b/>
          <w:bCs/>
          <w:lang w:val="hu-HU"/>
        </w:rPr>
        <w:t xml:space="preserve">, amit napi kétszer egy 150 mg-os kapszula formájában </w:t>
      </w:r>
      <w:r>
        <w:rPr>
          <w:lang w:val="hu-HU"/>
        </w:rPr>
        <w:t>kell bevenni.</w:t>
      </w:r>
    </w:p>
    <w:p w:rsidR="008524DE" w:rsidRDefault="008524DE">
      <w:pPr>
        <w:ind w:left="7"/>
        <w:rPr>
          <w:lang w:val="hu-HU"/>
        </w:rPr>
      </w:pPr>
    </w:p>
    <w:p w:rsidR="008524DE" w:rsidRDefault="000C1DC5">
      <w:pPr>
        <w:ind w:left="7"/>
        <w:rPr>
          <w:lang w:val="hu-HU"/>
        </w:rPr>
      </w:pPr>
      <w:r>
        <w:rPr>
          <w:lang w:val="hu-HU"/>
        </w:rPr>
        <w:t xml:space="preserve">Ha Ön </w:t>
      </w:r>
      <w:r>
        <w:rPr>
          <w:b/>
          <w:bCs/>
          <w:lang w:val="hu-HU"/>
        </w:rPr>
        <w:t>80 éves vagy idősebb</w:t>
      </w:r>
      <w:r>
        <w:rPr>
          <w:lang w:val="hu-HU"/>
        </w:rPr>
        <w:t xml:space="preserve">, a javasolt adag 220 mg, amit </w:t>
      </w:r>
      <w:r>
        <w:rPr>
          <w:b/>
          <w:bCs/>
          <w:lang w:val="hu-HU"/>
        </w:rPr>
        <w:t xml:space="preserve">napi kétszer egy 110 mg-os kapszula formájában </w:t>
      </w:r>
      <w:r>
        <w:rPr>
          <w:lang w:val="hu-HU"/>
        </w:rPr>
        <w:t>kell bevenni.</w:t>
      </w:r>
    </w:p>
    <w:p w:rsidR="008524DE" w:rsidRDefault="008524DE">
      <w:pPr>
        <w:ind w:left="7"/>
        <w:rPr>
          <w:lang w:val="hu-HU"/>
        </w:rPr>
      </w:pPr>
    </w:p>
    <w:p w:rsidR="008524DE" w:rsidRDefault="000C1DC5">
      <w:pPr>
        <w:ind w:left="7" w:right="11"/>
        <w:rPr>
          <w:lang w:val="hu-HU"/>
        </w:rPr>
      </w:pPr>
      <w:r>
        <w:rPr>
          <w:lang w:val="hu-HU"/>
        </w:rPr>
        <w:t xml:space="preserve">Ha </w:t>
      </w:r>
      <w:r>
        <w:rPr>
          <w:b/>
          <w:bCs/>
          <w:lang w:val="hu-HU"/>
        </w:rPr>
        <w:t>verapamil-tartalmú gyógyszert szed</w:t>
      </w:r>
      <w:r>
        <w:rPr>
          <w:lang w:val="hu-HU"/>
        </w:rPr>
        <w:t>, akkor Önt a Dabigatran etexilate Sandoz csökkentett, 220 mg</w:t>
      </w:r>
      <w:r>
        <w:rPr>
          <w:lang w:val="hu-HU"/>
        </w:rPr>
        <w:noBreakHyphen/>
        <w:t xml:space="preserve">os adagjával kell kezelni, amit </w:t>
      </w:r>
      <w:r>
        <w:rPr>
          <w:b/>
          <w:bCs/>
          <w:lang w:val="hu-HU"/>
        </w:rPr>
        <w:t>napi kétszer egy</w:t>
      </w:r>
      <w:r>
        <w:rPr>
          <w:lang w:val="hu-HU"/>
        </w:rPr>
        <w:t xml:space="preserve"> </w:t>
      </w:r>
      <w:r>
        <w:rPr>
          <w:b/>
          <w:bCs/>
          <w:lang w:val="hu-HU"/>
        </w:rPr>
        <w:t xml:space="preserve">110 mg-os kapszulában </w:t>
      </w:r>
      <w:r>
        <w:rPr>
          <w:lang w:val="hu-HU"/>
        </w:rPr>
        <w:t>kell bevennie, mert megnőhet a vérzés kockázata.</w:t>
      </w:r>
    </w:p>
    <w:p w:rsidR="008524DE" w:rsidRDefault="008524DE">
      <w:pPr>
        <w:ind w:left="7" w:right="11"/>
        <w:rPr>
          <w:lang w:val="hu-HU"/>
        </w:rPr>
      </w:pPr>
    </w:p>
    <w:p w:rsidR="008524DE" w:rsidRDefault="000C1DC5">
      <w:pPr>
        <w:ind w:left="7" w:right="11"/>
        <w:rPr>
          <w:lang w:val="hu-HU"/>
        </w:rPr>
      </w:pPr>
      <w:r>
        <w:rPr>
          <w:lang w:val="hu-HU"/>
        </w:rPr>
        <w:t xml:space="preserve">Ha Önnél </w:t>
      </w:r>
      <w:r>
        <w:rPr>
          <w:b/>
          <w:bCs/>
          <w:lang w:val="hu-HU"/>
        </w:rPr>
        <w:t>nagyobb a vérzés veszélye</w:t>
      </w:r>
      <w:r>
        <w:rPr>
          <w:lang w:val="hu-HU"/>
        </w:rPr>
        <w:t xml:space="preserve">, kezelőorvosa napi 220 mg-os adagot rendelhet, amit </w:t>
      </w:r>
      <w:r>
        <w:rPr>
          <w:b/>
          <w:bCs/>
          <w:lang w:val="hu-HU"/>
        </w:rPr>
        <w:t xml:space="preserve">napi kétszer egy 110 mg-os kapszulában </w:t>
      </w:r>
      <w:r>
        <w:rPr>
          <w:lang w:val="hu-HU"/>
        </w:rPr>
        <w:t>kell bevennie.</w:t>
      </w:r>
    </w:p>
    <w:p w:rsidR="008524DE" w:rsidRDefault="008524DE">
      <w:pPr>
        <w:ind w:left="7" w:right="11"/>
        <w:rPr>
          <w:lang w:val="hu-HU"/>
        </w:rPr>
      </w:pPr>
    </w:p>
    <w:p w:rsidR="008524DE" w:rsidRDefault="000C1DC5">
      <w:pPr>
        <w:ind w:left="7" w:right="11"/>
        <w:rPr>
          <w:lang w:val="hu-HU"/>
        </w:rPr>
      </w:pPr>
      <w:r>
        <w:rPr>
          <w:lang w:val="hu-HU"/>
        </w:rPr>
        <w:t>Folytathatja ennek a gyógyszernek a szedését, ha a normális szívritmusát egy kardioverziónak nevezett eljárással kell helyreállítani. A Dabigatran etexilate Sandoz</w:t>
      </w:r>
      <w:r>
        <w:rPr>
          <w:lang w:val="hu-HU"/>
        </w:rPr>
        <w:noBreakHyphen/>
        <w:t>t a kezelőorvosa által elmondottaknak megfelelően szedje.</w:t>
      </w:r>
    </w:p>
    <w:p w:rsidR="008524DE" w:rsidRDefault="008524DE">
      <w:pPr>
        <w:ind w:left="7" w:right="11"/>
        <w:rPr>
          <w:lang w:val="hu-HU"/>
        </w:rPr>
      </w:pPr>
    </w:p>
    <w:p w:rsidR="008524DE" w:rsidRDefault="000C1DC5">
      <w:pPr>
        <w:ind w:left="7" w:right="11"/>
        <w:rPr>
          <w:lang w:val="hu-HU"/>
        </w:rPr>
      </w:pPr>
      <w:r>
        <w:rPr>
          <w:lang w:val="hu-HU"/>
        </w:rPr>
        <w:t>Ha egy orvosi eszközt (úgynevezett stentet) vezetnek fel egy vérerébe az úgynevezett perkután koronáriaintervenció elnevezésű eljárással, hogy az ér átjárható maradjon, Önt kezelhetik Dabigatran etexilate Sandoz</w:t>
      </w:r>
      <w:r>
        <w:rPr>
          <w:lang w:val="hu-HU"/>
        </w:rPr>
        <w:noBreakHyphen/>
        <w:t>zal, amennyiben kezelőorvosa szerint elérték a véralvadásának normál beállítását. A Dabigatran etexilate Sandoz</w:t>
      </w:r>
      <w:r>
        <w:rPr>
          <w:lang w:val="hu-HU"/>
        </w:rPr>
        <w:noBreakHyphen/>
        <w:t>t a kezelőorvosa által elmondottaknak megfelelően szedje.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u w:val="single"/>
          <w:lang w:val="hu-HU"/>
        </w:rPr>
      </w:pPr>
      <w:r>
        <w:rPr>
          <w:u w:val="single"/>
          <w:lang w:val="hu-HU"/>
        </w:rPr>
        <w:t>Vérrögök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kezelése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és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a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vérrögök</w:t>
      </w:r>
      <w:r>
        <w:rPr>
          <w:spacing w:val="-4"/>
          <w:u w:val="single"/>
          <w:lang w:val="hu-HU"/>
        </w:rPr>
        <w:t xml:space="preserve"> </w:t>
      </w:r>
      <w:r>
        <w:rPr>
          <w:u w:val="single"/>
          <w:lang w:val="hu-HU"/>
        </w:rPr>
        <w:t>újbóli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kialakulásának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megelőzése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gyermekeknél</w:t>
      </w:r>
      <w:r>
        <w:rPr>
          <w:spacing w:val="-4"/>
          <w:u w:val="single"/>
          <w:lang w:val="hu-HU"/>
        </w:rPr>
        <w:t xml:space="preserve"> és serdülőknél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b/>
          <w:bCs/>
          <w:lang w:val="hu-HU"/>
        </w:rPr>
        <w:t>A Dabigatran etexilate Sandoz</w:t>
      </w:r>
      <w:r>
        <w:rPr>
          <w:b/>
          <w:bCs/>
          <w:lang w:val="hu-HU"/>
        </w:rPr>
        <w:noBreakHyphen/>
        <w:t>t naponta kétszer kell bevenni</w:t>
      </w:r>
      <w:r>
        <w:rPr>
          <w:lang w:val="hu-HU"/>
        </w:rPr>
        <w:t>, egy adagot reggel és egy adagot este, minden nap</w:t>
      </w:r>
      <w:r>
        <w:rPr>
          <w:spacing w:val="1"/>
          <w:lang w:val="hu-HU"/>
        </w:rPr>
        <w:t xml:space="preserve"> </w:t>
      </w:r>
      <w:r>
        <w:rPr>
          <w:lang w:val="hu-HU"/>
        </w:rPr>
        <w:t>körülbelül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azonos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időben.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bevételek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között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eltelt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időnek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lehető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legközelebb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kell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lennie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12 órához.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A javasolt adag a testtömegtől és az életkortól függ. Kezelőorvosa fogja meghatározni a megfelelő adagot. A kezelés előrehaladtával a kezelőorvos módosíthatja az adagot. Minden gyógyszerét szedje továbbra is, kivéve,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kezelőorvosa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azt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mondja,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hagyja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abba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valamelyiket.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Az 1. táblázat mutatja az egyszeri és teljes napi Dabigatran etexilate Sandoz adagot milligramm (mg) értékben megadva. Az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adag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beteg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kilogrammban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megadott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testtömegétől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(kg)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évben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megadott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életkorától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függ.</w:t>
      </w:r>
    </w:p>
    <w:p w:rsidR="008524DE" w:rsidRDefault="008524DE">
      <w:pPr>
        <w:rPr>
          <w:lang w:val="hu-HU"/>
        </w:rPr>
      </w:pPr>
    </w:p>
    <w:p w:rsidR="008524DE" w:rsidRDefault="000C1DC5">
      <w:pPr>
        <w:keepNext/>
        <w:widowControl/>
        <w:rPr>
          <w:lang w:val="hu-HU"/>
        </w:rPr>
      </w:pPr>
      <w:r>
        <w:rPr>
          <w:lang w:val="hu-HU"/>
        </w:rPr>
        <w:lastRenderedPageBreak/>
        <w:t>1.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táblázat: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Dabigatran etexilate Sandoz</w:t>
      </w:r>
      <w:r>
        <w:rPr>
          <w:spacing w:val="-4"/>
          <w:lang w:val="hu-HU"/>
        </w:rPr>
        <w:t xml:space="preserve"> kapszula </w:t>
      </w:r>
      <w:r>
        <w:rPr>
          <w:lang w:val="hu-HU"/>
        </w:rPr>
        <w:t>adagolási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táblázata</w:t>
      </w:r>
    </w:p>
    <w:p w:rsidR="008524DE" w:rsidRDefault="008524DE">
      <w:pPr>
        <w:keepNext/>
        <w:widowControl/>
        <w:rPr>
          <w:lang w:val="hu-HU"/>
        </w:rPr>
      </w:pPr>
    </w:p>
    <w:tbl>
      <w:tblPr>
        <w:tblStyle w:val="TableNormal1"/>
        <w:tblW w:w="908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544"/>
        <w:gridCol w:w="1134"/>
        <w:gridCol w:w="1285"/>
      </w:tblGrid>
      <w:tr w:rsidR="008524DE">
        <w:trPr>
          <w:trHeight w:val="254"/>
        </w:trPr>
        <w:tc>
          <w:tcPr>
            <w:tcW w:w="6663" w:type="dxa"/>
            <w:gridSpan w:val="2"/>
          </w:tcPr>
          <w:p w:rsidR="008524DE" w:rsidRDefault="000C1DC5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Testtömeg/életkor</w:t>
            </w:r>
            <w:r>
              <w:rPr>
                <w:b/>
                <w:bCs/>
                <w:spacing w:val="-8"/>
                <w:lang w:val="hu-HU"/>
              </w:rPr>
              <w:t xml:space="preserve"> </w:t>
            </w:r>
            <w:r>
              <w:rPr>
                <w:b/>
                <w:bCs/>
                <w:lang w:val="hu-HU"/>
              </w:rPr>
              <w:t>kombinációk</w:t>
            </w:r>
          </w:p>
        </w:tc>
        <w:tc>
          <w:tcPr>
            <w:tcW w:w="1134" w:type="dxa"/>
            <w:vMerge w:val="restart"/>
          </w:tcPr>
          <w:p w:rsidR="008524DE" w:rsidRDefault="000C1DC5">
            <w:pPr>
              <w:keepNext/>
              <w:widowControl/>
              <w:jc w:val="center"/>
              <w:rPr>
                <w:b/>
                <w:bCs/>
                <w:spacing w:val="-3"/>
                <w:lang w:val="hu-HU"/>
              </w:rPr>
            </w:pPr>
            <w:r>
              <w:rPr>
                <w:b/>
                <w:bCs/>
                <w:lang w:val="hu-HU"/>
              </w:rPr>
              <w:t>Egyszeri</w:t>
            </w:r>
            <w:r>
              <w:rPr>
                <w:b/>
                <w:bCs/>
                <w:spacing w:val="-4"/>
                <w:lang w:val="hu-HU"/>
              </w:rPr>
              <w:t xml:space="preserve"> </w:t>
            </w:r>
            <w:r>
              <w:rPr>
                <w:b/>
                <w:bCs/>
                <w:lang w:val="hu-HU"/>
              </w:rPr>
              <w:t>adag</w:t>
            </w:r>
            <w:r>
              <w:rPr>
                <w:b/>
                <w:bCs/>
                <w:spacing w:val="-3"/>
                <w:lang w:val="hu-HU"/>
              </w:rPr>
              <w:t xml:space="preserve"> </w:t>
            </w:r>
          </w:p>
          <w:p w:rsidR="008524DE" w:rsidRDefault="000C1DC5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mg</w:t>
            </w:r>
            <w:r>
              <w:rPr>
                <w:b/>
                <w:bCs/>
                <w:lang w:val="hu-HU"/>
              </w:rPr>
              <w:noBreakHyphen/>
              <w:t>ban</w:t>
            </w:r>
          </w:p>
        </w:tc>
        <w:tc>
          <w:tcPr>
            <w:tcW w:w="1285" w:type="dxa"/>
            <w:vMerge w:val="restart"/>
          </w:tcPr>
          <w:p w:rsidR="008524DE" w:rsidRDefault="000C1DC5">
            <w:pPr>
              <w:keepNext/>
              <w:widowControl/>
              <w:jc w:val="center"/>
              <w:rPr>
                <w:b/>
                <w:bCs/>
                <w:spacing w:val="-3"/>
                <w:lang w:val="hu-HU"/>
              </w:rPr>
            </w:pPr>
            <w:r>
              <w:rPr>
                <w:b/>
                <w:bCs/>
                <w:lang w:val="hu-HU"/>
              </w:rPr>
              <w:t>Teljes</w:t>
            </w:r>
            <w:r>
              <w:rPr>
                <w:b/>
                <w:bCs/>
                <w:spacing w:val="-3"/>
                <w:lang w:val="hu-HU"/>
              </w:rPr>
              <w:t xml:space="preserve"> </w:t>
            </w:r>
            <w:r>
              <w:rPr>
                <w:b/>
                <w:bCs/>
                <w:lang w:val="hu-HU"/>
              </w:rPr>
              <w:t>napi</w:t>
            </w:r>
            <w:r>
              <w:rPr>
                <w:b/>
                <w:bCs/>
                <w:spacing w:val="-3"/>
                <w:lang w:val="hu-HU"/>
              </w:rPr>
              <w:t xml:space="preserve"> </w:t>
            </w:r>
            <w:r>
              <w:rPr>
                <w:b/>
                <w:bCs/>
                <w:lang w:val="hu-HU"/>
              </w:rPr>
              <w:t>adag</w:t>
            </w:r>
            <w:r>
              <w:rPr>
                <w:b/>
                <w:bCs/>
                <w:spacing w:val="-3"/>
                <w:lang w:val="hu-HU"/>
              </w:rPr>
              <w:t xml:space="preserve"> </w:t>
            </w:r>
          </w:p>
          <w:p w:rsidR="008524DE" w:rsidRDefault="000C1DC5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mg</w:t>
            </w:r>
            <w:r>
              <w:rPr>
                <w:b/>
                <w:bCs/>
                <w:lang w:val="hu-HU"/>
              </w:rPr>
              <w:noBreakHyphen/>
              <w:t>ban</w:t>
            </w:r>
          </w:p>
        </w:tc>
      </w:tr>
      <w:tr w:rsidR="008524DE">
        <w:trPr>
          <w:trHeight w:val="251"/>
        </w:trPr>
        <w:tc>
          <w:tcPr>
            <w:tcW w:w="3119" w:type="dxa"/>
          </w:tcPr>
          <w:p w:rsidR="008524DE" w:rsidRDefault="000C1DC5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Testtömeg</w:t>
            </w:r>
            <w:r>
              <w:rPr>
                <w:b/>
                <w:bCs/>
                <w:spacing w:val="-4"/>
                <w:lang w:val="hu-HU"/>
              </w:rPr>
              <w:t xml:space="preserve"> </w:t>
            </w:r>
            <w:r>
              <w:rPr>
                <w:b/>
                <w:bCs/>
                <w:lang w:val="hu-HU"/>
              </w:rPr>
              <w:t>(kg)</w:t>
            </w:r>
          </w:p>
        </w:tc>
        <w:tc>
          <w:tcPr>
            <w:tcW w:w="3544" w:type="dxa"/>
          </w:tcPr>
          <w:p w:rsidR="008524DE" w:rsidRDefault="000C1DC5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Életkor</w:t>
            </w:r>
            <w:r>
              <w:rPr>
                <w:b/>
                <w:bCs/>
                <w:spacing w:val="-4"/>
                <w:lang w:val="hu-HU"/>
              </w:rPr>
              <w:t xml:space="preserve"> </w:t>
            </w:r>
            <w:r>
              <w:rPr>
                <w:b/>
                <w:bCs/>
                <w:lang w:val="hu-HU"/>
              </w:rPr>
              <w:t>(év)</w:t>
            </w:r>
          </w:p>
        </w:tc>
        <w:tc>
          <w:tcPr>
            <w:tcW w:w="1134" w:type="dxa"/>
            <w:vMerge/>
          </w:tcPr>
          <w:p w:rsidR="008524DE" w:rsidRDefault="008524DE">
            <w:pPr>
              <w:keepNext/>
              <w:widowControl/>
              <w:jc w:val="center"/>
              <w:rPr>
                <w:b/>
                <w:bCs/>
                <w:spacing w:val="-3"/>
                <w:lang w:val="hu-HU"/>
              </w:rPr>
            </w:pPr>
          </w:p>
        </w:tc>
        <w:tc>
          <w:tcPr>
            <w:tcW w:w="1285" w:type="dxa"/>
            <w:vMerge/>
          </w:tcPr>
          <w:p w:rsidR="008524DE" w:rsidRDefault="008524DE">
            <w:pPr>
              <w:keepNext/>
              <w:widowControl/>
              <w:jc w:val="center"/>
              <w:rPr>
                <w:b/>
                <w:bCs/>
                <w:spacing w:val="-3"/>
                <w:lang w:val="hu-HU"/>
              </w:rPr>
            </w:pPr>
          </w:p>
        </w:tc>
      </w:tr>
      <w:tr w:rsidR="008524DE">
        <w:trPr>
          <w:trHeight w:val="323"/>
        </w:trPr>
        <w:tc>
          <w:tcPr>
            <w:tcW w:w="3119" w:type="dxa"/>
          </w:tcPr>
          <w:p w:rsidR="008524DE" w:rsidRDefault="000C1DC5">
            <w:pPr>
              <w:keepNext/>
              <w:widowControl/>
              <w:ind w:left="142"/>
              <w:rPr>
                <w:lang w:val="hu-HU"/>
              </w:rPr>
            </w:pPr>
            <w:r>
              <w:rPr>
                <w:lang w:val="hu-HU"/>
              </w:rPr>
              <w:t>11</w:t>
            </w:r>
            <w:r>
              <w:rPr>
                <w:spacing w:val="-3"/>
                <w:lang w:val="hu-HU"/>
              </w:rPr>
              <w:t> kg</w:t>
            </w:r>
            <w:r>
              <w:rPr>
                <w:lang w:val="hu-HU"/>
              </w:rPr>
              <w:t>-tól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13 kg-ig</w:t>
            </w:r>
          </w:p>
        </w:tc>
        <w:tc>
          <w:tcPr>
            <w:tcW w:w="3544" w:type="dxa"/>
          </w:tcPr>
          <w:p w:rsidR="008524DE" w:rsidRDefault="000C1DC5">
            <w:pPr>
              <w:keepNext/>
              <w:widowControl/>
              <w:ind w:left="145"/>
              <w:rPr>
                <w:lang w:val="hu-HU"/>
              </w:rPr>
            </w:pPr>
            <w:r>
              <w:rPr>
                <w:lang w:val="hu-HU"/>
              </w:rPr>
              <w:t>8 éves kortól a 9.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8524DE" w:rsidRDefault="000C1DC5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75</w:t>
            </w:r>
            <w:bookmarkStart w:id="5" w:name="_Hlk218503532"/>
            <w:r>
              <w:rPr>
                <w:lang w:val="hu-HU"/>
              </w:rPr>
              <w:t>*</w:t>
            </w:r>
            <w:bookmarkEnd w:id="5"/>
          </w:p>
        </w:tc>
        <w:tc>
          <w:tcPr>
            <w:tcW w:w="1285" w:type="dxa"/>
          </w:tcPr>
          <w:p w:rsidR="008524DE" w:rsidRDefault="000C1DC5">
            <w:pPr>
              <w:keepNext/>
              <w:widowControl/>
              <w:jc w:val="center"/>
              <w:rPr>
                <w:lang w:val="hu-HU"/>
              </w:rPr>
            </w:pPr>
            <w:r>
              <w:rPr>
                <w:lang w:val="hu-HU"/>
              </w:rPr>
              <w:t>150</w:t>
            </w:r>
          </w:p>
        </w:tc>
      </w:tr>
      <w:tr w:rsidR="008524DE">
        <w:trPr>
          <w:trHeight w:val="413"/>
        </w:trPr>
        <w:tc>
          <w:tcPr>
            <w:tcW w:w="3119" w:type="dxa"/>
          </w:tcPr>
          <w:p w:rsidR="008524DE" w:rsidRDefault="000C1D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13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16 kg-ig</w:t>
            </w:r>
          </w:p>
        </w:tc>
        <w:tc>
          <w:tcPr>
            <w:tcW w:w="3544" w:type="dxa"/>
          </w:tcPr>
          <w:p w:rsidR="008524DE" w:rsidRDefault="000C1DC5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</w:t>
            </w:r>
            <w:r>
              <w:rPr>
                <w:spacing w:val="-1"/>
                <w:lang w:val="hu-HU"/>
              </w:rPr>
              <w:t> éves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kortól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a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11.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110</w:t>
            </w:r>
          </w:p>
        </w:tc>
        <w:tc>
          <w:tcPr>
            <w:tcW w:w="1285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220</w:t>
            </w:r>
          </w:p>
        </w:tc>
      </w:tr>
      <w:tr w:rsidR="008524DE">
        <w:trPr>
          <w:trHeight w:val="419"/>
        </w:trPr>
        <w:tc>
          <w:tcPr>
            <w:tcW w:w="3119" w:type="dxa"/>
          </w:tcPr>
          <w:p w:rsidR="008524DE" w:rsidRDefault="000C1D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16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21 kg-ig</w:t>
            </w:r>
          </w:p>
        </w:tc>
        <w:tc>
          <w:tcPr>
            <w:tcW w:w="3544" w:type="dxa"/>
          </w:tcPr>
          <w:p w:rsidR="008524DE" w:rsidRDefault="000C1DC5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</w:t>
            </w:r>
            <w:r>
              <w:rPr>
                <w:spacing w:val="-1"/>
                <w:lang w:val="hu-HU"/>
              </w:rPr>
              <w:t> éves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kortól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a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14.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110</w:t>
            </w:r>
          </w:p>
        </w:tc>
        <w:tc>
          <w:tcPr>
            <w:tcW w:w="1285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220</w:t>
            </w:r>
          </w:p>
        </w:tc>
      </w:tr>
      <w:tr w:rsidR="008524DE">
        <w:trPr>
          <w:trHeight w:val="425"/>
        </w:trPr>
        <w:tc>
          <w:tcPr>
            <w:tcW w:w="3119" w:type="dxa"/>
          </w:tcPr>
          <w:p w:rsidR="008524DE" w:rsidRDefault="000C1D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21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26 kg-ig</w:t>
            </w:r>
          </w:p>
        </w:tc>
        <w:tc>
          <w:tcPr>
            <w:tcW w:w="3544" w:type="dxa"/>
          </w:tcPr>
          <w:p w:rsidR="008524DE" w:rsidRDefault="000C1DC5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 éves kortól a 16. életév</w:t>
            </w:r>
            <w:r>
              <w:rPr>
                <w:spacing w:val="-5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150</w:t>
            </w:r>
          </w:p>
        </w:tc>
        <w:tc>
          <w:tcPr>
            <w:tcW w:w="1285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300</w:t>
            </w:r>
          </w:p>
        </w:tc>
      </w:tr>
      <w:tr w:rsidR="008524DE">
        <w:trPr>
          <w:trHeight w:val="417"/>
        </w:trPr>
        <w:tc>
          <w:tcPr>
            <w:tcW w:w="3119" w:type="dxa"/>
          </w:tcPr>
          <w:p w:rsidR="008524DE" w:rsidRDefault="000C1D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26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31 kg-ig</w:t>
            </w:r>
          </w:p>
        </w:tc>
        <w:tc>
          <w:tcPr>
            <w:tcW w:w="3544" w:type="dxa"/>
          </w:tcPr>
          <w:p w:rsidR="008524DE" w:rsidRDefault="000C1DC5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 éves kortól a 18. életév</w:t>
            </w:r>
            <w:r>
              <w:rPr>
                <w:spacing w:val="-5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150</w:t>
            </w:r>
          </w:p>
        </w:tc>
        <w:tc>
          <w:tcPr>
            <w:tcW w:w="1285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300</w:t>
            </w:r>
          </w:p>
        </w:tc>
      </w:tr>
      <w:tr w:rsidR="008524DE">
        <w:trPr>
          <w:trHeight w:val="410"/>
        </w:trPr>
        <w:tc>
          <w:tcPr>
            <w:tcW w:w="3119" w:type="dxa"/>
          </w:tcPr>
          <w:p w:rsidR="008524DE" w:rsidRDefault="000C1D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31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41 kg-ig</w:t>
            </w:r>
          </w:p>
        </w:tc>
        <w:tc>
          <w:tcPr>
            <w:tcW w:w="3544" w:type="dxa"/>
          </w:tcPr>
          <w:p w:rsidR="008524DE" w:rsidRDefault="000C1DC5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 éves kortól a 18. életév</w:t>
            </w:r>
            <w:r>
              <w:rPr>
                <w:spacing w:val="-5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185</w:t>
            </w:r>
          </w:p>
        </w:tc>
        <w:tc>
          <w:tcPr>
            <w:tcW w:w="1285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370</w:t>
            </w:r>
          </w:p>
        </w:tc>
      </w:tr>
      <w:tr w:rsidR="008524DE">
        <w:trPr>
          <w:trHeight w:val="415"/>
        </w:trPr>
        <w:tc>
          <w:tcPr>
            <w:tcW w:w="3119" w:type="dxa"/>
          </w:tcPr>
          <w:p w:rsidR="008524DE" w:rsidRDefault="000C1D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41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51 kg-ig</w:t>
            </w:r>
          </w:p>
        </w:tc>
        <w:tc>
          <w:tcPr>
            <w:tcW w:w="3544" w:type="dxa"/>
          </w:tcPr>
          <w:p w:rsidR="008524DE" w:rsidRDefault="000C1DC5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</w:t>
            </w:r>
            <w:r>
              <w:rPr>
                <w:spacing w:val="-1"/>
                <w:lang w:val="hu-HU"/>
              </w:rPr>
              <w:t> éves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kortól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a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18.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220</w:t>
            </w:r>
          </w:p>
        </w:tc>
        <w:tc>
          <w:tcPr>
            <w:tcW w:w="1285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440</w:t>
            </w:r>
          </w:p>
        </w:tc>
      </w:tr>
      <w:tr w:rsidR="008524DE">
        <w:trPr>
          <w:trHeight w:val="407"/>
        </w:trPr>
        <w:tc>
          <w:tcPr>
            <w:tcW w:w="3119" w:type="dxa"/>
          </w:tcPr>
          <w:p w:rsidR="008524DE" w:rsidRDefault="000C1D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51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61 kg-ig</w:t>
            </w:r>
          </w:p>
        </w:tc>
        <w:tc>
          <w:tcPr>
            <w:tcW w:w="3544" w:type="dxa"/>
          </w:tcPr>
          <w:p w:rsidR="008524DE" w:rsidRDefault="000C1DC5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</w:t>
            </w:r>
            <w:r>
              <w:rPr>
                <w:spacing w:val="-1"/>
                <w:lang w:val="hu-HU"/>
              </w:rPr>
              <w:t> éves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kortól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a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18.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260</w:t>
            </w:r>
          </w:p>
        </w:tc>
        <w:tc>
          <w:tcPr>
            <w:tcW w:w="1285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520</w:t>
            </w:r>
          </w:p>
        </w:tc>
      </w:tr>
      <w:tr w:rsidR="008524DE">
        <w:trPr>
          <w:trHeight w:val="428"/>
        </w:trPr>
        <w:tc>
          <w:tcPr>
            <w:tcW w:w="3119" w:type="dxa"/>
          </w:tcPr>
          <w:p w:rsidR="008524DE" w:rsidRDefault="000C1D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61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71 kg-ig</w:t>
            </w:r>
          </w:p>
        </w:tc>
        <w:tc>
          <w:tcPr>
            <w:tcW w:w="3544" w:type="dxa"/>
          </w:tcPr>
          <w:p w:rsidR="008524DE" w:rsidRDefault="000C1DC5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</w:t>
            </w:r>
            <w:r>
              <w:rPr>
                <w:spacing w:val="-1"/>
                <w:lang w:val="hu-HU"/>
              </w:rPr>
              <w:t> éves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kortól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a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18.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300</w:t>
            </w:r>
          </w:p>
        </w:tc>
        <w:tc>
          <w:tcPr>
            <w:tcW w:w="1285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600</w:t>
            </w:r>
          </w:p>
        </w:tc>
      </w:tr>
      <w:tr w:rsidR="008524DE">
        <w:trPr>
          <w:trHeight w:val="420"/>
        </w:trPr>
        <w:tc>
          <w:tcPr>
            <w:tcW w:w="3119" w:type="dxa"/>
          </w:tcPr>
          <w:p w:rsidR="008524DE" w:rsidRDefault="000C1D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71</w:t>
            </w:r>
            <w:r>
              <w:rPr>
                <w:spacing w:val="-1"/>
                <w:lang w:val="hu-HU"/>
              </w:rPr>
              <w:t> kg</w:t>
            </w:r>
            <w:r>
              <w:rPr>
                <w:lang w:val="hu-HU"/>
              </w:rPr>
              <w:t>-tól kevesebb mint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81 kg-ig</w:t>
            </w:r>
          </w:p>
        </w:tc>
        <w:tc>
          <w:tcPr>
            <w:tcW w:w="3544" w:type="dxa"/>
          </w:tcPr>
          <w:p w:rsidR="008524DE" w:rsidRDefault="000C1DC5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8</w:t>
            </w:r>
            <w:r>
              <w:rPr>
                <w:spacing w:val="-1"/>
                <w:lang w:val="hu-HU"/>
              </w:rPr>
              <w:t> éves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kortól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a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18.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300</w:t>
            </w:r>
          </w:p>
        </w:tc>
        <w:tc>
          <w:tcPr>
            <w:tcW w:w="1285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600</w:t>
            </w:r>
          </w:p>
        </w:tc>
      </w:tr>
      <w:tr w:rsidR="008524DE">
        <w:trPr>
          <w:trHeight w:val="411"/>
        </w:trPr>
        <w:tc>
          <w:tcPr>
            <w:tcW w:w="3119" w:type="dxa"/>
          </w:tcPr>
          <w:p w:rsidR="008524DE" w:rsidRDefault="000C1D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81</w:t>
            </w:r>
            <w:r>
              <w:rPr>
                <w:spacing w:val="-2"/>
                <w:lang w:val="hu-HU"/>
              </w:rPr>
              <w:t> kg</w:t>
            </w:r>
            <w:r>
              <w:rPr>
                <w:spacing w:val="-1"/>
                <w:lang w:val="hu-HU"/>
              </w:rPr>
              <w:t xml:space="preserve"> </w:t>
            </w:r>
            <w:r>
              <w:rPr>
                <w:lang w:val="hu-HU"/>
              </w:rPr>
              <w:t>vagy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annál több</w:t>
            </w:r>
          </w:p>
        </w:tc>
        <w:tc>
          <w:tcPr>
            <w:tcW w:w="3544" w:type="dxa"/>
          </w:tcPr>
          <w:p w:rsidR="008524DE" w:rsidRDefault="000C1DC5">
            <w:pPr>
              <w:ind w:left="145"/>
              <w:rPr>
                <w:lang w:val="hu-HU"/>
              </w:rPr>
            </w:pPr>
            <w:r>
              <w:rPr>
                <w:lang w:val="hu-HU"/>
              </w:rPr>
              <w:t>10</w:t>
            </w:r>
            <w:r>
              <w:rPr>
                <w:spacing w:val="-2"/>
                <w:lang w:val="hu-HU"/>
              </w:rPr>
              <w:t xml:space="preserve"> éves </w:t>
            </w:r>
            <w:r>
              <w:rPr>
                <w:lang w:val="hu-HU"/>
              </w:rPr>
              <w:t>kortól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a</w:t>
            </w:r>
            <w:r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18. életév</w:t>
            </w:r>
            <w:r>
              <w:rPr>
                <w:spacing w:val="-6"/>
                <w:lang w:val="hu-HU"/>
              </w:rPr>
              <w:t xml:space="preserve"> </w:t>
            </w:r>
            <w:r>
              <w:rPr>
                <w:lang w:val="hu-HU"/>
              </w:rPr>
              <w:t>betöltéséig</w:t>
            </w:r>
          </w:p>
        </w:tc>
        <w:tc>
          <w:tcPr>
            <w:tcW w:w="1134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300</w:t>
            </w:r>
          </w:p>
        </w:tc>
        <w:tc>
          <w:tcPr>
            <w:tcW w:w="1285" w:type="dxa"/>
          </w:tcPr>
          <w:p w:rsidR="008524DE" w:rsidRDefault="000C1DC5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600</w:t>
            </w:r>
          </w:p>
        </w:tc>
      </w:tr>
    </w:tbl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Több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kapszula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kombinálását igénylő egyszeri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adagok:</w:t>
      </w:r>
    </w:p>
    <w:p w:rsidR="008524DE" w:rsidRDefault="000C1DC5">
      <w:pPr>
        <w:rPr>
          <w:lang w:val="hu-HU"/>
        </w:rPr>
      </w:pPr>
      <w:r>
        <w:rPr>
          <w:lang w:val="hu-HU"/>
        </w:rPr>
        <w:t>300 mg:</w:t>
      </w:r>
      <w:r>
        <w:rPr>
          <w:lang w:val="hu-HU"/>
        </w:rPr>
        <w:tab/>
        <w:t xml:space="preserve">két 150 mg-os kapszula vagy </w:t>
      </w:r>
    </w:p>
    <w:p w:rsidR="008524DE" w:rsidRDefault="000C1DC5" w:rsidP="001B03D4">
      <w:pPr>
        <w:ind w:left="1440" w:hanging="22"/>
        <w:rPr>
          <w:lang w:val="hu-HU"/>
        </w:rPr>
      </w:pPr>
      <w:r>
        <w:rPr>
          <w:lang w:val="hu-HU"/>
        </w:rPr>
        <w:t>négy</w:t>
      </w:r>
      <w:r>
        <w:rPr>
          <w:spacing w:val="-4"/>
          <w:lang w:val="hu-HU"/>
        </w:rPr>
        <w:t xml:space="preserve"> 75</w:t>
      </w:r>
      <w:r>
        <w:rPr>
          <w:lang w:val="hu-HU"/>
        </w:rPr>
        <w:t> mg-os</w:t>
      </w:r>
      <w:r>
        <w:rPr>
          <w:i/>
          <w:lang w:val="hu-HU"/>
        </w:rPr>
        <w:t>*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kapszula</w:t>
      </w:r>
    </w:p>
    <w:p w:rsidR="008524DE" w:rsidRDefault="000C1DC5">
      <w:pPr>
        <w:rPr>
          <w:lang w:val="hu-HU"/>
        </w:rPr>
      </w:pPr>
      <w:r>
        <w:rPr>
          <w:lang w:val="hu-HU"/>
        </w:rPr>
        <w:t>260</w:t>
      </w:r>
      <w:r>
        <w:rPr>
          <w:spacing w:val="-1"/>
          <w:lang w:val="hu-HU"/>
        </w:rPr>
        <w:t> mg</w:t>
      </w:r>
      <w:r>
        <w:rPr>
          <w:lang w:val="hu-HU"/>
        </w:rPr>
        <w:t>:</w:t>
      </w:r>
      <w:r>
        <w:rPr>
          <w:lang w:val="hu-HU"/>
        </w:rPr>
        <w:tab/>
        <w:t>egy 110 mg-os és egy 150 mg-os kapszula vagy</w:t>
      </w:r>
    </w:p>
    <w:p w:rsidR="008524DE" w:rsidRDefault="000C1DC5">
      <w:pPr>
        <w:ind w:left="1418"/>
        <w:rPr>
          <w:lang w:val="hu-HU"/>
        </w:rPr>
      </w:pPr>
      <w:r>
        <w:rPr>
          <w:spacing w:val="-3"/>
          <w:lang w:val="hu-HU"/>
        </w:rPr>
        <w:t xml:space="preserve">egy </w:t>
      </w:r>
      <w:r>
        <w:rPr>
          <w:lang w:val="hu-HU"/>
        </w:rPr>
        <w:t>110</w:t>
      </w:r>
      <w:r>
        <w:rPr>
          <w:spacing w:val="1"/>
          <w:lang w:val="hu-HU"/>
        </w:rPr>
        <w:t> mg</w:t>
      </w:r>
      <w:r>
        <w:rPr>
          <w:lang w:val="hu-HU"/>
        </w:rPr>
        <w:t>-os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két</w:t>
      </w:r>
      <w:r>
        <w:rPr>
          <w:spacing w:val="-1"/>
          <w:lang w:val="hu-HU"/>
        </w:rPr>
        <w:t xml:space="preserve"> 75</w:t>
      </w:r>
      <w:r>
        <w:rPr>
          <w:lang w:val="hu-HU"/>
        </w:rPr>
        <w:t> mg-os</w:t>
      </w:r>
      <w:r>
        <w:rPr>
          <w:i/>
          <w:lang w:val="hu-HU"/>
        </w:rPr>
        <w:t>*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kapszula</w:t>
      </w:r>
    </w:p>
    <w:p w:rsidR="008524DE" w:rsidRDefault="000C1DC5">
      <w:pPr>
        <w:rPr>
          <w:lang w:val="hu-HU"/>
        </w:rPr>
      </w:pPr>
      <w:r>
        <w:rPr>
          <w:lang w:val="hu-HU"/>
        </w:rPr>
        <w:t>220</w:t>
      </w:r>
      <w:r>
        <w:rPr>
          <w:spacing w:val="-1"/>
          <w:lang w:val="hu-HU"/>
        </w:rPr>
        <w:t> mg</w:t>
      </w:r>
      <w:r>
        <w:rPr>
          <w:lang w:val="hu-HU"/>
        </w:rPr>
        <w:t>:</w:t>
      </w:r>
      <w:r>
        <w:rPr>
          <w:lang w:val="hu-HU"/>
        </w:rPr>
        <w:tab/>
        <w:t>két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110</w:t>
      </w:r>
      <w:r>
        <w:rPr>
          <w:spacing w:val="-3"/>
          <w:lang w:val="hu-HU"/>
        </w:rPr>
        <w:t> mg</w:t>
      </w:r>
      <w:r>
        <w:rPr>
          <w:lang w:val="hu-HU"/>
        </w:rPr>
        <w:t>-os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kapszula</w:t>
      </w:r>
    </w:p>
    <w:p w:rsidR="008524DE" w:rsidRDefault="000C1DC5" w:rsidP="001B03D4">
      <w:pPr>
        <w:ind w:left="1440" w:hanging="1440"/>
        <w:rPr>
          <w:lang w:val="hu-HU"/>
        </w:rPr>
      </w:pPr>
      <w:r>
        <w:rPr>
          <w:lang w:val="hu-HU"/>
        </w:rPr>
        <w:t>185</w:t>
      </w:r>
      <w:r>
        <w:rPr>
          <w:spacing w:val="-1"/>
          <w:lang w:val="hu-HU"/>
        </w:rPr>
        <w:t> mg</w:t>
      </w:r>
      <w:r>
        <w:rPr>
          <w:lang w:val="hu-HU"/>
        </w:rPr>
        <w:t>:</w:t>
      </w:r>
      <w:r>
        <w:rPr>
          <w:lang w:val="hu-HU"/>
        </w:rPr>
        <w:tab/>
        <w:t>egy 75 mg-os</w:t>
      </w:r>
      <w:r>
        <w:rPr>
          <w:i/>
          <w:lang w:val="hu-HU"/>
        </w:rPr>
        <w:t>*</w:t>
      </w:r>
      <w:r>
        <w:rPr>
          <w:lang w:val="hu-HU"/>
        </w:rPr>
        <w:t xml:space="preserve"> és egy 110 mg-os kapszula </w:t>
      </w:r>
    </w:p>
    <w:p w:rsidR="008524DE" w:rsidRDefault="000C1DC5">
      <w:pPr>
        <w:rPr>
          <w:lang w:val="hu-HU"/>
        </w:rPr>
      </w:pPr>
      <w:r>
        <w:rPr>
          <w:lang w:val="hu-HU"/>
        </w:rPr>
        <w:t>150</w:t>
      </w:r>
      <w:r>
        <w:rPr>
          <w:spacing w:val="-1"/>
          <w:lang w:val="hu-HU"/>
        </w:rPr>
        <w:t> mg</w:t>
      </w:r>
      <w:r>
        <w:rPr>
          <w:lang w:val="hu-HU"/>
        </w:rPr>
        <w:t>:</w:t>
      </w:r>
      <w:r>
        <w:rPr>
          <w:lang w:val="hu-HU"/>
        </w:rPr>
        <w:tab/>
        <w:t>egy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150</w:t>
      </w:r>
      <w:r>
        <w:rPr>
          <w:spacing w:val="2"/>
          <w:lang w:val="hu-HU"/>
        </w:rPr>
        <w:t> mg</w:t>
      </w:r>
      <w:r>
        <w:rPr>
          <w:lang w:val="hu-HU"/>
        </w:rPr>
        <w:t>-os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kapszula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vagy</w:t>
      </w:r>
    </w:p>
    <w:p w:rsidR="008524DE" w:rsidRDefault="000C1DC5">
      <w:pPr>
        <w:ind w:left="1418"/>
        <w:rPr>
          <w:lang w:val="hu-HU"/>
        </w:rPr>
      </w:pPr>
      <w:r>
        <w:rPr>
          <w:lang w:val="hu-HU"/>
        </w:rPr>
        <w:t>két</w:t>
      </w:r>
      <w:r>
        <w:rPr>
          <w:spacing w:val="-5"/>
          <w:lang w:val="hu-HU"/>
        </w:rPr>
        <w:t xml:space="preserve"> 75</w:t>
      </w:r>
      <w:r>
        <w:rPr>
          <w:lang w:val="hu-HU"/>
        </w:rPr>
        <w:t> mg-os</w:t>
      </w:r>
      <w:r>
        <w:rPr>
          <w:i/>
          <w:lang w:val="hu-HU"/>
        </w:rPr>
        <w:t>*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kapszula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i/>
          <w:color w:val="000000"/>
          <w:lang w:val="hu-HU" w:eastAsia="hu-HU"/>
        </w:rPr>
      </w:pPr>
      <w:r>
        <w:rPr>
          <w:i/>
          <w:color w:val="000000"/>
          <w:lang w:val="hu-HU" w:eastAsia="hu-HU"/>
        </w:rPr>
        <w:t>* A Dabigatran etexilate Sandoz kemény kapszula 75 mg-os adagja nem áll rendelkezésre, ezért nem alkalmas a fent említett betegcsoport számára. Ezeknek a betegeknek más 75 mg dabigatrán</w:t>
      </w:r>
      <w:r>
        <w:rPr>
          <w:i/>
          <w:color w:val="000000"/>
          <w:lang w:val="hu-HU" w:eastAsia="hu-HU"/>
        </w:rPr>
        <w:noBreakHyphen/>
        <w:t>etexilátot tartalmazó gyógyszert kell alkalmazniuk.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Hogyan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kell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szedni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Dabigatran etexilate Sandoz</w:t>
      </w:r>
      <w:r>
        <w:rPr>
          <w:b/>
          <w:bCs/>
          <w:lang w:val="hu-HU"/>
        </w:rPr>
        <w:noBreakHyphen/>
        <w:t>t?</w:t>
      </w:r>
    </w:p>
    <w:p w:rsidR="008524DE" w:rsidRDefault="000C1DC5">
      <w:pPr>
        <w:rPr>
          <w:lang w:val="hu-HU"/>
        </w:rPr>
      </w:pPr>
      <w:r>
        <w:rPr>
          <w:lang w:val="hu-HU"/>
        </w:rPr>
        <w:t>A Dabigatran etexilate Sandoz bevehető étkezés közben vagy attól függetlenül. A kapszulát egészben, a gyomorba jutás elősegítése érdekében egy pohár vízzel kell lenyelni. Ne törje össze, ne rágja szét a kapszulát és ne</w:t>
      </w:r>
      <w:r>
        <w:rPr>
          <w:spacing w:val="1"/>
          <w:lang w:val="hu-HU"/>
        </w:rPr>
        <w:t xml:space="preserve"> ürítse ki</w:t>
      </w:r>
      <w:r>
        <w:rPr>
          <w:lang w:val="hu-HU"/>
        </w:rPr>
        <w:t xml:space="preserve"> a kapszula tartalmát a bevételhez,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mert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ez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megnövelheti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vérzés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kockázatát!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A buborékcsomagolásra vonatkozó utasítások</w:t>
      </w:r>
    </w:p>
    <w:p w:rsidR="008524DE" w:rsidRDefault="008524DE">
      <w:pPr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12"/>
        </w:numPr>
        <w:ind w:left="567" w:hanging="567"/>
        <w:rPr>
          <w:lang w:val="hu-HU"/>
        </w:rPr>
      </w:pPr>
      <w:r>
        <w:rPr>
          <w:lang w:val="hu-HU"/>
        </w:rPr>
        <w:t>A kapszulát a buborékcsomagolás fóliáján keresztül nyomja ki.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A tartályra vonatkozó utasítások</w:t>
      </w:r>
    </w:p>
    <w:p w:rsidR="008524DE" w:rsidRDefault="008524DE">
      <w:pPr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12"/>
        </w:numPr>
        <w:ind w:left="567" w:hanging="567"/>
        <w:rPr>
          <w:lang w:val="hu-HU"/>
        </w:rPr>
      </w:pPr>
      <w:r>
        <w:rPr>
          <w:lang w:val="hu-HU"/>
        </w:rPr>
        <w:t xml:space="preserve">A kinyitáshoz nyomja le, majd fordítsa el a tartály fedelét. </w:t>
      </w:r>
    </w:p>
    <w:p w:rsidR="008524DE" w:rsidRDefault="000C1DC5">
      <w:pPr>
        <w:pStyle w:val="Listaszerbekezds"/>
        <w:numPr>
          <w:ilvl w:val="0"/>
          <w:numId w:val="12"/>
        </w:numPr>
        <w:ind w:left="567" w:hanging="567"/>
        <w:rPr>
          <w:lang w:val="hu-HU"/>
        </w:rPr>
      </w:pPr>
      <w:r>
        <w:rPr>
          <w:lang w:val="hu-HU"/>
        </w:rPr>
        <w:t>A kapszula kivételét követően a kupakot azonnal tegye vissza a tartályra, és azt szorosan zárja le!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Átállás egy másik véralvadásgátló-kezelésre</w:t>
      </w:r>
    </w:p>
    <w:p w:rsidR="008524DE" w:rsidRDefault="000C1DC5">
      <w:pPr>
        <w:rPr>
          <w:lang w:val="hu-HU"/>
        </w:rPr>
      </w:pPr>
      <w:r>
        <w:rPr>
          <w:lang w:val="hu-HU"/>
        </w:rPr>
        <w:t>Kezelőorvosa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kifejezett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utasítása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nélkül ne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váltson</w:t>
      </w:r>
      <w:r>
        <w:rPr>
          <w:spacing w:val="-6"/>
          <w:lang w:val="hu-HU"/>
        </w:rPr>
        <w:t xml:space="preserve"> át </w:t>
      </w:r>
      <w:r>
        <w:rPr>
          <w:lang w:val="hu-HU"/>
        </w:rPr>
        <w:t>más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alvadásgátló-kezelésre.</w:t>
      </w:r>
    </w:p>
    <w:p w:rsidR="008524DE" w:rsidRDefault="008524DE">
      <w:pPr>
        <w:rPr>
          <w:lang w:val="hu-HU"/>
        </w:rPr>
      </w:pPr>
    </w:p>
    <w:p w:rsidR="008524DE" w:rsidRDefault="000C1DC5" w:rsidP="001B03D4">
      <w:pPr>
        <w:keepNext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Ha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az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előírtnál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több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Dabigatran etexilate Sandoz</w:t>
      </w:r>
      <w:r>
        <w:rPr>
          <w:b/>
          <w:bCs/>
          <w:lang w:val="hu-HU"/>
        </w:rPr>
        <w:noBreakHyphen/>
        <w:t>t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vett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be</w:t>
      </w:r>
    </w:p>
    <w:p w:rsidR="008524DE" w:rsidRDefault="000C1DC5">
      <w:pPr>
        <w:rPr>
          <w:lang w:val="hu-HU"/>
        </w:rPr>
      </w:pPr>
      <w:r>
        <w:rPr>
          <w:lang w:val="hu-HU"/>
        </w:rPr>
        <w:t>Túl sok gyógyszer bevétele megnöveli a vérzés veszélyét. Azonnal tájékoztassa kezelőorvosát, ha túl sok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kapszulát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vett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be.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Speciális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kezelési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lehetőségek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állnak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rendelkezésre.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Ha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elfelejtette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bevenni</w:t>
      </w:r>
      <w:r>
        <w:rPr>
          <w:b/>
          <w:bCs/>
          <w:spacing w:val="-6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Dabigatran etexilate Sandoz</w:t>
      </w:r>
      <w:r>
        <w:rPr>
          <w:b/>
          <w:bCs/>
          <w:lang w:val="hu-HU"/>
        </w:rPr>
        <w:noBreakHyphen/>
        <w:t>t</w:t>
      </w:r>
    </w:p>
    <w:p w:rsidR="008524DE" w:rsidRDefault="000C1DC5">
      <w:pPr>
        <w:ind w:left="7" w:right="11"/>
        <w:rPr>
          <w:lang w:val="hu-HU"/>
        </w:rPr>
      </w:pPr>
      <w:r>
        <w:rPr>
          <w:lang w:val="hu-HU"/>
        </w:rPr>
        <w:t>Az elfelejtett adag a következő adag esedékessége előtt 6 órával még bevehető.</w:t>
      </w:r>
    </w:p>
    <w:p w:rsidR="008524DE" w:rsidRDefault="000C1DC5">
      <w:pPr>
        <w:widowControl/>
        <w:ind w:left="6" w:right="11"/>
        <w:rPr>
          <w:lang w:val="hu-HU"/>
        </w:rPr>
      </w:pPr>
      <w:r>
        <w:rPr>
          <w:lang w:val="hu-HU"/>
        </w:rPr>
        <w:t>Az elfelejtett adagot ki kell hagyni, ha a következő adag esedékességéig kevesebb mint 6 óra van hátra.</w:t>
      </w:r>
    </w:p>
    <w:p w:rsidR="008524DE" w:rsidRDefault="000C1DC5">
      <w:pPr>
        <w:ind w:left="7" w:right="11"/>
        <w:rPr>
          <w:lang w:val="hu-HU"/>
        </w:rPr>
      </w:pPr>
      <w:r>
        <w:rPr>
          <w:lang w:val="hu-HU"/>
        </w:rPr>
        <w:t>Ne vegyen be kétszeres adagot a kihagyott adag pótlására.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Ha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idő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előtt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abbahagyja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Dabigatran etexilate Sandoz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szedését</w:t>
      </w:r>
    </w:p>
    <w:p w:rsidR="008524DE" w:rsidRDefault="000C1DC5">
      <w:pPr>
        <w:rPr>
          <w:lang w:val="hu-HU"/>
        </w:rPr>
      </w:pPr>
      <w:r>
        <w:rPr>
          <w:lang w:val="hu-HU"/>
        </w:rPr>
        <w:t>A Dabigatran etexilate Sandoz</w:t>
      </w:r>
      <w:r>
        <w:rPr>
          <w:lang w:val="hu-HU"/>
        </w:rPr>
        <w:noBreakHyphen/>
        <w:t>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pontosan az orvos utasítása szerint szedje. Ne hagyja abba a gyógyszer szedését anélkül, hogy beszélne a kezelőorvosával, mert a gyógyszer szedésének idő előtti abbahagyása fokozhatja a</w:t>
      </w:r>
      <w:r>
        <w:rPr>
          <w:spacing w:val="1"/>
          <w:lang w:val="hu-HU"/>
        </w:rPr>
        <w:t xml:space="preserve"> </w:t>
      </w:r>
      <w:r>
        <w:rPr>
          <w:lang w:val="hu-HU"/>
        </w:rPr>
        <w:t>vérrögök kialakulásának veszélyét. Forduljon kezelőorvosához, ha a Dabigatran etexilate Sandoz szedését követően</w:t>
      </w:r>
      <w:r>
        <w:rPr>
          <w:spacing w:val="1"/>
          <w:lang w:val="hu-HU"/>
        </w:rPr>
        <w:t xml:space="preserve"> </w:t>
      </w:r>
      <w:r>
        <w:rPr>
          <w:lang w:val="hu-HU"/>
        </w:rPr>
        <w:t>emésztési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zavart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tapasztal.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Ha bármilyen további kérdése van a gyógyszer alkalmazásával kapcsolatban, kérdezze meg kezelőorvosát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gyógyszerészét.</w:t>
      </w:r>
    </w:p>
    <w:p w:rsidR="008524DE" w:rsidRDefault="008524DE">
      <w:pPr>
        <w:rPr>
          <w:lang w:val="hu-HU"/>
        </w:rPr>
      </w:pPr>
    </w:p>
    <w:p w:rsidR="008524DE" w:rsidRDefault="008524DE">
      <w:pPr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3"/>
        </w:numPr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Lehetséges</w:t>
      </w:r>
      <w:r>
        <w:rPr>
          <w:b/>
          <w:bCs/>
          <w:spacing w:val="-7"/>
          <w:lang w:val="hu-HU"/>
        </w:rPr>
        <w:t xml:space="preserve"> </w:t>
      </w:r>
      <w:r>
        <w:rPr>
          <w:b/>
          <w:bCs/>
          <w:lang w:val="hu-HU"/>
        </w:rPr>
        <w:t>mellékhatások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bookmarkStart w:id="6" w:name="_Hlk112495540"/>
      <w:r>
        <w:rPr>
          <w:lang w:val="hu-HU"/>
        </w:rPr>
        <w:t>Mint minden gyógyszer, így ez a gyógyszer is okozhat mellékhatásokat, amelyek azonban nem mindenkinél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jelentkeznek.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A Dabigatran etexilate Sandoz a véralvadási rendszerre hat, ezért a legtöbb mellékhatás olyan jelekkel kapcsolatos, mint a véraláfutás vagy a vérzés</w:t>
      </w:r>
      <w:r>
        <w:rPr>
          <w:spacing w:val="1"/>
          <w:lang w:val="hu-HU"/>
        </w:rPr>
        <w:t xml:space="preserve"> </w:t>
      </w:r>
      <w:r>
        <w:rPr>
          <w:lang w:val="hu-HU"/>
        </w:rPr>
        <w:t>kialakulása. Előfordulhatnak nagyfokú vagy súlyos vérzések, ezek a legsúlyosabb mellékhatások, amelyek kialakulásuk helyétől függetlenül rokkantsághoz, életet veszélyeztető</w:t>
      </w:r>
      <w:r>
        <w:rPr>
          <w:spacing w:val="1"/>
          <w:lang w:val="hu-HU"/>
        </w:rPr>
        <w:t xml:space="preserve"> </w:t>
      </w:r>
      <w:r>
        <w:rPr>
          <w:lang w:val="hu-HU"/>
        </w:rPr>
        <w:t>állapothoz vagy akár halálhoz is vezethetnek. Egyes esetekben előfordulhat, hogy a vérzés nem</w:t>
      </w:r>
      <w:r>
        <w:rPr>
          <w:spacing w:val="1"/>
          <w:lang w:val="hu-HU"/>
        </w:rPr>
        <w:t xml:space="preserve"> </w:t>
      </w:r>
      <w:r>
        <w:rPr>
          <w:lang w:val="hu-HU"/>
        </w:rPr>
        <w:t>nyilvánvaló.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bookmarkStart w:id="7" w:name="_Hlk139303761"/>
      <w:r>
        <w:rPr>
          <w:lang w:val="hu-HU"/>
        </w:rPr>
        <w:t>Azonnal forduljon kezelőorvosához bármilyen szűnni nem akaró vérzés esetén vagy ha tartós vagy nagy</w:t>
      </w:r>
      <w:r>
        <w:rPr>
          <w:spacing w:val="1"/>
          <w:lang w:val="hu-HU"/>
        </w:rPr>
        <w:t xml:space="preserve"> </w:t>
      </w:r>
      <w:r>
        <w:rPr>
          <w:lang w:val="hu-HU"/>
        </w:rPr>
        <w:t>mennyiségű vérzés jeleit tapasztalja (rendkívüli gyengeség, fáradtság, sápadtság, szédülés, fejfájás</w:t>
      </w:r>
      <w:r>
        <w:rPr>
          <w:spacing w:val="1"/>
          <w:lang w:val="hu-HU"/>
        </w:rPr>
        <w:t xml:space="preserve"> </w:t>
      </w:r>
      <w:r>
        <w:rPr>
          <w:lang w:val="hu-HU"/>
        </w:rPr>
        <w:t xml:space="preserve">vagy tisztázatlan eredetű duzzadás). A kezelőorvos dönthet úgy, hogy szoros ellenőrzés alatt tartja Önt, vagy megváltoztatja a gyógyszerének az adagolását. </w:t>
      </w:r>
    </w:p>
    <w:bookmarkEnd w:id="7"/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Légzési nehézséget vagy szédülést okozó súlyos allergiás reakció esetén azonnal értesítse kezelőorvosát.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 xml:space="preserve">A lehetséges mellékhatások </w:t>
      </w:r>
      <w:r>
        <w:rPr>
          <w:rStyle w:val="Kiemels"/>
          <w:i w:val="0"/>
          <w:shd w:val="clear" w:color="auto" w:fill="FFFFFF"/>
          <w:lang w:val="hu-HU"/>
        </w:rPr>
        <w:t xml:space="preserve">előfordulási gyakoriságuk </w:t>
      </w:r>
      <w:r>
        <w:rPr>
          <w:shd w:val="clear" w:color="auto" w:fill="FFFFFF"/>
          <w:lang w:val="hu-HU"/>
        </w:rPr>
        <w:t>szerint kerülnek felsorolásra</w:t>
      </w:r>
      <w:r>
        <w:rPr>
          <w:lang w:val="hu-HU"/>
        </w:rPr>
        <w:t xml:space="preserve">: </w:t>
      </w:r>
    </w:p>
    <w:p w:rsidR="008524DE" w:rsidRDefault="008524DE">
      <w:pPr>
        <w:rPr>
          <w:lang w:val="hu-HU"/>
        </w:rPr>
      </w:pPr>
    </w:p>
    <w:p w:rsidR="008524DE" w:rsidRDefault="000C1DC5">
      <w:pPr>
        <w:pStyle w:val="Cmsor1"/>
        <w:ind w:left="5" w:hanging="11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Az agyi vagy testben lévő erek vérrög miatti elzáródásának megelőzése szívritmuszavar esetén</w:t>
      </w:r>
    </w:p>
    <w:p w:rsidR="008524DE" w:rsidRDefault="008524DE">
      <w:pPr>
        <w:ind w:left="7" w:right="11"/>
        <w:rPr>
          <w:u w:val="single"/>
          <w:lang w:val="hu-HU"/>
        </w:rPr>
      </w:pPr>
    </w:p>
    <w:p w:rsidR="008524DE" w:rsidRDefault="000C1DC5">
      <w:pPr>
        <w:ind w:left="7" w:right="11"/>
        <w:rPr>
          <w:lang w:val="hu-HU"/>
        </w:rPr>
      </w:pPr>
      <w:r>
        <w:rPr>
          <w:b/>
          <w:bCs/>
          <w:lang w:val="hu-HU"/>
        </w:rPr>
        <w:t>Gyakori</w:t>
      </w:r>
      <w:r>
        <w:rPr>
          <w:lang w:val="hu-HU"/>
        </w:rPr>
        <w:t xml:space="preserve"> (10</w:t>
      </w:r>
      <w:r>
        <w:rPr>
          <w:lang w:val="hu-HU"/>
        </w:rPr>
        <w:noBreakHyphen/>
        <w:t>ből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8524DE" w:rsidRDefault="000C1DC5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>
        <w:rPr>
          <w:lang w:val="hu-HU"/>
        </w:rPr>
        <w:t>előfordulhat orrvérzés, gyomor</w:t>
      </w:r>
      <w:r>
        <w:rPr>
          <w:lang w:val="hu-HU"/>
        </w:rPr>
        <w:noBreakHyphen/>
        <w:t xml:space="preserve"> vagy a bélvérzés, a vérzés eredhet a hímvesszőből/hüvelyből vagy a</w:t>
      </w:r>
      <w:r>
        <w:rPr>
          <w:spacing w:val="1"/>
          <w:lang w:val="hu-HU"/>
        </w:rPr>
        <w:t xml:space="preserve"> </w:t>
      </w:r>
      <w:r>
        <w:rPr>
          <w:lang w:val="hu-HU"/>
        </w:rPr>
        <w:t>húgyutakból (beleértve a vizeletben megjelenő vért is, ami a vizeletet rózsaszínűre vagy pirosra</w:t>
      </w:r>
      <w:r>
        <w:rPr>
          <w:spacing w:val="1"/>
          <w:lang w:val="hu-HU"/>
        </w:rPr>
        <w:t xml:space="preserve"> </w:t>
      </w:r>
      <w:r>
        <w:rPr>
          <w:lang w:val="hu-HU"/>
        </w:rPr>
        <w:t>színezi), vagy lehet bőr alatti vérzés;</w:t>
      </w:r>
    </w:p>
    <w:p w:rsidR="008524DE" w:rsidRDefault="000C1DC5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vörösvértestek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számának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csökkenése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vérben;</w:t>
      </w:r>
    </w:p>
    <w:p w:rsidR="008524DE" w:rsidRDefault="000C1DC5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>
        <w:rPr>
          <w:lang w:val="hu-HU"/>
        </w:rPr>
        <w:t>hasi vagy gyomortáji fájdalom;</w:t>
      </w:r>
    </w:p>
    <w:p w:rsidR="008524DE" w:rsidRDefault="000C1DC5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>
        <w:rPr>
          <w:lang w:val="hu-HU"/>
        </w:rPr>
        <w:t>emésztési zavar;</w:t>
      </w:r>
    </w:p>
    <w:p w:rsidR="008524DE" w:rsidRDefault="000C1DC5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>
        <w:rPr>
          <w:lang w:val="hu-HU"/>
        </w:rPr>
        <w:t>gyakori,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híg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folyékony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széklet;</w:t>
      </w:r>
    </w:p>
    <w:p w:rsidR="008524DE" w:rsidRDefault="000C1DC5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>
        <w:rPr>
          <w:lang w:val="hu-HU"/>
        </w:rPr>
        <w:t>hányinger;</w:t>
      </w:r>
    </w:p>
    <w:p w:rsidR="008524DE" w:rsidRDefault="008524DE">
      <w:pPr>
        <w:ind w:left="7" w:right="11"/>
        <w:rPr>
          <w:lang w:val="hu-HU"/>
        </w:rPr>
      </w:pPr>
    </w:p>
    <w:p w:rsidR="008524DE" w:rsidRDefault="000C1DC5">
      <w:pPr>
        <w:ind w:left="7" w:right="11"/>
        <w:rPr>
          <w:lang w:val="hu-HU"/>
        </w:rPr>
      </w:pPr>
      <w:r>
        <w:rPr>
          <w:b/>
          <w:bCs/>
          <w:lang w:val="hu-HU"/>
        </w:rPr>
        <w:t>Nem gyakori</w:t>
      </w:r>
      <w:r>
        <w:rPr>
          <w:lang w:val="hu-HU"/>
        </w:rPr>
        <w:t xml:space="preserve"> (100</w:t>
      </w:r>
      <w:r>
        <w:rPr>
          <w:lang w:val="hu-HU"/>
        </w:rPr>
        <w:noBreakHyphen/>
        <w:t>ból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8524DE" w:rsidRDefault="000C1DC5">
      <w:pPr>
        <w:widowControl/>
        <w:numPr>
          <w:ilvl w:val="0"/>
          <w:numId w:val="1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vérzés;</w:t>
      </w:r>
    </w:p>
    <w:p w:rsidR="008524DE" w:rsidRDefault="000C1DC5">
      <w:pPr>
        <w:widowControl/>
        <w:numPr>
          <w:ilvl w:val="0"/>
          <w:numId w:val="1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vérzés jelentkezhet az aranyerekből, a végbélből, illetve az agyban;</w:t>
      </w:r>
    </w:p>
    <w:p w:rsidR="008524DE" w:rsidRDefault="000C1DC5">
      <w:pPr>
        <w:widowControl/>
        <w:numPr>
          <w:ilvl w:val="0"/>
          <w:numId w:val="1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vérömleny kialakulása;</w:t>
      </w:r>
    </w:p>
    <w:p w:rsidR="008524DE" w:rsidRDefault="000C1DC5">
      <w:pPr>
        <w:widowControl/>
        <w:numPr>
          <w:ilvl w:val="0"/>
          <w:numId w:val="1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lastRenderedPageBreak/>
        <w:t>vér felköhögése vagy véres köpet;</w:t>
      </w:r>
    </w:p>
    <w:p w:rsidR="008524DE" w:rsidRDefault="000C1DC5">
      <w:pPr>
        <w:widowControl/>
        <w:numPr>
          <w:ilvl w:val="0"/>
          <w:numId w:val="1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vérlemezkeszám-csökkenése a vérben;</w:t>
      </w:r>
    </w:p>
    <w:p w:rsidR="008524DE" w:rsidRDefault="000C1DC5">
      <w:pPr>
        <w:widowControl/>
        <w:numPr>
          <w:ilvl w:val="0"/>
          <w:numId w:val="1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hemoglobin (a vörösvértestekben lévő vegyület) szintjének csökkenése a vérben;</w:t>
      </w:r>
    </w:p>
    <w:p w:rsidR="008524DE" w:rsidRDefault="000C1DC5">
      <w:pPr>
        <w:widowControl/>
        <w:numPr>
          <w:ilvl w:val="0"/>
          <w:numId w:val="1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allergiás reakció;</w:t>
      </w:r>
    </w:p>
    <w:p w:rsidR="008524DE" w:rsidRDefault="000C1DC5">
      <w:pPr>
        <w:widowControl/>
        <w:numPr>
          <w:ilvl w:val="0"/>
          <w:numId w:val="1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bőr színének és küllemének hirtelen kialakuló megváltozása;</w:t>
      </w:r>
    </w:p>
    <w:p w:rsidR="008524DE" w:rsidRDefault="000C1DC5">
      <w:pPr>
        <w:widowControl/>
        <w:numPr>
          <w:ilvl w:val="0"/>
          <w:numId w:val="1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viszketés;</w:t>
      </w:r>
    </w:p>
    <w:p w:rsidR="008524DE" w:rsidRDefault="000C1DC5">
      <w:pPr>
        <w:widowControl/>
        <w:numPr>
          <w:ilvl w:val="0"/>
          <w:numId w:val="1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gyomor</w:t>
      </w:r>
      <w:r>
        <w:rPr>
          <w:lang w:val="hu-HU"/>
        </w:rPr>
        <w:noBreakHyphen/>
        <w:t xml:space="preserve"> vagy bélfekély (beleértve a nyelőcsőfekélyt is);</w:t>
      </w:r>
    </w:p>
    <w:p w:rsidR="008524DE" w:rsidRDefault="000C1DC5">
      <w:pPr>
        <w:widowControl/>
        <w:numPr>
          <w:ilvl w:val="0"/>
          <w:numId w:val="1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nyelőcső és a gyomornyálkahártya gyulladása;</w:t>
      </w:r>
    </w:p>
    <w:p w:rsidR="008524DE" w:rsidRDefault="000C1DC5">
      <w:pPr>
        <w:widowControl/>
        <w:numPr>
          <w:ilvl w:val="0"/>
          <w:numId w:val="1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gyomornedv nyelőcsőbe történő visszafolyása (reflux betegség);</w:t>
      </w:r>
    </w:p>
    <w:p w:rsidR="008524DE" w:rsidRDefault="000C1DC5">
      <w:pPr>
        <w:widowControl/>
        <w:numPr>
          <w:ilvl w:val="0"/>
          <w:numId w:val="1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hányás;</w:t>
      </w:r>
    </w:p>
    <w:p w:rsidR="008524DE" w:rsidRDefault="000C1DC5">
      <w:pPr>
        <w:widowControl/>
        <w:numPr>
          <w:ilvl w:val="0"/>
          <w:numId w:val="1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nyelési nehézség;</w:t>
      </w:r>
    </w:p>
    <w:p w:rsidR="008524DE" w:rsidRDefault="000C1DC5">
      <w:pPr>
        <w:widowControl/>
        <w:numPr>
          <w:ilvl w:val="0"/>
          <w:numId w:val="14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laboratóriumi vizsgálattal kimutatható kóros májfunkciós értékek.</w:t>
      </w:r>
    </w:p>
    <w:p w:rsidR="008524DE" w:rsidRDefault="008524DE">
      <w:pPr>
        <w:ind w:left="7" w:right="11"/>
        <w:rPr>
          <w:lang w:val="hu-HU"/>
        </w:rPr>
      </w:pPr>
    </w:p>
    <w:p w:rsidR="008524DE" w:rsidRDefault="000C1DC5">
      <w:pPr>
        <w:ind w:left="7" w:right="11"/>
        <w:rPr>
          <w:lang w:val="hu-HU"/>
        </w:rPr>
      </w:pPr>
      <w:r>
        <w:rPr>
          <w:b/>
          <w:bCs/>
          <w:lang w:val="hu-HU"/>
        </w:rPr>
        <w:t>Ritka</w:t>
      </w:r>
      <w:r>
        <w:rPr>
          <w:lang w:val="hu-HU"/>
        </w:rPr>
        <w:t xml:space="preserve"> (1000</w:t>
      </w:r>
      <w:r>
        <w:rPr>
          <w:lang w:val="hu-HU"/>
        </w:rPr>
        <w:noBreakHyphen/>
        <w:t>ből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8524DE" w:rsidRDefault="000C1DC5">
      <w:pPr>
        <w:pStyle w:val="Listaszerbekezds"/>
        <w:numPr>
          <w:ilvl w:val="0"/>
          <w:numId w:val="15"/>
        </w:numPr>
        <w:ind w:hanging="360"/>
        <w:rPr>
          <w:lang w:val="hu-HU"/>
        </w:rPr>
      </w:pPr>
      <w:r>
        <w:rPr>
          <w:lang w:val="hu-HU"/>
        </w:rPr>
        <w:t>ízületbe hatoló vagy műtétet követően sebészeti bemetszésből eredő vagy sérülés miatti vérzés jelentkezhet, vérzés alakulhat ki az injekció beszúrásának vagy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kanül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vénába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történő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bevezetésének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helyén;</w:t>
      </w:r>
    </w:p>
    <w:p w:rsidR="008524DE" w:rsidRDefault="000C1DC5">
      <w:pPr>
        <w:widowControl/>
        <w:numPr>
          <w:ilvl w:val="0"/>
          <w:numId w:val="15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súlyos allergiás reakció, amely légzési nehézséget vagy szédülést okoz;</w:t>
      </w:r>
    </w:p>
    <w:p w:rsidR="008524DE" w:rsidRDefault="000C1DC5">
      <w:pPr>
        <w:widowControl/>
        <w:numPr>
          <w:ilvl w:val="0"/>
          <w:numId w:val="15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súlyos allergiás reakció, amely az arc vagy a torok duzzanatát okozza;</w:t>
      </w:r>
    </w:p>
    <w:p w:rsidR="008524DE" w:rsidRDefault="000C1DC5">
      <w:pPr>
        <w:widowControl/>
        <w:numPr>
          <w:ilvl w:val="0"/>
          <w:numId w:val="15"/>
        </w:numPr>
        <w:autoSpaceDE/>
        <w:autoSpaceDN/>
        <w:ind w:right="11" w:hanging="566"/>
        <w:rPr>
          <w:lang w:val="hu-HU"/>
        </w:rPr>
      </w:pPr>
      <w:bookmarkStart w:id="8" w:name="_Hlk112500415"/>
      <w:r>
        <w:rPr>
          <w:lang w:val="hu-HU"/>
        </w:rPr>
        <w:t>allergiás reakció okozta bőrkiütés, amelynek jellegzetessége a sötétvörös, a bőrfelszínből kiemelkedő, viszkető bőrelváltozás;</w:t>
      </w:r>
    </w:p>
    <w:bookmarkEnd w:id="8"/>
    <w:p w:rsidR="008524DE" w:rsidRDefault="000C1DC5">
      <w:pPr>
        <w:widowControl/>
        <w:numPr>
          <w:ilvl w:val="0"/>
          <w:numId w:val="15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vörösvértestek arányának csökkenése;</w:t>
      </w:r>
    </w:p>
    <w:p w:rsidR="008524DE" w:rsidRDefault="000C1DC5">
      <w:pPr>
        <w:widowControl/>
        <w:numPr>
          <w:ilvl w:val="0"/>
          <w:numId w:val="15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májenzimszint-emelkedés;</w:t>
      </w:r>
    </w:p>
    <w:p w:rsidR="008524DE" w:rsidRDefault="000C1DC5">
      <w:pPr>
        <w:widowControl/>
        <w:numPr>
          <w:ilvl w:val="0"/>
          <w:numId w:val="15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bőr vagy a szemfehérje besárgulása, melyet májprobléma vagy a vérrel kapcsolatos probléma okoz.</w:t>
      </w:r>
    </w:p>
    <w:p w:rsidR="008524DE" w:rsidRDefault="008524DE">
      <w:pPr>
        <w:ind w:right="11"/>
        <w:rPr>
          <w:lang w:val="hu-HU"/>
        </w:rPr>
      </w:pPr>
    </w:p>
    <w:p w:rsidR="008524DE" w:rsidRDefault="000C1DC5">
      <w:pPr>
        <w:ind w:right="11"/>
        <w:rPr>
          <w:lang w:val="hu-HU"/>
        </w:rPr>
      </w:pPr>
      <w:r>
        <w:rPr>
          <w:b/>
          <w:bCs/>
          <w:lang w:val="hu-HU"/>
        </w:rPr>
        <w:t xml:space="preserve">Nem ismert </w:t>
      </w:r>
      <w:r>
        <w:rPr>
          <w:lang w:val="hu-HU"/>
        </w:rPr>
        <w:t>(a gyakoriság a rendelkezésre álló adatokból nem állapítható meg):</w:t>
      </w:r>
    </w:p>
    <w:p w:rsidR="008524DE" w:rsidRDefault="000C1DC5">
      <w:pPr>
        <w:widowControl/>
        <w:numPr>
          <w:ilvl w:val="0"/>
          <w:numId w:val="16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nehézlégzés vagy sípoló légzés;</w:t>
      </w:r>
    </w:p>
    <w:p w:rsidR="008524DE" w:rsidRDefault="000C1DC5">
      <w:pPr>
        <w:widowControl/>
        <w:numPr>
          <w:ilvl w:val="0"/>
          <w:numId w:val="16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fehérvérsejtek (amelyek a fertőzések leküzdésében segítenek) számának csökkenése vagy teljes hiánya;</w:t>
      </w:r>
    </w:p>
    <w:p w:rsidR="008524DE" w:rsidRDefault="000C1DC5">
      <w:pPr>
        <w:widowControl/>
        <w:numPr>
          <w:ilvl w:val="0"/>
          <w:numId w:val="16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hajhullás.</w:t>
      </w:r>
    </w:p>
    <w:p w:rsidR="008524DE" w:rsidRDefault="008524DE">
      <w:pPr>
        <w:ind w:left="7" w:right="11"/>
        <w:rPr>
          <w:lang w:val="hu-HU"/>
        </w:rPr>
      </w:pPr>
    </w:p>
    <w:p w:rsidR="008524DE" w:rsidRDefault="000C1DC5">
      <w:pPr>
        <w:ind w:left="7" w:right="11"/>
        <w:rPr>
          <w:lang w:val="hu-HU"/>
        </w:rPr>
      </w:pPr>
      <w:r>
        <w:rPr>
          <w:lang w:val="hu-HU"/>
        </w:rPr>
        <w:t>Egy klinikai vizsgálatban a szívrohamok aránya dabigatrán</w:t>
      </w:r>
      <w:r>
        <w:rPr>
          <w:lang w:val="hu-HU"/>
        </w:rPr>
        <w:noBreakHyphen/>
        <w:t>etexilát mellett számszerűen nagyobb volt, mint a warfarin esetében. Az összes előfordulás alacsony volt.</w:t>
      </w:r>
    </w:p>
    <w:p w:rsidR="008524DE" w:rsidRDefault="008524DE">
      <w:pPr>
        <w:ind w:left="7" w:right="11"/>
        <w:rPr>
          <w:lang w:val="hu-HU"/>
        </w:rPr>
      </w:pPr>
    </w:p>
    <w:p w:rsidR="008524DE" w:rsidRDefault="000C1DC5">
      <w:pPr>
        <w:rPr>
          <w:u w:val="single"/>
          <w:lang w:val="hu-HU"/>
        </w:rPr>
      </w:pPr>
      <w:r>
        <w:rPr>
          <w:u w:val="single"/>
          <w:lang w:val="hu-HU"/>
        </w:rPr>
        <w:t>A lábak és a tüdő vénáiban kialakult vérrögök kezelése, beleértve annak megelőzését, hogy ilyen vérrögök ismételten kialakuljanak a lábak és/vagy a tüdő vénáiban.</w:t>
      </w:r>
    </w:p>
    <w:p w:rsidR="008524DE" w:rsidRDefault="008524DE">
      <w:pPr>
        <w:ind w:left="7" w:right="11"/>
        <w:rPr>
          <w:lang w:val="hu-HU"/>
        </w:rPr>
      </w:pPr>
    </w:p>
    <w:p w:rsidR="008524DE" w:rsidRDefault="000C1DC5">
      <w:pPr>
        <w:ind w:left="7" w:right="11"/>
        <w:rPr>
          <w:lang w:val="hu-HU"/>
        </w:rPr>
      </w:pPr>
      <w:r>
        <w:rPr>
          <w:b/>
          <w:bCs/>
          <w:lang w:val="hu-HU"/>
        </w:rPr>
        <w:t xml:space="preserve">Gyakori </w:t>
      </w:r>
      <w:r>
        <w:rPr>
          <w:lang w:val="hu-HU"/>
        </w:rPr>
        <w:t>(10</w:t>
      </w:r>
      <w:r>
        <w:rPr>
          <w:lang w:val="hu-HU"/>
        </w:rPr>
        <w:noBreakHyphen/>
        <w:t>ből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8524DE" w:rsidRDefault="000C1DC5">
      <w:pPr>
        <w:pStyle w:val="Listaszerbekezds"/>
        <w:numPr>
          <w:ilvl w:val="0"/>
          <w:numId w:val="17"/>
        </w:numPr>
        <w:rPr>
          <w:lang w:val="hu-HU"/>
        </w:rPr>
      </w:pPr>
      <w:r>
        <w:rPr>
          <w:lang w:val="hu-HU"/>
        </w:rPr>
        <w:t>előfordulhat orrvérzés, gyomor</w:t>
      </w:r>
      <w:r>
        <w:rPr>
          <w:lang w:val="hu-HU"/>
        </w:rPr>
        <w:noBreakHyphen/>
        <w:t xml:space="preserve"> vagy a bélvérzés, a vérzés eredhet a hímvesszőből/hüvelyből vagy a</w:t>
      </w:r>
      <w:r>
        <w:rPr>
          <w:spacing w:val="1"/>
          <w:lang w:val="hu-HU"/>
        </w:rPr>
        <w:t xml:space="preserve"> </w:t>
      </w:r>
      <w:r>
        <w:rPr>
          <w:lang w:val="hu-HU"/>
        </w:rPr>
        <w:t>húgyutakból (beleértve a vizeletben megjelenő vért is, ami a vizeletet rózsaszínűre vagy pirosra</w:t>
      </w:r>
      <w:r>
        <w:rPr>
          <w:spacing w:val="1"/>
          <w:lang w:val="hu-HU"/>
        </w:rPr>
        <w:t xml:space="preserve"> </w:t>
      </w:r>
      <w:r>
        <w:rPr>
          <w:lang w:val="hu-HU"/>
        </w:rPr>
        <w:t>színezi), vagy lehet bőr alatti vérzés;</w:t>
      </w:r>
    </w:p>
    <w:p w:rsidR="008524DE" w:rsidRDefault="000C1DC5">
      <w:pPr>
        <w:widowControl/>
        <w:numPr>
          <w:ilvl w:val="0"/>
          <w:numId w:val="17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emésztési zavar.</w:t>
      </w:r>
    </w:p>
    <w:p w:rsidR="008524DE" w:rsidRDefault="008524DE">
      <w:pPr>
        <w:ind w:left="7" w:right="11"/>
        <w:rPr>
          <w:lang w:val="hu-HU"/>
        </w:rPr>
      </w:pPr>
    </w:p>
    <w:p w:rsidR="008524DE" w:rsidRDefault="000C1DC5">
      <w:pPr>
        <w:ind w:left="7" w:right="11"/>
        <w:rPr>
          <w:lang w:val="hu-HU"/>
        </w:rPr>
      </w:pPr>
      <w:r>
        <w:rPr>
          <w:b/>
          <w:bCs/>
          <w:lang w:val="hu-HU"/>
        </w:rPr>
        <w:t>Nem gyakori</w:t>
      </w:r>
      <w:r>
        <w:rPr>
          <w:lang w:val="hu-HU"/>
        </w:rPr>
        <w:t xml:space="preserve"> (100</w:t>
      </w:r>
      <w:r>
        <w:rPr>
          <w:lang w:val="hu-HU"/>
        </w:rPr>
        <w:noBreakHyphen/>
        <w:t>ból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vérzés;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 xml:space="preserve">ízületbe hatoló vagy sérülés miatti vérzés előfordulhat; 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aranyerekből eredő vérzés előfordulhat;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vörösvértestek számának csökkenése a vérben;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vérömleny kialakulása;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 felköhögése vagy véres köpet;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allergiás reakció;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bőr színének és küllemének hirtelen kialakuló változása;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viszketés;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gyomor- vagy bélfekély (beleértve a nyelőcsőfekélyt is);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nyelőcső és a gyomornyálkahártya gyulladása;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gyomornedv nyelőcsőbe történő visszafolyása (reflux betegség);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lastRenderedPageBreak/>
        <w:t>hányinger,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hányás;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hasi- és gyomortáji fájdalom;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gyakori, híg vagy folyékony széklet;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laboratóriumi vizsgálattal kimutatható kóros májfunkciós értékek;</w:t>
      </w:r>
    </w:p>
    <w:p w:rsidR="008524DE" w:rsidRDefault="000C1DC5">
      <w:pPr>
        <w:widowControl/>
        <w:numPr>
          <w:ilvl w:val="0"/>
          <w:numId w:val="18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májenzimszint-emelkedés.</w:t>
      </w:r>
    </w:p>
    <w:p w:rsidR="008524DE" w:rsidRDefault="008524DE">
      <w:pPr>
        <w:ind w:left="7" w:right="11"/>
        <w:rPr>
          <w:lang w:val="hu-HU"/>
        </w:rPr>
      </w:pPr>
    </w:p>
    <w:p w:rsidR="008524DE" w:rsidRDefault="000C1DC5">
      <w:pPr>
        <w:ind w:left="7" w:right="11"/>
        <w:rPr>
          <w:lang w:val="hu-HU"/>
        </w:rPr>
      </w:pPr>
      <w:r>
        <w:rPr>
          <w:b/>
          <w:bCs/>
          <w:lang w:val="hu-HU"/>
        </w:rPr>
        <w:t>Ritka</w:t>
      </w:r>
      <w:r>
        <w:rPr>
          <w:lang w:val="hu-HU"/>
        </w:rPr>
        <w:t xml:space="preserve"> (1000</w:t>
      </w:r>
      <w:r>
        <w:rPr>
          <w:lang w:val="hu-HU"/>
        </w:rPr>
        <w:noBreakHyphen/>
        <w:t>ből legfeljebb 1 beteget érinthet):</w:t>
      </w:r>
    </w:p>
    <w:p w:rsidR="008524DE" w:rsidRDefault="000C1DC5">
      <w:pPr>
        <w:widowControl/>
        <w:numPr>
          <w:ilvl w:val="0"/>
          <w:numId w:val="19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vérzés jelentkezhet a sebészi bemetszés helyén, az injekció beadásának helyén, a katéter vénába történő bevezetésének helyén, vagy az agyban;</w:t>
      </w:r>
    </w:p>
    <w:p w:rsidR="008524DE" w:rsidRDefault="000C1DC5">
      <w:pPr>
        <w:widowControl/>
        <w:numPr>
          <w:ilvl w:val="0"/>
          <w:numId w:val="19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vérlemezkeszám-csökkenés a vérben;</w:t>
      </w:r>
    </w:p>
    <w:p w:rsidR="008524DE" w:rsidRDefault="000C1DC5">
      <w:pPr>
        <w:widowControl/>
        <w:numPr>
          <w:ilvl w:val="0"/>
          <w:numId w:val="19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súlyos allergiás reakció, amely nehézlégzést vagy szédülést okoz;</w:t>
      </w:r>
    </w:p>
    <w:p w:rsidR="008524DE" w:rsidRDefault="000C1DC5">
      <w:pPr>
        <w:widowControl/>
        <w:numPr>
          <w:ilvl w:val="0"/>
          <w:numId w:val="19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súlyos allergiás reakció, amely az arc vagy a torok duzzanatát okozza;</w:t>
      </w:r>
    </w:p>
    <w:p w:rsidR="008524DE" w:rsidRDefault="000C1DC5">
      <w:pPr>
        <w:widowControl/>
        <w:numPr>
          <w:ilvl w:val="0"/>
          <w:numId w:val="19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allergiás reakció okozta bőrkiütés, amelynek jellegzetessége a sötétvörös, a bőrfelszínből kiemelkedő, viszkető bőrelváltozás;</w:t>
      </w:r>
    </w:p>
    <w:p w:rsidR="008524DE" w:rsidRDefault="000C1DC5">
      <w:pPr>
        <w:widowControl/>
        <w:numPr>
          <w:ilvl w:val="0"/>
          <w:numId w:val="19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nyelési nehézség.</w:t>
      </w:r>
    </w:p>
    <w:p w:rsidR="008524DE" w:rsidRDefault="008524DE">
      <w:pPr>
        <w:ind w:left="7" w:right="11"/>
        <w:rPr>
          <w:lang w:val="hu-HU"/>
        </w:rPr>
      </w:pPr>
    </w:p>
    <w:p w:rsidR="008524DE" w:rsidRDefault="000C1DC5">
      <w:pPr>
        <w:ind w:left="7" w:right="11"/>
        <w:rPr>
          <w:lang w:val="hu-HU"/>
        </w:rPr>
      </w:pPr>
      <w:r>
        <w:rPr>
          <w:b/>
          <w:bCs/>
          <w:lang w:val="hu-HU"/>
        </w:rPr>
        <w:t xml:space="preserve">Nem ismert </w:t>
      </w:r>
      <w:r>
        <w:rPr>
          <w:lang w:val="hu-HU"/>
        </w:rPr>
        <w:t>(a gyakoriság a rendelkezésre álló adatokból nem állapítható meg):</w:t>
      </w:r>
    </w:p>
    <w:p w:rsidR="008524DE" w:rsidRDefault="000C1DC5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nehézlégzés vagy sípoló légzés;</w:t>
      </w:r>
    </w:p>
    <w:p w:rsidR="008524DE" w:rsidRDefault="000C1DC5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hemoglobin (a vörösvértestekben lévő vegyület) szintjének csökkenése a vérben;</w:t>
      </w:r>
    </w:p>
    <w:p w:rsidR="008524DE" w:rsidRDefault="000C1DC5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vörösvértestek arányának csökkenése;</w:t>
      </w:r>
    </w:p>
    <w:p w:rsidR="008524DE" w:rsidRDefault="000C1DC5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fehérvérsejtek (melyek a fertőzések leküzdésében segítenek) számának csökkenése vagy teljes hiánya;</w:t>
      </w:r>
    </w:p>
    <w:p w:rsidR="008524DE" w:rsidRDefault="000C1DC5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a bőr vagy a szemfehérje besárgulása, melyet májprobléma vagy a vérrel kapcsolatos probléma okoz;</w:t>
      </w:r>
    </w:p>
    <w:p w:rsidR="008524DE" w:rsidRDefault="000C1DC5">
      <w:pPr>
        <w:widowControl/>
        <w:numPr>
          <w:ilvl w:val="0"/>
          <w:numId w:val="20"/>
        </w:numPr>
        <w:autoSpaceDE/>
        <w:autoSpaceDN/>
        <w:ind w:right="11" w:hanging="566"/>
        <w:rPr>
          <w:lang w:val="hu-HU"/>
        </w:rPr>
      </w:pPr>
      <w:r>
        <w:rPr>
          <w:lang w:val="hu-HU"/>
        </w:rPr>
        <w:t>hajhullás.</w:t>
      </w:r>
    </w:p>
    <w:p w:rsidR="008524DE" w:rsidRDefault="008524DE">
      <w:pPr>
        <w:ind w:left="7" w:right="11"/>
        <w:rPr>
          <w:lang w:val="hu-HU"/>
        </w:rPr>
      </w:pPr>
    </w:p>
    <w:p w:rsidR="008524DE" w:rsidRDefault="000C1DC5">
      <w:pPr>
        <w:ind w:left="7" w:right="11"/>
        <w:rPr>
          <w:lang w:val="hu-HU"/>
        </w:rPr>
      </w:pPr>
      <w:r>
        <w:rPr>
          <w:lang w:val="hu-HU"/>
        </w:rPr>
        <w:t>A klinikai vizsgálati programban a szívrohamok aránya dabigatrán</w:t>
      </w:r>
      <w:r>
        <w:rPr>
          <w:lang w:val="hu-HU"/>
        </w:rPr>
        <w:noBreakHyphen/>
        <w:t>etexilát mellett számszerűen nagyobb volt, mint a warfarin esetében. Az összes előfordulás alacsony volt. Nem volt eltérés a szívrohamok arányában a dabigatrán</w:t>
      </w:r>
      <w:r>
        <w:rPr>
          <w:lang w:val="hu-HU"/>
        </w:rPr>
        <w:noBreakHyphen/>
        <w:t>etexilátot kapó betegcsoportban a placebo csoporthoz képest.</w:t>
      </w:r>
    </w:p>
    <w:p w:rsidR="008524DE" w:rsidRDefault="008524DE">
      <w:pPr>
        <w:ind w:left="7" w:right="11"/>
      </w:pPr>
    </w:p>
    <w:p w:rsidR="008524DE" w:rsidRDefault="000C1DC5">
      <w:pPr>
        <w:rPr>
          <w:u w:val="single"/>
          <w:lang w:val="hu-HU"/>
        </w:rPr>
      </w:pPr>
      <w:bookmarkStart w:id="9" w:name="_Hlk112500498"/>
      <w:r>
        <w:rPr>
          <w:u w:val="single"/>
          <w:lang w:val="hu-HU"/>
        </w:rPr>
        <w:t>Vérrögök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kezelése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és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a</w:t>
      </w:r>
      <w:r>
        <w:rPr>
          <w:spacing w:val="-4"/>
          <w:u w:val="single"/>
          <w:lang w:val="hu-HU"/>
        </w:rPr>
        <w:t xml:space="preserve"> </w:t>
      </w:r>
      <w:r>
        <w:rPr>
          <w:u w:val="single"/>
          <w:lang w:val="hu-HU"/>
        </w:rPr>
        <w:t>vérrögök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újbóli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kialakulásának</w:t>
      </w:r>
      <w:r>
        <w:rPr>
          <w:spacing w:val="-4"/>
          <w:u w:val="single"/>
          <w:lang w:val="hu-HU"/>
        </w:rPr>
        <w:t xml:space="preserve"> </w:t>
      </w:r>
      <w:r>
        <w:rPr>
          <w:u w:val="single"/>
          <w:lang w:val="hu-HU"/>
        </w:rPr>
        <w:t>megelőzése</w:t>
      </w:r>
      <w:r>
        <w:rPr>
          <w:spacing w:val="-5"/>
          <w:u w:val="single"/>
          <w:lang w:val="hu-HU"/>
        </w:rPr>
        <w:t xml:space="preserve"> </w:t>
      </w:r>
      <w:r>
        <w:rPr>
          <w:u w:val="single"/>
          <w:lang w:val="hu-HU"/>
        </w:rPr>
        <w:t>gyermekeknél és serdülőknél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b/>
          <w:bCs/>
          <w:lang w:val="hu-HU"/>
        </w:rPr>
        <w:t>Gyakori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(10</w:t>
      </w:r>
      <w:r>
        <w:rPr>
          <w:lang w:val="hu-HU"/>
        </w:rPr>
        <w:noBreakHyphen/>
        <w:t>ből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8524DE" w:rsidRDefault="000C1DC5">
      <w:pPr>
        <w:pStyle w:val="Listaszerbekezds"/>
        <w:numPr>
          <w:ilvl w:val="0"/>
          <w:numId w:val="21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vörösvértestek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számának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csökkenése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vérben;</w:t>
      </w:r>
    </w:p>
    <w:p w:rsidR="008524DE" w:rsidRDefault="000C1DC5">
      <w:pPr>
        <w:pStyle w:val="Listaszerbekezds"/>
        <w:numPr>
          <w:ilvl w:val="0"/>
          <w:numId w:val="21"/>
        </w:numPr>
        <w:ind w:left="567" w:hanging="567"/>
        <w:rPr>
          <w:lang w:val="hu-HU"/>
        </w:rPr>
      </w:pPr>
      <w:r>
        <w:rPr>
          <w:lang w:val="hu-HU"/>
        </w:rPr>
        <w:t>vérlemezkeszám-csökkenés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vérben;</w:t>
      </w:r>
    </w:p>
    <w:p w:rsidR="008524DE" w:rsidRDefault="000C1DC5">
      <w:pPr>
        <w:pStyle w:val="Listaszerbekezds"/>
        <w:numPr>
          <w:ilvl w:val="0"/>
          <w:numId w:val="21"/>
        </w:numPr>
        <w:ind w:left="567" w:hanging="567"/>
        <w:rPr>
          <w:lang w:val="hu-HU"/>
        </w:rPr>
      </w:pPr>
      <w:r>
        <w:rPr>
          <w:lang w:val="hu-HU"/>
        </w:rPr>
        <w:t>allergiás reakció okozta bőrkiütés, amelynek jellegzetessége a sötétvörös, a bőrfelszínből kiemelkedő, viszkető bőrelváltozás;</w:t>
      </w:r>
    </w:p>
    <w:p w:rsidR="008524DE" w:rsidRDefault="000C1DC5">
      <w:pPr>
        <w:pStyle w:val="Listaszerbekezds"/>
        <w:numPr>
          <w:ilvl w:val="0"/>
          <w:numId w:val="21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bőr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színének és küllemének hirtelen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kialakuló</w:t>
      </w:r>
      <w:r>
        <w:rPr>
          <w:spacing w:val="-5"/>
          <w:lang w:val="hu-HU"/>
        </w:rPr>
        <w:t xml:space="preserve"> meg</w:t>
      </w:r>
      <w:r>
        <w:rPr>
          <w:lang w:val="hu-HU"/>
        </w:rPr>
        <w:t>változása;</w:t>
      </w:r>
    </w:p>
    <w:p w:rsidR="008524DE" w:rsidRDefault="000C1DC5">
      <w:pPr>
        <w:pStyle w:val="Listaszerbekezds"/>
        <w:numPr>
          <w:ilvl w:val="0"/>
          <w:numId w:val="21"/>
        </w:numPr>
        <w:ind w:left="567" w:hanging="567"/>
        <w:rPr>
          <w:lang w:val="hu-HU"/>
        </w:rPr>
      </w:pPr>
      <w:r>
        <w:rPr>
          <w:lang w:val="hu-HU"/>
        </w:rPr>
        <w:t>vérömleny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kialakulása;</w:t>
      </w:r>
    </w:p>
    <w:p w:rsidR="008524DE" w:rsidRDefault="000C1DC5">
      <w:pPr>
        <w:pStyle w:val="Listaszerbekezds"/>
        <w:numPr>
          <w:ilvl w:val="0"/>
          <w:numId w:val="21"/>
        </w:numPr>
        <w:ind w:left="567" w:hanging="567"/>
        <w:rPr>
          <w:lang w:val="hu-HU"/>
        </w:rPr>
      </w:pPr>
      <w:r>
        <w:rPr>
          <w:lang w:val="hu-HU"/>
        </w:rPr>
        <w:t>orrvérzés;</w:t>
      </w:r>
    </w:p>
    <w:p w:rsidR="008524DE" w:rsidRDefault="000C1DC5">
      <w:pPr>
        <w:pStyle w:val="Listaszerbekezds"/>
        <w:numPr>
          <w:ilvl w:val="0"/>
          <w:numId w:val="21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gyomornedv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nyelőcsőbe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történő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visszafolyása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(reflux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betegség);</w:t>
      </w:r>
    </w:p>
    <w:p w:rsidR="008524DE" w:rsidRDefault="000C1DC5">
      <w:pPr>
        <w:pStyle w:val="Listaszerbekezds"/>
        <w:numPr>
          <w:ilvl w:val="0"/>
          <w:numId w:val="21"/>
        </w:numPr>
        <w:ind w:left="567" w:hanging="567"/>
        <w:rPr>
          <w:lang w:val="hu-HU"/>
        </w:rPr>
      </w:pPr>
      <w:r>
        <w:rPr>
          <w:lang w:val="hu-HU"/>
        </w:rPr>
        <w:t>hányás;</w:t>
      </w:r>
    </w:p>
    <w:p w:rsidR="008524DE" w:rsidRDefault="000C1DC5">
      <w:pPr>
        <w:pStyle w:val="Listaszerbekezds"/>
        <w:numPr>
          <w:ilvl w:val="0"/>
          <w:numId w:val="21"/>
        </w:numPr>
        <w:ind w:left="567" w:hanging="567"/>
        <w:rPr>
          <w:lang w:val="hu-HU"/>
        </w:rPr>
      </w:pPr>
      <w:r>
        <w:rPr>
          <w:lang w:val="hu-HU"/>
        </w:rPr>
        <w:t>hányinger;</w:t>
      </w:r>
    </w:p>
    <w:p w:rsidR="008524DE" w:rsidRDefault="000C1DC5">
      <w:pPr>
        <w:pStyle w:val="Listaszerbekezds"/>
        <w:numPr>
          <w:ilvl w:val="0"/>
          <w:numId w:val="21"/>
        </w:numPr>
        <w:ind w:left="567" w:hanging="567"/>
        <w:rPr>
          <w:lang w:val="hu-HU"/>
        </w:rPr>
      </w:pPr>
      <w:r>
        <w:rPr>
          <w:lang w:val="hu-HU"/>
        </w:rPr>
        <w:t>gyakori,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híg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folyékony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széklet;</w:t>
      </w:r>
    </w:p>
    <w:p w:rsidR="008524DE" w:rsidRDefault="000C1DC5">
      <w:pPr>
        <w:pStyle w:val="Listaszerbekezds"/>
        <w:numPr>
          <w:ilvl w:val="0"/>
          <w:numId w:val="21"/>
        </w:numPr>
        <w:ind w:left="567" w:hanging="567"/>
        <w:rPr>
          <w:lang w:val="hu-HU"/>
        </w:rPr>
      </w:pPr>
      <w:r>
        <w:rPr>
          <w:lang w:val="hu-HU"/>
        </w:rPr>
        <w:t>emésztési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zavar;</w:t>
      </w:r>
    </w:p>
    <w:p w:rsidR="008524DE" w:rsidRDefault="000C1DC5">
      <w:pPr>
        <w:pStyle w:val="Listaszerbekezds"/>
        <w:numPr>
          <w:ilvl w:val="0"/>
          <w:numId w:val="21"/>
        </w:numPr>
        <w:ind w:left="567" w:hanging="567"/>
        <w:rPr>
          <w:lang w:val="hu-HU"/>
        </w:rPr>
      </w:pPr>
      <w:r>
        <w:rPr>
          <w:lang w:val="hu-HU"/>
        </w:rPr>
        <w:t>hajhullás;</w:t>
      </w:r>
    </w:p>
    <w:p w:rsidR="008524DE" w:rsidRDefault="000C1DC5">
      <w:pPr>
        <w:pStyle w:val="Listaszerbekezds"/>
        <w:numPr>
          <w:ilvl w:val="0"/>
          <w:numId w:val="21"/>
        </w:numPr>
        <w:ind w:left="567" w:hanging="567"/>
        <w:rPr>
          <w:lang w:val="hu-HU"/>
        </w:rPr>
      </w:pPr>
      <w:r>
        <w:rPr>
          <w:lang w:val="hu-HU"/>
        </w:rPr>
        <w:t>májenzimszint-emelkedés.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b/>
          <w:bCs/>
          <w:lang w:val="hu-HU"/>
        </w:rPr>
        <w:t>Nem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gyakori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(100</w:t>
      </w:r>
      <w:r>
        <w:rPr>
          <w:lang w:val="hu-HU"/>
        </w:rPr>
        <w:noBreakHyphen/>
        <w:t>ból legfeljebb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1 beteget érinthet):</w:t>
      </w:r>
    </w:p>
    <w:p w:rsidR="008524DE" w:rsidRDefault="000C1DC5">
      <w:pPr>
        <w:pStyle w:val="Listaszerbekezds"/>
        <w:numPr>
          <w:ilvl w:val="0"/>
          <w:numId w:val="22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fehérvérsejtek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(amelyek 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fertőzések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leküzdésében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segítenek)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számának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csökkenése;</w:t>
      </w:r>
    </w:p>
    <w:p w:rsidR="008524DE" w:rsidRDefault="000C1DC5">
      <w:pPr>
        <w:pStyle w:val="Listaszerbekezds"/>
        <w:numPr>
          <w:ilvl w:val="0"/>
          <w:numId w:val="22"/>
        </w:numPr>
        <w:ind w:left="567" w:hanging="567"/>
        <w:rPr>
          <w:lang w:val="hu-HU"/>
        </w:rPr>
      </w:pPr>
      <w:r>
        <w:rPr>
          <w:lang w:val="hu-HU"/>
        </w:rPr>
        <w:t>jelentkezhet gyomor</w:t>
      </w:r>
      <w:r>
        <w:rPr>
          <w:lang w:val="hu-HU"/>
        </w:rPr>
        <w:noBreakHyphen/>
        <w:t xml:space="preserve"> vagy bélvérzés, vérzés eredhet az agyból, a végbélből, a</w:t>
      </w:r>
      <w:r>
        <w:rPr>
          <w:spacing w:val="1"/>
          <w:lang w:val="hu-HU"/>
        </w:rPr>
        <w:t xml:space="preserve"> </w:t>
      </w:r>
      <w:r>
        <w:rPr>
          <w:lang w:val="hu-HU"/>
        </w:rPr>
        <w:t>hímvesszőből/hüvelyből vagy a húgyutakból (a vizeletet rózsaszínűre vagy vörösre színező vérzést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is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beleértve),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bőr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alatti vérzés</w:t>
      </w:r>
      <w:r>
        <w:rPr>
          <w:spacing w:val="-1"/>
          <w:lang w:val="hu-HU"/>
        </w:rPr>
        <w:t xml:space="preserve"> keletkezhet</w:t>
      </w:r>
      <w:r>
        <w:rPr>
          <w:lang w:val="hu-HU"/>
        </w:rPr>
        <w:t>;</w:t>
      </w:r>
    </w:p>
    <w:p w:rsidR="008524DE" w:rsidRDefault="000C1DC5">
      <w:pPr>
        <w:pStyle w:val="Listaszerbekezds"/>
        <w:numPr>
          <w:ilvl w:val="0"/>
          <w:numId w:val="22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vérfesték, más néven </w:t>
      </w:r>
      <w:r>
        <w:rPr>
          <w:lang w:val="hu-HU"/>
        </w:rPr>
        <w:t>hemoglobin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(a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vörösvértestekben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lévő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vegyület)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szintjének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csökkenése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vérben;</w:t>
      </w:r>
    </w:p>
    <w:p w:rsidR="008524DE" w:rsidRDefault="000C1DC5">
      <w:pPr>
        <w:pStyle w:val="Listaszerbekezds"/>
        <w:numPr>
          <w:ilvl w:val="0"/>
          <w:numId w:val="22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vörös</w:t>
      </w:r>
      <w:r>
        <w:rPr>
          <w:lang w:val="hu-HU"/>
        </w:rPr>
        <w:t>vértestek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arányának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csökkenése;</w:t>
      </w:r>
    </w:p>
    <w:p w:rsidR="008524DE" w:rsidRDefault="000C1DC5">
      <w:pPr>
        <w:pStyle w:val="Listaszerbekezds"/>
        <w:numPr>
          <w:ilvl w:val="0"/>
          <w:numId w:val="22"/>
        </w:numPr>
        <w:ind w:left="567" w:hanging="567"/>
        <w:rPr>
          <w:lang w:val="hu-HU"/>
        </w:rPr>
      </w:pPr>
      <w:r>
        <w:rPr>
          <w:lang w:val="hu-HU"/>
        </w:rPr>
        <w:lastRenderedPageBreak/>
        <w:t>viszketés;</w:t>
      </w:r>
    </w:p>
    <w:p w:rsidR="008524DE" w:rsidRDefault="000C1DC5">
      <w:pPr>
        <w:pStyle w:val="Listaszerbekezds"/>
        <w:numPr>
          <w:ilvl w:val="0"/>
          <w:numId w:val="22"/>
        </w:numPr>
        <w:ind w:left="567" w:hanging="567"/>
        <w:rPr>
          <w:lang w:val="hu-HU"/>
        </w:rPr>
      </w:pPr>
      <w:r>
        <w:rPr>
          <w:lang w:val="hu-HU"/>
        </w:rPr>
        <w:t>vér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felköhögése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véres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köpet;</w:t>
      </w:r>
    </w:p>
    <w:p w:rsidR="008524DE" w:rsidRDefault="000C1DC5">
      <w:pPr>
        <w:pStyle w:val="Listaszerbekezds"/>
        <w:numPr>
          <w:ilvl w:val="0"/>
          <w:numId w:val="22"/>
        </w:numPr>
        <w:ind w:left="567" w:hanging="567"/>
        <w:rPr>
          <w:lang w:val="hu-HU"/>
        </w:rPr>
      </w:pPr>
      <w:r>
        <w:rPr>
          <w:lang w:val="hu-HU"/>
        </w:rPr>
        <w:t>hasi-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gyomortáji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fájdalom;</w:t>
      </w:r>
    </w:p>
    <w:p w:rsidR="008524DE" w:rsidRDefault="000C1DC5">
      <w:pPr>
        <w:pStyle w:val="Listaszerbekezds"/>
        <w:numPr>
          <w:ilvl w:val="0"/>
          <w:numId w:val="22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nyelőcső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gyomornyálkahártya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gyulladása;</w:t>
      </w:r>
    </w:p>
    <w:p w:rsidR="008524DE" w:rsidRDefault="000C1DC5">
      <w:pPr>
        <w:pStyle w:val="Listaszerbekezds"/>
        <w:numPr>
          <w:ilvl w:val="0"/>
          <w:numId w:val="22"/>
        </w:numPr>
        <w:ind w:left="567" w:hanging="567"/>
        <w:rPr>
          <w:lang w:val="hu-HU"/>
        </w:rPr>
      </w:pPr>
      <w:r>
        <w:rPr>
          <w:lang w:val="hu-HU"/>
        </w:rPr>
        <w:t>allergiás</w:t>
      </w:r>
      <w:r>
        <w:rPr>
          <w:spacing w:val="-11"/>
          <w:lang w:val="hu-HU"/>
        </w:rPr>
        <w:t xml:space="preserve"> </w:t>
      </w:r>
      <w:r>
        <w:rPr>
          <w:lang w:val="hu-HU"/>
        </w:rPr>
        <w:t>reakció;</w:t>
      </w:r>
    </w:p>
    <w:p w:rsidR="008524DE" w:rsidRDefault="000C1DC5">
      <w:pPr>
        <w:pStyle w:val="Listaszerbekezds"/>
        <w:numPr>
          <w:ilvl w:val="0"/>
          <w:numId w:val="22"/>
        </w:numPr>
        <w:ind w:left="567" w:hanging="567"/>
        <w:rPr>
          <w:lang w:val="hu-HU"/>
        </w:rPr>
      </w:pPr>
      <w:r>
        <w:rPr>
          <w:lang w:val="hu-HU"/>
        </w:rPr>
        <w:t>nyelési</w:t>
      </w:r>
      <w:r>
        <w:rPr>
          <w:spacing w:val="-10"/>
          <w:lang w:val="hu-HU"/>
        </w:rPr>
        <w:t xml:space="preserve"> </w:t>
      </w:r>
      <w:r>
        <w:rPr>
          <w:lang w:val="hu-HU"/>
        </w:rPr>
        <w:t>nehézség;</w:t>
      </w:r>
    </w:p>
    <w:p w:rsidR="008524DE" w:rsidRDefault="000C1DC5">
      <w:pPr>
        <w:pStyle w:val="Listaszerbekezds"/>
        <w:numPr>
          <w:ilvl w:val="0"/>
          <w:numId w:val="22"/>
        </w:numPr>
        <w:ind w:left="567" w:hanging="567"/>
        <w:rPr>
          <w:lang w:val="hu-HU"/>
        </w:rPr>
      </w:pPr>
      <w:r>
        <w:rPr>
          <w:lang w:val="hu-HU"/>
        </w:rPr>
        <w:t>a bőr vagy a szemfehérje besárgulása, melyet májprobléma vagy a vérrel kapcsolatos probléma okoz.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b/>
          <w:bCs/>
          <w:lang w:val="hu-HU"/>
        </w:rPr>
        <w:t xml:space="preserve">Nem ismert </w:t>
      </w:r>
      <w:r>
        <w:rPr>
          <w:lang w:val="hu-HU"/>
        </w:rPr>
        <w:t>(a gyakoriság a rendelkezésre álló adatokból nem állapítható meg):</w:t>
      </w:r>
    </w:p>
    <w:p w:rsidR="008524DE" w:rsidRDefault="000C1DC5">
      <w:pPr>
        <w:pStyle w:val="Listaszerbekezds"/>
        <w:numPr>
          <w:ilvl w:val="0"/>
          <w:numId w:val="23"/>
        </w:numPr>
        <w:ind w:left="567" w:hanging="567"/>
        <w:rPr>
          <w:lang w:val="hu-HU"/>
        </w:rPr>
      </w:pP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fehérvérsejtek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(amelyek 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fertőzések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leküzdésében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segítenek)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hiánya;</w:t>
      </w:r>
    </w:p>
    <w:p w:rsidR="008524DE" w:rsidRDefault="000C1DC5">
      <w:pPr>
        <w:pStyle w:val="Listaszerbekezds"/>
        <w:numPr>
          <w:ilvl w:val="0"/>
          <w:numId w:val="23"/>
        </w:numPr>
        <w:ind w:left="567" w:hanging="567"/>
        <w:rPr>
          <w:lang w:val="hu-HU"/>
        </w:rPr>
      </w:pPr>
      <w:r>
        <w:rPr>
          <w:lang w:val="hu-HU"/>
        </w:rPr>
        <w:t>súlyos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allergiás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reakció,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amely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nehézlégzést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szédülést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okoz;</w:t>
      </w:r>
    </w:p>
    <w:p w:rsidR="008524DE" w:rsidRDefault="000C1DC5">
      <w:pPr>
        <w:pStyle w:val="Listaszerbekezds"/>
        <w:numPr>
          <w:ilvl w:val="0"/>
          <w:numId w:val="23"/>
        </w:numPr>
        <w:ind w:left="567" w:hanging="567"/>
        <w:rPr>
          <w:lang w:val="hu-HU"/>
        </w:rPr>
      </w:pPr>
      <w:r>
        <w:rPr>
          <w:lang w:val="hu-HU"/>
        </w:rPr>
        <w:t>súlyos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allergiás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reakció,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amely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arc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torok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duzzanatát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okozza;</w:t>
      </w:r>
    </w:p>
    <w:p w:rsidR="008524DE" w:rsidRDefault="000C1DC5">
      <w:pPr>
        <w:pStyle w:val="Listaszerbekezds"/>
        <w:numPr>
          <w:ilvl w:val="0"/>
          <w:numId w:val="23"/>
        </w:numPr>
        <w:ind w:left="567" w:hanging="567"/>
        <w:rPr>
          <w:lang w:val="hu-HU"/>
        </w:rPr>
      </w:pPr>
      <w:r>
        <w:rPr>
          <w:lang w:val="hu-HU"/>
        </w:rPr>
        <w:t>nehézlégzés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sípoló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légzés;</w:t>
      </w:r>
    </w:p>
    <w:p w:rsidR="008524DE" w:rsidRDefault="000C1DC5">
      <w:pPr>
        <w:pStyle w:val="Listaszerbekezds"/>
        <w:numPr>
          <w:ilvl w:val="0"/>
          <w:numId w:val="23"/>
        </w:numPr>
        <w:ind w:left="567" w:hanging="567"/>
        <w:rPr>
          <w:lang w:val="hu-HU"/>
        </w:rPr>
      </w:pPr>
      <w:r>
        <w:rPr>
          <w:lang w:val="hu-HU"/>
        </w:rPr>
        <w:t>vérzés;</w:t>
      </w:r>
    </w:p>
    <w:p w:rsidR="008524DE" w:rsidRDefault="000C1DC5">
      <w:pPr>
        <w:pStyle w:val="Listaszerbekezds"/>
        <w:numPr>
          <w:ilvl w:val="0"/>
          <w:numId w:val="23"/>
        </w:numPr>
        <w:ind w:left="567" w:hanging="567"/>
        <w:rPr>
          <w:lang w:val="hu-HU"/>
        </w:rPr>
      </w:pPr>
      <w:r>
        <w:rPr>
          <w:lang w:val="hu-HU"/>
        </w:rPr>
        <w:t>ízületbe hatoló vagy sérülés miatti vérzés következhet be műtétet követően sebészeti bemetszésből, az injekció beszúrásának helyén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kanül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vénába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történő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bevezetésének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helyén;</w:t>
      </w:r>
    </w:p>
    <w:p w:rsidR="008524DE" w:rsidRDefault="000C1DC5">
      <w:pPr>
        <w:pStyle w:val="Listaszerbekezds"/>
        <w:numPr>
          <w:ilvl w:val="0"/>
          <w:numId w:val="23"/>
        </w:numPr>
        <w:ind w:left="567" w:hanging="567"/>
        <w:rPr>
          <w:lang w:val="hu-HU"/>
        </w:rPr>
      </w:pPr>
      <w:r>
        <w:rPr>
          <w:lang w:val="hu-HU"/>
        </w:rPr>
        <w:t>vérzés</w:t>
      </w:r>
      <w:r>
        <w:rPr>
          <w:spacing w:val="-4"/>
          <w:lang w:val="hu-HU"/>
        </w:rPr>
        <w:t xml:space="preserve"> indulhat ki </w:t>
      </w:r>
      <w:r>
        <w:rPr>
          <w:lang w:val="hu-HU"/>
        </w:rPr>
        <w:t>az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aranyerekből;</w:t>
      </w:r>
    </w:p>
    <w:p w:rsidR="008524DE" w:rsidRDefault="000C1DC5">
      <w:pPr>
        <w:pStyle w:val="Listaszerbekezds"/>
        <w:numPr>
          <w:ilvl w:val="0"/>
          <w:numId w:val="23"/>
        </w:numPr>
        <w:ind w:left="567" w:hanging="567"/>
        <w:rPr>
          <w:lang w:val="hu-HU"/>
        </w:rPr>
      </w:pPr>
      <w:r>
        <w:rPr>
          <w:lang w:val="hu-HU"/>
        </w:rPr>
        <w:t>gyomor</w:t>
      </w:r>
      <w:r>
        <w:rPr>
          <w:lang w:val="hu-HU"/>
        </w:rPr>
        <w:noBreakHyphen/>
      </w:r>
      <w:r>
        <w:rPr>
          <w:spacing w:val="-3"/>
          <w:lang w:val="hu-HU"/>
        </w:rPr>
        <w:t xml:space="preserve"> </w:t>
      </w:r>
      <w:r>
        <w:rPr>
          <w:lang w:val="hu-HU"/>
        </w:rPr>
        <w:t>vagy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bélfekély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(beleértve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nyelőcsőfekélyt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is);</w:t>
      </w:r>
    </w:p>
    <w:p w:rsidR="008524DE" w:rsidRDefault="000C1DC5">
      <w:pPr>
        <w:pStyle w:val="Listaszerbekezds"/>
        <w:numPr>
          <w:ilvl w:val="0"/>
          <w:numId w:val="23"/>
        </w:numPr>
        <w:ind w:left="567" w:hanging="567"/>
        <w:rPr>
          <w:lang w:val="hu-HU"/>
        </w:rPr>
      </w:pPr>
      <w:r>
        <w:rPr>
          <w:lang w:val="hu-HU"/>
        </w:rPr>
        <w:t>laboratóriumi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vizsgálattal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kimutatható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kóros</w:t>
      </w:r>
      <w:r>
        <w:rPr>
          <w:spacing w:val="-7"/>
          <w:lang w:val="hu-HU"/>
        </w:rPr>
        <w:t xml:space="preserve"> </w:t>
      </w:r>
      <w:r>
        <w:rPr>
          <w:lang w:val="hu-HU"/>
        </w:rPr>
        <w:t>májfunkciós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értékek.</w:t>
      </w:r>
    </w:p>
    <w:p w:rsidR="008524DE" w:rsidRDefault="008524DE">
      <w:pPr>
        <w:rPr>
          <w:lang w:val="hu-HU"/>
        </w:rPr>
      </w:pPr>
    </w:p>
    <w:bookmarkEnd w:id="9"/>
    <w:p w:rsidR="008524DE" w:rsidRDefault="000C1DC5">
      <w:pPr>
        <w:ind w:right="-29"/>
        <w:rPr>
          <w:b/>
          <w:bCs/>
          <w:lang w:val="hu-HU"/>
        </w:rPr>
      </w:pPr>
      <w:r>
        <w:rPr>
          <w:b/>
          <w:bCs/>
          <w:lang w:val="hu-HU"/>
        </w:rPr>
        <w:t>Mellékhatások bejelentése</w:t>
      </w:r>
    </w:p>
    <w:p w:rsidR="008524DE" w:rsidRDefault="000C1DC5">
      <w:pPr>
        <w:ind w:right="-2"/>
        <w:rPr>
          <w:lang w:val="hu-HU"/>
        </w:rPr>
      </w:pPr>
      <w:r>
        <w:rPr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 w:history="1">
        <w:r>
          <w:rPr>
            <w:rStyle w:val="llbChar"/>
            <w:highlight w:val="lightGray"/>
            <w:lang w:val="hu-HU"/>
          </w:rPr>
          <w:t>V. függelékben</w:t>
        </w:r>
      </w:hyperlink>
      <w:r>
        <w:rPr>
          <w:highlight w:val="lightGray"/>
          <w:lang w:val="hu-HU"/>
        </w:rPr>
        <w:t xml:space="preserve"> található elérhetőségeken keresztül</w:t>
      </w:r>
      <w:r>
        <w:rPr>
          <w:color w:val="008000"/>
          <w:lang w:val="hu-HU"/>
        </w:rPr>
        <w:t>.</w:t>
      </w:r>
    </w:p>
    <w:p w:rsidR="008524DE" w:rsidRDefault="000C1DC5">
      <w:pPr>
        <w:ind w:right="-2"/>
        <w:rPr>
          <w:lang w:val="hu-HU"/>
        </w:rPr>
      </w:pPr>
      <w:r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:rsidR="008524DE" w:rsidRDefault="008524DE">
      <w:pPr>
        <w:rPr>
          <w:lang w:val="hu-HU"/>
        </w:rPr>
      </w:pPr>
    </w:p>
    <w:bookmarkEnd w:id="6"/>
    <w:p w:rsidR="008524DE" w:rsidRDefault="008524DE">
      <w:pPr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3"/>
        </w:numPr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Hogyan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kell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Dabigatran etexilate Sandoz</w:t>
      </w:r>
      <w:r>
        <w:rPr>
          <w:b/>
          <w:bCs/>
          <w:lang w:val="hu-HU"/>
        </w:rPr>
        <w:noBreakHyphen/>
        <w:t>t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tárolni?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gyógyszer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gyermekektől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elzárva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tartandó!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A dobozon, a buborékcsomagoláson vagy a tartályon feltüntetett lejárati idő (Felhasználható:/EXP:) után ne szedje a gyógyszert.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lejárati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idő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adott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hónap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utolsó</w:t>
      </w:r>
      <w:r>
        <w:rPr>
          <w:spacing w:val="-1"/>
          <w:lang w:val="hu-HU"/>
        </w:rPr>
        <w:t xml:space="preserve"> </w:t>
      </w:r>
      <w:r>
        <w:rPr>
          <w:lang w:val="hu-HU"/>
        </w:rPr>
        <w:t>napjára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vonatkozik.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u w:val="single"/>
          <w:lang w:val="hu-HU"/>
        </w:rPr>
      </w:pPr>
      <w:r>
        <w:rPr>
          <w:u w:val="single"/>
          <w:lang w:val="hu-HU"/>
        </w:rPr>
        <w:t>Buborékcsomagolás és tartály</w:t>
      </w:r>
    </w:p>
    <w:p w:rsidR="008524DE" w:rsidRDefault="000C1DC5">
      <w:pPr>
        <w:rPr>
          <w:lang w:val="hu-HU"/>
        </w:rPr>
      </w:pPr>
      <w:r>
        <w:rPr>
          <w:lang w:val="hu-HU"/>
        </w:rPr>
        <w:t>Legfeljebb 30 ºC</w:t>
      </w:r>
      <w:r>
        <w:rPr>
          <w:lang w:val="hu-HU"/>
        </w:rPr>
        <w:noBreakHyphen/>
        <w:t>on tárolandó.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u w:val="single"/>
          <w:lang w:val="hu-HU"/>
        </w:rPr>
      </w:pPr>
      <w:r>
        <w:rPr>
          <w:u w:val="single"/>
          <w:lang w:val="hu-HU"/>
        </w:rPr>
        <w:t>Tartály</w:t>
      </w:r>
    </w:p>
    <w:p w:rsidR="008524DE" w:rsidRDefault="000C1DC5">
      <w:pPr>
        <w:rPr>
          <w:lang w:val="hu-HU"/>
        </w:rPr>
      </w:pPr>
      <w:r>
        <w:rPr>
          <w:lang w:val="hu-HU"/>
        </w:rPr>
        <w:t>A felbontást követően a gyógyszert 60 napon belül fel kell használni.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Semmilyen gyógyszert ne dobjon a szennyvízbe. Kérdezze meg gyógyszerészét, hogy mit tegyen a már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használt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gyógyszereivel.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Ezek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intézkedések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elősegítik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környezet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védelmét.</w:t>
      </w:r>
    </w:p>
    <w:p w:rsidR="008524DE" w:rsidRDefault="008524DE">
      <w:pPr>
        <w:rPr>
          <w:lang w:val="hu-HU"/>
        </w:rPr>
      </w:pPr>
    </w:p>
    <w:p w:rsidR="008524DE" w:rsidRDefault="008524DE">
      <w:pPr>
        <w:rPr>
          <w:lang w:val="hu-HU"/>
        </w:rPr>
      </w:pPr>
    </w:p>
    <w:p w:rsidR="008524DE" w:rsidRDefault="000C1DC5">
      <w:pPr>
        <w:pStyle w:val="Listaszerbekezds"/>
        <w:numPr>
          <w:ilvl w:val="0"/>
          <w:numId w:val="3"/>
        </w:numPr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 xml:space="preserve">A csomagolás tartalma és egyéb információk 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Mit</w:t>
      </w:r>
      <w:r>
        <w:rPr>
          <w:b/>
          <w:bCs/>
          <w:spacing w:val="-2"/>
          <w:lang w:val="hu-HU"/>
        </w:rPr>
        <w:t xml:space="preserve"> </w:t>
      </w:r>
      <w:r>
        <w:rPr>
          <w:b/>
          <w:bCs/>
          <w:lang w:val="hu-HU"/>
        </w:rPr>
        <w:t>tartalmaz</w:t>
      </w:r>
      <w:r>
        <w:rPr>
          <w:b/>
          <w:bCs/>
          <w:spacing w:val="-1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1"/>
          <w:lang w:val="hu-HU"/>
        </w:rPr>
        <w:t xml:space="preserve"> </w:t>
      </w:r>
      <w:r>
        <w:rPr>
          <w:b/>
          <w:bCs/>
          <w:lang w:val="hu-HU"/>
        </w:rPr>
        <w:t>Dabigatran etexilate Sandoz?</w:t>
      </w:r>
    </w:p>
    <w:p w:rsidR="008524DE" w:rsidRDefault="000C1DC5">
      <w:pPr>
        <w:rPr>
          <w:lang w:val="hu-HU"/>
        </w:rPr>
      </w:pPr>
      <w:r>
        <w:rPr>
          <w:lang w:val="hu-HU"/>
        </w:rPr>
        <w:t>A hatóanyag a dabigatrán</w:t>
      </w:r>
      <w:r>
        <w:rPr>
          <w:lang w:val="hu-HU"/>
        </w:rPr>
        <w:noBreakHyphen/>
        <w:t>etexilát. 150 mg dabigatrán</w:t>
      </w:r>
      <w:r>
        <w:rPr>
          <w:lang w:val="hu-HU"/>
        </w:rPr>
        <w:noBreakHyphen/>
        <w:t>etexilát (mezilát formájában) kemény kapszulánként.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u w:val="single"/>
          <w:lang w:val="hu-HU"/>
        </w:rPr>
      </w:pPr>
      <w:r>
        <w:rPr>
          <w:lang w:val="hu-HU"/>
        </w:rPr>
        <w:t>Egyéb összetevők:</w:t>
      </w:r>
    </w:p>
    <w:p w:rsidR="008524DE" w:rsidRDefault="000C1DC5">
      <w:pPr>
        <w:pStyle w:val="Listaszerbekezds"/>
        <w:numPr>
          <w:ilvl w:val="0"/>
          <w:numId w:val="24"/>
        </w:numPr>
        <w:ind w:left="567" w:right="9" w:hanging="567"/>
        <w:rPr>
          <w:lang w:val="hu-HU"/>
        </w:rPr>
      </w:pPr>
      <w:r>
        <w:rPr>
          <w:lang w:val="hu-HU"/>
        </w:rPr>
        <w:t xml:space="preserve">Kapszulatartalom: </w:t>
      </w:r>
      <w:r>
        <w:rPr>
          <w:rFonts w:eastAsia="Calibri"/>
          <w:lang w:val="hu-HU"/>
        </w:rPr>
        <w:t xml:space="preserve">borkősav, hipromellóz (E464), talkum, </w:t>
      </w:r>
      <w:r>
        <w:rPr>
          <w:lang w:val="hu-HU"/>
        </w:rPr>
        <w:t>hidroxipropil</w:t>
      </w:r>
      <w:r>
        <w:rPr>
          <w:lang w:val="hu-HU"/>
        </w:rPr>
        <w:noBreakHyphen/>
        <w:t>cellulóz, kroszkarmellóz-nátrium, magnézium-sztearát</w:t>
      </w:r>
    </w:p>
    <w:p w:rsidR="008524DE" w:rsidRDefault="000C1DC5">
      <w:pPr>
        <w:pStyle w:val="Listaszerbekezds"/>
        <w:numPr>
          <w:ilvl w:val="0"/>
          <w:numId w:val="24"/>
        </w:numPr>
        <w:ind w:left="567" w:right="-2" w:hanging="567"/>
        <w:rPr>
          <w:lang w:val="hu-HU"/>
        </w:rPr>
      </w:pPr>
      <w:r>
        <w:rPr>
          <w:lang w:val="hu-HU"/>
        </w:rPr>
        <w:lastRenderedPageBreak/>
        <w:t>Kapszulahéj: titán-dioxid (E171) és hipromellóz (E464)</w:t>
      </w:r>
    </w:p>
    <w:p w:rsidR="008524DE" w:rsidRDefault="000C1DC5">
      <w:pPr>
        <w:pStyle w:val="Listaszerbekezds"/>
        <w:numPr>
          <w:ilvl w:val="0"/>
          <w:numId w:val="24"/>
        </w:numPr>
        <w:spacing w:after="10"/>
        <w:ind w:left="567" w:right="11" w:hanging="567"/>
        <w:rPr>
          <w:lang w:val="hu-HU"/>
        </w:rPr>
      </w:pPr>
      <w:r>
        <w:rPr>
          <w:lang w:val="hu-HU"/>
        </w:rPr>
        <w:t>Fekete jelölőfesték: sellak (E904), propilén-glikol (E1520), kálium-hidroxid (E525). fekete vas-oxid (E172)</w:t>
      </w:r>
    </w:p>
    <w:p w:rsidR="008524DE" w:rsidRDefault="008524DE">
      <w:pPr>
        <w:rPr>
          <w:lang w:val="hu-HU"/>
        </w:rPr>
      </w:pPr>
    </w:p>
    <w:p w:rsidR="008524DE" w:rsidRDefault="000C1DC5">
      <w:pPr>
        <w:keepNext/>
        <w:widowControl/>
        <w:rPr>
          <w:lang w:val="hu-HU"/>
        </w:rPr>
      </w:pPr>
      <w:r>
        <w:rPr>
          <w:b/>
          <w:bCs/>
          <w:lang w:val="hu-HU"/>
        </w:rPr>
        <w:t>Milyen a Dabigatran etexilate Sandoz külleme és mit tartalmaz a csomagolás?</w:t>
      </w:r>
    </w:p>
    <w:p w:rsidR="008524DE" w:rsidRDefault="008524DE">
      <w:pPr>
        <w:keepNext/>
        <w:widowControl/>
        <w:rPr>
          <w:lang w:val="hu-HU"/>
        </w:rPr>
      </w:pPr>
    </w:p>
    <w:p w:rsidR="008524DE" w:rsidRDefault="000C1DC5">
      <w:pPr>
        <w:keepNext/>
        <w:widowControl/>
        <w:rPr>
          <w:lang w:val="hu-HU"/>
        </w:rPr>
      </w:pPr>
      <w:r>
        <w:rPr>
          <w:lang w:val="hu-HU"/>
        </w:rPr>
        <w:t>Kemény kapszula</w:t>
      </w:r>
    </w:p>
    <w:p w:rsidR="008524DE" w:rsidRDefault="008524DE">
      <w:pPr>
        <w:rPr>
          <w:lang w:val="hu-HU"/>
        </w:rPr>
      </w:pPr>
    </w:p>
    <w:p w:rsidR="008524DE" w:rsidRDefault="000C1DC5">
      <w:pPr>
        <w:pStyle w:val="Szvegtrzs"/>
        <w:ind w:right="634"/>
        <w:rPr>
          <w:lang w:val="hu-HU"/>
        </w:rPr>
      </w:pPr>
      <w:r>
        <w:rPr>
          <w:lang w:val="hu-HU"/>
        </w:rPr>
        <w:t xml:space="preserve">Fehér és világossárga színű pelletek, valamint világossárga színű granulátum keverékét tartalmazó „0”-s méretű kapszula, fekete „MD” felirattal ellátott, fehér színű, átlátszatlan felső résszel és fekete „150” felirattal ellátott, fehér színű, átlátszatlanalsó résszel. </w:t>
      </w:r>
    </w:p>
    <w:p w:rsidR="008524DE" w:rsidRDefault="000C1DC5">
      <w:pPr>
        <w:pStyle w:val="Szvegtrzs"/>
        <w:ind w:right="634"/>
        <w:rPr>
          <w:lang w:val="hu-HU"/>
        </w:rPr>
      </w:pPr>
      <w:r>
        <w:rPr>
          <w:lang w:val="hu-HU"/>
        </w:rPr>
        <w:t>Méretek: kb. 21,9 mm × 7,7 mm.</w:t>
      </w:r>
    </w:p>
    <w:p w:rsidR="008524DE" w:rsidRDefault="008524DE">
      <w:pPr>
        <w:pStyle w:val="Szvegtrzs"/>
        <w:ind w:right="634"/>
        <w:rPr>
          <w:lang w:val="hu-HU"/>
        </w:rPr>
      </w:pPr>
    </w:p>
    <w:p w:rsidR="008524DE" w:rsidRDefault="000C1DC5">
      <w:pPr>
        <w:pStyle w:val="Szvegtrzs"/>
        <w:ind w:right="634"/>
        <w:rPr>
          <w:lang w:val="hu-HU"/>
        </w:rPr>
      </w:pPr>
      <w:r>
        <w:rPr>
          <w:lang w:val="hu-HU"/>
        </w:rPr>
        <w:t>A Dabigatran etexilate Sandoz az alábbi kiszerelésekben elérhető:</w:t>
      </w:r>
    </w:p>
    <w:p w:rsidR="008524DE" w:rsidRDefault="008524DE">
      <w:pPr>
        <w:pStyle w:val="Szvegtrzs"/>
        <w:ind w:right="634"/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 xml:space="preserve">10, 30, 60, 100, 180 és 200 db kemény kapszulát tartalmazó </w:t>
      </w:r>
      <w:r>
        <w:t xml:space="preserve">OPA/Al/nedvességmegkötő PE//Al/PE </w:t>
      </w:r>
      <w:r>
        <w:rPr>
          <w:lang w:val="hu-HU"/>
        </w:rPr>
        <w:t>buborékcsomagolás.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 xml:space="preserve">10 × 1, 20 × 1, 30 × 1, 50 × 1, 60 × 1, 100 × 1, 180 × 1 és 200 × 1 db kemény kapszulát tartalmazó </w:t>
      </w:r>
      <w:r>
        <w:t xml:space="preserve">OPA/Al/nedvességmegkötő PE//Al/PE </w:t>
      </w:r>
      <w:r>
        <w:rPr>
          <w:lang w:val="hu-HU"/>
        </w:rPr>
        <w:t>adagonként perforált buborékcsomagolás.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 xml:space="preserve">Gyűjtőcsomagolás, amely 3 csomag, csomagonként 60 × 1 db kemény kapszulát (180 db kapszulát) tartalmaz, </w:t>
      </w:r>
      <w:r>
        <w:t>OPA/Al/nedvességmegkötő PE//Al/PE</w:t>
      </w:r>
      <w:r>
        <w:rPr>
          <w:lang w:val="hu-HU"/>
        </w:rPr>
        <w:t xml:space="preserve"> adagonként perforált buborékcsomagolásban.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 xml:space="preserve">Gyűjtőcsomagolás, amely 2 csomag, csomagonként 50 × 1 db kemény kapszulát (100 db kapszulát) tartalmaz, </w:t>
      </w:r>
      <w:r>
        <w:t xml:space="preserve">OPA/Al/nedvességmegkötő PE//Al/PE </w:t>
      </w:r>
      <w:r>
        <w:rPr>
          <w:lang w:val="hu-HU"/>
        </w:rPr>
        <w:t>adagonként perforált buborékcsomagolásban.</w:t>
      </w:r>
    </w:p>
    <w:p w:rsidR="008524DE" w:rsidRDefault="008524DE">
      <w:pPr>
        <w:rPr>
          <w:lang w:val="hu-HU"/>
        </w:rPr>
      </w:pPr>
    </w:p>
    <w:p w:rsidR="008524DE" w:rsidRDefault="000C1DC5">
      <w:pPr>
        <w:pStyle w:val="Szvegtrzs"/>
        <w:ind w:right="281"/>
        <w:rPr>
          <w:lang w:val="hu-HU"/>
        </w:rPr>
      </w:pPr>
      <w:r>
        <w:rPr>
          <w:lang w:val="hu-HU"/>
        </w:rPr>
        <w:t xml:space="preserve">60 db kemény kapszula (1 tartály), 120 db kemény kapszula (2 tartály 60 kemény kapszulával) és 180 kemény kapszula (3 tartály 60 kemény kapszulával) </w:t>
      </w:r>
      <w:r>
        <w:rPr>
          <w:spacing w:val="-3"/>
        </w:rPr>
        <w:t>nedvességmegkötőt tartalmazó polipropilén tartályban, amely gyermekzáras, csavaros, polipropilén kupakkal van lezárva, dobozban</w:t>
      </w:r>
      <w:r>
        <w:rPr>
          <w:lang w:val="hu-HU"/>
        </w:rPr>
        <w:t>.</w:t>
      </w:r>
    </w:p>
    <w:p w:rsidR="008524DE" w:rsidRDefault="008524DE">
      <w:pPr>
        <w:pStyle w:val="Szvegtrzs"/>
        <w:ind w:right="281"/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Ne nyelje le a nedvességmegkötőt.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lang w:val="hu-HU"/>
        </w:rPr>
        <w:t>Nem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feltétlenül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mindegyik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kiszerelés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kerül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kereskedelmi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forgalomba.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b/>
          <w:bCs/>
          <w:lang w:val="hu-HU"/>
        </w:rPr>
        <w:t>A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forgalomba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hozatali</w:t>
      </w:r>
      <w:r>
        <w:rPr>
          <w:b/>
          <w:bCs/>
          <w:spacing w:val="-4"/>
          <w:lang w:val="hu-HU"/>
        </w:rPr>
        <w:t xml:space="preserve"> </w:t>
      </w:r>
      <w:r>
        <w:rPr>
          <w:b/>
          <w:bCs/>
          <w:lang w:val="hu-HU"/>
        </w:rPr>
        <w:t>engedély</w:t>
      </w:r>
      <w:r>
        <w:rPr>
          <w:b/>
          <w:bCs/>
          <w:spacing w:val="-5"/>
          <w:lang w:val="hu-HU"/>
        </w:rPr>
        <w:t xml:space="preserve"> </w:t>
      </w:r>
      <w:r>
        <w:rPr>
          <w:b/>
          <w:bCs/>
          <w:lang w:val="hu-HU"/>
        </w:rPr>
        <w:t>jogosultja:</w:t>
      </w:r>
    </w:p>
    <w:p w:rsidR="008524DE" w:rsidRDefault="000C1DC5">
      <w:pPr>
        <w:rPr>
          <w:lang w:val="hu-HU"/>
        </w:rPr>
      </w:pPr>
      <w:r>
        <w:rPr>
          <w:lang w:val="hu-HU"/>
        </w:rPr>
        <w:t>Sandoz Hungária Kft.</w:t>
      </w:r>
    </w:p>
    <w:p w:rsidR="008524DE" w:rsidRDefault="000C1DC5">
      <w:pPr>
        <w:rPr>
          <w:lang w:val="hu-HU"/>
        </w:rPr>
      </w:pPr>
      <w:r>
        <w:rPr>
          <w:lang w:val="hu-HU"/>
        </w:rPr>
        <w:t>1114 Budapest</w:t>
      </w:r>
    </w:p>
    <w:p w:rsidR="008524DE" w:rsidRDefault="000C1DC5">
      <w:pPr>
        <w:rPr>
          <w:lang w:val="hu-HU"/>
        </w:rPr>
      </w:pPr>
      <w:r>
        <w:rPr>
          <w:lang w:val="hu-HU"/>
        </w:rPr>
        <w:t>Bartók Béla út 43-47</w:t>
      </w:r>
    </w:p>
    <w:p w:rsidR="008524DE" w:rsidRDefault="008524DE">
      <w:pPr>
        <w:rPr>
          <w:lang w:val="hu-HU"/>
        </w:rPr>
      </w:pPr>
    </w:p>
    <w:p w:rsidR="008524DE" w:rsidRDefault="000C1DC5">
      <w:pPr>
        <w:rPr>
          <w:b/>
          <w:bCs/>
          <w:lang w:val="hu-HU"/>
        </w:rPr>
      </w:pPr>
      <w:r>
        <w:rPr>
          <w:b/>
          <w:bCs/>
          <w:lang w:val="hu-HU"/>
        </w:rPr>
        <w:t>Gyártó:</w:t>
      </w:r>
    </w:p>
    <w:p w:rsidR="008524DE" w:rsidRDefault="000C1DC5">
      <w:pPr>
        <w:ind w:right="-2"/>
        <w:rPr>
          <w:lang w:val="hu-HU"/>
        </w:rPr>
      </w:pPr>
      <w:r>
        <w:rPr>
          <w:lang w:val="hu-HU"/>
        </w:rPr>
        <w:t>Pharmadox Healthcare Ltd.</w:t>
      </w:r>
    </w:p>
    <w:p w:rsidR="008524DE" w:rsidRDefault="000C1DC5">
      <w:pPr>
        <w:ind w:right="-2"/>
        <w:rPr>
          <w:noProof/>
          <w:lang w:val="hu-HU"/>
        </w:rPr>
      </w:pPr>
      <w:r>
        <w:rPr>
          <w:noProof/>
          <w:lang w:val="hu-HU"/>
        </w:rPr>
        <w:t>KW20A Kordin Industrial Park</w:t>
      </w:r>
    </w:p>
    <w:p w:rsidR="008524DE" w:rsidRDefault="000C1DC5">
      <w:pPr>
        <w:ind w:right="-2"/>
        <w:rPr>
          <w:noProof/>
          <w:lang w:val="hu-HU"/>
        </w:rPr>
      </w:pPr>
      <w:r>
        <w:rPr>
          <w:noProof/>
          <w:lang w:val="hu-HU"/>
        </w:rPr>
        <w:t>Paola, PLA 3000</w:t>
      </w:r>
    </w:p>
    <w:p w:rsidR="008524DE" w:rsidRDefault="000C1DC5">
      <w:pPr>
        <w:ind w:right="-2"/>
        <w:rPr>
          <w:lang w:val="hu-HU"/>
        </w:rPr>
      </w:pPr>
      <w:r>
        <w:rPr>
          <w:noProof/>
          <w:lang w:val="hu-HU"/>
        </w:rPr>
        <w:t>Málta</w:t>
      </w:r>
    </w:p>
    <w:p w:rsidR="008524DE" w:rsidRDefault="008524DE">
      <w:pPr>
        <w:ind w:right="-2"/>
        <w:rPr>
          <w:lang w:val="hu-HU"/>
        </w:rPr>
      </w:pPr>
    </w:p>
    <w:p w:rsidR="008524DE" w:rsidRDefault="000C1DC5">
      <w:pPr>
        <w:ind w:right="-2"/>
        <w:rPr>
          <w:noProof/>
          <w:lang w:val="hu-HU"/>
        </w:rPr>
      </w:pPr>
      <w:r>
        <w:rPr>
          <w:noProof/>
          <w:lang w:val="hu-HU"/>
        </w:rPr>
        <w:t>Salutas Pharma GmbH</w:t>
      </w:r>
    </w:p>
    <w:p w:rsidR="008524DE" w:rsidRDefault="000C1DC5">
      <w:pPr>
        <w:ind w:right="-2"/>
        <w:rPr>
          <w:noProof/>
          <w:lang w:val="hu-HU"/>
        </w:rPr>
      </w:pPr>
      <w:r>
        <w:rPr>
          <w:noProof/>
          <w:lang w:val="hu-HU"/>
        </w:rPr>
        <w:t>Otto-von-Guericke-Allee 1, Sachsen-Anhalt</w:t>
      </w:r>
    </w:p>
    <w:p w:rsidR="008524DE" w:rsidRDefault="000C1DC5">
      <w:pPr>
        <w:ind w:right="-2"/>
        <w:rPr>
          <w:noProof/>
          <w:lang w:val="hu-HU"/>
        </w:rPr>
      </w:pPr>
      <w:r>
        <w:rPr>
          <w:noProof/>
          <w:lang w:val="hu-HU"/>
        </w:rPr>
        <w:t>39179 Barleben</w:t>
      </w:r>
    </w:p>
    <w:p w:rsidR="008524DE" w:rsidRDefault="000C1DC5">
      <w:pPr>
        <w:ind w:right="-2"/>
        <w:rPr>
          <w:noProof/>
          <w:lang w:val="hu-HU"/>
        </w:rPr>
      </w:pPr>
      <w:r>
        <w:rPr>
          <w:noProof/>
          <w:lang w:val="hu-HU"/>
        </w:rPr>
        <w:t>Németország</w:t>
      </w:r>
    </w:p>
    <w:p w:rsidR="008524DE" w:rsidRDefault="008524DE">
      <w:pPr>
        <w:rPr>
          <w:lang w:val="hu-HU"/>
        </w:rPr>
      </w:pPr>
    </w:p>
    <w:p w:rsidR="008524DE" w:rsidRDefault="000C1DC5">
      <w:pPr>
        <w:tabs>
          <w:tab w:val="left" w:pos="567"/>
        </w:tabs>
      </w:pPr>
      <w:r>
        <w:t>Lek Pharmaceuticals d.d.</w:t>
      </w:r>
    </w:p>
    <w:p w:rsidR="008524DE" w:rsidRDefault="000C1DC5">
      <w:pPr>
        <w:tabs>
          <w:tab w:val="left" w:pos="567"/>
        </w:tabs>
      </w:pPr>
      <w:r>
        <w:t>Verovškova 57</w:t>
      </w:r>
    </w:p>
    <w:p w:rsidR="008524DE" w:rsidRDefault="000C1DC5">
      <w:pPr>
        <w:tabs>
          <w:tab w:val="left" w:pos="567"/>
        </w:tabs>
      </w:pPr>
      <w:r>
        <w:t>1526 Ljubljana</w:t>
      </w:r>
    </w:p>
    <w:p w:rsidR="008524DE" w:rsidRDefault="000C1DC5">
      <w:pPr>
        <w:tabs>
          <w:tab w:val="left" w:pos="567"/>
        </w:tabs>
      </w:pPr>
      <w:r>
        <w:t>Szlovénia</w:t>
      </w:r>
    </w:p>
    <w:p w:rsidR="008524DE" w:rsidRDefault="008524DE">
      <w:pPr>
        <w:rPr>
          <w:lang w:val="hu-HU"/>
        </w:rPr>
      </w:pPr>
    </w:p>
    <w:p w:rsidR="008524DE" w:rsidRDefault="000C1DC5">
      <w:pPr>
        <w:pStyle w:val="Norml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Style w:val="Kiemels2"/>
          <w:rFonts w:ascii="Times New Roman" w:hAnsi="Times New Roman" w:cs="Times New Roman"/>
          <w:color w:val="000000"/>
        </w:rPr>
        <w:lastRenderedPageBreak/>
        <w:t>Ezt a gyógyszert az Európai Gazdasági Térség tagállamaiban és az Egyesült Királyságban (Észak-Írországban) az alábbi neveken engedélyezték:</w:t>
      </w:r>
    </w:p>
    <w:p w:rsidR="008524DE" w:rsidRDefault="008524DE">
      <w:pPr>
        <w:rPr>
          <w:color w:val="000000"/>
          <w:shd w:val="clear" w:color="auto" w:fill="D3D3D3"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80"/>
        <w:gridCol w:w="7080"/>
      </w:tblGrid>
      <w:tr w:rsidR="008524DE">
        <w:tc>
          <w:tcPr>
            <w:tcW w:w="19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Ausztria</w:t>
            </w:r>
          </w:p>
        </w:tc>
        <w:tc>
          <w:tcPr>
            <w:tcW w:w="70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Dabigatranetetxilat Sandoz 150 mg – Hartkapseln</w:t>
            </w:r>
          </w:p>
        </w:tc>
      </w:tr>
      <w:tr w:rsidR="008524DE">
        <w:tc>
          <w:tcPr>
            <w:tcW w:w="19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Belgium</w:t>
            </w:r>
          </w:p>
        </w:tc>
        <w:tc>
          <w:tcPr>
            <w:tcW w:w="70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Dabigatran etexilate Sandoz 150 mg harde capsules</w:t>
            </w:r>
          </w:p>
        </w:tc>
      </w:tr>
      <w:tr w:rsidR="008524DE">
        <w:tc>
          <w:tcPr>
            <w:tcW w:w="19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Dánia</w:t>
            </w:r>
          </w:p>
        </w:tc>
        <w:tc>
          <w:tcPr>
            <w:tcW w:w="70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Dabigatran etexilate Sandoz</w:t>
            </w:r>
          </w:p>
        </w:tc>
      </w:tr>
      <w:tr w:rsidR="008524DE">
        <w:tc>
          <w:tcPr>
            <w:tcW w:w="19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Egyesült Királyság (Észak-Írország)</w:t>
            </w:r>
          </w:p>
        </w:tc>
        <w:tc>
          <w:tcPr>
            <w:tcW w:w="70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Dabigatran etexilate Sandoz 150mg Hard Capsules</w:t>
            </w:r>
          </w:p>
        </w:tc>
      </w:tr>
      <w:tr w:rsidR="008524DE">
        <w:tc>
          <w:tcPr>
            <w:tcW w:w="1980" w:type="dxa"/>
          </w:tcPr>
          <w:p w:rsidR="008524DE" w:rsidRDefault="000C1DC5">
            <w:pPr>
              <w:keepNext/>
              <w:rPr>
                <w:lang w:val="hu-HU"/>
              </w:rPr>
            </w:pPr>
            <w:r>
              <w:rPr>
                <w:lang w:val="hu-HU"/>
              </w:rPr>
              <w:t>Finnország</w:t>
            </w:r>
          </w:p>
        </w:tc>
        <w:tc>
          <w:tcPr>
            <w:tcW w:w="7080" w:type="dxa"/>
          </w:tcPr>
          <w:p w:rsidR="008524DE" w:rsidRDefault="000C1DC5">
            <w:pPr>
              <w:keepNext/>
              <w:rPr>
                <w:lang w:val="hu-HU"/>
              </w:rPr>
            </w:pPr>
            <w:r>
              <w:rPr>
                <w:lang w:val="hu-HU"/>
              </w:rPr>
              <w:t>Dabigatran etexilate Sandoz 150 mg kovat kapselit</w:t>
            </w:r>
          </w:p>
        </w:tc>
      </w:tr>
      <w:tr w:rsidR="008524DE">
        <w:tc>
          <w:tcPr>
            <w:tcW w:w="19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Franciaország</w:t>
            </w:r>
          </w:p>
        </w:tc>
        <w:tc>
          <w:tcPr>
            <w:tcW w:w="70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DABIGATRAN ETEXILATE SANDOZ 150 mg, gélule</w:t>
            </w:r>
          </w:p>
        </w:tc>
      </w:tr>
      <w:tr w:rsidR="008524DE">
        <w:tc>
          <w:tcPr>
            <w:tcW w:w="19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Hollandia</w:t>
            </w:r>
          </w:p>
        </w:tc>
        <w:tc>
          <w:tcPr>
            <w:tcW w:w="7080" w:type="dxa"/>
          </w:tcPr>
          <w:p w:rsidR="008524DE" w:rsidRDefault="000C1DC5">
            <w:pPr>
              <w:tabs>
                <w:tab w:val="center" w:pos="2089"/>
              </w:tabs>
              <w:rPr>
                <w:lang w:val="hu-HU"/>
              </w:rPr>
            </w:pPr>
            <w:r>
              <w:rPr>
                <w:lang w:val="hu-HU"/>
              </w:rPr>
              <w:t>Dabigatran Sandoz 150 mg, harde capsules</w:t>
            </w:r>
          </w:p>
        </w:tc>
      </w:tr>
      <w:tr w:rsidR="008524DE">
        <w:tc>
          <w:tcPr>
            <w:tcW w:w="19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Izland</w:t>
            </w:r>
          </w:p>
        </w:tc>
        <w:tc>
          <w:tcPr>
            <w:tcW w:w="7080" w:type="dxa"/>
          </w:tcPr>
          <w:p w:rsidR="008524DE" w:rsidRDefault="000C1DC5">
            <w:pPr>
              <w:tabs>
                <w:tab w:val="center" w:pos="2089"/>
              </w:tabs>
              <w:rPr>
                <w:lang w:val="hu-HU"/>
              </w:rPr>
            </w:pPr>
            <w:r>
              <w:rPr>
                <w:lang w:val="hu-HU"/>
              </w:rPr>
              <w:t>Dabigatran etexilate Sandoz 150 mg hörð hylki</w:t>
            </w:r>
          </w:p>
        </w:tc>
      </w:tr>
      <w:tr w:rsidR="008524DE">
        <w:tc>
          <w:tcPr>
            <w:tcW w:w="19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Magyarország</w:t>
            </w:r>
          </w:p>
        </w:tc>
        <w:tc>
          <w:tcPr>
            <w:tcW w:w="70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Dabigatran etexilate Sandoz 150 mg kemény kapszula</w:t>
            </w:r>
          </w:p>
        </w:tc>
      </w:tr>
      <w:tr w:rsidR="008524DE">
        <w:tc>
          <w:tcPr>
            <w:tcW w:w="19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Németország</w:t>
            </w:r>
          </w:p>
        </w:tc>
        <w:tc>
          <w:tcPr>
            <w:tcW w:w="7080" w:type="dxa"/>
          </w:tcPr>
          <w:p w:rsidR="008524DE" w:rsidRDefault="000C1DC5">
            <w:pPr>
              <w:rPr>
                <w:lang w:val="hu-HU"/>
              </w:rPr>
            </w:pPr>
            <w:bookmarkStart w:id="10" w:name="_Hlk122692352"/>
            <w:r>
              <w:rPr>
                <w:lang w:val="hu-HU"/>
              </w:rPr>
              <w:t>Dabigatranetexilat - 1 A Pharma 150 mg Hartkapseln</w:t>
            </w:r>
            <w:bookmarkEnd w:id="10"/>
          </w:p>
        </w:tc>
      </w:tr>
      <w:tr w:rsidR="008524DE">
        <w:tc>
          <w:tcPr>
            <w:tcW w:w="19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Norvégia</w:t>
            </w:r>
          </w:p>
        </w:tc>
        <w:tc>
          <w:tcPr>
            <w:tcW w:w="70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Dabigatran etexilate Sandoz</w:t>
            </w:r>
          </w:p>
        </w:tc>
      </w:tr>
      <w:tr w:rsidR="008524DE">
        <w:tc>
          <w:tcPr>
            <w:tcW w:w="19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Olaszország</w:t>
            </w:r>
          </w:p>
        </w:tc>
        <w:tc>
          <w:tcPr>
            <w:tcW w:w="70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Dabigatran etexilato Sandoz</w:t>
            </w:r>
          </w:p>
        </w:tc>
      </w:tr>
      <w:tr w:rsidR="008524DE">
        <w:tc>
          <w:tcPr>
            <w:tcW w:w="19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Portugália</w:t>
            </w:r>
          </w:p>
        </w:tc>
        <w:tc>
          <w:tcPr>
            <w:tcW w:w="70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Dabigatrano etexilato Sandoz</w:t>
            </w:r>
          </w:p>
        </w:tc>
      </w:tr>
      <w:tr w:rsidR="008524DE">
        <w:tc>
          <w:tcPr>
            <w:tcW w:w="19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Spanyolország</w:t>
            </w:r>
          </w:p>
        </w:tc>
        <w:tc>
          <w:tcPr>
            <w:tcW w:w="70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Dabigatran Etexilato Sandoz 150 mg cápsulas duras EFG</w:t>
            </w:r>
          </w:p>
        </w:tc>
      </w:tr>
      <w:tr w:rsidR="008524DE">
        <w:tc>
          <w:tcPr>
            <w:tcW w:w="1980" w:type="dxa"/>
          </w:tcPr>
          <w:p w:rsidR="008524DE" w:rsidRDefault="000C1DC5">
            <w:pPr>
              <w:rPr>
                <w:lang w:val="hu-HU"/>
              </w:rPr>
            </w:pPr>
            <w:r>
              <w:rPr>
                <w:lang w:val="hu-HU"/>
              </w:rPr>
              <w:t>Svédország</w:t>
            </w:r>
          </w:p>
        </w:tc>
        <w:tc>
          <w:tcPr>
            <w:tcW w:w="7080" w:type="dxa"/>
          </w:tcPr>
          <w:p w:rsidR="008524DE" w:rsidRDefault="000C1DC5">
            <w:pPr>
              <w:tabs>
                <w:tab w:val="center" w:pos="2089"/>
              </w:tabs>
              <w:rPr>
                <w:lang w:val="hu-HU"/>
              </w:rPr>
            </w:pPr>
            <w:r>
              <w:rPr>
                <w:lang w:val="hu-HU"/>
              </w:rPr>
              <w:t>Dabigatran etexilate Sandoz 150 mg hårda kapslar</w:t>
            </w:r>
          </w:p>
        </w:tc>
      </w:tr>
    </w:tbl>
    <w:p w:rsidR="008524DE" w:rsidRDefault="008524DE">
      <w:pPr>
        <w:rPr>
          <w:lang w:val="hu-HU"/>
        </w:rPr>
      </w:pPr>
    </w:p>
    <w:p w:rsidR="008524DE" w:rsidRDefault="000C1DC5">
      <w:pPr>
        <w:tabs>
          <w:tab w:val="left" w:pos="2127"/>
        </w:tabs>
        <w:ind w:left="3402" w:hanging="3402"/>
      </w:pPr>
      <w:r>
        <w:t>OGYI-T-24289/15</w:t>
      </w:r>
      <w:r>
        <w:tab/>
        <w:t>10×</w:t>
      </w:r>
      <w:r>
        <w:tab/>
        <w:t>Opa/Alu/nedvességmegkötő PE-Alu/PE buborékcsomagolás</w:t>
      </w:r>
    </w:p>
    <w:p w:rsidR="008524DE" w:rsidRDefault="000C1DC5">
      <w:pPr>
        <w:tabs>
          <w:tab w:val="left" w:pos="2127"/>
        </w:tabs>
        <w:ind w:left="3402" w:hanging="3402"/>
      </w:pPr>
      <w:r>
        <w:t>OGYI-T-24289/16</w:t>
      </w:r>
      <w:r>
        <w:tab/>
        <w:t>10×1</w:t>
      </w:r>
      <w:r>
        <w:tab/>
        <w:t>Opa/Alu/nedvességmegkötő PE-Alu/PE adagonként perforált buborékcsomagolás</w:t>
      </w:r>
    </w:p>
    <w:p w:rsidR="008524DE" w:rsidRDefault="000C1DC5">
      <w:pPr>
        <w:tabs>
          <w:tab w:val="left" w:pos="2127"/>
        </w:tabs>
        <w:ind w:left="3402" w:hanging="3402"/>
      </w:pPr>
      <w:r>
        <w:t>OGYI-T-24289/17</w:t>
      </w:r>
      <w:r>
        <w:tab/>
        <w:t>30×</w:t>
      </w:r>
      <w:r>
        <w:tab/>
        <w:t xml:space="preserve">Opa/Alu/nedvességmegkötő PE-Alu/PE buborékcsomagolás </w:t>
      </w:r>
    </w:p>
    <w:p w:rsidR="008524DE" w:rsidRDefault="000C1DC5">
      <w:pPr>
        <w:tabs>
          <w:tab w:val="left" w:pos="2127"/>
        </w:tabs>
        <w:ind w:left="3402" w:hanging="3402"/>
      </w:pPr>
      <w:r>
        <w:t>OGYI-T-24289/18</w:t>
      </w:r>
      <w:r>
        <w:tab/>
        <w:t>30×1</w:t>
      </w:r>
      <w:r>
        <w:tab/>
        <w:t>Opa/Alu/nedvességmegkötő PE-Alu/PE adagonként perforált buborékcsomagolás</w:t>
      </w:r>
    </w:p>
    <w:p w:rsidR="008524DE" w:rsidRDefault="000C1DC5">
      <w:pPr>
        <w:tabs>
          <w:tab w:val="left" w:pos="2127"/>
        </w:tabs>
        <w:ind w:left="3402" w:hanging="3402"/>
      </w:pPr>
      <w:r>
        <w:t>OGYI-T-24289/19</w:t>
      </w:r>
      <w:r>
        <w:tab/>
        <w:t>60×</w:t>
      </w:r>
      <w:r>
        <w:tab/>
        <w:t>Opa/Alu/nedvességmegkötő PE-Alu/PE buborékcsomagolás</w:t>
      </w:r>
    </w:p>
    <w:p w:rsidR="008524DE" w:rsidRDefault="000C1DC5">
      <w:pPr>
        <w:tabs>
          <w:tab w:val="left" w:pos="2127"/>
        </w:tabs>
        <w:ind w:left="3402" w:hanging="3402"/>
      </w:pPr>
      <w:r>
        <w:t>OGYI-T-24289/20</w:t>
      </w:r>
      <w:r>
        <w:tab/>
        <w:t>60×1</w:t>
      </w:r>
      <w:r>
        <w:tab/>
        <w:t>Opa/Alu/nedvességmegkötő PE-Alu/PE adagonként perforált buborékcsomagolás</w:t>
      </w:r>
    </w:p>
    <w:p w:rsidR="008524DE" w:rsidRDefault="000C1DC5">
      <w:pPr>
        <w:tabs>
          <w:tab w:val="left" w:pos="2127"/>
        </w:tabs>
        <w:ind w:left="3402" w:hanging="3402"/>
      </w:pPr>
      <w:r>
        <w:t>OGYI-T-24289/21</w:t>
      </w:r>
      <w:r>
        <w:tab/>
        <w:t>60×</w:t>
      </w:r>
      <w:r>
        <w:tab/>
        <w:t>Polipropilén tartály, gyerekzáras, csavaros, nedvességmegkötőt tartalmazó polipropilén kupakkal</w:t>
      </w:r>
    </w:p>
    <w:p w:rsidR="008524DE" w:rsidRDefault="000C1DC5">
      <w:pPr>
        <w:tabs>
          <w:tab w:val="left" w:pos="2127"/>
          <w:tab w:val="left" w:pos="3402"/>
        </w:tabs>
        <w:ind w:left="3402" w:hanging="3402"/>
        <w:rPr>
          <w:lang w:val="hu-HU"/>
        </w:rPr>
      </w:pPr>
      <w:r>
        <w:rPr>
          <w:lang w:val="hu-HU"/>
        </w:rPr>
        <w:t>OGYI-T-24289/26</w:t>
      </w:r>
      <w:r>
        <w:tab/>
      </w:r>
      <w:r>
        <w:rPr>
          <w:lang w:val="hu-HU"/>
        </w:rPr>
        <w:t>120</w:t>
      </w:r>
      <w:r>
        <w:t>× (</w:t>
      </w:r>
      <w:r>
        <w:rPr>
          <w:lang w:val="hu-HU"/>
        </w:rPr>
        <w:t>60×2)</w:t>
      </w:r>
      <w:r>
        <w:rPr>
          <w:lang w:val="hu-HU"/>
        </w:rPr>
        <w:tab/>
        <w:t>Polipropilén tartály, gyerekzáras, csavaros, nedvességmegkötőt tartalmazó polipropilén kupakkal</w:t>
      </w:r>
    </w:p>
    <w:p w:rsidR="008524DE" w:rsidRDefault="000C1DC5">
      <w:pPr>
        <w:tabs>
          <w:tab w:val="left" w:pos="2127"/>
        </w:tabs>
        <w:ind w:left="3402" w:hanging="3402"/>
        <w:rPr>
          <w:lang w:val="hu-HU"/>
        </w:rPr>
      </w:pPr>
      <w:r>
        <w:t>OGYI-T-24289/27</w:t>
      </w:r>
      <w:r>
        <w:tab/>
        <w:t>180× (60×3)</w:t>
      </w:r>
      <w:r>
        <w:tab/>
        <w:t xml:space="preserve">Polipropilén tartály, gyerekzáras, csavaros, nedvességmegkötőt </w:t>
      </w:r>
      <w:r>
        <w:rPr>
          <w:lang w:val="hu-HU"/>
        </w:rPr>
        <w:t>tartalmazó polipropilén kupakkal</w:t>
      </w:r>
    </w:p>
    <w:p w:rsidR="008524DE" w:rsidRDefault="008524DE">
      <w:pPr>
        <w:ind w:left="3402" w:hanging="3402"/>
        <w:rPr>
          <w:lang w:val="hu-HU"/>
        </w:rPr>
      </w:pPr>
    </w:p>
    <w:p w:rsidR="008524DE" w:rsidRDefault="000C1DC5">
      <w:pPr>
        <w:rPr>
          <w:lang w:val="hu-HU"/>
        </w:rPr>
      </w:pPr>
      <w:r>
        <w:rPr>
          <w:b/>
          <w:bCs/>
          <w:lang w:val="hu-HU"/>
        </w:rPr>
        <w:t>A</w:t>
      </w:r>
      <w:r>
        <w:rPr>
          <w:b/>
          <w:bCs/>
          <w:spacing w:val="-7"/>
          <w:lang w:val="hu-HU"/>
        </w:rPr>
        <w:t xml:space="preserve"> </w:t>
      </w:r>
      <w:r>
        <w:rPr>
          <w:b/>
          <w:bCs/>
          <w:lang w:val="hu-HU"/>
        </w:rPr>
        <w:t>betegtájékoztató</w:t>
      </w:r>
      <w:r>
        <w:rPr>
          <w:b/>
          <w:bCs/>
          <w:spacing w:val="-6"/>
          <w:lang w:val="hu-HU"/>
        </w:rPr>
        <w:t xml:space="preserve"> </w:t>
      </w:r>
      <w:r>
        <w:rPr>
          <w:b/>
          <w:bCs/>
          <w:lang w:val="hu-HU"/>
        </w:rPr>
        <w:t>legutóbbi</w:t>
      </w:r>
      <w:r>
        <w:rPr>
          <w:b/>
          <w:bCs/>
          <w:spacing w:val="-6"/>
          <w:lang w:val="hu-HU"/>
        </w:rPr>
        <w:t xml:space="preserve"> </w:t>
      </w:r>
      <w:r>
        <w:rPr>
          <w:b/>
          <w:bCs/>
          <w:lang w:val="hu-HU"/>
        </w:rPr>
        <w:t>felülvizsgálatának</w:t>
      </w:r>
      <w:r>
        <w:rPr>
          <w:b/>
          <w:bCs/>
          <w:spacing w:val="-7"/>
          <w:lang w:val="hu-HU"/>
        </w:rPr>
        <w:t xml:space="preserve"> </w:t>
      </w:r>
      <w:r>
        <w:rPr>
          <w:b/>
          <w:bCs/>
          <w:lang w:val="hu-HU"/>
        </w:rPr>
        <w:t>dátuma:</w:t>
      </w:r>
      <w:r>
        <w:rPr>
          <w:lang w:val="hu-HU"/>
        </w:rPr>
        <w:t xml:space="preserve"> </w:t>
      </w:r>
      <w:r>
        <w:rPr>
          <w:b/>
          <w:bCs/>
          <w:spacing w:val="-4"/>
          <w:lang w:val="hu-HU"/>
        </w:rPr>
        <w:t>2026. március.</w:t>
      </w:r>
    </w:p>
    <w:p w:rsidR="008524DE" w:rsidRDefault="008524DE">
      <w:pPr>
        <w:rPr>
          <w:lang w:val="hu-HU"/>
        </w:rPr>
      </w:pPr>
    </w:p>
    <w:bookmarkEnd w:id="0"/>
    <w:p w:rsidR="008524DE" w:rsidRDefault="008524DE"/>
    <w:sectPr w:rsidR="008524DE">
      <w:head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97D" w:rsidRDefault="000C1DC5">
      <w:r>
        <w:separator/>
      </w:r>
    </w:p>
  </w:endnote>
  <w:endnote w:type="continuationSeparator" w:id="0">
    <w:p w:rsidR="000D097D" w:rsidRDefault="000C1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4DE" w:rsidRDefault="000C1DC5">
    <w:pPr>
      <w:pStyle w:val="llb"/>
      <w:rPr>
        <w:sz w:val="18"/>
        <w:szCs w:val="18"/>
      </w:rPr>
    </w:pPr>
    <w:r w:rsidRPr="000C1DC5">
      <w:rPr>
        <w:sz w:val="18"/>
        <w:szCs w:val="18"/>
      </w:rPr>
      <w:t>NNGYK/ETGY/5160/2026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97D" w:rsidRDefault="000C1DC5">
      <w:r>
        <w:separator/>
      </w:r>
    </w:p>
  </w:footnote>
  <w:footnote w:type="continuationSeparator" w:id="0">
    <w:p w:rsidR="000D097D" w:rsidRDefault="000C1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722736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8524DE" w:rsidRPr="001B03D4" w:rsidRDefault="000C1DC5">
        <w:pPr>
          <w:pStyle w:val="lfej"/>
          <w:jc w:val="center"/>
          <w:rPr>
            <w:sz w:val="18"/>
            <w:szCs w:val="18"/>
          </w:rPr>
        </w:pPr>
        <w:r w:rsidRPr="001B03D4">
          <w:rPr>
            <w:sz w:val="18"/>
            <w:szCs w:val="18"/>
          </w:rPr>
          <w:fldChar w:fldCharType="begin"/>
        </w:r>
        <w:r w:rsidRPr="001B03D4">
          <w:rPr>
            <w:sz w:val="18"/>
            <w:szCs w:val="18"/>
          </w:rPr>
          <w:instrText>PAGE \* MERGEFORMAT</w:instrText>
        </w:r>
        <w:r w:rsidRPr="001B03D4">
          <w:rPr>
            <w:sz w:val="18"/>
            <w:szCs w:val="18"/>
          </w:rPr>
          <w:fldChar w:fldCharType="separate"/>
        </w:r>
        <w:r w:rsidR="001B03D4" w:rsidRPr="001B03D4">
          <w:rPr>
            <w:noProof/>
            <w:sz w:val="18"/>
            <w:szCs w:val="18"/>
            <w:lang w:val="hu-HU"/>
          </w:rPr>
          <w:t>11</w:t>
        </w:r>
        <w:r w:rsidRPr="001B03D4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4DE" w:rsidRDefault="008524DE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9622F"/>
    <w:multiLevelType w:val="hybridMultilevel"/>
    <w:tmpl w:val="8E1A19A4"/>
    <w:lvl w:ilvl="0" w:tplc="00C6EE54">
      <w:start w:val="1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04AC3"/>
    <w:multiLevelType w:val="hybridMultilevel"/>
    <w:tmpl w:val="C37858B0"/>
    <w:lvl w:ilvl="0" w:tplc="52DEA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36F0F"/>
    <w:multiLevelType w:val="hybridMultilevel"/>
    <w:tmpl w:val="B77E124C"/>
    <w:lvl w:ilvl="0" w:tplc="00C6EE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75C94"/>
    <w:multiLevelType w:val="hybridMultilevel"/>
    <w:tmpl w:val="A66AB0C0"/>
    <w:lvl w:ilvl="0" w:tplc="52DEA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0A5ABF"/>
    <w:multiLevelType w:val="hybridMultilevel"/>
    <w:tmpl w:val="274E49BA"/>
    <w:lvl w:ilvl="0" w:tplc="52DEA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00EAE"/>
    <w:multiLevelType w:val="hybridMultilevel"/>
    <w:tmpl w:val="3EB8AB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41F44"/>
    <w:multiLevelType w:val="hybridMultilevel"/>
    <w:tmpl w:val="AE5A5D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4683E"/>
    <w:multiLevelType w:val="hybridMultilevel"/>
    <w:tmpl w:val="90B4E808"/>
    <w:lvl w:ilvl="0" w:tplc="00C6EE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C7D4B"/>
    <w:multiLevelType w:val="hybridMultilevel"/>
    <w:tmpl w:val="2EE6A0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E41243"/>
    <w:multiLevelType w:val="hybridMultilevel"/>
    <w:tmpl w:val="833AE36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927442"/>
    <w:multiLevelType w:val="hybridMultilevel"/>
    <w:tmpl w:val="450083FC"/>
    <w:lvl w:ilvl="0" w:tplc="00C6EE5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</w:abstractNum>
  <w:abstractNum w:abstractNumId="11" w15:restartNumberingAfterBreak="0">
    <w:nsid w:val="34EB690E"/>
    <w:multiLevelType w:val="hybridMultilevel"/>
    <w:tmpl w:val="AEDA4BD6"/>
    <w:lvl w:ilvl="0" w:tplc="00C6EE5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</w:abstractNum>
  <w:abstractNum w:abstractNumId="12" w15:restartNumberingAfterBreak="0">
    <w:nsid w:val="419C4360"/>
    <w:multiLevelType w:val="hybridMultilevel"/>
    <w:tmpl w:val="DD1AC7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D67FFD"/>
    <w:multiLevelType w:val="hybridMultilevel"/>
    <w:tmpl w:val="D2FA5438"/>
    <w:lvl w:ilvl="0" w:tplc="00C6EE5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</w:abstractNum>
  <w:abstractNum w:abstractNumId="14" w15:restartNumberingAfterBreak="0">
    <w:nsid w:val="49BA1749"/>
    <w:multiLevelType w:val="hybridMultilevel"/>
    <w:tmpl w:val="523C4796"/>
    <w:lvl w:ilvl="0" w:tplc="52DEA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5930B7"/>
    <w:multiLevelType w:val="hybridMultilevel"/>
    <w:tmpl w:val="BAEC9A94"/>
    <w:lvl w:ilvl="0" w:tplc="00C6EE5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</w:abstractNum>
  <w:abstractNum w:abstractNumId="16" w15:restartNumberingAfterBreak="0">
    <w:nsid w:val="5E122698"/>
    <w:multiLevelType w:val="hybridMultilevel"/>
    <w:tmpl w:val="AE965BE2"/>
    <w:lvl w:ilvl="0" w:tplc="00C6EE5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</w:abstractNum>
  <w:abstractNum w:abstractNumId="17" w15:restartNumberingAfterBreak="0">
    <w:nsid w:val="65FE7F94"/>
    <w:multiLevelType w:val="hybridMultilevel"/>
    <w:tmpl w:val="532C498C"/>
    <w:lvl w:ilvl="0" w:tplc="52DEA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A248A8"/>
    <w:multiLevelType w:val="hybridMultilevel"/>
    <w:tmpl w:val="53DC7802"/>
    <w:lvl w:ilvl="0" w:tplc="52DEA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8B3D7B"/>
    <w:multiLevelType w:val="hybridMultilevel"/>
    <w:tmpl w:val="52F4B394"/>
    <w:lvl w:ilvl="0" w:tplc="00C6EE5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</w:abstractNum>
  <w:abstractNum w:abstractNumId="20" w15:restartNumberingAfterBreak="0">
    <w:nsid w:val="70BA4FAB"/>
    <w:multiLevelType w:val="hybridMultilevel"/>
    <w:tmpl w:val="469E85A2"/>
    <w:lvl w:ilvl="0" w:tplc="EC5070F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  <w:bCs w:val="0"/>
        <w:i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1920FC"/>
    <w:multiLevelType w:val="hybridMultilevel"/>
    <w:tmpl w:val="335E0EFA"/>
    <w:lvl w:ilvl="0" w:tplc="52DEA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7C7882"/>
    <w:multiLevelType w:val="hybridMultilevel"/>
    <w:tmpl w:val="F7A8A302"/>
    <w:lvl w:ilvl="0" w:tplc="00C6EE5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</w:abstractNum>
  <w:abstractNum w:abstractNumId="23" w15:restartNumberingAfterBreak="0">
    <w:nsid w:val="7C145379"/>
    <w:multiLevelType w:val="hybridMultilevel"/>
    <w:tmpl w:val="DD8E1B4C"/>
    <w:lvl w:ilvl="0" w:tplc="00C6EE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8"/>
  </w:num>
  <w:num w:numId="4">
    <w:abstractNumId w:val="17"/>
  </w:num>
  <w:num w:numId="5">
    <w:abstractNumId w:val="18"/>
  </w:num>
  <w:num w:numId="6">
    <w:abstractNumId w:val="3"/>
  </w:num>
  <w:num w:numId="7">
    <w:abstractNumId w:val="12"/>
  </w:num>
  <w:num w:numId="8">
    <w:abstractNumId w:val="14"/>
  </w:num>
  <w:num w:numId="9">
    <w:abstractNumId w:val="1"/>
  </w:num>
  <w:num w:numId="10">
    <w:abstractNumId w:val="6"/>
  </w:num>
  <w:num w:numId="11">
    <w:abstractNumId w:val="4"/>
  </w:num>
  <w:num w:numId="12">
    <w:abstractNumId w:val="5"/>
  </w:num>
  <w:num w:numId="13">
    <w:abstractNumId w:val="0"/>
  </w:num>
  <w:num w:numId="14">
    <w:abstractNumId w:val="22"/>
  </w:num>
  <w:num w:numId="15">
    <w:abstractNumId w:val="19"/>
  </w:num>
  <w:num w:numId="16">
    <w:abstractNumId w:val="11"/>
  </w:num>
  <w:num w:numId="17">
    <w:abstractNumId w:val="13"/>
  </w:num>
  <w:num w:numId="18">
    <w:abstractNumId w:val="16"/>
  </w:num>
  <w:num w:numId="19">
    <w:abstractNumId w:val="15"/>
  </w:num>
  <w:num w:numId="20">
    <w:abstractNumId w:val="10"/>
  </w:num>
  <w:num w:numId="21">
    <w:abstractNumId w:val="23"/>
  </w:num>
  <w:num w:numId="22">
    <w:abstractNumId w:val="2"/>
  </w:num>
  <w:num w:numId="23">
    <w:abstractNumId w:val="7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21B"/>
    <w:rsid w:val="0000751D"/>
    <w:rsid w:val="00020D80"/>
    <w:rsid w:val="00027FF8"/>
    <w:rsid w:val="000377C9"/>
    <w:rsid w:val="00065374"/>
    <w:rsid w:val="000664AC"/>
    <w:rsid w:val="00067D39"/>
    <w:rsid w:val="0008632C"/>
    <w:rsid w:val="000A288D"/>
    <w:rsid w:val="000B30E8"/>
    <w:rsid w:val="000C1DC5"/>
    <w:rsid w:val="000D097D"/>
    <w:rsid w:val="000E4ADD"/>
    <w:rsid w:val="000F22C0"/>
    <w:rsid w:val="0010691D"/>
    <w:rsid w:val="001204AC"/>
    <w:rsid w:val="00121798"/>
    <w:rsid w:val="0015049E"/>
    <w:rsid w:val="00165398"/>
    <w:rsid w:val="001873F8"/>
    <w:rsid w:val="001B03D4"/>
    <w:rsid w:val="001C1A51"/>
    <w:rsid w:val="001D56F9"/>
    <w:rsid w:val="001E5DFE"/>
    <w:rsid w:val="001E7CF1"/>
    <w:rsid w:val="001F7B75"/>
    <w:rsid w:val="00203BD1"/>
    <w:rsid w:val="00236D85"/>
    <w:rsid w:val="00236EF5"/>
    <w:rsid w:val="002509DC"/>
    <w:rsid w:val="00274515"/>
    <w:rsid w:val="002A18A2"/>
    <w:rsid w:val="002B5790"/>
    <w:rsid w:val="002C5697"/>
    <w:rsid w:val="002D64FD"/>
    <w:rsid w:val="0030537F"/>
    <w:rsid w:val="00306E85"/>
    <w:rsid w:val="00310F77"/>
    <w:rsid w:val="00363444"/>
    <w:rsid w:val="003649E7"/>
    <w:rsid w:val="003729DF"/>
    <w:rsid w:val="003A4D99"/>
    <w:rsid w:val="003A55AB"/>
    <w:rsid w:val="003B40AE"/>
    <w:rsid w:val="003C0FC0"/>
    <w:rsid w:val="003D06C4"/>
    <w:rsid w:val="003D6512"/>
    <w:rsid w:val="003E38B1"/>
    <w:rsid w:val="003F272E"/>
    <w:rsid w:val="00406271"/>
    <w:rsid w:val="0041169E"/>
    <w:rsid w:val="004144A7"/>
    <w:rsid w:val="00420DED"/>
    <w:rsid w:val="004224D8"/>
    <w:rsid w:val="00424DDC"/>
    <w:rsid w:val="00452AE3"/>
    <w:rsid w:val="00487026"/>
    <w:rsid w:val="00497E38"/>
    <w:rsid w:val="004A1630"/>
    <w:rsid w:val="004A28CD"/>
    <w:rsid w:val="004B22C2"/>
    <w:rsid w:val="004B5EB7"/>
    <w:rsid w:val="004C1AEB"/>
    <w:rsid w:val="004C2405"/>
    <w:rsid w:val="004E41D4"/>
    <w:rsid w:val="004E4A04"/>
    <w:rsid w:val="004E7D66"/>
    <w:rsid w:val="004F56F5"/>
    <w:rsid w:val="005049A2"/>
    <w:rsid w:val="005067A6"/>
    <w:rsid w:val="00506EE8"/>
    <w:rsid w:val="00523087"/>
    <w:rsid w:val="005249C0"/>
    <w:rsid w:val="00537C4B"/>
    <w:rsid w:val="00555C53"/>
    <w:rsid w:val="0056386C"/>
    <w:rsid w:val="0057024B"/>
    <w:rsid w:val="00592987"/>
    <w:rsid w:val="005C27C4"/>
    <w:rsid w:val="005D373E"/>
    <w:rsid w:val="00601BA3"/>
    <w:rsid w:val="00605514"/>
    <w:rsid w:val="00620332"/>
    <w:rsid w:val="006362CE"/>
    <w:rsid w:val="00663C7C"/>
    <w:rsid w:val="006862EF"/>
    <w:rsid w:val="0069635D"/>
    <w:rsid w:val="006979FF"/>
    <w:rsid w:val="006B55AB"/>
    <w:rsid w:val="006C15BA"/>
    <w:rsid w:val="006D006F"/>
    <w:rsid w:val="006D28A4"/>
    <w:rsid w:val="006D74EB"/>
    <w:rsid w:val="0071401E"/>
    <w:rsid w:val="00726E2D"/>
    <w:rsid w:val="007509AA"/>
    <w:rsid w:val="00763DF2"/>
    <w:rsid w:val="00772178"/>
    <w:rsid w:val="0077400E"/>
    <w:rsid w:val="007A0A45"/>
    <w:rsid w:val="007A28A3"/>
    <w:rsid w:val="007D7053"/>
    <w:rsid w:val="007F0316"/>
    <w:rsid w:val="007F479A"/>
    <w:rsid w:val="007F4C0E"/>
    <w:rsid w:val="00825F83"/>
    <w:rsid w:val="00832BCC"/>
    <w:rsid w:val="008524DE"/>
    <w:rsid w:val="00856B9B"/>
    <w:rsid w:val="0086795B"/>
    <w:rsid w:val="00870E1F"/>
    <w:rsid w:val="008827A3"/>
    <w:rsid w:val="0088401A"/>
    <w:rsid w:val="00890093"/>
    <w:rsid w:val="008A2218"/>
    <w:rsid w:val="008A56AE"/>
    <w:rsid w:val="008D11BE"/>
    <w:rsid w:val="008E738D"/>
    <w:rsid w:val="009053A3"/>
    <w:rsid w:val="00912ED6"/>
    <w:rsid w:val="009268F4"/>
    <w:rsid w:val="0095101E"/>
    <w:rsid w:val="00971C79"/>
    <w:rsid w:val="00974141"/>
    <w:rsid w:val="00992868"/>
    <w:rsid w:val="00995D99"/>
    <w:rsid w:val="00997FAB"/>
    <w:rsid w:val="009C153A"/>
    <w:rsid w:val="009E484F"/>
    <w:rsid w:val="009F5461"/>
    <w:rsid w:val="00A02CD2"/>
    <w:rsid w:val="00A15345"/>
    <w:rsid w:val="00A231CF"/>
    <w:rsid w:val="00A34F6D"/>
    <w:rsid w:val="00A50832"/>
    <w:rsid w:val="00A826FA"/>
    <w:rsid w:val="00A901D7"/>
    <w:rsid w:val="00AA2E69"/>
    <w:rsid w:val="00AA651D"/>
    <w:rsid w:val="00AC6C32"/>
    <w:rsid w:val="00AD108A"/>
    <w:rsid w:val="00AE108D"/>
    <w:rsid w:val="00B26DF9"/>
    <w:rsid w:val="00B53FB1"/>
    <w:rsid w:val="00B60581"/>
    <w:rsid w:val="00B669C8"/>
    <w:rsid w:val="00B71452"/>
    <w:rsid w:val="00B73663"/>
    <w:rsid w:val="00B80388"/>
    <w:rsid w:val="00B933E0"/>
    <w:rsid w:val="00BC3104"/>
    <w:rsid w:val="00BE10DE"/>
    <w:rsid w:val="00BF6B07"/>
    <w:rsid w:val="00BF6E1F"/>
    <w:rsid w:val="00C031FC"/>
    <w:rsid w:val="00C20552"/>
    <w:rsid w:val="00C31C97"/>
    <w:rsid w:val="00C35BE7"/>
    <w:rsid w:val="00C622FC"/>
    <w:rsid w:val="00C84492"/>
    <w:rsid w:val="00C86DDE"/>
    <w:rsid w:val="00C9709B"/>
    <w:rsid w:val="00CA0B5D"/>
    <w:rsid w:val="00CB433D"/>
    <w:rsid w:val="00CB4F94"/>
    <w:rsid w:val="00CE57DF"/>
    <w:rsid w:val="00D07EC2"/>
    <w:rsid w:val="00D4446F"/>
    <w:rsid w:val="00D450C5"/>
    <w:rsid w:val="00D63B5A"/>
    <w:rsid w:val="00D646A8"/>
    <w:rsid w:val="00D80C77"/>
    <w:rsid w:val="00D87F55"/>
    <w:rsid w:val="00DC3511"/>
    <w:rsid w:val="00DE0946"/>
    <w:rsid w:val="00DE5910"/>
    <w:rsid w:val="00DF0406"/>
    <w:rsid w:val="00DF107A"/>
    <w:rsid w:val="00DF2740"/>
    <w:rsid w:val="00DF5D3D"/>
    <w:rsid w:val="00E40CDC"/>
    <w:rsid w:val="00E50056"/>
    <w:rsid w:val="00E734B3"/>
    <w:rsid w:val="00E743DB"/>
    <w:rsid w:val="00E80D55"/>
    <w:rsid w:val="00E81CB5"/>
    <w:rsid w:val="00EA562A"/>
    <w:rsid w:val="00EB34A6"/>
    <w:rsid w:val="00EC02EA"/>
    <w:rsid w:val="00EC4D02"/>
    <w:rsid w:val="00ED020D"/>
    <w:rsid w:val="00EE3537"/>
    <w:rsid w:val="00F230BB"/>
    <w:rsid w:val="00F242FD"/>
    <w:rsid w:val="00F36342"/>
    <w:rsid w:val="00F4521B"/>
    <w:rsid w:val="00F71EDD"/>
    <w:rsid w:val="00F76C10"/>
    <w:rsid w:val="00FA16D0"/>
    <w:rsid w:val="00FA5BA3"/>
    <w:rsid w:val="00FB2871"/>
    <w:rsid w:val="00FE3D4B"/>
    <w:rsid w:val="00FF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0DF43A6D-7D71-4088-BC74-DCDDCC4C2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kern w:val="2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kern w:val="0"/>
      <w:lang w:val="en-US"/>
    </w:rPr>
  </w:style>
  <w:style w:type="paragraph" w:styleId="Cmsor1">
    <w:name w:val="heading 1"/>
    <w:basedOn w:val="Norml"/>
    <w:link w:val="Cmsor1Char"/>
    <w:uiPriority w:val="9"/>
    <w:qFormat/>
    <w:pPr>
      <w:ind w:left="258"/>
      <w:outlineLvl w:val="0"/>
    </w:pPr>
    <w:rPr>
      <w:sz w:val="24"/>
      <w:szCs w:val="24"/>
    </w:rPr>
  </w:style>
  <w:style w:type="paragraph" w:styleId="Cmsor2">
    <w:name w:val="heading 2"/>
    <w:basedOn w:val="Norml"/>
    <w:link w:val="Cmsor2Char"/>
    <w:uiPriority w:val="9"/>
    <w:unhideWhenUsed/>
    <w:qFormat/>
    <w:pPr>
      <w:spacing w:before="20"/>
      <w:ind w:left="107"/>
      <w:outlineLvl w:val="1"/>
    </w:pPr>
    <w:rPr>
      <w:b/>
      <w:bCs/>
    </w:rPr>
  </w:style>
  <w:style w:type="paragraph" w:styleId="Cmsor3">
    <w:name w:val="heading 3"/>
    <w:basedOn w:val="Norml"/>
    <w:link w:val="Cmsor3Char"/>
    <w:uiPriority w:val="9"/>
    <w:unhideWhenUsed/>
    <w:qFormat/>
    <w:pPr>
      <w:ind w:left="332"/>
      <w:outlineLvl w:val="2"/>
    </w:pPr>
    <w:rPr>
      <w:b/>
      <w:bCs/>
    </w:rPr>
  </w:style>
  <w:style w:type="paragraph" w:styleId="Cmsor4">
    <w:name w:val="heading 4"/>
    <w:basedOn w:val="Norml"/>
    <w:link w:val="Cmsor4Char"/>
    <w:uiPriority w:val="9"/>
    <w:unhideWhenUsed/>
    <w:qFormat/>
    <w:pPr>
      <w:ind w:left="258"/>
      <w:outlineLvl w:val="3"/>
    </w:pPr>
    <w:rPr>
      <w:b/>
      <w:bCs/>
      <w:i/>
      <w:u w:val="single" w:color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Pr>
      <w:rFonts w:ascii="Times New Roman" w:hAnsi="Times New Roman" w:cs="Times New Roman"/>
      <w:kern w:val="0"/>
      <w:sz w:val="24"/>
      <w:szCs w:val="24"/>
      <w:lang w:val="en-US"/>
    </w:rPr>
  </w:style>
  <w:style w:type="character" w:customStyle="1" w:styleId="Cmsor2Char">
    <w:name w:val="Címsor 2 Char"/>
    <w:basedOn w:val="Bekezdsalapbettpusa"/>
    <w:link w:val="Cmsor2"/>
    <w:uiPriority w:val="9"/>
    <w:rPr>
      <w:rFonts w:ascii="Times New Roman" w:hAnsi="Times New Roman" w:cs="Times New Roman"/>
      <w:b/>
      <w:bCs/>
      <w:kern w:val="0"/>
      <w:lang w:val="en-US"/>
    </w:rPr>
  </w:style>
  <w:style w:type="character" w:customStyle="1" w:styleId="Cmsor3Char">
    <w:name w:val="Címsor 3 Char"/>
    <w:basedOn w:val="Bekezdsalapbettpusa"/>
    <w:link w:val="Cmsor3"/>
    <w:uiPriority w:val="9"/>
    <w:rPr>
      <w:rFonts w:ascii="Times New Roman" w:hAnsi="Times New Roman" w:cs="Times New Roman"/>
      <w:b/>
      <w:bCs/>
      <w:kern w:val="0"/>
      <w:lang w:val="en-US"/>
    </w:rPr>
  </w:style>
  <w:style w:type="character" w:customStyle="1" w:styleId="Cmsor4Char">
    <w:name w:val="Címsor 4 Char"/>
    <w:basedOn w:val="Bekezdsalapbettpusa"/>
    <w:link w:val="Cmsor4"/>
    <w:uiPriority w:val="9"/>
    <w:rPr>
      <w:rFonts w:ascii="Times New Roman" w:hAnsi="Times New Roman" w:cs="Times New Roman"/>
      <w:b/>
      <w:bCs/>
      <w:i/>
      <w:kern w:val="0"/>
      <w:u w:val="single" w:color="000000"/>
      <w:lang w:val="en-US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character" w:customStyle="1" w:styleId="SzvegtrzsChar">
    <w:name w:val="Szövegtörzs Char"/>
    <w:basedOn w:val="Bekezdsalapbettpusa"/>
    <w:link w:val="Szvegtrzs"/>
    <w:uiPriority w:val="1"/>
    <w:rPr>
      <w:rFonts w:ascii="Times New Roman" w:hAnsi="Times New Roman" w:cs="Times New Roman"/>
      <w:kern w:val="0"/>
      <w:lang w:val="en-US"/>
    </w:rPr>
  </w:style>
  <w:style w:type="paragraph" w:styleId="Listaszerbekezds">
    <w:name w:val="List Paragraph"/>
    <w:basedOn w:val="Norml"/>
    <w:uiPriority w:val="1"/>
    <w:qFormat/>
    <w:pPr>
      <w:ind w:left="824" w:hanging="567"/>
    </w:pPr>
  </w:style>
  <w:style w:type="paragraph" w:customStyle="1" w:styleId="TableParagraph">
    <w:name w:val="Table Paragraph"/>
    <w:basedOn w:val="Norml"/>
    <w:uiPriority w:val="1"/>
    <w:qFormat/>
    <w:pPr>
      <w:spacing w:line="234" w:lineRule="exact"/>
      <w:ind w:left="107"/>
    </w:pPr>
  </w:style>
  <w:style w:type="paragraph" w:styleId="lfej">
    <w:name w:val="header"/>
    <w:basedOn w:val="Norml"/>
    <w:link w:val="lfej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hAnsi="Times New Roman" w:cs="Times New Roman"/>
      <w:kern w:val="0"/>
      <w:lang w:val="en-US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hAnsi="Times New Roman" w:cs="Times New Roman"/>
      <w:kern w:val="0"/>
      <w:lang w:val="en-US"/>
    </w:rPr>
  </w:style>
  <w:style w:type="character" w:styleId="Kiemels">
    <w:name w:val="Emphasis"/>
    <w:basedOn w:val="Bekezdsalapbettpusa"/>
    <w:uiPriority w:val="20"/>
    <w:qFormat/>
    <w:rPr>
      <w:i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eastAsia="hu-HU"/>
    </w:rPr>
  </w:style>
  <w:style w:type="paragraph" w:styleId="NormlWeb">
    <w:name w:val="Normal (Web)"/>
    <w:basedOn w:val="Norml"/>
    <w:uiPriority w:val="99"/>
    <w:semiHidden/>
    <w:unhideWhenUsed/>
    <w:pPr>
      <w:widowControl/>
      <w:autoSpaceDE/>
      <w:autoSpaceDN/>
      <w:spacing w:before="100" w:beforeAutospacing="1" w:after="100" w:afterAutospacing="1"/>
    </w:pPr>
    <w:rPr>
      <w:rFonts w:ascii="Calibri" w:eastAsia="Calibri" w:hAnsi="Calibri" w:cs="Calibri"/>
      <w:lang w:val="hu-HU" w:eastAsia="hu-HU"/>
    </w:rPr>
  </w:style>
  <w:style w:type="character" w:styleId="Kiemels2">
    <w:name w:val="Strong"/>
    <w:uiPriority w:val="22"/>
    <w:qFormat/>
    <w:rPr>
      <w:b/>
      <w:bCs/>
    </w:rPr>
  </w:style>
  <w:style w:type="table" w:styleId="Rcsostblzat">
    <w:name w:val="Table Grid"/>
    <w:basedOn w:val="Normltblzat"/>
    <w:uiPriority w:val="39"/>
    <w:pPr>
      <w:spacing w:after="0" w:line="240" w:lineRule="auto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hAnsi="Segoe UI" w:cs="Segoe UI"/>
      <w:kern w:val="0"/>
      <w:sz w:val="18"/>
      <w:szCs w:val="18"/>
      <w:lang w:val="en-US"/>
    </w:rPr>
  </w:style>
  <w:style w:type="paragraph" w:styleId="Vltozat">
    <w:name w:val="Revision"/>
    <w:uiPriority w:val="99"/>
    <w:semiHidden/>
    <w:pPr>
      <w:spacing w:after="0" w:line="240" w:lineRule="auto"/>
    </w:pPr>
    <w:rPr>
      <w:rFonts w:ascii="Times New Roman" w:hAnsi="Times New Roman"/>
      <w:kern w:val="0"/>
      <w:lang w:val="en-US"/>
    </w:r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3714</Words>
  <Characters>25630</Characters>
  <Application>Microsoft Office Word</Application>
  <DocSecurity>0</DocSecurity>
  <Lines>213</Lines>
  <Paragraphs>58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admin.</dc:creator>
  <cp:lastModifiedBy>HU_OGYEI.16.1.2</cp:lastModifiedBy>
  <cp:revision>3</cp:revision>
  <dcterms:created xsi:type="dcterms:W3CDTF">2026-04-27T14:23:00Z</dcterms:created>
  <dcterms:modified xsi:type="dcterms:W3CDTF">2026-04-27T14:23:00Z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2023-08-16T08:43:11Z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ef57dbf8-fc24-4d3a-80f2-30099764e06a</vt:lpwstr>
  </property>
  <property fmtid="{D5CDD505-2E9C-101B-9397-08002B2CF9AE}" pid="8" name="MSIP_Label_3c9bec58-8084-492e-8360-0e1cfe36408c_ContentBits">
    <vt:lpwstr>0</vt:lpwstr>
  </property>
  <property fmtid="{D5CDD505-2E9C-101B-9397-08002B2CF9AE}" pid="9" name="DMS_Doc_ID">
    <vt:lpwstr>131950140</vt:lpwstr>
  </property>
</Properties>
</file>