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9E8A0" w14:textId="77777777" w:rsidR="006A1DFA" w:rsidRDefault="006A1DFA">
      <w:pPr>
        <w:rPr>
          <w:b/>
          <w:szCs w:val="22"/>
        </w:rPr>
      </w:pPr>
    </w:p>
    <w:p w14:paraId="3AEE4A92" w14:textId="77777777" w:rsidR="006A1DFA" w:rsidRDefault="009601BE">
      <w:pPr>
        <w:jc w:val="center"/>
        <w:rPr>
          <w:b/>
          <w:szCs w:val="22"/>
        </w:rPr>
      </w:pPr>
      <w:r>
        <w:rPr>
          <w:b/>
          <w:bCs/>
          <w:szCs w:val="22"/>
          <w:lang w:val="hu"/>
        </w:rPr>
        <w:t>Betegtájékoztató: Információk a felhasználó számára</w:t>
      </w:r>
    </w:p>
    <w:p w14:paraId="62AF9409" w14:textId="77777777" w:rsidR="006A1DFA" w:rsidRDefault="006A1DFA">
      <w:pPr>
        <w:jc w:val="center"/>
        <w:rPr>
          <w:b/>
          <w:szCs w:val="22"/>
        </w:rPr>
      </w:pPr>
    </w:p>
    <w:p w14:paraId="04CF04AD" w14:textId="66826680" w:rsidR="006A1DFA" w:rsidRDefault="009601BE">
      <w:pPr>
        <w:jc w:val="center"/>
        <w:rPr>
          <w:b/>
          <w:bCs/>
          <w:lang w:val="hu"/>
        </w:rPr>
      </w:pPr>
      <w:r>
        <w:rPr>
          <w:b/>
          <w:bCs/>
          <w:lang w:val="hu"/>
        </w:rPr>
        <w:t>Proursan 250</w:t>
      </w:r>
      <w:r w:rsidR="00901CCC">
        <w:rPr>
          <w:b/>
          <w:bCs/>
          <w:lang w:val="hu"/>
        </w:rPr>
        <w:t> mg</w:t>
      </w:r>
      <w:r>
        <w:rPr>
          <w:b/>
          <w:bCs/>
          <w:lang w:val="hu"/>
        </w:rPr>
        <w:t xml:space="preserve"> kemény kapszula</w:t>
      </w:r>
    </w:p>
    <w:p w14:paraId="3A2AF7FA" w14:textId="77777777" w:rsidR="0097213F" w:rsidRDefault="0097213F">
      <w:pPr>
        <w:jc w:val="center"/>
        <w:rPr>
          <w:b/>
        </w:rPr>
      </w:pPr>
    </w:p>
    <w:p w14:paraId="14F30770" w14:textId="3C220638" w:rsidR="006A1DFA" w:rsidRDefault="0097213F">
      <w:pPr>
        <w:jc w:val="center"/>
        <w:rPr>
          <w:b/>
          <w:bCs/>
          <w:szCs w:val="22"/>
        </w:rPr>
      </w:pPr>
      <w:r>
        <w:rPr>
          <w:szCs w:val="22"/>
          <w:lang w:val="hu"/>
        </w:rPr>
        <w:t>u</w:t>
      </w:r>
      <w:r w:rsidR="009601BE">
        <w:rPr>
          <w:szCs w:val="22"/>
          <w:lang w:val="hu"/>
        </w:rPr>
        <w:t>rzodezoxikólsav</w:t>
      </w:r>
    </w:p>
    <w:p w14:paraId="4A711C11" w14:textId="77777777" w:rsidR="006A1DFA" w:rsidRDefault="006A1DFA">
      <w:pPr>
        <w:autoSpaceDE w:val="0"/>
        <w:autoSpaceDN w:val="0"/>
        <w:rPr>
          <w:szCs w:val="22"/>
        </w:rPr>
      </w:pPr>
    </w:p>
    <w:p w14:paraId="704EA3D8" w14:textId="77777777" w:rsidR="006A1DFA" w:rsidRDefault="009601BE">
      <w:pPr>
        <w:keepNext/>
        <w:autoSpaceDE w:val="0"/>
        <w:autoSpaceDN w:val="0"/>
        <w:rPr>
          <w:b/>
          <w:bCs/>
          <w:szCs w:val="22"/>
        </w:rPr>
      </w:pPr>
      <w:r>
        <w:rPr>
          <w:b/>
          <w:bCs/>
          <w:szCs w:val="22"/>
          <w:lang w:val="hu"/>
        </w:rPr>
        <w:t>Mielőtt elkezdi szedni ezt a gyógyszert, olvassa el figyelmesen az alábbi betegtájékoztatót, mert az Ön számára fontos információkat tartalmaz.</w:t>
      </w:r>
    </w:p>
    <w:p w14:paraId="13F09659" w14:textId="00556E0F" w:rsidR="006A1DFA" w:rsidRDefault="009601BE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Tartsa meg a betegtájékoztatót, mert a benne szereplő információkra a későbbiekben is szüksége lehet.</w:t>
      </w:r>
    </w:p>
    <w:p w14:paraId="0FC497FF" w14:textId="77777777" w:rsidR="006A1DFA" w:rsidRDefault="009601BE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További kérdéseivel forduljon kezelőorvosához vagy gyógyszerészéhez.</w:t>
      </w:r>
    </w:p>
    <w:p w14:paraId="0407C5F1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394159C9" w14:textId="686BF583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Ha Önnél bármilyen mellékhatás jelentkezik, tájékoztassa erről kezelőorvosát vagy gyógyszerészét. Ez a betegtájékoztatóban fel nem sorolt bármilyen lehetséges mellékhatásra is vonatkozik. Lásd 4. pont.</w:t>
      </w:r>
    </w:p>
    <w:p w14:paraId="1B1E4671" w14:textId="77777777" w:rsidR="006A1DFA" w:rsidRPr="003D7C5D" w:rsidRDefault="006A1DFA">
      <w:pPr>
        <w:rPr>
          <w:szCs w:val="22"/>
          <w:lang w:val="hu"/>
        </w:rPr>
      </w:pPr>
    </w:p>
    <w:p w14:paraId="73812F65" w14:textId="77777777" w:rsidR="006A1DFA" w:rsidRPr="003D7C5D" w:rsidRDefault="009601BE">
      <w:pPr>
        <w:keepNext/>
        <w:rPr>
          <w:b/>
          <w:szCs w:val="22"/>
          <w:lang w:val="hu"/>
        </w:rPr>
      </w:pPr>
      <w:r>
        <w:rPr>
          <w:b/>
          <w:bCs/>
          <w:szCs w:val="22"/>
          <w:lang w:val="hu"/>
        </w:rPr>
        <w:t>A betegtájékoztató tartalma</w:t>
      </w:r>
    </w:p>
    <w:p w14:paraId="3E04276F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1.</w:t>
      </w:r>
      <w:r>
        <w:rPr>
          <w:lang w:val="hu"/>
        </w:rPr>
        <w:tab/>
        <w:t>Milyen típusú gyógyszer a Proursan, és milyen betegségek esetén alkalmazható?</w:t>
      </w:r>
    </w:p>
    <w:p w14:paraId="40699CF9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2.</w:t>
      </w:r>
      <w:r>
        <w:rPr>
          <w:lang w:val="hu"/>
        </w:rPr>
        <w:tab/>
        <w:t>Tudnivalók a Proursan alkalmazása előtt</w:t>
      </w:r>
    </w:p>
    <w:p w14:paraId="2EB7D985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3.</w:t>
      </w:r>
      <w:r>
        <w:rPr>
          <w:lang w:val="hu"/>
        </w:rPr>
        <w:tab/>
        <w:t>Hogyan kell szedni a Proursan-t?</w:t>
      </w:r>
    </w:p>
    <w:p w14:paraId="5E208DB8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4.</w:t>
      </w:r>
      <w:r>
        <w:rPr>
          <w:lang w:val="hu"/>
        </w:rPr>
        <w:tab/>
        <w:t>Lehetséges mellékhatások</w:t>
      </w:r>
    </w:p>
    <w:p w14:paraId="21E9B3D9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5.</w:t>
      </w:r>
      <w:r>
        <w:rPr>
          <w:lang w:val="hu"/>
        </w:rPr>
        <w:tab/>
        <w:t>Hogyan kell a Proursan-t tárolni?</w:t>
      </w:r>
    </w:p>
    <w:p w14:paraId="1DA543CE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6.</w:t>
      </w:r>
      <w:r>
        <w:rPr>
          <w:lang w:val="hu"/>
        </w:rPr>
        <w:tab/>
        <w:t>A csomagolás tartalma és egyéb információk</w:t>
      </w:r>
    </w:p>
    <w:p w14:paraId="6827039C" w14:textId="77777777" w:rsidR="006A1DFA" w:rsidRPr="003D7C5D" w:rsidRDefault="006A1DFA">
      <w:pPr>
        <w:rPr>
          <w:lang w:val="hu"/>
        </w:rPr>
      </w:pPr>
    </w:p>
    <w:p w14:paraId="3BC26657" w14:textId="77777777" w:rsidR="006A1DFA" w:rsidRPr="003D7C5D" w:rsidRDefault="006A1DFA">
      <w:pPr>
        <w:rPr>
          <w:lang w:val="hu"/>
        </w:rPr>
      </w:pPr>
    </w:p>
    <w:p w14:paraId="2BDCFC50" w14:textId="77777777" w:rsidR="006A1DFA" w:rsidRPr="003D7C5D" w:rsidRDefault="009601BE">
      <w:pPr>
        <w:keepNext/>
        <w:ind w:left="567" w:hanging="567"/>
        <w:rPr>
          <w:b/>
          <w:szCs w:val="22"/>
          <w:lang w:val="hu"/>
        </w:rPr>
      </w:pPr>
      <w:r>
        <w:rPr>
          <w:b/>
          <w:bCs/>
          <w:szCs w:val="22"/>
          <w:lang w:val="hu"/>
        </w:rPr>
        <w:t>1.</w:t>
      </w:r>
      <w:r>
        <w:rPr>
          <w:b/>
          <w:bCs/>
          <w:szCs w:val="22"/>
          <w:lang w:val="hu"/>
        </w:rPr>
        <w:tab/>
        <w:t>Milyen típusú gyógyszer a Proursan, és milyen betegségek esetén alkalmazható?</w:t>
      </w:r>
    </w:p>
    <w:p w14:paraId="57C84155" w14:textId="77777777" w:rsidR="006A1DFA" w:rsidRPr="003D7C5D" w:rsidRDefault="006A1DFA">
      <w:pPr>
        <w:keepNext/>
        <w:rPr>
          <w:szCs w:val="22"/>
          <w:lang w:val="hu"/>
        </w:rPr>
      </w:pPr>
    </w:p>
    <w:p w14:paraId="387F4387" w14:textId="77777777" w:rsidR="006A1DFA" w:rsidRPr="003D7C5D" w:rsidRDefault="009601BE">
      <w:pPr>
        <w:rPr>
          <w:lang w:val="hu"/>
        </w:rPr>
      </w:pPr>
      <w:r>
        <w:rPr>
          <w:lang w:val="hu"/>
        </w:rPr>
        <w:t>Az urzodezoxikólsav, a Proursan hatóanyaga egy természetben előforduló epesav. Kis mennyiségben megtalálható az emberi epében is.</w:t>
      </w:r>
    </w:p>
    <w:p w14:paraId="054E703B" w14:textId="77777777" w:rsidR="006A1DFA" w:rsidRPr="003D7C5D" w:rsidRDefault="006A1DFA">
      <w:pPr>
        <w:snapToGrid w:val="0"/>
        <w:rPr>
          <w:szCs w:val="22"/>
          <w:lang w:val="hu"/>
        </w:rPr>
      </w:pPr>
    </w:p>
    <w:p w14:paraId="2D344746" w14:textId="77777777" w:rsidR="006A1DFA" w:rsidRPr="003D7C5D" w:rsidRDefault="009601BE">
      <w:pPr>
        <w:keepNext/>
        <w:shd w:val="clear" w:color="auto" w:fill="FFFFFF"/>
        <w:ind w:left="28"/>
        <w:rPr>
          <w:szCs w:val="22"/>
          <w:lang w:val="hu"/>
        </w:rPr>
      </w:pPr>
      <w:r>
        <w:rPr>
          <w:szCs w:val="22"/>
          <w:lang w:val="hu"/>
        </w:rPr>
        <w:t>A Proursan alkalmazható:</w:t>
      </w:r>
    </w:p>
    <w:p w14:paraId="499F18FA" w14:textId="71D57976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 xml:space="preserve">olyan epekő oldására, amelyet az epehólyagban túlzott mennyiségben jelenlévő koleszterin okoz, </w:t>
      </w:r>
      <w:r w:rsidR="002575AD">
        <w:rPr>
          <w:lang w:val="hu"/>
        </w:rPr>
        <w:t xml:space="preserve">amennyiben </w:t>
      </w:r>
      <w:r>
        <w:rPr>
          <w:lang w:val="hu"/>
        </w:rPr>
        <w:t xml:space="preserve">ezek a kövek nem láthatók egyszerű röntgenfelvételen (a látható kövek nem oldódnak fel), és átmérőjük nem nagyobb 15 mm-nél. </w:t>
      </w:r>
      <w:r w:rsidR="0097213F">
        <w:rPr>
          <w:lang w:val="hu"/>
        </w:rPr>
        <w:t xml:space="preserve">Az </w:t>
      </w:r>
      <w:r>
        <w:rPr>
          <w:lang w:val="hu"/>
        </w:rPr>
        <w:t>epehólyag</w:t>
      </w:r>
      <w:r w:rsidR="0097213F">
        <w:rPr>
          <w:lang w:val="hu"/>
        </w:rPr>
        <w:t>nak</w:t>
      </w:r>
      <w:r>
        <w:rPr>
          <w:lang w:val="hu"/>
        </w:rPr>
        <w:t xml:space="preserve"> a kő (kövek) ellenére is működ</w:t>
      </w:r>
      <w:r w:rsidR="0097213F">
        <w:rPr>
          <w:lang w:val="hu"/>
        </w:rPr>
        <w:t>nie kell</w:t>
      </w:r>
      <w:r>
        <w:rPr>
          <w:lang w:val="hu"/>
        </w:rPr>
        <w:t>.</w:t>
      </w:r>
    </w:p>
    <w:p w14:paraId="778E12C6" w14:textId="42BEB3B4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a gyomor nyálkahártya epesav visszafolyás okozta gyulladásának kezelése (epereflux</w:t>
      </w:r>
      <w:r w:rsidR="0097213F">
        <w:rPr>
          <w:lang w:val="hu"/>
        </w:rPr>
        <w:t>-</w:t>
      </w:r>
      <w:r>
        <w:rPr>
          <w:lang w:val="hu"/>
        </w:rPr>
        <w:t>gasztritisz),</w:t>
      </w:r>
    </w:p>
    <w:p w14:paraId="20731B9C" w14:textId="23A8755F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 xml:space="preserve">primer biliáris </w:t>
      </w:r>
      <w:r w:rsidR="00813A84">
        <w:rPr>
          <w:lang w:val="hu"/>
        </w:rPr>
        <w:t>cirózis</w:t>
      </w:r>
      <w:r>
        <w:rPr>
          <w:lang w:val="hu"/>
        </w:rPr>
        <w:t xml:space="preserve"> (PBC – az epeutak krónikus rendellenessége, ami idővel májzsugorodás</w:t>
      </w:r>
      <w:r w:rsidR="004E3BF9">
        <w:rPr>
          <w:lang w:val="hu"/>
        </w:rPr>
        <w:t>hoz vezet</w:t>
      </w:r>
      <w:r>
        <w:rPr>
          <w:lang w:val="hu"/>
        </w:rPr>
        <w:t>) tüneteinek kezelésére olyan betegeknél, akiknél nem alakult ki dekompenzált májcirrózis (olyan diffúz, krónikus májbetegség, amelyben a betegség miatti rossz májműködést már nem lehet helyrehozni),</w:t>
      </w:r>
    </w:p>
    <w:p w14:paraId="7AF6F5E0" w14:textId="7590D91A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a cisztás fibrózis elnevezésű betegséggel összefüggő májbetegség kezelésére 6 és 18 év közötti gyermekeknél</w:t>
      </w:r>
      <w:r w:rsidR="004E3BF9">
        <w:rPr>
          <w:lang w:val="hu"/>
        </w:rPr>
        <w:t xml:space="preserve"> és serdülőknél</w:t>
      </w:r>
      <w:r>
        <w:rPr>
          <w:lang w:val="hu"/>
        </w:rPr>
        <w:t>.</w:t>
      </w:r>
    </w:p>
    <w:p w14:paraId="6F439A24" w14:textId="77777777" w:rsidR="006A1DFA" w:rsidRPr="003D7C5D" w:rsidRDefault="006A1DFA">
      <w:pPr>
        <w:rPr>
          <w:lang w:val="hu"/>
        </w:rPr>
      </w:pPr>
    </w:p>
    <w:p w14:paraId="0F7D5C61" w14:textId="77777777" w:rsidR="006A1DFA" w:rsidRPr="003D7C5D" w:rsidRDefault="006A1DFA">
      <w:pPr>
        <w:rPr>
          <w:lang w:val="hu"/>
        </w:rPr>
      </w:pPr>
    </w:p>
    <w:p w14:paraId="574DAE1C" w14:textId="77777777" w:rsidR="006A1DFA" w:rsidRPr="003D7C5D" w:rsidRDefault="009601BE">
      <w:pPr>
        <w:keepNext/>
        <w:ind w:left="567" w:hanging="567"/>
        <w:rPr>
          <w:b/>
          <w:szCs w:val="22"/>
          <w:lang w:val="hu"/>
        </w:rPr>
      </w:pPr>
      <w:r>
        <w:rPr>
          <w:b/>
          <w:bCs/>
          <w:szCs w:val="22"/>
          <w:lang w:val="hu"/>
        </w:rPr>
        <w:t>2.</w:t>
      </w:r>
      <w:r>
        <w:rPr>
          <w:b/>
          <w:bCs/>
          <w:szCs w:val="22"/>
          <w:lang w:val="hu"/>
        </w:rPr>
        <w:tab/>
        <w:t>Tudnivalók a Proursan alkalmazása előtt</w:t>
      </w:r>
    </w:p>
    <w:p w14:paraId="5A1D3CD7" w14:textId="77777777" w:rsidR="006A1DFA" w:rsidRPr="003D7C5D" w:rsidRDefault="006A1DFA">
      <w:pPr>
        <w:keepNext/>
        <w:shd w:val="clear" w:color="auto" w:fill="FFFFFF"/>
        <w:rPr>
          <w:color w:val="000000"/>
          <w:szCs w:val="22"/>
          <w:lang w:val="hu"/>
        </w:rPr>
      </w:pPr>
    </w:p>
    <w:p w14:paraId="2EB3E7B0" w14:textId="77777777" w:rsidR="006A1DFA" w:rsidRPr="003D7C5D" w:rsidRDefault="009601BE">
      <w:pPr>
        <w:keepNext/>
        <w:rPr>
          <w:b/>
          <w:lang w:val="hu"/>
        </w:rPr>
      </w:pPr>
      <w:r>
        <w:rPr>
          <w:b/>
          <w:bCs/>
          <w:lang w:val="hu"/>
        </w:rPr>
        <w:t>Ne szedje a Proursan-t:</w:t>
      </w:r>
    </w:p>
    <w:p w14:paraId="46CC0DC6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ha allergiás az epesavakra (mint az urzodezoxikólsav) vagy a gyógyszer (6. pontban felsorolt) egyéb összetevőjére,</w:t>
      </w:r>
    </w:p>
    <w:p w14:paraId="1D393FAC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ha akut epehólyag és epeút gyulladása van,</w:t>
      </w:r>
    </w:p>
    <w:p w14:paraId="384C5BB0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ha elzáródott az epevezetéke vagy cisztás vezetéke van (az epeutak elzáródása),</w:t>
      </w:r>
    </w:p>
    <w:p w14:paraId="64663D3C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ha gyakran érez görcsszerű fájdalmat a felső gyomortájon (epegörcs, epekólika),</w:t>
      </w:r>
    </w:p>
    <w:p w14:paraId="41481FE2" w14:textId="10AB80E0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 xml:space="preserve">ha </w:t>
      </w:r>
      <w:r w:rsidR="00CC3E66">
        <w:rPr>
          <w:lang w:val="hu"/>
        </w:rPr>
        <w:t>kezelő</w:t>
      </w:r>
      <w:r>
        <w:rPr>
          <w:lang w:val="hu"/>
        </w:rPr>
        <w:t xml:space="preserve">orvosa azt mondta, hogy </w:t>
      </w:r>
      <w:r w:rsidR="00CC3E66">
        <w:rPr>
          <w:lang w:val="hu"/>
        </w:rPr>
        <w:t xml:space="preserve">elmeszesedett </w:t>
      </w:r>
      <w:r>
        <w:rPr>
          <w:lang w:val="hu"/>
        </w:rPr>
        <w:t>epeköve van,</w:t>
      </w:r>
    </w:p>
    <w:p w14:paraId="06FBE8F6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ha problémája van az epehólyag-összehúzódással,</w:t>
      </w:r>
    </w:p>
    <w:p w14:paraId="0924E044" w14:textId="77777777" w:rsidR="006A1DFA" w:rsidRPr="003D7C5D" w:rsidRDefault="009601BE">
      <w:pPr>
        <w:ind w:left="567" w:hanging="567"/>
        <w:rPr>
          <w:lang w:val="hu"/>
        </w:rPr>
      </w:pPr>
      <w:r>
        <w:rPr>
          <w:lang w:val="hu"/>
        </w:rPr>
        <w:lastRenderedPageBreak/>
        <w:t>-</w:t>
      </w:r>
      <w:r>
        <w:rPr>
          <w:lang w:val="hu"/>
        </w:rPr>
        <w:tab/>
        <w:t>ha Ön gyermek, és epeelzáródása van, és gyenge az epeáramlás még műtét után is.</w:t>
      </w:r>
    </w:p>
    <w:p w14:paraId="66BC3B56" w14:textId="77777777" w:rsidR="006A1DFA" w:rsidRPr="003D7C5D" w:rsidRDefault="006A1DFA">
      <w:pPr>
        <w:shd w:val="clear" w:color="auto" w:fill="FFFFFF"/>
        <w:rPr>
          <w:szCs w:val="22"/>
          <w:lang w:val="hu"/>
        </w:rPr>
      </w:pPr>
    </w:p>
    <w:p w14:paraId="5E3D39A4" w14:textId="77777777" w:rsidR="006A1DFA" w:rsidRPr="003D7C5D" w:rsidRDefault="009601BE">
      <w:pPr>
        <w:shd w:val="clear" w:color="auto" w:fill="FFFFFF"/>
        <w:rPr>
          <w:szCs w:val="22"/>
          <w:lang w:val="hu"/>
        </w:rPr>
      </w:pPr>
      <w:r>
        <w:rPr>
          <w:szCs w:val="22"/>
          <w:lang w:val="hu"/>
        </w:rPr>
        <w:t>A fenti állapotok bármelyikével kapcsolatban kérdezze kezelőorvosát. Azt is meg kell kérdeznie, hogy korábban fennállt-e Önnél ezen állapotok bármelyike.</w:t>
      </w:r>
    </w:p>
    <w:p w14:paraId="6DD93BE4" w14:textId="77777777" w:rsidR="006A1DFA" w:rsidRPr="003D7C5D" w:rsidRDefault="006A1DFA">
      <w:pPr>
        <w:shd w:val="clear" w:color="auto" w:fill="FFFFFF"/>
        <w:autoSpaceDE w:val="0"/>
        <w:autoSpaceDN w:val="0"/>
        <w:rPr>
          <w:b/>
          <w:bCs/>
          <w:color w:val="000000"/>
          <w:szCs w:val="22"/>
          <w:lang w:val="hu"/>
        </w:rPr>
      </w:pPr>
    </w:p>
    <w:p w14:paraId="41DB8893" w14:textId="77777777" w:rsidR="006A1DFA" w:rsidRPr="003D7C5D" w:rsidRDefault="009601BE">
      <w:pPr>
        <w:keepNext/>
        <w:shd w:val="clear" w:color="auto" w:fill="FFFFFF"/>
        <w:rPr>
          <w:b/>
          <w:color w:val="000000"/>
          <w:szCs w:val="22"/>
          <w:lang w:val="hu"/>
        </w:rPr>
      </w:pPr>
      <w:r>
        <w:rPr>
          <w:b/>
          <w:bCs/>
          <w:color w:val="000000"/>
          <w:szCs w:val="22"/>
          <w:lang w:val="hu"/>
        </w:rPr>
        <w:t>Figyelmeztetések és óvintézkedések</w:t>
      </w:r>
    </w:p>
    <w:p w14:paraId="1E1334DD" w14:textId="77777777" w:rsidR="006A1DFA" w:rsidRPr="003D7C5D" w:rsidRDefault="009601BE">
      <w:pPr>
        <w:rPr>
          <w:lang w:val="hu"/>
        </w:rPr>
      </w:pPr>
      <w:r>
        <w:rPr>
          <w:lang w:val="hu"/>
        </w:rPr>
        <w:t>Beszéljen kezelőorvosával vagy gyógyszerészével, mielőtt beveszi a Proursan-t.</w:t>
      </w:r>
    </w:p>
    <w:p w14:paraId="61DFC45F" w14:textId="77777777" w:rsidR="006A1DFA" w:rsidRPr="003D7C5D" w:rsidRDefault="006A1DFA">
      <w:pPr>
        <w:rPr>
          <w:lang w:val="hu"/>
        </w:rPr>
      </w:pPr>
    </w:p>
    <w:p w14:paraId="607D524B" w14:textId="0EEDBD58" w:rsidR="006A1DFA" w:rsidRPr="003D7C5D" w:rsidRDefault="009601BE">
      <w:pPr>
        <w:rPr>
          <w:lang w:val="hu"/>
        </w:rPr>
      </w:pPr>
      <w:r>
        <w:rPr>
          <w:lang w:val="hu"/>
        </w:rPr>
        <w:t>Kezelőorvosának rendszeresen ellenőriznie kell az Ön májműködését, a kezelés első 3 hónapjában 4</w:t>
      </w:r>
      <w:r w:rsidR="00110248">
        <w:rPr>
          <w:lang w:val="hu"/>
        </w:rPr>
        <w:t> </w:t>
      </w:r>
      <w:r>
        <w:rPr>
          <w:lang w:val="hu"/>
        </w:rPr>
        <w:t xml:space="preserve">hetenként. Ezt követően a májműködést 3 hónaponként kell </w:t>
      </w:r>
      <w:r w:rsidR="00110248">
        <w:rPr>
          <w:lang w:val="hu"/>
        </w:rPr>
        <w:t>ellenőrizni</w:t>
      </w:r>
      <w:r>
        <w:rPr>
          <w:lang w:val="hu"/>
        </w:rPr>
        <w:t>.</w:t>
      </w:r>
    </w:p>
    <w:p w14:paraId="42CAE2A9" w14:textId="77777777" w:rsidR="006A1DFA" w:rsidRPr="003D7C5D" w:rsidRDefault="006A1DFA">
      <w:pPr>
        <w:rPr>
          <w:lang w:val="hu"/>
        </w:rPr>
      </w:pPr>
    </w:p>
    <w:p w14:paraId="7C6637F2" w14:textId="77777777" w:rsidR="006A1DFA" w:rsidRPr="003D7C5D" w:rsidRDefault="009601BE">
      <w:pPr>
        <w:rPr>
          <w:lang w:val="hu"/>
        </w:rPr>
      </w:pPr>
      <w:r>
        <w:rPr>
          <w:lang w:val="hu"/>
        </w:rPr>
        <w:t>Ha epekő oldására szedi a gyógyszert, kezelőorvosának a kezelés első 6-10 hónapja után epehólyag felvételt kell készíttetnie.</w:t>
      </w:r>
    </w:p>
    <w:p w14:paraId="787D34D9" w14:textId="77777777" w:rsidR="006A1DFA" w:rsidRPr="003D7C5D" w:rsidRDefault="006A1DFA">
      <w:pPr>
        <w:rPr>
          <w:lang w:val="hu"/>
        </w:rPr>
      </w:pPr>
    </w:p>
    <w:p w14:paraId="7661656F" w14:textId="77777777" w:rsidR="006A1DFA" w:rsidRPr="003D7C5D" w:rsidRDefault="009601BE">
      <w:pPr>
        <w:rPr>
          <w:lang w:val="hu"/>
        </w:rPr>
      </w:pPr>
      <w:r>
        <w:rPr>
          <w:lang w:val="hu"/>
        </w:rPr>
        <w:t>Ha a Proursan filmtablettát epekő oldására szedi, kérjük, tájékoztassa kezelőorvosát, ha bármilyen ösztrogénhormont tartalmazó gyógyszert szed, mert ezek a gyógyszerek stimulálják az epekőképződést.</w:t>
      </w:r>
    </w:p>
    <w:p w14:paraId="117D563A" w14:textId="77777777" w:rsidR="006A1DFA" w:rsidRPr="003D7C5D" w:rsidRDefault="006A1DFA">
      <w:pPr>
        <w:rPr>
          <w:highlight w:val="yellow"/>
          <w:lang w:val="hu"/>
        </w:rPr>
      </w:pPr>
    </w:p>
    <w:p w14:paraId="1061AF23" w14:textId="77777777" w:rsidR="006A1DFA" w:rsidRPr="003D7C5D" w:rsidRDefault="009601BE">
      <w:pPr>
        <w:rPr>
          <w:lang w:val="hu"/>
        </w:rPr>
      </w:pPr>
      <w:r>
        <w:rPr>
          <w:lang w:val="hu"/>
        </w:rPr>
        <w:t>Ha PBC kezelésére alkalmazzák, ritka esetekben a tünetek rosszabbodhatnak a kezelés kezdetén. Ha ez megtörténik, kérjük beszéljen kezelőorvosával a kezdő adag csökkentéséről.</w:t>
      </w:r>
    </w:p>
    <w:p w14:paraId="0E8890CF" w14:textId="77777777" w:rsidR="006A1DFA" w:rsidRPr="003D7C5D" w:rsidRDefault="006A1DFA">
      <w:pPr>
        <w:rPr>
          <w:lang w:val="hu"/>
        </w:rPr>
      </w:pPr>
    </w:p>
    <w:p w14:paraId="2828066E" w14:textId="77777777" w:rsidR="006A1DFA" w:rsidRPr="003D7C5D" w:rsidRDefault="009601BE">
      <w:pPr>
        <w:rPr>
          <w:lang w:val="hu"/>
        </w:rPr>
      </w:pPr>
      <w:r>
        <w:rPr>
          <w:lang w:val="hu"/>
        </w:rPr>
        <w:t>Kérjük, azonnal tájékoztassa kezelőorvosát, ha hasmenése van, mert ez a gyógyszeradag csökkentését vagy a kezelés abbahagyását teheti szükségessé.</w:t>
      </w:r>
    </w:p>
    <w:p w14:paraId="228B6A67" w14:textId="77777777" w:rsidR="006A1DFA" w:rsidRPr="003D7C5D" w:rsidRDefault="006A1DFA">
      <w:pPr>
        <w:rPr>
          <w:lang w:val="hu"/>
        </w:rPr>
      </w:pPr>
    </w:p>
    <w:p w14:paraId="597DACFC" w14:textId="77777777" w:rsidR="006A1DFA" w:rsidRPr="0026611A" w:rsidRDefault="009601BE">
      <w:pPr>
        <w:keepNext/>
        <w:shd w:val="clear" w:color="auto" w:fill="FFFFFF"/>
        <w:rPr>
          <w:b/>
          <w:color w:val="000000"/>
          <w:szCs w:val="22"/>
          <w:lang w:val="hu"/>
        </w:rPr>
      </w:pPr>
      <w:r>
        <w:rPr>
          <w:b/>
          <w:bCs/>
          <w:color w:val="000000"/>
          <w:szCs w:val="22"/>
          <w:lang w:val="hu"/>
        </w:rPr>
        <w:t>Gyermekek és serdülők</w:t>
      </w:r>
    </w:p>
    <w:p w14:paraId="456228E5" w14:textId="77777777" w:rsidR="006A1DFA" w:rsidRPr="0026611A" w:rsidRDefault="009601BE">
      <w:pPr>
        <w:rPr>
          <w:lang w:val="hu"/>
        </w:rPr>
      </w:pPr>
      <w:r>
        <w:rPr>
          <w:lang w:val="hu"/>
        </w:rPr>
        <w:t>A Proursan nem alkalmazható 6 évesnél fiatalabb gyermeknél a kapszula erőssége miatt.</w:t>
      </w:r>
    </w:p>
    <w:p w14:paraId="61C7C1DD" w14:textId="77777777" w:rsidR="006A1DFA" w:rsidRPr="0026611A" w:rsidRDefault="006A1DFA">
      <w:pPr>
        <w:rPr>
          <w:lang w:val="hu"/>
        </w:rPr>
      </w:pPr>
    </w:p>
    <w:p w14:paraId="476531F9" w14:textId="77777777" w:rsidR="006A1DFA" w:rsidRPr="0026611A" w:rsidRDefault="009601BE">
      <w:pPr>
        <w:keepNext/>
        <w:shd w:val="clear" w:color="auto" w:fill="FFFFFF"/>
        <w:rPr>
          <w:b/>
          <w:color w:val="000000"/>
          <w:szCs w:val="22"/>
          <w:lang w:val="hu"/>
        </w:rPr>
      </w:pPr>
      <w:r>
        <w:rPr>
          <w:b/>
          <w:bCs/>
          <w:color w:val="000000"/>
          <w:szCs w:val="22"/>
          <w:lang w:val="hu"/>
        </w:rPr>
        <w:t>Egyéb gyógyszerek és a Proursan</w:t>
      </w:r>
    </w:p>
    <w:p w14:paraId="103AEC82" w14:textId="77777777" w:rsidR="006A1DFA" w:rsidRPr="0026611A" w:rsidRDefault="009601BE">
      <w:pPr>
        <w:numPr>
          <w:ilvl w:val="12"/>
          <w:numId w:val="0"/>
        </w:numPr>
        <w:ind w:right="-2"/>
        <w:rPr>
          <w:noProof/>
          <w:lang w:val="hu"/>
        </w:rPr>
      </w:pPr>
      <w:r>
        <w:rPr>
          <w:noProof/>
          <w:lang w:val="hu"/>
        </w:rPr>
        <w:t>Feltétlenül tájékoztassa kezelőorvosát vagy gyógyszerészét a jelenleg vagy nemrégiben szedett, valamint szedni tervezett egyéb gyógyszereiről.</w:t>
      </w:r>
    </w:p>
    <w:p w14:paraId="3F9002E8" w14:textId="77777777" w:rsidR="006A1DFA" w:rsidRPr="0026611A" w:rsidRDefault="009601BE">
      <w:pPr>
        <w:snapToGrid w:val="0"/>
        <w:rPr>
          <w:szCs w:val="22"/>
          <w:lang w:val="hu"/>
        </w:rPr>
      </w:pPr>
      <w:r>
        <w:rPr>
          <w:szCs w:val="22"/>
          <w:lang w:val="hu"/>
        </w:rPr>
        <w:t>Ezeknek a gyógyszereknek a hatása módosulhat.</w:t>
      </w:r>
    </w:p>
    <w:p w14:paraId="12CC434B" w14:textId="77777777" w:rsidR="006A1DFA" w:rsidRPr="0026611A" w:rsidRDefault="006A1DFA">
      <w:pPr>
        <w:snapToGrid w:val="0"/>
        <w:rPr>
          <w:bCs/>
          <w:szCs w:val="22"/>
          <w:lang w:val="hu"/>
        </w:rPr>
      </w:pPr>
    </w:p>
    <w:p w14:paraId="413E52E3" w14:textId="77777777" w:rsidR="006A1DFA" w:rsidRPr="0026611A" w:rsidRDefault="009601BE">
      <w:pPr>
        <w:rPr>
          <w:lang w:val="hu"/>
        </w:rPr>
      </w:pPr>
      <w:r>
        <w:rPr>
          <w:lang w:val="hu"/>
        </w:rPr>
        <w:t xml:space="preserve">A Proursan </w:t>
      </w:r>
      <w:r>
        <w:rPr>
          <w:b/>
          <w:bCs/>
          <w:lang w:val="hu"/>
        </w:rPr>
        <w:t>hatásainak csökkenése</w:t>
      </w:r>
      <w:r>
        <w:rPr>
          <w:lang w:val="hu"/>
        </w:rPr>
        <w:t xml:space="preserve"> fordulhat elő, amikor azt a következő gyógyszerekkel szedi:</w:t>
      </w:r>
    </w:p>
    <w:p w14:paraId="0EFEA29D" w14:textId="30B2C365" w:rsidR="006A1DFA" w:rsidRPr="0026611A" w:rsidRDefault="009601BE">
      <w:pPr>
        <w:widowControl w:val="0"/>
        <w:numPr>
          <w:ilvl w:val="0"/>
          <w:numId w:val="18"/>
        </w:numPr>
        <w:autoSpaceDE w:val="0"/>
        <w:autoSpaceDN w:val="0"/>
        <w:ind w:left="357" w:hanging="357"/>
        <w:rPr>
          <w:b/>
          <w:bCs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kolesztiramin, kolesztipol (a vér </w:t>
      </w:r>
      <w:r w:rsidR="00841676">
        <w:rPr>
          <w:color w:val="000000"/>
          <w:szCs w:val="22"/>
          <w:lang w:val="hu"/>
        </w:rPr>
        <w:t xml:space="preserve">lipidszintjének </w:t>
      </w:r>
      <w:r>
        <w:rPr>
          <w:color w:val="000000"/>
          <w:szCs w:val="22"/>
          <w:lang w:val="hu"/>
        </w:rPr>
        <w:t>csökkentésére használ</w:t>
      </w:r>
      <w:r w:rsidR="00C96DA3">
        <w:rPr>
          <w:color w:val="000000"/>
          <w:szCs w:val="22"/>
          <w:lang w:val="hu"/>
        </w:rPr>
        <w:t>ják</w:t>
      </w:r>
      <w:r>
        <w:rPr>
          <w:color w:val="000000"/>
          <w:szCs w:val="22"/>
          <w:lang w:val="hu"/>
        </w:rPr>
        <w:t>) vagy alumínium-hidroxidot vagy szmektitet (alumínium-oxid) tartalmazó sav</w:t>
      </w:r>
      <w:r w:rsidR="00C96DA3">
        <w:rPr>
          <w:color w:val="000000"/>
          <w:szCs w:val="22"/>
          <w:lang w:val="hu"/>
        </w:rPr>
        <w:t>le</w:t>
      </w:r>
      <w:r>
        <w:rPr>
          <w:color w:val="000000"/>
          <w:szCs w:val="22"/>
          <w:lang w:val="hu"/>
        </w:rPr>
        <w:t>kötőt (a gyomorsav megkötésére): Ha muszáj szednie e</w:t>
      </w:r>
      <w:r w:rsidR="00C96DA3">
        <w:rPr>
          <w:color w:val="000000"/>
          <w:szCs w:val="22"/>
          <w:lang w:val="hu"/>
        </w:rPr>
        <w:t>zen</w:t>
      </w:r>
      <w:r>
        <w:rPr>
          <w:color w:val="000000"/>
          <w:szCs w:val="22"/>
          <w:lang w:val="hu"/>
        </w:rPr>
        <w:t xml:space="preserve"> </w:t>
      </w:r>
      <w:r w:rsidR="00C96DA3">
        <w:rPr>
          <w:color w:val="000000"/>
          <w:szCs w:val="22"/>
          <w:lang w:val="hu"/>
        </w:rPr>
        <w:t>hatóanyagok</w:t>
      </w:r>
      <w:r>
        <w:rPr>
          <w:color w:val="000000"/>
          <w:szCs w:val="22"/>
          <w:lang w:val="hu"/>
        </w:rPr>
        <w:t xml:space="preserve"> bármelyikét tartalmazó gyógyszert, azt a gyógyszert legalább két órával a Proursan előtt vagy után kell bevenni.</w:t>
      </w:r>
    </w:p>
    <w:p w14:paraId="59B113D6" w14:textId="77777777" w:rsidR="006A1DFA" w:rsidRPr="0026611A" w:rsidRDefault="006A1DFA">
      <w:pPr>
        <w:widowControl w:val="0"/>
        <w:tabs>
          <w:tab w:val="left" w:pos="5387"/>
        </w:tabs>
        <w:rPr>
          <w:bCs/>
          <w:snapToGrid w:val="0"/>
          <w:szCs w:val="22"/>
          <w:lang w:val="hu"/>
        </w:rPr>
      </w:pPr>
    </w:p>
    <w:p w14:paraId="7952D86C" w14:textId="77777777" w:rsidR="006A1DFA" w:rsidRPr="0026611A" w:rsidRDefault="009601BE">
      <w:pPr>
        <w:rPr>
          <w:lang w:val="hu"/>
        </w:rPr>
      </w:pPr>
      <w:r>
        <w:rPr>
          <w:lang w:val="hu"/>
        </w:rPr>
        <w:t xml:space="preserve">A következő gyógyszerek </w:t>
      </w:r>
      <w:r>
        <w:rPr>
          <w:b/>
          <w:bCs/>
          <w:lang w:val="hu"/>
        </w:rPr>
        <w:t>hatásának csökkenése</w:t>
      </w:r>
      <w:r>
        <w:rPr>
          <w:lang w:val="hu"/>
        </w:rPr>
        <w:t xml:space="preserve"> fordulhat elő, ha azt a Proursan-nal együtt szedi:</w:t>
      </w:r>
    </w:p>
    <w:p w14:paraId="7A45A5B6" w14:textId="16DE2C1E" w:rsidR="006A1DFA" w:rsidRPr="003D7C5D" w:rsidRDefault="009601BE">
      <w:pPr>
        <w:widowControl w:val="0"/>
        <w:numPr>
          <w:ilvl w:val="1"/>
          <w:numId w:val="18"/>
        </w:numPr>
        <w:autoSpaceDE w:val="0"/>
        <w:autoSpaceDN w:val="0"/>
        <w:rPr>
          <w:b/>
          <w:bCs/>
          <w:szCs w:val="22"/>
          <w:lang w:val="hu"/>
        </w:rPr>
      </w:pPr>
      <w:r>
        <w:rPr>
          <w:color w:val="000000"/>
          <w:szCs w:val="22"/>
          <w:lang w:val="hu"/>
        </w:rPr>
        <w:t xml:space="preserve">ciprofloxacin és dapszon (antibiotikumok), nitrendipin (magas vérnyomás kezelésére alkalmazzák) és más gyógyszerek, amelyek hasonló módon metabolizálódnak. Szükség lehet arra, hogy </w:t>
      </w:r>
      <w:r w:rsidR="00C96DA3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orvosa módosítsa ezeknek a gyógyszereknek az adagját.</w:t>
      </w:r>
    </w:p>
    <w:p w14:paraId="5CF32855" w14:textId="77777777" w:rsidR="006A1DFA" w:rsidRPr="003D7C5D" w:rsidRDefault="006A1DFA">
      <w:pPr>
        <w:rPr>
          <w:color w:val="000000"/>
          <w:szCs w:val="22"/>
          <w:lang w:val="hu"/>
        </w:rPr>
      </w:pPr>
    </w:p>
    <w:p w14:paraId="775F3066" w14:textId="77777777" w:rsidR="006A1DFA" w:rsidRPr="003D7C5D" w:rsidRDefault="009601BE">
      <w:pPr>
        <w:rPr>
          <w:b/>
          <w:bCs/>
          <w:szCs w:val="22"/>
          <w:lang w:val="hu"/>
        </w:rPr>
      </w:pPr>
      <w:r>
        <w:rPr>
          <w:color w:val="000000"/>
          <w:szCs w:val="22"/>
          <w:lang w:val="hu"/>
        </w:rPr>
        <w:t xml:space="preserve">A következő gyógyszerek </w:t>
      </w:r>
      <w:r>
        <w:rPr>
          <w:b/>
          <w:bCs/>
          <w:color w:val="000000"/>
          <w:szCs w:val="22"/>
          <w:lang w:val="hu"/>
        </w:rPr>
        <w:t>hatása megváltozhat</w:t>
      </w:r>
      <w:r>
        <w:rPr>
          <w:color w:val="000000"/>
          <w:szCs w:val="22"/>
          <w:lang w:val="hu"/>
        </w:rPr>
        <w:t>, amikor a Proursan-nal együtt szedi:</w:t>
      </w:r>
    </w:p>
    <w:p w14:paraId="19D0ABFF" w14:textId="2352CC38" w:rsidR="006A1DFA" w:rsidRDefault="009601BE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rPr>
          <w:color w:val="000000"/>
          <w:szCs w:val="22"/>
        </w:rPr>
      </w:pPr>
      <w:r>
        <w:rPr>
          <w:color w:val="000000"/>
          <w:szCs w:val="22"/>
          <w:lang w:val="hu"/>
        </w:rPr>
        <w:t xml:space="preserve">ciklosporin (csökkenti az immunrendszer aktivitását). Ha Ön ciklosporinkezelést kap, </w:t>
      </w:r>
      <w:r w:rsidR="00C96DA3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orvosának ellenőriznie kell a ciklosporin mennyiségét a vérében. Szükség esetén orvosa módosítja az adagot.</w:t>
      </w:r>
    </w:p>
    <w:p w14:paraId="756321B0" w14:textId="77777777" w:rsidR="006A1DFA" w:rsidRDefault="009601BE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rPr>
          <w:bCs/>
          <w:color w:val="000000"/>
          <w:szCs w:val="22"/>
        </w:rPr>
      </w:pPr>
      <w:r>
        <w:rPr>
          <w:color w:val="000000"/>
          <w:szCs w:val="22"/>
          <w:lang w:val="hu"/>
        </w:rPr>
        <w:t>rozuvasztatin (magas koleszterinszint és kapcsolódó betegségek kezelésére).</w:t>
      </w:r>
    </w:p>
    <w:p w14:paraId="771044C9" w14:textId="77777777" w:rsidR="006A1DFA" w:rsidRDefault="006A1DFA">
      <w:pPr>
        <w:shd w:val="clear" w:color="auto" w:fill="FFFFFF"/>
        <w:rPr>
          <w:szCs w:val="22"/>
        </w:rPr>
      </w:pPr>
    </w:p>
    <w:p w14:paraId="462BC9EE" w14:textId="77777777" w:rsidR="006A1DFA" w:rsidRPr="003D7C5D" w:rsidRDefault="009601BE">
      <w:pPr>
        <w:shd w:val="clear" w:color="auto" w:fill="FFFFFF"/>
        <w:rPr>
          <w:szCs w:val="22"/>
          <w:lang w:val="hu"/>
        </w:rPr>
      </w:pPr>
      <w:r>
        <w:rPr>
          <w:szCs w:val="22"/>
          <w:lang w:val="hu"/>
        </w:rPr>
        <w:t>Ha Ön a Proursan filmtablettát epekő oldására szedi, kérjük, tájékoztassa kezelőorvosát, ha bármilyen ösztrogénhormont tartalmazó vagy a vér koleszterinszintjét csökkentő szert szed, például klofibrátot. Ezek a gyógyszerek stimulálják az epekőképződést, ami ellentétes hatású a Proursan kezeléssel.</w:t>
      </w:r>
    </w:p>
    <w:p w14:paraId="18EE937E" w14:textId="77777777" w:rsidR="006A1DFA" w:rsidRPr="003D7C5D" w:rsidRDefault="006A1DFA">
      <w:pPr>
        <w:shd w:val="clear" w:color="auto" w:fill="FFFFFF"/>
        <w:rPr>
          <w:b/>
          <w:bCs/>
          <w:szCs w:val="22"/>
          <w:lang w:val="hu"/>
        </w:rPr>
      </w:pPr>
    </w:p>
    <w:p w14:paraId="139D0F0F" w14:textId="77777777" w:rsidR="006A1DFA" w:rsidRPr="003D7C5D" w:rsidRDefault="006A1DFA">
      <w:pPr>
        <w:shd w:val="clear" w:color="auto" w:fill="FFFFFF"/>
        <w:ind w:left="24"/>
        <w:rPr>
          <w:b/>
          <w:bCs/>
          <w:color w:val="000000"/>
          <w:szCs w:val="22"/>
          <w:u w:val="single"/>
          <w:lang w:val="hu"/>
        </w:rPr>
      </w:pPr>
    </w:p>
    <w:p w14:paraId="0B577477" w14:textId="77777777" w:rsidR="006A1DFA" w:rsidRPr="003D7C5D" w:rsidRDefault="009601BE">
      <w:pPr>
        <w:keepNext/>
        <w:shd w:val="clear" w:color="auto" w:fill="FFFFFF"/>
        <w:rPr>
          <w:b/>
          <w:color w:val="000000"/>
          <w:szCs w:val="22"/>
          <w:lang w:val="hu"/>
        </w:rPr>
      </w:pPr>
      <w:r>
        <w:rPr>
          <w:b/>
          <w:bCs/>
          <w:color w:val="000000"/>
          <w:szCs w:val="22"/>
          <w:lang w:val="hu"/>
        </w:rPr>
        <w:t>Terhesség, szoptatás és termékenység</w:t>
      </w:r>
    </w:p>
    <w:p w14:paraId="351BADAE" w14:textId="77777777" w:rsidR="006A1DFA" w:rsidRPr="003D7C5D" w:rsidRDefault="009601BE">
      <w:pPr>
        <w:shd w:val="clear" w:color="auto" w:fill="FFFFFF"/>
        <w:ind w:left="6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01E2CBC0" w14:textId="77777777" w:rsidR="006A1DFA" w:rsidRPr="003D7C5D" w:rsidRDefault="006A1DFA">
      <w:pPr>
        <w:shd w:val="clear" w:color="auto" w:fill="FFFFFF"/>
        <w:rPr>
          <w:b/>
          <w:bCs/>
          <w:color w:val="000000"/>
          <w:szCs w:val="22"/>
          <w:lang w:val="hu"/>
        </w:rPr>
      </w:pPr>
    </w:p>
    <w:p w14:paraId="74AF2890" w14:textId="77777777" w:rsidR="006A1DFA" w:rsidRPr="003D7C5D" w:rsidRDefault="009601BE">
      <w:pPr>
        <w:keepNext/>
        <w:shd w:val="clear" w:color="auto" w:fill="FFFFFF"/>
        <w:rPr>
          <w:bCs/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Terhesség</w:t>
      </w:r>
    </w:p>
    <w:p w14:paraId="7EB415C5" w14:textId="058700E2" w:rsidR="006A1DFA" w:rsidRPr="003D7C5D" w:rsidRDefault="009601BE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Nincs vagy korlátozott mennyiségben áll rendelkezésre adat az urzodezoxikólsav alkalmazásáról terhes nők esetében. </w:t>
      </w:r>
      <w:r w:rsidR="00D12C17" w:rsidRPr="00D12C17">
        <w:rPr>
          <w:color w:val="000000"/>
          <w:szCs w:val="22"/>
          <w:lang w:val="hu"/>
        </w:rPr>
        <w:t>Állatkísérletekben károsította a reprodukciós képességet.</w:t>
      </w:r>
      <w:r>
        <w:rPr>
          <w:color w:val="000000"/>
          <w:szCs w:val="22"/>
          <w:lang w:val="hu"/>
        </w:rPr>
        <w:t xml:space="preserve"> A Proursan nem alkalmazható terhesség idején, csak ha feltétlenül szükséges.</w:t>
      </w:r>
    </w:p>
    <w:p w14:paraId="5DB42844" w14:textId="77777777" w:rsidR="006A1DFA" w:rsidRPr="003D7C5D" w:rsidRDefault="006A1DFA">
      <w:pPr>
        <w:shd w:val="clear" w:color="auto" w:fill="FFFFFF"/>
        <w:rPr>
          <w:b/>
          <w:bCs/>
          <w:color w:val="000000"/>
          <w:szCs w:val="22"/>
          <w:lang w:val="hu"/>
        </w:rPr>
      </w:pPr>
    </w:p>
    <w:p w14:paraId="6379A2BA" w14:textId="77777777" w:rsidR="006A1DFA" w:rsidRPr="003D7C5D" w:rsidRDefault="009601BE">
      <w:pPr>
        <w:keepNext/>
        <w:shd w:val="clear" w:color="auto" w:fill="FFFFFF"/>
        <w:rPr>
          <w:bCs/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Fogamzóképes nők</w:t>
      </w:r>
    </w:p>
    <w:p w14:paraId="4C64943C" w14:textId="0E18B9EA" w:rsidR="006A1DFA" w:rsidRPr="003D7C5D" w:rsidRDefault="009601BE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Konzultáljon </w:t>
      </w:r>
      <w:r w:rsidR="00421A34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orvosával akkor is, ha nem terhes.</w:t>
      </w:r>
    </w:p>
    <w:p w14:paraId="49979365" w14:textId="77777777" w:rsidR="006A1DFA" w:rsidRPr="003D7C5D" w:rsidRDefault="009601BE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 fogamzóképes nőket csak akkor szabad kezelni, ha megbízható fogamzásgátlást alkalmaznak: nem hormonális vagy alacsony ösztrogéntartalmú orális fogamzásgátlás javasolt.</w:t>
      </w:r>
    </w:p>
    <w:p w14:paraId="56FE5C1D" w14:textId="77777777" w:rsidR="006A1DFA" w:rsidRPr="003D7C5D" w:rsidRDefault="009601BE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Ugyanakkor, ha epekő oldására szedi a Proursan filmtablettát, hatékony nem hormontartalmú fogamzásgátlást kell alkalmazni, mert a hormont tartalmazó szájon át szedhető fogamzásgátlók elősegíthetik az epekő kialakulását.</w:t>
      </w:r>
    </w:p>
    <w:p w14:paraId="772096E1" w14:textId="56F27EE8" w:rsidR="006A1DFA" w:rsidRPr="003D7C5D" w:rsidRDefault="00421A34">
      <w:pPr>
        <w:shd w:val="clear" w:color="auto" w:fill="FFFFFF"/>
        <w:ind w:left="6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Kezelőo</w:t>
      </w:r>
      <w:r w:rsidR="009601BE">
        <w:rPr>
          <w:color w:val="000000"/>
          <w:szCs w:val="22"/>
          <w:lang w:val="hu"/>
        </w:rPr>
        <w:t>rvosának ki kell zárnia a terhesség lehetőséget a kezelés megkezdése előtt.</w:t>
      </w:r>
    </w:p>
    <w:p w14:paraId="3849277B" w14:textId="77777777" w:rsidR="006A1DFA" w:rsidRPr="003D7C5D" w:rsidRDefault="006A1DFA">
      <w:pPr>
        <w:shd w:val="clear" w:color="auto" w:fill="FFFFFF"/>
        <w:rPr>
          <w:color w:val="000000"/>
          <w:szCs w:val="22"/>
          <w:lang w:val="hu"/>
        </w:rPr>
      </w:pPr>
    </w:p>
    <w:p w14:paraId="697C6955" w14:textId="77777777" w:rsidR="006A1DFA" w:rsidRPr="003D7C5D" w:rsidRDefault="009601BE">
      <w:pPr>
        <w:keepNext/>
        <w:autoSpaceDE w:val="0"/>
        <w:autoSpaceDN w:val="0"/>
        <w:adjustRightInd w:val="0"/>
        <w:rPr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Szoptatás</w:t>
      </w:r>
    </w:p>
    <w:p w14:paraId="64E1BEF0" w14:textId="77777777" w:rsidR="006A1DFA" w:rsidRPr="003D7C5D" w:rsidRDefault="009601BE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Néhány szoptató anyára vonatkozó dokumentált eset alapján az urzodezoxikólsav szintje a tejben rendkívül alacsony, és valószínűleg nem várható káros mellékhatás az anyatejjel táplált csecsemőknél.</w:t>
      </w:r>
    </w:p>
    <w:p w14:paraId="4366EDF4" w14:textId="77777777" w:rsidR="006A1DFA" w:rsidRPr="003D7C5D" w:rsidRDefault="006A1DFA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5EC391A4" w14:textId="77777777" w:rsidR="006A1DFA" w:rsidRPr="003D7C5D" w:rsidRDefault="009601BE">
      <w:pPr>
        <w:shd w:val="clear" w:color="auto" w:fill="FFFFFF"/>
        <w:ind w:left="6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Termékenység</w:t>
      </w:r>
    </w:p>
    <w:p w14:paraId="0FB71EEB" w14:textId="77777777" w:rsidR="006A1DFA" w:rsidRPr="003D7C5D" w:rsidRDefault="009601BE">
      <w:pPr>
        <w:shd w:val="clear" w:color="auto" w:fill="FFFFFF"/>
        <w:ind w:left="6"/>
        <w:rPr>
          <w:b/>
          <w:bCs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Az állatkísérletek nem mutatták ki az urzodezoxikólsav hatását a termékenységre. Embernél az urzodezoxikólsav kezelésnek a későbbi termékenységre kifejtett hatásáról nem állnak rendelkezésre adatok.</w:t>
      </w:r>
    </w:p>
    <w:p w14:paraId="7F29C4C8" w14:textId="77777777" w:rsidR="006A1DFA" w:rsidRPr="003D7C5D" w:rsidRDefault="006A1DFA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006F1B54" w14:textId="77777777" w:rsidR="006A1DFA" w:rsidRPr="003D7C5D" w:rsidRDefault="009601BE">
      <w:pPr>
        <w:keepNext/>
        <w:shd w:val="clear" w:color="auto" w:fill="FFFFFF"/>
        <w:rPr>
          <w:b/>
          <w:color w:val="000000"/>
          <w:szCs w:val="22"/>
          <w:lang w:val="hu"/>
        </w:rPr>
      </w:pPr>
      <w:r>
        <w:rPr>
          <w:b/>
          <w:bCs/>
          <w:color w:val="000000"/>
          <w:szCs w:val="22"/>
          <w:lang w:val="hu"/>
        </w:rPr>
        <w:t>A készítmény hatásai a gépjárművezetéshez és a gépek kezeléséhez szükséges képességekre</w:t>
      </w:r>
    </w:p>
    <w:p w14:paraId="417823EE" w14:textId="7003075F" w:rsidR="006A1DFA" w:rsidRPr="003D7C5D" w:rsidRDefault="009601BE">
      <w:pPr>
        <w:autoSpaceDE w:val="0"/>
        <w:autoSpaceDN w:val="0"/>
        <w:rPr>
          <w:szCs w:val="22"/>
          <w:lang w:val="hu"/>
        </w:rPr>
      </w:pPr>
      <w:r>
        <w:rPr>
          <w:szCs w:val="22"/>
          <w:lang w:val="hu"/>
        </w:rPr>
        <w:t>Nem figyeltek meg a gépjárművezetéshez és</w:t>
      </w:r>
      <w:r w:rsidR="00421A34">
        <w:rPr>
          <w:szCs w:val="22"/>
          <w:lang w:val="hu"/>
        </w:rPr>
        <w:t xml:space="preserve"> a</w:t>
      </w:r>
      <w:r>
        <w:rPr>
          <w:szCs w:val="22"/>
          <w:lang w:val="hu"/>
        </w:rPr>
        <w:t xml:space="preserve"> gépek kezeléséhez szükséges képességekre gyakorolt hatást.</w:t>
      </w:r>
    </w:p>
    <w:p w14:paraId="39074711" w14:textId="77777777" w:rsidR="006A1DFA" w:rsidRPr="003D7C5D" w:rsidRDefault="006A1DFA">
      <w:pPr>
        <w:shd w:val="clear" w:color="auto" w:fill="FFFFFF"/>
        <w:rPr>
          <w:szCs w:val="22"/>
          <w:lang w:val="hu"/>
        </w:rPr>
      </w:pPr>
    </w:p>
    <w:p w14:paraId="673E21CD" w14:textId="77777777" w:rsidR="006A1DFA" w:rsidRPr="003D7C5D" w:rsidRDefault="006A1DFA">
      <w:pPr>
        <w:shd w:val="clear" w:color="auto" w:fill="FFFFFF"/>
        <w:rPr>
          <w:szCs w:val="22"/>
          <w:lang w:val="hu"/>
        </w:rPr>
      </w:pPr>
    </w:p>
    <w:p w14:paraId="55A3B261" w14:textId="77777777" w:rsidR="006A1DFA" w:rsidRPr="003D7C5D" w:rsidRDefault="009601BE">
      <w:pPr>
        <w:keepNext/>
        <w:ind w:left="567" w:hanging="567"/>
        <w:rPr>
          <w:b/>
          <w:lang w:val="fr-BE"/>
        </w:rPr>
      </w:pPr>
      <w:r>
        <w:rPr>
          <w:b/>
          <w:bCs/>
          <w:szCs w:val="22"/>
          <w:lang w:val="hu"/>
        </w:rPr>
        <w:t>3.</w:t>
      </w:r>
      <w:r>
        <w:rPr>
          <w:b/>
          <w:bCs/>
          <w:szCs w:val="22"/>
          <w:lang w:val="hu"/>
        </w:rPr>
        <w:tab/>
        <w:t>Hogyan kell szedni a Proursan-t?</w:t>
      </w:r>
    </w:p>
    <w:p w14:paraId="03FF0537" w14:textId="77777777" w:rsidR="006A1DFA" w:rsidRPr="003D7C5D" w:rsidRDefault="006A1DFA">
      <w:pPr>
        <w:keepNext/>
        <w:snapToGrid w:val="0"/>
        <w:rPr>
          <w:b/>
          <w:szCs w:val="22"/>
          <w:lang w:val="fr-BE"/>
        </w:rPr>
      </w:pPr>
    </w:p>
    <w:p w14:paraId="6977B784" w14:textId="77777777" w:rsidR="006A1DFA" w:rsidRPr="003D7C5D" w:rsidRDefault="009601BE">
      <w:pPr>
        <w:snapToGrid w:val="0"/>
        <w:rPr>
          <w:szCs w:val="22"/>
          <w:lang w:val="hu"/>
        </w:rPr>
      </w:pPr>
      <w:r>
        <w:rPr>
          <w:szCs w:val="22"/>
          <w:lang w:val="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30C8270F" w14:textId="77777777" w:rsidR="006A1DFA" w:rsidRPr="003D7C5D" w:rsidRDefault="006A1DFA">
      <w:pPr>
        <w:shd w:val="clear" w:color="auto" w:fill="FFFFFF"/>
        <w:rPr>
          <w:b/>
          <w:bCs/>
          <w:color w:val="000000"/>
          <w:szCs w:val="22"/>
          <w:u w:val="single"/>
          <w:lang w:val="hu"/>
        </w:rPr>
      </w:pPr>
    </w:p>
    <w:p w14:paraId="098F37B4" w14:textId="77777777" w:rsidR="006A1DFA" w:rsidRPr="003D7C5D" w:rsidRDefault="009601BE">
      <w:pPr>
        <w:keepNext/>
        <w:shd w:val="clear" w:color="auto" w:fill="FFFFFF"/>
        <w:rPr>
          <w:b/>
          <w:color w:val="000000"/>
          <w:szCs w:val="22"/>
          <w:lang w:val="hu"/>
        </w:rPr>
      </w:pPr>
      <w:r>
        <w:rPr>
          <w:b/>
          <w:bCs/>
          <w:color w:val="000000"/>
          <w:szCs w:val="22"/>
          <w:lang w:val="hu"/>
        </w:rPr>
        <w:t>Epekő oldására</w:t>
      </w:r>
    </w:p>
    <w:p w14:paraId="5658B248" w14:textId="77777777" w:rsidR="006A1DFA" w:rsidRPr="003D7C5D" w:rsidRDefault="006A1DFA">
      <w:pPr>
        <w:keepNext/>
        <w:shd w:val="clear" w:color="auto" w:fill="FFFFFF"/>
        <w:ind w:left="11"/>
        <w:rPr>
          <w:i/>
          <w:color w:val="000000"/>
          <w:szCs w:val="22"/>
          <w:lang w:val="hu"/>
        </w:rPr>
      </w:pPr>
    </w:p>
    <w:p w14:paraId="23BC4F59" w14:textId="77777777" w:rsidR="006A1DFA" w:rsidRPr="003D7C5D" w:rsidRDefault="009601BE">
      <w:pPr>
        <w:keepNext/>
        <w:shd w:val="clear" w:color="auto" w:fill="FFFFFF"/>
        <w:ind w:left="11"/>
        <w:rPr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Adagolás</w:t>
      </w:r>
    </w:p>
    <w:p w14:paraId="0A3CBEFC" w14:textId="33A32D58" w:rsidR="006A1DFA" w:rsidRPr="003D7C5D" w:rsidRDefault="009601BE">
      <w:pPr>
        <w:shd w:val="clear" w:color="auto" w:fill="FFFFFF"/>
        <w:ind w:left="11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Az ajánlott adag körülbelül 10</w:t>
      </w:r>
      <w:r w:rsidR="00901CCC">
        <w:rPr>
          <w:color w:val="000000"/>
          <w:szCs w:val="22"/>
          <w:lang w:val="hu"/>
        </w:rPr>
        <w:t> mg</w:t>
      </w:r>
      <w:r>
        <w:rPr>
          <w:color w:val="000000"/>
          <w:szCs w:val="22"/>
          <w:lang w:val="hu"/>
        </w:rPr>
        <w:t xml:space="preserve"> urzodezoxikólsav testtömegkilogrammonként naponta</w:t>
      </w:r>
      <w:r w:rsidR="00421A34">
        <w:rPr>
          <w:color w:val="000000"/>
          <w:szCs w:val="22"/>
          <w:lang w:val="hu"/>
        </w:rPr>
        <w:t>,</w:t>
      </w:r>
      <w:r>
        <w:rPr>
          <w:color w:val="000000"/>
          <w:szCs w:val="22"/>
          <w:lang w:val="hu"/>
        </w:rPr>
        <w:t xml:space="preserve"> az alábbiak szerint:</w:t>
      </w:r>
    </w:p>
    <w:p w14:paraId="57777F1F" w14:textId="77777777" w:rsidR="006A1DFA" w:rsidRPr="003D7C5D" w:rsidRDefault="006A1DFA">
      <w:pPr>
        <w:shd w:val="clear" w:color="auto" w:fill="FFFFFF"/>
        <w:ind w:left="11"/>
        <w:rPr>
          <w:szCs w:val="22"/>
          <w:lang w:val="hu"/>
        </w:rPr>
      </w:pPr>
    </w:p>
    <w:tbl>
      <w:tblPr>
        <w:tblW w:w="765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06"/>
        <w:gridCol w:w="3049"/>
      </w:tblGrid>
      <w:tr w:rsidR="006A1DFA" w14:paraId="157A2266" w14:textId="77777777">
        <w:tc>
          <w:tcPr>
            <w:tcW w:w="4606" w:type="dxa"/>
            <w:vAlign w:val="center"/>
          </w:tcPr>
          <w:p w14:paraId="1E549D3C" w14:textId="398BBBDD" w:rsidR="006A1DFA" w:rsidRDefault="009601BE" w:rsidP="00421A3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47</w:t>
            </w:r>
            <w:r w:rsidR="00421A34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 xml:space="preserve">60 kg </w:t>
            </w:r>
          </w:p>
        </w:tc>
        <w:tc>
          <w:tcPr>
            <w:tcW w:w="3049" w:type="dxa"/>
            <w:vAlign w:val="center"/>
          </w:tcPr>
          <w:p w14:paraId="2F20B986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 kapszula</w:t>
            </w:r>
          </w:p>
        </w:tc>
      </w:tr>
      <w:tr w:rsidR="006A1DFA" w14:paraId="7E762227" w14:textId="77777777">
        <w:tc>
          <w:tcPr>
            <w:tcW w:w="4606" w:type="dxa"/>
            <w:vAlign w:val="center"/>
          </w:tcPr>
          <w:p w14:paraId="098658EF" w14:textId="2AA444F0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61</w:t>
            </w:r>
            <w:r w:rsidR="00421A34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80 kg</w:t>
            </w:r>
          </w:p>
        </w:tc>
        <w:tc>
          <w:tcPr>
            <w:tcW w:w="3049" w:type="dxa"/>
            <w:vAlign w:val="center"/>
          </w:tcPr>
          <w:p w14:paraId="020E6CF2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 kapszula</w:t>
            </w:r>
          </w:p>
        </w:tc>
      </w:tr>
      <w:tr w:rsidR="006A1DFA" w14:paraId="3EF3A616" w14:textId="77777777">
        <w:tc>
          <w:tcPr>
            <w:tcW w:w="4606" w:type="dxa"/>
            <w:vAlign w:val="center"/>
          </w:tcPr>
          <w:p w14:paraId="150932C0" w14:textId="335CE480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81</w:t>
            </w:r>
            <w:r w:rsidR="00421A34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100 kg</w:t>
            </w:r>
          </w:p>
        </w:tc>
        <w:tc>
          <w:tcPr>
            <w:tcW w:w="3049" w:type="dxa"/>
            <w:vAlign w:val="center"/>
          </w:tcPr>
          <w:p w14:paraId="1CECAE9E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 kapszula</w:t>
            </w:r>
          </w:p>
        </w:tc>
      </w:tr>
      <w:tr w:rsidR="006A1DFA" w14:paraId="56F1C723" w14:textId="77777777">
        <w:tc>
          <w:tcPr>
            <w:tcW w:w="4606" w:type="dxa"/>
            <w:vAlign w:val="center"/>
          </w:tcPr>
          <w:p w14:paraId="243766CC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100 kg fölött</w:t>
            </w:r>
          </w:p>
        </w:tc>
        <w:tc>
          <w:tcPr>
            <w:tcW w:w="3049" w:type="dxa"/>
            <w:vAlign w:val="center"/>
          </w:tcPr>
          <w:p w14:paraId="7C6F5A8D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5 kapszula</w:t>
            </w:r>
          </w:p>
        </w:tc>
      </w:tr>
    </w:tbl>
    <w:p w14:paraId="1471638F" w14:textId="77777777" w:rsidR="006A1DFA" w:rsidRDefault="006A1DFA"/>
    <w:p w14:paraId="5D051042" w14:textId="77777777" w:rsidR="006A1DFA" w:rsidRDefault="009601BE">
      <w:r>
        <w:rPr>
          <w:lang w:val="hu"/>
        </w:rPr>
        <w:t>Ha Ön kevesebb 47 kg-nál vagy nem tudja lenyelni a Proursan-t, más urzodezoxikólsavat tartalmazó készítmény is elérhető lehet.</w:t>
      </w:r>
    </w:p>
    <w:p w14:paraId="264D8D5E" w14:textId="77777777" w:rsidR="006A1DFA" w:rsidRDefault="006A1DFA"/>
    <w:p w14:paraId="08351D61" w14:textId="77777777" w:rsidR="006A1DFA" w:rsidRDefault="009601BE">
      <w:pPr>
        <w:keepNext/>
        <w:shd w:val="clear" w:color="auto" w:fill="FFFFFF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Az alkalmazás módja</w:t>
      </w:r>
    </w:p>
    <w:p w14:paraId="78B4B7A0" w14:textId="77777777" w:rsidR="006A1DFA" w:rsidRPr="003D7C5D" w:rsidRDefault="009601BE">
      <w:pPr>
        <w:shd w:val="clear" w:color="auto" w:fill="FFFFFF"/>
        <w:ind w:left="5" w:hanging="5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 kapszulát egészben, egy pohár vízzel vagy más folyadékkal kell bevenni. A kapszulákat este, lefekvés előtt vegye be. Rendszeresen vegye be a gyógyszerét.</w:t>
      </w:r>
    </w:p>
    <w:p w14:paraId="47F56777" w14:textId="77777777" w:rsidR="006A1DFA" w:rsidRPr="003D7C5D" w:rsidRDefault="006A1DFA">
      <w:pPr>
        <w:shd w:val="clear" w:color="auto" w:fill="FFFFFF"/>
        <w:ind w:left="5" w:hanging="5"/>
        <w:rPr>
          <w:b/>
          <w:bCs/>
          <w:color w:val="000000"/>
          <w:szCs w:val="22"/>
          <w:lang w:val="hu"/>
        </w:rPr>
      </w:pPr>
    </w:p>
    <w:p w14:paraId="2C8F2144" w14:textId="77777777" w:rsidR="006A1DFA" w:rsidRPr="003D7C5D" w:rsidRDefault="009601BE">
      <w:pPr>
        <w:keepNext/>
        <w:shd w:val="clear" w:color="auto" w:fill="FFFFFF"/>
        <w:rPr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 kezelés időtartama</w:t>
      </w:r>
    </w:p>
    <w:p w14:paraId="09FBE9CD" w14:textId="0DB6BF92" w:rsidR="006A1DFA" w:rsidRPr="003D7C5D" w:rsidRDefault="009601BE">
      <w:pPr>
        <w:shd w:val="clear" w:color="auto" w:fill="FFFFFF"/>
        <w:rPr>
          <w:strike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Általában 6 és 24 hónap közötti időt vesz igénybe az epekövek feloldódása. Ha 12</w:t>
      </w:r>
      <w:r w:rsidR="00421A34">
        <w:rPr>
          <w:color w:val="000000"/>
          <w:szCs w:val="22"/>
          <w:lang w:val="hu"/>
        </w:rPr>
        <w:t> </w:t>
      </w:r>
      <w:r>
        <w:rPr>
          <w:color w:val="000000"/>
          <w:szCs w:val="22"/>
          <w:lang w:val="hu"/>
        </w:rPr>
        <w:t>hónap után a kövek mérete nem csökkent, a kezelést abba kell hagyni.</w:t>
      </w:r>
    </w:p>
    <w:p w14:paraId="20450483" w14:textId="696DA6DE" w:rsidR="006A1DFA" w:rsidRPr="003D7C5D" w:rsidRDefault="009601BE">
      <w:pPr>
        <w:shd w:val="clear" w:color="auto" w:fill="FFFFFF"/>
        <w:rPr>
          <w:strike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lastRenderedPageBreak/>
        <w:t xml:space="preserve">6 hónaponként orvosának ellenőriznie kell, hogy hat-e a kezelés. Ezeken az ellenőrző vizsgálatokon azt is ellenőrizni kell, nem történt-e a kövek megkeményedését okozó kalcium felhalmozódás az utolsó alkalom óta. Ha ez történik, </w:t>
      </w:r>
      <w:r w:rsidR="00421A34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orvosa le fogja állítani a kezelést.</w:t>
      </w:r>
    </w:p>
    <w:p w14:paraId="12CAE16C" w14:textId="77777777" w:rsidR="006A1DFA" w:rsidRPr="003D7C5D" w:rsidRDefault="006A1DFA">
      <w:pPr>
        <w:shd w:val="clear" w:color="auto" w:fill="FFFFFF"/>
        <w:rPr>
          <w:szCs w:val="22"/>
          <w:lang w:val="hu"/>
        </w:rPr>
      </w:pPr>
    </w:p>
    <w:p w14:paraId="0C3698D2" w14:textId="495DF22B" w:rsidR="006A1DFA" w:rsidRPr="003D7C5D" w:rsidRDefault="009601BE">
      <w:pPr>
        <w:keepNext/>
        <w:shd w:val="clear" w:color="auto" w:fill="FFFFFF"/>
        <w:rPr>
          <w:b/>
          <w:color w:val="000000"/>
          <w:szCs w:val="22"/>
          <w:lang w:val="hu"/>
        </w:rPr>
      </w:pPr>
      <w:r>
        <w:rPr>
          <w:b/>
          <w:bCs/>
          <w:color w:val="000000"/>
          <w:szCs w:val="22"/>
          <w:lang w:val="hu"/>
        </w:rPr>
        <w:t>Epereflux</w:t>
      </w:r>
      <w:r w:rsidR="00421A34">
        <w:rPr>
          <w:b/>
          <w:bCs/>
          <w:color w:val="000000"/>
          <w:szCs w:val="22"/>
          <w:lang w:val="hu"/>
        </w:rPr>
        <w:t>-</w:t>
      </w:r>
      <w:r>
        <w:rPr>
          <w:b/>
          <w:bCs/>
          <w:color w:val="000000"/>
          <w:szCs w:val="22"/>
          <w:lang w:val="hu"/>
        </w:rPr>
        <w:t>gas</w:t>
      </w:r>
      <w:r w:rsidR="00421A34">
        <w:rPr>
          <w:b/>
          <w:bCs/>
          <w:color w:val="000000"/>
          <w:szCs w:val="22"/>
          <w:lang w:val="hu"/>
        </w:rPr>
        <w:t>z</w:t>
      </w:r>
      <w:r>
        <w:rPr>
          <w:b/>
          <w:bCs/>
          <w:color w:val="000000"/>
          <w:szCs w:val="22"/>
          <w:lang w:val="hu"/>
        </w:rPr>
        <w:t>tritis</w:t>
      </w:r>
      <w:r w:rsidR="00421A34">
        <w:rPr>
          <w:b/>
          <w:bCs/>
          <w:color w:val="000000"/>
          <w:szCs w:val="22"/>
          <w:lang w:val="hu"/>
        </w:rPr>
        <w:t>z</w:t>
      </w:r>
      <w:r w:rsidR="00813A84">
        <w:rPr>
          <w:b/>
          <w:bCs/>
          <w:color w:val="000000"/>
          <w:szCs w:val="22"/>
          <w:lang w:val="hu"/>
        </w:rPr>
        <w:t xml:space="preserve"> (</w:t>
      </w:r>
      <w:r w:rsidR="00813A84" w:rsidRPr="00813A84">
        <w:rPr>
          <w:b/>
          <w:bCs/>
          <w:color w:val="000000"/>
          <w:szCs w:val="22"/>
          <w:lang w:val="hu"/>
        </w:rPr>
        <w:t>epevisszafolyás okozta gyomornyálkahártya-gyulladás</w:t>
      </w:r>
      <w:r w:rsidR="00813A84">
        <w:rPr>
          <w:b/>
          <w:bCs/>
          <w:color w:val="000000"/>
          <w:szCs w:val="22"/>
          <w:lang w:val="hu"/>
        </w:rPr>
        <w:t>)</w:t>
      </w:r>
      <w:r>
        <w:rPr>
          <w:b/>
          <w:bCs/>
          <w:color w:val="000000"/>
          <w:szCs w:val="22"/>
          <w:lang w:val="hu"/>
        </w:rPr>
        <w:t xml:space="preserve"> kezelése</w:t>
      </w:r>
    </w:p>
    <w:p w14:paraId="259166B0" w14:textId="77777777" w:rsidR="006A1DFA" w:rsidRPr="003D7C5D" w:rsidRDefault="006A1DFA">
      <w:pPr>
        <w:keepNext/>
        <w:shd w:val="clear" w:color="auto" w:fill="FFFFFF"/>
        <w:rPr>
          <w:i/>
          <w:color w:val="000000"/>
          <w:szCs w:val="22"/>
          <w:lang w:val="hu"/>
        </w:rPr>
      </w:pPr>
    </w:p>
    <w:p w14:paraId="561D42D5" w14:textId="77777777" w:rsidR="006A1DFA" w:rsidRPr="003D7C5D" w:rsidRDefault="009601BE">
      <w:pPr>
        <w:keepNext/>
        <w:shd w:val="clear" w:color="auto" w:fill="FFFFFF"/>
        <w:rPr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Adagolás és alkalmazás</w:t>
      </w:r>
    </w:p>
    <w:p w14:paraId="3B99B780" w14:textId="77777777" w:rsidR="006A1DFA" w:rsidRPr="003D7C5D" w:rsidRDefault="009601BE">
      <w:pPr>
        <w:shd w:val="clear" w:color="auto" w:fill="FFFFFF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Naponta 1 kapszulát vegyen be este, lefekvés előtt. A kapszulát egészben, (ne szétrágva) folyadékkal nyelje le.</w:t>
      </w:r>
    </w:p>
    <w:p w14:paraId="13218657" w14:textId="77777777" w:rsidR="006A1DFA" w:rsidRPr="003D7C5D" w:rsidRDefault="006A1DFA">
      <w:pPr>
        <w:rPr>
          <w:lang w:val="hu"/>
        </w:rPr>
      </w:pPr>
    </w:p>
    <w:p w14:paraId="082B6D1C" w14:textId="77777777" w:rsidR="006A1DFA" w:rsidRPr="003D7C5D" w:rsidRDefault="009601BE">
      <w:pPr>
        <w:rPr>
          <w:lang w:val="hu"/>
        </w:rPr>
      </w:pPr>
      <w:r>
        <w:rPr>
          <w:lang w:val="hu"/>
        </w:rPr>
        <w:t>Ha Ön kevesebb 47 kg-nál vagy nem tudja lenyelni a Proursan-t, más urzodezoxikólsavat tartalmazó készítmény is elérhető lehet.</w:t>
      </w:r>
    </w:p>
    <w:p w14:paraId="050572D0" w14:textId="77777777" w:rsidR="006A1DFA" w:rsidRPr="003D7C5D" w:rsidRDefault="006A1DFA">
      <w:pPr>
        <w:rPr>
          <w:lang w:val="hu"/>
        </w:rPr>
      </w:pPr>
    </w:p>
    <w:p w14:paraId="3D124C69" w14:textId="77777777" w:rsidR="006A1DFA" w:rsidRPr="003D7C5D" w:rsidRDefault="009601BE">
      <w:pPr>
        <w:keepNext/>
        <w:shd w:val="clear" w:color="auto" w:fill="FFFFFF"/>
        <w:rPr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 kezelés időtartama</w:t>
      </w:r>
    </w:p>
    <w:p w14:paraId="020A307D" w14:textId="52622508" w:rsidR="006A1DFA" w:rsidRPr="003D7C5D" w:rsidRDefault="009601BE">
      <w:pPr>
        <w:rPr>
          <w:lang w:val="hu"/>
        </w:rPr>
      </w:pPr>
      <w:r>
        <w:rPr>
          <w:lang w:val="hu"/>
        </w:rPr>
        <w:t>Az epereflux</w:t>
      </w:r>
      <w:r w:rsidR="00421A34">
        <w:rPr>
          <w:lang w:val="hu"/>
        </w:rPr>
        <w:t>-</w:t>
      </w:r>
      <w:r>
        <w:rPr>
          <w:lang w:val="hu"/>
        </w:rPr>
        <w:t>gas</w:t>
      </w:r>
      <w:r w:rsidR="00421A34">
        <w:rPr>
          <w:lang w:val="hu"/>
        </w:rPr>
        <w:t>z</w:t>
      </w:r>
      <w:r>
        <w:rPr>
          <w:lang w:val="hu"/>
        </w:rPr>
        <w:t>tritis</w:t>
      </w:r>
      <w:r w:rsidR="00421A34">
        <w:rPr>
          <w:lang w:val="hu"/>
        </w:rPr>
        <w:t>z</w:t>
      </w:r>
      <w:r>
        <w:rPr>
          <w:lang w:val="hu"/>
        </w:rPr>
        <w:t xml:space="preserve"> kezelésére a Proursan általában 10-14 napig szedendő. Kezelőorvosa fog dönteni a kezelés időtartamáról annak függvényében, hogy hogyan alakul a betegsége.</w:t>
      </w:r>
    </w:p>
    <w:p w14:paraId="5BF2E4CE" w14:textId="77777777" w:rsidR="006A1DFA" w:rsidRPr="003D7C5D" w:rsidRDefault="006A1DFA">
      <w:pPr>
        <w:rPr>
          <w:lang w:val="hu"/>
        </w:rPr>
      </w:pPr>
    </w:p>
    <w:p w14:paraId="104091ED" w14:textId="43C8016E" w:rsidR="006A1DFA" w:rsidRPr="003D7C5D" w:rsidRDefault="009601BE">
      <w:pPr>
        <w:keepNext/>
        <w:rPr>
          <w:b/>
          <w:lang w:val="hu"/>
        </w:rPr>
      </w:pPr>
      <w:r>
        <w:rPr>
          <w:b/>
          <w:bCs/>
          <w:lang w:val="hu"/>
        </w:rPr>
        <w:t xml:space="preserve">Primer biliáris </w:t>
      </w:r>
      <w:r w:rsidR="00813A84">
        <w:rPr>
          <w:b/>
          <w:bCs/>
          <w:lang w:val="hu"/>
        </w:rPr>
        <w:t>cirózis</w:t>
      </w:r>
      <w:r>
        <w:rPr>
          <w:b/>
          <w:bCs/>
          <w:lang w:val="hu"/>
        </w:rPr>
        <w:t xml:space="preserve"> (az epeutak krónikus gyulladásos betegsége) kezelésére</w:t>
      </w:r>
    </w:p>
    <w:p w14:paraId="182AE879" w14:textId="77777777" w:rsidR="006A1DFA" w:rsidRPr="003D7C5D" w:rsidRDefault="006A1DFA">
      <w:pPr>
        <w:keepNext/>
        <w:shd w:val="clear" w:color="auto" w:fill="FFFFFF"/>
        <w:rPr>
          <w:i/>
          <w:color w:val="000000"/>
          <w:szCs w:val="22"/>
          <w:lang w:val="hu"/>
        </w:rPr>
      </w:pPr>
    </w:p>
    <w:p w14:paraId="41252659" w14:textId="77777777" w:rsidR="006A1DFA" w:rsidRPr="003D7C5D" w:rsidRDefault="009601BE">
      <w:pPr>
        <w:keepNext/>
        <w:shd w:val="clear" w:color="auto" w:fill="FFFFFF"/>
        <w:rPr>
          <w:i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Adagolás</w:t>
      </w:r>
    </w:p>
    <w:p w14:paraId="493D0D9B" w14:textId="77777777" w:rsidR="006A1DFA" w:rsidRPr="003D7C5D" w:rsidRDefault="009601BE">
      <w:pPr>
        <w:rPr>
          <w:lang w:val="hu"/>
        </w:rPr>
      </w:pPr>
      <w:r>
        <w:rPr>
          <w:lang w:val="hu"/>
        </w:rPr>
        <w:t>A napi adag a testtömegtől függ, és 3-tól 7 kapszuláig terjedhet.</w:t>
      </w:r>
    </w:p>
    <w:p w14:paraId="463FD504" w14:textId="77777777" w:rsidR="006A1DFA" w:rsidRPr="003D7C5D" w:rsidRDefault="006A1DFA">
      <w:pPr>
        <w:shd w:val="clear" w:color="auto" w:fill="FFFFFF"/>
        <w:ind w:left="5" w:hanging="5"/>
        <w:rPr>
          <w:b/>
          <w:bCs/>
          <w:color w:val="000000"/>
          <w:szCs w:val="22"/>
          <w:lang w:val="hu"/>
        </w:rPr>
      </w:pPr>
    </w:p>
    <w:tbl>
      <w:tblPr>
        <w:tblW w:w="765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527"/>
        <w:gridCol w:w="1521"/>
        <w:gridCol w:w="1520"/>
        <w:gridCol w:w="1567"/>
      </w:tblGrid>
      <w:tr w:rsidR="006A1DFA" w14:paraId="4650D2A2" w14:textId="77777777">
        <w:tc>
          <w:tcPr>
            <w:tcW w:w="1520" w:type="dxa"/>
            <w:vMerge w:val="restart"/>
          </w:tcPr>
          <w:p w14:paraId="19DBCEE6" w14:textId="77777777" w:rsidR="006A1DFA" w:rsidRDefault="009601BE">
            <w:pPr>
              <w:keepNext/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Testtömeg (kg)</w:t>
            </w:r>
          </w:p>
        </w:tc>
        <w:tc>
          <w:tcPr>
            <w:tcW w:w="6135" w:type="dxa"/>
            <w:gridSpan w:val="4"/>
          </w:tcPr>
          <w:p w14:paraId="209D1C3B" w14:textId="160F5194" w:rsidR="006A1DFA" w:rsidRDefault="009601BE">
            <w:pPr>
              <w:keepNext/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Proursan 250</w:t>
            </w:r>
            <w:r w:rsidR="00901CCC">
              <w:rPr>
                <w:szCs w:val="22"/>
                <w:lang w:val="hu"/>
              </w:rPr>
              <w:t> mg</w:t>
            </w:r>
            <w:r>
              <w:rPr>
                <w:szCs w:val="22"/>
                <w:lang w:val="hu"/>
              </w:rPr>
              <w:t xml:space="preserve"> kemény kapszula</w:t>
            </w:r>
          </w:p>
        </w:tc>
      </w:tr>
      <w:tr w:rsidR="006A1DFA" w14:paraId="3FE8A873" w14:textId="77777777">
        <w:tc>
          <w:tcPr>
            <w:tcW w:w="1520" w:type="dxa"/>
            <w:vMerge/>
            <w:vAlign w:val="center"/>
          </w:tcPr>
          <w:p w14:paraId="25AD6A78" w14:textId="77777777" w:rsidR="006A1DFA" w:rsidRDefault="006A1DFA">
            <w:pPr>
              <w:keepNext/>
              <w:rPr>
                <w:b/>
                <w:bCs/>
                <w:szCs w:val="22"/>
              </w:rPr>
            </w:pPr>
          </w:p>
        </w:tc>
        <w:tc>
          <w:tcPr>
            <w:tcW w:w="4568" w:type="dxa"/>
            <w:gridSpan w:val="3"/>
          </w:tcPr>
          <w:p w14:paraId="08DA3A5D" w14:textId="77777777" w:rsidR="006A1DFA" w:rsidRDefault="009601BE">
            <w:pPr>
              <w:keepNext/>
              <w:autoSpaceDE w:val="0"/>
              <w:autoSpaceDN w:val="0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hu"/>
              </w:rPr>
              <w:t>Az első 3 hónapban</w:t>
            </w:r>
          </w:p>
        </w:tc>
        <w:tc>
          <w:tcPr>
            <w:tcW w:w="1567" w:type="dxa"/>
          </w:tcPr>
          <w:p w14:paraId="36FDC12D" w14:textId="77777777" w:rsidR="006A1DFA" w:rsidRDefault="009601BE">
            <w:pPr>
              <w:keepNext/>
              <w:autoSpaceDE w:val="0"/>
              <w:autoSpaceDN w:val="0"/>
              <w:rPr>
                <w:b/>
                <w:strike/>
                <w:szCs w:val="22"/>
              </w:rPr>
            </w:pPr>
            <w:r>
              <w:rPr>
                <w:b/>
                <w:bCs/>
                <w:szCs w:val="22"/>
                <w:lang w:val="hu"/>
              </w:rPr>
              <w:t>A későbbiekben</w:t>
            </w:r>
          </w:p>
        </w:tc>
      </w:tr>
      <w:tr w:rsidR="006A1DFA" w14:paraId="18449DFC" w14:textId="77777777">
        <w:tc>
          <w:tcPr>
            <w:tcW w:w="1520" w:type="dxa"/>
            <w:vMerge/>
            <w:vAlign w:val="center"/>
          </w:tcPr>
          <w:p w14:paraId="5B931A18" w14:textId="77777777" w:rsidR="006A1DFA" w:rsidRDefault="006A1DFA">
            <w:pPr>
              <w:keepNext/>
              <w:rPr>
                <w:b/>
                <w:bCs/>
                <w:szCs w:val="22"/>
              </w:rPr>
            </w:pPr>
          </w:p>
        </w:tc>
        <w:tc>
          <w:tcPr>
            <w:tcW w:w="1527" w:type="dxa"/>
          </w:tcPr>
          <w:p w14:paraId="355CEE26" w14:textId="77777777" w:rsidR="006A1DFA" w:rsidRDefault="009601BE">
            <w:pPr>
              <w:keepNext/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reggel</w:t>
            </w:r>
          </w:p>
        </w:tc>
        <w:tc>
          <w:tcPr>
            <w:tcW w:w="1521" w:type="dxa"/>
          </w:tcPr>
          <w:p w14:paraId="49290311" w14:textId="77777777" w:rsidR="006A1DFA" w:rsidRDefault="009601BE">
            <w:pPr>
              <w:keepNext/>
              <w:autoSpaceDE w:val="0"/>
              <w:autoSpaceDN w:val="0"/>
              <w:rPr>
                <w:bCs/>
                <w:szCs w:val="22"/>
              </w:rPr>
            </w:pPr>
            <w:r>
              <w:rPr>
                <w:szCs w:val="22"/>
                <w:lang w:val="hu"/>
              </w:rPr>
              <w:t>délben</w:t>
            </w:r>
          </w:p>
        </w:tc>
        <w:tc>
          <w:tcPr>
            <w:tcW w:w="1520" w:type="dxa"/>
          </w:tcPr>
          <w:p w14:paraId="45678628" w14:textId="77777777" w:rsidR="006A1DFA" w:rsidRDefault="009601BE">
            <w:pPr>
              <w:keepNext/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este</w:t>
            </w:r>
          </w:p>
          <w:p w14:paraId="2F928459" w14:textId="77777777" w:rsidR="006A1DFA" w:rsidRDefault="006A1DFA">
            <w:pPr>
              <w:keepNext/>
              <w:autoSpaceDE w:val="0"/>
              <w:autoSpaceDN w:val="0"/>
              <w:rPr>
                <w:b/>
                <w:bCs/>
                <w:szCs w:val="22"/>
              </w:rPr>
            </w:pPr>
          </w:p>
        </w:tc>
        <w:tc>
          <w:tcPr>
            <w:tcW w:w="1567" w:type="dxa"/>
          </w:tcPr>
          <w:p w14:paraId="22EC1FAD" w14:textId="77777777" w:rsidR="006A1DFA" w:rsidRDefault="009601BE">
            <w:pPr>
              <w:keepNext/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este</w:t>
            </w:r>
          </w:p>
          <w:p w14:paraId="5788056A" w14:textId="77777777" w:rsidR="006A1DFA" w:rsidRDefault="009601BE">
            <w:pPr>
              <w:keepNext/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(naponta egyszer)</w:t>
            </w:r>
          </w:p>
        </w:tc>
      </w:tr>
      <w:tr w:rsidR="006A1DFA" w14:paraId="5498C83A" w14:textId="77777777">
        <w:tc>
          <w:tcPr>
            <w:tcW w:w="1520" w:type="dxa"/>
          </w:tcPr>
          <w:p w14:paraId="1B6D844C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47–62</w:t>
            </w:r>
          </w:p>
        </w:tc>
        <w:tc>
          <w:tcPr>
            <w:tcW w:w="1527" w:type="dxa"/>
          </w:tcPr>
          <w:p w14:paraId="5379107B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</w:t>
            </w:r>
          </w:p>
        </w:tc>
        <w:tc>
          <w:tcPr>
            <w:tcW w:w="1521" w:type="dxa"/>
          </w:tcPr>
          <w:p w14:paraId="667A135A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</w:t>
            </w:r>
          </w:p>
        </w:tc>
        <w:tc>
          <w:tcPr>
            <w:tcW w:w="1520" w:type="dxa"/>
          </w:tcPr>
          <w:p w14:paraId="74454746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</w:t>
            </w:r>
          </w:p>
        </w:tc>
        <w:tc>
          <w:tcPr>
            <w:tcW w:w="1567" w:type="dxa"/>
          </w:tcPr>
          <w:p w14:paraId="20CC31A2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3</w:t>
            </w:r>
          </w:p>
        </w:tc>
      </w:tr>
      <w:tr w:rsidR="006A1DFA" w14:paraId="544FC173" w14:textId="77777777">
        <w:tc>
          <w:tcPr>
            <w:tcW w:w="1520" w:type="dxa"/>
          </w:tcPr>
          <w:p w14:paraId="044631A4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63–78</w:t>
            </w:r>
          </w:p>
        </w:tc>
        <w:tc>
          <w:tcPr>
            <w:tcW w:w="1527" w:type="dxa"/>
          </w:tcPr>
          <w:p w14:paraId="13EB0885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</w:t>
            </w:r>
          </w:p>
        </w:tc>
        <w:tc>
          <w:tcPr>
            <w:tcW w:w="1521" w:type="dxa"/>
          </w:tcPr>
          <w:p w14:paraId="3AB282AD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</w:t>
            </w:r>
          </w:p>
        </w:tc>
        <w:tc>
          <w:tcPr>
            <w:tcW w:w="1520" w:type="dxa"/>
          </w:tcPr>
          <w:p w14:paraId="6D4BEEB4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67" w:type="dxa"/>
          </w:tcPr>
          <w:p w14:paraId="151150A7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4</w:t>
            </w:r>
          </w:p>
        </w:tc>
      </w:tr>
      <w:tr w:rsidR="006A1DFA" w14:paraId="77ADC3F0" w14:textId="77777777">
        <w:tc>
          <w:tcPr>
            <w:tcW w:w="1520" w:type="dxa"/>
          </w:tcPr>
          <w:p w14:paraId="12BD4E1E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79–93</w:t>
            </w:r>
          </w:p>
        </w:tc>
        <w:tc>
          <w:tcPr>
            <w:tcW w:w="1527" w:type="dxa"/>
          </w:tcPr>
          <w:p w14:paraId="036A999D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</w:t>
            </w:r>
          </w:p>
        </w:tc>
        <w:tc>
          <w:tcPr>
            <w:tcW w:w="1521" w:type="dxa"/>
          </w:tcPr>
          <w:p w14:paraId="2B93BECE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20" w:type="dxa"/>
          </w:tcPr>
          <w:p w14:paraId="5E0BA31A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67" w:type="dxa"/>
          </w:tcPr>
          <w:p w14:paraId="7F7CF41C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5</w:t>
            </w:r>
          </w:p>
        </w:tc>
      </w:tr>
      <w:tr w:rsidR="006A1DFA" w14:paraId="02F44BC6" w14:textId="77777777">
        <w:tc>
          <w:tcPr>
            <w:tcW w:w="1520" w:type="dxa"/>
          </w:tcPr>
          <w:p w14:paraId="6042D26F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94–109</w:t>
            </w:r>
          </w:p>
        </w:tc>
        <w:tc>
          <w:tcPr>
            <w:tcW w:w="1527" w:type="dxa"/>
          </w:tcPr>
          <w:p w14:paraId="7E8FDD16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21" w:type="dxa"/>
          </w:tcPr>
          <w:p w14:paraId="7021A35A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20" w:type="dxa"/>
          </w:tcPr>
          <w:p w14:paraId="5584B864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67" w:type="dxa"/>
          </w:tcPr>
          <w:p w14:paraId="5FA2C88A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6</w:t>
            </w:r>
          </w:p>
        </w:tc>
      </w:tr>
      <w:tr w:rsidR="006A1DFA" w14:paraId="0BE5FF52" w14:textId="77777777">
        <w:tc>
          <w:tcPr>
            <w:tcW w:w="1520" w:type="dxa"/>
          </w:tcPr>
          <w:p w14:paraId="710BA525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110 kg fölött</w:t>
            </w:r>
          </w:p>
        </w:tc>
        <w:tc>
          <w:tcPr>
            <w:tcW w:w="1527" w:type="dxa"/>
          </w:tcPr>
          <w:p w14:paraId="66CB81D0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21" w:type="dxa"/>
          </w:tcPr>
          <w:p w14:paraId="284005C5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2</w:t>
            </w:r>
          </w:p>
        </w:tc>
        <w:tc>
          <w:tcPr>
            <w:tcW w:w="1520" w:type="dxa"/>
          </w:tcPr>
          <w:p w14:paraId="3B2A1E0C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3</w:t>
            </w:r>
          </w:p>
        </w:tc>
        <w:tc>
          <w:tcPr>
            <w:tcW w:w="1567" w:type="dxa"/>
          </w:tcPr>
          <w:p w14:paraId="59CF9723" w14:textId="77777777" w:rsidR="006A1DFA" w:rsidRDefault="009601BE">
            <w:pPr>
              <w:autoSpaceDE w:val="0"/>
              <w:autoSpaceDN w:val="0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7</w:t>
            </w:r>
          </w:p>
        </w:tc>
      </w:tr>
    </w:tbl>
    <w:p w14:paraId="1180ABF5" w14:textId="77777777" w:rsidR="006A1DFA" w:rsidRDefault="006A1DFA"/>
    <w:p w14:paraId="10518E34" w14:textId="77777777" w:rsidR="006A1DFA" w:rsidRDefault="009601BE">
      <w:r>
        <w:rPr>
          <w:lang w:val="hu"/>
        </w:rPr>
        <w:t>Ha Ön kevesebb 47 kg-nál vagy nem tudja lenyelni a Proursan-t, más urzodezoxikólsavat tartalmazó készítmény is elérhető lehet.</w:t>
      </w:r>
    </w:p>
    <w:p w14:paraId="23C91D36" w14:textId="77777777" w:rsidR="006A1DFA" w:rsidRDefault="006A1DFA">
      <w:pPr>
        <w:keepNext/>
        <w:shd w:val="clear" w:color="auto" w:fill="FFFFFF"/>
        <w:rPr>
          <w:i/>
          <w:color w:val="000000"/>
          <w:szCs w:val="22"/>
        </w:rPr>
      </w:pPr>
    </w:p>
    <w:p w14:paraId="75725C8F" w14:textId="77777777" w:rsidR="006A1DFA" w:rsidRDefault="009601BE">
      <w:pPr>
        <w:keepNext/>
        <w:shd w:val="clear" w:color="auto" w:fill="FFFFFF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Az alkalmazás módja</w:t>
      </w:r>
    </w:p>
    <w:p w14:paraId="3F55BFC7" w14:textId="77777777" w:rsidR="006A1DFA" w:rsidRDefault="009601BE">
      <w:pPr>
        <w:shd w:val="clear" w:color="auto" w:fill="FFFFFF"/>
        <w:ind w:left="5" w:hanging="5"/>
        <w:rPr>
          <w:color w:val="000000"/>
          <w:szCs w:val="22"/>
        </w:rPr>
      </w:pPr>
      <w:r>
        <w:rPr>
          <w:color w:val="000000"/>
          <w:szCs w:val="22"/>
          <w:lang w:val="hu"/>
        </w:rPr>
        <w:t>A kapszulát egészben, egy pohár vízzel vagy más folyadékkal kell bevenni.</w:t>
      </w:r>
    </w:p>
    <w:p w14:paraId="57AB0970" w14:textId="77777777" w:rsidR="006A1DFA" w:rsidRPr="003D7C5D" w:rsidRDefault="009601BE">
      <w:pPr>
        <w:rPr>
          <w:lang w:val="hu"/>
        </w:rPr>
      </w:pPr>
      <w:r>
        <w:rPr>
          <w:lang w:val="hu"/>
        </w:rPr>
        <w:t>A kezelés első 3 hónapjában reggel, délben és este kell bevenni a Proursan-t. Ahogy a máj működésének értékei javulnak, az egész napi adagot egyszerre kell bevenni, este.</w:t>
      </w:r>
    </w:p>
    <w:p w14:paraId="5795E6DA" w14:textId="77777777" w:rsidR="006A1DFA" w:rsidRPr="003D7C5D" w:rsidRDefault="009601BE">
      <w:pPr>
        <w:rPr>
          <w:lang w:val="en-US"/>
        </w:rPr>
      </w:pPr>
      <w:r>
        <w:rPr>
          <w:lang w:val="hu"/>
        </w:rPr>
        <w:t>Rendszeresen vegye be a gyógyszerét.</w:t>
      </w:r>
    </w:p>
    <w:p w14:paraId="2CC618E1" w14:textId="77777777" w:rsidR="006A1DFA" w:rsidRPr="003D7C5D" w:rsidRDefault="006A1DFA">
      <w:pPr>
        <w:rPr>
          <w:lang w:val="en-US"/>
        </w:rPr>
      </w:pPr>
    </w:p>
    <w:p w14:paraId="46B547DB" w14:textId="77777777" w:rsidR="006A1DFA" w:rsidRPr="003D7C5D" w:rsidRDefault="009601BE">
      <w:pPr>
        <w:keepNext/>
        <w:shd w:val="clear" w:color="auto" w:fill="FFFFFF"/>
        <w:rPr>
          <w:i/>
          <w:color w:val="000000"/>
          <w:szCs w:val="22"/>
          <w:lang w:val="en-US"/>
        </w:rPr>
      </w:pPr>
      <w:r>
        <w:rPr>
          <w:i/>
          <w:iCs/>
          <w:color w:val="000000"/>
          <w:szCs w:val="22"/>
          <w:lang w:val="hu"/>
        </w:rPr>
        <w:t>A kezelés időtartama</w:t>
      </w:r>
    </w:p>
    <w:p w14:paraId="3392676A" w14:textId="6FDB0CC5" w:rsidR="006A1DFA" w:rsidRPr="003D7C5D" w:rsidRDefault="009601BE">
      <w:pPr>
        <w:rPr>
          <w:lang w:val="en-US"/>
        </w:rPr>
      </w:pPr>
      <w:r>
        <w:rPr>
          <w:lang w:val="hu"/>
        </w:rPr>
        <w:t xml:space="preserve">A Proursan kezelést határozatlan ideig lehet folytatni primer biliáris </w:t>
      </w:r>
      <w:r w:rsidR="00813A84">
        <w:rPr>
          <w:lang w:val="hu"/>
        </w:rPr>
        <w:t>cirózis</w:t>
      </w:r>
      <w:r>
        <w:rPr>
          <w:lang w:val="hu"/>
        </w:rPr>
        <w:t xml:space="preserve"> esetén.</w:t>
      </w:r>
    </w:p>
    <w:p w14:paraId="12961298" w14:textId="77777777" w:rsidR="006A1DFA" w:rsidRPr="003D7C5D" w:rsidRDefault="006A1DFA">
      <w:pPr>
        <w:rPr>
          <w:lang w:val="en-US"/>
        </w:rPr>
      </w:pPr>
    </w:p>
    <w:p w14:paraId="225416D4" w14:textId="77777777" w:rsidR="006A1DFA" w:rsidRPr="003D7C5D" w:rsidRDefault="009601BE">
      <w:pPr>
        <w:shd w:val="clear" w:color="auto" w:fill="FFFFFF"/>
        <w:rPr>
          <w:color w:val="000000"/>
          <w:szCs w:val="22"/>
          <w:lang w:val="en-US"/>
        </w:rPr>
      </w:pPr>
      <w:r>
        <w:rPr>
          <w:i/>
          <w:iCs/>
          <w:color w:val="000000"/>
          <w:szCs w:val="22"/>
          <w:lang w:val="hu"/>
        </w:rPr>
        <w:t>Megjegyzés</w:t>
      </w:r>
    </w:p>
    <w:p w14:paraId="0EFC930B" w14:textId="476F9D1B" w:rsidR="006A1DFA" w:rsidRPr="003D7C5D" w:rsidRDefault="009601BE">
      <w:pPr>
        <w:rPr>
          <w:lang w:val="hu"/>
        </w:rPr>
      </w:pPr>
      <w:r>
        <w:rPr>
          <w:lang w:val="hu"/>
        </w:rPr>
        <w:t xml:space="preserve">Ha Önnek primer biliáris </w:t>
      </w:r>
      <w:r w:rsidR="00AA0B87">
        <w:rPr>
          <w:lang w:val="hu"/>
        </w:rPr>
        <w:t xml:space="preserve">cirózis </w:t>
      </w:r>
      <w:r>
        <w:rPr>
          <w:lang w:val="hu"/>
        </w:rPr>
        <w:t xml:space="preserve">betegsége van, tünetei rosszabbodhatnak a kezelés elején. Ennek egyik jele lehet a fokozott viszketés. Ez csak ritkán fordul elő. Ilyen esetben a kezelést a Proursan csökkentett napi adagjával lehet folytatni. </w:t>
      </w:r>
      <w:r w:rsidR="00813A84">
        <w:rPr>
          <w:lang w:val="hu"/>
        </w:rPr>
        <w:t>Kezelőo</w:t>
      </w:r>
      <w:r>
        <w:rPr>
          <w:lang w:val="hu"/>
        </w:rPr>
        <w:t>rvosa azután minden héten növeli a napi dózist, amíg újra el nem érik a kívánt napi adagot.</w:t>
      </w:r>
    </w:p>
    <w:p w14:paraId="0AA1C02D" w14:textId="77777777" w:rsidR="006A1DFA" w:rsidRPr="003D7C5D" w:rsidRDefault="006A1DFA">
      <w:pPr>
        <w:rPr>
          <w:lang w:val="hu"/>
        </w:rPr>
      </w:pPr>
    </w:p>
    <w:p w14:paraId="7A563425" w14:textId="77777777" w:rsidR="006A1DFA" w:rsidRPr="003D7C5D" w:rsidRDefault="009601BE">
      <w:pPr>
        <w:keepNext/>
        <w:autoSpaceDE w:val="0"/>
        <w:autoSpaceDN w:val="0"/>
        <w:rPr>
          <w:b/>
          <w:bCs/>
          <w:color w:val="000000"/>
          <w:lang w:val="hu"/>
        </w:rPr>
      </w:pPr>
      <w:r>
        <w:rPr>
          <w:b/>
          <w:bCs/>
          <w:color w:val="000000"/>
          <w:lang w:val="hu"/>
        </w:rPr>
        <w:lastRenderedPageBreak/>
        <w:t>Alkalmazása gyermekeknél és serdülőknél (6-tól 18 évesig) cisztás fibrózissal összefüggésbe hozható májbetegség kezelésére</w:t>
      </w:r>
    </w:p>
    <w:p w14:paraId="581B5950" w14:textId="77777777" w:rsidR="006A1DFA" w:rsidRPr="003D7C5D" w:rsidRDefault="006A1DFA">
      <w:pPr>
        <w:keepNext/>
        <w:autoSpaceDE w:val="0"/>
        <w:autoSpaceDN w:val="0"/>
        <w:adjustRightInd w:val="0"/>
        <w:rPr>
          <w:b/>
          <w:color w:val="000000"/>
          <w:szCs w:val="22"/>
          <w:lang w:val="hu"/>
        </w:rPr>
      </w:pPr>
    </w:p>
    <w:p w14:paraId="2C3E453B" w14:textId="77777777" w:rsidR="006A1DFA" w:rsidRPr="003D7C5D" w:rsidRDefault="009601BE">
      <w:pPr>
        <w:keepNext/>
        <w:autoSpaceDE w:val="0"/>
        <w:autoSpaceDN w:val="0"/>
        <w:adjustRightInd w:val="0"/>
        <w:rPr>
          <w:bCs/>
          <w:i/>
          <w:iCs/>
          <w:color w:val="000000"/>
          <w:szCs w:val="22"/>
          <w:lang w:val="hu"/>
        </w:rPr>
      </w:pPr>
      <w:r>
        <w:rPr>
          <w:i/>
          <w:iCs/>
          <w:color w:val="000000"/>
          <w:szCs w:val="22"/>
          <w:lang w:val="hu"/>
        </w:rPr>
        <w:t>Adagolás</w:t>
      </w:r>
    </w:p>
    <w:p w14:paraId="6BF2A2E0" w14:textId="64B94E9D" w:rsidR="006A1DFA" w:rsidRPr="003D7C5D" w:rsidRDefault="009601BE">
      <w:pPr>
        <w:rPr>
          <w:lang w:val="hu"/>
        </w:rPr>
      </w:pPr>
      <w:r>
        <w:rPr>
          <w:lang w:val="hu"/>
        </w:rPr>
        <w:t>Az ajánlott adag körülbelül 20</w:t>
      </w:r>
      <w:r w:rsidR="00901CCC">
        <w:rPr>
          <w:lang w:val="hu"/>
        </w:rPr>
        <w:t> mg</w:t>
      </w:r>
      <w:r>
        <w:rPr>
          <w:lang w:val="hu"/>
        </w:rPr>
        <w:t>/</w:t>
      </w:r>
      <w:r w:rsidR="00AA0B87">
        <w:rPr>
          <w:lang w:val="hu"/>
        </w:rPr>
        <w:t>tt</w:t>
      </w:r>
      <w:r>
        <w:rPr>
          <w:lang w:val="hu"/>
        </w:rPr>
        <w:t>kg/nap 2 vagy 3 részre osztva.</w:t>
      </w:r>
    </w:p>
    <w:p w14:paraId="565F5F4A" w14:textId="3409D18D" w:rsidR="006A1DFA" w:rsidRPr="003D7C5D" w:rsidRDefault="009601BE">
      <w:pPr>
        <w:rPr>
          <w:lang w:val="hu"/>
        </w:rPr>
      </w:pPr>
      <w:r>
        <w:rPr>
          <w:lang w:val="hu"/>
        </w:rPr>
        <w:t>Szükség esetén orvosa tovább emelheti a napi adagot 30</w:t>
      </w:r>
      <w:r w:rsidR="00901CCC">
        <w:rPr>
          <w:lang w:val="hu"/>
        </w:rPr>
        <w:t> mg</w:t>
      </w:r>
      <w:r>
        <w:rPr>
          <w:lang w:val="hu"/>
        </w:rPr>
        <w:t>-ig testtömeg-kilogrammonként naponta.</w:t>
      </w:r>
    </w:p>
    <w:p w14:paraId="23D773B9" w14:textId="77777777" w:rsidR="006A1DFA" w:rsidRPr="003D7C5D" w:rsidRDefault="006A1DFA">
      <w:pPr>
        <w:rPr>
          <w:lang w:val="hu"/>
        </w:rPr>
      </w:pPr>
    </w:p>
    <w:tbl>
      <w:tblPr>
        <w:tblW w:w="765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79"/>
        <w:gridCol w:w="1924"/>
        <w:gridCol w:w="1926"/>
        <w:gridCol w:w="1926"/>
      </w:tblGrid>
      <w:tr w:rsidR="006A1DFA" w14:paraId="69460636" w14:textId="77777777">
        <w:trPr>
          <w:trHeight w:val="20"/>
        </w:trPr>
        <w:tc>
          <w:tcPr>
            <w:tcW w:w="1384" w:type="dxa"/>
            <w:vMerge w:val="restart"/>
            <w:vAlign w:val="center"/>
          </w:tcPr>
          <w:p w14:paraId="1B7F51E2" w14:textId="77777777" w:rsidR="006A1DFA" w:rsidRDefault="009601BE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Testtömeg (kg)</w:t>
            </w:r>
          </w:p>
        </w:tc>
        <w:tc>
          <w:tcPr>
            <w:tcW w:w="4253" w:type="dxa"/>
            <w:gridSpan w:val="3"/>
            <w:vAlign w:val="center"/>
          </w:tcPr>
          <w:p w14:paraId="7E74FE20" w14:textId="77B8D301" w:rsidR="006A1DFA" w:rsidRDefault="009601BE">
            <w:r>
              <w:rPr>
                <w:lang w:val="hu"/>
              </w:rPr>
              <w:t>Proursan 250</w:t>
            </w:r>
            <w:r w:rsidR="00901CCC">
              <w:rPr>
                <w:lang w:val="hu"/>
              </w:rPr>
              <w:t> mg</w:t>
            </w:r>
            <w:r>
              <w:rPr>
                <w:lang w:val="hu"/>
              </w:rPr>
              <w:t xml:space="preserve"> kemény kapszula</w:t>
            </w:r>
          </w:p>
        </w:tc>
      </w:tr>
      <w:tr w:rsidR="006A1DFA" w14:paraId="647FA3C5" w14:textId="77777777">
        <w:trPr>
          <w:trHeight w:val="20"/>
        </w:trPr>
        <w:tc>
          <w:tcPr>
            <w:tcW w:w="1384" w:type="dxa"/>
            <w:vMerge/>
            <w:vAlign w:val="center"/>
          </w:tcPr>
          <w:p w14:paraId="3E6937BC" w14:textId="77777777" w:rsidR="006A1DFA" w:rsidRDefault="006A1DFA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58BF346" w14:textId="77777777" w:rsidR="006A1DFA" w:rsidRDefault="009601BE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reggel</w:t>
            </w:r>
          </w:p>
        </w:tc>
        <w:tc>
          <w:tcPr>
            <w:tcW w:w="1418" w:type="dxa"/>
            <w:vAlign w:val="center"/>
          </w:tcPr>
          <w:p w14:paraId="4500A550" w14:textId="77777777" w:rsidR="006A1DFA" w:rsidRDefault="009601BE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délben</w:t>
            </w:r>
          </w:p>
        </w:tc>
        <w:tc>
          <w:tcPr>
            <w:tcW w:w="1418" w:type="dxa"/>
            <w:vAlign w:val="center"/>
          </w:tcPr>
          <w:p w14:paraId="44D2C295" w14:textId="77777777" w:rsidR="006A1DFA" w:rsidRDefault="009601BE">
            <w:pPr>
              <w:keepNext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este</w:t>
            </w:r>
          </w:p>
        </w:tc>
      </w:tr>
      <w:tr w:rsidR="006A1DFA" w14:paraId="7315F2D6" w14:textId="77777777">
        <w:trPr>
          <w:trHeight w:val="20"/>
        </w:trPr>
        <w:tc>
          <w:tcPr>
            <w:tcW w:w="1384" w:type="dxa"/>
            <w:vAlign w:val="center"/>
          </w:tcPr>
          <w:p w14:paraId="0FBAAE03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20–29</w:t>
            </w:r>
          </w:p>
        </w:tc>
        <w:tc>
          <w:tcPr>
            <w:tcW w:w="1417" w:type="dxa"/>
            <w:vAlign w:val="center"/>
          </w:tcPr>
          <w:p w14:paraId="07B25CB8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418" w:type="dxa"/>
            <w:vAlign w:val="center"/>
          </w:tcPr>
          <w:p w14:paraId="609BB816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-</w:t>
            </w:r>
          </w:p>
        </w:tc>
        <w:tc>
          <w:tcPr>
            <w:tcW w:w="1418" w:type="dxa"/>
            <w:vAlign w:val="center"/>
          </w:tcPr>
          <w:p w14:paraId="50F21B81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</w:tr>
      <w:tr w:rsidR="006A1DFA" w14:paraId="34C06F7D" w14:textId="77777777">
        <w:trPr>
          <w:trHeight w:val="20"/>
        </w:trPr>
        <w:tc>
          <w:tcPr>
            <w:tcW w:w="1384" w:type="dxa"/>
            <w:vAlign w:val="center"/>
          </w:tcPr>
          <w:p w14:paraId="2C11E6D1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30–39</w:t>
            </w:r>
          </w:p>
        </w:tc>
        <w:tc>
          <w:tcPr>
            <w:tcW w:w="1417" w:type="dxa"/>
            <w:vAlign w:val="center"/>
          </w:tcPr>
          <w:p w14:paraId="45D0A921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418" w:type="dxa"/>
            <w:vAlign w:val="center"/>
          </w:tcPr>
          <w:p w14:paraId="70F54295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418" w:type="dxa"/>
            <w:vAlign w:val="center"/>
          </w:tcPr>
          <w:p w14:paraId="0C08480A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</w:tr>
      <w:tr w:rsidR="006A1DFA" w14:paraId="6C07F47A" w14:textId="77777777">
        <w:trPr>
          <w:trHeight w:val="20"/>
        </w:trPr>
        <w:tc>
          <w:tcPr>
            <w:tcW w:w="1384" w:type="dxa"/>
            <w:vAlign w:val="center"/>
          </w:tcPr>
          <w:p w14:paraId="5581EFAB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40–49</w:t>
            </w:r>
          </w:p>
        </w:tc>
        <w:tc>
          <w:tcPr>
            <w:tcW w:w="1417" w:type="dxa"/>
            <w:vAlign w:val="center"/>
          </w:tcPr>
          <w:p w14:paraId="74D4441E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418" w:type="dxa"/>
            <w:vAlign w:val="center"/>
          </w:tcPr>
          <w:p w14:paraId="0E461A4E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418" w:type="dxa"/>
            <w:vAlign w:val="center"/>
          </w:tcPr>
          <w:p w14:paraId="326BC8ED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6A1DFA" w14:paraId="5C7F1F31" w14:textId="77777777">
        <w:trPr>
          <w:trHeight w:val="20"/>
        </w:trPr>
        <w:tc>
          <w:tcPr>
            <w:tcW w:w="1384" w:type="dxa"/>
            <w:vAlign w:val="center"/>
          </w:tcPr>
          <w:p w14:paraId="083AD7FF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50–59</w:t>
            </w:r>
          </w:p>
        </w:tc>
        <w:tc>
          <w:tcPr>
            <w:tcW w:w="1417" w:type="dxa"/>
            <w:vAlign w:val="center"/>
          </w:tcPr>
          <w:p w14:paraId="547D05DC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418" w:type="dxa"/>
            <w:vAlign w:val="center"/>
          </w:tcPr>
          <w:p w14:paraId="5B56B9EA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418" w:type="dxa"/>
            <w:vAlign w:val="center"/>
          </w:tcPr>
          <w:p w14:paraId="29271C8D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6A1DFA" w14:paraId="4AB16DA4" w14:textId="77777777">
        <w:trPr>
          <w:trHeight w:val="20"/>
        </w:trPr>
        <w:tc>
          <w:tcPr>
            <w:tcW w:w="1384" w:type="dxa"/>
            <w:vAlign w:val="center"/>
          </w:tcPr>
          <w:p w14:paraId="13DC9011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60–69</w:t>
            </w:r>
          </w:p>
        </w:tc>
        <w:tc>
          <w:tcPr>
            <w:tcW w:w="1417" w:type="dxa"/>
            <w:vAlign w:val="center"/>
          </w:tcPr>
          <w:p w14:paraId="0F8F99EC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418" w:type="dxa"/>
            <w:vAlign w:val="center"/>
          </w:tcPr>
          <w:p w14:paraId="131099A0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418" w:type="dxa"/>
            <w:vAlign w:val="center"/>
          </w:tcPr>
          <w:p w14:paraId="7EE24D03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6A1DFA" w14:paraId="12F2B5FF" w14:textId="77777777">
        <w:trPr>
          <w:trHeight w:val="20"/>
        </w:trPr>
        <w:tc>
          <w:tcPr>
            <w:tcW w:w="1384" w:type="dxa"/>
            <w:vAlign w:val="center"/>
          </w:tcPr>
          <w:p w14:paraId="13C808AB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70–79</w:t>
            </w:r>
          </w:p>
        </w:tc>
        <w:tc>
          <w:tcPr>
            <w:tcW w:w="1417" w:type="dxa"/>
            <w:vAlign w:val="center"/>
          </w:tcPr>
          <w:p w14:paraId="7C0144A9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418" w:type="dxa"/>
            <w:vAlign w:val="center"/>
          </w:tcPr>
          <w:p w14:paraId="57B3FE9B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418" w:type="dxa"/>
            <w:vAlign w:val="center"/>
          </w:tcPr>
          <w:p w14:paraId="2F3B59D9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6A1DFA" w14:paraId="3348B557" w14:textId="77777777">
        <w:trPr>
          <w:trHeight w:val="20"/>
        </w:trPr>
        <w:tc>
          <w:tcPr>
            <w:tcW w:w="1384" w:type="dxa"/>
            <w:vAlign w:val="center"/>
          </w:tcPr>
          <w:p w14:paraId="043CBB27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80–89</w:t>
            </w:r>
          </w:p>
        </w:tc>
        <w:tc>
          <w:tcPr>
            <w:tcW w:w="1417" w:type="dxa"/>
            <w:vAlign w:val="center"/>
          </w:tcPr>
          <w:p w14:paraId="28E46D88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418" w:type="dxa"/>
            <w:vAlign w:val="center"/>
          </w:tcPr>
          <w:p w14:paraId="5E4AD43E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418" w:type="dxa"/>
            <w:vAlign w:val="center"/>
          </w:tcPr>
          <w:p w14:paraId="77BD468E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6A1DFA" w14:paraId="6AB3DEF1" w14:textId="77777777">
        <w:trPr>
          <w:trHeight w:val="20"/>
        </w:trPr>
        <w:tc>
          <w:tcPr>
            <w:tcW w:w="1384" w:type="dxa"/>
            <w:vAlign w:val="center"/>
          </w:tcPr>
          <w:p w14:paraId="076198E9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90–99</w:t>
            </w:r>
          </w:p>
        </w:tc>
        <w:tc>
          <w:tcPr>
            <w:tcW w:w="1417" w:type="dxa"/>
            <w:vAlign w:val="center"/>
          </w:tcPr>
          <w:p w14:paraId="4633CF01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418" w:type="dxa"/>
            <w:vAlign w:val="center"/>
          </w:tcPr>
          <w:p w14:paraId="4C992138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418" w:type="dxa"/>
            <w:vAlign w:val="center"/>
          </w:tcPr>
          <w:p w14:paraId="299C429A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6A1DFA" w14:paraId="78A20EDD" w14:textId="77777777">
        <w:trPr>
          <w:trHeight w:val="20"/>
        </w:trPr>
        <w:tc>
          <w:tcPr>
            <w:tcW w:w="1384" w:type="dxa"/>
            <w:vAlign w:val="center"/>
          </w:tcPr>
          <w:p w14:paraId="117CAAF4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100–109</w:t>
            </w:r>
          </w:p>
        </w:tc>
        <w:tc>
          <w:tcPr>
            <w:tcW w:w="1417" w:type="dxa"/>
            <w:vAlign w:val="center"/>
          </w:tcPr>
          <w:p w14:paraId="76B71F97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418" w:type="dxa"/>
            <w:vAlign w:val="center"/>
          </w:tcPr>
          <w:p w14:paraId="6A43D299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418" w:type="dxa"/>
            <w:vAlign w:val="center"/>
          </w:tcPr>
          <w:p w14:paraId="46F32367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</w:t>
            </w:r>
          </w:p>
        </w:tc>
      </w:tr>
      <w:tr w:rsidR="006A1DFA" w14:paraId="09DA5AF6" w14:textId="77777777">
        <w:trPr>
          <w:trHeight w:val="20"/>
        </w:trPr>
        <w:tc>
          <w:tcPr>
            <w:tcW w:w="1384" w:type="dxa"/>
            <w:vAlign w:val="center"/>
          </w:tcPr>
          <w:p w14:paraId="7C213C6D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110 kg fölött</w:t>
            </w:r>
          </w:p>
        </w:tc>
        <w:tc>
          <w:tcPr>
            <w:tcW w:w="1417" w:type="dxa"/>
            <w:vAlign w:val="center"/>
          </w:tcPr>
          <w:p w14:paraId="22182373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418" w:type="dxa"/>
            <w:vAlign w:val="center"/>
          </w:tcPr>
          <w:p w14:paraId="1314C461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</w:t>
            </w:r>
          </w:p>
        </w:tc>
        <w:tc>
          <w:tcPr>
            <w:tcW w:w="1418" w:type="dxa"/>
            <w:vAlign w:val="center"/>
          </w:tcPr>
          <w:p w14:paraId="1EBE694C" w14:textId="77777777" w:rsidR="006A1DFA" w:rsidRDefault="009601BE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</w:t>
            </w:r>
          </w:p>
        </w:tc>
      </w:tr>
    </w:tbl>
    <w:p w14:paraId="18E03462" w14:textId="77777777" w:rsidR="006A1DFA" w:rsidRDefault="006A1DFA"/>
    <w:p w14:paraId="6C466319" w14:textId="3FA05E23" w:rsidR="006A1DFA" w:rsidRDefault="009601BE">
      <w:r>
        <w:rPr>
          <w:lang w:val="hu"/>
        </w:rPr>
        <w:t xml:space="preserve">Ha úgy érzi, hogy a Proursan hatása túl erős vagy túl gyenge, beszéljen </w:t>
      </w:r>
      <w:r w:rsidR="00AA0B87">
        <w:rPr>
          <w:lang w:val="hu"/>
        </w:rPr>
        <w:t>kezelő</w:t>
      </w:r>
      <w:r>
        <w:rPr>
          <w:lang w:val="hu"/>
        </w:rPr>
        <w:t>orvosával vagy gyógyszerészével.</w:t>
      </w:r>
    </w:p>
    <w:p w14:paraId="6354AB91" w14:textId="77777777" w:rsidR="006A1DFA" w:rsidRDefault="006A1DFA"/>
    <w:p w14:paraId="4246D2AF" w14:textId="77777777" w:rsidR="006A1DFA" w:rsidRDefault="009601BE">
      <w:pPr>
        <w:keepNext/>
        <w:shd w:val="clear" w:color="auto" w:fill="FFFFFF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lang w:val="hu"/>
        </w:rPr>
        <w:t>Ha az előírtnál több Proursan-t vett be</w:t>
      </w:r>
    </w:p>
    <w:p w14:paraId="320D6AD4" w14:textId="77777777" w:rsidR="006A1DFA" w:rsidRPr="003D7C5D" w:rsidRDefault="009601BE">
      <w:pPr>
        <w:shd w:val="clear" w:color="auto" w:fill="FFFFFF"/>
        <w:rPr>
          <w:b/>
          <w:bCs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Túladagolás esetén hasmenés léphet fel. Kérjük, azonnal tájékoztassa kezelőorvosát, ha tartós hasmenése van. Ha hasmenése van, ügyeljen rá, hogy elég folyadékot fogyaszt-e, hogy pótolja a folyadékot és az elektrolit-egyensúlyt.</w:t>
      </w:r>
    </w:p>
    <w:p w14:paraId="47C80608" w14:textId="77777777" w:rsidR="006A1DFA" w:rsidRPr="003D7C5D" w:rsidRDefault="006A1DFA">
      <w:pPr>
        <w:shd w:val="clear" w:color="auto" w:fill="FFFFFF"/>
        <w:rPr>
          <w:b/>
          <w:bCs/>
          <w:szCs w:val="22"/>
          <w:lang w:val="hu"/>
        </w:rPr>
      </w:pPr>
    </w:p>
    <w:p w14:paraId="5F9C3187" w14:textId="77777777" w:rsidR="006A1DFA" w:rsidRPr="0026611A" w:rsidRDefault="009601BE">
      <w:pPr>
        <w:keepNext/>
        <w:shd w:val="clear" w:color="auto" w:fill="FFFFFF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lang w:val="hu"/>
        </w:rPr>
        <w:t>Ha elfelejtette bevenni a Proursan-t?</w:t>
      </w:r>
    </w:p>
    <w:p w14:paraId="0624F2F8" w14:textId="77777777" w:rsidR="006A1DFA" w:rsidRPr="0026611A" w:rsidRDefault="009601BE">
      <w:pPr>
        <w:rPr>
          <w:lang w:val="it-IT"/>
        </w:rPr>
      </w:pPr>
      <w:r>
        <w:rPr>
          <w:lang w:val="hu"/>
        </w:rPr>
        <w:t>Ne vegyen be kétszeres adagot a kihagyott adag pótlására, hanem csak folytassa a kezelést az előírt adaggal.</w:t>
      </w:r>
    </w:p>
    <w:p w14:paraId="5289CF49" w14:textId="77777777" w:rsidR="006A1DFA" w:rsidRPr="0026611A" w:rsidRDefault="006A1DFA">
      <w:pPr>
        <w:shd w:val="clear" w:color="auto" w:fill="FFFFFF"/>
        <w:rPr>
          <w:b/>
          <w:bCs/>
          <w:color w:val="000000"/>
          <w:szCs w:val="22"/>
          <w:lang w:val="it-IT"/>
        </w:rPr>
      </w:pPr>
    </w:p>
    <w:p w14:paraId="0BE21065" w14:textId="77777777" w:rsidR="006A1DFA" w:rsidRPr="0026611A" w:rsidRDefault="009601BE">
      <w:pPr>
        <w:keepNext/>
        <w:shd w:val="clear" w:color="auto" w:fill="FFFFFF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lang w:val="hu"/>
        </w:rPr>
        <w:t>Ha idő előtt abbahagyja a Proursan szedését</w:t>
      </w:r>
    </w:p>
    <w:p w14:paraId="7A9BA33E" w14:textId="77777777" w:rsidR="006A1DFA" w:rsidRPr="0026611A" w:rsidRDefault="009601BE">
      <w:pPr>
        <w:rPr>
          <w:lang w:val="it-IT"/>
        </w:rPr>
      </w:pPr>
      <w:r>
        <w:rPr>
          <w:lang w:val="hu"/>
        </w:rPr>
        <w:t>Mindig beszéljen a kezelőorvosával, mielőtt úgy dönt, hogy megszakítja a Proursan-nal történő kezelést, vagy a kezelést hamarabb befejezi.</w:t>
      </w:r>
    </w:p>
    <w:p w14:paraId="3FD27656" w14:textId="77777777" w:rsidR="006A1DFA" w:rsidRPr="0026611A" w:rsidRDefault="006A1DFA">
      <w:pPr>
        <w:rPr>
          <w:lang w:val="it-IT"/>
        </w:rPr>
      </w:pPr>
    </w:p>
    <w:p w14:paraId="0812A1FA" w14:textId="77777777" w:rsidR="006A1DFA" w:rsidRPr="0026611A" w:rsidRDefault="009601BE">
      <w:pPr>
        <w:rPr>
          <w:lang w:val="it-IT"/>
        </w:rPr>
      </w:pPr>
      <w:r>
        <w:rPr>
          <w:lang w:val="hu"/>
        </w:rPr>
        <w:t>Ha bármilyen további kérdése van a gyógyszer alkalmazásával kapcsolatban, kérdezze meg kezelőorvosát vagy gyógyszerészét.</w:t>
      </w:r>
    </w:p>
    <w:p w14:paraId="4DDCBA67" w14:textId="77777777" w:rsidR="006A1DFA" w:rsidRPr="0026611A" w:rsidRDefault="006A1DFA">
      <w:pPr>
        <w:rPr>
          <w:lang w:val="it-IT"/>
        </w:rPr>
      </w:pPr>
    </w:p>
    <w:p w14:paraId="27E7DF4E" w14:textId="77777777" w:rsidR="006A1DFA" w:rsidRPr="0026611A" w:rsidRDefault="006A1DFA">
      <w:pPr>
        <w:rPr>
          <w:lang w:val="it-IT"/>
        </w:rPr>
      </w:pPr>
    </w:p>
    <w:p w14:paraId="056E7DAB" w14:textId="77777777" w:rsidR="006A1DFA" w:rsidRPr="0026611A" w:rsidRDefault="009601BE">
      <w:pPr>
        <w:keepNext/>
        <w:ind w:left="567" w:hanging="567"/>
        <w:rPr>
          <w:b/>
          <w:lang w:val="it-IT"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Lehetséges mellékhatások</w:t>
      </w:r>
    </w:p>
    <w:p w14:paraId="7AD7C3C9" w14:textId="77777777" w:rsidR="006A1DFA" w:rsidRPr="0026611A" w:rsidRDefault="006A1DFA">
      <w:pPr>
        <w:keepNext/>
        <w:shd w:val="clear" w:color="auto" w:fill="FFFFFF"/>
        <w:rPr>
          <w:color w:val="000000"/>
          <w:szCs w:val="22"/>
          <w:lang w:val="it-IT"/>
        </w:rPr>
      </w:pPr>
    </w:p>
    <w:p w14:paraId="427EFED7" w14:textId="77777777" w:rsidR="006A1DFA" w:rsidRPr="0026611A" w:rsidRDefault="009601BE">
      <w:pPr>
        <w:rPr>
          <w:lang w:val="it-IT"/>
        </w:rPr>
      </w:pPr>
      <w:r>
        <w:rPr>
          <w:lang w:val="hu"/>
        </w:rPr>
        <w:t>Mint minden gyógyszer, így ez a gyógyszer is okozhat mellékhatásokat, amelyek azonban nem mindenkinél jelentkeznek.</w:t>
      </w:r>
    </w:p>
    <w:p w14:paraId="1D034BA9" w14:textId="77777777" w:rsidR="006A1DFA" w:rsidRPr="0026611A" w:rsidRDefault="006A1DFA">
      <w:pPr>
        <w:rPr>
          <w:lang w:val="it-IT"/>
        </w:rPr>
      </w:pPr>
    </w:p>
    <w:p w14:paraId="227A45CC" w14:textId="77777777" w:rsidR="006A1DFA" w:rsidRPr="0026611A" w:rsidRDefault="009601BE">
      <w:pPr>
        <w:keepNext/>
        <w:shd w:val="clear" w:color="auto" w:fill="FFFFFF"/>
        <w:jc w:val="both"/>
        <w:rPr>
          <w:b/>
          <w:bCs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lang w:val="hu"/>
        </w:rPr>
        <w:t>Gyakori mellékhatások</w:t>
      </w:r>
      <w:r>
        <w:rPr>
          <w:color w:val="000000"/>
          <w:szCs w:val="22"/>
          <w:lang w:val="hu"/>
        </w:rPr>
        <w:t xml:space="preserve"> (10 betegből legfeljebb 1-et érinthet):</w:t>
      </w:r>
    </w:p>
    <w:p w14:paraId="47D46DD0" w14:textId="77777777" w:rsidR="006A1DFA" w:rsidRPr="0026611A" w:rsidRDefault="009601BE">
      <w:pPr>
        <w:widowControl w:val="0"/>
        <w:numPr>
          <w:ilvl w:val="0"/>
          <w:numId w:val="19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b/>
          <w:bCs/>
          <w:i/>
          <w:iCs/>
          <w:color w:val="000000"/>
          <w:szCs w:val="22"/>
          <w:lang w:val="it-IT"/>
        </w:rPr>
      </w:pPr>
      <w:r>
        <w:rPr>
          <w:color w:val="000000"/>
          <w:szCs w:val="22"/>
          <w:lang w:val="hu"/>
        </w:rPr>
        <w:t>puha, laza széklet vagy hasmenés.</w:t>
      </w:r>
    </w:p>
    <w:p w14:paraId="3B85A213" w14:textId="77777777" w:rsidR="006A1DFA" w:rsidRPr="0026611A" w:rsidRDefault="006A1DFA">
      <w:pPr>
        <w:widowControl w:val="0"/>
        <w:shd w:val="clear" w:color="auto" w:fill="FFFFFF"/>
        <w:autoSpaceDE w:val="0"/>
        <w:autoSpaceDN w:val="0"/>
        <w:jc w:val="both"/>
        <w:rPr>
          <w:bCs/>
          <w:iCs/>
          <w:color w:val="000000"/>
          <w:szCs w:val="22"/>
          <w:lang w:val="it-IT"/>
        </w:rPr>
      </w:pPr>
    </w:p>
    <w:p w14:paraId="10A780C2" w14:textId="77777777" w:rsidR="006A1DFA" w:rsidRPr="0026611A" w:rsidRDefault="009601BE">
      <w:pPr>
        <w:keepNext/>
        <w:shd w:val="clear" w:color="auto" w:fill="FFFFFF"/>
        <w:jc w:val="both"/>
        <w:rPr>
          <w:b/>
          <w:bCs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lang w:val="hu"/>
        </w:rPr>
        <w:t>Nagyon ritka mellékhatások</w:t>
      </w:r>
      <w:r>
        <w:rPr>
          <w:color w:val="000000"/>
          <w:szCs w:val="22"/>
          <w:lang w:val="hu"/>
        </w:rPr>
        <w:t xml:space="preserve"> (10 000 betegből 1-et érinthet):</w:t>
      </w:r>
    </w:p>
    <w:p w14:paraId="05033B64" w14:textId="0883C3D4" w:rsidR="006A1DFA" w:rsidRPr="0026611A" w:rsidRDefault="009601BE" w:rsidP="0026611A">
      <w:pPr>
        <w:widowControl w:val="0"/>
        <w:numPr>
          <w:ilvl w:val="0"/>
          <w:numId w:val="19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color w:val="000000"/>
          <w:szCs w:val="22"/>
          <w:lang w:val="hu"/>
        </w:rPr>
      </w:pPr>
      <w:r w:rsidRPr="0026611A">
        <w:rPr>
          <w:color w:val="000000"/>
          <w:szCs w:val="22"/>
          <w:lang w:val="hu"/>
        </w:rPr>
        <w:t xml:space="preserve">a primer biliáris </w:t>
      </w:r>
      <w:r w:rsidR="00AA0B87" w:rsidRPr="0026611A">
        <w:rPr>
          <w:color w:val="000000"/>
          <w:szCs w:val="22"/>
          <w:lang w:val="hu"/>
        </w:rPr>
        <w:t xml:space="preserve">cirózis </w:t>
      </w:r>
      <w:r w:rsidRPr="0026611A">
        <w:rPr>
          <w:color w:val="000000"/>
          <w:szCs w:val="22"/>
          <w:lang w:val="hu"/>
        </w:rPr>
        <w:t>kezelése során: erős, jobb oldali felső gyomortáji fájdalom, a máj</w:t>
      </w:r>
      <w:r w:rsidR="002575AD" w:rsidRPr="0026611A">
        <w:rPr>
          <w:color w:val="000000"/>
          <w:szCs w:val="22"/>
          <w:lang w:val="hu"/>
        </w:rPr>
        <w:t xml:space="preserve"> </w:t>
      </w:r>
      <w:r w:rsidRPr="0026611A">
        <w:rPr>
          <w:color w:val="000000"/>
          <w:szCs w:val="22"/>
          <w:lang w:val="hu"/>
        </w:rPr>
        <w:t>hegesedé</w:t>
      </w:r>
      <w:r w:rsidR="00CB2B5E" w:rsidRPr="0026611A">
        <w:rPr>
          <w:color w:val="000000"/>
          <w:szCs w:val="22"/>
          <w:lang w:val="hu"/>
        </w:rPr>
        <w:t>sé</w:t>
      </w:r>
      <w:r w:rsidR="002575AD" w:rsidRPr="0026611A">
        <w:rPr>
          <w:color w:val="000000"/>
          <w:szCs w:val="22"/>
          <w:lang w:val="hu"/>
        </w:rPr>
        <w:t>nek</w:t>
      </w:r>
      <w:r w:rsidRPr="0026611A">
        <w:rPr>
          <w:color w:val="000000"/>
          <w:szCs w:val="22"/>
          <w:lang w:val="hu"/>
        </w:rPr>
        <w:t xml:space="preserve"> súlyos rosszabbodása - ez részben enyhül a kezelés leállítása után,</w:t>
      </w:r>
    </w:p>
    <w:p w14:paraId="680A258C" w14:textId="41FC563C" w:rsidR="006A1DFA" w:rsidRPr="0026611A" w:rsidRDefault="009601BE" w:rsidP="0026611A">
      <w:pPr>
        <w:widowControl w:val="0"/>
        <w:numPr>
          <w:ilvl w:val="0"/>
          <w:numId w:val="19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color w:val="000000"/>
          <w:szCs w:val="22"/>
          <w:lang w:val="hu"/>
        </w:rPr>
      </w:pPr>
      <w:r w:rsidRPr="0026611A">
        <w:rPr>
          <w:color w:val="000000"/>
          <w:szCs w:val="22"/>
          <w:lang w:val="hu"/>
        </w:rPr>
        <w:t>az epekövek megkeményedése,</w:t>
      </w:r>
    </w:p>
    <w:p w14:paraId="684F4ADE" w14:textId="08851ACF" w:rsidR="006A1DFA" w:rsidRPr="0026611A" w:rsidRDefault="009601BE" w:rsidP="0026611A">
      <w:pPr>
        <w:widowControl w:val="0"/>
        <w:numPr>
          <w:ilvl w:val="0"/>
          <w:numId w:val="19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color w:val="000000"/>
          <w:szCs w:val="22"/>
          <w:lang w:val="hu"/>
        </w:rPr>
      </w:pPr>
      <w:r w:rsidRPr="0026611A">
        <w:rPr>
          <w:color w:val="000000"/>
          <w:szCs w:val="22"/>
          <w:lang w:val="hu"/>
        </w:rPr>
        <w:t>csalánkiütés (urti</w:t>
      </w:r>
      <w:r w:rsidR="00841676" w:rsidRPr="0026611A">
        <w:rPr>
          <w:color w:val="000000"/>
          <w:szCs w:val="22"/>
          <w:lang w:val="hu"/>
        </w:rPr>
        <w:t>ká</w:t>
      </w:r>
      <w:r w:rsidRPr="0026611A">
        <w:rPr>
          <w:color w:val="000000"/>
          <w:szCs w:val="22"/>
          <w:lang w:val="hu"/>
        </w:rPr>
        <w:t>ria).</w:t>
      </w:r>
    </w:p>
    <w:p w14:paraId="44F80CC7" w14:textId="77777777" w:rsidR="006A1DFA" w:rsidRDefault="006A1DFA">
      <w:pPr>
        <w:widowControl w:val="0"/>
        <w:autoSpaceDE w:val="0"/>
        <w:autoSpaceDN w:val="0"/>
        <w:jc w:val="both"/>
        <w:rPr>
          <w:rFonts w:eastAsia="Yu Mincho"/>
          <w:szCs w:val="22"/>
        </w:rPr>
      </w:pPr>
    </w:p>
    <w:p w14:paraId="172B794C" w14:textId="77777777" w:rsidR="00742EB3" w:rsidRPr="0026611A" w:rsidRDefault="00742EB3" w:rsidP="00742EB3">
      <w:pPr>
        <w:rPr>
          <w:lang w:val="cs-CZ"/>
        </w:rPr>
      </w:pPr>
      <w:r w:rsidRPr="00742EB3">
        <w:rPr>
          <w:b/>
          <w:bCs/>
        </w:rPr>
        <w:t xml:space="preserve">Nem ismert gyakoriságú mellékhatások </w:t>
      </w:r>
      <w:r w:rsidRPr="0026611A">
        <w:t>(a gyakoriság a rendelkezésre álló adatokból nem állapítható meg):</w:t>
      </w:r>
      <w:r w:rsidRPr="0026611A">
        <w:rPr>
          <w:lang w:val="cs-CZ"/>
        </w:rPr>
        <w:t xml:space="preserve"> </w:t>
      </w:r>
    </w:p>
    <w:p w14:paraId="08B5A0EB" w14:textId="77777777" w:rsidR="00742EB3" w:rsidRDefault="00742EB3" w:rsidP="0026611A">
      <w:pPr>
        <w:widowControl w:val="0"/>
        <w:numPr>
          <w:ilvl w:val="0"/>
          <w:numId w:val="19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lang w:val="hu"/>
        </w:rPr>
      </w:pPr>
      <w:r w:rsidRPr="0026611A">
        <w:rPr>
          <w:color w:val="000000"/>
          <w:szCs w:val="22"/>
          <w:lang w:val="hu"/>
        </w:rPr>
        <w:lastRenderedPageBreak/>
        <w:t>viszketés</w:t>
      </w:r>
      <w:r w:rsidRPr="0026611A">
        <w:rPr>
          <w:lang w:val="hu"/>
        </w:rPr>
        <w:t>,</w:t>
      </w:r>
    </w:p>
    <w:p w14:paraId="14D3C025" w14:textId="4162DC99" w:rsidR="00742EB3" w:rsidRPr="0026611A" w:rsidRDefault="00742EB3" w:rsidP="0026611A">
      <w:pPr>
        <w:widowControl w:val="0"/>
        <w:numPr>
          <w:ilvl w:val="0"/>
          <w:numId w:val="19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lang w:val="hu"/>
        </w:rPr>
      </w:pPr>
      <w:r w:rsidRPr="0026611A">
        <w:rPr>
          <w:color w:val="000000"/>
          <w:szCs w:val="22"/>
          <w:lang w:val="hu"/>
        </w:rPr>
        <w:t>hányinger</w:t>
      </w:r>
      <w:r w:rsidRPr="0026611A">
        <w:rPr>
          <w:lang w:val="hu"/>
        </w:rPr>
        <w:t>, hányás.</w:t>
      </w:r>
    </w:p>
    <w:p w14:paraId="2E1F9696" w14:textId="77777777" w:rsidR="00742EB3" w:rsidRDefault="00742EB3">
      <w:pPr>
        <w:widowControl w:val="0"/>
        <w:autoSpaceDE w:val="0"/>
        <w:autoSpaceDN w:val="0"/>
        <w:jc w:val="both"/>
        <w:rPr>
          <w:rFonts w:eastAsia="Yu Mincho"/>
          <w:szCs w:val="22"/>
        </w:rPr>
      </w:pPr>
    </w:p>
    <w:p w14:paraId="7B0EF7DF" w14:textId="77777777" w:rsidR="006A1DFA" w:rsidRDefault="009601BE">
      <w:pPr>
        <w:keepNext/>
        <w:jc w:val="both"/>
        <w:rPr>
          <w:rFonts w:eastAsia="Yu Mincho"/>
          <w:b/>
          <w:szCs w:val="22"/>
        </w:rPr>
      </w:pPr>
      <w:r>
        <w:rPr>
          <w:rFonts w:eastAsia="Yu Mincho"/>
          <w:b/>
          <w:bCs/>
          <w:szCs w:val="22"/>
          <w:lang w:val="hu"/>
        </w:rPr>
        <w:t>Mellékhatások bejelentése</w:t>
      </w:r>
    </w:p>
    <w:p w14:paraId="1D6C6A74" w14:textId="37925CE3" w:rsidR="00E00281" w:rsidRDefault="009601BE" w:rsidP="00E00281">
      <w:pPr>
        <w:rPr>
          <w:rFonts w:eastAsia="Yu Mincho"/>
          <w:szCs w:val="22"/>
          <w:lang w:val="hu"/>
        </w:rPr>
      </w:pPr>
      <w:r>
        <w:rPr>
          <w:rFonts w:eastAsia="Yu Mincho"/>
          <w:lang w:val="hu"/>
        </w:rPr>
        <w:t>Ha Önnél bármilyen mellékhatás jelentkezik, tájékoztassa kezelőorvosát vagy gyógyszerészét. Ez a betegtájékoztatóban fel nem sorolt bármilyen lehetséges mellékhatásra is vonatkozik. A mellékhatásokat közvetlenül</w:t>
      </w:r>
      <w:r>
        <w:rPr>
          <w:rFonts w:eastAsia="Yu Mincho"/>
          <w:szCs w:val="22"/>
          <w:lang w:val="hu"/>
        </w:rPr>
        <w:t xml:space="preserve"> a hatóság részére</w:t>
      </w:r>
      <w:r w:rsidR="00E00281">
        <w:rPr>
          <w:rFonts w:eastAsia="Yu Mincho"/>
          <w:szCs w:val="22"/>
          <w:lang w:val="hu"/>
        </w:rPr>
        <w:t xml:space="preserve"> is bejelentheti az</w:t>
      </w:r>
      <w:r w:rsidR="00E00281" w:rsidRPr="00E00281">
        <w:rPr>
          <w:highlight w:val="lightGray"/>
          <w:lang w:val="hu-HU"/>
        </w:rPr>
        <w:t xml:space="preserve"> </w:t>
      </w:r>
      <w:hyperlink r:id="rId7" w:history="1">
        <w:r w:rsidR="00E00281" w:rsidRPr="0025443D">
          <w:rPr>
            <w:rStyle w:val="Hiperhivatkozs"/>
            <w:rFonts w:ascii="Times New Roman" w:hAnsi="Times New Roman"/>
            <w:highlight w:val="lightGray"/>
            <w:lang w:val="hu-HU"/>
          </w:rPr>
          <w:t>V. függelékben</w:t>
        </w:r>
      </w:hyperlink>
      <w:r w:rsidR="00E00281" w:rsidRPr="00E00281">
        <w:rPr>
          <w:highlight w:val="lightGray"/>
          <w:lang w:val="hu-HU"/>
        </w:rPr>
        <w:t xml:space="preserve"> található elérhetőségeken keresztül</w:t>
      </w:r>
      <w:r w:rsidR="00E00281">
        <w:rPr>
          <w:rFonts w:eastAsia="Yu Mincho"/>
          <w:szCs w:val="22"/>
          <w:lang w:val="hu"/>
        </w:rPr>
        <w:t>.</w:t>
      </w:r>
    </w:p>
    <w:p w14:paraId="08480E17" w14:textId="501C9EB3" w:rsidR="006A1DFA" w:rsidRPr="003D7C5D" w:rsidRDefault="009601BE" w:rsidP="00E00281">
      <w:pPr>
        <w:rPr>
          <w:rFonts w:eastAsia="Yu Mincho"/>
          <w:szCs w:val="22"/>
          <w:lang w:val="hu"/>
        </w:rPr>
      </w:pPr>
      <w:r>
        <w:rPr>
          <w:rFonts w:eastAsia="Yu Mincho"/>
          <w:szCs w:val="22"/>
          <w:lang w:val="hu"/>
        </w:rPr>
        <w:t>A mellékhatások bejelentésével Ön is hozzájárulhat ahhoz, hogy minél több információ álljon rendelkezésre a gyógyszer biztonságos alkalmazásával kapcsolatban.</w:t>
      </w:r>
    </w:p>
    <w:p w14:paraId="4F51475F" w14:textId="77777777" w:rsidR="006A1DFA" w:rsidRPr="003D7C5D" w:rsidRDefault="006A1DFA">
      <w:pPr>
        <w:widowControl w:val="0"/>
        <w:autoSpaceDE w:val="0"/>
        <w:autoSpaceDN w:val="0"/>
        <w:jc w:val="both"/>
        <w:rPr>
          <w:rFonts w:eastAsia="Yu Mincho"/>
          <w:szCs w:val="22"/>
          <w:lang w:val="hu"/>
        </w:rPr>
      </w:pPr>
    </w:p>
    <w:p w14:paraId="7C2BD822" w14:textId="77777777" w:rsidR="006A1DFA" w:rsidRPr="003D7C5D" w:rsidRDefault="006A1DFA">
      <w:pPr>
        <w:shd w:val="clear" w:color="auto" w:fill="FFFFFF"/>
        <w:jc w:val="both"/>
        <w:rPr>
          <w:rFonts w:eastAsia="Yu Mincho"/>
          <w:szCs w:val="22"/>
          <w:lang w:val="hu"/>
        </w:rPr>
      </w:pPr>
    </w:p>
    <w:p w14:paraId="390F7B46" w14:textId="77777777" w:rsidR="006A1DFA" w:rsidRPr="003D7C5D" w:rsidRDefault="009601BE">
      <w:pPr>
        <w:keepNext/>
        <w:ind w:left="567" w:hanging="567"/>
        <w:rPr>
          <w:b/>
          <w:lang w:val="fr-BE"/>
        </w:rPr>
      </w:pPr>
      <w:r>
        <w:rPr>
          <w:b/>
          <w:bCs/>
          <w:lang w:val="hu"/>
        </w:rPr>
        <w:t>5.</w:t>
      </w:r>
      <w:r>
        <w:rPr>
          <w:b/>
          <w:bCs/>
          <w:lang w:val="hu"/>
        </w:rPr>
        <w:tab/>
        <w:t>Hogyan kell a Proursan-t tárolni?</w:t>
      </w:r>
    </w:p>
    <w:p w14:paraId="21F90E10" w14:textId="77777777" w:rsidR="006A1DFA" w:rsidRPr="003D7C5D" w:rsidRDefault="006A1DFA">
      <w:pPr>
        <w:keepNext/>
        <w:snapToGrid w:val="0"/>
        <w:rPr>
          <w:szCs w:val="22"/>
          <w:lang w:val="fr-BE"/>
        </w:rPr>
      </w:pPr>
    </w:p>
    <w:p w14:paraId="6A9D4949" w14:textId="77777777" w:rsidR="006A1DFA" w:rsidRPr="003D7C5D" w:rsidRDefault="009601BE">
      <w:pPr>
        <w:snapToGrid w:val="0"/>
        <w:rPr>
          <w:szCs w:val="22"/>
          <w:lang w:val="fr-BE"/>
        </w:rPr>
      </w:pPr>
      <w:r>
        <w:rPr>
          <w:szCs w:val="22"/>
          <w:lang w:val="hu"/>
        </w:rPr>
        <w:t>A gyógyszer gyermekektől elzárva tartandó!</w:t>
      </w:r>
    </w:p>
    <w:p w14:paraId="2F116EAE" w14:textId="77777777" w:rsidR="006A1DFA" w:rsidRPr="003D7C5D" w:rsidRDefault="006A1DFA">
      <w:pPr>
        <w:rPr>
          <w:bCs/>
          <w:szCs w:val="22"/>
          <w:lang w:val="fr-BE"/>
        </w:rPr>
      </w:pPr>
    </w:p>
    <w:p w14:paraId="688C3349" w14:textId="225DB10A" w:rsidR="00E00281" w:rsidRPr="00087EE4" w:rsidRDefault="00E00281" w:rsidP="00E00281">
      <w:pPr>
        <w:rPr>
          <w:szCs w:val="22"/>
          <w:lang w:val="hu"/>
        </w:rPr>
      </w:pPr>
      <w:r w:rsidRPr="003D7C5D">
        <w:rPr>
          <w:spacing w:val="-3"/>
          <w:szCs w:val="24"/>
          <w:lang w:val="fr-BE"/>
        </w:rPr>
        <w:t>Ez a gyógyszer nem igényel különleges tárolást</w:t>
      </w:r>
      <w:r>
        <w:rPr>
          <w:szCs w:val="22"/>
          <w:lang w:val="hu"/>
        </w:rPr>
        <w:t>.</w:t>
      </w:r>
    </w:p>
    <w:p w14:paraId="229FAE68" w14:textId="77777777" w:rsidR="006A1DFA" w:rsidRPr="003D7C5D" w:rsidRDefault="006A1DFA">
      <w:pPr>
        <w:rPr>
          <w:lang w:val="fr-BE"/>
        </w:rPr>
      </w:pPr>
    </w:p>
    <w:p w14:paraId="62F29D27" w14:textId="7F5D99CE" w:rsidR="006A1DFA" w:rsidRPr="003D7C5D" w:rsidRDefault="009601BE">
      <w:pPr>
        <w:rPr>
          <w:lang w:val="hu"/>
        </w:rPr>
      </w:pPr>
      <w:r>
        <w:rPr>
          <w:lang w:val="hu"/>
        </w:rPr>
        <w:t>A dobozon és a buborékcsomagoláson feltüntetett lejárati idő</w:t>
      </w:r>
      <w:r w:rsidR="00E00281">
        <w:rPr>
          <w:lang w:val="hu"/>
        </w:rPr>
        <w:t xml:space="preserve"> (EXP:)</w:t>
      </w:r>
      <w:r>
        <w:rPr>
          <w:lang w:val="hu"/>
        </w:rPr>
        <w:t xml:space="preserve"> után ne szedje ezt a gyógyszert. A lejárati idő az adott hónap utolsó napjára vonatkozik.</w:t>
      </w:r>
    </w:p>
    <w:p w14:paraId="1083C50D" w14:textId="77777777" w:rsidR="006A1DFA" w:rsidRPr="003D7C5D" w:rsidRDefault="006A1DFA">
      <w:pPr>
        <w:rPr>
          <w:bCs/>
          <w:lang w:val="hu"/>
        </w:rPr>
      </w:pPr>
    </w:p>
    <w:p w14:paraId="2A2B3C12" w14:textId="77777777" w:rsidR="006A1DFA" w:rsidRPr="003D7C5D" w:rsidRDefault="009601BE">
      <w:pPr>
        <w:rPr>
          <w:bCs/>
          <w:lang w:val="hu"/>
        </w:rPr>
      </w:pPr>
      <w:r>
        <w:rPr>
          <w:lang w:val="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7AC48CB" w14:textId="77777777" w:rsidR="006A1DFA" w:rsidRPr="003D7C5D" w:rsidRDefault="006A1DFA">
      <w:pPr>
        <w:rPr>
          <w:lang w:val="hu"/>
        </w:rPr>
      </w:pPr>
    </w:p>
    <w:p w14:paraId="07716DD0" w14:textId="77777777" w:rsidR="006A1DFA" w:rsidRPr="003D7C5D" w:rsidRDefault="006A1DFA">
      <w:pPr>
        <w:rPr>
          <w:bCs/>
          <w:lang w:val="hu"/>
        </w:rPr>
      </w:pPr>
    </w:p>
    <w:p w14:paraId="258E84C7" w14:textId="77777777" w:rsidR="006A1DFA" w:rsidRPr="003D7C5D" w:rsidRDefault="009601BE">
      <w:pPr>
        <w:keepNext/>
        <w:ind w:left="567" w:hanging="567"/>
        <w:rPr>
          <w:b/>
          <w:lang w:val="hu"/>
        </w:rPr>
      </w:pPr>
      <w:r>
        <w:rPr>
          <w:b/>
          <w:bCs/>
          <w:lang w:val="hu"/>
        </w:rPr>
        <w:t>6.</w:t>
      </w:r>
      <w:r>
        <w:rPr>
          <w:b/>
          <w:bCs/>
          <w:lang w:val="hu"/>
        </w:rPr>
        <w:tab/>
        <w:t>A csomagolás tartalma és egyéb információk</w:t>
      </w:r>
    </w:p>
    <w:p w14:paraId="67889351" w14:textId="77777777" w:rsidR="006A1DFA" w:rsidRPr="003D7C5D" w:rsidRDefault="006A1DFA">
      <w:pPr>
        <w:keepNext/>
        <w:rPr>
          <w:szCs w:val="22"/>
          <w:lang w:val="hu"/>
        </w:rPr>
      </w:pPr>
    </w:p>
    <w:p w14:paraId="7D888022" w14:textId="77777777" w:rsidR="006A1DFA" w:rsidRPr="003D7C5D" w:rsidRDefault="009601BE">
      <w:pPr>
        <w:keepNext/>
        <w:numPr>
          <w:ilvl w:val="12"/>
          <w:numId w:val="0"/>
        </w:numPr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Mit tartalmaz a(z) Proursan?</w:t>
      </w:r>
    </w:p>
    <w:p w14:paraId="78A8A643" w14:textId="756236F6" w:rsidR="006A1DFA" w:rsidRPr="003D7C5D" w:rsidRDefault="009601BE">
      <w:pPr>
        <w:rPr>
          <w:lang w:val="hu"/>
        </w:rPr>
      </w:pPr>
      <w:r>
        <w:rPr>
          <w:lang w:val="hu"/>
        </w:rPr>
        <w:t>A készítmény hatóanyaga az urzodezoxikólsav. 250</w:t>
      </w:r>
      <w:r w:rsidR="00901CCC">
        <w:rPr>
          <w:lang w:val="hu"/>
        </w:rPr>
        <w:t> mg</w:t>
      </w:r>
      <w:r>
        <w:rPr>
          <w:lang w:val="hu"/>
        </w:rPr>
        <w:t xml:space="preserve"> urzodezoxikólsavat tartalmaz</w:t>
      </w:r>
      <w:r w:rsidR="00E00281">
        <w:rPr>
          <w:lang w:val="hu"/>
        </w:rPr>
        <w:t xml:space="preserve"> kapszulánként</w:t>
      </w:r>
      <w:r>
        <w:rPr>
          <w:lang w:val="hu"/>
        </w:rPr>
        <w:t>.</w:t>
      </w:r>
    </w:p>
    <w:p w14:paraId="78FF59BD" w14:textId="77777777" w:rsidR="006A1DFA" w:rsidRPr="003D7C5D" w:rsidRDefault="009601BE">
      <w:pPr>
        <w:rPr>
          <w:lang w:val="hu"/>
        </w:rPr>
      </w:pPr>
      <w:r>
        <w:rPr>
          <w:lang w:val="hu"/>
        </w:rPr>
        <w:t>Egyéb összetevők:</w:t>
      </w:r>
    </w:p>
    <w:p w14:paraId="77229C2C" w14:textId="3F0EAF6E" w:rsidR="006A1DFA" w:rsidRPr="003D7C5D" w:rsidRDefault="009601BE">
      <w:pPr>
        <w:rPr>
          <w:lang w:val="hu"/>
        </w:rPr>
      </w:pPr>
      <w:r>
        <w:rPr>
          <w:lang w:val="hu"/>
        </w:rPr>
        <w:t xml:space="preserve">A kapszula tartalma: kukoricakeményítő, </w:t>
      </w:r>
      <w:r w:rsidR="00E00281">
        <w:rPr>
          <w:color w:val="000000"/>
          <w:szCs w:val="22"/>
          <w:lang w:val="hu"/>
        </w:rPr>
        <w:t>h</w:t>
      </w:r>
      <w:r w:rsidR="00E00281" w:rsidRPr="00D33BBF">
        <w:rPr>
          <w:color w:val="000000"/>
          <w:szCs w:val="22"/>
          <w:lang w:val="hu"/>
        </w:rPr>
        <w:t>idegen duzzadó</w:t>
      </w:r>
      <w:r>
        <w:rPr>
          <w:lang w:val="hu"/>
        </w:rPr>
        <w:t xml:space="preserve"> kukuricakeményítő, vízmentes kolloid szilícium-dioxid, magnézium sztearát.</w:t>
      </w:r>
    </w:p>
    <w:p w14:paraId="05CE2F36" w14:textId="77777777" w:rsidR="006A1DFA" w:rsidRPr="003D7C5D" w:rsidRDefault="009601BE">
      <w:pPr>
        <w:rPr>
          <w:lang w:val="hu"/>
        </w:rPr>
      </w:pPr>
      <w:r>
        <w:rPr>
          <w:lang w:val="hu"/>
        </w:rPr>
        <w:t>Kapszulahéj: zselatin, titán-dioxid (E171).</w:t>
      </w:r>
    </w:p>
    <w:p w14:paraId="51F5DB65" w14:textId="77777777" w:rsidR="006A1DFA" w:rsidRPr="003D7C5D" w:rsidRDefault="006A1DFA">
      <w:pPr>
        <w:rPr>
          <w:lang w:val="hu"/>
        </w:rPr>
      </w:pPr>
    </w:p>
    <w:p w14:paraId="5FEE950B" w14:textId="77777777" w:rsidR="006A1DFA" w:rsidRPr="0026611A" w:rsidRDefault="009601BE">
      <w:pPr>
        <w:keepNext/>
        <w:numPr>
          <w:ilvl w:val="12"/>
          <w:numId w:val="0"/>
        </w:numPr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Milyen a(z) Proursan külleme és mit tartalmaz a csomagolás?</w:t>
      </w:r>
    </w:p>
    <w:p w14:paraId="5ED8C1A7" w14:textId="316CF191" w:rsidR="006A1DFA" w:rsidRPr="0026611A" w:rsidRDefault="009601BE">
      <w:pPr>
        <w:rPr>
          <w:lang w:val="hu"/>
        </w:rPr>
      </w:pPr>
      <w:r>
        <w:rPr>
          <w:lang w:val="hu"/>
        </w:rPr>
        <w:t xml:space="preserve">A Proursan </w:t>
      </w:r>
      <w:r w:rsidR="00CB2B5E">
        <w:rPr>
          <w:lang w:val="hu"/>
        </w:rPr>
        <w:t>f</w:t>
      </w:r>
      <w:r w:rsidR="00E00281" w:rsidRPr="00E00281">
        <w:rPr>
          <w:lang w:val="hu"/>
        </w:rPr>
        <w:t>ehér színű, 0-s méretű, kemény zselatin kapszula, amely fehér vagy majdnem fehér port tartalmaz</w:t>
      </w:r>
      <w:r>
        <w:rPr>
          <w:lang w:val="hu"/>
        </w:rPr>
        <w:t>.</w:t>
      </w:r>
    </w:p>
    <w:p w14:paraId="3C8A0AC5" w14:textId="77777777" w:rsidR="006A1DFA" w:rsidRPr="0026611A" w:rsidRDefault="009601BE">
      <w:pPr>
        <w:rPr>
          <w:lang w:val="hu"/>
        </w:rPr>
      </w:pPr>
      <w:r>
        <w:rPr>
          <w:lang w:val="hu"/>
        </w:rPr>
        <w:t>A Proursan 20, 40, 50, 60, 80 vagy 100 kapszulát tartalmazó kiszerelésben kapható.</w:t>
      </w:r>
    </w:p>
    <w:p w14:paraId="16CBFF03" w14:textId="77777777" w:rsidR="006A1DFA" w:rsidRPr="0026611A" w:rsidRDefault="009601BE">
      <w:pPr>
        <w:rPr>
          <w:lang w:val="hu"/>
        </w:rPr>
      </w:pPr>
      <w:r>
        <w:rPr>
          <w:lang w:val="hu"/>
        </w:rPr>
        <w:t>Nem feltétlenül mindegyik kiszerelés kerül kereskedelmi forgalomba.</w:t>
      </w:r>
    </w:p>
    <w:p w14:paraId="2B02C898" w14:textId="77777777" w:rsidR="006A1DFA" w:rsidRPr="0026611A" w:rsidRDefault="006A1DFA">
      <w:pPr>
        <w:rPr>
          <w:lang w:val="hu"/>
        </w:rPr>
      </w:pPr>
    </w:p>
    <w:p w14:paraId="24D63308" w14:textId="77777777" w:rsidR="006A1DFA" w:rsidRPr="0026611A" w:rsidRDefault="009601BE">
      <w:pPr>
        <w:numPr>
          <w:ilvl w:val="12"/>
          <w:numId w:val="0"/>
        </w:numPr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A forgalomba hozatali engedély jogosultja</w:t>
      </w:r>
    </w:p>
    <w:p w14:paraId="48707C25" w14:textId="77777777" w:rsidR="006A1DFA" w:rsidRPr="0026611A" w:rsidRDefault="009601BE">
      <w:pPr>
        <w:rPr>
          <w:szCs w:val="22"/>
          <w:lang w:val="hu"/>
        </w:rPr>
      </w:pPr>
      <w:r>
        <w:rPr>
          <w:szCs w:val="22"/>
          <w:lang w:val="hu"/>
        </w:rPr>
        <w:t>Kappler Pharma Consult GmbH, Fonyoder Straße 18, 89340 Leipheim, Németország</w:t>
      </w:r>
    </w:p>
    <w:p w14:paraId="1E5760CC" w14:textId="77777777" w:rsidR="006A1DFA" w:rsidRPr="0026611A" w:rsidRDefault="006A1DFA">
      <w:pPr>
        <w:numPr>
          <w:ilvl w:val="12"/>
          <w:numId w:val="0"/>
        </w:numPr>
        <w:rPr>
          <w:b/>
          <w:bCs/>
          <w:szCs w:val="22"/>
          <w:lang w:val="hu"/>
        </w:rPr>
      </w:pPr>
    </w:p>
    <w:p w14:paraId="19294548" w14:textId="77777777" w:rsidR="006A1DFA" w:rsidRPr="0026611A" w:rsidRDefault="009601BE">
      <w:pPr>
        <w:numPr>
          <w:ilvl w:val="12"/>
          <w:numId w:val="0"/>
        </w:numPr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Gyártó</w:t>
      </w:r>
    </w:p>
    <w:p w14:paraId="5F53A675" w14:textId="77777777" w:rsidR="006A1DFA" w:rsidRPr="0026611A" w:rsidRDefault="009601BE">
      <w:pPr>
        <w:numPr>
          <w:ilvl w:val="12"/>
          <w:numId w:val="0"/>
        </w:numPr>
        <w:rPr>
          <w:szCs w:val="22"/>
          <w:lang w:val="hu"/>
        </w:rPr>
      </w:pPr>
      <w:r>
        <w:rPr>
          <w:szCs w:val="22"/>
          <w:lang w:val="hu"/>
        </w:rPr>
        <w:t>PRO.MED.CS Praha a.s., Telčská 377/1, Michle, 140 00 Praha 4, Cseh Köztársaság</w:t>
      </w:r>
    </w:p>
    <w:p w14:paraId="2725C566" w14:textId="77777777" w:rsidR="006A1DFA" w:rsidRPr="0026611A" w:rsidRDefault="006A1DFA">
      <w:pPr>
        <w:rPr>
          <w:szCs w:val="22"/>
          <w:lang w:val="hu"/>
        </w:rPr>
      </w:pPr>
    </w:p>
    <w:p w14:paraId="6F12AD4C" w14:textId="77777777" w:rsidR="006A1DFA" w:rsidRPr="0026611A" w:rsidRDefault="009601BE">
      <w:pPr>
        <w:keepNext/>
        <w:jc w:val="both"/>
        <w:rPr>
          <w:rFonts w:eastAsia="Yu Mincho"/>
          <w:b/>
          <w:szCs w:val="22"/>
          <w:lang w:val="hu"/>
        </w:rPr>
      </w:pPr>
      <w:r>
        <w:rPr>
          <w:rFonts w:eastAsia="Yu Mincho"/>
          <w:b/>
          <w:bCs/>
          <w:szCs w:val="22"/>
          <w:lang w:val="hu"/>
        </w:rPr>
        <w:t>Ezt a gyógyszert az Európai Gazdasági Térség (EEA) tagállamaiban a következő neveken engedélyezték:</w:t>
      </w:r>
    </w:p>
    <w:p w14:paraId="043EEFFC" w14:textId="53E36B4F" w:rsidR="00D170F3" w:rsidRPr="0026611A" w:rsidRDefault="00D170F3" w:rsidP="00D170F3">
      <w:pPr>
        <w:rPr>
          <w:szCs w:val="22"/>
          <w:lang w:val="hu"/>
        </w:rPr>
      </w:pPr>
      <w:r w:rsidRPr="0026611A">
        <w:rPr>
          <w:szCs w:val="22"/>
          <w:lang w:val="hu"/>
        </w:rPr>
        <w:t>Franciaország</w:t>
      </w:r>
      <w:r w:rsidRPr="0026611A">
        <w:rPr>
          <w:szCs w:val="22"/>
          <w:lang w:val="hu"/>
        </w:rPr>
        <w:tab/>
      </w:r>
      <w:r w:rsidRPr="0026611A">
        <w:rPr>
          <w:szCs w:val="22"/>
          <w:lang w:val="hu"/>
        </w:rPr>
        <w:tab/>
      </w:r>
      <w:r w:rsidRPr="0026611A">
        <w:rPr>
          <w:szCs w:val="22"/>
          <w:lang w:val="hu"/>
        </w:rPr>
        <w:tab/>
        <w:t>Proursan 250</w:t>
      </w:r>
      <w:r w:rsidR="00901CCC">
        <w:rPr>
          <w:szCs w:val="22"/>
          <w:lang w:val="hu"/>
        </w:rPr>
        <w:t> mg</w:t>
      </w:r>
      <w:r w:rsidRPr="0026611A">
        <w:rPr>
          <w:szCs w:val="22"/>
          <w:lang w:val="hu"/>
        </w:rPr>
        <w:t xml:space="preserve"> gélule</w:t>
      </w:r>
    </w:p>
    <w:p w14:paraId="03B98968" w14:textId="364D6D66" w:rsidR="00D170F3" w:rsidRPr="0026611A" w:rsidRDefault="00D170F3" w:rsidP="00D170F3">
      <w:pPr>
        <w:rPr>
          <w:szCs w:val="22"/>
          <w:lang w:val="hu"/>
        </w:rPr>
      </w:pPr>
      <w:r w:rsidRPr="0026611A">
        <w:rPr>
          <w:szCs w:val="22"/>
          <w:lang w:val="hu"/>
        </w:rPr>
        <w:t>Olaszország</w:t>
      </w:r>
      <w:r w:rsidRPr="0026611A">
        <w:rPr>
          <w:szCs w:val="22"/>
          <w:lang w:val="hu"/>
        </w:rPr>
        <w:tab/>
      </w:r>
      <w:r w:rsidRPr="0026611A">
        <w:rPr>
          <w:szCs w:val="22"/>
          <w:lang w:val="hu"/>
        </w:rPr>
        <w:tab/>
      </w:r>
      <w:r w:rsidRPr="0026611A">
        <w:rPr>
          <w:szCs w:val="22"/>
          <w:lang w:val="hu"/>
        </w:rPr>
        <w:tab/>
        <w:t>Livurox</w:t>
      </w:r>
    </w:p>
    <w:p w14:paraId="6913476B" w14:textId="6D0357D3" w:rsidR="00956A64" w:rsidRPr="0026611A" w:rsidRDefault="00956A64" w:rsidP="00D170F3">
      <w:pPr>
        <w:rPr>
          <w:szCs w:val="22"/>
          <w:lang w:val="hu"/>
        </w:rPr>
      </w:pPr>
    </w:p>
    <w:p w14:paraId="37663AD7" w14:textId="77777777" w:rsidR="00CC323E" w:rsidRDefault="00CC323E" w:rsidP="00CC323E">
      <w:pPr>
        <w:keepNext/>
        <w:rPr>
          <w:szCs w:val="22"/>
          <w:lang w:val="hu-HU"/>
        </w:rPr>
      </w:pPr>
      <w:r>
        <w:rPr>
          <w:szCs w:val="22"/>
          <w:lang w:val="hu-HU"/>
        </w:rPr>
        <w:lastRenderedPageBreak/>
        <w:t>OGYI-T-23988/01</w:t>
      </w:r>
      <w:r>
        <w:rPr>
          <w:szCs w:val="22"/>
          <w:lang w:val="hu-HU"/>
        </w:rPr>
        <w:tab/>
        <w:t>20×</w:t>
      </w:r>
    </w:p>
    <w:p w14:paraId="67EC2764" w14:textId="77777777" w:rsidR="00CC323E" w:rsidRDefault="00CC323E" w:rsidP="00CC323E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OGYI-T-23988/02</w:t>
      </w:r>
      <w:r>
        <w:rPr>
          <w:szCs w:val="22"/>
          <w:lang w:val="hu-HU"/>
        </w:rPr>
        <w:tab/>
        <w:t>40×</w:t>
      </w:r>
    </w:p>
    <w:p w14:paraId="69B006A2" w14:textId="77777777" w:rsidR="00CC323E" w:rsidRDefault="00CC323E" w:rsidP="00CC323E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OGYI-T-23988/03</w:t>
      </w:r>
      <w:r>
        <w:rPr>
          <w:szCs w:val="22"/>
          <w:lang w:val="hu-HU"/>
        </w:rPr>
        <w:tab/>
        <w:t>50×</w:t>
      </w:r>
    </w:p>
    <w:p w14:paraId="20FB76DB" w14:textId="77777777" w:rsidR="00CC323E" w:rsidRDefault="00CC323E" w:rsidP="00CC323E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OGYI-T-23988/04</w:t>
      </w:r>
      <w:r>
        <w:rPr>
          <w:szCs w:val="22"/>
          <w:lang w:val="hu-HU"/>
        </w:rPr>
        <w:tab/>
        <w:t>60×</w:t>
      </w:r>
    </w:p>
    <w:p w14:paraId="6A0B68A7" w14:textId="77777777" w:rsidR="00CC323E" w:rsidRDefault="00CC323E" w:rsidP="00CC323E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OGYI-T-23988/05</w:t>
      </w:r>
      <w:r>
        <w:rPr>
          <w:szCs w:val="22"/>
          <w:lang w:val="hu-HU"/>
        </w:rPr>
        <w:tab/>
        <w:t>80×</w:t>
      </w:r>
    </w:p>
    <w:p w14:paraId="52BAB83E" w14:textId="77777777" w:rsidR="00CC323E" w:rsidRPr="0026611A" w:rsidRDefault="00CC323E" w:rsidP="00CC323E">
      <w:pPr>
        <w:rPr>
          <w:szCs w:val="22"/>
          <w:lang w:val="fr-FR"/>
        </w:rPr>
      </w:pPr>
      <w:r>
        <w:rPr>
          <w:szCs w:val="22"/>
          <w:lang w:val="hu-HU"/>
        </w:rPr>
        <w:t>OGYI-T-23988/06</w:t>
      </w:r>
      <w:r>
        <w:rPr>
          <w:szCs w:val="22"/>
          <w:lang w:val="hu-HU"/>
        </w:rPr>
        <w:tab/>
        <w:t>100×</w:t>
      </w:r>
    </w:p>
    <w:p w14:paraId="344D251A" w14:textId="77777777" w:rsidR="00CC323E" w:rsidRPr="003D7C5D" w:rsidRDefault="00CC323E" w:rsidP="00D170F3">
      <w:pPr>
        <w:rPr>
          <w:szCs w:val="22"/>
          <w:lang w:val="fr-BE"/>
        </w:rPr>
      </w:pPr>
    </w:p>
    <w:p w14:paraId="7D9ED4F8" w14:textId="56989DEC" w:rsidR="006A1DFA" w:rsidRPr="003D7C5D" w:rsidRDefault="009601BE">
      <w:pPr>
        <w:keepNext/>
        <w:numPr>
          <w:ilvl w:val="12"/>
          <w:numId w:val="0"/>
        </w:numPr>
        <w:rPr>
          <w:szCs w:val="22"/>
          <w:lang w:val="fr-BE"/>
        </w:rPr>
      </w:pPr>
      <w:r>
        <w:rPr>
          <w:b/>
          <w:bCs/>
          <w:szCs w:val="22"/>
          <w:lang w:val="hu"/>
        </w:rPr>
        <w:t>A betegtájékoztató felülvizsgálatának időpontja</w:t>
      </w:r>
      <w:r w:rsidR="00CC323E">
        <w:rPr>
          <w:b/>
          <w:bCs/>
          <w:szCs w:val="22"/>
          <w:lang w:val="hu"/>
        </w:rPr>
        <w:t xml:space="preserve">: </w:t>
      </w:r>
      <w:r w:rsidR="00246AD7">
        <w:rPr>
          <w:b/>
          <w:bCs/>
          <w:szCs w:val="22"/>
          <w:lang w:val="hu"/>
        </w:rPr>
        <w:t>2026. március.</w:t>
      </w:r>
    </w:p>
    <w:p w14:paraId="515D1AF7" w14:textId="77777777" w:rsidR="006A1DFA" w:rsidRPr="003D7C5D" w:rsidRDefault="006A1DFA">
      <w:pPr>
        <w:shd w:val="clear" w:color="auto" w:fill="FFFFFF"/>
        <w:rPr>
          <w:szCs w:val="22"/>
          <w:lang w:val="fr-BE"/>
        </w:rPr>
      </w:pPr>
    </w:p>
    <w:sectPr w:rsidR="006A1DFA" w:rsidRPr="003D7C5D" w:rsidSect="0025443D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EB95D" w14:textId="77777777" w:rsidR="00EC4A46" w:rsidRDefault="00EC4A46">
      <w:r>
        <w:separator/>
      </w:r>
    </w:p>
  </w:endnote>
  <w:endnote w:type="continuationSeparator" w:id="0">
    <w:p w14:paraId="2D942CB3" w14:textId="77777777" w:rsidR="00EC4A46" w:rsidRDefault="00EC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A9D05" w14:textId="3E930328" w:rsidR="006A1DFA" w:rsidRDefault="006A1DFA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FD673" w14:textId="0311E36B" w:rsidR="0025443D" w:rsidRPr="0025443D" w:rsidRDefault="00DD5B77">
    <w:pPr>
      <w:pStyle w:val="llb"/>
      <w:rPr>
        <w:sz w:val="18"/>
        <w:szCs w:val="18"/>
      </w:rPr>
    </w:pPr>
    <w:r w:rsidRPr="00DD5B77">
      <w:rPr>
        <w:sz w:val="18"/>
        <w:szCs w:val="18"/>
      </w:rPr>
      <w:t>NNGYK/ETGY/7998/2026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08E64" w14:textId="77777777" w:rsidR="00EC4A46" w:rsidRDefault="00EC4A46">
      <w:r>
        <w:separator/>
      </w:r>
    </w:p>
  </w:footnote>
  <w:footnote w:type="continuationSeparator" w:id="0">
    <w:p w14:paraId="4DA7F99A" w14:textId="77777777" w:rsidR="00EC4A46" w:rsidRDefault="00EC4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951287509"/>
      <w:docPartObj>
        <w:docPartGallery w:val="Page Numbers (Top of Page)"/>
        <w:docPartUnique/>
      </w:docPartObj>
    </w:sdtPr>
    <w:sdtEndPr/>
    <w:sdtContent>
      <w:p w14:paraId="7B0A311F" w14:textId="72D00032" w:rsidR="00110248" w:rsidRPr="0025443D" w:rsidRDefault="00110248">
        <w:pPr>
          <w:pStyle w:val="lfej"/>
          <w:jc w:val="center"/>
          <w:rPr>
            <w:sz w:val="18"/>
            <w:szCs w:val="18"/>
          </w:rPr>
        </w:pPr>
        <w:r w:rsidRPr="0025443D">
          <w:rPr>
            <w:sz w:val="18"/>
            <w:szCs w:val="18"/>
          </w:rPr>
          <w:fldChar w:fldCharType="begin"/>
        </w:r>
        <w:r w:rsidRPr="0025443D">
          <w:rPr>
            <w:sz w:val="18"/>
            <w:szCs w:val="18"/>
          </w:rPr>
          <w:instrText>PAGE   \* MERGEFORMAT</w:instrText>
        </w:r>
        <w:r w:rsidRPr="0025443D">
          <w:rPr>
            <w:sz w:val="18"/>
            <w:szCs w:val="18"/>
          </w:rPr>
          <w:fldChar w:fldCharType="separate"/>
        </w:r>
        <w:r w:rsidR="00CC323E" w:rsidRPr="00CC323E">
          <w:rPr>
            <w:noProof/>
            <w:sz w:val="18"/>
            <w:szCs w:val="18"/>
            <w:lang w:val="hu-HU"/>
          </w:rPr>
          <w:t>7</w:t>
        </w:r>
        <w:r w:rsidRPr="0025443D">
          <w:rPr>
            <w:sz w:val="18"/>
            <w:szCs w:val="18"/>
          </w:rPr>
          <w:fldChar w:fldCharType="end"/>
        </w:r>
      </w:p>
    </w:sdtContent>
  </w:sdt>
  <w:p w14:paraId="71A1BB7D" w14:textId="77777777" w:rsidR="00110248" w:rsidRDefault="001102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MusterSpiegelstrich-Aufzhlung"/>
      <w:lvlText w:val="-"/>
      <w:lvlJc w:val="left"/>
      <w:pPr>
        <w:tabs>
          <w:tab w:val="num" w:pos="360"/>
        </w:tabs>
      </w:pPr>
      <w:rPr>
        <w:rFonts w:ascii="Thorndale" w:hAnsi="Thorndale"/>
        <w:sz w:val="16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421"/>
        </w:tabs>
      </w:pPr>
      <w:rPr>
        <w:rFonts w:cs="Times New Roman"/>
      </w:rPr>
    </w:lvl>
  </w:abstractNum>
  <w:abstractNum w:abstractNumId="2" w15:restartNumberingAfterBreak="0">
    <w:nsid w:val="052D396E"/>
    <w:multiLevelType w:val="multilevel"/>
    <w:tmpl w:val="C0E0E2AC"/>
    <w:lvl w:ilvl="0">
      <w:start w:val="1"/>
      <w:numFmt w:val="decimal"/>
      <w:pStyle w:val="Styl1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2"/>
      <w:isLgl/>
      <w:lvlText w:val="%1.%2"/>
      <w:lvlJc w:val="left"/>
      <w:pPr>
        <w:tabs>
          <w:tab w:val="num" w:pos="747"/>
        </w:tabs>
        <w:ind w:left="747" w:hanging="567"/>
      </w:pPr>
      <w:rPr>
        <w:rFonts w:cs="Times New Roman"/>
        <w:b/>
        <w:i w:val="0"/>
        <w:vanish w:val="0"/>
        <w:u w:val="none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pStyle w:val="TJ1"/>
      <w:isLgl/>
      <w:lvlText w:val="%1.%2.%3.%4"/>
      <w:lvlJc w:val="left"/>
      <w:pPr>
        <w:tabs>
          <w:tab w:val="num" w:pos="108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3" w15:restartNumberingAfterBreak="0">
    <w:nsid w:val="08BF46DB"/>
    <w:multiLevelType w:val="hybridMultilevel"/>
    <w:tmpl w:val="062AD2D8"/>
    <w:lvl w:ilvl="0" w:tplc="04070005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97D03"/>
    <w:multiLevelType w:val="hybridMultilevel"/>
    <w:tmpl w:val="601435B8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87F9A"/>
    <w:multiLevelType w:val="hybridMultilevel"/>
    <w:tmpl w:val="018CBBD2"/>
    <w:lvl w:ilvl="0" w:tplc="FFFFFFFF">
      <w:start w:val="1"/>
      <w:numFmt w:val="bullet"/>
      <w:lvlText w:val="-"/>
      <w:lvlJc w:val="left"/>
      <w:pPr>
        <w:ind w:left="719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6" w15:restartNumberingAfterBreak="0">
    <w:nsid w:val="2AD859A4"/>
    <w:multiLevelType w:val="multilevel"/>
    <w:tmpl w:val="42924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2A6A6D"/>
    <w:multiLevelType w:val="hybridMultilevel"/>
    <w:tmpl w:val="2A8CC11C"/>
    <w:lvl w:ilvl="0" w:tplc="E3B672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D854DD"/>
    <w:multiLevelType w:val="hybridMultilevel"/>
    <w:tmpl w:val="B588A70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9111E"/>
    <w:multiLevelType w:val="hybridMultilevel"/>
    <w:tmpl w:val="80500C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2AF2429"/>
    <w:multiLevelType w:val="hybridMultilevel"/>
    <w:tmpl w:val="D554B3F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3DB635B6"/>
    <w:multiLevelType w:val="hybridMultilevel"/>
    <w:tmpl w:val="9730B2A0"/>
    <w:lvl w:ilvl="0" w:tplc="AFEEABE0">
      <w:start w:val="1"/>
      <w:numFmt w:val="decimal"/>
      <w:pStyle w:val="Aufzhlung1-2-3-4-5-6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DFA315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4E3E6BF4"/>
    <w:multiLevelType w:val="hybridMultilevel"/>
    <w:tmpl w:val="A4CCA8F2"/>
    <w:lvl w:ilvl="0" w:tplc="04050001">
      <w:start w:val="1"/>
      <w:numFmt w:val="bullet"/>
      <w:lvlText w:val=""/>
      <w:lvlJc w:val="left"/>
      <w:pPr>
        <w:ind w:left="-351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369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15" w15:restartNumberingAfterBreak="0">
    <w:nsid w:val="62DD09E5"/>
    <w:multiLevelType w:val="hybridMultilevel"/>
    <w:tmpl w:val="B13A6CEE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EB4792"/>
    <w:multiLevelType w:val="hybridMultilevel"/>
    <w:tmpl w:val="E13E8FF0"/>
    <w:lvl w:ilvl="0" w:tplc="FC6ECFD6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89E3149"/>
    <w:multiLevelType w:val="hybridMultilevel"/>
    <w:tmpl w:val="DE90E36E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8145E1"/>
    <w:multiLevelType w:val="hybridMultilevel"/>
    <w:tmpl w:val="3738DA26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A45EA4"/>
    <w:multiLevelType w:val="hybridMultilevel"/>
    <w:tmpl w:val="0BB0B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832C2"/>
    <w:multiLevelType w:val="hybridMultilevel"/>
    <w:tmpl w:val="360E329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bullet"/>
      <w:lvlText w:val=""/>
      <w:lvlJc w:val="left"/>
      <w:pPr>
        <w:tabs>
          <w:tab w:val="num" w:pos="1099"/>
        </w:tabs>
        <w:ind w:left="1099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num w:numId="1" w16cid:durableId="1024749143">
    <w:abstractNumId w:val="12"/>
  </w:num>
  <w:num w:numId="2" w16cid:durableId="1469981151">
    <w:abstractNumId w:val="0"/>
  </w:num>
  <w:num w:numId="3" w16cid:durableId="980234741">
    <w:abstractNumId w:val="2"/>
  </w:num>
  <w:num w:numId="4" w16cid:durableId="177961694">
    <w:abstractNumId w:val="11"/>
  </w:num>
  <w:num w:numId="5" w16cid:durableId="694767641">
    <w:abstractNumId w:val="3"/>
  </w:num>
  <w:num w:numId="6" w16cid:durableId="738287438">
    <w:abstractNumId w:val="5"/>
  </w:num>
  <w:num w:numId="7" w16cid:durableId="4234525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71468855">
    <w:abstractNumId w:val="8"/>
  </w:num>
  <w:num w:numId="9" w16cid:durableId="280572652">
    <w:abstractNumId w:val="13"/>
    <w:lvlOverride w:ilvl="0">
      <w:startOverride w:val="1"/>
    </w:lvlOverride>
  </w:num>
  <w:num w:numId="10" w16cid:durableId="31850502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010627">
    <w:abstractNumId w:val="9"/>
  </w:num>
  <w:num w:numId="12" w16cid:durableId="606349730">
    <w:abstractNumId w:val="10"/>
  </w:num>
  <w:num w:numId="13" w16cid:durableId="1507865914">
    <w:abstractNumId w:val="19"/>
  </w:num>
  <w:num w:numId="14" w16cid:durableId="1709791082">
    <w:abstractNumId w:val="4"/>
  </w:num>
  <w:num w:numId="15" w16cid:durableId="1487165614">
    <w:abstractNumId w:val="15"/>
  </w:num>
  <w:num w:numId="16" w16cid:durableId="1407340156">
    <w:abstractNumId w:val="18"/>
  </w:num>
  <w:num w:numId="17" w16cid:durableId="1878934185">
    <w:abstractNumId w:val="7"/>
  </w:num>
  <w:num w:numId="18" w16cid:durableId="1583368246">
    <w:abstractNumId w:val="14"/>
  </w:num>
  <w:num w:numId="19" w16cid:durableId="117067394">
    <w:abstractNumId w:val="17"/>
  </w:num>
  <w:num w:numId="20" w16cid:durableId="386074056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de-DE" w:vendorID="64" w:dllVersion="0" w:nlCheck="1" w:checkStyle="0"/>
  <w:activeWritingStyle w:appName="MSWord" w:lang="cs-CZ" w:vendorID="64" w:dllVersion="0" w:nlCheck="1" w:checkStyle="0"/>
  <w:activeWritingStyle w:appName="MSWord" w:lang="fr-BE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DFA"/>
    <w:rsid w:val="000303DC"/>
    <w:rsid w:val="000B3B1C"/>
    <w:rsid w:val="00110248"/>
    <w:rsid w:val="00246AD7"/>
    <w:rsid w:val="0025443D"/>
    <w:rsid w:val="002575AD"/>
    <w:rsid w:val="00262ABE"/>
    <w:rsid w:val="0026611A"/>
    <w:rsid w:val="00344768"/>
    <w:rsid w:val="00365660"/>
    <w:rsid w:val="003D7C5D"/>
    <w:rsid w:val="00421A34"/>
    <w:rsid w:val="004E3BF9"/>
    <w:rsid w:val="00537B78"/>
    <w:rsid w:val="005C7CA7"/>
    <w:rsid w:val="00687836"/>
    <w:rsid w:val="006A1DFA"/>
    <w:rsid w:val="00742EB3"/>
    <w:rsid w:val="00793753"/>
    <w:rsid w:val="00813A84"/>
    <w:rsid w:val="00841676"/>
    <w:rsid w:val="008663A6"/>
    <w:rsid w:val="008D2508"/>
    <w:rsid w:val="00901CCC"/>
    <w:rsid w:val="00956A64"/>
    <w:rsid w:val="009601BE"/>
    <w:rsid w:val="0097213F"/>
    <w:rsid w:val="009B7E93"/>
    <w:rsid w:val="00A82F3C"/>
    <w:rsid w:val="00AA0B87"/>
    <w:rsid w:val="00AE0B23"/>
    <w:rsid w:val="00BD31FE"/>
    <w:rsid w:val="00C96DA3"/>
    <w:rsid w:val="00CB2B5E"/>
    <w:rsid w:val="00CC323E"/>
    <w:rsid w:val="00CC3E66"/>
    <w:rsid w:val="00D12C17"/>
    <w:rsid w:val="00D170F3"/>
    <w:rsid w:val="00DD5B77"/>
    <w:rsid w:val="00E00281"/>
    <w:rsid w:val="00EC4A46"/>
    <w:rsid w:val="00F0775A"/>
    <w:rsid w:val="00F3302A"/>
    <w:rsid w:val="00FD1A3F"/>
    <w:rsid w:val="00FE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6B373"/>
  <w15:docId w15:val="{1F01CF8C-180B-4183-AB38-A02A8C46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rFonts w:eastAsiaTheme="minorEastAsia"/>
      <w:sz w:val="22"/>
      <w:lang w:val="de-DE" w:eastAsia="de-DE"/>
    </w:rPr>
  </w:style>
  <w:style w:type="paragraph" w:styleId="Cmsor1">
    <w:name w:val="heading 1"/>
    <w:basedOn w:val="Norml"/>
    <w:next w:val="Norml"/>
    <w:link w:val="Cmsor1Char"/>
    <w:qFormat/>
    <w:pPr>
      <w:keepNext/>
      <w:outlineLvl w:val="0"/>
    </w:pPr>
    <w:rPr>
      <w:i/>
      <w:sz w:val="32"/>
    </w:rPr>
  </w:style>
  <w:style w:type="paragraph" w:styleId="Cmsor2">
    <w:name w:val="heading 2"/>
    <w:basedOn w:val="Norml"/>
    <w:next w:val="Norml"/>
    <w:link w:val="Cmsor2Char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locked/>
    <w:rPr>
      <w:rFonts w:ascii="Franklin Gothic Book" w:hAnsi="Franklin Gothic Book" w:cs="Times New Roman"/>
      <w:i/>
      <w:sz w:val="32"/>
      <w:lang w:val="de-DE" w:eastAsia="de-DE"/>
    </w:rPr>
  </w:style>
  <w:style w:type="character" w:customStyle="1" w:styleId="Cmsor2Char">
    <w:name w:val="Címsor 2 Char"/>
    <w:link w:val="Cmsor2"/>
    <w:locked/>
    <w:rPr>
      <w:rFonts w:ascii="Arial" w:hAnsi="Arial" w:cs="Arial"/>
      <w:b/>
      <w:bCs/>
      <w:i/>
      <w:iCs/>
      <w:sz w:val="28"/>
      <w:szCs w:val="28"/>
      <w:lang w:val="de-DE" w:eastAsia="de-DE"/>
    </w:rPr>
  </w:style>
  <w:style w:type="character" w:customStyle="1" w:styleId="Cmsor3Char">
    <w:name w:val="Címsor 3 Char"/>
    <w:link w:val="Cmsor3"/>
    <w:locked/>
    <w:rPr>
      <w:rFonts w:ascii="Arial" w:hAnsi="Arial" w:cs="Arial"/>
      <w:b/>
      <w:bCs/>
      <w:sz w:val="26"/>
      <w:szCs w:val="26"/>
      <w:lang w:val="de-DE" w:eastAsia="de-DE"/>
    </w:rPr>
  </w:style>
  <w:style w:type="character" w:customStyle="1" w:styleId="Cmsor4Char">
    <w:name w:val="Címsor 4 Char"/>
    <w:link w:val="Cmsor4"/>
    <w:semiHidden/>
    <w:locked/>
    <w:rPr>
      <w:rFonts w:ascii="Calibri" w:hAnsi="Calibri" w:cs="Times New Roman"/>
      <w:b/>
      <w:bCs/>
      <w:sz w:val="28"/>
      <w:szCs w:val="28"/>
      <w:lang w:val="de-DE" w:eastAsia="de-DE"/>
    </w:rPr>
  </w:style>
  <w:style w:type="character" w:customStyle="1" w:styleId="Cmsor5Char">
    <w:name w:val="Címsor 5 Char"/>
    <w:link w:val="Cmsor5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locked/>
    <w:rPr>
      <w:rFonts w:ascii="Franklin Gothic Book" w:hAnsi="Franklin Gothic Book" w:cs="Times New Roman"/>
      <w:sz w:val="22"/>
      <w:lang w:val="de-DE" w:eastAsia="de-DE" w:bidi="ar-SA"/>
    </w:rPr>
  </w:style>
  <w:style w:type="paragraph" w:customStyle="1" w:styleId="Formatvorlage1">
    <w:name w:val="Formatvorlage1"/>
    <w:basedOn w:val="Norml"/>
    <w:autoRedefine/>
    <w:pPr>
      <w:spacing w:before="120" w:after="120" w:line="360" w:lineRule="auto"/>
    </w:pPr>
    <w:rPr>
      <w:sz w:val="24"/>
    </w:rPr>
  </w:style>
  <w:style w:type="table" w:styleId="Rcsostblzat">
    <w:name w:val="Table Grid"/>
    <w:basedOn w:val="Normltblzat"/>
    <w:rPr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Pr>
      <w:rFonts w:ascii="Franklin Gothic Book" w:hAnsi="Franklin Gothic Book" w:cs="Times New Roman"/>
      <w:sz w:val="22"/>
      <w:lang w:val="de-DE" w:eastAsia="de-DE" w:bidi="ar-SA"/>
    </w:rPr>
  </w:style>
  <w:style w:type="character" w:styleId="Oldalszm">
    <w:name w:val="page number"/>
    <w:rPr>
      <w:rFonts w:cs="Times New Roman"/>
    </w:rPr>
  </w:style>
  <w:style w:type="paragraph" w:customStyle="1" w:styleId="Musterberschrift112">
    <w:name w:val="Muster_Überschrift1_12"/>
    <w:basedOn w:val="Norml"/>
    <w:pPr>
      <w:tabs>
        <w:tab w:val="left" w:pos="567"/>
      </w:tabs>
      <w:spacing w:before="240" w:after="240"/>
      <w:ind w:left="567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MusterHinweis">
    <w:name w:val="Muster_Hinweis"/>
    <w:basedOn w:val="Norml"/>
    <w:next w:val="Norml"/>
    <w:pPr>
      <w:spacing w:before="120" w:after="120"/>
      <w:ind w:left="1134"/>
    </w:pPr>
    <w:rPr>
      <w:rFonts w:ascii="Arial" w:hAnsi="Arial" w:cs="Arial"/>
      <w:sz w:val="18"/>
      <w:szCs w:val="18"/>
      <w:lang w:eastAsia="ar-SA"/>
    </w:rPr>
  </w:style>
  <w:style w:type="paragraph" w:customStyle="1" w:styleId="Aufzhlung1-2-3-4-5-6">
    <w:name w:val="Aufzählung_1-2-3-4-5-6..."/>
    <w:basedOn w:val="Norml"/>
    <w:pPr>
      <w:numPr>
        <w:numId w:val="1"/>
      </w:numPr>
      <w:suppressAutoHyphens/>
      <w:autoSpaceDE w:val="0"/>
      <w:autoSpaceDN w:val="0"/>
      <w:spacing w:after="120"/>
    </w:pPr>
    <w:rPr>
      <w:rFonts w:ascii="Arial" w:hAnsi="Arial" w:cs="Arial"/>
      <w:szCs w:val="22"/>
    </w:rPr>
  </w:style>
  <w:style w:type="paragraph" w:styleId="Cm">
    <w:name w:val="Title"/>
    <w:basedOn w:val="Norml"/>
    <w:next w:val="Alcm"/>
    <w:link w:val="CmChar"/>
    <w:qFormat/>
    <w:pPr>
      <w:suppressAutoHyphens/>
      <w:autoSpaceDE w:val="0"/>
      <w:autoSpaceDN w:val="0"/>
      <w:spacing w:before="480" w:after="480"/>
      <w:ind w:left="1701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bs06">
    <w:name w:val="__Abs. /06"/>
    <w:pPr>
      <w:suppressAutoHyphens/>
      <w:autoSpaceDE w:val="0"/>
      <w:autoSpaceDN w:val="0"/>
      <w:spacing w:after="120" w:line="260" w:lineRule="exact"/>
      <w:jc w:val="both"/>
    </w:pPr>
    <w:rPr>
      <w:rFonts w:ascii="Arial" w:hAnsi="Arial" w:cs="Arial"/>
      <w:noProof/>
      <w:lang w:eastAsia="de-DE"/>
    </w:rPr>
  </w:style>
  <w:style w:type="paragraph" w:styleId="Alcm">
    <w:name w:val="Subtitle"/>
    <w:basedOn w:val="Norml"/>
    <w:link w:val="AlcmChar"/>
    <w:qFormat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lcmChar">
    <w:name w:val="Alcím Char"/>
    <w:link w:val="Alcm"/>
    <w:locked/>
    <w:rPr>
      <w:rFonts w:ascii="Cambria" w:hAnsi="Cambria" w:cs="Times New Roman"/>
      <w:sz w:val="24"/>
      <w:szCs w:val="24"/>
    </w:rPr>
  </w:style>
  <w:style w:type="paragraph" w:customStyle="1" w:styleId="MusterSpiegelstrich-Aufzhlung">
    <w:name w:val="Muster_Spiegelstrich-Aufzählung"/>
    <w:basedOn w:val="Norml"/>
    <w:pPr>
      <w:numPr>
        <w:numId w:val="2"/>
      </w:numPr>
      <w:suppressAutoHyphens/>
      <w:autoSpaceDE w:val="0"/>
      <w:autoSpaceDN w:val="0"/>
      <w:spacing w:after="120"/>
    </w:pPr>
    <w:rPr>
      <w:rFonts w:ascii="Arial" w:hAnsi="Arial" w:cs="Arial"/>
      <w:szCs w:val="22"/>
    </w:rPr>
  </w:style>
  <w:style w:type="paragraph" w:customStyle="1" w:styleId="knZulassung02">
    <w:name w:val="knZulassung02"/>
    <w:basedOn w:val="Norml"/>
    <w:pPr>
      <w:suppressAutoHyphens/>
      <w:autoSpaceDE w:val="0"/>
      <w:autoSpaceDN w:val="0"/>
      <w:spacing w:after="120"/>
      <w:ind w:left="1843" w:right="284"/>
    </w:pPr>
    <w:rPr>
      <w:rFonts w:ascii="Courier" w:hAnsi="Courier" w:cs="Courier"/>
      <w:sz w:val="24"/>
      <w:szCs w:val="24"/>
    </w:rPr>
  </w:style>
  <w:style w:type="paragraph" w:customStyle="1" w:styleId="MusterTitel">
    <w:name w:val="Muster_Titel"/>
    <w:basedOn w:val="Cm"/>
    <w:pPr>
      <w:suppressAutoHyphens w:val="0"/>
      <w:autoSpaceDE/>
      <w:autoSpaceDN/>
      <w:ind w:left="567"/>
      <w:jc w:val="center"/>
    </w:pPr>
    <w:rPr>
      <w:b w:val="0"/>
      <w:bCs w:val="0"/>
      <w:lang w:eastAsia="ar-SA"/>
    </w:rPr>
  </w:style>
  <w:style w:type="paragraph" w:customStyle="1" w:styleId="MusterTitelspcde">
    <w:name w:val="Muster_Titel_spcde"/>
    <w:basedOn w:val="MusterTitel"/>
    <w:rPr>
      <w:b/>
      <w:bCs/>
    </w:rPr>
  </w:style>
  <w:style w:type="paragraph" w:styleId="Szvegtrzsbehzssal2">
    <w:name w:val="Body Text Indent 2"/>
    <w:basedOn w:val="Norml"/>
    <w:link w:val="Szvegtrzsbehzssal2Char"/>
    <w:pPr>
      <w:spacing w:after="120" w:line="480" w:lineRule="auto"/>
      <w:ind w:left="283"/>
    </w:pPr>
    <w:rPr>
      <w:sz w:val="20"/>
    </w:rPr>
  </w:style>
  <w:style w:type="character" w:customStyle="1" w:styleId="Szvegtrzsbehzssal2Char">
    <w:name w:val="Szövegtörzs behúzással 2 Char"/>
    <w:link w:val="Szvegtrzsbehzssal2"/>
    <w:semiHidden/>
    <w:locked/>
    <w:rPr>
      <w:rFonts w:ascii="Franklin Gothic Book" w:hAnsi="Franklin Gothic Book" w:cs="Times New Roman"/>
      <w:sz w:val="20"/>
      <w:szCs w:val="20"/>
    </w:rPr>
  </w:style>
  <w:style w:type="paragraph" w:styleId="Szvegtrzsbehzssal">
    <w:name w:val="Body Text Indent"/>
    <w:basedOn w:val="Norml"/>
    <w:link w:val="SzvegtrzsbehzssalChar"/>
    <w:pPr>
      <w:spacing w:after="120"/>
      <w:ind w:left="283"/>
    </w:pPr>
    <w:rPr>
      <w:sz w:val="20"/>
    </w:rPr>
  </w:style>
  <w:style w:type="character" w:customStyle="1" w:styleId="SzvegtrzsbehzssalChar">
    <w:name w:val="Szövegtörzs behúzással Char"/>
    <w:link w:val="Szvegtrzsbehzssal"/>
    <w:semiHidden/>
    <w:locked/>
    <w:rPr>
      <w:rFonts w:ascii="Franklin Gothic Book" w:hAnsi="Franklin Gothic Book" w:cs="Times New Roman"/>
      <w:sz w:val="20"/>
      <w:szCs w:val="20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  <w:style w:type="paragraph" w:customStyle="1" w:styleId="Style2">
    <w:name w:val="Style 2"/>
    <w:basedOn w:val="Norm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 1"/>
    <w:basedOn w:val="Norm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xt">
    <w:name w:val="Text"/>
    <w:basedOn w:val="Norml"/>
    <w:pPr>
      <w:spacing w:line="240" w:lineRule="atLeast"/>
    </w:pPr>
    <w:rPr>
      <w:rFonts w:ascii="Arial" w:hAnsi="Arial" w:cs="Arial"/>
      <w:sz w:val="20"/>
    </w:rPr>
  </w:style>
  <w:style w:type="paragraph" w:styleId="Szvegtrzs3">
    <w:name w:val="Body Text 3"/>
    <w:basedOn w:val="Norml"/>
    <w:link w:val="Szvegtrzs3Char"/>
    <w:pPr>
      <w:spacing w:after="120"/>
    </w:pPr>
    <w:rPr>
      <w:sz w:val="16"/>
      <w:szCs w:val="16"/>
    </w:rPr>
  </w:style>
  <w:style w:type="character" w:customStyle="1" w:styleId="Szvegtrzs3Char">
    <w:name w:val="Szövegtörzs 3 Char"/>
    <w:link w:val="Szvegtrzs3"/>
    <w:semiHidden/>
    <w:locked/>
    <w:rPr>
      <w:rFonts w:ascii="Franklin Gothic Book" w:hAnsi="Franklin Gothic Book" w:cs="Times New Roman"/>
      <w:sz w:val="16"/>
      <w:szCs w:val="16"/>
    </w:rPr>
  </w:style>
  <w:style w:type="paragraph" w:customStyle="1" w:styleId="Bezmezer1">
    <w:name w:val="Bez mezer1"/>
    <w:rPr>
      <w:rFonts w:ascii="Calibri" w:hAnsi="Calibri"/>
      <w:sz w:val="22"/>
      <w:szCs w:val="22"/>
    </w:rPr>
  </w:style>
  <w:style w:type="character" w:customStyle="1" w:styleId="contents-child-label1">
    <w:name w:val="contents-child-label1"/>
    <w:rPr>
      <w:rFonts w:ascii="Verdana" w:hAnsi="Verdana" w:cs="Times New Roman"/>
      <w:sz w:val="20"/>
      <w:szCs w:val="20"/>
    </w:rPr>
  </w:style>
  <w:style w:type="character" w:styleId="Hiperhivatkozs">
    <w:name w:val="Hyperlink"/>
    <w:rPr>
      <w:rFonts w:ascii="Arial" w:hAnsi="Arial" w:cs="Times New Roman"/>
      <w:color w:val="0000FF"/>
      <w:u w:val="single"/>
    </w:rPr>
  </w:style>
  <w:style w:type="paragraph" w:styleId="Lbjegyzetszveg">
    <w:name w:val="footnote text"/>
    <w:basedOn w:val="Norml"/>
    <w:link w:val="LbjegyzetszvegChar"/>
    <w:semiHidden/>
    <w:pPr>
      <w:ind w:left="-284"/>
    </w:pPr>
    <w:rPr>
      <w:sz w:val="20"/>
    </w:rPr>
  </w:style>
  <w:style w:type="character" w:customStyle="1" w:styleId="LbjegyzetszvegChar">
    <w:name w:val="Lábjegyzetszöveg Char"/>
    <w:link w:val="Lbjegyzetszveg"/>
    <w:semiHidden/>
    <w:locked/>
    <w:rPr>
      <w:rFonts w:ascii="Franklin Gothic Book" w:hAnsi="Franklin Gothic Book" w:cs="Times New Roman"/>
      <w:sz w:val="20"/>
      <w:szCs w:val="20"/>
    </w:rPr>
  </w:style>
  <w:style w:type="paragraph" w:styleId="Szvegtrzs">
    <w:name w:val="Body Text"/>
    <w:basedOn w:val="Norml"/>
    <w:link w:val="SzvegtrzsChar"/>
    <w:pPr>
      <w:spacing w:after="120"/>
    </w:pPr>
    <w:rPr>
      <w:sz w:val="20"/>
    </w:rPr>
  </w:style>
  <w:style w:type="character" w:customStyle="1" w:styleId="SzvegtrzsChar">
    <w:name w:val="Szövegtörzs Char"/>
    <w:link w:val="Szvegtrzs"/>
    <w:semiHidden/>
    <w:locked/>
    <w:rPr>
      <w:rFonts w:ascii="Franklin Gothic Book" w:hAnsi="Franklin Gothic Book" w:cs="Times New Roman"/>
      <w:sz w:val="20"/>
      <w:szCs w:val="20"/>
    </w:rPr>
  </w:style>
  <w:style w:type="paragraph" w:styleId="Buborkszveg">
    <w:name w:val="Balloon Text"/>
    <w:basedOn w:val="Norml"/>
    <w:link w:val="BuborkszvegChar"/>
    <w:semiHidden/>
    <w:rPr>
      <w:sz w:val="16"/>
    </w:rPr>
  </w:style>
  <w:style w:type="character" w:customStyle="1" w:styleId="BuborkszvegChar">
    <w:name w:val="Buborékszöveg Char"/>
    <w:link w:val="Buborkszveg"/>
    <w:semiHidden/>
    <w:locked/>
    <w:rPr>
      <w:sz w:val="16"/>
      <w:lang w:val="de-DE" w:eastAsia="de-DE"/>
    </w:rPr>
  </w:style>
  <w:style w:type="paragraph" w:customStyle="1" w:styleId="paragraph">
    <w:name w:val="paragraph"/>
    <w:basedOn w:val="Norml"/>
    <w:pPr>
      <w:spacing w:before="100" w:beforeAutospacing="1" w:after="100" w:afterAutospacing="1"/>
    </w:pPr>
    <w:rPr>
      <w:sz w:val="24"/>
      <w:szCs w:val="24"/>
      <w:lang w:val="cs-CZ" w:eastAsia="cs-CZ"/>
    </w:rPr>
  </w:style>
  <w:style w:type="paragraph" w:styleId="NormlWeb">
    <w:name w:val="Normal (Web)"/>
    <w:basedOn w:val="Norml"/>
    <w:pPr>
      <w:spacing w:before="100" w:beforeAutospacing="1" w:after="100" w:afterAutospacing="1"/>
    </w:pPr>
    <w:rPr>
      <w:sz w:val="24"/>
      <w:szCs w:val="24"/>
    </w:rPr>
  </w:style>
  <w:style w:type="paragraph" w:styleId="Csakszveg">
    <w:name w:val="Plain Text"/>
    <w:basedOn w:val="Norml"/>
    <w:link w:val="CsakszvegChar"/>
    <w:rPr>
      <w:rFonts w:ascii="Courier New" w:hAnsi="Courier New"/>
      <w:sz w:val="20"/>
    </w:rPr>
  </w:style>
  <w:style w:type="character" w:customStyle="1" w:styleId="CsakszvegChar">
    <w:name w:val="Csak szöveg Char"/>
    <w:link w:val="Csakszveg"/>
    <w:semiHidden/>
    <w:locked/>
    <w:rPr>
      <w:rFonts w:ascii="Courier New" w:hAnsi="Courier New" w:cs="Courier New"/>
      <w:sz w:val="20"/>
      <w:szCs w:val="20"/>
    </w:rPr>
  </w:style>
  <w:style w:type="paragraph" w:customStyle="1" w:styleId="BodySingle">
    <w:name w:val="Body Single"/>
    <w:rPr>
      <w:color w:val="000000"/>
      <w:sz w:val="24"/>
    </w:rPr>
  </w:style>
  <w:style w:type="paragraph" w:styleId="Szvegtrzsbehzssal3">
    <w:name w:val="Body Text Indent 3"/>
    <w:basedOn w:val="Norml"/>
    <w:link w:val="Szvegtrzsbehzssal3Char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link w:val="Szvegtrzsbehzssal3"/>
    <w:semiHidden/>
    <w:locked/>
    <w:rPr>
      <w:rFonts w:ascii="Franklin Gothic Book" w:hAnsi="Franklin Gothic Book" w:cs="Times New Roman"/>
      <w:sz w:val="16"/>
      <w:szCs w:val="16"/>
    </w:rPr>
  </w:style>
  <w:style w:type="character" w:styleId="Jegyzethivatkozs">
    <w:name w:val="annotation reference"/>
    <w:semiHidden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character" w:customStyle="1" w:styleId="JegyzetszvegChar">
    <w:name w:val="Jegyzetszöveg Char"/>
    <w:link w:val="Jegyzetszveg"/>
    <w:semiHidden/>
    <w:locked/>
    <w:rPr>
      <w:rFonts w:ascii="Franklin Gothic Book" w:hAnsi="Franklin Gothic Book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Pr>
      <w:b/>
      <w:bCs/>
    </w:rPr>
  </w:style>
  <w:style w:type="character" w:customStyle="1" w:styleId="MegjegyzstrgyaChar">
    <w:name w:val="Megjegyzés tárgya Char"/>
    <w:link w:val="Megjegyzstrgya"/>
    <w:semiHidden/>
    <w:locked/>
    <w:rPr>
      <w:rFonts w:ascii="Franklin Gothic Book" w:hAnsi="Franklin Gothic Book" w:cs="Times New Roman"/>
      <w:b/>
      <w:bCs/>
      <w:sz w:val="20"/>
      <w:szCs w:val="20"/>
    </w:rPr>
  </w:style>
  <w:style w:type="character" w:styleId="Kiemels2">
    <w:name w:val="Strong"/>
    <w:qFormat/>
    <w:rPr>
      <w:rFonts w:cs="Times New Roman"/>
      <w:b/>
      <w:bCs/>
    </w:rPr>
  </w:style>
  <w:style w:type="character" w:styleId="Lbjegyzet-hivatkozs">
    <w:name w:val="footnote reference"/>
    <w:semiHidden/>
    <w:rPr>
      <w:rFonts w:ascii="Arial" w:hAnsi="Arial" w:cs="Arial"/>
      <w:vertAlign w:val="superscript"/>
    </w:rPr>
  </w:style>
  <w:style w:type="paragraph" w:customStyle="1" w:styleId="Styl1">
    <w:name w:val="Styl1"/>
    <w:basedOn w:val="Norml"/>
    <w:pPr>
      <w:numPr>
        <w:numId w:val="3"/>
      </w:numPr>
      <w:jc w:val="both"/>
    </w:pPr>
    <w:rPr>
      <w:b/>
      <w:lang w:val="cs-CZ" w:eastAsia="cs-CZ"/>
    </w:rPr>
  </w:style>
  <w:style w:type="paragraph" w:styleId="TJ1">
    <w:name w:val="toc 1"/>
    <w:basedOn w:val="Norml"/>
    <w:next w:val="Norml"/>
    <w:autoRedefine/>
    <w:pPr>
      <w:numPr>
        <w:ilvl w:val="3"/>
        <w:numId w:val="3"/>
      </w:numPr>
    </w:pPr>
    <w:rPr>
      <w:sz w:val="24"/>
      <w:lang w:val="cs-CZ" w:eastAsia="cs-CZ"/>
    </w:rPr>
  </w:style>
  <w:style w:type="paragraph" w:customStyle="1" w:styleId="Styl2">
    <w:name w:val="Styl2"/>
    <w:basedOn w:val="Styl1"/>
    <w:pPr>
      <w:numPr>
        <w:ilvl w:val="1"/>
      </w:numPr>
    </w:pPr>
  </w:style>
  <w:style w:type="character" w:customStyle="1" w:styleId="s1">
    <w:name w:val="s1"/>
    <w:rPr>
      <w:rFonts w:ascii="Arial" w:hAnsi="Arial" w:cs="Arial"/>
    </w:rPr>
  </w:style>
  <w:style w:type="paragraph" w:customStyle="1" w:styleId="Odstavecseseznamem1">
    <w:name w:val="Odstavec se seznamem1"/>
    <w:basedOn w:val="Norml"/>
    <w:pPr>
      <w:spacing w:after="200" w:line="276" w:lineRule="auto"/>
      <w:ind w:left="720"/>
      <w:contextualSpacing/>
    </w:pPr>
    <w:rPr>
      <w:rFonts w:ascii="Calibri" w:hAnsi="Calibri"/>
      <w:szCs w:val="22"/>
      <w:lang w:val="cs-CZ" w:eastAsia="en-US"/>
    </w:rPr>
  </w:style>
  <w:style w:type="paragraph" w:customStyle="1" w:styleId="Normln">
    <w:name w:val="Norm‡ln’"/>
    <w:rPr>
      <w:lang w:val="cs-CZ" w:eastAsia="cs-CZ"/>
    </w:rPr>
  </w:style>
  <w:style w:type="paragraph" w:customStyle="1" w:styleId="Title1">
    <w:name w:val="Title 1"/>
    <w:pPr>
      <w:keepNext/>
      <w:ind w:left="851" w:hanging="851"/>
    </w:pPr>
    <w:rPr>
      <w:rFonts w:ascii="Times New Roman Bold" w:hAnsi="Times New Roman Bold"/>
      <w:b/>
      <w:caps/>
      <w:sz w:val="32"/>
      <w:lang w:val="en-GB"/>
    </w:rPr>
  </w:style>
  <w:style w:type="paragraph" w:customStyle="1" w:styleId="Vr-normln">
    <w:name w:val="Vr-normální"/>
    <w:basedOn w:val="Norml"/>
    <w:pPr>
      <w:suppressAutoHyphens/>
      <w:spacing w:before="60"/>
    </w:pPr>
    <w:rPr>
      <w:sz w:val="24"/>
      <w:szCs w:val="24"/>
      <w:lang w:val="cs-CZ" w:eastAsia="cs-CZ"/>
    </w:rPr>
  </w:style>
  <w:style w:type="paragraph" w:styleId="Vltozat">
    <w:name w:val="Revision"/>
    <w:hidden/>
    <w:uiPriority w:val="99"/>
    <w:semiHidden/>
    <w:rsid w:val="00742EB3"/>
    <w:rPr>
      <w:rFonts w:eastAsiaTheme="minorEastAsia"/>
      <w:sz w:val="22"/>
      <w:lang w:val="de-DE" w:eastAsia="de-DE"/>
    </w:rPr>
  </w:style>
  <w:style w:type="paragraph" w:styleId="Listaszerbekezds">
    <w:name w:val="List Paragraph"/>
    <w:basedOn w:val="Norml"/>
    <w:uiPriority w:val="34"/>
    <w:qFormat/>
    <w:rsid w:val="00742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1850</Words>
  <Characters>12772</Characters>
  <Application>Microsoft Office Word</Application>
  <DocSecurity>0</DocSecurity>
  <Lines>106</Lines>
  <Paragraphs>29</Paragraphs>
  <ScaleCrop>false</ScaleCrop>
  <HeadingPairs>
    <vt:vector size="8" baseType="variant">
      <vt:variant>
        <vt:lpstr>Název</vt:lpstr>
      </vt:variant>
      <vt:variant>
        <vt:i4>1</vt:i4>
      </vt:variant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>Module 1 (Part I)</vt:lpstr>
      <vt:lpstr>Module 1 (Part I)</vt:lpstr>
      <vt:lpstr>Module 1 (Part I)</vt:lpstr>
      <vt:lpstr>Module 1 (Part I)</vt:lpstr>
    </vt:vector>
  </TitlesOfParts>
  <Company>PMCS</Company>
  <LinksUpToDate>false</LinksUpToDate>
  <CharactersWithSpaces>14593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1 (Part I)</dc:title>
  <dc:creator>Ivana Syslova</dc:creator>
  <cp:lastModifiedBy>OGYI_62.1</cp:lastModifiedBy>
  <cp:revision>20</cp:revision>
  <cp:lastPrinted>2012-10-25T12:37:00Z</cp:lastPrinted>
  <dcterms:created xsi:type="dcterms:W3CDTF">2021-11-30T13:39:00Z</dcterms:created>
  <dcterms:modified xsi:type="dcterms:W3CDTF">2026-04-29T09:28:00Z</dcterms:modified>
</cp:coreProperties>
</file>