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628095" w14:textId="77777777" w:rsidR="002E7F7D" w:rsidRDefault="004535C4">
      <w:pPr>
        <w:tabs>
          <w:tab w:val="clear" w:pos="567"/>
        </w:tabs>
        <w:spacing w:line="240" w:lineRule="auto"/>
        <w:jc w:val="center"/>
        <w:outlineLvl w:val="0"/>
        <w:rPr>
          <w:noProof/>
          <w:szCs w:val="22"/>
          <w:lang w:val="en-US"/>
        </w:rPr>
      </w:pPr>
      <w:r>
        <w:rPr>
          <w:b/>
          <w:noProof/>
          <w:szCs w:val="22"/>
          <w:lang w:val="en-US"/>
        </w:rPr>
        <w:t>Betegtájékoztató: Információk a felhasználó számára</w:t>
      </w:r>
    </w:p>
    <w:p w14:paraId="07EB9E89" w14:textId="77777777" w:rsidR="002E7F7D" w:rsidRDefault="002E7F7D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szCs w:val="22"/>
          <w:lang w:val="en-US"/>
        </w:rPr>
      </w:pPr>
    </w:p>
    <w:p w14:paraId="752DAF67" w14:textId="77777777" w:rsidR="002E7F7D" w:rsidRDefault="004535C4">
      <w:pPr>
        <w:spacing w:line="240" w:lineRule="auto"/>
        <w:jc w:val="center"/>
        <w:rPr>
          <w:b/>
          <w:szCs w:val="22"/>
          <w:lang w:val="en-US"/>
        </w:rPr>
      </w:pPr>
      <w:bookmarkStart w:id="0" w:name="_Hlk36113016"/>
      <w:proofErr w:type="spellStart"/>
      <w:r>
        <w:rPr>
          <w:b/>
          <w:szCs w:val="22"/>
          <w:lang w:val="en-US"/>
        </w:rPr>
        <w:t>Ticabril</w:t>
      </w:r>
      <w:proofErr w:type="spellEnd"/>
      <w:r>
        <w:rPr>
          <w:b/>
          <w:szCs w:val="22"/>
          <w:lang w:val="en-US"/>
        </w:rPr>
        <w:t xml:space="preserve"> 90</w:t>
      </w:r>
      <w:r>
        <w:rPr>
          <w:szCs w:val="22"/>
        </w:rPr>
        <w:t> </w:t>
      </w:r>
      <w:r>
        <w:rPr>
          <w:b/>
          <w:szCs w:val="22"/>
          <w:lang w:val="en-US"/>
        </w:rPr>
        <w:t xml:space="preserve">mg </w:t>
      </w:r>
      <w:proofErr w:type="spellStart"/>
      <w:r>
        <w:rPr>
          <w:b/>
          <w:szCs w:val="22"/>
          <w:lang w:val="en-US"/>
        </w:rPr>
        <w:t>filmtabletta</w:t>
      </w:r>
      <w:proofErr w:type="spellEnd"/>
    </w:p>
    <w:bookmarkEnd w:id="0"/>
    <w:p w14:paraId="74AF071D" w14:textId="77777777" w:rsidR="002E7F7D" w:rsidRDefault="004535C4">
      <w:pPr>
        <w:numPr>
          <w:ilvl w:val="12"/>
          <w:numId w:val="0"/>
        </w:numPr>
        <w:spacing w:line="240" w:lineRule="auto"/>
        <w:jc w:val="center"/>
        <w:rPr>
          <w:szCs w:val="22"/>
          <w:lang w:val="en-US"/>
        </w:rPr>
      </w:pPr>
      <w:proofErr w:type="spellStart"/>
      <w:r>
        <w:rPr>
          <w:szCs w:val="22"/>
          <w:lang w:val="en-US"/>
        </w:rPr>
        <w:t>tikagrelor</w:t>
      </w:r>
      <w:proofErr w:type="spellEnd"/>
    </w:p>
    <w:p w14:paraId="79B0D7BF" w14:textId="77777777" w:rsidR="002E7F7D" w:rsidRDefault="002E7F7D">
      <w:pPr>
        <w:numPr>
          <w:ilvl w:val="12"/>
          <w:numId w:val="0"/>
        </w:numPr>
        <w:spacing w:line="240" w:lineRule="auto"/>
        <w:jc w:val="center"/>
        <w:rPr>
          <w:szCs w:val="22"/>
          <w:lang w:val="en-US"/>
        </w:rPr>
      </w:pPr>
    </w:p>
    <w:p w14:paraId="1051B01A" w14:textId="77777777" w:rsidR="002E7F7D" w:rsidRDefault="002E7F7D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28DD96B6" w14:textId="77777777" w:rsidR="002E7F7D" w:rsidRDefault="004535C4">
      <w:pPr>
        <w:spacing w:line="240" w:lineRule="auto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Mielőtt elkezdi szedni ezt a gyógyszert, olvassa el figyelmesen az alábbi </w:t>
      </w:r>
      <w:r>
        <w:rPr>
          <w:b/>
          <w:noProof/>
          <w:szCs w:val="22"/>
          <w:lang w:val="hu-HU"/>
        </w:rPr>
        <w:t>betegtájékoztatót, mert az Ön számára fontos információkat tartalmaz</w:t>
      </w:r>
      <w:r>
        <w:rPr>
          <w:b/>
          <w:szCs w:val="22"/>
          <w:lang w:val="hu-HU"/>
        </w:rPr>
        <w:t>.</w:t>
      </w:r>
    </w:p>
    <w:p w14:paraId="57EB7F9C" w14:textId="77777777" w:rsidR="002E7F7D" w:rsidRDefault="004535C4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Tartsa meg a betegtájékoztatót, mert a benne szereplő információkra a </w:t>
      </w:r>
      <w:r>
        <w:rPr>
          <w:noProof/>
          <w:szCs w:val="22"/>
          <w:lang w:val="hu-HU"/>
        </w:rPr>
        <w:t>későbbiekben</w:t>
      </w:r>
      <w:r>
        <w:rPr>
          <w:szCs w:val="22"/>
          <w:lang w:val="hu-HU"/>
        </w:rPr>
        <w:t xml:space="preserve"> is szüksége lehet.</w:t>
      </w:r>
    </w:p>
    <w:p w14:paraId="008B660F" w14:textId="77777777" w:rsidR="002E7F7D" w:rsidRDefault="004535C4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További kérdéseivel forduljon </w:t>
      </w:r>
      <w:r>
        <w:rPr>
          <w:noProof/>
          <w:szCs w:val="22"/>
          <w:lang w:val="hu-HU"/>
        </w:rPr>
        <w:t xml:space="preserve">kezelőorvosához </w:t>
      </w:r>
      <w:r>
        <w:rPr>
          <w:szCs w:val="22"/>
          <w:lang w:val="hu-HU"/>
        </w:rPr>
        <w:t>vagy gyógyszerészéhez</w:t>
      </w:r>
      <w:r>
        <w:rPr>
          <w:noProof/>
          <w:szCs w:val="22"/>
          <w:lang w:val="hu-HU"/>
        </w:rPr>
        <w:t>.</w:t>
      </w:r>
    </w:p>
    <w:p w14:paraId="7ED6ED84" w14:textId="77777777" w:rsidR="002E7F7D" w:rsidRDefault="004535C4">
      <w:pPr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Ezt a gyógyszert az orvos</w:t>
      </w:r>
      <w:r>
        <w:rPr>
          <w:noProof/>
          <w:szCs w:val="22"/>
          <w:lang w:val="hu-HU"/>
        </w:rPr>
        <w:t xml:space="preserve"> kizárólag</w:t>
      </w:r>
      <w:r>
        <w:rPr>
          <w:szCs w:val="22"/>
          <w:lang w:val="hu-HU"/>
        </w:rPr>
        <w:t xml:space="preserve"> Önnek írta fel. Ne adja át a készítményt másnak, mert számára ártalmas lehet még abban az esetben is, ha </w:t>
      </w:r>
      <w:r>
        <w:rPr>
          <w:noProof/>
          <w:szCs w:val="22"/>
          <w:lang w:val="hu-HU"/>
        </w:rPr>
        <w:t xml:space="preserve">a betegsége </w:t>
      </w:r>
      <w:r>
        <w:rPr>
          <w:szCs w:val="22"/>
          <w:lang w:val="hu-HU"/>
        </w:rPr>
        <w:t>tünetei az Önéhez hasonlóak.</w:t>
      </w:r>
    </w:p>
    <w:p w14:paraId="1662D745" w14:textId="77777777" w:rsidR="002E7F7D" w:rsidRDefault="004535C4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</w:t>
      </w:r>
      <w:r>
        <w:rPr>
          <w:noProof/>
          <w:szCs w:val="22"/>
          <w:lang w:val="hu-HU"/>
        </w:rPr>
        <w:t>Önnél bármilyen</w:t>
      </w:r>
      <w:r>
        <w:rPr>
          <w:szCs w:val="22"/>
          <w:lang w:val="hu-HU"/>
        </w:rPr>
        <w:t xml:space="preserve"> mellékhatás </w:t>
      </w:r>
      <w:r>
        <w:rPr>
          <w:noProof/>
          <w:szCs w:val="22"/>
          <w:lang w:val="hu-HU"/>
        </w:rPr>
        <w:t>jelentkezik, tájékoztassa erről kezelőorvosát vagy gyógyszerészét. Ez</w:t>
      </w:r>
      <w:r>
        <w:rPr>
          <w:szCs w:val="22"/>
          <w:lang w:val="hu-HU"/>
        </w:rPr>
        <w:t xml:space="preserve"> a betegtájékoztatóban </w:t>
      </w:r>
      <w:r>
        <w:rPr>
          <w:noProof/>
          <w:szCs w:val="22"/>
          <w:lang w:val="hu-HU"/>
        </w:rPr>
        <w:t>fel nem sorolt bármilyen lehetséges mellékhatásra is vonatkozik.</w:t>
      </w:r>
      <w:r>
        <w:rPr>
          <w:szCs w:val="22"/>
          <w:lang w:val="hu-HU"/>
        </w:rPr>
        <w:t xml:space="preserve"> Lásd 4. pont. </w:t>
      </w:r>
    </w:p>
    <w:p w14:paraId="68E929E3" w14:textId="77777777" w:rsidR="002E7F7D" w:rsidRDefault="002E7F7D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3F8CFAB" w14:textId="77777777" w:rsidR="002E7F7D" w:rsidRDefault="002E7F7D">
      <w:pPr>
        <w:tabs>
          <w:tab w:val="left" w:pos="1724"/>
        </w:tabs>
        <w:suppressAutoHyphens/>
        <w:spacing w:line="240" w:lineRule="auto"/>
        <w:ind w:right="-2"/>
        <w:rPr>
          <w:szCs w:val="22"/>
          <w:lang w:val="hu-HU"/>
        </w:rPr>
      </w:pPr>
    </w:p>
    <w:p w14:paraId="0B43A3AC" w14:textId="77777777" w:rsidR="002E7F7D" w:rsidRDefault="004535C4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szCs w:val="22"/>
          <w:lang w:eastAsia="en-US"/>
        </w:rPr>
      </w:pPr>
      <w:r>
        <w:rPr>
          <w:rFonts w:eastAsia="Times New Roman"/>
          <w:b/>
          <w:snapToGrid/>
          <w:szCs w:val="22"/>
          <w:lang w:eastAsia="en-US"/>
        </w:rPr>
        <w:t xml:space="preserve">A </w:t>
      </w:r>
      <w:proofErr w:type="spellStart"/>
      <w:r>
        <w:rPr>
          <w:rFonts w:eastAsia="Times New Roman"/>
          <w:b/>
          <w:snapToGrid/>
          <w:szCs w:val="22"/>
          <w:lang w:eastAsia="en-US"/>
        </w:rPr>
        <w:t>betegtájékoztató</w:t>
      </w:r>
      <w:proofErr w:type="spellEnd"/>
      <w:r>
        <w:rPr>
          <w:rFonts w:eastAsia="Times New Roman"/>
          <w:b/>
          <w:snapToGrid/>
          <w:szCs w:val="22"/>
          <w:lang w:eastAsia="en-US"/>
        </w:rPr>
        <w:t xml:space="preserve"> </w:t>
      </w:r>
      <w:proofErr w:type="spellStart"/>
      <w:r>
        <w:rPr>
          <w:rFonts w:eastAsia="Times New Roman"/>
          <w:b/>
          <w:snapToGrid/>
          <w:szCs w:val="22"/>
          <w:lang w:eastAsia="en-US"/>
        </w:rPr>
        <w:t>tartalma</w:t>
      </w:r>
      <w:proofErr w:type="spellEnd"/>
      <w:r>
        <w:rPr>
          <w:rFonts w:eastAsia="Times New Roman"/>
          <w:b/>
          <w:snapToGrid/>
          <w:szCs w:val="22"/>
          <w:lang w:eastAsia="en-US"/>
        </w:rPr>
        <w:t>:</w:t>
      </w:r>
    </w:p>
    <w:p w14:paraId="3CEABB13" w14:textId="77777777" w:rsidR="002E7F7D" w:rsidRDefault="004535C4">
      <w:pPr>
        <w:numPr>
          <w:ilvl w:val="1"/>
          <w:numId w:val="7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en-US"/>
        </w:rPr>
      </w:pPr>
      <w:proofErr w:type="spellStart"/>
      <w:r>
        <w:rPr>
          <w:szCs w:val="22"/>
          <w:lang w:val="en-US"/>
        </w:rPr>
        <w:t>Milyen</w:t>
      </w:r>
      <w:proofErr w:type="spellEnd"/>
      <w:r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típusú</w:t>
      </w:r>
      <w:proofErr w:type="spellEnd"/>
      <w:r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gyógyszer</w:t>
      </w:r>
      <w:proofErr w:type="spellEnd"/>
      <w:r>
        <w:rPr>
          <w:szCs w:val="22"/>
          <w:lang w:val="en-US"/>
        </w:rPr>
        <w:t xml:space="preserve"> a </w:t>
      </w:r>
      <w:proofErr w:type="spellStart"/>
      <w:r>
        <w:rPr>
          <w:szCs w:val="22"/>
          <w:lang w:val="en-US"/>
        </w:rPr>
        <w:t>Ticabril</w:t>
      </w:r>
      <w:proofErr w:type="spellEnd"/>
      <w:r>
        <w:rPr>
          <w:szCs w:val="22"/>
          <w:lang w:val="en-US"/>
        </w:rPr>
        <w:t xml:space="preserve"> 90</w:t>
      </w:r>
      <w:r>
        <w:rPr>
          <w:szCs w:val="22"/>
        </w:rPr>
        <w:t> </w:t>
      </w:r>
      <w:r>
        <w:rPr>
          <w:szCs w:val="22"/>
          <w:lang w:val="en-US"/>
        </w:rPr>
        <w:t xml:space="preserve">mg </w:t>
      </w:r>
      <w:proofErr w:type="spellStart"/>
      <w:r>
        <w:rPr>
          <w:szCs w:val="22"/>
          <w:lang w:val="en-US"/>
        </w:rPr>
        <w:t>filmtabletta</w:t>
      </w:r>
      <w:proofErr w:type="spellEnd"/>
      <w:r>
        <w:rPr>
          <w:szCs w:val="22"/>
          <w:lang w:val="en-US"/>
        </w:rPr>
        <w:t xml:space="preserve"> (a </w:t>
      </w:r>
      <w:proofErr w:type="spellStart"/>
      <w:r>
        <w:rPr>
          <w:szCs w:val="22"/>
          <w:lang w:val="en-US"/>
        </w:rPr>
        <w:t>továbbiakban</w:t>
      </w:r>
      <w:proofErr w:type="spellEnd"/>
      <w:r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Ticabril</w:t>
      </w:r>
      <w:proofErr w:type="spellEnd"/>
      <w:r>
        <w:rPr>
          <w:szCs w:val="22"/>
          <w:lang w:val="en-US"/>
        </w:rPr>
        <w:t xml:space="preserve">) </w:t>
      </w:r>
      <w:proofErr w:type="spellStart"/>
      <w:r>
        <w:rPr>
          <w:szCs w:val="22"/>
          <w:lang w:val="en-US"/>
        </w:rPr>
        <w:t>és</w:t>
      </w:r>
      <w:proofErr w:type="spellEnd"/>
      <w:r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milyen</w:t>
      </w:r>
      <w:proofErr w:type="spellEnd"/>
      <w:r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betegségek</w:t>
      </w:r>
      <w:proofErr w:type="spellEnd"/>
      <w:r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esetén</w:t>
      </w:r>
      <w:proofErr w:type="spellEnd"/>
      <w:r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alkalmazható</w:t>
      </w:r>
      <w:proofErr w:type="spellEnd"/>
      <w:r>
        <w:rPr>
          <w:szCs w:val="22"/>
          <w:lang w:val="en-US"/>
        </w:rPr>
        <w:t>?</w:t>
      </w:r>
    </w:p>
    <w:p w14:paraId="1417AD95" w14:textId="77777777" w:rsidR="002E7F7D" w:rsidRDefault="004535C4">
      <w:pPr>
        <w:numPr>
          <w:ilvl w:val="1"/>
          <w:numId w:val="7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es-ES"/>
        </w:rPr>
      </w:pPr>
      <w:proofErr w:type="spellStart"/>
      <w:r>
        <w:rPr>
          <w:szCs w:val="22"/>
          <w:lang w:val="es-ES"/>
        </w:rPr>
        <w:t>Tudnivalók</w:t>
      </w:r>
      <w:proofErr w:type="spellEnd"/>
      <w:r>
        <w:rPr>
          <w:szCs w:val="22"/>
          <w:lang w:val="es-ES"/>
        </w:rPr>
        <w:t xml:space="preserve"> a </w:t>
      </w:r>
      <w:proofErr w:type="spellStart"/>
      <w:r>
        <w:rPr>
          <w:szCs w:val="22"/>
          <w:lang w:val="en-US"/>
        </w:rPr>
        <w:t>Ticabril</w:t>
      </w:r>
      <w:proofErr w:type="spellEnd"/>
      <w:r>
        <w:rPr>
          <w:szCs w:val="22"/>
          <w:lang w:val="es-ES"/>
        </w:rPr>
        <w:t xml:space="preserve"> </w:t>
      </w:r>
      <w:proofErr w:type="spellStart"/>
      <w:r>
        <w:rPr>
          <w:szCs w:val="22"/>
          <w:lang w:val="es-ES"/>
        </w:rPr>
        <w:t>szedése</w:t>
      </w:r>
      <w:proofErr w:type="spellEnd"/>
      <w:r>
        <w:rPr>
          <w:szCs w:val="22"/>
          <w:lang w:val="es-ES"/>
        </w:rPr>
        <w:t xml:space="preserve"> </w:t>
      </w:r>
      <w:proofErr w:type="spellStart"/>
      <w:r>
        <w:rPr>
          <w:szCs w:val="22"/>
          <w:lang w:val="es-ES"/>
        </w:rPr>
        <w:t>előtt</w:t>
      </w:r>
      <w:proofErr w:type="spellEnd"/>
    </w:p>
    <w:p w14:paraId="6B6AF342" w14:textId="77777777" w:rsidR="002E7F7D" w:rsidRDefault="004535C4">
      <w:pPr>
        <w:spacing w:line="240" w:lineRule="auto"/>
        <w:ind w:left="567" w:right="-29" w:hanging="567"/>
        <w:rPr>
          <w:szCs w:val="22"/>
          <w:lang w:val="en-US"/>
        </w:rPr>
      </w:pPr>
      <w:r>
        <w:rPr>
          <w:szCs w:val="22"/>
          <w:lang w:val="en-US"/>
        </w:rPr>
        <w:t>3.</w:t>
      </w:r>
      <w:r>
        <w:rPr>
          <w:szCs w:val="22"/>
          <w:lang w:val="en-US"/>
        </w:rPr>
        <w:tab/>
      </w:r>
      <w:proofErr w:type="spellStart"/>
      <w:r>
        <w:rPr>
          <w:szCs w:val="22"/>
          <w:lang w:val="en-US"/>
        </w:rPr>
        <w:t>Hogyan</w:t>
      </w:r>
      <w:proofErr w:type="spellEnd"/>
      <w:r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kell</w:t>
      </w:r>
      <w:proofErr w:type="spellEnd"/>
      <w:r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szedni</w:t>
      </w:r>
      <w:proofErr w:type="spellEnd"/>
      <w:r>
        <w:rPr>
          <w:szCs w:val="22"/>
          <w:lang w:val="en-US"/>
        </w:rPr>
        <w:t xml:space="preserve"> a </w:t>
      </w:r>
      <w:proofErr w:type="spellStart"/>
      <w:r>
        <w:rPr>
          <w:szCs w:val="22"/>
          <w:lang w:val="en-US"/>
        </w:rPr>
        <w:t>Ticabril</w:t>
      </w:r>
      <w:proofErr w:type="spellEnd"/>
      <w:r>
        <w:rPr>
          <w:szCs w:val="22"/>
          <w:lang w:val="en-US"/>
        </w:rPr>
        <w:t>-t?</w:t>
      </w:r>
    </w:p>
    <w:p w14:paraId="01032BC8" w14:textId="77777777" w:rsidR="002E7F7D" w:rsidRDefault="004535C4">
      <w:pPr>
        <w:spacing w:line="240" w:lineRule="auto"/>
        <w:ind w:left="567" w:right="-29" w:hanging="567"/>
        <w:rPr>
          <w:szCs w:val="22"/>
          <w:lang w:val="en-US"/>
        </w:rPr>
      </w:pPr>
      <w:r>
        <w:rPr>
          <w:szCs w:val="22"/>
          <w:lang w:val="en-US"/>
        </w:rPr>
        <w:t>4.</w:t>
      </w:r>
      <w:r>
        <w:rPr>
          <w:szCs w:val="22"/>
          <w:lang w:val="en-US"/>
        </w:rPr>
        <w:tab/>
      </w:r>
      <w:proofErr w:type="spellStart"/>
      <w:r>
        <w:rPr>
          <w:szCs w:val="22"/>
          <w:lang w:val="en-US"/>
        </w:rPr>
        <w:t>Lehetséges</w:t>
      </w:r>
      <w:proofErr w:type="spellEnd"/>
      <w:r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mellékhatások</w:t>
      </w:r>
      <w:proofErr w:type="spellEnd"/>
    </w:p>
    <w:p w14:paraId="71B3546C" w14:textId="77777777" w:rsidR="002E7F7D" w:rsidRDefault="004535C4">
      <w:pPr>
        <w:spacing w:line="240" w:lineRule="auto"/>
        <w:ind w:left="567" w:right="-29" w:hanging="567"/>
        <w:rPr>
          <w:szCs w:val="22"/>
          <w:lang w:val="en-US"/>
        </w:rPr>
      </w:pPr>
      <w:r>
        <w:rPr>
          <w:szCs w:val="22"/>
          <w:lang w:val="en-US"/>
        </w:rPr>
        <w:t>5</w:t>
      </w:r>
      <w:r>
        <w:rPr>
          <w:noProof/>
          <w:szCs w:val="22"/>
          <w:lang w:val="en-US"/>
        </w:rPr>
        <w:t>.</w:t>
      </w:r>
      <w:r>
        <w:rPr>
          <w:szCs w:val="22"/>
          <w:lang w:val="en-US"/>
        </w:rPr>
        <w:tab/>
      </w:r>
      <w:proofErr w:type="spellStart"/>
      <w:r>
        <w:rPr>
          <w:szCs w:val="22"/>
          <w:lang w:val="en-US"/>
        </w:rPr>
        <w:t>Hogyan</w:t>
      </w:r>
      <w:proofErr w:type="spellEnd"/>
      <w:r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kell</w:t>
      </w:r>
      <w:proofErr w:type="spellEnd"/>
      <w:r>
        <w:rPr>
          <w:szCs w:val="22"/>
          <w:lang w:val="en-US"/>
        </w:rPr>
        <w:t xml:space="preserve"> a </w:t>
      </w:r>
      <w:proofErr w:type="spellStart"/>
      <w:r>
        <w:rPr>
          <w:szCs w:val="22"/>
          <w:lang w:val="en-US"/>
        </w:rPr>
        <w:t>Ticabril</w:t>
      </w:r>
      <w:proofErr w:type="spellEnd"/>
      <w:r>
        <w:rPr>
          <w:szCs w:val="22"/>
          <w:lang w:val="en-US"/>
        </w:rPr>
        <w:t xml:space="preserve">-t </w:t>
      </w:r>
      <w:proofErr w:type="spellStart"/>
      <w:r>
        <w:rPr>
          <w:szCs w:val="22"/>
          <w:lang w:val="en-US"/>
        </w:rPr>
        <w:t>tárolni</w:t>
      </w:r>
      <w:proofErr w:type="spellEnd"/>
      <w:r>
        <w:rPr>
          <w:szCs w:val="22"/>
          <w:lang w:val="en-US"/>
        </w:rPr>
        <w:t>?</w:t>
      </w:r>
    </w:p>
    <w:p w14:paraId="07BA98FE" w14:textId="77777777" w:rsidR="002E7F7D" w:rsidRDefault="004535C4">
      <w:pPr>
        <w:spacing w:line="240" w:lineRule="auto"/>
        <w:ind w:left="567" w:right="-29" w:hanging="567"/>
        <w:rPr>
          <w:szCs w:val="22"/>
          <w:lang w:val="es-ES_tradnl"/>
        </w:rPr>
      </w:pPr>
      <w:r>
        <w:rPr>
          <w:szCs w:val="22"/>
          <w:lang w:val="es-ES_tradnl"/>
        </w:rPr>
        <w:t>6.</w:t>
      </w:r>
      <w:r>
        <w:rPr>
          <w:szCs w:val="22"/>
          <w:lang w:val="es-ES_tradnl"/>
        </w:rPr>
        <w:tab/>
      </w:r>
      <w:r>
        <w:rPr>
          <w:noProof/>
          <w:szCs w:val="22"/>
          <w:lang w:val="es-ES_tradnl"/>
        </w:rPr>
        <w:t xml:space="preserve">A csomagolás tartalma és egyéb </w:t>
      </w:r>
      <w:proofErr w:type="spellStart"/>
      <w:r>
        <w:rPr>
          <w:szCs w:val="22"/>
          <w:lang w:val="es-ES_tradnl"/>
        </w:rPr>
        <w:t>információk</w:t>
      </w:r>
      <w:proofErr w:type="spellEnd"/>
    </w:p>
    <w:p w14:paraId="1C8BFA8E" w14:textId="77777777" w:rsidR="002E7F7D" w:rsidRDefault="002E7F7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es-ES_tradnl"/>
        </w:rPr>
      </w:pPr>
    </w:p>
    <w:p w14:paraId="4117C87E" w14:textId="77777777" w:rsidR="002E7F7D" w:rsidRDefault="002E7F7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es-ES_tradnl"/>
        </w:rPr>
      </w:pPr>
    </w:p>
    <w:p w14:paraId="4873585F" w14:textId="77777777" w:rsidR="002E7F7D" w:rsidRDefault="004535C4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szCs w:val="22"/>
          <w:lang w:val="es-ES_tradnl"/>
        </w:rPr>
      </w:pPr>
      <w:r>
        <w:rPr>
          <w:b/>
          <w:noProof/>
          <w:szCs w:val="22"/>
          <w:lang w:val="es-ES_tradnl"/>
        </w:rPr>
        <w:t>Milyen típusú</w:t>
      </w:r>
      <w:r>
        <w:rPr>
          <w:b/>
          <w:szCs w:val="22"/>
          <w:lang w:val="es-ES_tradnl"/>
        </w:rPr>
        <w:t xml:space="preserve"> </w:t>
      </w:r>
      <w:proofErr w:type="spellStart"/>
      <w:r>
        <w:rPr>
          <w:b/>
          <w:szCs w:val="22"/>
          <w:lang w:val="es-ES_tradnl"/>
        </w:rPr>
        <w:t>gyógyszer</w:t>
      </w:r>
      <w:proofErr w:type="spellEnd"/>
      <w:r>
        <w:rPr>
          <w:b/>
          <w:szCs w:val="22"/>
          <w:lang w:val="es-ES_tradnl"/>
        </w:rPr>
        <w:t xml:space="preserve"> </w:t>
      </w:r>
      <w:r>
        <w:rPr>
          <w:b/>
          <w:noProof/>
          <w:szCs w:val="22"/>
          <w:lang w:val="es-ES_tradnl"/>
        </w:rPr>
        <w:t>a Ticabril és milyen betegségek esetén</w:t>
      </w:r>
      <w:r>
        <w:rPr>
          <w:b/>
          <w:szCs w:val="22"/>
          <w:lang w:val="es-ES_tradnl"/>
        </w:rPr>
        <w:t xml:space="preserve"> </w:t>
      </w:r>
      <w:proofErr w:type="spellStart"/>
      <w:r>
        <w:rPr>
          <w:b/>
          <w:szCs w:val="22"/>
          <w:lang w:val="es-ES_tradnl"/>
        </w:rPr>
        <w:t>alkalmazható</w:t>
      </w:r>
      <w:proofErr w:type="spellEnd"/>
      <w:r>
        <w:rPr>
          <w:b/>
          <w:noProof/>
          <w:szCs w:val="22"/>
          <w:lang w:val="es-ES_tradnl"/>
        </w:rPr>
        <w:t>?</w:t>
      </w:r>
    </w:p>
    <w:p w14:paraId="0C12231C" w14:textId="77777777" w:rsidR="002E7F7D" w:rsidRDefault="002E7F7D">
      <w:pPr>
        <w:tabs>
          <w:tab w:val="clear" w:pos="567"/>
        </w:tabs>
        <w:spacing w:line="240" w:lineRule="auto"/>
        <w:ind w:right="-2"/>
        <w:rPr>
          <w:b/>
          <w:noProof/>
          <w:szCs w:val="22"/>
          <w:lang w:val="es-ES_tradnl"/>
        </w:rPr>
      </w:pPr>
    </w:p>
    <w:p w14:paraId="2ED9A08C" w14:textId="77777777" w:rsidR="002E7F7D" w:rsidRDefault="004535C4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Milyen típusú gyógyszer a </w:t>
      </w:r>
      <w:proofErr w:type="spellStart"/>
      <w:r>
        <w:rPr>
          <w:b/>
          <w:sz w:val="22"/>
          <w:szCs w:val="22"/>
        </w:rPr>
        <w:t>Ticabril</w:t>
      </w:r>
      <w:proofErr w:type="spellEnd"/>
      <w:r>
        <w:rPr>
          <w:b/>
          <w:sz w:val="22"/>
          <w:szCs w:val="22"/>
        </w:rPr>
        <w:t>?</w:t>
      </w:r>
    </w:p>
    <w:p w14:paraId="6DF0D740" w14:textId="77777777" w:rsidR="002E7F7D" w:rsidRDefault="004535C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Ticabril</w:t>
      </w:r>
      <w:proofErr w:type="spellEnd"/>
      <w:r>
        <w:rPr>
          <w:sz w:val="22"/>
          <w:szCs w:val="22"/>
        </w:rPr>
        <w:t xml:space="preserve"> egy </w:t>
      </w:r>
      <w:proofErr w:type="spellStart"/>
      <w:r>
        <w:rPr>
          <w:sz w:val="22"/>
          <w:szCs w:val="22"/>
        </w:rPr>
        <w:t>tikagrelor</w:t>
      </w:r>
      <w:proofErr w:type="spellEnd"/>
      <w:r>
        <w:rPr>
          <w:sz w:val="22"/>
          <w:szCs w:val="22"/>
        </w:rPr>
        <w:t xml:space="preserve"> nevű hatóanyagot tartalmaz. A vérlemezke-gátlóknak nevezett gyógyszerek csoportjába tartozik.</w:t>
      </w:r>
    </w:p>
    <w:p w14:paraId="4B7E9B86" w14:textId="77777777" w:rsidR="002E7F7D" w:rsidRDefault="002E7F7D">
      <w:pPr>
        <w:pStyle w:val="Default"/>
        <w:rPr>
          <w:sz w:val="22"/>
          <w:szCs w:val="22"/>
        </w:rPr>
      </w:pPr>
    </w:p>
    <w:p w14:paraId="53214576" w14:textId="77777777" w:rsidR="002E7F7D" w:rsidRDefault="004535C4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Milyen betegségek esetén alkalmazható a </w:t>
      </w:r>
      <w:proofErr w:type="spellStart"/>
      <w:r>
        <w:rPr>
          <w:b/>
          <w:sz w:val="22"/>
          <w:szCs w:val="22"/>
        </w:rPr>
        <w:t>Ticabril</w:t>
      </w:r>
      <w:proofErr w:type="spellEnd"/>
      <w:r>
        <w:rPr>
          <w:b/>
          <w:sz w:val="22"/>
          <w:szCs w:val="22"/>
        </w:rPr>
        <w:t>?</w:t>
      </w:r>
    </w:p>
    <w:p w14:paraId="3E729B48" w14:textId="77777777" w:rsidR="002E7F7D" w:rsidRDefault="004535C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Ticabril</w:t>
      </w:r>
      <w:proofErr w:type="spellEnd"/>
      <w:r>
        <w:rPr>
          <w:sz w:val="22"/>
          <w:szCs w:val="22"/>
        </w:rPr>
        <w:t xml:space="preserve">-t </w:t>
      </w:r>
      <w:proofErr w:type="spellStart"/>
      <w:r>
        <w:rPr>
          <w:sz w:val="22"/>
          <w:szCs w:val="22"/>
        </w:rPr>
        <w:t>acetilszalicilsavval</w:t>
      </w:r>
      <w:proofErr w:type="spellEnd"/>
      <w:r>
        <w:rPr>
          <w:sz w:val="22"/>
          <w:szCs w:val="22"/>
        </w:rPr>
        <w:t xml:space="preserve"> (egy másik, a vérlemezkék összecsapódását gátló szer) kombinációban kizárólag felnőtteknél alkalmazzák. Azért adták önnek ezt a gyógyszert, mert:</w:t>
      </w:r>
    </w:p>
    <w:p w14:paraId="4DBBE3B6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szívrohama volt, vagy</w:t>
      </w:r>
    </w:p>
    <w:p w14:paraId="3C1B8CB1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instabil anginája volt (kezelés ellenére is jelentkező angina vagy mellkasi fájdalom).</w:t>
      </w:r>
    </w:p>
    <w:p w14:paraId="07F13866" w14:textId="77777777" w:rsidR="002E7F7D" w:rsidRDefault="004535C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Csökkenti annak az esélyét, hogy egy újabb szívrohama, </w:t>
      </w:r>
      <w:proofErr w:type="spellStart"/>
      <w:r>
        <w:rPr>
          <w:sz w:val="22"/>
          <w:szCs w:val="22"/>
        </w:rPr>
        <w:t>sztrókja</w:t>
      </w:r>
      <w:proofErr w:type="spellEnd"/>
      <w:r>
        <w:rPr>
          <w:sz w:val="22"/>
          <w:szCs w:val="22"/>
        </w:rPr>
        <w:t xml:space="preserve"> (agyi érkatasztrófája) legyen, vagy egy szív- és érrendszeri betegségben haljon meg.</w:t>
      </w:r>
    </w:p>
    <w:p w14:paraId="4C0D4937" w14:textId="77777777" w:rsidR="002E7F7D" w:rsidRDefault="002E7F7D">
      <w:pPr>
        <w:pStyle w:val="Default"/>
        <w:rPr>
          <w:b/>
          <w:sz w:val="22"/>
          <w:szCs w:val="22"/>
        </w:rPr>
      </w:pPr>
    </w:p>
    <w:p w14:paraId="34BEAA9B" w14:textId="77777777" w:rsidR="002E7F7D" w:rsidRDefault="004535C4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Hogyan hat a </w:t>
      </w:r>
      <w:proofErr w:type="spellStart"/>
      <w:r>
        <w:rPr>
          <w:b/>
          <w:sz w:val="22"/>
          <w:szCs w:val="22"/>
        </w:rPr>
        <w:t>Ticabril</w:t>
      </w:r>
      <w:proofErr w:type="spellEnd"/>
      <w:r>
        <w:rPr>
          <w:b/>
          <w:sz w:val="22"/>
          <w:szCs w:val="22"/>
        </w:rPr>
        <w:t>?</w:t>
      </w:r>
    </w:p>
    <w:p w14:paraId="11A3DE2B" w14:textId="77777777" w:rsidR="002E7F7D" w:rsidRDefault="004535C4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Ticabril</w:t>
      </w:r>
      <w:proofErr w:type="spellEnd"/>
      <w:r>
        <w:rPr>
          <w:szCs w:val="22"/>
          <w:lang w:val="hu-HU"/>
        </w:rPr>
        <w:t xml:space="preserve"> az úgynevezett vérlemezkékre hat (ezeket </w:t>
      </w:r>
      <w:proofErr w:type="spellStart"/>
      <w:r>
        <w:rPr>
          <w:szCs w:val="22"/>
          <w:lang w:val="hu-HU"/>
        </w:rPr>
        <w:t>trombocitáknak</w:t>
      </w:r>
      <w:proofErr w:type="spellEnd"/>
      <w:r>
        <w:rPr>
          <w:szCs w:val="22"/>
          <w:lang w:val="hu-HU"/>
        </w:rPr>
        <w:t xml:space="preserve"> is nevezik). A vérnek ezek a nagyon kicsi sejtes elemei segítenek elállítani a vérzést azáltal, hogy összetapadnak, és az elvágott vagy megsérült </w:t>
      </w:r>
      <w:proofErr w:type="spellStart"/>
      <w:r>
        <w:rPr>
          <w:szCs w:val="22"/>
          <w:lang w:val="hu-HU"/>
        </w:rPr>
        <w:t>ereken</w:t>
      </w:r>
      <w:proofErr w:type="spellEnd"/>
      <w:r>
        <w:rPr>
          <w:szCs w:val="22"/>
          <w:lang w:val="hu-HU"/>
        </w:rPr>
        <w:t xml:space="preserve"> eltömítik az apró lyukakat.</w:t>
      </w:r>
    </w:p>
    <w:p w14:paraId="568ED3A3" w14:textId="77777777" w:rsidR="002E7F7D" w:rsidRDefault="002E7F7D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405A0103" w14:textId="77777777" w:rsidR="002E7F7D" w:rsidRDefault="004535C4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Azonban a vérlemezkékből a szívben és az agyban lévő beteg ereken belül is ki tud alakulni vérrög. Ez nagyon veszélyes lehet, mert:</w:t>
      </w:r>
    </w:p>
    <w:p w14:paraId="57E5A00A" w14:textId="77777777" w:rsidR="002E7F7D" w:rsidRDefault="004535C4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a vérrög teljesen megállíthatja a vérkeringést, ez szívrohamot (</w:t>
      </w:r>
      <w:proofErr w:type="spellStart"/>
      <w:r>
        <w:rPr>
          <w:sz w:val="22"/>
          <w:szCs w:val="22"/>
        </w:rPr>
        <w:t>miokardiális</w:t>
      </w:r>
      <w:proofErr w:type="spellEnd"/>
      <w:r>
        <w:rPr>
          <w:sz w:val="22"/>
          <w:szCs w:val="22"/>
        </w:rPr>
        <w:t xml:space="preserve"> infarktust) vagy </w:t>
      </w:r>
      <w:proofErr w:type="spellStart"/>
      <w:r>
        <w:rPr>
          <w:sz w:val="22"/>
          <w:szCs w:val="22"/>
        </w:rPr>
        <w:t>sztrókot</w:t>
      </w:r>
      <w:proofErr w:type="spellEnd"/>
      <w:r>
        <w:rPr>
          <w:sz w:val="22"/>
          <w:szCs w:val="22"/>
        </w:rPr>
        <w:t xml:space="preserve"> okozhat, vagy</w:t>
      </w:r>
    </w:p>
    <w:p w14:paraId="1F397235" w14:textId="77777777" w:rsidR="002E7F7D" w:rsidRDefault="004535C4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a vérrög részlegesen elzárhatja a szívbe vezető </w:t>
      </w:r>
      <w:proofErr w:type="spellStart"/>
      <w:r>
        <w:rPr>
          <w:sz w:val="22"/>
          <w:szCs w:val="22"/>
        </w:rPr>
        <w:t>ereket</w:t>
      </w:r>
      <w:proofErr w:type="spellEnd"/>
      <w:r>
        <w:rPr>
          <w:sz w:val="22"/>
          <w:szCs w:val="22"/>
        </w:rPr>
        <w:t xml:space="preserve">, ez csökkenti a szív </w:t>
      </w:r>
      <w:proofErr w:type="spellStart"/>
      <w:r>
        <w:rPr>
          <w:sz w:val="22"/>
          <w:szCs w:val="22"/>
        </w:rPr>
        <w:t>vérrellátását</w:t>
      </w:r>
      <w:proofErr w:type="spellEnd"/>
      <w:r>
        <w:rPr>
          <w:sz w:val="22"/>
          <w:szCs w:val="22"/>
        </w:rPr>
        <w:t>. Ez múló jellegű mellkasi fájdalmat (úgynevezett „instabil anginát”) okozhat.</w:t>
      </w:r>
    </w:p>
    <w:p w14:paraId="79DF152C" w14:textId="77777777" w:rsidR="002E7F7D" w:rsidRDefault="002E7F7D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E3C227B" w14:textId="77777777" w:rsidR="002E7F7D" w:rsidRDefault="004535C4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Ticabril</w:t>
      </w:r>
      <w:proofErr w:type="spellEnd"/>
      <w:r>
        <w:rPr>
          <w:szCs w:val="22"/>
          <w:lang w:val="hu-HU"/>
        </w:rPr>
        <w:t xml:space="preserve"> segít megakadályozni a vérlemezkék összetapadását. Ez csökkenti egy, a véráramlást csökkentő vérrög képződésének esélyét.</w:t>
      </w:r>
    </w:p>
    <w:p w14:paraId="6403BF4B" w14:textId="77777777" w:rsidR="002E7F7D" w:rsidRDefault="004535C4">
      <w:pPr>
        <w:tabs>
          <w:tab w:val="clear" w:pos="567"/>
          <w:tab w:val="left" w:pos="960"/>
        </w:tabs>
        <w:spacing w:line="240" w:lineRule="auto"/>
        <w:ind w:right="-2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ab/>
      </w:r>
    </w:p>
    <w:p w14:paraId="7ECE8EC3" w14:textId="77777777" w:rsidR="002E7F7D" w:rsidRDefault="002E7F7D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5547CBF8" w14:textId="77777777" w:rsidR="002E7F7D" w:rsidRDefault="004535C4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  <w:lang w:val="es-ES_tradnl"/>
        </w:rPr>
      </w:pPr>
      <w:r>
        <w:rPr>
          <w:b/>
          <w:noProof/>
          <w:szCs w:val="22"/>
          <w:lang w:val="es-ES_tradnl"/>
        </w:rPr>
        <w:t>Tudnivalók a Ticabril szedése előtt</w:t>
      </w:r>
    </w:p>
    <w:p w14:paraId="3E68D01F" w14:textId="77777777" w:rsidR="002E7F7D" w:rsidRDefault="002E7F7D">
      <w:pPr>
        <w:spacing w:line="240" w:lineRule="auto"/>
        <w:rPr>
          <w:b/>
          <w:szCs w:val="22"/>
          <w:lang w:val="da-DK"/>
        </w:rPr>
      </w:pPr>
    </w:p>
    <w:p w14:paraId="560505BC" w14:textId="77777777" w:rsidR="002E7F7D" w:rsidRDefault="004535C4">
      <w:pPr>
        <w:spacing w:line="240" w:lineRule="auto"/>
        <w:rPr>
          <w:b/>
          <w:szCs w:val="22"/>
          <w:lang w:val="da-DK"/>
        </w:rPr>
      </w:pPr>
      <w:r>
        <w:rPr>
          <w:b/>
          <w:szCs w:val="22"/>
          <w:lang w:val="da-DK"/>
        </w:rPr>
        <w:t>Ne szedje a Ticabril-t</w:t>
      </w:r>
    </w:p>
    <w:p w14:paraId="19B9DA49" w14:textId="77777777" w:rsidR="002E7F7D" w:rsidRDefault="004535C4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ha allergiás a </w:t>
      </w:r>
      <w:proofErr w:type="spellStart"/>
      <w:r>
        <w:rPr>
          <w:sz w:val="22"/>
          <w:szCs w:val="22"/>
        </w:rPr>
        <w:t>tikagrelorra</w:t>
      </w:r>
      <w:proofErr w:type="spellEnd"/>
      <w:r>
        <w:rPr>
          <w:sz w:val="22"/>
          <w:szCs w:val="22"/>
        </w:rPr>
        <w:t xml:space="preserve"> vagy a gyógyszer (6. pontban felsorolt) egyéb összetevőjére, </w:t>
      </w:r>
    </w:p>
    <w:p w14:paraId="09F7E5F5" w14:textId="77777777" w:rsidR="002E7F7D" w:rsidRDefault="004535C4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ha jelenleg vérzik, </w:t>
      </w:r>
    </w:p>
    <w:p w14:paraId="063DADC4" w14:textId="77777777" w:rsidR="002E7F7D" w:rsidRDefault="004535C4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ha agyvérzés okozta </w:t>
      </w:r>
      <w:proofErr w:type="spellStart"/>
      <w:r>
        <w:rPr>
          <w:sz w:val="22"/>
          <w:szCs w:val="22"/>
        </w:rPr>
        <w:t>sztrókja</w:t>
      </w:r>
      <w:proofErr w:type="spellEnd"/>
      <w:r>
        <w:rPr>
          <w:sz w:val="22"/>
          <w:szCs w:val="22"/>
        </w:rPr>
        <w:t xml:space="preserve"> volt, </w:t>
      </w:r>
    </w:p>
    <w:p w14:paraId="073FEFCE" w14:textId="77777777" w:rsidR="002E7F7D" w:rsidRDefault="004535C4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ha súlyos májbetegsége van, </w:t>
      </w:r>
    </w:p>
    <w:p w14:paraId="3ADF5CC5" w14:textId="77777777" w:rsidR="002E7F7D" w:rsidRDefault="004535C4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ha a következő gyógyszerek bármelyikét szedi:</w:t>
      </w:r>
    </w:p>
    <w:p w14:paraId="25F6CE7B" w14:textId="77777777" w:rsidR="002E7F7D" w:rsidRDefault="004535C4">
      <w:pPr>
        <w:pStyle w:val="Default"/>
        <w:numPr>
          <w:ilvl w:val="0"/>
          <w:numId w:val="10"/>
        </w:numPr>
        <w:tabs>
          <w:tab w:val="left" w:pos="1134"/>
        </w:tabs>
        <w:ind w:left="1134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ketokonazol</w:t>
      </w:r>
      <w:proofErr w:type="spellEnd"/>
      <w:r>
        <w:rPr>
          <w:sz w:val="22"/>
          <w:szCs w:val="22"/>
        </w:rPr>
        <w:t xml:space="preserve"> (gombás fertőzések kezelésére),</w:t>
      </w:r>
    </w:p>
    <w:p w14:paraId="085C0128" w14:textId="77777777" w:rsidR="002E7F7D" w:rsidRDefault="004535C4">
      <w:pPr>
        <w:pStyle w:val="Default"/>
        <w:numPr>
          <w:ilvl w:val="0"/>
          <w:numId w:val="10"/>
        </w:numPr>
        <w:tabs>
          <w:tab w:val="left" w:pos="1134"/>
        </w:tabs>
        <w:ind w:left="1134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klaritromicin</w:t>
      </w:r>
      <w:proofErr w:type="spellEnd"/>
      <w:r>
        <w:rPr>
          <w:sz w:val="22"/>
          <w:szCs w:val="22"/>
        </w:rPr>
        <w:t xml:space="preserve"> (bakteriális fertőzések kezelésére),</w:t>
      </w:r>
    </w:p>
    <w:p w14:paraId="4CA4FF0C" w14:textId="77777777" w:rsidR="002E7F7D" w:rsidRDefault="004535C4">
      <w:pPr>
        <w:pStyle w:val="Default"/>
        <w:numPr>
          <w:ilvl w:val="0"/>
          <w:numId w:val="10"/>
        </w:numPr>
        <w:tabs>
          <w:tab w:val="left" w:pos="1134"/>
        </w:tabs>
        <w:ind w:left="1134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nefazodon</w:t>
      </w:r>
      <w:proofErr w:type="spellEnd"/>
      <w:r>
        <w:rPr>
          <w:sz w:val="22"/>
          <w:szCs w:val="22"/>
        </w:rPr>
        <w:t xml:space="preserve"> (egy depresszió ellenes szer),</w:t>
      </w:r>
    </w:p>
    <w:p w14:paraId="70D94CF1" w14:textId="77777777" w:rsidR="002E7F7D" w:rsidRDefault="004535C4">
      <w:pPr>
        <w:pStyle w:val="Default"/>
        <w:numPr>
          <w:ilvl w:val="0"/>
          <w:numId w:val="10"/>
        </w:numPr>
        <w:tabs>
          <w:tab w:val="left" w:pos="1134"/>
        </w:tabs>
        <w:ind w:left="1134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ritonavir</w:t>
      </w:r>
      <w:proofErr w:type="spellEnd"/>
      <w:r>
        <w:rPr>
          <w:sz w:val="22"/>
          <w:szCs w:val="22"/>
        </w:rPr>
        <w:t xml:space="preserve"> és </w:t>
      </w:r>
      <w:proofErr w:type="spellStart"/>
      <w:r>
        <w:rPr>
          <w:sz w:val="22"/>
          <w:szCs w:val="22"/>
        </w:rPr>
        <w:t>atazanavir</w:t>
      </w:r>
      <w:proofErr w:type="spellEnd"/>
      <w:r>
        <w:rPr>
          <w:sz w:val="22"/>
          <w:szCs w:val="22"/>
        </w:rPr>
        <w:t xml:space="preserve"> (HIV fertőzés és AIDS kezelésére alkalmazzák).</w:t>
      </w:r>
    </w:p>
    <w:p w14:paraId="5B69B4BB" w14:textId="77777777" w:rsidR="002E7F7D" w:rsidRDefault="004535C4">
      <w:pPr>
        <w:suppressAutoHyphens/>
        <w:spacing w:line="240" w:lineRule="auto"/>
        <w:rPr>
          <w:noProof/>
          <w:szCs w:val="22"/>
          <w:lang w:val="hu-HU"/>
        </w:rPr>
      </w:pPr>
      <w:r>
        <w:rPr>
          <w:bCs/>
          <w:szCs w:val="22"/>
          <w:lang w:val="hu-HU"/>
        </w:rPr>
        <w:t xml:space="preserve">Ne szedje a </w:t>
      </w:r>
      <w:proofErr w:type="spellStart"/>
      <w:r>
        <w:rPr>
          <w:bCs/>
          <w:szCs w:val="22"/>
          <w:lang w:val="hu-HU"/>
        </w:rPr>
        <w:t>Ticabril</w:t>
      </w:r>
      <w:proofErr w:type="spellEnd"/>
      <w:r>
        <w:rPr>
          <w:bCs/>
          <w:szCs w:val="22"/>
          <w:lang w:val="hu-HU"/>
        </w:rPr>
        <w:t>-t</w:t>
      </w:r>
      <w:r>
        <w:rPr>
          <w:szCs w:val="22"/>
          <w:lang w:val="hu-HU"/>
        </w:rPr>
        <w:t>, ha a fentiek közül bármelyik érvényes Önre. Amennyiben nem biztos benne, akkor a gyógyszer szedése előtt kérdezze meg kezelőorvosát vagy gyógyszerészét.</w:t>
      </w:r>
    </w:p>
    <w:p w14:paraId="01475B74" w14:textId="77777777" w:rsidR="002E7F7D" w:rsidRDefault="002E7F7D">
      <w:pPr>
        <w:suppressAutoHyphens/>
        <w:spacing w:line="240" w:lineRule="auto"/>
        <w:rPr>
          <w:noProof/>
          <w:szCs w:val="22"/>
          <w:lang w:val="da-DK"/>
        </w:rPr>
      </w:pPr>
    </w:p>
    <w:p w14:paraId="298C2BBC" w14:textId="77777777" w:rsidR="002E7F7D" w:rsidRDefault="004535C4">
      <w:pPr>
        <w:spacing w:line="240" w:lineRule="auto"/>
        <w:ind w:right="-2"/>
        <w:rPr>
          <w:b/>
          <w:noProof/>
          <w:szCs w:val="22"/>
          <w:lang w:val="da-DK"/>
        </w:rPr>
      </w:pPr>
      <w:r>
        <w:rPr>
          <w:b/>
          <w:noProof/>
          <w:szCs w:val="22"/>
          <w:lang w:val="da-DK"/>
        </w:rPr>
        <w:t>Figyelmeztetések és óvintézkedések</w:t>
      </w:r>
    </w:p>
    <w:p w14:paraId="0176A6CA" w14:textId="77777777" w:rsidR="002E7F7D" w:rsidRDefault="004535C4">
      <w:pPr>
        <w:spacing w:line="240" w:lineRule="auto"/>
        <w:ind w:right="-2"/>
        <w:rPr>
          <w:szCs w:val="22"/>
          <w:lang w:val="da-DK"/>
        </w:rPr>
      </w:pPr>
      <w:r>
        <w:rPr>
          <w:szCs w:val="22"/>
          <w:lang w:val="da-DK"/>
        </w:rPr>
        <w:t>A Ticabril szedése előtt beszéljen kezelőorvosával vagy gyógyszerészével:</w:t>
      </w:r>
    </w:p>
    <w:p w14:paraId="3FE94A0B" w14:textId="77777777" w:rsidR="002E7F7D" w:rsidRDefault="004535C4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Ha Önnél fokozott a vérzés kockázata: </w:t>
      </w:r>
    </w:p>
    <w:p w14:paraId="73CA6218" w14:textId="77777777" w:rsidR="002E7F7D" w:rsidRDefault="004535C4">
      <w:pPr>
        <w:pStyle w:val="Default"/>
        <w:numPr>
          <w:ilvl w:val="0"/>
          <w:numId w:val="10"/>
        </w:numPr>
        <w:tabs>
          <w:tab w:val="left" w:pos="1134"/>
        </w:tabs>
        <w:ind w:left="1134" w:hanging="567"/>
        <w:rPr>
          <w:sz w:val="22"/>
          <w:szCs w:val="22"/>
        </w:rPr>
      </w:pPr>
      <w:r>
        <w:rPr>
          <w:sz w:val="22"/>
          <w:szCs w:val="22"/>
        </w:rPr>
        <w:t>egy friss súlyos sérülés következtében,</w:t>
      </w:r>
    </w:p>
    <w:p w14:paraId="36223B77" w14:textId="77777777" w:rsidR="002E7F7D" w:rsidRDefault="004535C4">
      <w:pPr>
        <w:pStyle w:val="Default"/>
        <w:numPr>
          <w:ilvl w:val="0"/>
          <w:numId w:val="10"/>
        </w:numPr>
        <w:tabs>
          <w:tab w:val="left" w:pos="1134"/>
        </w:tabs>
        <w:ind w:left="1134" w:hanging="567"/>
        <w:rPr>
          <w:sz w:val="22"/>
          <w:szCs w:val="22"/>
        </w:rPr>
      </w:pPr>
      <w:r>
        <w:rPr>
          <w:sz w:val="22"/>
          <w:szCs w:val="22"/>
        </w:rPr>
        <w:t>egy friss műtét következtében (beleértve a fogászati, szájsebészeti beavatkozásokat is, kérdezze meg erről fogorvosát),</w:t>
      </w:r>
    </w:p>
    <w:p w14:paraId="5A500ABD" w14:textId="77777777" w:rsidR="002E7F7D" w:rsidRDefault="004535C4">
      <w:pPr>
        <w:pStyle w:val="Default"/>
        <w:numPr>
          <w:ilvl w:val="0"/>
          <w:numId w:val="10"/>
        </w:numPr>
        <w:tabs>
          <w:tab w:val="left" w:pos="1134"/>
        </w:tabs>
        <w:ind w:left="1134" w:hanging="567"/>
        <w:rPr>
          <w:sz w:val="22"/>
          <w:szCs w:val="22"/>
        </w:rPr>
      </w:pPr>
      <w:r>
        <w:rPr>
          <w:sz w:val="22"/>
          <w:szCs w:val="22"/>
        </w:rPr>
        <w:t xml:space="preserve">egy a véralvadást érintő betegség miatt, </w:t>
      </w:r>
    </w:p>
    <w:p w14:paraId="4BB8CB94" w14:textId="77777777" w:rsidR="002E7F7D" w:rsidRDefault="004535C4">
      <w:pPr>
        <w:pStyle w:val="Default"/>
        <w:numPr>
          <w:ilvl w:val="0"/>
          <w:numId w:val="10"/>
        </w:numPr>
        <w:tabs>
          <w:tab w:val="left" w:pos="1134"/>
        </w:tabs>
        <w:ind w:left="1134" w:hanging="567"/>
        <w:rPr>
          <w:sz w:val="22"/>
          <w:szCs w:val="22"/>
        </w:rPr>
      </w:pPr>
      <w:r>
        <w:rPr>
          <w:sz w:val="22"/>
          <w:szCs w:val="22"/>
        </w:rPr>
        <w:t>egy közelmúltban lezajlott gyomor- vagy bélvérzés miatt (például gyomorfekély vagy vastagbél polip).</w:t>
      </w:r>
    </w:p>
    <w:p w14:paraId="0B66BB38" w14:textId="77777777" w:rsidR="002E7F7D" w:rsidRDefault="004535C4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Ha a </w:t>
      </w:r>
      <w:proofErr w:type="spellStart"/>
      <w:r>
        <w:rPr>
          <w:sz w:val="22"/>
          <w:szCs w:val="22"/>
        </w:rPr>
        <w:t>Ticabril</w:t>
      </w:r>
      <w:proofErr w:type="spellEnd"/>
      <w:r>
        <w:rPr>
          <w:sz w:val="22"/>
          <w:szCs w:val="22"/>
        </w:rPr>
        <w:t xml:space="preserve"> szedése alatt bármikor műtétre vár (beleértve a fogászati, szájsebészeti beavatkozásokat is). Erre azért van szükség, mert nagyobb a vérzés kialakulásának a kockázata. Lehet, hogy orvosa azt akarja, hogy a műtét előtt 5 nappal hagyja abba a gyógyszer szedését.</w:t>
      </w:r>
    </w:p>
    <w:p w14:paraId="7F290DA2" w14:textId="77777777" w:rsidR="002E7F7D" w:rsidRDefault="004535C4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Ha a szívverése kórosan alacsony (általában alacsonyabb, mint 60 ütés percenként), és még nem ültettek be Önnek olyan készüléket, amely szabályozná a szívritmusát (pészméker).</w:t>
      </w:r>
    </w:p>
    <w:p w14:paraId="64FD0C31" w14:textId="77777777" w:rsidR="002E7F7D" w:rsidRDefault="004535C4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Ha asztmája vagy más tüdőbetegsége, vagy nehézlégzése van.</w:t>
      </w:r>
    </w:p>
    <w:p w14:paraId="5AC995E1" w14:textId="77777777" w:rsidR="002E7F7D" w:rsidRDefault="004535C4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Ha rendellenes légzési mintázat alakul ki, például felgyorsul, lelassul vagy rövid ideig abbamarad a légzése. Kezelőorvosa eldönti, hogy szükséges-e további vizsgálat.</w:t>
      </w:r>
    </w:p>
    <w:p w14:paraId="0287D007" w14:textId="77777777" w:rsidR="002E7F7D" w:rsidRDefault="004535C4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Ha bármilyen májbetegsége volt, vagy korábban bármilyen olyan betegsége volt, ami a máját érintette.</w:t>
      </w:r>
    </w:p>
    <w:p w14:paraId="2F44569D" w14:textId="77777777" w:rsidR="002E7F7D" w:rsidRDefault="004535C4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Ha egy vérvizsgálat azt mutatta ki, hogy a szokásosnál nagyobb mennyiségű húgysav van a vérében.</w:t>
      </w:r>
    </w:p>
    <w:p w14:paraId="6BBB961C" w14:textId="77777777" w:rsidR="002E7F7D" w:rsidRDefault="004535C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Ha a fentiek </w:t>
      </w:r>
      <w:proofErr w:type="spellStart"/>
      <w:r>
        <w:rPr>
          <w:sz w:val="22"/>
          <w:szCs w:val="22"/>
        </w:rPr>
        <w:t>bármelyike</w:t>
      </w:r>
      <w:proofErr w:type="spellEnd"/>
      <w:r>
        <w:rPr>
          <w:sz w:val="22"/>
          <w:szCs w:val="22"/>
        </w:rPr>
        <w:t xml:space="preserve"> is érvényes Önre (vagy ha nem biztos benne), akkor a gyógyszer szedése előtt kérdezze meg kezelőorvosát vagy gyógyszerészét. </w:t>
      </w:r>
    </w:p>
    <w:p w14:paraId="167A8F2F" w14:textId="77777777" w:rsidR="002E7F7D" w:rsidRDefault="002E7F7D">
      <w:pPr>
        <w:pStyle w:val="Default"/>
        <w:rPr>
          <w:sz w:val="22"/>
          <w:szCs w:val="22"/>
        </w:rPr>
      </w:pPr>
    </w:p>
    <w:p w14:paraId="76D3BDD6" w14:textId="77777777" w:rsidR="002E7F7D" w:rsidRDefault="004535C4">
      <w:pPr>
        <w:pStyle w:val="Default"/>
        <w:rPr>
          <w:sz w:val="22"/>
          <w:szCs w:val="22"/>
        </w:rPr>
      </w:pPr>
      <w:r>
        <w:rPr>
          <w:bCs/>
          <w:sz w:val="22"/>
          <w:szCs w:val="22"/>
        </w:rPr>
        <w:t xml:space="preserve">Ha Ön együttesen alkalmazza a </w:t>
      </w:r>
      <w:proofErr w:type="spellStart"/>
      <w:r>
        <w:rPr>
          <w:bCs/>
          <w:sz w:val="22"/>
          <w:szCs w:val="22"/>
        </w:rPr>
        <w:t>Ticabril</w:t>
      </w:r>
      <w:proofErr w:type="spellEnd"/>
      <w:r>
        <w:rPr>
          <w:bCs/>
          <w:sz w:val="22"/>
          <w:szCs w:val="22"/>
        </w:rPr>
        <w:t xml:space="preserve">-t és a </w:t>
      </w:r>
      <w:proofErr w:type="spellStart"/>
      <w:r>
        <w:rPr>
          <w:bCs/>
          <w:sz w:val="22"/>
          <w:szCs w:val="22"/>
        </w:rPr>
        <w:t>heparint</w:t>
      </w:r>
      <w:proofErr w:type="spellEnd"/>
      <w:r>
        <w:rPr>
          <w:bCs/>
          <w:sz w:val="22"/>
          <w:szCs w:val="22"/>
        </w:rPr>
        <w:t>:</w:t>
      </w:r>
      <w:r>
        <w:rPr>
          <w:sz w:val="22"/>
          <w:szCs w:val="22"/>
        </w:rPr>
        <w:t xml:space="preserve"> </w:t>
      </w:r>
    </w:p>
    <w:p w14:paraId="3426AAB0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Kezelőorvosa elrendelheti a vérminta diagnosztikai vizsgálatát, ha Önnél felmerül a gyanú egy ritka, </w:t>
      </w:r>
      <w:proofErr w:type="spellStart"/>
      <w:r>
        <w:rPr>
          <w:sz w:val="22"/>
          <w:szCs w:val="22"/>
        </w:rPr>
        <w:t>heparin</w:t>
      </w:r>
      <w:proofErr w:type="spellEnd"/>
      <w:r>
        <w:rPr>
          <w:sz w:val="22"/>
          <w:szCs w:val="22"/>
        </w:rPr>
        <w:t xml:space="preserve"> okozta vérlemezke rendellenességre. Fontos, hogy tájékoztassa kezelőorvosát arról, hogy együttesen alkalmazza a </w:t>
      </w:r>
      <w:proofErr w:type="spellStart"/>
      <w:r>
        <w:rPr>
          <w:sz w:val="22"/>
          <w:szCs w:val="22"/>
        </w:rPr>
        <w:t>Ticabril</w:t>
      </w:r>
      <w:proofErr w:type="spellEnd"/>
      <w:r>
        <w:rPr>
          <w:sz w:val="22"/>
          <w:szCs w:val="22"/>
        </w:rPr>
        <w:t xml:space="preserve">-t és a </w:t>
      </w:r>
      <w:proofErr w:type="spellStart"/>
      <w:r>
        <w:rPr>
          <w:sz w:val="22"/>
          <w:szCs w:val="22"/>
        </w:rPr>
        <w:t>heparint</w:t>
      </w:r>
      <w:proofErr w:type="spellEnd"/>
      <w:r>
        <w:rPr>
          <w:sz w:val="22"/>
          <w:szCs w:val="22"/>
        </w:rPr>
        <w:t xml:space="preserve">, mert a </w:t>
      </w:r>
      <w:proofErr w:type="spellStart"/>
      <w:r>
        <w:rPr>
          <w:sz w:val="22"/>
          <w:szCs w:val="22"/>
        </w:rPr>
        <w:t>Ticabril</w:t>
      </w:r>
      <w:proofErr w:type="spellEnd"/>
      <w:r>
        <w:rPr>
          <w:sz w:val="22"/>
          <w:szCs w:val="22"/>
        </w:rPr>
        <w:t xml:space="preserve"> befolyásolhatja a diagnosztikai vizsgálatokat. </w:t>
      </w:r>
    </w:p>
    <w:p w14:paraId="4A6EE3CD" w14:textId="77777777" w:rsidR="002E7F7D" w:rsidRDefault="002E7F7D">
      <w:pPr>
        <w:pStyle w:val="Default"/>
        <w:rPr>
          <w:sz w:val="22"/>
          <w:szCs w:val="22"/>
        </w:rPr>
      </w:pPr>
    </w:p>
    <w:p w14:paraId="1B25FC5A" w14:textId="77777777" w:rsidR="002E7F7D" w:rsidRDefault="004535C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Gyermekek és serdülők </w:t>
      </w:r>
    </w:p>
    <w:p w14:paraId="1B4ECA1C" w14:textId="77777777" w:rsidR="002E7F7D" w:rsidRDefault="004535C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Ticabril</w:t>
      </w:r>
      <w:proofErr w:type="spellEnd"/>
      <w:r>
        <w:rPr>
          <w:sz w:val="22"/>
          <w:szCs w:val="22"/>
        </w:rPr>
        <w:t xml:space="preserve"> alkalmazása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gyermekeknél és </w:t>
      </w:r>
      <w:r>
        <w:rPr>
          <w:bCs/>
          <w:sz w:val="22"/>
          <w:szCs w:val="22"/>
        </w:rPr>
        <w:t xml:space="preserve">18 év alatti </w:t>
      </w:r>
      <w:r>
        <w:rPr>
          <w:sz w:val="22"/>
          <w:szCs w:val="22"/>
        </w:rPr>
        <w:t xml:space="preserve">serdülőknél nem javasolt. </w:t>
      </w:r>
    </w:p>
    <w:p w14:paraId="38AC5D9A" w14:textId="77777777" w:rsidR="002E7F7D" w:rsidRDefault="002E7F7D">
      <w:pPr>
        <w:pStyle w:val="Default"/>
        <w:ind w:left="1133" w:hanging="283"/>
        <w:rPr>
          <w:sz w:val="22"/>
          <w:szCs w:val="22"/>
        </w:rPr>
      </w:pPr>
    </w:p>
    <w:p w14:paraId="478FB715" w14:textId="77777777" w:rsidR="002E7F7D" w:rsidRDefault="004535C4">
      <w:pPr>
        <w:spacing w:line="240" w:lineRule="auto"/>
        <w:ind w:right="-2"/>
        <w:rPr>
          <w:b/>
          <w:szCs w:val="22"/>
          <w:lang w:val="da-DK"/>
        </w:rPr>
      </w:pPr>
      <w:r>
        <w:rPr>
          <w:b/>
          <w:noProof/>
          <w:szCs w:val="22"/>
          <w:lang w:val="da-DK"/>
        </w:rPr>
        <w:t>Egyéb</w:t>
      </w:r>
      <w:r>
        <w:rPr>
          <w:b/>
          <w:szCs w:val="22"/>
          <w:lang w:val="da-DK"/>
        </w:rPr>
        <w:t xml:space="preserve"> gyógyszerek</w:t>
      </w:r>
      <w:r>
        <w:rPr>
          <w:b/>
          <w:noProof/>
          <w:szCs w:val="22"/>
          <w:lang w:val="da-DK"/>
        </w:rPr>
        <w:t xml:space="preserve"> és a Ticabril</w:t>
      </w:r>
    </w:p>
    <w:p w14:paraId="6F6F8E2C" w14:textId="77777777" w:rsidR="002E7F7D" w:rsidRDefault="004535C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Feltétlenül tájékoztassa kezelőorvosát vagy gyógyszerészét a jelenleg vagy nemrégiben szedett, valamint szedni tervezett egyéb gyógyszereiről. Erre azért van szükség, mert a </w:t>
      </w:r>
      <w:proofErr w:type="spellStart"/>
      <w:r>
        <w:rPr>
          <w:sz w:val="22"/>
          <w:szCs w:val="22"/>
        </w:rPr>
        <w:t>Ticabril</w:t>
      </w:r>
      <w:proofErr w:type="spellEnd"/>
      <w:r>
        <w:rPr>
          <w:sz w:val="22"/>
          <w:szCs w:val="22"/>
        </w:rPr>
        <w:t xml:space="preserve"> befolyásolhatja néhány gyógyszer hatását, és néhány gyógyszer hatással lehet a </w:t>
      </w:r>
      <w:proofErr w:type="spellStart"/>
      <w:r>
        <w:rPr>
          <w:sz w:val="22"/>
          <w:szCs w:val="22"/>
        </w:rPr>
        <w:t>Ticabril-ra</w:t>
      </w:r>
      <w:proofErr w:type="spellEnd"/>
      <w:r>
        <w:rPr>
          <w:sz w:val="22"/>
          <w:szCs w:val="22"/>
        </w:rPr>
        <w:t>.</w:t>
      </w:r>
    </w:p>
    <w:p w14:paraId="25AE1D41" w14:textId="77777777" w:rsidR="002E7F7D" w:rsidRDefault="002E7F7D">
      <w:pPr>
        <w:pStyle w:val="Default"/>
        <w:rPr>
          <w:sz w:val="22"/>
          <w:szCs w:val="22"/>
        </w:rPr>
      </w:pPr>
    </w:p>
    <w:p w14:paraId="23A5166A" w14:textId="77777777" w:rsidR="002E7F7D" w:rsidRDefault="004535C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Mondja el kezelőorvosának vagy gyógyszerészének, ha az alábbi gyógyszerek valamelyikét szedi: </w:t>
      </w:r>
    </w:p>
    <w:p w14:paraId="0F59A525" w14:textId="77777777" w:rsidR="002E7F7D" w:rsidRDefault="004535C4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lastRenderedPageBreak/>
        <w:t>rozuvasztatin</w:t>
      </w:r>
      <w:proofErr w:type="spellEnd"/>
      <w:r>
        <w:rPr>
          <w:sz w:val="22"/>
          <w:szCs w:val="22"/>
        </w:rPr>
        <w:t xml:space="preserve"> (a magas koleszterinszint kezelésére alkalmazott gyógyszer) vagy napi 40 mg-os adagot meghaladó </w:t>
      </w:r>
      <w:proofErr w:type="spellStart"/>
      <w:r>
        <w:rPr>
          <w:sz w:val="22"/>
          <w:szCs w:val="22"/>
        </w:rPr>
        <w:t>szimvasztatin</w:t>
      </w:r>
      <w:proofErr w:type="spellEnd"/>
      <w:r>
        <w:rPr>
          <w:sz w:val="22"/>
          <w:szCs w:val="22"/>
        </w:rPr>
        <w:t xml:space="preserve"> vagy </w:t>
      </w:r>
      <w:proofErr w:type="spellStart"/>
      <w:r>
        <w:rPr>
          <w:sz w:val="22"/>
          <w:szCs w:val="22"/>
        </w:rPr>
        <w:t>lovasztatin</w:t>
      </w:r>
      <w:proofErr w:type="spellEnd"/>
      <w:r>
        <w:rPr>
          <w:sz w:val="22"/>
          <w:szCs w:val="22"/>
        </w:rPr>
        <w:t xml:space="preserve"> (a magas koleszterinszint kezelésére alkalmazott gyógyszerek)</w:t>
      </w:r>
    </w:p>
    <w:p w14:paraId="7D213E9A" w14:textId="77777777" w:rsidR="002E7F7D" w:rsidRDefault="004535C4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rifampicin</w:t>
      </w:r>
      <w:proofErr w:type="spellEnd"/>
      <w:r>
        <w:rPr>
          <w:sz w:val="22"/>
          <w:szCs w:val="22"/>
        </w:rPr>
        <w:t xml:space="preserve"> (egy antibiotikum)</w:t>
      </w:r>
    </w:p>
    <w:p w14:paraId="7F6B82B1" w14:textId="77777777" w:rsidR="002E7F7D" w:rsidRDefault="004535C4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fenitoin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karbamazepin</w:t>
      </w:r>
      <w:proofErr w:type="spellEnd"/>
      <w:r>
        <w:rPr>
          <w:sz w:val="22"/>
          <w:szCs w:val="22"/>
        </w:rPr>
        <w:t xml:space="preserve"> és </w:t>
      </w:r>
      <w:proofErr w:type="spellStart"/>
      <w:r>
        <w:rPr>
          <w:sz w:val="22"/>
          <w:szCs w:val="22"/>
        </w:rPr>
        <w:t>fenobarbitál</w:t>
      </w:r>
      <w:proofErr w:type="spellEnd"/>
      <w:r>
        <w:rPr>
          <w:sz w:val="22"/>
          <w:szCs w:val="22"/>
        </w:rPr>
        <w:t xml:space="preserve"> (görcsrohamok kezelésére alkalmazzák)</w:t>
      </w:r>
    </w:p>
    <w:p w14:paraId="5A81BE1B" w14:textId="77777777" w:rsidR="002E7F7D" w:rsidRDefault="004535C4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digoxin</w:t>
      </w:r>
      <w:proofErr w:type="spellEnd"/>
      <w:r>
        <w:rPr>
          <w:sz w:val="22"/>
          <w:szCs w:val="22"/>
        </w:rPr>
        <w:t xml:space="preserve"> (szívelégtelenség kezelésére alkalmazzák)</w:t>
      </w:r>
    </w:p>
    <w:p w14:paraId="3E66EAC0" w14:textId="77777777" w:rsidR="002E7F7D" w:rsidRDefault="004535C4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ciklosporin</w:t>
      </w:r>
      <w:proofErr w:type="spellEnd"/>
      <w:r>
        <w:rPr>
          <w:sz w:val="22"/>
          <w:szCs w:val="22"/>
        </w:rPr>
        <w:t xml:space="preserve"> (a szervezet védekezőrendszere működésének csökkentésére alkalmazzák)</w:t>
      </w:r>
    </w:p>
    <w:p w14:paraId="0D489288" w14:textId="77777777" w:rsidR="002E7F7D" w:rsidRDefault="004535C4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kinidin</w:t>
      </w:r>
      <w:proofErr w:type="spellEnd"/>
      <w:r>
        <w:rPr>
          <w:sz w:val="22"/>
          <w:szCs w:val="22"/>
        </w:rPr>
        <w:t xml:space="preserve"> és </w:t>
      </w:r>
      <w:proofErr w:type="spellStart"/>
      <w:r>
        <w:rPr>
          <w:sz w:val="22"/>
          <w:szCs w:val="22"/>
        </w:rPr>
        <w:t>diltiazem</w:t>
      </w:r>
      <w:proofErr w:type="spellEnd"/>
      <w:r>
        <w:rPr>
          <w:sz w:val="22"/>
          <w:szCs w:val="22"/>
        </w:rPr>
        <w:t xml:space="preserve"> (szívritmuszavarok kezelésére alkalmazzák)</w:t>
      </w:r>
    </w:p>
    <w:p w14:paraId="342A2986" w14:textId="77777777" w:rsidR="002E7F7D" w:rsidRDefault="004535C4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béta-blokkolók és </w:t>
      </w:r>
      <w:proofErr w:type="spellStart"/>
      <w:r>
        <w:rPr>
          <w:sz w:val="22"/>
          <w:szCs w:val="22"/>
        </w:rPr>
        <w:t>verapamil</w:t>
      </w:r>
      <w:proofErr w:type="spellEnd"/>
      <w:r>
        <w:rPr>
          <w:sz w:val="22"/>
          <w:szCs w:val="22"/>
        </w:rPr>
        <w:t xml:space="preserve"> (magas vérnyomás kezelésére alkalmazzák)</w:t>
      </w:r>
    </w:p>
    <w:p w14:paraId="5087C369" w14:textId="77777777" w:rsidR="002E7F7D" w:rsidRDefault="004535C4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morfin és egyéb </w:t>
      </w:r>
      <w:proofErr w:type="spellStart"/>
      <w:r>
        <w:rPr>
          <w:sz w:val="22"/>
          <w:szCs w:val="22"/>
        </w:rPr>
        <w:t>opioidok</w:t>
      </w:r>
      <w:proofErr w:type="spellEnd"/>
      <w:r>
        <w:rPr>
          <w:sz w:val="22"/>
          <w:szCs w:val="22"/>
        </w:rPr>
        <w:t xml:space="preserve"> (erős fájdalom kezelésére alkalmazzák).</w:t>
      </w:r>
    </w:p>
    <w:p w14:paraId="036062CC" w14:textId="77777777" w:rsidR="002E7F7D" w:rsidRDefault="002E7F7D">
      <w:pPr>
        <w:pStyle w:val="Default"/>
        <w:rPr>
          <w:sz w:val="22"/>
          <w:szCs w:val="22"/>
        </w:rPr>
      </w:pPr>
    </w:p>
    <w:p w14:paraId="23BAE2CF" w14:textId="77777777" w:rsidR="002E7F7D" w:rsidRDefault="004535C4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215"/>
        <w:rPr>
          <w:rFonts w:eastAsia="Times New Roman"/>
          <w:snapToGrid/>
          <w:spacing w:val="-1"/>
          <w:szCs w:val="22"/>
          <w:lang w:val="hu-HU" w:eastAsia="hu-HU"/>
        </w:rPr>
      </w:pPr>
      <w:r>
        <w:rPr>
          <w:rFonts w:eastAsia="Times New Roman"/>
          <w:snapToGrid/>
          <w:spacing w:val="-1"/>
          <w:szCs w:val="22"/>
          <w:lang w:val="hu-HU" w:eastAsia="hu-HU"/>
        </w:rPr>
        <w:t>Különösen fontos, hogy elmondja kezelőorvosának vagy gyógyszerészének, ha az alábbi gyógyszerek</w:t>
      </w:r>
      <w:r>
        <w:rPr>
          <w:rFonts w:eastAsia="Times New Roman"/>
          <w:snapToGrid/>
          <w:spacing w:val="20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valamelyikét szedi, amelyek növelhetik Önnél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vérzés kockázatát:</w:t>
      </w:r>
    </w:p>
    <w:p w14:paraId="539BE99A" w14:textId="77777777" w:rsidR="002E7F7D" w:rsidRDefault="004535C4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szájon át szedhető véralvadásgátlók, gyakran vérhígítóknak is nevezik őket, közéjük tartozik a </w:t>
      </w:r>
      <w:proofErr w:type="spellStart"/>
      <w:r>
        <w:rPr>
          <w:sz w:val="22"/>
          <w:szCs w:val="22"/>
        </w:rPr>
        <w:t>warfarin</w:t>
      </w:r>
      <w:proofErr w:type="spellEnd"/>
      <w:r>
        <w:rPr>
          <w:sz w:val="22"/>
          <w:szCs w:val="22"/>
        </w:rPr>
        <w:t>.</w:t>
      </w:r>
    </w:p>
    <w:p w14:paraId="1F5DA0F3" w14:textId="77777777" w:rsidR="002E7F7D" w:rsidRDefault="004535C4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nem-szteroid gyulladáscsökkentő gyógyszerek (rövidítve NSAID-ok), amiket gyakran fájdalomcsillapítóként szednek, mint például az </w:t>
      </w:r>
      <w:proofErr w:type="spellStart"/>
      <w:r>
        <w:rPr>
          <w:sz w:val="22"/>
          <w:szCs w:val="22"/>
        </w:rPr>
        <w:t>ibuprofén</w:t>
      </w:r>
      <w:proofErr w:type="spellEnd"/>
      <w:r>
        <w:rPr>
          <w:sz w:val="22"/>
          <w:szCs w:val="22"/>
        </w:rPr>
        <w:t xml:space="preserve"> és a </w:t>
      </w:r>
      <w:proofErr w:type="spellStart"/>
      <w:r>
        <w:rPr>
          <w:sz w:val="22"/>
          <w:szCs w:val="22"/>
        </w:rPr>
        <w:t>naproxén</w:t>
      </w:r>
      <w:proofErr w:type="spellEnd"/>
      <w:r>
        <w:rPr>
          <w:sz w:val="22"/>
          <w:szCs w:val="22"/>
        </w:rPr>
        <w:t>.</w:t>
      </w:r>
    </w:p>
    <w:p w14:paraId="65F4423F" w14:textId="77777777" w:rsidR="002E7F7D" w:rsidRDefault="004535C4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depresszió ellenes szerként szedett szelektív szerotonin-visszavétel gátlók (rövidítve SSRI-k), mint például a </w:t>
      </w:r>
      <w:proofErr w:type="spellStart"/>
      <w:r>
        <w:rPr>
          <w:sz w:val="22"/>
          <w:szCs w:val="22"/>
        </w:rPr>
        <w:t>paroxetin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szertralin</w:t>
      </w:r>
      <w:proofErr w:type="spellEnd"/>
      <w:r>
        <w:rPr>
          <w:sz w:val="22"/>
          <w:szCs w:val="22"/>
        </w:rPr>
        <w:t xml:space="preserve"> és </w:t>
      </w:r>
      <w:proofErr w:type="spellStart"/>
      <w:r>
        <w:rPr>
          <w:sz w:val="22"/>
          <w:szCs w:val="22"/>
        </w:rPr>
        <w:t>citaloprám</w:t>
      </w:r>
      <w:proofErr w:type="spellEnd"/>
      <w:r>
        <w:rPr>
          <w:sz w:val="22"/>
          <w:szCs w:val="22"/>
        </w:rPr>
        <w:t>.</w:t>
      </w:r>
    </w:p>
    <w:p w14:paraId="669E5F06" w14:textId="77777777" w:rsidR="002E7F7D" w:rsidRDefault="004535C4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más gyógyszerek, mint például a </w:t>
      </w:r>
      <w:proofErr w:type="spellStart"/>
      <w:r>
        <w:rPr>
          <w:sz w:val="22"/>
          <w:szCs w:val="22"/>
        </w:rPr>
        <w:t>ketokonazol</w:t>
      </w:r>
      <w:proofErr w:type="spellEnd"/>
      <w:r>
        <w:rPr>
          <w:sz w:val="22"/>
          <w:szCs w:val="22"/>
        </w:rPr>
        <w:t xml:space="preserve"> (gombák okozta fertőzések kezelésére alkalmazzák), a </w:t>
      </w:r>
      <w:proofErr w:type="spellStart"/>
      <w:r>
        <w:rPr>
          <w:sz w:val="22"/>
          <w:szCs w:val="22"/>
        </w:rPr>
        <w:t>klaritromicin</w:t>
      </w:r>
      <w:proofErr w:type="spellEnd"/>
      <w:r>
        <w:rPr>
          <w:sz w:val="22"/>
          <w:szCs w:val="22"/>
        </w:rPr>
        <w:t xml:space="preserve"> (baktériumok okozta fertőzések kezelésére alkalmazzák), a </w:t>
      </w:r>
      <w:proofErr w:type="spellStart"/>
      <w:r>
        <w:rPr>
          <w:sz w:val="22"/>
          <w:szCs w:val="22"/>
        </w:rPr>
        <w:t>nefazodon</w:t>
      </w:r>
      <w:proofErr w:type="spellEnd"/>
      <w:r>
        <w:rPr>
          <w:sz w:val="22"/>
          <w:szCs w:val="22"/>
        </w:rPr>
        <w:t xml:space="preserve"> (egy depresszió ellenes szer), a </w:t>
      </w:r>
      <w:proofErr w:type="spellStart"/>
      <w:r>
        <w:rPr>
          <w:sz w:val="22"/>
          <w:szCs w:val="22"/>
        </w:rPr>
        <w:t>ritonavir</w:t>
      </w:r>
      <w:proofErr w:type="spellEnd"/>
      <w:r>
        <w:rPr>
          <w:sz w:val="22"/>
          <w:szCs w:val="22"/>
        </w:rPr>
        <w:t xml:space="preserve"> és az </w:t>
      </w:r>
      <w:proofErr w:type="spellStart"/>
      <w:r>
        <w:rPr>
          <w:sz w:val="22"/>
          <w:szCs w:val="22"/>
        </w:rPr>
        <w:t>atazanavir</w:t>
      </w:r>
      <w:proofErr w:type="spellEnd"/>
      <w:r>
        <w:rPr>
          <w:sz w:val="22"/>
          <w:szCs w:val="22"/>
        </w:rPr>
        <w:t xml:space="preserve"> (HIV fertőzés és AIDS kezelésére alkalmazzák), a </w:t>
      </w:r>
      <w:proofErr w:type="spellStart"/>
      <w:r>
        <w:rPr>
          <w:sz w:val="22"/>
          <w:szCs w:val="22"/>
        </w:rPr>
        <w:t>ciszaprid</w:t>
      </w:r>
      <w:proofErr w:type="spellEnd"/>
      <w:r>
        <w:rPr>
          <w:sz w:val="22"/>
          <w:szCs w:val="22"/>
        </w:rPr>
        <w:t xml:space="preserve"> (a gyomorégés kezelésére alkalmazzák), </w:t>
      </w:r>
      <w:proofErr w:type="spellStart"/>
      <w:r>
        <w:rPr>
          <w:sz w:val="22"/>
          <w:szCs w:val="22"/>
        </w:rPr>
        <w:t>ergot</w:t>
      </w:r>
      <w:proofErr w:type="spellEnd"/>
      <w:r>
        <w:rPr>
          <w:sz w:val="22"/>
          <w:szCs w:val="22"/>
        </w:rPr>
        <w:t xml:space="preserve"> alkaloidok (migrén és fejfájás kezelésére alkalmazzák).</w:t>
      </w:r>
    </w:p>
    <w:p w14:paraId="64B057D9" w14:textId="77777777" w:rsidR="002E7F7D" w:rsidRDefault="002E7F7D">
      <w:pPr>
        <w:pStyle w:val="Default"/>
        <w:rPr>
          <w:rFonts w:eastAsia="Times New Roman"/>
          <w:color w:val="auto"/>
          <w:spacing w:val="-1"/>
          <w:sz w:val="22"/>
          <w:szCs w:val="22"/>
        </w:rPr>
      </w:pPr>
    </w:p>
    <w:p w14:paraId="5C270489" w14:textId="77777777" w:rsidR="002E7F7D" w:rsidRDefault="004535C4">
      <w:pPr>
        <w:pStyle w:val="Default"/>
        <w:rPr>
          <w:rFonts w:eastAsia="Times New Roman"/>
          <w:color w:val="auto"/>
          <w:spacing w:val="-1"/>
          <w:sz w:val="22"/>
          <w:szCs w:val="22"/>
        </w:rPr>
      </w:pPr>
      <w:r>
        <w:rPr>
          <w:rFonts w:eastAsia="Times New Roman"/>
          <w:color w:val="auto"/>
          <w:spacing w:val="-1"/>
          <w:sz w:val="22"/>
          <w:szCs w:val="22"/>
        </w:rPr>
        <w:t xml:space="preserve">Mondja el kezelőorvosának, hogy </w:t>
      </w:r>
      <w:proofErr w:type="spellStart"/>
      <w:r>
        <w:rPr>
          <w:rFonts w:eastAsia="Times New Roman"/>
          <w:color w:val="auto"/>
          <w:spacing w:val="-1"/>
          <w:sz w:val="22"/>
          <w:szCs w:val="22"/>
        </w:rPr>
        <w:t>Ticabril</w:t>
      </w:r>
      <w:proofErr w:type="spellEnd"/>
      <w:r>
        <w:rPr>
          <w:rFonts w:eastAsia="Times New Roman"/>
          <w:color w:val="auto"/>
          <w:spacing w:val="-1"/>
          <w:sz w:val="22"/>
          <w:szCs w:val="22"/>
        </w:rPr>
        <w:t xml:space="preserve">-t szed, mivel Önnél magasabb lehet </w:t>
      </w:r>
      <w:r>
        <w:rPr>
          <w:rFonts w:eastAsia="Times New Roman"/>
          <w:color w:val="auto"/>
          <w:sz w:val="22"/>
          <w:szCs w:val="22"/>
        </w:rPr>
        <w:t>a</w:t>
      </w:r>
      <w:r>
        <w:rPr>
          <w:rFonts w:eastAsia="Times New Roman"/>
          <w:color w:val="auto"/>
          <w:spacing w:val="-1"/>
          <w:sz w:val="22"/>
          <w:szCs w:val="22"/>
        </w:rPr>
        <w:t xml:space="preserve"> vérzés</w:t>
      </w:r>
      <w:r>
        <w:rPr>
          <w:rFonts w:eastAsia="Times New Roman"/>
          <w:color w:val="auto"/>
          <w:spacing w:val="40"/>
          <w:sz w:val="22"/>
          <w:szCs w:val="22"/>
        </w:rPr>
        <w:t xml:space="preserve"> </w:t>
      </w:r>
      <w:r>
        <w:rPr>
          <w:rFonts w:eastAsia="Times New Roman"/>
          <w:color w:val="auto"/>
          <w:spacing w:val="-1"/>
          <w:sz w:val="22"/>
          <w:szCs w:val="22"/>
        </w:rPr>
        <w:t xml:space="preserve">kockázata, ha </w:t>
      </w:r>
      <w:r>
        <w:rPr>
          <w:rFonts w:eastAsia="Times New Roman"/>
          <w:color w:val="auto"/>
          <w:sz w:val="22"/>
          <w:szCs w:val="22"/>
        </w:rPr>
        <w:t>a</w:t>
      </w:r>
      <w:r>
        <w:rPr>
          <w:rFonts w:eastAsia="Times New Roman"/>
          <w:color w:val="auto"/>
          <w:spacing w:val="-1"/>
          <w:sz w:val="22"/>
          <w:szCs w:val="22"/>
        </w:rPr>
        <w:t xml:space="preserve"> kezelőorvosa „</w:t>
      </w:r>
      <w:proofErr w:type="spellStart"/>
      <w:r>
        <w:rPr>
          <w:rFonts w:eastAsia="Times New Roman"/>
          <w:color w:val="auto"/>
          <w:spacing w:val="-1"/>
          <w:sz w:val="22"/>
          <w:szCs w:val="22"/>
        </w:rPr>
        <w:t>fibrinolitikumoknak</w:t>
      </w:r>
      <w:proofErr w:type="spellEnd"/>
      <w:r>
        <w:rPr>
          <w:rFonts w:eastAsia="Times New Roman"/>
          <w:color w:val="auto"/>
          <w:spacing w:val="-1"/>
          <w:sz w:val="22"/>
          <w:szCs w:val="22"/>
        </w:rPr>
        <w:t>”, gyakran vérrögoldóknak is nevezett gyógyszert,</w:t>
      </w:r>
      <w:r>
        <w:rPr>
          <w:rFonts w:eastAsia="Times New Roman"/>
          <w:color w:val="auto"/>
          <w:spacing w:val="28"/>
          <w:sz w:val="22"/>
          <w:szCs w:val="22"/>
        </w:rPr>
        <w:t xml:space="preserve"> </w:t>
      </w:r>
      <w:r>
        <w:rPr>
          <w:rFonts w:eastAsia="Times New Roman"/>
          <w:color w:val="auto"/>
          <w:spacing w:val="-1"/>
          <w:sz w:val="22"/>
          <w:szCs w:val="22"/>
        </w:rPr>
        <w:t xml:space="preserve">például </w:t>
      </w:r>
      <w:proofErr w:type="spellStart"/>
      <w:r>
        <w:rPr>
          <w:rFonts w:eastAsia="Times New Roman"/>
          <w:color w:val="auto"/>
          <w:spacing w:val="-2"/>
          <w:sz w:val="22"/>
          <w:szCs w:val="22"/>
        </w:rPr>
        <w:t>sztreptokinázt</w:t>
      </w:r>
      <w:proofErr w:type="spellEnd"/>
      <w:r>
        <w:rPr>
          <w:rFonts w:eastAsia="Times New Roman"/>
          <w:color w:val="auto"/>
          <w:spacing w:val="-1"/>
          <w:sz w:val="22"/>
          <w:szCs w:val="22"/>
        </w:rPr>
        <w:t xml:space="preserve"> vagy </w:t>
      </w:r>
      <w:proofErr w:type="spellStart"/>
      <w:r>
        <w:rPr>
          <w:rFonts w:eastAsia="Times New Roman"/>
          <w:color w:val="auto"/>
          <w:spacing w:val="-1"/>
          <w:sz w:val="22"/>
          <w:szCs w:val="22"/>
        </w:rPr>
        <w:t>alteplázt</w:t>
      </w:r>
      <w:proofErr w:type="spellEnd"/>
      <w:r>
        <w:rPr>
          <w:rFonts w:eastAsia="Times New Roman"/>
          <w:color w:val="auto"/>
          <w:spacing w:val="-1"/>
          <w:sz w:val="22"/>
          <w:szCs w:val="22"/>
        </w:rPr>
        <w:t xml:space="preserve"> ad Önnek.</w:t>
      </w:r>
    </w:p>
    <w:p w14:paraId="5FE5DA67" w14:textId="77777777" w:rsidR="002E7F7D" w:rsidRDefault="002E7F7D">
      <w:pPr>
        <w:spacing w:line="240" w:lineRule="auto"/>
        <w:ind w:right="-2"/>
        <w:rPr>
          <w:szCs w:val="22"/>
          <w:lang w:val="da-DK"/>
        </w:rPr>
      </w:pPr>
    </w:p>
    <w:p w14:paraId="0FF88B12" w14:textId="77777777" w:rsidR="002E7F7D" w:rsidRDefault="004535C4">
      <w:pPr>
        <w:spacing w:line="240" w:lineRule="auto"/>
        <w:ind w:right="-2"/>
        <w:rPr>
          <w:b/>
          <w:szCs w:val="22"/>
          <w:lang w:val="da-DK"/>
        </w:rPr>
      </w:pPr>
      <w:r>
        <w:rPr>
          <w:b/>
          <w:szCs w:val="22"/>
          <w:lang w:val="da-DK"/>
        </w:rPr>
        <w:t>Terhesség és szoptatás</w:t>
      </w:r>
    </w:p>
    <w:p w14:paraId="4CFBE95C" w14:textId="77777777" w:rsidR="002E7F7D" w:rsidRDefault="004535C4">
      <w:pPr>
        <w:spacing w:line="240" w:lineRule="auto"/>
        <w:ind w:right="-2"/>
        <w:rPr>
          <w:szCs w:val="22"/>
          <w:lang w:val="da-DK"/>
        </w:rPr>
      </w:pPr>
      <w:r>
        <w:rPr>
          <w:szCs w:val="22"/>
          <w:lang w:val="da-DK"/>
        </w:rPr>
        <w:t>A Ticabril alkalmazása nem javasolt, ha Ön terhes vagy teherbe eshet. A fogamzóképes nőknek a gyógyszer szedése alatt megfelelő fogamzásgátló módszert kell alkalmazniuk, a terhesség elkerülése érdekében.</w:t>
      </w:r>
    </w:p>
    <w:p w14:paraId="7734549F" w14:textId="77777777" w:rsidR="002E7F7D" w:rsidRDefault="002E7F7D">
      <w:pPr>
        <w:spacing w:line="240" w:lineRule="auto"/>
        <w:ind w:right="-2"/>
        <w:rPr>
          <w:szCs w:val="22"/>
          <w:lang w:val="da-DK"/>
        </w:rPr>
      </w:pPr>
    </w:p>
    <w:p w14:paraId="2D9F4EAD" w14:textId="77777777" w:rsidR="002E7F7D" w:rsidRDefault="004535C4">
      <w:pPr>
        <w:spacing w:line="240" w:lineRule="auto"/>
        <w:ind w:right="-2"/>
        <w:rPr>
          <w:szCs w:val="22"/>
          <w:lang w:val="fr-FR"/>
        </w:rPr>
      </w:pPr>
      <w:r>
        <w:rPr>
          <w:szCs w:val="22"/>
          <w:lang w:val="fr-FR"/>
        </w:rPr>
        <w:t xml:space="preserve">Ha </w:t>
      </w:r>
      <w:proofErr w:type="spellStart"/>
      <w:r>
        <w:rPr>
          <w:szCs w:val="22"/>
          <w:lang w:val="fr-FR"/>
        </w:rPr>
        <w:t>szoptat</w:t>
      </w:r>
      <w:proofErr w:type="spellEnd"/>
      <w:r>
        <w:rPr>
          <w:szCs w:val="22"/>
          <w:lang w:val="fr-FR"/>
        </w:rPr>
        <w:t xml:space="preserve">, </w:t>
      </w:r>
      <w:proofErr w:type="spellStart"/>
      <w:r>
        <w:rPr>
          <w:szCs w:val="22"/>
          <w:lang w:val="fr-FR"/>
        </w:rPr>
        <w:t>akkor</w:t>
      </w:r>
      <w:proofErr w:type="spellEnd"/>
      <w:r>
        <w:rPr>
          <w:szCs w:val="22"/>
          <w:lang w:val="fr-FR"/>
        </w:rPr>
        <w:t xml:space="preserve"> a </w:t>
      </w:r>
      <w:proofErr w:type="spellStart"/>
      <w:r>
        <w:rPr>
          <w:szCs w:val="22"/>
          <w:lang w:val="fr-FR"/>
        </w:rPr>
        <w:t>gyógyszer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szedése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előtt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beszéljen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kezelőorvosával</w:t>
      </w:r>
      <w:proofErr w:type="spellEnd"/>
      <w:r>
        <w:rPr>
          <w:szCs w:val="22"/>
          <w:lang w:val="fr-FR"/>
        </w:rPr>
        <w:t xml:space="preserve">. </w:t>
      </w:r>
      <w:proofErr w:type="spellStart"/>
      <w:r>
        <w:rPr>
          <w:szCs w:val="22"/>
          <w:lang w:val="fr-FR"/>
        </w:rPr>
        <w:t>Kezelőorvosa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meg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fogja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beszélni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Önnel</w:t>
      </w:r>
      <w:proofErr w:type="spellEnd"/>
      <w:r>
        <w:rPr>
          <w:szCs w:val="22"/>
          <w:lang w:val="fr-FR"/>
        </w:rPr>
        <w:t xml:space="preserve"> a </w:t>
      </w:r>
      <w:proofErr w:type="spellStart"/>
      <w:r>
        <w:rPr>
          <w:szCs w:val="22"/>
          <w:lang w:val="fr-FR"/>
        </w:rPr>
        <w:t>Ticabril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ez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idő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alatti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szedésének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előnyeit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és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kockázatait</w:t>
      </w:r>
      <w:proofErr w:type="spellEnd"/>
      <w:r>
        <w:rPr>
          <w:szCs w:val="22"/>
          <w:lang w:val="fr-FR"/>
        </w:rPr>
        <w:t>.</w:t>
      </w:r>
    </w:p>
    <w:p w14:paraId="539A0083" w14:textId="77777777" w:rsidR="002E7F7D" w:rsidRDefault="002E7F7D">
      <w:pPr>
        <w:spacing w:line="240" w:lineRule="auto"/>
        <w:ind w:right="-2"/>
        <w:rPr>
          <w:szCs w:val="22"/>
          <w:lang w:val="fr-FR"/>
        </w:rPr>
      </w:pPr>
    </w:p>
    <w:p w14:paraId="56128E3C" w14:textId="77777777" w:rsidR="002E7F7D" w:rsidRDefault="004535C4">
      <w:pPr>
        <w:spacing w:line="240" w:lineRule="auto"/>
        <w:ind w:right="-2"/>
        <w:rPr>
          <w:szCs w:val="22"/>
          <w:lang w:val="fr-FR"/>
        </w:rPr>
      </w:pPr>
      <w:r>
        <w:rPr>
          <w:szCs w:val="22"/>
          <w:lang w:val="fr-FR"/>
        </w:rPr>
        <w:t xml:space="preserve">Ha </w:t>
      </w:r>
      <w:proofErr w:type="spellStart"/>
      <w:r>
        <w:rPr>
          <w:szCs w:val="22"/>
          <w:lang w:val="fr-FR"/>
        </w:rPr>
        <w:t>Ön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terhes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vagy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szoptat</w:t>
      </w:r>
      <w:proofErr w:type="spellEnd"/>
      <w:r>
        <w:rPr>
          <w:szCs w:val="22"/>
          <w:lang w:val="fr-FR"/>
        </w:rPr>
        <w:t xml:space="preserve">, </w:t>
      </w:r>
      <w:proofErr w:type="spellStart"/>
      <w:r>
        <w:rPr>
          <w:szCs w:val="22"/>
          <w:lang w:val="fr-FR"/>
        </w:rPr>
        <w:t>illetve</w:t>
      </w:r>
      <w:proofErr w:type="spellEnd"/>
      <w:r>
        <w:rPr>
          <w:szCs w:val="22"/>
          <w:lang w:val="fr-FR"/>
        </w:rPr>
        <w:t xml:space="preserve"> ha </w:t>
      </w:r>
      <w:proofErr w:type="spellStart"/>
      <w:r>
        <w:rPr>
          <w:szCs w:val="22"/>
          <w:lang w:val="fr-FR"/>
        </w:rPr>
        <w:t>fennáll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Önnél</w:t>
      </w:r>
      <w:proofErr w:type="spellEnd"/>
      <w:r>
        <w:rPr>
          <w:szCs w:val="22"/>
          <w:lang w:val="fr-FR"/>
        </w:rPr>
        <w:t xml:space="preserve"> a </w:t>
      </w:r>
      <w:proofErr w:type="spellStart"/>
      <w:r>
        <w:rPr>
          <w:szCs w:val="22"/>
          <w:lang w:val="fr-FR"/>
        </w:rPr>
        <w:t>terhesség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lehetősége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vagy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gyermeket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szeretne</w:t>
      </w:r>
      <w:proofErr w:type="spellEnd"/>
      <w:r>
        <w:rPr>
          <w:szCs w:val="22"/>
          <w:lang w:val="fr-FR"/>
        </w:rPr>
        <w:t xml:space="preserve">, a </w:t>
      </w:r>
      <w:proofErr w:type="spellStart"/>
      <w:r>
        <w:rPr>
          <w:szCs w:val="22"/>
          <w:lang w:val="fr-FR"/>
        </w:rPr>
        <w:t>gyógyszer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alkalmazása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előtt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beszéljen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kezelőorvosával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vagy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gyógyszerészével</w:t>
      </w:r>
      <w:proofErr w:type="spellEnd"/>
      <w:r>
        <w:rPr>
          <w:szCs w:val="22"/>
          <w:lang w:val="fr-FR"/>
        </w:rPr>
        <w:t>.</w:t>
      </w:r>
    </w:p>
    <w:p w14:paraId="20E77C2D" w14:textId="77777777" w:rsidR="002E7F7D" w:rsidRDefault="002E7F7D">
      <w:pPr>
        <w:spacing w:line="240" w:lineRule="auto"/>
        <w:ind w:right="-2"/>
        <w:rPr>
          <w:szCs w:val="22"/>
          <w:lang w:val="da-DK"/>
        </w:rPr>
      </w:pPr>
    </w:p>
    <w:p w14:paraId="6B937ECC" w14:textId="77777777" w:rsidR="002E7F7D" w:rsidRDefault="004535C4">
      <w:pPr>
        <w:spacing w:line="240" w:lineRule="auto"/>
        <w:ind w:right="-29"/>
        <w:rPr>
          <w:b/>
          <w:szCs w:val="22"/>
          <w:lang w:val="da-DK"/>
        </w:rPr>
      </w:pPr>
      <w:r>
        <w:rPr>
          <w:b/>
          <w:szCs w:val="22"/>
          <w:lang w:val="da-DK"/>
        </w:rPr>
        <w:t>A készítmény hatásai a gépjárművezetéshez és a gépek kezeléséhez szükséges képességekre</w:t>
      </w:r>
    </w:p>
    <w:p w14:paraId="147437A5" w14:textId="77777777" w:rsidR="002E7F7D" w:rsidRDefault="004535C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Ticabril</w:t>
      </w:r>
      <w:proofErr w:type="spellEnd"/>
      <w:r>
        <w:rPr>
          <w:sz w:val="22"/>
          <w:szCs w:val="22"/>
        </w:rPr>
        <w:t xml:space="preserve"> nem valószínű, hogy befolyásolná az Ön gépjárművezetéshez vagy gépek kezeléséhez szükséges képességeit. Ha a gyógyszer szedése közben szédül vagy zavart, legyen óvatos, amikor gépjárművet vezet vagy gépeket kezel. </w:t>
      </w:r>
    </w:p>
    <w:p w14:paraId="49877F32" w14:textId="77777777" w:rsidR="002E7F7D" w:rsidRDefault="002E7F7D">
      <w:pPr>
        <w:pStyle w:val="Default"/>
        <w:rPr>
          <w:sz w:val="22"/>
          <w:szCs w:val="22"/>
        </w:rPr>
      </w:pPr>
    </w:p>
    <w:p w14:paraId="6E277B3A" w14:textId="77777777" w:rsidR="002E7F7D" w:rsidRDefault="004535C4">
      <w:pPr>
        <w:spacing w:line="240" w:lineRule="auto"/>
        <w:ind w:right="-29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A </w:t>
      </w:r>
      <w:proofErr w:type="spellStart"/>
      <w:r>
        <w:rPr>
          <w:b/>
          <w:szCs w:val="22"/>
          <w:lang w:val="hu-HU"/>
        </w:rPr>
        <w:t>Ticabril</w:t>
      </w:r>
      <w:proofErr w:type="spellEnd"/>
      <w:r>
        <w:rPr>
          <w:b/>
          <w:szCs w:val="22"/>
          <w:lang w:val="hu-HU"/>
        </w:rPr>
        <w:t xml:space="preserve"> nátriumot tartalmaz</w:t>
      </w:r>
    </w:p>
    <w:p w14:paraId="7BAF46A5" w14:textId="77777777" w:rsidR="002E7F7D" w:rsidRDefault="004535C4">
      <w:pPr>
        <w:spacing w:line="240" w:lineRule="auto"/>
        <w:ind w:right="-29"/>
        <w:rPr>
          <w:szCs w:val="22"/>
          <w:lang w:val="hu-HU"/>
        </w:rPr>
      </w:pPr>
      <w:r>
        <w:rPr>
          <w:szCs w:val="22"/>
          <w:lang w:val="hu-HU"/>
        </w:rPr>
        <w:t xml:space="preserve">A készítmény kevesebb mint 1 </w:t>
      </w:r>
      <w:proofErr w:type="spellStart"/>
      <w:r>
        <w:rPr>
          <w:szCs w:val="22"/>
          <w:lang w:val="hu-HU"/>
        </w:rPr>
        <w:t>mmol</w:t>
      </w:r>
      <w:proofErr w:type="spellEnd"/>
      <w:r>
        <w:rPr>
          <w:szCs w:val="22"/>
          <w:lang w:val="hu-HU"/>
        </w:rPr>
        <w:t xml:space="preserve"> (23</w:t>
      </w:r>
      <w:r>
        <w:rPr>
          <w:szCs w:val="22"/>
        </w:rPr>
        <w:t> </w:t>
      </w:r>
      <w:r>
        <w:rPr>
          <w:szCs w:val="22"/>
          <w:lang w:val="hu-HU"/>
        </w:rPr>
        <w:t xml:space="preserve">mg) nátriumot tartalmaz </w:t>
      </w:r>
      <w:proofErr w:type="spellStart"/>
      <w:r>
        <w:rPr>
          <w:szCs w:val="22"/>
          <w:lang w:val="hu-HU"/>
        </w:rPr>
        <w:t>filmtablettánként</w:t>
      </w:r>
      <w:proofErr w:type="spellEnd"/>
      <w:r>
        <w:rPr>
          <w:szCs w:val="22"/>
          <w:lang w:val="hu-HU"/>
        </w:rPr>
        <w:t>, azaz gyakorlatilag „nátriummentes”.</w:t>
      </w:r>
    </w:p>
    <w:p w14:paraId="0E361B69" w14:textId="77777777" w:rsidR="002E7F7D" w:rsidRDefault="002E7F7D">
      <w:pPr>
        <w:spacing w:line="240" w:lineRule="auto"/>
        <w:ind w:right="-29"/>
        <w:rPr>
          <w:szCs w:val="22"/>
          <w:lang w:val="hu-HU"/>
        </w:rPr>
      </w:pPr>
    </w:p>
    <w:p w14:paraId="4CC63B2C" w14:textId="77777777" w:rsidR="002E7F7D" w:rsidRDefault="002E7F7D">
      <w:pPr>
        <w:spacing w:line="240" w:lineRule="auto"/>
        <w:ind w:right="-29"/>
        <w:rPr>
          <w:szCs w:val="22"/>
          <w:lang w:val="da-DK"/>
        </w:rPr>
      </w:pPr>
    </w:p>
    <w:p w14:paraId="6BD8F161" w14:textId="77777777" w:rsidR="002E7F7D" w:rsidRDefault="004535C4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  <w:lang w:val="da-DK"/>
        </w:rPr>
      </w:pPr>
      <w:r>
        <w:rPr>
          <w:b/>
          <w:noProof/>
          <w:szCs w:val="22"/>
          <w:lang w:val="da-DK"/>
        </w:rPr>
        <w:t>Hogyan kell szedni a Ticabril-t?</w:t>
      </w:r>
    </w:p>
    <w:p w14:paraId="7CB113BD" w14:textId="77777777" w:rsidR="002E7F7D" w:rsidRDefault="002E7F7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2"/>
          <w:lang w:val="da-DK"/>
        </w:rPr>
      </w:pPr>
    </w:p>
    <w:p w14:paraId="304F4374" w14:textId="77777777" w:rsidR="002E7F7D" w:rsidRDefault="004535C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gyógyszert mindig a kezelőorvosa által elmondottaknak megfelelően szedje. Amennyiben nem biztos az adagolást illetően, kérdezze meg kezelőorvosát vagy gyógyszerészét. </w:t>
      </w:r>
    </w:p>
    <w:p w14:paraId="6BDB947A" w14:textId="77777777" w:rsidR="002E7F7D" w:rsidRDefault="002E7F7D">
      <w:pPr>
        <w:pStyle w:val="Default"/>
        <w:rPr>
          <w:sz w:val="22"/>
          <w:szCs w:val="22"/>
        </w:rPr>
      </w:pPr>
    </w:p>
    <w:p w14:paraId="61DBF644" w14:textId="77777777" w:rsidR="002E7F7D" w:rsidRDefault="004535C4">
      <w:pPr>
        <w:pStyle w:val="Default"/>
        <w:keepNext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Mennyi </w:t>
      </w:r>
      <w:r>
        <w:rPr>
          <w:b/>
          <w:noProof/>
          <w:sz w:val="22"/>
          <w:szCs w:val="22"/>
          <w:lang w:val="da-DK"/>
        </w:rPr>
        <w:t>Ticabril-t</w:t>
      </w:r>
      <w:r>
        <w:rPr>
          <w:b/>
          <w:bCs/>
          <w:sz w:val="22"/>
          <w:szCs w:val="22"/>
        </w:rPr>
        <w:t xml:space="preserve"> kell szedni? </w:t>
      </w:r>
    </w:p>
    <w:p w14:paraId="4E8388E9" w14:textId="77777777" w:rsidR="002E7F7D" w:rsidRDefault="004535C4">
      <w:pPr>
        <w:pStyle w:val="Default"/>
        <w:numPr>
          <w:ilvl w:val="0"/>
          <w:numId w:val="11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A kezdő adag egyszerre két tabletta (180 mg-os telítő adag). Ezt az adagot rendszerint a kórházban fogják adni Önnek.</w:t>
      </w:r>
    </w:p>
    <w:p w14:paraId="2728364D" w14:textId="77777777" w:rsidR="002E7F7D" w:rsidRDefault="004535C4">
      <w:pPr>
        <w:pStyle w:val="Default"/>
        <w:numPr>
          <w:ilvl w:val="0"/>
          <w:numId w:val="11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Ezután a kezdő adag után az ajánlott adag naponta kétszer egy 90 mg-os tabletta, legfeljebb 12 hónapon keresztül, kivéve, ha kezelőorvosa mást mond Önnek.</w:t>
      </w:r>
    </w:p>
    <w:p w14:paraId="4CB7F1C7" w14:textId="77777777" w:rsidR="002E7F7D" w:rsidRDefault="004535C4">
      <w:pPr>
        <w:pStyle w:val="Default"/>
        <w:numPr>
          <w:ilvl w:val="0"/>
          <w:numId w:val="11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A gyógyszert minden nap körülbelül ugyanabban az időpontban vegye be (például egy tablettát reggel és egyet este).</w:t>
      </w:r>
    </w:p>
    <w:p w14:paraId="47C335E9" w14:textId="77777777" w:rsidR="002E7F7D" w:rsidRDefault="002E7F7D">
      <w:pPr>
        <w:pStyle w:val="Default"/>
        <w:rPr>
          <w:sz w:val="22"/>
          <w:szCs w:val="22"/>
        </w:rPr>
      </w:pPr>
    </w:p>
    <w:p w14:paraId="26F80496" w14:textId="77777777" w:rsidR="002E7F7D" w:rsidRDefault="004535C4">
      <w:pPr>
        <w:pStyle w:val="Default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Ticabril</w:t>
      </w:r>
      <w:proofErr w:type="spellEnd"/>
      <w:r>
        <w:rPr>
          <w:b/>
          <w:bCs/>
          <w:sz w:val="22"/>
          <w:szCs w:val="22"/>
        </w:rPr>
        <w:t xml:space="preserve"> szedése más, vérrögképződés gátlására alkalmazott gyógyszerekkel</w:t>
      </w:r>
    </w:p>
    <w:p w14:paraId="13D4B946" w14:textId="77777777" w:rsidR="002E7F7D" w:rsidRDefault="004535C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Kezelőorvosa általában azt is mondja majd Önnek, hogy szedjen mellé </w:t>
      </w:r>
      <w:proofErr w:type="spellStart"/>
      <w:r>
        <w:rPr>
          <w:sz w:val="22"/>
          <w:szCs w:val="22"/>
        </w:rPr>
        <w:t>acetilszalicilsavat</w:t>
      </w:r>
      <w:proofErr w:type="spellEnd"/>
      <w:r>
        <w:rPr>
          <w:sz w:val="22"/>
          <w:szCs w:val="22"/>
        </w:rPr>
        <w:t>. Ez egy olyan hatóanyag, ami sok véralvadásgátló gyógyszerben jelen van. Kezelőorvosa előírja, hogy mennyit szedjen belőle (rendszerint napi 75-150 mg-ot).</w:t>
      </w:r>
    </w:p>
    <w:p w14:paraId="62D4708B" w14:textId="77777777" w:rsidR="002E7F7D" w:rsidRDefault="002E7F7D">
      <w:pPr>
        <w:pStyle w:val="Default"/>
        <w:rPr>
          <w:sz w:val="22"/>
          <w:szCs w:val="22"/>
        </w:rPr>
      </w:pPr>
    </w:p>
    <w:p w14:paraId="0AEE7498" w14:textId="77777777" w:rsidR="002E7F7D" w:rsidRDefault="004535C4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Hogyan kell szedni a </w:t>
      </w:r>
      <w:proofErr w:type="spellStart"/>
      <w:r>
        <w:rPr>
          <w:b/>
          <w:bCs/>
          <w:sz w:val="22"/>
          <w:szCs w:val="22"/>
        </w:rPr>
        <w:t>Ticabril</w:t>
      </w:r>
      <w:proofErr w:type="spellEnd"/>
      <w:r>
        <w:rPr>
          <w:b/>
          <w:bCs/>
          <w:sz w:val="22"/>
          <w:szCs w:val="22"/>
        </w:rPr>
        <w:t xml:space="preserve">-t? </w:t>
      </w:r>
    </w:p>
    <w:p w14:paraId="78FB9480" w14:textId="77777777" w:rsidR="002E7F7D" w:rsidRDefault="004535C4">
      <w:pPr>
        <w:pStyle w:val="Default"/>
        <w:numPr>
          <w:ilvl w:val="0"/>
          <w:numId w:val="11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A tablettát beveheti étkezés közben vagy attól függetlenül is.</w:t>
      </w:r>
    </w:p>
    <w:p w14:paraId="667CF5EC" w14:textId="77777777" w:rsidR="002E7F7D" w:rsidRDefault="004535C4">
      <w:pPr>
        <w:pStyle w:val="Default"/>
        <w:numPr>
          <w:ilvl w:val="0"/>
          <w:numId w:val="11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A buborékcsomagoláson le tudja ellenőrizni, hogy mikor vett be utoljára </w:t>
      </w:r>
      <w:proofErr w:type="spellStart"/>
      <w:r>
        <w:rPr>
          <w:sz w:val="22"/>
          <w:szCs w:val="22"/>
        </w:rPr>
        <w:t>Ticabril</w:t>
      </w:r>
      <w:proofErr w:type="spellEnd"/>
      <w:r>
        <w:rPr>
          <w:sz w:val="22"/>
          <w:szCs w:val="22"/>
        </w:rPr>
        <w:t xml:space="preserve"> tablettát. Van rajta egy napot (a reggeli adaghoz) és egy holdat (az esti adaghoz) ábrázoló kép. Ez megmutatja Önnek, hogy bevette-e az adagját.</w:t>
      </w:r>
    </w:p>
    <w:p w14:paraId="62F34FA6" w14:textId="77777777" w:rsidR="002E7F7D" w:rsidRDefault="002E7F7D">
      <w:pPr>
        <w:pStyle w:val="Default"/>
        <w:rPr>
          <w:sz w:val="22"/>
          <w:szCs w:val="22"/>
        </w:rPr>
      </w:pPr>
    </w:p>
    <w:p w14:paraId="2B43893E" w14:textId="77777777" w:rsidR="002E7F7D" w:rsidRDefault="004535C4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Ha nem tudja lenyelni a tablettát</w:t>
      </w:r>
    </w:p>
    <w:p w14:paraId="58F4E59D" w14:textId="77777777" w:rsidR="002E7F7D" w:rsidRDefault="004535C4">
      <w:pPr>
        <w:pStyle w:val="Default"/>
        <w:rPr>
          <w:bCs/>
          <w:sz w:val="22"/>
          <w:szCs w:val="22"/>
        </w:rPr>
      </w:pPr>
      <w:r>
        <w:rPr>
          <w:bCs/>
          <w:sz w:val="22"/>
          <w:szCs w:val="22"/>
        </w:rPr>
        <w:t>Ha nem tudja lenyelni a tablettát, az alábbiak szerint összetörheti, és vízzel elkeverheti azt:</w:t>
      </w:r>
    </w:p>
    <w:p w14:paraId="4619ACEC" w14:textId="77777777" w:rsidR="002E7F7D" w:rsidRDefault="004535C4">
      <w:pPr>
        <w:pStyle w:val="Default"/>
        <w:numPr>
          <w:ilvl w:val="0"/>
          <w:numId w:val="11"/>
        </w:numPr>
        <w:ind w:left="567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Törje a tablettát finom porrá.</w:t>
      </w:r>
    </w:p>
    <w:p w14:paraId="620BC15C" w14:textId="77777777" w:rsidR="002E7F7D" w:rsidRDefault="004535C4">
      <w:pPr>
        <w:pStyle w:val="Default"/>
        <w:numPr>
          <w:ilvl w:val="0"/>
          <w:numId w:val="11"/>
        </w:numPr>
        <w:ind w:left="567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Öntse a port fél pohár vízbe.</w:t>
      </w:r>
    </w:p>
    <w:p w14:paraId="7805C846" w14:textId="77777777" w:rsidR="002E7F7D" w:rsidRDefault="004535C4">
      <w:pPr>
        <w:pStyle w:val="Default"/>
        <w:numPr>
          <w:ilvl w:val="0"/>
          <w:numId w:val="11"/>
        </w:numPr>
        <w:ind w:left="567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Keverje el, és igya meg azonnal.</w:t>
      </w:r>
    </w:p>
    <w:p w14:paraId="10E12E2D" w14:textId="77777777" w:rsidR="002E7F7D" w:rsidRDefault="004535C4">
      <w:pPr>
        <w:pStyle w:val="Default"/>
        <w:numPr>
          <w:ilvl w:val="0"/>
          <w:numId w:val="11"/>
        </w:numPr>
        <w:ind w:left="567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Öblítse ki az üres poharat további félpohárnyi vízzel, hogy a poharában ne maradjon gyógyszer, majd igya meg azt is.</w:t>
      </w:r>
    </w:p>
    <w:p w14:paraId="29B53ADB" w14:textId="77777777" w:rsidR="002E7F7D" w:rsidRDefault="004535C4">
      <w:pPr>
        <w:pStyle w:val="Default"/>
        <w:rPr>
          <w:bCs/>
          <w:sz w:val="22"/>
          <w:szCs w:val="22"/>
        </w:rPr>
      </w:pPr>
      <w:r>
        <w:rPr>
          <w:bCs/>
          <w:sz w:val="22"/>
          <w:szCs w:val="22"/>
        </w:rPr>
        <w:t>Ha kórházban van, lehet, hogy egy, az orrán keresztül a gyomrába vezetett csövön át (</w:t>
      </w:r>
      <w:proofErr w:type="spellStart"/>
      <w:r>
        <w:rPr>
          <w:bCs/>
          <w:sz w:val="22"/>
          <w:szCs w:val="22"/>
        </w:rPr>
        <w:t>nazogasztrikus</w:t>
      </w:r>
      <w:proofErr w:type="spellEnd"/>
      <w:r>
        <w:rPr>
          <w:bCs/>
          <w:sz w:val="22"/>
          <w:szCs w:val="22"/>
        </w:rPr>
        <w:t xml:space="preserve"> szonda), kevés vízzel összekeverve adják be Önnek ezt a tablettát.</w:t>
      </w:r>
    </w:p>
    <w:p w14:paraId="289FBA7A" w14:textId="77777777" w:rsidR="002E7F7D" w:rsidRDefault="002E7F7D">
      <w:pPr>
        <w:pStyle w:val="Default"/>
        <w:rPr>
          <w:bCs/>
          <w:sz w:val="22"/>
          <w:szCs w:val="22"/>
        </w:rPr>
      </w:pPr>
    </w:p>
    <w:p w14:paraId="12C1A8C6" w14:textId="77777777" w:rsidR="002E7F7D" w:rsidRDefault="004535C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Ha az előírtnál több </w:t>
      </w:r>
      <w:proofErr w:type="spellStart"/>
      <w:r>
        <w:rPr>
          <w:b/>
          <w:bCs/>
          <w:sz w:val="22"/>
          <w:szCs w:val="22"/>
        </w:rPr>
        <w:t>Ticabril</w:t>
      </w:r>
      <w:proofErr w:type="spellEnd"/>
      <w:r>
        <w:rPr>
          <w:b/>
          <w:bCs/>
          <w:sz w:val="22"/>
          <w:szCs w:val="22"/>
        </w:rPr>
        <w:t xml:space="preserve">-t vett be </w:t>
      </w:r>
    </w:p>
    <w:p w14:paraId="2A746E3A" w14:textId="77777777" w:rsidR="002E7F7D" w:rsidRDefault="004535C4">
      <w:pPr>
        <w:spacing w:line="240" w:lineRule="auto"/>
        <w:ind w:right="-2"/>
        <w:rPr>
          <w:b/>
          <w:noProof/>
          <w:szCs w:val="22"/>
          <w:lang w:val="hu-HU"/>
        </w:rPr>
      </w:pPr>
      <w:r>
        <w:rPr>
          <w:szCs w:val="22"/>
          <w:lang w:val="hu-HU"/>
        </w:rPr>
        <w:t xml:space="preserve">Ha az előírtnál több </w:t>
      </w:r>
      <w:proofErr w:type="spellStart"/>
      <w:r>
        <w:rPr>
          <w:szCs w:val="22"/>
          <w:lang w:val="hu-HU"/>
        </w:rPr>
        <w:t>Ticabril</w:t>
      </w:r>
      <w:proofErr w:type="spellEnd"/>
      <w:r>
        <w:rPr>
          <w:szCs w:val="22"/>
          <w:lang w:val="hu-HU"/>
        </w:rPr>
        <w:t>-t vett be, forduljon kezelőorvosához vagy azonnal keressen fel egy kórházat! Vigye magával a gyógyszer csomagolását. Önnél fokozott lehet egy vérzés kialakulásának kockázata.</w:t>
      </w:r>
    </w:p>
    <w:p w14:paraId="4FB566AF" w14:textId="77777777" w:rsidR="002E7F7D" w:rsidRDefault="002E7F7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i/>
          <w:szCs w:val="22"/>
          <w:lang w:val="hu-HU"/>
        </w:rPr>
      </w:pPr>
    </w:p>
    <w:p w14:paraId="7D312994" w14:textId="77777777" w:rsidR="002E7F7D" w:rsidRDefault="004535C4">
      <w:pPr>
        <w:spacing w:line="240" w:lineRule="auto"/>
        <w:ind w:right="-2"/>
        <w:rPr>
          <w:b/>
          <w:szCs w:val="22"/>
          <w:lang w:val="da-DK"/>
        </w:rPr>
      </w:pPr>
      <w:r>
        <w:rPr>
          <w:b/>
          <w:szCs w:val="22"/>
          <w:lang w:val="da-DK"/>
        </w:rPr>
        <w:t>Ha elfelejtette bevenni a Ticabril-t</w:t>
      </w:r>
    </w:p>
    <w:p w14:paraId="62150315" w14:textId="77777777" w:rsidR="002E7F7D" w:rsidRDefault="004535C4">
      <w:pPr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567" w:hanging="567"/>
        <w:rPr>
          <w:snapToGrid/>
          <w:color w:val="000000"/>
          <w:szCs w:val="22"/>
          <w:lang w:val="hu-HU" w:eastAsia="hu-HU"/>
        </w:rPr>
      </w:pPr>
      <w:r>
        <w:rPr>
          <w:snapToGrid/>
          <w:color w:val="000000"/>
          <w:szCs w:val="22"/>
          <w:lang w:val="hu-HU" w:eastAsia="hu-HU"/>
        </w:rPr>
        <w:t>Ha elfelejtett bevenni egy adagot, vegye be a következő adagot a szokott időben.</w:t>
      </w:r>
    </w:p>
    <w:p w14:paraId="5B242142" w14:textId="77777777" w:rsidR="002E7F7D" w:rsidRDefault="004535C4">
      <w:pPr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567" w:right="-2" w:hanging="567"/>
        <w:rPr>
          <w:szCs w:val="22"/>
          <w:lang w:val="da-DK"/>
        </w:rPr>
      </w:pPr>
      <w:r>
        <w:rPr>
          <w:snapToGrid/>
          <w:color w:val="000000"/>
          <w:szCs w:val="22"/>
          <w:lang w:val="hu-HU" w:eastAsia="hu-HU"/>
        </w:rPr>
        <w:t xml:space="preserve">Ne vegyen be kétszeres adagot (egyszerre 2 adag) a kihagyott adag pótlására. </w:t>
      </w:r>
    </w:p>
    <w:p w14:paraId="141CB8A5" w14:textId="77777777" w:rsidR="002E7F7D" w:rsidRDefault="002E7F7D">
      <w:pPr>
        <w:autoSpaceDE w:val="0"/>
        <w:autoSpaceDN w:val="0"/>
        <w:adjustRightInd w:val="0"/>
        <w:spacing w:line="240" w:lineRule="auto"/>
        <w:ind w:right="-2"/>
        <w:rPr>
          <w:szCs w:val="22"/>
          <w:lang w:val="da-DK"/>
        </w:rPr>
      </w:pPr>
    </w:p>
    <w:p w14:paraId="2CE45959" w14:textId="77777777" w:rsidR="002E7F7D" w:rsidRDefault="004535C4">
      <w:pPr>
        <w:spacing w:line="240" w:lineRule="auto"/>
        <w:ind w:right="-2"/>
        <w:rPr>
          <w:b/>
          <w:szCs w:val="22"/>
          <w:lang w:val="da-DK"/>
        </w:rPr>
      </w:pPr>
      <w:r>
        <w:rPr>
          <w:b/>
          <w:szCs w:val="22"/>
          <w:lang w:val="da-DK"/>
        </w:rPr>
        <w:t>Ha idő előtt abbahagyja a Ticabril szedését</w:t>
      </w:r>
    </w:p>
    <w:p w14:paraId="4F448924" w14:textId="77777777" w:rsidR="002E7F7D" w:rsidRDefault="004535C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Ne hagyja abba a </w:t>
      </w:r>
      <w:proofErr w:type="spellStart"/>
      <w:r>
        <w:rPr>
          <w:sz w:val="22"/>
          <w:szCs w:val="22"/>
        </w:rPr>
        <w:t>Ticabril</w:t>
      </w:r>
      <w:proofErr w:type="spellEnd"/>
      <w:r>
        <w:rPr>
          <w:sz w:val="22"/>
          <w:szCs w:val="22"/>
        </w:rPr>
        <w:t xml:space="preserve"> szedését anélkül, hogy ezt kezelőorvosával megbeszélné. Szedje a gyógyszert rendszeresen, és addig, amíg kezelőorvosa felírja Önnek. Ha abbahagyja a </w:t>
      </w:r>
      <w:proofErr w:type="spellStart"/>
      <w:r>
        <w:rPr>
          <w:sz w:val="22"/>
          <w:szCs w:val="22"/>
        </w:rPr>
        <w:t>Ticabril</w:t>
      </w:r>
      <w:proofErr w:type="spellEnd"/>
      <w:r>
        <w:rPr>
          <w:sz w:val="22"/>
          <w:szCs w:val="22"/>
        </w:rPr>
        <w:t xml:space="preserve"> szedését, az növelheti annak esélyét, hogy újabb szívrohama vagy </w:t>
      </w:r>
      <w:proofErr w:type="spellStart"/>
      <w:r>
        <w:rPr>
          <w:sz w:val="22"/>
          <w:szCs w:val="22"/>
        </w:rPr>
        <w:t>sztrókja</w:t>
      </w:r>
      <w:proofErr w:type="spellEnd"/>
      <w:r>
        <w:rPr>
          <w:sz w:val="22"/>
          <w:szCs w:val="22"/>
        </w:rPr>
        <w:t xml:space="preserve"> legyen, vagy szív-és érrendszeri betegségben meghaljon.</w:t>
      </w:r>
    </w:p>
    <w:p w14:paraId="134E13CE" w14:textId="77777777" w:rsidR="002E7F7D" w:rsidRDefault="002E7F7D">
      <w:pPr>
        <w:pStyle w:val="Default"/>
        <w:rPr>
          <w:sz w:val="22"/>
          <w:szCs w:val="22"/>
        </w:rPr>
      </w:pPr>
    </w:p>
    <w:p w14:paraId="355A84A0" w14:textId="77777777" w:rsidR="002E7F7D" w:rsidRDefault="004535C4">
      <w:pPr>
        <w:spacing w:line="240" w:lineRule="auto"/>
        <w:ind w:right="-2"/>
        <w:rPr>
          <w:b/>
          <w:szCs w:val="22"/>
          <w:lang w:val="hu-HU"/>
        </w:rPr>
      </w:pPr>
      <w:r>
        <w:rPr>
          <w:szCs w:val="22"/>
          <w:lang w:val="hu-HU"/>
        </w:rPr>
        <w:t>Ha bármilyen további kérdése van a gyógyszer alkalmazásával kapcsolatban, kérdezze meg kezelőorvosát vagy gyógyszerészét.</w:t>
      </w:r>
    </w:p>
    <w:p w14:paraId="6C9ED034" w14:textId="77777777" w:rsidR="002E7F7D" w:rsidRDefault="002E7F7D">
      <w:pPr>
        <w:spacing w:line="240" w:lineRule="auto"/>
        <w:ind w:right="-2"/>
        <w:rPr>
          <w:b/>
          <w:szCs w:val="22"/>
          <w:lang w:val="da-DK"/>
        </w:rPr>
      </w:pPr>
    </w:p>
    <w:p w14:paraId="23A6522E" w14:textId="77777777" w:rsidR="002E7F7D" w:rsidRDefault="002E7F7D">
      <w:pPr>
        <w:spacing w:line="240" w:lineRule="auto"/>
        <w:ind w:right="-2"/>
        <w:rPr>
          <w:szCs w:val="22"/>
          <w:lang w:val="da-DK"/>
        </w:rPr>
      </w:pPr>
    </w:p>
    <w:p w14:paraId="3EAB68C8" w14:textId="77777777" w:rsidR="002E7F7D" w:rsidRDefault="004535C4">
      <w:pPr>
        <w:spacing w:line="240" w:lineRule="auto"/>
        <w:ind w:left="567" w:right="-2" w:hanging="567"/>
        <w:rPr>
          <w:b/>
          <w:szCs w:val="22"/>
          <w:lang w:val="da-DK"/>
        </w:rPr>
      </w:pPr>
      <w:r>
        <w:rPr>
          <w:b/>
          <w:szCs w:val="22"/>
          <w:lang w:val="da-DK"/>
        </w:rPr>
        <w:t>4.</w:t>
      </w:r>
      <w:r>
        <w:rPr>
          <w:b/>
          <w:szCs w:val="22"/>
          <w:lang w:val="da-DK"/>
        </w:rPr>
        <w:tab/>
      </w:r>
      <w:r>
        <w:rPr>
          <w:b/>
          <w:noProof/>
          <w:szCs w:val="22"/>
          <w:lang w:val="da-DK"/>
        </w:rPr>
        <w:t>Lehetséges mellékhatások</w:t>
      </w:r>
    </w:p>
    <w:p w14:paraId="50DF91BA" w14:textId="77777777" w:rsidR="002E7F7D" w:rsidRDefault="002E7F7D">
      <w:pPr>
        <w:spacing w:line="240" w:lineRule="auto"/>
        <w:ind w:right="-29"/>
        <w:rPr>
          <w:szCs w:val="22"/>
          <w:lang w:val="da-DK"/>
        </w:rPr>
      </w:pPr>
    </w:p>
    <w:p w14:paraId="2BE67AF1" w14:textId="77777777" w:rsidR="002E7F7D" w:rsidRDefault="004535C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Mint minden gyógyszer, így ez a gyógyszer is okozhat mellékhatásokat, amelyek azonban nem mindenkinél jelentkeznek. </w:t>
      </w:r>
    </w:p>
    <w:p w14:paraId="44073862" w14:textId="77777777" w:rsidR="002E7F7D" w:rsidRDefault="002E7F7D">
      <w:pPr>
        <w:pStyle w:val="Default"/>
        <w:rPr>
          <w:sz w:val="22"/>
          <w:szCs w:val="22"/>
        </w:rPr>
      </w:pPr>
    </w:p>
    <w:p w14:paraId="640AD05B" w14:textId="77777777" w:rsidR="002E7F7D" w:rsidRDefault="004535C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Ticabril</w:t>
      </w:r>
      <w:proofErr w:type="spellEnd"/>
      <w:r>
        <w:rPr>
          <w:sz w:val="22"/>
          <w:szCs w:val="22"/>
        </w:rPr>
        <w:t xml:space="preserve"> befolyásolhatja a véralvadást, így a legtöbb mellékhatás a vérzéssel függ össze. A szervezet bármely részén előfordulhat vérzés. Bizonyos vérzések gyakoriak (mint például a véraláfutás és az orrvérzés). A súlyos vérzés nem gyakori, de életveszélyes lehet. </w:t>
      </w:r>
    </w:p>
    <w:p w14:paraId="0DE81B36" w14:textId="77777777" w:rsidR="002E7F7D" w:rsidRDefault="002E7F7D">
      <w:pPr>
        <w:pStyle w:val="Default"/>
        <w:rPr>
          <w:sz w:val="22"/>
          <w:szCs w:val="22"/>
        </w:rPr>
      </w:pPr>
    </w:p>
    <w:p w14:paraId="1C68AC87" w14:textId="77777777" w:rsidR="002E7F7D" w:rsidRDefault="004535C4">
      <w:pPr>
        <w:pStyle w:val="Default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Azonnal forduljon orvoshoz</w:t>
      </w:r>
      <w:r>
        <w:rPr>
          <w:sz w:val="22"/>
          <w:szCs w:val="22"/>
        </w:rPr>
        <w:t xml:space="preserve">, </w:t>
      </w:r>
      <w:r>
        <w:rPr>
          <w:b/>
          <w:sz w:val="22"/>
          <w:szCs w:val="22"/>
        </w:rPr>
        <w:t xml:space="preserve">ha az alábbiak bármelyikét észleli – lehet, hogy sürgős orvosi segítségre van szüksége: </w:t>
      </w:r>
    </w:p>
    <w:p w14:paraId="76AF7C93" w14:textId="77777777" w:rsidR="002E7F7D" w:rsidRDefault="004535C4">
      <w:pPr>
        <w:widowControl w:val="0"/>
        <w:numPr>
          <w:ilvl w:val="1"/>
          <w:numId w:val="17"/>
        </w:num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left="567" w:hanging="567"/>
        <w:rPr>
          <w:rFonts w:eastAsia="Times New Roman"/>
          <w:b/>
          <w:bCs/>
          <w:snapToGrid/>
          <w:szCs w:val="22"/>
          <w:lang w:val="sl-SI" w:eastAsia="sl-SI"/>
        </w:rPr>
      </w:pPr>
      <w:r>
        <w:rPr>
          <w:rFonts w:eastAsia="Times New Roman"/>
          <w:b/>
          <w:bCs/>
          <w:snapToGrid/>
          <w:szCs w:val="22"/>
          <w:lang w:val="sl-SI" w:eastAsia="sl-SI"/>
        </w:rPr>
        <w:t>Az agyvérzés vagy a koponyaűri vérzés nem gyakori mellékhatás,</w:t>
      </w:r>
      <w:r>
        <w:rPr>
          <w:rFonts w:eastAsia="Times New Roman"/>
          <w:b/>
          <w:bCs/>
          <w:snapToGrid/>
          <w:spacing w:val="-3"/>
          <w:szCs w:val="22"/>
          <w:lang w:val="sl-SI" w:eastAsia="sl-SI"/>
        </w:rPr>
        <w:t xml:space="preserve"> és a sztrók olyan tüneteit okozhatja, mint például:</w:t>
      </w:r>
    </w:p>
    <w:p w14:paraId="454B02D2" w14:textId="77777777" w:rsidR="002E7F7D" w:rsidRDefault="004535C4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>
        <w:rPr>
          <w:rFonts w:eastAsia="Times New Roman"/>
          <w:snapToGrid/>
          <w:szCs w:val="22"/>
          <w:lang w:val="sl-SI" w:eastAsia="sl-SI"/>
        </w:rPr>
        <w:t>hirtelen kialakuló zsibbadás vagy gyengeség a karon, lábon vagy az arcon, különösen akkor, ha az csak a test egyik oldalán van.</w:t>
      </w:r>
    </w:p>
    <w:p w14:paraId="69B81006" w14:textId="77777777" w:rsidR="002E7F7D" w:rsidRDefault="004535C4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>
        <w:rPr>
          <w:rFonts w:eastAsia="Times New Roman"/>
          <w:snapToGrid/>
          <w:szCs w:val="22"/>
          <w:lang w:val="sl-SI" w:eastAsia="sl-SI"/>
        </w:rPr>
        <w:t>hirtelen kialakuló zavartság, beszédzavar vagy ha hirtelen problémát okoz megérteni másokat.</w:t>
      </w:r>
    </w:p>
    <w:p w14:paraId="554B98EF" w14:textId="77777777" w:rsidR="002E7F7D" w:rsidRDefault="004535C4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>
        <w:rPr>
          <w:rFonts w:eastAsia="Times New Roman"/>
          <w:snapToGrid/>
          <w:szCs w:val="22"/>
          <w:lang w:val="sl-SI" w:eastAsia="sl-SI"/>
        </w:rPr>
        <w:t>hirtelen kialakuló járászavar vagy egyensúlyvesztés vagy koordinációs zavar.</w:t>
      </w:r>
    </w:p>
    <w:p w14:paraId="5036F219" w14:textId="77777777" w:rsidR="002E7F7D" w:rsidRDefault="004535C4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>
        <w:rPr>
          <w:rFonts w:eastAsia="Times New Roman"/>
          <w:snapToGrid/>
          <w:szCs w:val="22"/>
          <w:lang w:val="sl-SI" w:eastAsia="sl-SI"/>
        </w:rPr>
        <w:t>hirtelen kialakuló szédülés vagy ismert ok nélküli, hirtelen kialakuló erős fejfájás.</w:t>
      </w:r>
    </w:p>
    <w:p w14:paraId="66F28AC9" w14:textId="77777777" w:rsidR="002E7F7D" w:rsidRDefault="002E7F7D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sl-SI" w:eastAsia="sl-SI"/>
        </w:rPr>
      </w:pPr>
    </w:p>
    <w:p w14:paraId="01C33BD5" w14:textId="77777777" w:rsidR="002E7F7D" w:rsidRDefault="004535C4">
      <w:pPr>
        <w:widowControl w:val="0"/>
        <w:numPr>
          <w:ilvl w:val="1"/>
          <w:numId w:val="19"/>
        </w:num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left="567" w:hanging="567"/>
        <w:outlineLvl w:val="0"/>
        <w:rPr>
          <w:rFonts w:eastAsia="Times New Roman"/>
          <w:b/>
          <w:bCs/>
          <w:snapToGrid/>
          <w:szCs w:val="22"/>
          <w:lang w:val="sl-SI" w:eastAsia="sl-SI"/>
        </w:rPr>
      </w:pPr>
      <w:r>
        <w:rPr>
          <w:rFonts w:eastAsia="Times New Roman"/>
          <w:b/>
          <w:bCs/>
          <w:snapToGrid/>
          <w:szCs w:val="22"/>
          <w:lang w:val="sl-SI" w:eastAsia="sl-SI"/>
        </w:rPr>
        <w:t>A vérzés tünetei például:</w:t>
      </w:r>
    </w:p>
    <w:p w14:paraId="39DB02B1" w14:textId="77777777" w:rsidR="002E7F7D" w:rsidRDefault="004535C4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>
        <w:rPr>
          <w:rFonts w:eastAsia="Times New Roman"/>
          <w:snapToGrid/>
          <w:szCs w:val="22"/>
          <w:lang w:val="sl-SI" w:eastAsia="sl-SI"/>
        </w:rPr>
        <w:t>súlyos vérzés vagy olyan vérzés, amit nem tud elállítani</w:t>
      </w:r>
    </w:p>
    <w:p w14:paraId="22030F81" w14:textId="77777777" w:rsidR="002E7F7D" w:rsidRDefault="004535C4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>
        <w:rPr>
          <w:rFonts w:eastAsia="Times New Roman"/>
          <w:snapToGrid/>
          <w:szCs w:val="22"/>
          <w:lang w:val="sl-SI" w:eastAsia="sl-SI"/>
        </w:rPr>
        <w:t>váratlan vérzés vagy hosszú ideig tartó vérzés</w:t>
      </w:r>
    </w:p>
    <w:p w14:paraId="6A76921D" w14:textId="77777777" w:rsidR="002E7F7D" w:rsidRDefault="004535C4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>
        <w:rPr>
          <w:rFonts w:eastAsia="Times New Roman"/>
          <w:snapToGrid/>
          <w:szCs w:val="22"/>
          <w:lang w:val="sl-SI" w:eastAsia="sl-SI"/>
        </w:rPr>
        <w:t>rózsaszínű, vörös vagy barna vizelet</w:t>
      </w:r>
    </w:p>
    <w:p w14:paraId="61D062F6" w14:textId="77777777" w:rsidR="002E7F7D" w:rsidRDefault="004535C4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>
        <w:rPr>
          <w:rFonts w:eastAsia="Times New Roman"/>
          <w:snapToGrid/>
          <w:szCs w:val="22"/>
          <w:lang w:val="sl-SI" w:eastAsia="sl-SI"/>
        </w:rPr>
        <w:t>piros vér hányása vagy a hányadéka úgy néz ki mint a „kávézacc”,</w:t>
      </w:r>
    </w:p>
    <w:p w14:paraId="12715DF2" w14:textId="77777777" w:rsidR="002E7F7D" w:rsidRDefault="004535C4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>
        <w:rPr>
          <w:rFonts w:eastAsia="Times New Roman"/>
          <w:snapToGrid/>
          <w:szCs w:val="22"/>
          <w:lang w:val="sl-SI" w:eastAsia="sl-SI"/>
        </w:rPr>
        <w:t>vörös vagy fekete széklet (olyan, mint a kátrány)</w:t>
      </w:r>
    </w:p>
    <w:p w14:paraId="222DD9F1" w14:textId="77777777" w:rsidR="002E7F7D" w:rsidRDefault="004535C4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>
        <w:rPr>
          <w:rFonts w:eastAsia="Times New Roman"/>
          <w:snapToGrid/>
          <w:szCs w:val="22"/>
          <w:lang w:val="sl-SI" w:eastAsia="sl-SI"/>
        </w:rPr>
        <w:t>vér felköhögése vagy vérhányás.</w:t>
      </w:r>
    </w:p>
    <w:p w14:paraId="540EC1E6" w14:textId="77777777" w:rsidR="002E7F7D" w:rsidRDefault="002E7F7D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left="284"/>
        <w:rPr>
          <w:rFonts w:eastAsia="Times New Roman"/>
          <w:snapToGrid/>
          <w:szCs w:val="22"/>
          <w:lang w:val="sl-SI" w:eastAsia="sl-SI"/>
        </w:rPr>
      </w:pPr>
    </w:p>
    <w:p w14:paraId="55317C1B" w14:textId="77777777" w:rsidR="002E7F7D" w:rsidRDefault="004535C4">
      <w:pPr>
        <w:widowControl w:val="0"/>
        <w:numPr>
          <w:ilvl w:val="1"/>
          <w:numId w:val="21"/>
        </w:num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left="567" w:hanging="567"/>
        <w:outlineLvl w:val="0"/>
        <w:rPr>
          <w:rFonts w:eastAsia="Times New Roman"/>
          <w:b/>
          <w:bCs/>
          <w:snapToGrid/>
          <w:szCs w:val="22"/>
          <w:lang w:val="sl-SI" w:eastAsia="sl-SI"/>
        </w:rPr>
      </w:pPr>
      <w:r>
        <w:rPr>
          <w:rFonts w:eastAsia="Times New Roman"/>
          <w:b/>
          <w:bCs/>
          <w:snapToGrid/>
          <w:szCs w:val="22"/>
          <w:lang w:val="sl-SI" w:eastAsia="sl-SI"/>
        </w:rPr>
        <w:t>Ájulás</w:t>
      </w:r>
      <w:r>
        <w:rPr>
          <w:rFonts w:eastAsia="Times New Roman"/>
          <w:b/>
          <w:bCs/>
          <w:snapToGrid/>
          <w:spacing w:val="-2"/>
          <w:szCs w:val="22"/>
          <w:lang w:val="sl-SI" w:eastAsia="sl-SI"/>
        </w:rPr>
        <w:t xml:space="preserve"> </w:t>
      </w:r>
      <w:r>
        <w:rPr>
          <w:rFonts w:eastAsia="Times New Roman"/>
          <w:b/>
          <w:bCs/>
          <w:snapToGrid/>
          <w:szCs w:val="22"/>
          <w:lang w:val="sl-SI" w:eastAsia="sl-SI"/>
        </w:rPr>
        <w:t>(szinkópe)</w:t>
      </w:r>
    </w:p>
    <w:p w14:paraId="6672F2B2" w14:textId="77777777" w:rsidR="002E7F7D" w:rsidRDefault="004535C4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>
        <w:rPr>
          <w:rFonts w:eastAsia="Times New Roman"/>
          <w:snapToGrid/>
          <w:szCs w:val="22"/>
          <w:lang w:val="sl-SI" w:eastAsia="sl-SI"/>
        </w:rPr>
        <w:t>az agyi véráramlás hirtelen lecsökkenése miatt bekövetkező, átmeneti eszméletvesztés (gyakori)</w:t>
      </w:r>
    </w:p>
    <w:p w14:paraId="62D57D2A" w14:textId="77777777" w:rsidR="002E7F7D" w:rsidRDefault="002E7F7D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850"/>
        <w:rPr>
          <w:rFonts w:eastAsia="Times New Roman"/>
          <w:snapToGrid/>
          <w:szCs w:val="22"/>
          <w:lang w:val="sl-SI" w:eastAsia="sl-SI"/>
        </w:rPr>
      </w:pPr>
    </w:p>
    <w:p w14:paraId="332FA0AE" w14:textId="77777777" w:rsidR="002E7F7D" w:rsidRDefault="004535C4">
      <w:pPr>
        <w:widowControl w:val="0"/>
        <w:numPr>
          <w:ilvl w:val="1"/>
          <w:numId w:val="23"/>
        </w:num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left="567" w:hanging="567"/>
        <w:outlineLvl w:val="0"/>
        <w:rPr>
          <w:rFonts w:eastAsia="Times New Roman"/>
          <w:b/>
          <w:bCs/>
          <w:snapToGrid/>
          <w:szCs w:val="22"/>
          <w:lang w:val="sl-SI" w:eastAsia="sl-SI"/>
        </w:rPr>
      </w:pPr>
      <w:r>
        <w:rPr>
          <w:rFonts w:eastAsia="Times New Roman"/>
          <w:b/>
          <w:bCs/>
          <w:snapToGrid/>
          <w:szCs w:val="22"/>
          <w:lang w:val="sl-SI" w:eastAsia="sl-SI"/>
        </w:rPr>
        <w:t>Trombotikus Trombocitopéniás Purpurának (TTP) nevezett véralvadási zavar jelei, mint a:</w:t>
      </w:r>
    </w:p>
    <w:p w14:paraId="453406AE" w14:textId="77777777" w:rsidR="002E7F7D" w:rsidRDefault="004535C4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>
        <w:rPr>
          <w:rFonts w:eastAsia="Times New Roman"/>
          <w:snapToGrid/>
          <w:szCs w:val="22"/>
          <w:lang w:val="sl-SI" w:eastAsia="sl-SI"/>
        </w:rPr>
        <w:t>láz és lilás foltok a bőrön és a szájban (melyeket purpurának neveznek), ezekhez társulhat a bőr vagy a szem sárga elszíneződése (sárgaság), és tisztázatlan eredetű nagyfokú fáradtság vagy zavartság.</w:t>
      </w:r>
    </w:p>
    <w:p w14:paraId="77F12862" w14:textId="77777777" w:rsidR="002E7F7D" w:rsidRDefault="002E7F7D">
      <w:pPr>
        <w:pStyle w:val="Default"/>
        <w:rPr>
          <w:sz w:val="22"/>
          <w:szCs w:val="22"/>
        </w:rPr>
      </w:pPr>
    </w:p>
    <w:p w14:paraId="79A73C5F" w14:textId="77777777" w:rsidR="002E7F7D" w:rsidRDefault="004535C4">
      <w:pPr>
        <w:spacing w:line="240" w:lineRule="auto"/>
        <w:ind w:right="-29"/>
        <w:rPr>
          <w:b/>
          <w:szCs w:val="22"/>
          <w:lang w:val="hu-HU"/>
        </w:rPr>
      </w:pPr>
      <w:r>
        <w:rPr>
          <w:b/>
          <w:bCs/>
          <w:szCs w:val="22"/>
          <w:lang w:val="hu-HU"/>
        </w:rPr>
        <w:t>Beszéljen kezelőorvosával</w:t>
      </w:r>
      <w:r>
        <w:rPr>
          <w:b/>
          <w:szCs w:val="22"/>
          <w:lang w:val="hu-HU"/>
        </w:rPr>
        <w:t>, ha a következők valamelyikét észleli:</w:t>
      </w:r>
    </w:p>
    <w:p w14:paraId="1FC4039F" w14:textId="77777777" w:rsidR="002E7F7D" w:rsidRDefault="004535C4">
      <w:pPr>
        <w:pStyle w:val="Default"/>
        <w:numPr>
          <w:ilvl w:val="0"/>
          <w:numId w:val="7"/>
        </w:numPr>
        <w:ind w:left="567" w:right="-29" w:hanging="568"/>
        <w:rPr>
          <w:sz w:val="22"/>
          <w:szCs w:val="22"/>
        </w:rPr>
      </w:pPr>
      <w:r>
        <w:rPr>
          <w:b/>
          <w:sz w:val="22"/>
          <w:szCs w:val="22"/>
        </w:rPr>
        <w:t>fulladásérzés – ez nagyon gyakori</w:t>
      </w:r>
      <w:r>
        <w:rPr>
          <w:sz w:val="22"/>
          <w:szCs w:val="22"/>
        </w:rPr>
        <w:t xml:space="preserve">. Ez lehet a szívbetegsége vagy más ok miatt, vagy lehet a </w:t>
      </w:r>
      <w:proofErr w:type="spellStart"/>
      <w:r>
        <w:rPr>
          <w:sz w:val="22"/>
          <w:szCs w:val="22"/>
        </w:rPr>
        <w:t>Ticabril</w:t>
      </w:r>
      <w:proofErr w:type="spellEnd"/>
      <w:r>
        <w:rPr>
          <w:sz w:val="22"/>
          <w:szCs w:val="22"/>
        </w:rPr>
        <w:t xml:space="preserve"> mellékhatása is. A </w:t>
      </w:r>
      <w:proofErr w:type="spellStart"/>
      <w:r>
        <w:rPr>
          <w:sz w:val="22"/>
          <w:szCs w:val="22"/>
        </w:rPr>
        <w:t>Ticabrillal</w:t>
      </w:r>
      <w:proofErr w:type="spellEnd"/>
      <w:r>
        <w:rPr>
          <w:sz w:val="22"/>
          <w:szCs w:val="22"/>
        </w:rPr>
        <w:t xml:space="preserve"> összefüggő légszomj rendszerint </w:t>
      </w:r>
      <w:proofErr w:type="gramStart"/>
      <w:r>
        <w:rPr>
          <w:sz w:val="22"/>
          <w:szCs w:val="22"/>
        </w:rPr>
        <w:t>enyhe,</w:t>
      </w:r>
      <w:proofErr w:type="gramEnd"/>
      <w:r>
        <w:rPr>
          <w:sz w:val="22"/>
          <w:szCs w:val="22"/>
        </w:rPr>
        <w:t xml:space="preserve"> és hirtelen, váratlanul alakul ki, ekkor úgy érzi több levegőre van szüksége, ami általában nyugalmi állapotban jelentkezik, és a kezelés első heteiben fordulhat elő, és többnyire elmúlik. Ha nehézlégzése rosszabbodik, vagy sokáig tart, mondja el kezelőorvosának. Kezelőorvosa dönt majd arról, hogy igényel-e kezelést vagy további vizsgálatokat.</w:t>
      </w:r>
    </w:p>
    <w:p w14:paraId="3DCBAF06" w14:textId="77777777" w:rsidR="002E7F7D" w:rsidRDefault="002E7F7D">
      <w:pPr>
        <w:spacing w:line="240" w:lineRule="auto"/>
        <w:ind w:right="-29"/>
        <w:rPr>
          <w:szCs w:val="22"/>
        </w:rPr>
      </w:pPr>
    </w:p>
    <w:p w14:paraId="4A063EDD" w14:textId="77777777" w:rsidR="002E7F7D" w:rsidRDefault="004535C4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Egyéb lehetséges mellékhatások </w:t>
      </w:r>
    </w:p>
    <w:p w14:paraId="6CA67B46" w14:textId="77777777" w:rsidR="002E7F7D" w:rsidRDefault="002E7F7D">
      <w:pPr>
        <w:pStyle w:val="Default"/>
        <w:rPr>
          <w:sz w:val="22"/>
          <w:szCs w:val="22"/>
        </w:rPr>
      </w:pPr>
    </w:p>
    <w:p w14:paraId="49D42836" w14:textId="77777777" w:rsidR="002E7F7D" w:rsidRDefault="004535C4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Nagyon gyakori (10-ből több mint 1 beteget érinthet):</w:t>
      </w:r>
    </w:p>
    <w:p w14:paraId="6B177C27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b/>
          <w:bCs/>
          <w:sz w:val="22"/>
          <w:szCs w:val="22"/>
        </w:rPr>
      </w:pPr>
      <w:r>
        <w:rPr>
          <w:spacing w:val="-1"/>
          <w:sz w:val="22"/>
          <w:szCs w:val="22"/>
        </w:rPr>
        <w:t>magas húgysavszint a vérében (vizsgálatok mutatják ki)</w:t>
      </w:r>
    </w:p>
    <w:p w14:paraId="7F02CA84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b/>
          <w:bCs/>
          <w:sz w:val="22"/>
          <w:szCs w:val="22"/>
        </w:rPr>
      </w:pPr>
      <w:r>
        <w:rPr>
          <w:spacing w:val="-1"/>
          <w:sz w:val="22"/>
          <w:szCs w:val="22"/>
        </w:rPr>
        <w:t>vérképzőszervi betegségek okozta vérzés</w:t>
      </w:r>
    </w:p>
    <w:p w14:paraId="29202EF4" w14:textId="77777777" w:rsidR="002E7F7D" w:rsidRDefault="002E7F7D">
      <w:pPr>
        <w:pStyle w:val="Default"/>
        <w:ind w:left="-1"/>
        <w:rPr>
          <w:b/>
          <w:bCs/>
          <w:sz w:val="22"/>
          <w:szCs w:val="22"/>
        </w:rPr>
      </w:pPr>
    </w:p>
    <w:p w14:paraId="52B60A00" w14:textId="77777777" w:rsidR="002E7F7D" w:rsidRDefault="004535C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Gyakori </w:t>
      </w:r>
      <w:r>
        <w:rPr>
          <w:b/>
          <w:sz w:val="22"/>
          <w:szCs w:val="22"/>
        </w:rPr>
        <w:t>(10-ből legfeljebb 1 beteget érinthet):</w:t>
      </w:r>
      <w:r>
        <w:rPr>
          <w:sz w:val="22"/>
          <w:szCs w:val="22"/>
        </w:rPr>
        <w:t xml:space="preserve"> </w:t>
      </w:r>
    </w:p>
    <w:p w14:paraId="2CAA8728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>véraláfutás</w:t>
      </w:r>
    </w:p>
    <w:p w14:paraId="250FC540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>fejfájás</w:t>
      </w:r>
    </w:p>
    <w:p w14:paraId="690EF92C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>szédülés vagy úgy érzi, mintha forogna a szoba</w:t>
      </w:r>
    </w:p>
    <w:p w14:paraId="7E79ED6A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>hasmenés vagy emésztési zavar</w:t>
      </w:r>
    </w:p>
    <w:p w14:paraId="2695F2F2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>hányinger</w:t>
      </w:r>
    </w:p>
    <w:p w14:paraId="6195F611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>székrekedés</w:t>
      </w:r>
    </w:p>
    <w:p w14:paraId="510DE74E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>bőrkiütés</w:t>
      </w:r>
    </w:p>
    <w:p w14:paraId="1D6F8237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>viszketés</w:t>
      </w:r>
    </w:p>
    <w:p w14:paraId="59E33A84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>erős ízületi fájdalom és duzzanat – ezek a köszvény tünetei</w:t>
      </w:r>
    </w:p>
    <w:p w14:paraId="7D48BF2E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>szédülés vagy szédelgés, vagy homályos látás – ezek az alacsony vérnyomás tünetei</w:t>
      </w:r>
    </w:p>
    <w:p w14:paraId="6ADB30C2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>orrvérzés</w:t>
      </w:r>
    </w:p>
    <w:p w14:paraId="75EA75CA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 xml:space="preserve">műtét utáni vagy vágásokból (például borotválkozás közbeni) és sebekből eredő, a szokásosnál erősebb vérzés </w:t>
      </w:r>
    </w:p>
    <w:p w14:paraId="3EB5B534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lastRenderedPageBreak/>
        <w:t>a gyomornyálkahártyából eredő vérzés (fekély)</w:t>
      </w:r>
    </w:p>
    <w:p w14:paraId="5BF5583E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 xml:space="preserve">fogínyvérzés </w:t>
      </w:r>
    </w:p>
    <w:p w14:paraId="6E471FE2" w14:textId="77777777" w:rsidR="002E7F7D" w:rsidRDefault="002E7F7D">
      <w:pPr>
        <w:pStyle w:val="Default"/>
        <w:ind w:left="-1"/>
        <w:rPr>
          <w:sz w:val="22"/>
          <w:szCs w:val="22"/>
        </w:rPr>
      </w:pPr>
    </w:p>
    <w:p w14:paraId="399F0761" w14:textId="77777777" w:rsidR="002E7F7D" w:rsidRDefault="004535C4">
      <w:pPr>
        <w:pStyle w:val="Default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Nem gyakori </w:t>
      </w:r>
      <w:r>
        <w:rPr>
          <w:b/>
          <w:sz w:val="22"/>
          <w:szCs w:val="22"/>
        </w:rPr>
        <w:t xml:space="preserve">(100-ból legfeljebb 1 beteget érinthet): </w:t>
      </w:r>
    </w:p>
    <w:p w14:paraId="24EAEBD5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 xml:space="preserve">allergiás reakciók – a bőrkiütés, viszketés vagy </w:t>
      </w:r>
      <w:proofErr w:type="gramStart"/>
      <w:r>
        <w:rPr>
          <w:sz w:val="22"/>
          <w:szCs w:val="22"/>
        </w:rPr>
        <w:t>az arc feldagadása</w:t>
      </w:r>
      <w:proofErr w:type="gramEnd"/>
      <w:r>
        <w:rPr>
          <w:sz w:val="22"/>
          <w:szCs w:val="22"/>
        </w:rPr>
        <w:t xml:space="preserve"> vagy az ajkak/nyelv feldagadása egy allergiás reakció jelei lehetnek</w:t>
      </w:r>
    </w:p>
    <w:p w14:paraId="63660AD1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>zavartság</w:t>
      </w:r>
    </w:p>
    <w:p w14:paraId="5CB9D5DB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>a szemében lévő vér okozta látásproblémák</w:t>
      </w:r>
    </w:p>
    <w:p w14:paraId="604E1BE8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 xml:space="preserve">a normális havivérzésnél (menstruációnál) erősebb vagy attól eltérő időben jelentkező hüvelyi vérzés </w:t>
      </w:r>
    </w:p>
    <w:p w14:paraId="2F917BF5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>fájdalmas duzzanatot okozó ízületen belüli vagy izomvérzés</w:t>
      </w:r>
    </w:p>
    <w:p w14:paraId="7B4D3653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 xml:space="preserve">vér a fülben </w:t>
      </w:r>
    </w:p>
    <w:p w14:paraId="5C2A0390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 xml:space="preserve">belső vérzés, ami szédülést vagy szédelgést okozhat. </w:t>
      </w:r>
    </w:p>
    <w:p w14:paraId="52D79D6D" w14:textId="77777777" w:rsidR="002E7F7D" w:rsidRDefault="002E7F7D">
      <w:pPr>
        <w:pStyle w:val="Default"/>
        <w:rPr>
          <w:sz w:val="22"/>
          <w:szCs w:val="22"/>
        </w:rPr>
      </w:pPr>
    </w:p>
    <w:p w14:paraId="34BF50F0" w14:textId="77777777" w:rsidR="002E7F7D" w:rsidRDefault="004535C4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>Nem ismert (a gyakoriság a rendelkezésre álló adatokból nem állapítható meg):</w:t>
      </w:r>
    </w:p>
    <w:p w14:paraId="2A90E812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>kórosan alacsony pulzusszám (általában kevesebb, mint 60 ütés percenként).</w:t>
      </w:r>
    </w:p>
    <w:p w14:paraId="1423CF10" w14:textId="77777777" w:rsidR="002E7F7D" w:rsidRDefault="002E7F7D">
      <w:pPr>
        <w:pStyle w:val="Default"/>
        <w:rPr>
          <w:sz w:val="22"/>
          <w:szCs w:val="22"/>
        </w:rPr>
      </w:pPr>
    </w:p>
    <w:p w14:paraId="3CCB4818" w14:textId="77777777" w:rsidR="002E7F7D" w:rsidRDefault="004535C4">
      <w:pPr>
        <w:spacing w:line="240" w:lineRule="auto"/>
        <w:ind w:right="-29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Mellékhatások bejelentése</w:t>
      </w:r>
    </w:p>
    <w:p w14:paraId="5D998BCC" w14:textId="77777777" w:rsidR="002E7F7D" w:rsidRDefault="004535C4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Ha </w:t>
      </w:r>
      <w:r>
        <w:rPr>
          <w:noProof/>
          <w:szCs w:val="22"/>
          <w:lang w:val="hu-HU"/>
        </w:rPr>
        <w:t>Önnél bármilyen</w:t>
      </w:r>
      <w:r>
        <w:rPr>
          <w:szCs w:val="22"/>
          <w:lang w:val="hu-HU"/>
        </w:rPr>
        <w:t xml:space="preserve"> mellékhatás </w:t>
      </w:r>
      <w:r>
        <w:rPr>
          <w:noProof/>
          <w:szCs w:val="22"/>
          <w:lang w:val="hu-HU"/>
        </w:rPr>
        <w:t>jelentkezik, tájékoztassa kezelőorvosát vagy gyógyszerészét</w:t>
      </w:r>
      <w:r>
        <w:rPr>
          <w:szCs w:val="22"/>
          <w:lang w:val="hu-HU"/>
        </w:rPr>
        <w:t xml:space="preserve">. </w:t>
      </w:r>
      <w:r>
        <w:rPr>
          <w:noProof/>
          <w:szCs w:val="22"/>
          <w:lang w:val="hu-HU"/>
        </w:rPr>
        <w:t>Ez</w:t>
      </w:r>
      <w:r>
        <w:rPr>
          <w:szCs w:val="22"/>
          <w:lang w:val="hu-HU"/>
        </w:rPr>
        <w:t xml:space="preserve"> a betegtájékoztatóban </w:t>
      </w:r>
      <w:r>
        <w:rPr>
          <w:noProof/>
          <w:szCs w:val="22"/>
          <w:lang w:val="hu-HU"/>
        </w:rPr>
        <w:t xml:space="preserve">fel nem sorolt bármilyen lehetséges mellékhatásra is vonatkozik. </w:t>
      </w:r>
      <w:r>
        <w:rPr>
          <w:szCs w:val="22"/>
          <w:lang w:val="hu-HU"/>
        </w:rPr>
        <w:t xml:space="preserve">A mellékhatásokat közvetlenül a hatóság részére is bejelentheti az </w:t>
      </w:r>
      <w:hyperlink r:id="rId7" w:history="1">
        <w:r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>
        <w:rPr>
          <w:szCs w:val="22"/>
          <w:highlight w:val="lightGray"/>
          <w:lang w:val="hu-HU"/>
        </w:rPr>
        <w:t xml:space="preserve"> található elérhetőségeken keresztül</w:t>
      </w:r>
      <w:r>
        <w:rPr>
          <w:color w:val="008000"/>
          <w:szCs w:val="22"/>
          <w:lang w:val="hu-HU"/>
        </w:rPr>
        <w:t>.</w:t>
      </w:r>
    </w:p>
    <w:p w14:paraId="6694EB19" w14:textId="77777777" w:rsidR="002E7F7D" w:rsidRDefault="004535C4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7A0BFDB0" w14:textId="77777777" w:rsidR="002E7F7D" w:rsidRDefault="002E7F7D">
      <w:pPr>
        <w:spacing w:line="240" w:lineRule="auto"/>
        <w:ind w:right="-2"/>
        <w:rPr>
          <w:szCs w:val="22"/>
          <w:lang w:val="hu-HU"/>
        </w:rPr>
      </w:pPr>
    </w:p>
    <w:p w14:paraId="39104073" w14:textId="77777777" w:rsidR="002E7F7D" w:rsidRDefault="002E7F7D">
      <w:pPr>
        <w:spacing w:line="240" w:lineRule="auto"/>
        <w:ind w:right="-2"/>
        <w:rPr>
          <w:szCs w:val="22"/>
        </w:rPr>
      </w:pPr>
    </w:p>
    <w:p w14:paraId="3F854AD4" w14:textId="77777777" w:rsidR="002E7F7D" w:rsidRDefault="004535C4">
      <w:pPr>
        <w:spacing w:line="240" w:lineRule="auto"/>
        <w:ind w:left="567" w:right="-2" w:hanging="567"/>
        <w:rPr>
          <w:b/>
          <w:szCs w:val="22"/>
        </w:rPr>
      </w:pPr>
      <w:r>
        <w:rPr>
          <w:b/>
          <w:szCs w:val="22"/>
        </w:rPr>
        <w:t>5.</w:t>
      </w:r>
      <w:r>
        <w:rPr>
          <w:b/>
          <w:szCs w:val="22"/>
        </w:rPr>
        <w:tab/>
      </w:r>
      <w:r>
        <w:rPr>
          <w:b/>
          <w:noProof/>
          <w:szCs w:val="22"/>
        </w:rPr>
        <w:t>Hogyan kell a Ticabril-t tárolni</w:t>
      </w:r>
      <w:r>
        <w:rPr>
          <w:b/>
          <w:szCs w:val="22"/>
        </w:rPr>
        <w:t>?</w:t>
      </w:r>
    </w:p>
    <w:p w14:paraId="779472B1" w14:textId="77777777" w:rsidR="002E7F7D" w:rsidRDefault="002E7F7D">
      <w:pPr>
        <w:spacing w:line="240" w:lineRule="auto"/>
        <w:ind w:left="567" w:right="-2" w:hanging="567"/>
        <w:rPr>
          <w:b/>
          <w:szCs w:val="22"/>
        </w:rPr>
      </w:pPr>
    </w:p>
    <w:p w14:paraId="1500DBAD" w14:textId="77777777" w:rsidR="002E7F7D" w:rsidRDefault="004535C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gyógyszer gyermekektől elzárva tartandó! </w:t>
      </w:r>
    </w:p>
    <w:p w14:paraId="5CF83A90" w14:textId="77777777" w:rsidR="002E7F7D" w:rsidRDefault="002E7F7D">
      <w:pPr>
        <w:pStyle w:val="Default"/>
        <w:rPr>
          <w:sz w:val="22"/>
          <w:szCs w:val="22"/>
        </w:rPr>
      </w:pPr>
    </w:p>
    <w:p w14:paraId="39EB816D" w14:textId="77777777" w:rsidR="002E7F7D" w:rsidRDefault="004535C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dobozon és a buborékcsomagoláson feltüntetett lejárati idő (EXP) után ne alkalmazza a gyógyszert. A lejárati idő az adott hónap utolsó napjára vonatkozik. </w:t>
      </w:r>
    </w:p>
    <w:p w14:paraId="1AD107A5" w14:textId="77777777" w:rsidR="002E7F7D" w:rsidRDefault="002E7F7D">
      <w:pPr>
        <w:pStyle w:val="Default"/>
        <w:rPr>
          <w:sz w:val="22"/>
          <w:szCs w:val="22"/>
        </w:rPr>
      </w:pPr>
    </w:p>
    <w:p w14:paraId="601EFEA2" w14:textId="77777777" w:rsidR="002E7F7D" w:rsidRDefault="004535C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Ez a gyógyszer nem igényel különleges tárolást. </w:t>
      </w:r>
    </w:p>
    <w:p w14:paraId="201B87D0" w14:textId="77777777" w:rsidR="002E7F7D" w:rsidRDefault="002E7F7D">
      <w:pPr>
        <w:pStyle w:val="Default"/>
        <w:rPr>
          <w:sz w:val="22"/>
          <w:szCs w:val="22"/>
        </w:rPr>
      </w:pPr>
    </w:p>
    <w:p w14:paraId="5B35ECCF" w14:textId="77777777" w:rsidR="002E7F7D" w:rsidRDefault="004535C4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ECAAE85" w14:textId="77777777" w:rsidR="002E7F7D" w:rsidRDefault="002E7F7D">
      <w:pPr>
        <w:spacing w:line="240" w:lineRule="auto"/>
        <w:ind w:right="-2"/>
        <w:rPr>
          <w:szCs w:val="22"/>
          <w:lang w:val="hu-HU"/>
        </w:rPr>
      </w:pPr>
    </w:p>
    <w:p w14:paraId="0095FEAF" w14:textId="77777777" w:rsidR="002E7F7D" w:rsidRDefault="002E7F7D">
      <w:pPr>
        <w:spacing w:line="240" w:lineRule="auto"/>
        <w:ind w:right="-2"/>
        <w:rPr>
          <w:noProof/>
          <w:szCs w:val="22"/>
          <w:lang w:val="hu-HU"/>
        </w:rPr>
      </w:pPr>
    </w:p>
    <w:p w14:paraId="1558354D" w14:textId="77777777" w:rsidR="002E7F7D" w:rsidRDefault="004535C4">
      <w:pPr>
        <w:spacing w:line="240" w:lineRule="auto"/>
        <w:ind w:left="567" w:right="-2" w:hanging="567"/>
        <w:rPr>
          <w:b/>
          <w:szCs w:val="22"/>
          <w:lang w:val="hu-HU"/>
        </w:rPr>
      </w:pPr>
      <w:r>
        <w:rPr>
          <w:b/>
          <w:szCs w:val="22"/>
          <w:lang w:val="hu-HU"/>
        </w:rPr>
        <w:t>6.</w:t>
      </w:r>
      <w:r>
        <w:rPr>
          <w:b/>
          <w:szCs w:val="22"/>
          <w:lang w:val="hu-HU"/>
        </w:rPr>
        <w:tab/>
      </w:r>
      <w:r>
        <w:rPr>
          <w:b/>
          <w:noProof/>
          <w:szCs w:val="22"/>
          <w:lang w:val="hu-HU"/>
        </w:rPr>
        <w:t>A csomagolás tartalma és egyéb információk</w:t>
      </w:r>
    </w:p>
    <w:p w14:paraId="74018783" w14:textId="77777777" w:rsidR="002E7F7D" w:rsidRDefault="002E7F7D">
      <w:pPr>
        <w:spacing w:line="240" w:lineRule="auto"/>
        <w:rPr>
          <w:szCs w:val="22"/>
          <w:lang w:val="hu-HU"/>
        </w:rPr>
      </w:pPr>
    </w:p>
    <w:p w14:paraId="79B8AF4D" w14:textId="77777777" w:rsidR="002E7F7D" w:rsidRDefault="004535C4">
      <w:pPr>
        <w:spacing w:line="240" w:lineRule="auto"/>
        <w:rPr>
          <w:b/>
          <w:szCs w:val="22"/>
          <w:lang w:val="es-ES"/>
        </w:rPr>
      </w:pPr>
      <w:proofErr w:type="spellStart"/>
      <w:r>
        <w:rPr>
          <w:b/>
          <w:szCs w:val="22"/>
          <w:lang w:val="es-ES"/>
        </w:rPr>
        <w:t>Mit</w:t>
      </w:r>
      <w:proofErr w:type="spellEnd"/>
      <w:r>
        <w:rPr>
          <w:b/>
          <w:szCs w:val="22"/>
          <w:lang w:val="es-ES"/>
        </w:rPr>
        <w:t xml:space="preserve"> </w:t>
      </w:r>
      <w:proofErr w:type="spellStart"/>
      <w:r>
        <w:rPr>
          <w:b/>
          <w:szCs w:val="22"/>
          <w:lang w:val="es-ES"/>
        </w:rPr>
        <w:t>tartalmaz</w:t>
      </w:r>
      <w:proofErr w:type="spellEnd"/>
      <w:r>
        <w:rPr>
          <w:b/>
          <w:szCs w:val="22"/>
          <w:lang w:val="es-ES"/>
        </w:rPr>
        <w:t xml:space="preserve"> a </w:t>
      </w:r>
      <w:proofErr w:type="spellStart"/>
      <w:r>
        <w:rPr>
          <w:b/>
          <w:szCs w:val="22"/>
          <w:lang w:val="es-ES"/>
        </w:rPr>
        <w:t>Ticabril</w:t>
      </w:r>
      <w:proofErr w:type="spellEnd"/>
      <w:r>
        <w:rPr>
          <w:b/>
          <w:szCs w:val="22"/>
          <w:lang w:val="es-ES"/>
        </w:rPr>
        <w:t>?</w:t>
      </w:r>
    </w:p>
    <w:p w14:paraId="3D2A0533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 xml:space="preserve">A készítmény hatóanyaga a </w:t>
      </w:r>
      <w:proofErr w:type="spellStart"/>
      <w:r>
        <w:rPr>
          <w:sz w:val="22"/>
          <w:szCs w:val="22"/>
        </w:rPr>
        <w:t>tikagrelor</w:t>
      </w:r>
      <w:proofErr w:type="spellEnd"/>
      <w:r>
        <w:rPr>
          <w:sz w:val="22"/>
          <w:szCs w:val="22"/>
        </w:rPr>
        <w:t xml:space="preserve">. 90 mg </w:t>
      </w:r>
      <w:proofErr w:type="spellStart"/>
      <w:r>
        <w:rPr>
          <w:sz w:val="22"/>
          <w:szCs w:val="22"/>
        </w:rPr>
        <w:t>tikagrelort</w:t>
      </w:r>
      <w:proofErr w:type="spellEnd"/>
      <w:r>
        <w:rPr>
          <w:sz w:val="22"/>
          <w:szCs w:val="22"/>
        </w:rPr>
        <w:t xml:space="preserve"> tartalmaz </w:t>
      </w:r>
      <w:proofErr w:type="spellStart"/>
      <w:r>
        <w:rPr>
          <w:sz w:val="22"/>
          <w:szCs w:val="22"/>
        </w:rPr>
        <w:t>filmtablettánként</w:t>
      </w:r>
      <w:proofErr w:type="spellEnd"/>
      <w:r>
        <w:rPr>
          <w:sz w:val="22"/>
          <w:szCs w:val="22"/>
        </w:rPr>
        <w:t>.</w:t>
      </w:r>
    </w:p>
    <w:p w14:paraId="1016427B" w14:textId="77777777" w:rsidR="002E7F7D" w:rsidRDefault="004535C4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 xml:space="preserve">Egyéb összetevők: </w:t>
      </w:r>
    </w:p>
    <w:p w14:paraId="41013111" w14:textId="77777777" w:rsidR="002E7F7D" w:rsidRDefault="004535C4">
      <w:pPr>
        <w:pStyle w:val="Default"/>
        <w:ind w:left="567"/>
        <w:rPr>
          <w:sz w:val="22"/>
          <w:szCs w:val="22"/>
        </w:rPr>
      </w:pPr>
      <w:r>
        <w:rPr>
          <w:sz w:val="22"/>
          <w:szCs w:val="22"/>
          <w:u w:val="single"/>
        </w:rPr>
        <w:t>Tabletta mag</w:t>
      </w:r>
      <w:r>
        <w:rPr>
          <w:sz w:val="22"/>
          <w:szCs w:val="22"/>
        </w:rPr>
        <w:t>: mikrokristályos cellulóz (E460), kalcium-hidrogén-foszfát-</w:t>
      </w:r>
      <w:proofErr w:type="spellStart"/>
      <w:r>
        <w:rPr>
          <w:sz w:val="22"/>
          <w:szCs w:val="22"/>
        </w:rPr>
        <w:t>dihidrát</w:t>
      </w:r>
      <w:proofErr w:type="spellEnd"/>
      <w:r>
        <w:rPr>
          <w:sz w:val="22"/>
          <w:szCs w:val="22"/>
        </w:rPr>
        <w:t xml:space="preserve"> (E341), </w:t>
      </w:r>
      <w:proofErr w:type="spellStart"/>
      <w:r>
        <w:rPr>
          <w:sz w:val="22"/>
          <w:szCs w:val="22"/>
        </w:rPr>
        <w:t>hipromellóz</w:t>
      </w:r>
      <w:proofErr w:type="spellEnd"/>
      <w:r>
        <w:rPr>
          <w:sz w:val="22"/>
          <w:szCs w:val="22"/>
        </w:rPr>
        <w:t xml:space="preserve"> 2910 (E464), </w:t>
      </w:r>
      <w:proofErr w:type="spellStart"/>
      <w:r>
        <w:rPr>
          <w:sz w:val="22"/>
          <w:szCs w:val="22"/>
        </w:rPr>
        <w:t>kroszkarmellóz</w:t>
      </w:r>
      <w:proofErr w:type="spellEnd"/>
      <w:r>
        <w:rPr>
          <w:sz w:val="22"/>
          <w:szCs w:val="22"/>
        </w:rPr>
        <w:t xml:space="preserve">-nátrium (E468), magnézium </w:t>
      </w:r>
      <w:proofErr w:type="spellStart"/>
      <w:r>
        <w:rPr>
          <w:sz w:val="22"/>
          <w:szCs w:val="22"/>
        </w:rPr>
        <w:t>sztearát</w:t>
      </w:r>
      <w:proofErr w:type="spellEnd"/>
      <w:r>
        <w:rPr>
          <w:sz w:val="22"/>
          <w:szCs w:val="22"/>
        </w:rPr>
        <w:t xml:space="preserve"> (E470b). </w:t>
      </w:r>
      <w:r>
        <w:rPr>
          <w:sz w:val="22"/>
          <w:szCs w:val="22"/>
          <w:u w:val="single"/>
        </w:rPr>
        <w:t>Filmbevonat: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hipromellóz</w:t>
      </w:r>
      <w:proofErr w:type="spellEnd"/>
      <w:r>
        <w:rPr>
          <w:sz w:val="22"/>
          <w:szCs w:val="22"/>
        </w:rPr>
        <w:t xml:space="preserve"> (E464), titán-dioxid (E171), talkum (E553b), propilén-</w:t>
      </w:r>
      <w:proofErr w:type="spellStart"/>
      <w:r>
        <w:rPr>
          <w:sz w:val="22"/>
          <w:szCs w:val="22"/>
        </w:rPr>
        <w:t>glikol</w:t>
      </w:r>
      <w:proofErr w:type="spellEnd"/>
      <w:r>
        <w:rPr>
          <w:sz w:val="22"/>
          <w:szCs w:val="22"/>
        </w:rPr>
        <w:t xml:space="preserve"> (E1520), sárga vas-oxid (E172) </w:t>
      </w:r>
    </w:p>
    <w:p w14:paraId="65C41E7C" w14:textId="77777777" w:rsidR="002E7F7D" w:rsidRDefault="004535C4">
      <w:pPr>
        <w:pStyle w:val="Default"/>
        <w:ind w:left="567"/>
        <w:rPr>
          <w:sz w:val="22"/>
          <w:szCs w:val="22"/>
        </w:rPr>
      </w:pPr>
      <w:r>
        <w:rPr>
          <w:sz w:val="22"/>
          <w:szCs w:val="22"/>
        </w:rPr>
        <w:t xml:space="preserve">Lásd 2. pont, „A </w:t>
      </w:r>
      <w:proofErr w:type="spellStart"/>
      <w:r>
        <w:rPr>
          <w:sz w:val="22"/>
          <w:szCs w:val="22"/>
        </w:rPr>
        <w:t>Ticabril</w:t>
      </w:r>
      <w:proofErr w:type="spellEnd"/>
      <w:r>
        <w:rPr>
          <w:sz w:val="22"/>
          <w:szCs w:val="22"/>
        </w:rPr>
        <w:t xml:space="preserve"> nátriumot tartalmaz”.</w:t>
      </w:r>
    </w:p>
    <w:p w14:paraId="2FD25590" w14:textId="77777777" w:rsidR="002E7F7D" w:rsidRDefault="002E7F7D">
      <w:pPr>
        <w:pStyle w:val="Default"/>
        <w:rPr>
          <w:sz w:val="22"/>
          <w:szCs w:val="22"/>
        </w:rPr>
      </w:pPr>
    </w:p>
    <w:p w14:paraId="332938F9" w14:textId="77777777" w:rsidR="002E7F7D" w:rsidRDefault="004535C4">
      <w:pPr>
        <w:spacing w:line="240" w:lineRule="auto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Milyen a </w:t>
      </w:r>
      <w:proofErr w:type="spellStart"/>
      <w:r>
        <w:rPr>
          <w:b/>
          <w:szCs w:val="22"/>
          <w:lang w:val="hu-HU"/>
        </w:rPr>
        <w:t>Ticabril</w:t>
      </w:r>
      <w:proofErr w:type="spellEnd"/>
      <w:r>
        <w:rPr>
          <w:b/>
          <w:szCs w:val="22"/>
          <w:lang w:val="hu-HU"/>
        </w:rPr>
        <w:t xml:space="preserve"> külleme és mit tartalmaz a csomagolás?</w:t>
      </w:r>
    </w:p>
    <w:p w14:paraId="4F7B831F" w14:textId="77777777" w:rsidR="002E7F7D" w:rsidRDefault="004535C4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Enyhén </w:t>
      </w:r>
      <w:proofErr w:type="spellStart"/>
      <w:r>
        <w:rPr>
          <w:szCs w:val="22"/>
          <w:lang w:val="hu-HU"/>
        </w:rPr>
        <w:t>barnás</w:t>
      </w:r>
      <w:proofErr w:type="spellEnd"/>
      <w:r>
        <w:rPr>
          <w:szCs w:val="22"/>
          <w:lang w:val="hu-HU"/>
        </w:rPr>
        <w:t xml:space="preserve">-sárga, kerek, mindkét oldalán domború, egyik oldalán ’90’ jelöléssel ellátott filmtabletta. </w:t>
      </w:r>
    </w:p>
    <w:p w14:paraId="50620DDC" w14:textId="77777777" w:rsidR="002E7F7D" w:rsidRDefault="004535C4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 tabletta mérete: az átmérő kb. 9 mm.</w:t>
      </w:r>
    </w:p>
    <w:p w14:paraId="5CBA8357" w14:textId="77777777" w:rsidR="002E7F7D" w:rsidRDefault="002E7F7D">
      <w:pPr>
        <w:spacing w:line="240" w:lineRule="auto"/>
        <w:rPr>
          <w:szCs w:val="22"/>
          <w:lang w:val="hu-HU"/>
        </w:rPr>
      </w:pPr>
    </w:p>
    <w:p w14:paraId="7A4D9950" w14:textId="77777777" w:rsidR="002E7F7D" w:rsidRDefault="004535C4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Ticabril</w:t>
      </w:r>
      <w:proofErr w:type="spellEnd"/>
      <w:r>
        <w:rPr>
          <w:szCs w:val="22"/>
          <w:lang w:val="hu-HU"/>
        </w:rPr>
        <w:t xml:space="preserve"> csomagolása:</w:t>
      </w:r>
    </w:p>
    <w:p w14:paraId="0DFF83CF" w14:textId="539193EC" w:rsidR="002E7F7D" w:rsidRDefault="004535C4">
      <w:pPr>
        <w:numPr>
          <w:ilvl w:val="0"/>
          <w:numId w:val="25"/>
        </w:numPr>
        <w:spacing w:line="240" w:lineRule="auto"/>
        <w:ind w:hanging="720"/>
        <w:rPr>
          <w:szCs w:val="22"/>
          <w:lang w:val="hu-HU"/>
        </w:rPr>
      </w:pPr>
      <w:r>
        <w:rPr>
          <w:szCs w:val="22"/>
          <w:lang w:val="hu-HU"/>
        </w:rPr>
        <w:lastRenderedPageBreak/>
        <w:t>14, 56, 60, 100</w:t>
      </w:r>
      <w:r w:rsidR="00FB0154">
        <w:rPr>
          <w:szCs w:val="22"/>
          <w:lang w:val="hu-HU"/>
        </w:rPr>
        <w:t>,</w:t>
      </w:r>
      <w:r>
        <w:rPr>
          <w:szCs w:val="22"/>
          <w:lang w:val="hu-HU"/>
        </w:rPr>
        <w:t xml:space="preserve"> 168</w:t>
      </w:r>
      <w:r w:rsidR="00FB0154">
        <w:rPr>
          <w:szCs w:val="22"/>
          <w:lang w:val="hu-HU"/>
        </w:rPr>
        <w:t xml:space="preserve"> vagy 200 db</w:t>
      </w:r>
      <w:r>
        <w:rPr>
          <w:szCs w:val="22"/>
          <w:lang w:val="hu-HU"/>
        </w:rPr>
        <w:t xml:space="preserve"> filmtablettát tartalmazó buborékcsomagolásban és dobozban,</w:t>
      </w:r>
    </w:p>
    <w:p w14:paraId="1E70457D" w14:textId="77777777" w:rsidR="002E7F7D" w:rsidRDefault="004535C4">
      <w:pPr>
        <w:numPr>
          <w:ilvl w:val="0"/>
          <w:numId w:val="25"/>
        </w:numPr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 30 × 1, 60 × 1, 90 × 1 vagy 100 × 1 db filmtabletta adagonként </w:t>
      </w:r>
      <w:proofErr w:type="gramStart"/>
      <w:r>
        <w:rPr>
          <w:szCs w:val="22"/>
          <w:lang w:val="hu-HU"/>
        </w:rPr>
        <w:t>perforált  buborékcsomagolásban</w:t>
      </w:r>
      <w:proofErr w:type="gramEnd"/>
      <w:r>
        <w:rPr>
          <w:szCs w:val="22"/>
          <w:lang w:val="hu-HU"/>
        </w:rPr>
        <w:t xml:space="preserve"> és dobozban.</w:t>
      </w:r>
    </w:p>
    <w:p w14:paraId="5426831B" w14:textId="77777777" w:rsidR="002E7F7D" w:rsidRDefault="002E7F7D">
      <w:pPr>
        <w:spacing w:line="240" w:lineRule="auto"/>
        <w:rPr>
          <w:szCs w:val="22"/>
          <w:lang w:val="hu-HU"/>
        </w:rPr>
      </w:pPr>
    </w:p>
    <w:p w14:paraId="64809393" w14:textId="77777777" w:rsidR="002E7F7D" w:rsidRDefault="004535C4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Nem feltétlenül mindegyik kiszerelés kerül kereskedelmi forgalomba.</w:t>
      </w:r>
    </w:p>
    <w:p w14:paraId="33AA5667" w14:textId="77777777" w:rsidR="002E7F7D" w:rsidRDefault="002E7F7D">
      <w:pPr>
        <w:spacing w:line="240" w:lineRule="auto"/>
        <w:rPr>
          <w:szCs w:val="22"/>
          <w:lang w:val="hu-HU"/>
        </w:rPr>
      </w:pPr>
    </w:p>
    <w:p w14:paraId="28C18BC1" w14:textId="77777777" w:rsidR="002E7F7D" w:rsidRDefault="004535C4">
      <w:pPr>
        <w:spacing w:line="240" w:lineRule="auto"/>
        <w:rPr>
          <w:b/>
          <w:szCs w:val="22"/>
          <w:lang w:val="it-IT"/>
        </w:rPr>
      </w:pPr>
      <w:r>
        <w:rPr>
          <w:b/>
          <w:szCs w:val="22"/>
          <w:lang w:val="it-IT"/>
        </w:rPr>
        <w:t xml:space="preserve">A forgalomba hozatali engedély jogosultja </w:t>
      </w:r>
    </w:p>
    <w:p w14:paraId="241B38E4" w14:textId="77777777" w:rsidR="002E7F7D" w:rsidRDefault="004535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szCs w:val="22"/>
          <w:lang w:val="hu-HU"/>
        </w:rPr>
        <w:t xml:space="preserve">KRKA, </w:t>
      </w:r>
      <w:proofErr w:type="spellStart"/>
      <w:r>
        <w:rPr>
          <w:szCs w:val="22"/>
          <w:lang w:val="hu-HU"/>
        </w:rPr>
        <w:t>d.d</w:t>
      </w:r>
      <w:proofErr w:type="spellEnd"/>
      <w:r>
        <w:rPr>
          <w:szCs w:val="22"/>
          <w:lang w:val="hu-HU"/>
        </w:rPr>
        <w:t xml:space="preserve">., Novo </w:t>
      </w:r>
      <w:proofErr w:type="spellStart"/>
      <w:r>
        <w:rPr>
          <w:szCs w:val="22"/>
          <w:lang w:val="hu-HU"/>
        </w:rPr>
        <w:t>mesto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Šmarješka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cesta</w:t>
      </w:r>
      <w:proofErr w:type="spellEnd"/>
      <w:r>
        <w:rPr>
          <w:szCs w:val="22"/>
          <w:lang w:val="hu-HU"/>
        </w:rPr>
        <w:t xml:space="preserve"> 6, 8501 Novo </w:t>
      </w:r>
      <w:proofErr w:type="spellStart"/>
      <w:r>
        <w:rPr>
          <w:szCs w:val="22"/>
          <w:lang w:val="hu-HU"/>
        </w:rPr>
        <w:t>mesto</w:t>
      </w:r>
      <w:proofErr w:type="spellEnd"/>
      <w:r>
        <w:rPr>
          <w:szCs w:val="22"/>
          <w:lang w:val="hu-HU"/>
        </w:rPr>
        <w:t>, Szlovénia</w:t>
      </w:r>
    </w:p>
    <w:p w14:paraId="43624B22" w14:textId="77777777" w:rsidR="002E7F7D" w:rsidRDefault="002E7F7D">
      <w:pPr>
        <w:spacing w:line="240" w:lineRule="auto"/>
        <w:rPr>
          <w:b/>
          <w:szCs w:val="22"/>
          <w:lang w:val="es-ES_tradnl"/>
        </w:rPr>
      </w:pPr>
    </w:p>
    <w:p w14:paraId="2CE93C0F" w14:textId="77777777" w:rsidR="002E7F7D" w:rsidRDefault="004535C4">
      <w:pPr>
        <w:spacing w:line="240" w:lineRule="auto"/>
        <w:rPr>
          <w:b/>
          <w:szCs w:val="22"/>
          <w:lang w:val="es-ES_tradnl"/>
        </w:rPr>
      </w:pPr>
      <w:proofErr w:type="spellStart"/>
      <w:r>
        <w:rPr>
          <w:b/>
          <w:szCs w:val="22"/>
          <w:lang w:val="es-ES_tradnl"/>
        </w:rPr>
        <w:t>Gyártók</w:t>
      </w:r>
      <w:proofErr w:type="spellEnd"/>
    </w:p>
    <w:p w14:paraId="0AB1C3B9" w14:textId="77777777" w:rsidR="002E7F7D" w:rsidRDefault="004535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szCs w:val="22"/>
          <w:lang w:val="hu-HU"/>
        </w:rPr>
        <w:t xml:space="preserve">KRKA, </w:t>
      </w:r>
      <w:proofErr w:type="spellStart"/>
      <w:r>
        <w:rPr>
          <w:szCs w:val="22"/>
          <w:lang w:val="hu-HU"/>
        </w:rPr>
        <w:t>d.d</w:t>
      </w:r>
      <w:proofErr w:type="spellEnd"/>
      <w:r>
        <w:rPr>
          <w:szCs w:val="22"/>
          <w:lang w:val="hu-HU"/>
        </w:rPr>
        <w:t xml:space="preserve">., Novo </w:t>
      </w:r>
      <w:proofErr w:type="spellStart"/>
      <w:r>
        <w:rPr>
          <w:szCs w:val="22"/>
          <w:lang w:val="hu-HU"/>
        </w:rPr>
        <w:t>mesto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Šmarješka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cesta</w:t>
      </w:r>
      <w:proofErr w:type="spellEnd"/>
      <w:r>
        <w:rPr>
          <w:szCs w:val="22"/>
          <w:lang w:val="hu-HU"/>
        </w:rPr>
        <w:t xml:space="preserve"> 6, 8501 Novo </w:t>
      </w:r>
      <w:proofErr w:type="spellStart"/>
      <w:r>
        <w:rPr>
          <w:szCs w:val="22"/>
          <w:lang w:val="hu-HU"/>
        </w:rPr>
        <w:t>mesto</w:t>
      </w:r>
      <w:proofErr w:type="spellEnd"/>
      <w:r>
        <w:rPr>
          <w:szCs w:val="22"/>
          <w:lang w:val="hu-HU"/>
        </w:rPr>
        <w:t>, Szlovénia</w:t>
      </w:r>
    </w:p>
    <w:p w14:paraId="60AE537E" w14:textId="77777777" w:rsidR="002E7F7D" w:rsidRDefault="004535C4">
      <w:pPr>
        <w:rPr>
          <w:rFonts w:eastAsia="Calibri"/>
          <w:bCs/>
          <w:szCs w:val="22"/>
        </w:rPr>
      </w:pPr>
      <w:r>
        <w:rPr>
          <w:rFonts w:eastAsia="Calibri"/>
          <w:bCs/>
          <w:szCs w:val="22"/>
        </w:rPr>
        <w:t xml:space="preserve">TAD Pharma GmbH, Heinz-Lohmann - </w:t>
      </w:r>
      <w:proofErr w:type="spellStart"/>
      <w:r>
        <w:rPr>
          <w:rFonts w:eastAsia="Calibri"/>
          <w:bCs/>
          <w:szCs w:val="22"/>
        </w:rPr>
        <w:t>Stra</w:t>
      </w:r>
      <w:proofErr w:type="spellEnd"/>
      <w:r>
        <w:rPr>
          <w:rFonts w:eastAsia="Calibri"/>
          <w:bCs/>
          <w:szCs w:val="22"/>
        </w:rPr>
        <w:t xml:space="preserve">βe 5, 27472 Cuxhaven, </w:t>
      </w:r>
      <w:proofErr w:type="spellStart"/>
      <w:r>
        <w:rPr>
          <w:rFonts w:eastAsia="Calibri"/>
          <w:bCs/>
          <w:szCs w:val="22"/>
        </w:rPr>
        <w:t>Németország</w:t>
      </w:r>
      <w:proofErr w:type="spellEnd"/>
    </w:p>
    <w:p w14:paraId="1AC5E6F6" w14:textId="77777777" w:rsidR="002E7F7D" w:rsidRDefault="002E7F7D">
      <w:pPr>
        <w:spacing w:line="240" w:lineRule="auto"/>
        <w:ind w:right="-2"/>
        <w:rPr>
          <w:b/>
          <w:szCs w:val="22"/>
          <w:lang w:val="es-ES_tradnl"/>
        </w:rPr>
      </w:pPr>
    </w:p>
    <w:p w14:paraId="353A2B35" w14:textId="77777777" w:rsidR="002E7F7D" w:rsidRDefault="004535C4">
      <w:pPr>
        <w:spacing w:line="240" w:lineRule="auto"/>
        <w:ind w:right="-2"/>
        <w:rPr>
          <w:szCs w:val="22"/>
          <w:lang w:val="es-ES_tradnl"/>
        </w:rPr>
      </w:pPr>
      <w:proofErr w:type="spellStart"/>
      <w:r>
        <w:rPr>
          <w:b/>
          <w:szCs w:val="22"/>
          <w:lang w:val="es-ES_tradnl"/>
        </w:rPr>
        <w:t>Ezt</w:t>
      </w:r>
      <w:proofErr w:type="spellEnd"/>
      <w:r>
        <w:rPr>
          <w:b/>
          <w:szCs w:val="22"/>
          <w:lang w:val="es-ES_tradnl"/>
        </w:rPr>
        <w:t xml:space="preserve"> a </w:t>
      </w:r>
      <w:proofErr w:type="spellStart"/>
      <w:r>
        <w:rPr>
          <w:b/>
          <w:szCs w:val="22"/>
          <w:lang w:val="es-ES_tradnl"/>
        </w:rPr>
        <w:t>gyógyszert</w:t>
      </w:r>
      <w:proofErr w:type="spellEnd"/>
      <w:r>
        <w:rPr>
          <w:b/>
          <w:szCs w:val="22"/>
          <w:lang w:val="es-ES_tradnl"/>
        </w:rPr>
        <w:t xml:space="preserve"> </w:t>
      </w:r>
      <w:proofErr w:type="spellStart"/>
      <w:r>
        <w:rPr>
          <w:b/>
          <w:szCs w:val="22"/>
          <w:lang w:val="es-ES_tradnl"/>
        </w:rPr>
        <w:t>az</w:t>
      </w:r>
      <w:proofErr w:type="spellEnd"/>
      <w:r>
        <w:rPr>
          <w:b/>
          <w:szCs w:val="22"/>
          <w:lang w:val="es-ES_tradnl"/>
        </w:rPr>
        <w:t xml:space="preserve"> </w:t>
      </w:r>
      <w:proofErr w:type="spellStart"/>
      <w:r>
        <w:rPr>
          <w:b/>
          <w:szCs w:val="22"/>
          <w:lang w:val="es-ES_tradnl"/>
        </w:rPr>
        <w:t>Európai</w:t>
      </w:r>
      <w:proofErr w:type="spellEnd"/>
      <w:r>
        <w:rPr>
          <w:b/>
          <w:szCs w:val="22"/>
          <w:lang w:val="es-ES_tradnl"/>
        </w:rPr>
        <w:t xml:space="preserve"> </w:t>
      </w:r>
      <w:proofErr w:type="spellStart"/>
      <w:r>
        <w:rPr>
          <w:b/>
          <w:szCs w:val="22"/>
          <w:lang w:val="es-ES_tradnl"/>
        </w:rPr>
        <w:t>Gazdasági</w:t>
      </w:r>
      <w:proofErr w:type="spellEnd"/>
      <w:r>
        <w:rPr>
          <w:b/>
          <w:szCs w:val="22"/>
          <w:lang w:val="es-ES_tradnl"/>
        </w:rPr>
        <w:t xml:space="preserve"> </w:t>
      </w:r>
      <w:proofErr w:type="spellStart"/>
      <w:r>
        <w:rPr>
          <w:b/>
          <w:szCs w:val="22"/>
          <w:lang w:val="es-ES_tradnl"/>
        </w:rPr>
        <w:t>Térség</w:t>
      </w:r>
      <w:proofErr w:type="spellEnd"/>
      <w:r>
        <w:rPr>
          <w:b/>
          <w:szCs w:val="22"/>
          <w:lang w:val="es-ES_tradnl"/>
        </w:rPr>
        <w:t xml:space="preserve"> </w:t>
      </w:r>
      <w:proofErr w:type="spellStart"/>
      <w:r>
        <w:rPr>
          <w:b/>
          <w:szCs w:val="22"/>
          <w:lang w:val="es-ES_tradnl"/>
        </w:rPr>
        <w:t>tagállamaiban</w:t>
      </w:r>
      <w:proofErr w:type="spellEnd"/>
      <w:r>
        <w:rPr>
          <w:b/>
          <w:szCs w:val="22"/>
          <w:lang w:val="es-ES_tradnl"/>
        </w:rPr>
        <w:t xml:space="preserve"> </w:t>
      </w:r>
      <w:proofErr w:type="spellStart"/>
      <w:r>
        <w:rPr>
          <w:b/>
          <w:szCs w:val="22"/>
          <w:lang w:val="es-ES_tradnl"/>
        </w:rPr>
        <w:t>az</w:t>
      </w:r>
      <w:proofErr w:type="spellEnd"/>
      <w:r>
        <w:rPr>
          <w:b/>
          <w:szCs w:val="22"/>
          <w:lang w:val="es-ES_tradnl"/>
        </w:rPr>
        <w:t xml:space="preserve"> </w:t>
      </w:r>
      <w:proofErr w:type="spellStart"/>
      <w:r>
        <w:rPr>
          <w:b/>
          <w:szCs w:val="22"/>
          <w:lang w:val="es-ES_tradnl"/>
        </w:rPr>
        <w:t>alábbi</w:t>
      </w:r>
      <w:proofErr w:type="spellEnd"/>
      <w:r>
        <w:rPr>
          <w:b/>
          <w:szCs w:val="22"/>
          <w:lang w:val="es-ES_tradnl"/>
        </w:rPr>
        <w:t xml:space="preserve"> </w:t>
      </w:r>
      <w:proofErr w:type="spellStart"/>
      <w:r>
        <w:rPr>
          <w:b/>
          <w:szCs w:val="22"/>
          <w:lang w:val="es-ES_tradnl"/>
        </w:rPr>
        <w:t>neveken</w:t>
      </w:r>
      <w:proofErr w:type="spellEnd"/>
      <w:r>
        <w:rPr>
          <w:b/>
          <w:szCs w:val="22"/>
          <w:lang w:val="es-ES_tradnl"/>
        </w:rPr>
        <w:t xml:space="preserve"> </w:t>
      </w:r>
      <w:proofErr w:type="spellStart"/>
      <w:r>
        <w:rPr>
          <w:b/>
          <w:szCs w:val="22"/>
          <w:lang w:val="es-ES_tradnl"/>
        </w:rPr>
        <w:t>engedélyezték</w:t>
      </w:r>
      <w:proofErr w:type="spellEnd"/>
      <w:r>
        <w:rPr>
          <w:b/>
          <w:szCs w:val="22"/>
          <w:lang w:val="es-ES_tradn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3"/>
        <w:gridCol w:w="5178"/>
      </w:tblGrid>
      <w:tr w:rsidR="002E7F7D" w14:paraId="74A04746" w14:textId="77777777">
        <w:tc>
          <w:tcPr>
            <w:tcW w:w="3936" w:type="dxa"/>
            <w:shd w:val="clear" w:color="auto" w:fill="auto"/>
          </w:tcPr>
          <w:p w14:paraId="139860CE" w14:textId="77777777" w:rsidR="002E7F7D" w:rsidRDefault="004535C4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rPr>
                <w:szCs w:val="22"/>
                <w:lang w:val="es-ES_tradnl"/>
              </w:rPr>
            </w:pPr>
            <w:proofErr w:type="spellStart"/>
            <w:r>
              <w:rPr>
                <w:szCs w:val="22"/>
                <w:lang w:val="es-ES_tradnl"/>
              </w:rPr>
              <w:t>Ciprus</w:t>
            </w:r>
            <w:proofErr w:type="spellEnd"/>
            <w:r>
              <w:rPr>
                <w:szCs w:val="22"/>
                <w:lang w:val="es-ES_tradnl"/>
              </w:rPr>
              <w:t xml:space="preserve">, </w:t>
            </w:r>
            <w:proofErr w:type="spellStart"/>
            <w:r>
              <w:rPr>
                <w:szCs w:val="22"/>
                <w:lang w:val="es-ES_tradnl"/>
              </w:rPr>
              <w:t>Magyarország</w:t>
            </w:r>
            <w:proofErr w:type="spellEnd"/>
            <w:r>
              <w:rPr>
                <w:szCs w:val="22"/>
                <w:lang w:val="es-ES_tradnl"/>
              </w:rPr>
              <w:t xml:space="preserve">, </w:t>
            </w:r>
            <w:proofErr w:type="spellStart"/>
            <w:r>
              <w:rPr>
                <w:szCs w:val="22"/>
                <w:lang w:val="es-ES_tradnl"/>
              </w:rPr>
              <w:t>Németország</w:t>
            </w:r>
            <w:proofErr w:type="spellEnd"/>
          </w:p>
        </w:tc>
        <w:tc>
          <w:tcPr>
            <w:tcW w:w="5275" w:type="dxa"/>
            <w:shd w:val="clear" w:color="auto" w:fill="auto"/>
          </w:tcPr>
          <w:p w14:paraId="57C67C6D" w14:textId="77777777" w:rsidR="002E7F7D" w:rsidRDefault="004535C4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rPr>
                <w:szCs w:val="22"/>
                <w:lang w:val="es-ES_tradnl"/>
              </w:rPr>
            </w:pPr>
            <w:proofErr w:type="spellStart"/>
            <w:r>
              <w:rPr>
                <w:szCs w:val="22"/>
                <w:lang w:val="es-ES_tradnl"/>
              </w:rPr>
              <w:t>Ticabril</w:t>
            </w:r>
            <w:proofErr w:type="spellEnd"/>
          </w:p>
        </w:tc>
      </w:tr>
    </w:tbl>
    <w:p w14:paraId="43DB34ED" w14:textId="77777777" w:rsidR="002E7F7D" w:rsidRDefault="002E7F7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B8A4289" w14:textId="77777777" w:rsidR="002E7F7D" w:rsidRDefault="004535C4">
      <w:pPr>
        <w:rPr>
          <w:szCs w:val="22"/>
        </w:rPr>
      </w:pPr>
      <w:r>
        <w:rPr>
          <w:szCs w:val="22"/>
        </w:rPr>
        <w:t xml:space="preserve">OGYI-T-23806/05     14×      PVC/PVDC//Al </w:t>
      </w:r>
      <w:proofErr w:type="spellStart"/>
      <w:r>
        <w:rPr>
          <w:szCs w:val="22"/>
        </w:rPr>
        <w:t>buborékcsomagolás</w:t>
      </w:r>
      <w:proofErr w:type="spellEnd"/>
    </w:p>
    <w:p w14:paraId="122764D4" w14:textId="77777777" w:rsidR="002E7F7D" w:rsidRDefault="004535C4">
      <w:pPr>
        <w:rPr>
          <w:szCs w:val="22"/>
        </w:rPr>
      </w:pPr>
      <w:r>
        <w:rPr>
          <w:szCs w:val="22"/>
        </w:rPr>
        <w:t xml:space="preserve">OGYI-T-23806/06     30×1    </w:t>
      </w:r>
      <w:proofErr w:type="spellStart"/>
      <w:r>
        <w:rPr>
          <w:szCs w:val="22"/>
        </w:rPr>
        <w:t>adagonként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perforált</w:t>
      </w:r>
      <w:proofErr w:type="spellEnd"/>
      <w:r>
        <w:rPr>
          <w:szCs w:val="22"/>
        </w:rPr>
        <w:t xml:space="preserve"> PVC/PVDC//Al </w:t>
      </w:r>
      <w:proofErr w:type="spellStart"/>
      <w:r>
        <w:rPr>
          <w:szCs w:val="22"/>
        </w:rPr>
        <w:t>buborékcsomagolás</w:t>
      </w:r>
      <w:proofErr w:type="spellEnd"/>
    </w:p>
    <w:p w14:paraId="0C53D171" w14:textId="77777777" w:rsidR="002E7F7D" w:rsidRDefault="004535C4">
      <w:pPr>
        <w:rPr>
          <w:szCs w:val="22"/>
        </w:rPr>
      </w:pPr>
      <w:r>
        <w:rPr>
          <w:szCs w:val="22"/>
        </w:rPr>
        <w:t xml:space="preserve">OGYI-T-23806/07     56×      PVC/PVDC//Al </w:t>
      </w:r>
      <w:proofErr w:type="spellStart"/>
      <w:r>
        <w:rPr>
          <w:szCs w:val="22"/>
        </w:rPr>
        <w:t>buborékcsomagolás</w:t>
      </w:r>
      <w:proofErr w:type="spellEnd"/>
    </w:p>
    <w:p w14:paraId="069686EA" w14:textId="77777777" w:rsidR="002E7F7D" w:rsidRDefault="004535C4">
      <w:pPr>
        <w:rPr>
          <w:szCs w:val="22"/>
        </w:rPr>
      </w:pPr>
      <w:r>
        <w:rPr>
          <w:szCs w:val="22"/>
        </w:rPr>
        <w:t xml:space="preserve">OGYI-T-23806/08     60×1    </w:t>
      </w:r>
      <w:proofErr w:type="spellStart"/>
      <w:r>
        <w:rPr>
          <w:szCs w:val="22"/>
        </w:rPr>
        <w:t>adagonként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perforált</w:t>
      </w:r>
      <w:proofErr w:type="spellEnd"/>
      <w:r>
        <w:rPr>
          <w:szCs w:val="22"/>
        </w:rPr>
        <w:t xml:space="preserve"> PVC/PVDC//Al </w:t>
      </w:r>
      <w:proofErr w:type="spellStart"/>
      <w:r>
        <w:rPr>
          <w:szCs w:val="22"/>
        </w:rPr>
        <w:t>buborékcsomagolás</w:t>
      </w:r>
      <w:proofErr w:type="spellEnd"/>
    </w:p>
    <w:p w14:paraId="57C26E96" w14:textId="77777777" w:rsidR="002E7F7D" w:rsidRDefault="004535C4">
      <w:pPr>
        <w:rPr>
          <w:szCs w:val="22"/>
        </w:rPr>
      </w:pPr>
      <w:r>
        <w:rPr>
          <w:szCs w:val="22"/>
        </w:rPr>
        <w:t xml:space="preserve">OGYI-T-23806/09     90×1    </w:t>
      </w:r>
      <w:proofErr w:type="spellStart"/>
      <w:r>
        <w:rPr>
          <w:szCs w:val="22"/>
        </w:rPr>
        <w:t>adagonként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perforált</w:t>
      </w:r>
      <w:proofErr w:type="spellEnd"/>
      <w:r>
        <w:rPr>
          <w:szCs w:val="22"/>
        </w:rPr>
        <w:t xml:space="preserve"> PVC/PVDC//Al </w:t>
      </w:r>
      <w:proofErr w:type="spellStart"/>
      <w:r>
        <w:rPr>
          <w:szCs w:val="22"/>
        </w:rPr>
        <w:t>buborékcsomagolás</w:t>
      </w:r>
      <w:proofErr w:type="spellEnd"/>
    </w:p>
    <w:p w14:paraId="59195771" w14:textId="663FCF1C" w:rsidR="002E7F7D" w:rsidRDefault="004535C4">
      <w:pPr>
        <w:rPr>
          <w:szCs w:val="22"/>
        </w:rPr>
      </w:pPr>
      <w:r>
        <w:rPr>
          <w:szCs w:val="22"/>
        </w:rPr>
        <w:t xml:space="preserve">OGYI-T-23806/12     60×      PVC/PVDC//Al </w:t>
      </w:r>
      <w:proofErr w:type="spellStart"/>
      <w:r>
        <w:rPr>
          <w:szCs w:val="22"/>
        </w:rPr>
        <w:t>buborékcsomagolás</w:t>
      </w:r>
      <w:proofErr w:type="spellEnd"/>
    </w:p>
    <w:p w14:paraId="3C3C79EB" w14:textId="38F94ADA" w:rsidR="002E7F7D" w:rsidRDefault="004535C4">
      <w:pPr>
        <w:rPr>
          <w:szCs w:val="22"/>
        </w:rPr>
      </w:pPr>
      <w:r>
        <w:rPr>
          <w:szCs w:val="22"/>
        </w:rPr>
        <w:t xml:space="preserve">OGYI-T-23806/13     100×      PVC/PVDC//Al </w:t>
      </w:r>
      <w:proofErr w:type="spellStart"/>
      <w:r>
        <w:rPr>
          <w:szCs w:val="22"/>
        </w:rPr>
        <w:t>buborékcsomagolás</w:t>
      </w:r>
      <w:proofErr w:type="spellEnd"/>
    </w:p>
    <w:p w14:paraId="7695EFB3" w14:textId="77777777" w:rsidR="00922CA4" w:rsidRDefault="00922CA4" w:rsidP="00922CA4">
      <w:pPr>
        <w:rPr>
          <w:snapToGrid/>
          <w:szCs w:val="22"/>
        </w:rPr>
      </w:pPr>
      <w:r>
        <w:rPr>
          <w:szCs w:val="22"/>
        </w:rPr>
        <w:t xml:space="preserve">OGYI-T-23806/15     200×      PVC/PVDC//Al </w:t>
      </w:r>
      <w:proofErr w:type="spellStart"/>
      <w:r>
        <w:rPr>
          <w:szCs w:val="22"/>
        </w:rPr>
        <w:t>buborékcsomagolás</w:t>
      </w:r>
      <w:proofErr w:type="spellEnd"/>
    </w:p>
    <w:p w14:paraId="771E0D7A" w14:textId="77777777" w:rsidR="002E7F7D" w:rsidRDefault="002E7F7D" w:rsidP="005A746B">
      <w:pPr>
        <w:tabs>
          <w:tab w:val="clear" w:pos="567"/>
          <w:tab w:val="left" w:pos="1555"/>
        </w:tabs>
        <w:spacing w:line="240" w:lineRule="auto"/>
        <w:ind w:right="-2"/>
        <w:rPr>
          <w:szCs w:val="22"/>
          <w:lang w:val="hu-HU"/>
        </w:rPr>
      </w:pPr>
    </w:p>
    <w:p w14:paraId="56F7EABE" w14:textId="77777777" w:rsidR="002E7F7D" w:rsidRDefault="002E7F7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es-ES_tradnl"/>
        </w:rPr>
      </w:pPr>
    </w:p>
    <w:p w14:paraId="7FF56ABD" w14:textId="36BE97F4" w:rsidR="002E7F7D" w:rsidRDefault="004535C4">
      <w:pPr>
        <w:spacing w:line="240" w:lineRule="auto"/>
        <w:ind w:right="-2"/>
        <w:rPr>
          <w:b/>
          <w:szCs w:val="22"/>
          <w:lang w:val="es-ES_tradnl"/>
        </w:rPr>
      </w:pPr>
      <w:r>
        <w:rPr>
          <w:b/>
          <w:szCs w:val="22"/>
          <w:lang w:val="es-ES_tradnl"/>
        </w:rPr>
        <w:t xml:space="preserve">A </w:t>
      </w:r>
      <w:proofErr w:type="spellStart"/>
      <w:r>
        <w:rPr>
          <w:b/>
          <w:szCs w:val="22"/>
          <w:lang w:val="es-ES_tradnl"/>
        </w:rPr>
        <w:t>betegtájékoztató</w:t>
      </w:r>
      <w:proofErr w:type="spellEnd"/>
      <w:r>
        <w:rPr>
          <w:b/>
          <w:szCs w:val="22"/>
          <w:lang w:val="es-ES_tradnl"/>
        </w:rPr>
        <w:t xml:space="preserve"> </w:t>
      </w:r>
      <w:r>
        <w:rPr>
          <w:b/>
          <w:noProof/>
          <w:szCs w:val="22"/>
          <w:lang w:val="es-ES_tradnl"/>
        </w:rPr>
        <w:t>legutóbbi felülvizsgálatának</w:t>
      </w:r>
      <w:r>
        <w:rPr>
          <w:b/>
          <w:szCs w:val="22"/>
          <w:lang w:val="es-ES_tradnl"/>
        </w:rPr>
        <w:t xml:space="preserve"> </w:t>
      </w:r>
      <w:proofErr w:type="spellStart"/>
      <w:r>
        <w:rPr>
          <w:b/>
          <w:szCs w:val="22"/>
          <w:lang w:val="es-ES_tradnl"/>
        </w:rPr>
        <w:t>dátuma</w:t>
      </w:r>
      <w:proofErr w:type="spellEnd"/>
      <w:r>
        <w:rPr>
          <w:b/>
          <w:noProof/>
          <w:szCs w:val="22"/>
          <w:lang w:val="es-ES_tradnl"/>
        </w:rPr>
        <w:t>:</w:t>
      </w:r>
      <w:r>
        <w:rPr>
          <w:b/>
          <w:szCs w:val="22"/>
        </w:rPr>
        <w:t xml:space="preserve"> </w:t>
      </w:r>
      <w:r w:rsidRPr="005A746B">
        <w:rPr>
          <w:bCs/>
          <w:szCs w:val="22"/>
        </w:rPr>
        <w:t xml:space="preserve">2025. </w:t>
      </w:r>
      <w:proofErr w:type="spellStart"/>
      <w:r w:rsidR="00922CA4">
        <w:rPr>
          <w:bCs/>
          <w:szCs w:val="22"/>
        </w:rPr>
        <w:t>május</w:t>
      </w:r>
      <w:proofErr w:type="spellEnd"/>
      <w:r w:rsidR="00922CA4">
        <w:rPr>
          <w:bCs/>
          <w:szCs w:val="22"/>
        </w:rPr>
        <w:t>.</w:t>
      </w:r>
    </w:p>
    <w:p w14:paraId="050CCE33" w14:textId="77777777" w:rsidR="002E7F7D" w:rsidRDefault="002E7F7D">
      <w:pPr>
        <w:spacing w:line="240" w:lineRule="auto"/>
        <w:ind w:right="-449"/>
        <w:rPr>
          <w:szCs w:val="22"/>
          <w:lang w:val="es-ES_tradnl"/>
        </w:rPr>
      </w:pPr>
    </w:p>
    <w:p w14:paraId="117CC6DE" w14:textId="77777777" w:rsidR="002E7F7D" w:rsidRDefault="002E7F7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es-ES_tradnl"/>
        </w:rPr>
      </w:pPr>
    </w:p>
    <w:sectPr w:rsidR="002E7F7D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E438AF" w14:textId="77777777" w:rsidR="002E7F7D" w:rsidRDefault="004535C4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7D5431DE" w14:textId="77777777" w:rsidR="002E7F7D" w:rsidRDefault="004535C4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191657" w14:textId="77777777" w:rsidR="002E7F7D" w:rsidRDefault="004535C4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50B862" w14:textId="77777777" w:rsidR="00DE1D01" w:rsidRPr="005A746B" w:rsidRDefault="00715D22" w:rsidP="005A746B">
    <w:pPr>
      <w:pStyle w:val="Nincstrkz"/>
      <w:rPr>
        <w:snapToGrid/>
        <w:sz w:val="18"/>
        <w:szCs w:val="18"/>
        <w:lang w:val="hu-HU" w:eastAsia="hu-HU"/>
      </w:rPr>
    </w:pPr>
    <w:r w:rsidRPr="005A746B">
      <w:rPr>
        <w:snapToGrid/>
        <w:sz w:val="18"/>
        <w:szCs w:val="18"/>
        <w:lang w:val="hu-HU" w:eastAsia="hu-HU"/>
      </w:rPr>
      <w:t>NNGYK/ETGY/6265/2025</w:t>
    </w:r>
  </w:p>
  <w:p w14:paraId="04E95474" w14:textId="56BA37F1" w:rsidR="002E7F7D" w:rsidRDefault="00DE1D01" w:rsidP="005A746B">
    <w:pPr>
      <w:pStyle w:val="Nincstrkz"/>
    </w:pPr>
    <w:r w:rsidRPr="005A746B">
      <w:rPr>
        <w:snapToGrid/>
        <w:sz w:val="18"/>
        <w:szCs w:val="18"/>
        <w:lang w:val="hu-HU" w:eastAsia="hu-HU"/>
      </w:rPr>
      <w:t>NNGYK/ETGY/9575/2025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E5FDA6" w14:textId="77777777" w:rsidR="002E7F7D" w:rsidRDefault="004535C4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2379BDAB" w14:textId="77777777" w:rsidR="002E7F7D" w:rsidRDefault="004535C4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E70DD2" w14:textId="77777777" w:rsidR="002E7F7D" w:rsidRDefault="004535C4">
    <w:pPr>
      <w:pStyle w:val="lfej"/>
      <w:jc w:val="center"/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   \* MERGEFORMAT</w:instrText>
    </w:r>
    <w:r>
      <w:rPr>
        <w:sz w:val="18"/>
        <w:szCs w:val="18"/>
      </w:rPr>
      <w:fldChar w:fldCharType="separate"/>
    </w:r>
    <w:r>
      <w:rPr>
        <w:noProof/>
        <w:sz w:val="18"/>
        <w:szCs w:val="18"/>
        <w:lang w:val="hu-HU"/>
      </w:rPr>
      <w:t>7</w:t>
    </w:r>
    <w:r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41D"/>
    <w:multiLevelType w:val="multilevel"/>
    <w:tmpl w:val="000008A0"/>
    <w:lvl w:ilvl="0">
      <w:numFmt w:val="bullet"/>
      <w:lvlText w:val=""/>
      <w:lvlJc w:val="left"/>
      <w:pPr>
        <w:ind w:left="682" w:hanging="356"/>
      </w:pPr>
      <w:rPr>
        <w:rFonts w:ascii="Symbol" w:hAnsi="Symbol"/>
        <w:b w:val="0"/>
        <w:sz w:val="22"/>
      </w:rPr>
    </w:lvl>
    <w:lvl w:ilvl="1">
      <w:numFmt w:val="bullet"/>
      <w:lvlText w:val="-"/>
      <w:lvlJc w:val="left"/>
      <w:pPr>
        <w:ind w:left="1248" w:hanging="567"/>
      </w:pPr>
      <w:rPr>
        <w:rFonts w:ascii="Courier New" w:hAnsi="Courier New"/>
        <w:b w:val="0"/>
        <w:sz w:val="22"/>
      </w:rPr>
    </w:lvl>
    <w:lvl w:ilvl="2">
      <w:numFmt w:val="bullet"/>
      <w:lvlText w:val="•"/>
      <w:lvlJc w:val="left"/>
      <w:pPr>
        <w:ind w:left="1248" w:hanging="567"/>
      </w:pPr>
    </w:lvl>
    <w:lvl w:ilvl="3">
      <w:numFmt w:val="bullet"/>
      <w:lvlText w:val="•"/>
      <w:lvlJc w:val="left"/>
      <w:pPr>
        <w:ind w:left="2245" w:hanging="567"/>
      </w:pPr>
    </w:lvl>
    <w:lvl w:ilvl="4">
      <w:numFmt w:val="bullet"/>
      <w:lvlText w:val="•"/>
      <w:lvlJc w:val="left"/>
      <w:pPr>
        <w:ind w:left="3242" w:hanging="567"/>
      </w:pPr>
    </w:lvl>
    <w:lvl w:ilvl="5">
      <w:numFmt w:val="bullet"/>
      <w:lvlText w:val="•"/>
      <w:lvlJc w:val="left"/>
      <w:pPr>
        <w:ind w:left="4240" w:hanging="567"/>
      </w:pPr>
    </w:lvl>
    <w:lvl w:ilvl="6">
      <w:numFmt w:val="bullet"/>
      <w:lvlText w:val="•"/>
      <w:lvlJc w:val="left"/>
      <w:pPr>
        <w:ind w:left="5237" w:hanging="567"/>
      </w:pPr>
    </w:lvl>
    <w:lvl w:ilvl="7">
      <w:numFmt w:val="bullet"/>
      <w:lvlText w:val="•"/>
      <w:lvlJc w:val="left"/>
      <w:pPr>
        <w:ind w:left="6234" w:hanging="567"/>
      </w:pPr>
    </w:lvl>
    <w:lvl w:ilvl="8">
      <w:numFmt w:val="bullet"/>
      <w:lvlText w:val="•"/>
      <w:lvlJc w:val="left"/>
      <w:pPr>
        <w:ind w:left="7231" w:hanging="567"/>
      </w:pPr>
    </w:lvl>
  </w:abstractNum>
  <w:abstractNum w:abstractNumId="10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076523C"/>
    <w:multiLevelType w:val="hybridMultilevel"/>
    <w:tmpl w:val="FBC0948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64D5906"/>
    <w:multiLevelType w:val="multilevel"/>
    <w:tmpl w:val="108AC988"/>
    <w:lvl w:ilvl="0">
      <w:start w:val="1"/>
      <w:numFmt w:val="decimal"/>
      <w:lvlText w:val="%1."/>
      <w:lvlJc w:val="left"/>
      <w:pPr>
        <w:ind w:left="219" w:hanging="624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start w:val="3"/>
      <w:numFmt w:val="bullet"/>
      <w:lvlText w:val="-"/>
      <w:lvlJc w:val="left"/>
      <w:pPr>
        <w:ind w:left="785" w:hanging="284"/>
      </w:pPr>
      <w:rPr>
        <w:rFonts w:ascii="Times New Roman" w:eastAsia="Times New Roman" w:hAnsi="Times New Roman" w:cs="Times New Roman" w:hint="default"/>
        <w:b w:val="0"/>
        <w:bCs w:val="0"/>
        <w:w w:val="100"/>
        <w:sz w:val="22"/>
        <w:szCs w:val="22"/>
      </w:rPr>
    </w:lvl>
    <w:lvl w:ilvl="2">
      <w:numFmt w:val="bullet"/>
      <w:lvlText w:val="-"/>
      <w:lvlJc w:val="left"/>
      <w:pPr>
        <w:ind w:left="1068" w:hanging="284"/>
      </w:pPr>
      <w:rPr>
        <w:rFonts w:ascii="Courier New" w:hAnsi="Courier New" w:cs="Courier New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2088" w:hanging="284"/>
      </w:pPr>
    </w:lvl>
    <w:lvl w:ilvl="4">
      <w:numFmt w:val="bullet"/>
      <w:lvlText w:val="•"/>
      <w:lvlJc w:val="left"/>
      <w:pPr>
        <w:ind w:left="3116" w:hanging="284"/>
      </w:pPr>
    </w:lvl>
    <w:lvl w:ilvl="5">
      <w:numFmt w:val="bullet"/>
      <w:lvlText w:val="•"/>
      <w:lvlJc w:val="left"/>
      <w:pPr>
        <w:ind w:left="4144" w:hanging="284"/>
      </w:pPr>
    </w:lvl>
    <w:lvl w:ilvl="6">
      <w:numFmt w:val="bullet"/>
      <w:lvlText w:val="•"/>
      <w:lvlJc w:val="left"/>
      <w:pPr>
        <w:ind w:left="5172" w:hanging="284"/>
      </w:pPr>
    </w:lvl>
    <w:lvl w:ilvl="7">
      <w:numFmt w:val="bullet"/>
      <w:lvlText w:val="•"/>
      <w:lvlJc w:val="left"/>
      <w:pPr>
        <w:ind w:left="6200" w:hanging="284"/>
      </w:pPr>
    </w:lvl>
    <w:lvl w:ilvl="8">
      <w:numFmt w:val="bullet"/>
      <w:lvlText w:val="•"/>
      <w:lvlJc w:val="left"/>
      <w:pPr>
        <w:ind w:left="7229" w:hanging="284"/>
      </w:pPr>
    </w:lvl>
  </w:abstractNum>
  <w:abstractNum w:abstractNumId="13" w15:restartNumberingAfterBreak="0">
    <w:nsid w:val="06907B71"/>
    <w:multiLevelType w:val="multilevel"/>
    <w:tmpl w:val="CA28FDD6"/>
    <w:lvl w:ilvl="0">
      <w:start w:val="1"/>
      <w:numFmt w:val="decimal"/>
      <w:lvlText w:val="%1."/>
      <w:lvlJc w:val="left"/>
      <w:pPr>
        <w:ind w:left="219" w:hanging="624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start w:val="3"/>
      <w:numFmt w:val="bullet"/>
      <w:lvlText w:val="-"/>
      <w:lvlJc w:val="left"/>
      <w:pPr>
        <w:ind w:left="785" w:hanging="284"/>
      </w:pPr>
      <w:rPr>
        <w:rFonts w:ascii="Times New Roman" w:eastAsia="Times New Roman" w:hAnsi="Times New Roman" w:cs="Times New Roman" w:hint="default"/>
        <w:b w:val="0"/>
        <w:bCs w:val="0"/>
        <w:w w:val="100"/>
        <w:sz w:val="22"/>
        <w:szCs w:val="22"/>
      </w:rPr>
    </w:lvl>
    <w:lvl w:ilvl="2">
      <w:numFmt w:val="bullet"/>
      <w:lvlText w:val="-"/>
      <w:lvlJc w:val="left"/>
      <w:pPr>
        <w:ind w:left="1068" w:hanging="284"/>
      </w:pPr>
      <w:rPr>
        <w:rFonts w:ascii="Courier New" w:hAnsi="Courier New" w:cs="Courier New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2088" w:hanging="284"/>
      </w:pPr>
    </w:lvl>
    <w:lvl w:ilvl="4">
      <w:numFmt w:val="bullet"/>
      <w:lvlText w:val="•"/>
      <w:lvlJc w:val="left"/>
      <w:pPr>
        <w:ind w:left="3116" w:hanging="284"/>
      </w:pPr>
    </w:lvl>
    <w:lvl w:ilvl="5">
      <w:numFmt w:val="bullet"/>
      <w:lvlText w:val="•"/>
      <w:lvlJc w:val="left"/>
      <w:pPr>
        <w:ind w:left="4144" w:hanging="284"/>
      </w:pPr>
    </w:lvl>
    <w:lvl w:ilvl="6">
      <w:numFmt w:val="bullet"/>
      <w:lvlText w:val="•"/>
      <w:lvlJc w:val="left"/>
      <w:pPr>
        <w:ind w:left="5172" w:hanging="284"/>
      </w:pPr>
    </w:lvl>
    <w:lvl w:ilvl="7">
      <w:numFmt w:val="bullet"/>
      <w:lvlText w:val="•"/>
      <w:lvlJc w:val="left"/>
      <w:pPr>
        <w:ind w:left="6200" w:hanging="284"/>
      </w:pPr>
    </w:lvl>
    <w:lvl w:ilvl="8">
      <w:numFmt w:val="bullet"/>
      <w:lvlText w:val="•"/>
      <w:lvlJc w:val="left"/>
      <w:pPr>
        <w:ind w:left="7229" w:hanging="284"/>
      </w:pPr>
    </w:lvl>
  </w:abstractNum>
  <w:abstractNum w:abstractNumId="14" w15:restartNumberingAfterBreak="0">
    <w:nsid w:val="080D11FA"/>
    <w:multiLevelType w:val="multilevel"/>
    <w:tmpl w:val="C3D8E648"/>
    <w:lvl w:ilvl="0">
      <w:start w:val="1"/>
      <w:numFmt w:val="decimal"/>
      <w:lvlText w:val="%1."/>
      <w:lvlJc w:val="left"/>
      <w:pPr>
        <w:ind w:left="219" w:hanging="624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start w:val="3"/>
      <w:numFmt w:val="bullet"/>
      <w:lvlText w:val="-"/>
      <w:lvlJc w:val="left"/>
      <w:pPr>
        <w:ind w:left="785" w:hanging="284"/>
      </w:pPr>
      <w:rPr>
        <w:rFonts w:ascii="Times New Roman" w:eastAsia="Times New Roman" w:hAnsi="Times New Roman" w:cs="Times New Roman" w:hint="default"/>
        <w:b w:val="0"/>
        <w:bCs w:val="0"/>
        <w:w w:val="100"/>
        <w:sz w:val="22"/>
        <w:szCs w:val="22"/>
      </w:rPr>
    </w:lvl>
    <w:lvl w:ilvl="2">
      <w:numFmt w:val="bullet"/>
      <w:lvlText w:val="-"/>
      <w:lvlJc w:val="left"/>
      <w:pPr>
        <w:ind w:left="1068" w:hanging="284"/>
      </w:pPr>
      <w:rPr>
        <w:rFonts w:ascii="Courier New" w:hAnsi="Courier New" w:cs="Courier New"/>
        <w:b w:val="0"/>
        <w:bCs w:val="0"/>
        <w:w w:val="100"/>
        <w:sz w:val="22"/>
        <w:szCs w:val="22"/>
      </w:rPr>
    </w:lvl>
    <w:lvl w:ilvl="3">
      <w:start w:val="3"/>
      <w:numFmt w:val="bullet"/>
      <w:lvlText w:val="-"/>
      <w:lvlJc w:val="left"/>
      <w:pPr>
        <w:ind w:left="2088" w:hanging="284"/>
      </w:pPr>
      <w:rPr>
        <w:rFonts w:ascii="Times New Roman" w:eastAsia="Times New Roman" w:hAnsi="Times New Roman" w:cs="Times New Roman" w:hint="default"/>
      </w:rPr>
    </w:lvl>
    <w:lvl w:ilvl="4">
      <w:numFmt w:val="bullet"/>
      <w:lvlText w:val="•"/>
      <w:lvlJc w:val="left"/>
      <w:pPr>
        <w:ind w:left="3116" w:hanging="284"/>
      </w:pPr>
    </w:lvl>
    <w:lvl w:ilvl="5">
      <w:numFmt w:val="bullet"/>
      <w:lvlText w:val="•"/>
      <w:lvlJc w:val="left"/>
      <w:pPr>
        <w:ind w:left="4144" w:hanging="284"/>
      </w:pPr>
    </w:lvl>
    <w:lvl w:ilvl="6">
      <w:numFmt w:val="bullet"/>
      <w:lvlText w:val="•"/>
      <w:lvlJc w:val="left"/>
      <w:pPr>
        <w:ind w:left="5172" w:hanging="284"/>
      </w:pPr>
    </w:lvl>
    <w:lvl w:ilvl="7">
      <w:numFmt w:val="bullet"/>
      <w:lvlText w:val="•"/>
      <w:lvlJc w:val="left"/>
      <w:pPr>
        <w:ind w:left="6200" w:hanging="284"/>
      </w:pPr>
    </w:lvl>
    <w:lvl w:ilvl="8">
      <w:numFmt w:val="bullet"/>
      <w:lvlText w:val="•"/>
      <w:lvlJc w:val="left"/>
      <w:pPr>
        <w:ind w:left="7229" w:hanging="284"/>
      </w:pPr>
    </w:lvl>
  </w:abstractNum>
  <w:abstractNum w:abstractNumId="15" w15:restartNumberingAfterBreak="0">
    <w:nsid w:val="16CD61D8"/>
    <w:multiLevelType w:val="multilevel"/>
    <w:tmpl w:val="CC08E63C"/>
    <w:lvl w:ilvl="0">
      <w:start w:val="1"/>
      <w:numFmt w:val="bullet"/>
      <w:lvlText w:val=""/>
      <w:lvlJc w:val="left"/>
      <w:pPr>
        <w:tabs>
          <w:tab w:val="num" w:pos="502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2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2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2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2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42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42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142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142"/>
        </w:tabs>
      </w:pPr>
      <w:rPr>
        <w:rFonts w:cs="Times New Roman"/>
      </w:rPr>
    </w:lvl>
  </w:abstractNum>
  <w:abstractNum w:abstractNumId="16" w15:restartNumberingAfterBreak="0">
    <w:nsid w:val="20907D44"/>
    <w:multiLevelType w:val="multilevel"/>
    <w:tmpl w:val="EC6C80FC"/>
    <w:lvl w:ilvl="0">
      <w:start w:val="1"/>
      <w:numFmt w:val="bullet"/>
      <w:lvlText w:val="-"/>
      <w:lvlJc w:val="left"/>
      <w:pPr>
        <w:tabs>
          <w:tab w:val="num" w:pos="502"/>
        </w:tabs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2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2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2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2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42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42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142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142"/>
        </w:tabs>
      </w:pPr>
      <w:rPr>
        <w:rFonts w:cs="Times New Roman"/>
      </w:rPr>
    </w:lvl>
  </w:abstractNum>
  <w:abstractNum w:abstractNumId="17" w15:restartNumberingAfterBreak="0">
    <w:nsid w:val="20BD2026"/>
    <w:multiLevelType w:val="multilevel"/>
    <w:tmpl w:val="0D34CDAC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-"/>
      <w:lvlJc w:val="left"/>
      <w:pPr>
        <w:tabs>
          <w:tab w:val="num" w:pos="0"/>
        </w:tabs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8" w15:restartNumberingAfterBreak="0">
    <w:nsid w:val="2B853FFE"/>
    <w:multiLevelType w:val="multilevel"/>
    <w:tmpl w:val="4B30FC8C"/>
    <w:lvl w:ilvl="0">
      <w:start w:val="1"/>
      <w:numFmt w:val="decimal"/>
      <w:lvlText w:val="%1."/>
      <w:lvlJc w:val="left"/>
      <w:pPr>
        <w:ind w:left="219" w:hanging="624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start w:val="3"/>
      <w:numFmt w:val="bullet"/>
      <w:lvlText w:val="-"/>
      <w:lvlJc w:val="left"/>
      <w:pPr>
        <w:ind w:left="785" w:hanging="284"/>
      </w:pPr>
      <w:rPr>
        <w:rFonts w:ascii="Times New Roman" w:eastAsia="Times New Roman" w:hAnsi="Times New Roman" w:cs="Times New Roman" w:hint="default"/>
        <w:b w:val="0"/>
        <w:bCs w:val="0"/>
        <w:w w:val="100"/>
        <w:sz w:val="22"/>
        <w:szCs w:val="22"/>
      </w:rPr>
    </w:lvl>
    <w:lvl w:ilvl="2">
      <w:numFmt w:val="bullet"/>
      <w:lvlText w:val="-"/>
      <w:lvlJc w:val="left"/>
      <w:pPr>
        <w:ind w:left="1068" w:hanging="284"/>
      </w:pPr>
      <w:rPr>
        <w:rFonts w:ascii="Courier New" w:hAnsi="Courier New" w:cs="Courier New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2088" w:hanging="284"/>
      </w:pPr>
    </w:lvl>
    <w:lvl w:ilvl="4">
      <w:numFmt w:val="bullet"/>
      <w:lvlText w:val="•"/>
      <w:lvlJc w:val="left"/>
      <w:pPr>
        <w:ind w:left="3116" w:hanging="284"/>
      </w:pPr>
    </w:lvl>
    <w:lvl w:ilvl="5">
      <w:numFmt w:val="bullet"/>
      <w:lvlText w:val="•"/>
      <w:lvlJc w:val="left"/>
      <w:pPr>
        <w:ind w:left="4144" w:hanging="284"/>
      </w:pPr>
    </w:lvl>
    <w:lvl w:ilvl="6">
      <w:numFmt w:val="bullet"/>
      <w:lvlText w:val="•"/>
      <w:lvlJc w:val="left"/>
      <w:pPr>
        <w:ind w:left="5172" w:hanging="284"/>
      </w:pPr>
    </w:lvl>
    <w:lvl w:ilvl="7">
      <w:numFmt w:val="bullet"/>
      <w:lvlText w:val="•"/>
      <w:lvlJc w:val="left"/>
      <w:pPr>
        <w:ind w:left="6200" w:hanging="284"/>
      </w:pPr>
    </w:lvl>
    <w:lvl w:ilvl="8">
      <w:numFmt w:val="bullet"/>
      <w:lvlText w:val="•"/>
      <w:lvlJc w:val="left"/>
      <w:pPr>
        <w:ind w:left="7229" w:hanging="284"/>
      </w:pPr>
    </w:lvl>
  </w:abstractNum>
  <w:abstractNum w:abstractNumId="19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3972793A"/>
    <w:multiLevelType w:val="multilevel"/>
    <w:tmpl w:val="CC3227A2"/>
    <w:lvl w:ilvl="0">
      <w:start w:val="1"/>
      <w:numFmt w:val="bullet"/>
      <w:lvlText w:val="-"/>
      <w:lvlJc w:val="left"/>
      <w:pPr>
        <w:ind w:left="682" w:hanging="356"/>
      </w:pPr>
      <w:rPr>
        <w:b w:val="0"/>
        <w:sz w:val="22"/>
      </w:rPr>
    </w:lvl>
    <w:lvl w:ilvl="1">
      <w:numFmt w:val="bullet"/>
      <w:lvlText w:val="-"/>
      <w:lvlJc w:val="left"/>
      <w:pPr>
        <w:ind w:left="1248" w:hanging="567"/>
      </w:pPr>
      <w:rPr>
        <w:rFonts w:ascii="Courier New" w:hAnsi="Courier New"/>
        <w:b w:val="0"/>
        <w:sz w:val="22"/>
      </w:rPr>
    </w:lvl>
    <w:lvl w:ilvl="2">
      <w:numFmt w:val="bullet"/>
      <w:lvlText w:val="•"/>
      <w:lvlJc w:val="left"/>
      <w:pPr>
        <w:ind w:left="1248" w:hanging="567"/>
      </w:pPr>
    </w:lvl>
    <w:lvl w:ilvl="3">
      <w:numFmt w:val="bullet"/>
      <w:lvlText w:val="•"/>
      <w:lvlJc w:val="left"/>
      <w:pPr>
        <w:ind w:left="2245" w:hanging="567"/>
      </w:pPr>
    </w:lvl>
    <w:lvl w:ilvl="4">
      <w:numFmt w:val="bullet"/>
      <w:lvlText w:val="•"/>
      <w:lvlJc w:val="left"/>
      <w:pPr>
        <w:ind w:left="3242" w:hanging="567"/>
      </w:pPr>
    </w:lvl>
    <w:lvl w:ilvl="5">
      <w:numFmt w:val="bullet"/>
      <w:lvlText w:val="•"/>
      <w:lvlJc w:val="left"/>
      <w:pPr>
        <w:ind w:left="4240" w:hanging="567"/>
      </w:pPr>
    </w:lvl>
    <w:lvl w:ilvl="6">
      <w:numFmt w:val="bullet"/>
      <w:lvlText w:val="•"/>
      <w:lvlJc w:val="left"/>
      <w:pPr>
        <w:ind w:left="5237" w:hanging="567"/>
      </w:pPr>
    </w:lvl>
    <w:lvl w:ilvl="7">
      <w:numFmt w:val="bullet"/>
      <w:lvlText w:val="•"/>
      <w:lvlJc w:val="left"/>
      <w:pPr>
        <w:ind w:left="6234" w:hanging="567"/>
      </w:pPr>
    </w:lvl>
    <w:lvl w:ilvl="8">
      <w:numFmt w:val="bullet"/>
      <w:lvlText w:val="•"/>
      <w:lvlJc w:val="left"/>
      <w:pPr>
        <w:ind w:left="7231" w:hanging="567"/>
      </w:pPr>
    </w:lvl>
  </w:abstractNum>
  <w:abstractNum w:abstractNumId="21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59F55AA3"/>
    <w:multiLevelType w:val="multilevel"/>
    <w:tmpl w:val="B79A2B88"/>
    <w:lvl w:ilvl="0">
      <w:start w:val="1"/>
      <w:numFmt w:val="decimal"/>
      <w:lvlText w:val="%1."/>
      <w:lvlJc w:val="left"/>
      <w:pPr>
        <w:ind w:left="219" w:hanging="624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numFmt w:val="bullet"/>
      <w:lvlText w:val=""/>
      <w:lvlJc w:val="left"/>
      <w:pPr>
        <w:ind w:left="785" w:hanging="284"/>
      </w:pPr>
      <w:rPr>
        <w:rFonts w:ascii="Symbol" w:hAnsi="Symbol" w:cs="Symbol"/>
        <w:b w:val="0"/>
        <w:bCs w:val="0"/>
        <w:w w:val="100"/>
        <w:sz w:val="22"/>
        <w:szCs w:val="22"/>
      </w:rPr>
    </w:lvl>
    <w:lvl w:ilvl="2">
      <w:start w:val="3"/>
      <w:numFmt w:val="bullet"/>
      <w:lvlText w:val="-"/>
      <w:lvlJc w:val="left"/>
      <w:pPr>
        <w:ind w:left="1068" w:hanging="284"/>
      </w:pPr>
      <w:rPr>
        <w:rFonts w:ascii="Times New Roman" w:eastAsia="Times New Roman" w:hAnsi="Times New Roman" w:cs="Times New Roman" w:hint="default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2088" w:hanging="284"/>
      </w:pPr>
    </w:lvl>
    <w:lvl w:ilvl="4">
      <w:numFmt w:val="bullet"/>
      <w:lvlText w:val="•"/>
      <w:lvlJc w:val="left"/>
      <w:pPr>
        <w:ind w:left="3116" w:hanging="284"/>
      </w:pPr>
    </w:lvl>
    <w:lvl w:ilvl="5">
      <w:numFmt w:val="bullet"/>
      <w:lvlText w:val="•"/>
      <w:lvlJc w:val="left"/>
      <w:pPr>
        <w:ind w:left="4144" w:hanging="284"/>
      </w:pPr>
    </w:lvl>
    <w:lvl w:ilvl="6">
      <w:numFmt w:val="bullet"/>
      <w:lvlText w:val="•"/>
      <w:lvlJc w:val="left"/>
      <w:pPr>
        <w:ind w:left="5172" w:hanging="284"/>
      </w:pPr>
    </w:lvl>
    <w:lvl w:ilvl="7">
      <w:numFmt w:val="bullet"/>
      <w:lvlText w:val="•"/>
      <w:lvlJc w:val="left"/>
      <w:pPr>
        <w:ind w:left="6200" w:hanging="284"/>
      </w:pPr>
    </w:lvl>
    <w:lvl w:ilvl="8">
      <w:numFmt w:val="bullet"/>
      <w:lvlText w:val="•"/>
      <w:lvlJc w:val="left"/>
      <w:pPr>
        <w:ind w:left="7229" w:hanging="284"/>
      </w:pPr>
    </w:lvl>
  </w:abstractNum>
  <w:abstractNum w:abstractNumId="23" w15:restartNumberingAfterBreak="0">
    <w:nsid w:val="5AAB1E16"/>
    <w:multiLevelType w:val="hybridMultilevel"/>
    <w:tmpl w:val="EDBABA2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C42A02"/>
    <w:multiLevelType w:val="multilevel"/>
    <w:tmpl w:val="71F88FBC"/>
    <w:lvl w:ilvl="0">
      <w:start w:val="1"/>
      <w:numFmt w:val="decimal"/>
      <w:lvlText w:val="%1."/>
      <w:lvlJc w:val="left"/>
      <w:pPr>
        <w:ind w:left="219" w:hanging="624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start w:val="3"/>
      <w:numFmt w:val="bullet"/>
      <w:lvlText w:val="-"/>
      <w:lvlJc w:val="left"/>
      <w:pPr>
        <w:ind w:left="785" w:hanging="284"/>
      </w:pPr>
      <w:rPr>
        <w:rFonts w:ascii="Times New Roman" w:eastAsia="Times New Roman" w:hAnsi="Times New Roman" w:cs="Times New Roman" w:hint="default"/>
        <w:b w:val="0"/>
        <w:bCs w:val="0"/>
        <w:w w:val="100"/>
        <w:sz w:val="22"/>
        <w:szCs w:val="22"/>
      </w:rPr>
    </w:lvl>
    <w:lvl w:ilvl="2">
      <w:numFmt w:val="bullet"/>
      <w:lvlText w:val="-"/>
      <w:lvlJc w:val="left"/>
      <w:pPr>
        <w:ind w:left="1068" w:hanging="284"/>
      </w:pPr>
      <w:rPr>
        <w:rFonts w:ascii="Courier New" w:hAnsi="Courier New" w:cs="Courier New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2088" w:hanging="284"/>
      </w:pPr>
    </w:lvl>
    <w:lvl w:ilvl="4">
      <w:numFmt w:val="bullet"/>
      <w:lvlText w:val="•"/>
      <w:lvlJc w:val="left"/>
      <w:pPr>
        <w:ind w:left="3116" w:hanging="284"/>
      </w:pPr>
    </w:lvl>
    <w:lvl w:ilvl="5">
      <w:numFmt w:val="bullet"/>
      <w:lvlText w:val="•"/>
      <w:lvlJc w:val="left"/>
      <w:pPr>
        <w:ind w:left="4144" w:hanging="284"/>
      </w:pPr>
    </w:lvl>
    <w:lvl w:ilvl="6">
      <w:numFmt w:val="bullet"/>
      <w:lvlText w:val="•"/>
      <w:lvlJc w:val="left"/>
      <w:pPr>
        <w:ind w:left="5172" w:hanging="284"/>
      </w:pPr>
    </w:lvl>
    <w:lvl w:ilvl="7">
      <w:numFmt w:val="bullet"/>
      <w:lvlText w:val="•"/>
      <w:lvlJc w:val="left"/>
      <w:pPr>
        <w:ind w:left="6200" w:hanging="284"/>
      </w:pPr>
    </w:lvl>
    <w:lvl w:ilvl="8">
      <w:numFmt w:val="bullet"/>
      <w:lvlText w:val="•"/>
      <w:lvlJc w:val="left"/>
      <w:pPr>
        <w:ind w:left="7229" w:hanging="284"/>
      </w:pPr>
    </w:lvl>
  </w:abstractNum>
  <w:abstractNum w:abstractNumId="25" w15:restartNumberingAfterBreak="0">
    <w:nsid w:val="66C02362"/>
    <w:multiLevelType w:val="multilevel"/>
    <w:tmpl w:val="25160E5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6" w15:restartNumberingAfterBreak="0">
    <w:nsid w:val="76131B0E"/>
    <w:multiLevelType w:val="hybridMultilevel"/>
    <w:tmpl w:val="1F30F9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AD6A37"/>
    <w:multiLevelType w:val="multilevel"/>
    <w:tmpl w:val="0994C95A"/>
    <w:lvl w:ilvl="0">
      <w:start w:val="1"/>
      <w:numFmt w:val="decimal"/>
      <w:lvlText w:val="%1."/>
      <w:lvlJc w:val="left"/>
      <w:pPr>
        <w:ind w:left="219" w:hanging="624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numFmt w:val="bullet"/>
      <w:lvlText w:val=""/>
      <w:lvlJc w:val="left"/>
      <w:pPr>
        <w:ind w:left="785" w:hanging="284"/>
      </w:pPr>
      <w:rPr>
        <w:rFonts w:ascii="Symbol" w:hAnsi="Symbol" w:cs="Symbol"/>
        <w:b w:val="0"/>
        <w:bCs w:val="0"/>
        <w:w w:val="100"/>
        <w:sz w:val="22"/>
        <w:szCs w:val="22"/>
      </w:rPr>
    </w:lvl>
    <w:lvl w:ilvl="2">
      <w:start w:val="3"/>
      <w:numFmt w:val="bullet"/>
      <w:lvlText w:val="-"/>
      <w:lvlJc w:val="left"/>
      <w:pPr>
        <w:ind w:left="1068" w:hanging="284"/>
      </w:pPr>
      <w:rPr>
        <w:rFonts w:ascii="Times New Roman" w:eastAsia="Times New Roman" w:hAnsi="Times New Roman" w:cs="Times New Roman" w:hint="default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2088" w:hanging="284"/>
      </w:pPr>
    </w:lvl>
    <w:lvl w:ilvl="4">
      <w:numFmt w:val="bullet"/>
      <w:lvlText w:val="•"/>
      <w:lvlJc w:val="left"/>
      <w:pPr>
        <w:ind w:left="3116" w:hanging="284"/>
      </w:pPr>
    </w:lvl>
    <w:lvl w:ilvl="5">
      <w:numFmt w:val="bullet"/>
      <w:lvlText w:val="•"/>
      <w:lvlJc w:val="left"/>
      <w:pPr>
        <w:ind w:left="4144" w:hanging="284"/>
      </w:pPr>
    </w:lvl>
    <w:lvl w:ilvl="6">
      <w:numFmt w:val="bullet"/>
      <w:lvlText w:val="•"/>
      <w:lvlJc w:val="left"/>
      <w:pPr>
        <w:ind w:left="5172" w:hanging="284"/>
      </w:pPr>
    </w:lvl>
    <w:lvl w:ilvl="7">
      <w:numFmt w:val="bullet"/>
      <w:lvlText w:val="•"/>
      <w:lvlJc w:val="left"/>
      <w:pPr>
        <w:ind w:left="6200" w:hanging="284"/>
      </w:pPr>
    </w:lvl>
    <w:lvl w:ilvl="8">
      <w:numFmt w:val="bullet"/>
      <w:lvlText w:val="•"/>
      <w:lvlJc w:val="left"/>
      <w:pPr>
        <w:ind w:left="7229" w:hanging="284"/>
      </w:pPr>
    </w:lvl>
  </w:abstractNum>
  <w:abstractNum w:abstractNumId="28" w15:restartNumberingAfterBreak="0">
    <w:nsid w:val="7DF45702"/>
    <w:multiLevelType w:val="hybridMultilevel"/>
    <w:tmpl w:val="4D5C174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4F6EC4"/>
    <w:multiLevelType w:val="multilevel"/>
    <w:tmpl w:val="60AC1AE0"/>
    <w:lvl w:ilvl="0">
      <w:start w:val="1"/>
      <w:numFmt w:val="decimal"/>
      <w:lvlText w:val="%1."/>
      <w:lvlJc w:val="left"/>
      <w:pPr>
        <w:ind w:left="219" w:hanging="624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numFmt w:val="bullet"/>
      <w:lvlText w:val=""/>
      <w:lvlJc w:val="left"/>
      <w:pPr>
        <w:ind w:left="785" w:hanging="284"/>
      </w:pPr>
      <w:rPr>
        <w:rFonts w:ascii="Symbol" w:hAnsi="Symbol" w:cs="Symbol"/>
        <w:b w:val="0"/>
        <w:bCs w:val="0"/>
        <w:w w:val="100"/>
        <w:sz w:val="22"/>
        <w:szCs w:val="22"/>
      </w:rPr>
    </w:lvl>
    <w:lvl w:ilvl="2">
      <w:start w:val="3"/>
      <w:numFmt w:val="bullet"/>
      <w:lvlText w:val="-"/>
      <w:lvlJc w:val="left"/>
      <w:pPr>
        <w:ind w:left="1068" w:hanging="284"/>
      </w:pPr>
      <w:rPr>
        <w:rFonts w:ascii="Times New Roman" w:eastAsia="Times New Roman" w:hAnsi="Times New Roman" w:cs="Times New Roman" w:hint="default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2088" w:hanging="284"/>
      </w:pPr>
    </w:lvl>
    <w:lvl w:ilvl="4">
      <w:numFmt w:val="bullet"/>
      <w:lvlText w:val="•"/>
      <w:lvlJc w:val="left"/>
      <w:pPr>
        <w:ind w:left="3116" w:hanging="284"/>
      </w:pPr>
    </w:lvl>
    <w:lvl w:ilvl="5">
      <w:numFmt w:val="bullet"/>
      <w:lvlText w:val="•"/>
      <w:lvlJc w:val="left"/>
      <w:pPr>
        <w:ind w:left="4144" w:hanging="284"/>
      </w:pPr>
    </w:lvl>
    <w:lvl w:ilvl="6">
      <w:numFmt w:val="bullet"/>
      <w:lvlText w:val="•"/>
      <w:lvlJc w:val="left"/>
      <w:pPr>
        <w:ind w:left="5172" w:hanging="284"/>
      </w:pPr>
    </w:lvl>
    <w:lvl w:ilvl="7">
      <w:numFmt w:val="bullet"/>
      <w:lvlText w:val="•"/>
      <w:lvlJc w:val="left"/>
      <w:pPr>
        <w:ind w:left="6200" w:hanging="284"/>
      </w:pPr>
    </w:lvl>
    <w:lvl w:ilvl="8">
      <w:numFmt w:val="bullet"/>
      <w:lvlText w:val="•"/>
      <w:lvlJc w:val="left"/>
      <w:pPr>
        <w:ind w:left="7229" w:hanging="284"/>
      </w:pPr>
    </w:lvl>
  </w:abstractNum>
  <w:num w:numId="1">
    <w:abstractNumId w:val="21"/>
  </w:num>
  <w:num w:numId="2">
    <w:abstractNumId w:val="19"/>
  </w:num>
  <w:num w:numId="3">
    <w:abstractNumId w:val="10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5"/>
  </w:num>
  <w:num w:numId="9">
    <w:abstractNumId w:val="15"/>
  </w:num>
  <w:num w:numId="10">
    <w:abstractNumId w:val="11"/>
  </w:num>
  <w:num w:numId="11">
    <w:abstractNumId w:val="23"/>
  </w:num>
  <w:num w:numId="12">
    <w:abstractNumId w:val="28"/>
  </w:num>
  <w:num w:numId="13">
    <w:abstractNumId w:val="17"/>
  </w:num>
  <w:num w:numId="14">
    <w:abstractNumId w:val="9"/>
  </w:num>
  <w:num w:numId="15">
    <w:abstractNumId w:val="20"/>
  </w:num>
  <w:num w:numId="16">
    <w:abstractNumId w:val="16"/>
  </w:num>
  <w:num w:numId="17">
    <w:abstractNumId w:val="12"/>
  </w:num>
  <w:num w:numId="18">
    <w:abstractNumId w:val="22"/>
  </w:num>
  <w:num w:numId="19">
    <w:abstractNumId w:val="13"/>
  </w:num>
  <w:num w:numId="20">
    <w:abstractNumId w:val="14"/>
  </w:num>
  <w:num w:numId="21">
    <w:abstractNumId w:val="24"/>
  </w:num>
  <w:num w:numId="22">
    <w:abstractNumId w:val="29"/>
  </w:num>
  <w:num w:numId="23">
    <w:abstractNumId w:val="18"/>
  </w:num>
  <w:num w:numId="24">
    <w:abstractNumId w:val="27"/>
  </w:num>
  <w:num w:numId="25">
    <w:abstractNumId w:val="2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2E7F7D"/>
    <w:rsid w:val="002E7F7D"/>
    <w:rsid w:val="004535C4"/>
    <w:rsid w:val="005A746B"/>
    <w:rsid w:val="00715D22"/>
    <w:rsid w:val="00922CA4"/>
    <w:rsid w:val="00DE1D01"/>
    <w:rsid w:val="00FB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29570E87"/>
  <w15:chartTrackingRefBased/>
  <w15:docId w15:val="{44A20010-572A-43C8-AB66-93C1CF88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caps/>
      <w:sz w:val="26"/>
      <w:lang w:val="en-US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  <w:lang w:val="en-US"/>
    </w:rPr>
  </w:style>
  <w:style w:type="character" w:customStyle="1" w:styleId="Cmsor4Char">
    <w:name w:val="Címsor 4 Char"/>
    <w:link w:val="Cmsor4"/>
    <w:rPr>
      <w:rFonts w:eastAsia="Times New Roman"/>
      <w:b/>
      <w:sz w:val="22"/>
    </w:rPr>
  </w:style>
  <w:style w:type="character" w:customStyle="1" w:styleId="Cmsor5Char">
    <w:name w:val="Címsor 5 Char"/>
    <w:link w:val="Cmsor5"/>
    <w:rPr>
      <w:rFonts w:eastAsia="Times New Roman"/>
      <w:sz w:val="22"/>
    </w:rPr>
  </w:style>
  <w:style w:type="character" w:customStyle="1" w:styleId="Cmsor6Char">
    <w:name w:val="Címsor 6 Char"/>
    <w:link w:val="Cmsor6"/>
    <w:rPr>
      <w:rFonts w:eastAsia="Times New Roman"/>
      <w:i/>
      <w:sz w:val="22"/>
    </w:rPr>
  </w:style>
  <w:style w:type="character" w:customStyle="1" w:styleId="Cmsor7Char">
    <w:name w:val="Címsor 7 Char"/>
    <w:link w:val="Cmsor7"/>
    <w:rPr>
      <w:rFonts w:eastAsia="Times New Roman"/>
      <w:i/>
      <w:sz w:val="22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fejChar">
    <w:name w:val="Élőfej Char"/>
    <w:link w:val="lfej"/>
    <w:uiPriority w:val="99"/>
    <w:rPr>
      <w:snapToGrid w:val="0"/>
      <w:sz w:val="22"/>
      <w:lang w:val="en-GB" w:eastAsia="zh-CN"/>
    </w:r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DE1D01"/>
    <w:pPr>
      <w:tabs>
        <w:tab w:val="left" w:pos="567"/>
      </w:tabs>
    </w:pPr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2402</Words>
  <Characters>15684</Characters>
  <Application>Microsoft Office Word</Application>
  <DocSecurity>0</DocSecurity>
  <Lines>130</Lines>
  <Paragraphs>36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Hreferralspccleanhu</vt:lpstr>
      <vt:lpstr>Hreferralspccleanhu</vt:lpstr>
    </vt:vector>
  </TitlesOfParts>
  <Company>Translation Centre</Company>
  <LinksUpToDate>false</LinksUpToDate>
  <CharactersWithSpaces>18050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European Medicines Agency</dc:creator>
  <cp:keywords/>
  <dc:description/>
  <cp:lastModifiedBy>HU_OGYI_62.1</cp:lastModifiedBy>
  <cp:revision>17</cp:revision>
  <dcterms:created xsi:type="dcterms:W3CDTF">2025-01-23T12:36:00Z</dcterms:created>
  <dcterms:modified xsi:type="dcterms:W3CDTF">2025-04-25T07:58:00Z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/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/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/>
  </property>
  <property fmtid="{D5CDD505-2E9C-101B-9397-08002B2CF9AE}" pid="12" name="DM_emea_received_date">
    <vt:lpwstr/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/>
  </property>
  <property fmtid="{D5CDD505-2E9C-101B-9397-08002B2CF9AE}" pid="18" name="DM_emea_from">
    <vt:lpwstr/>
  </property>
  <property fmtid="{D5CDD505-2E9C-101B-9397-08002B2CF9AE}" pid="19" name="DM_emea_internal_label">
    <vt:lpwstr/>
  </property>
  <property fmtid="{D5CDD505-2E9C-101B-9397-08002B2CF9AE}" pid="20" name="DM_emea_legal_date">
    <vt:lpwstr/>
  </property>
  <property fmtid="{D5CDD505-2E9C-101B-9397-08002B2CF9AE}" pid="21" name="DM_emea_year">
    <vt:lpwstr/>
  </property>
  <property fmtid="{D5CDD505-2E9C-101B-9397-08002B2CF9AE}" pid="22" name="DM_emea_sent_date">
    <vt:lpwstr/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/>
  </property>
  <property fmtid="{D5CDD505-2E9C-101B-9397-08002B2CF9AE}" pid="31" name="DM_Name">
    <vt:lpwstr/>
  </property>
  <property fmtid="{D5CDD505-2E9C-101B-9397-08002B2CF9AE}" pid="32" name="DM_Creation_Date">
    <vt:lpwstr/>
  </property>
  <property fmtid="{D5CDD505-2E9C-101B-9397-08002B2CF9AE}" pid="33" name="DM_Modify_Date">
    <vt:lpwstr/>
  </property>
  <property fmtid="{D5CDD505-2E9C-101B-9397-08002B2CF9AE}" pid="34" name="DM_Creator_Name">
    <vt:lpwstr/>
  </property>
  <property fmtid="{D5CDD505-2E9C-101B-9397-08002B2CF9AE}" pid="35" name="DM_Modifier_Name">
    <vt:lpwstr/>
  </property>
  <property fmtid="{D5CDD505-2E9C-101B-9397-08002B2CF9AE}" pid="36" name="DM_Type">
    <vt:lpwstr/>
  </property>
  <property fmtid="{D5CDD505-2E9C-101B-9397-08002B2CF9AE}" pid="37" name="DM_DocRefId">
    <vt:lpwstr/>
  </property>
  <property fmtid="{D5CDD505-2E9C-101B-9397-08002B2CF9AE}" pid="38" name="DM_Category">
    <vt:lpwstr/>
  </property>
  <property fmtid="{D5CDD505-2E9C-101B-9397-08002B2CF9AE}" pid="39" name="DM_Path">
    <vt:lpwstr/>
  </property>
  <property fmtid="{D5CDD505-2E9C-101B-9397-08002B2CF9AE}" pid="40" name="DM_emea_doc_ref_id">
    <vt:lpwstr/>
  </property>
  <property fmtid="{D5CDD505-2E9C-101B-9397-08002B2CF9AE}" pid="41" name="DM_Modifer_Name">
    <vt:lpwstr/>
  </property>
  <property fmtid="{D5CDD505-2E9C-101B-9397-08002B2CF9AE}" pid="42" name="DM_Modified_Date">
    <vt:lpwstr/>
  </property>
</Properties>
</file>