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E0A" w:rsidRDefault="007F4C87">
      <w:pPr>
        <w:tabs>
          <w:tab w:val="clear" w:pos="567"/>
          <w:tab w:val="left" w:pos="720"/>
        </w:tabs>
        <w:spacing w:line="240" w:lineRule="auto"/>
        <w:jc w:val="center"/>
        <w:outlineLvl w:val="0"/>
        <w:rPr>
          <w:lang w:val="hu-HU"/>
        </w:rPr>
      </w:pPr>
      <w:bookmarkStart w:id="0" w:name="_GoBack"/>
      <w:bookmarkEnd w:id="0"/>
      <w:r>
        <w:rPr>
          <w:b/>
          <w:bCs/>
          <w:lang w:val="hu-HU"/>
        </w:rPr>
        <w:t>Betegtájékoztató: Információk a beteg számára</w:t>
      </w:r>
    </w:p>
    <w:p w:rsidR="00924E0A" w:rsidRDefault="00924E0A">
      <w:pPr>
        <w:shd w:val="clear" w:color="auto" w:fill="FFFFFF"/>
        <w:tabs>
          <w:tab w:val="clear" w:pos="567"/>
          <w:tab w:val="left" w:pos="720"/>
        </w:tabs>
        <w:spacing w:line="240" w:lineRule="auto"/>
        <w:jc w:val="center"/>
        <w:rPr>
          <w:lang w:val="hu-HU"/>
        </w:rPr>
      </w:pPr>
    </w:p>
    <w:p w:rsidR="00924E0A" w:rsidRDefault="007F4C87">
      <w:pPr>
        <w:spacing w:line="240" w:lineRule="auto"/>
        <w:jc w:val="center"/>
        <w:rPr>
          <w:lang w:val="hu-HU"/>
        </w:rPr>
      </w:pPr>
      <w:r>
        <w:rPr>
          <w:b/>
          <w:bCs/>
          <w:lang w:val="hu-HU"/>
        </w:rPr>
        <w:t>Exoterbyn gyógyszeres körömlakk</w:t>
      </w:r>
    </w:p>
    <w:p w:rsidR="00924E0A" w:rsidRDefault="007F4C87">
      <w:pPr>
        <w:spacing w:line="240" w:lineRule="auto"/>
        <w:jc w:val="center"/>
        <w:rPr>
          <w:lang w:val="hu-HU"/>
        </w:rPr>
      </w:pPr>
      <w:r>
        <w:rPr>
          <w:lang w:val="hu-HU"/>
        </w:rPr>
        <w:t>terbinafin</w:t>
      </w:r>
    </w:p>
    <w:p w:rsidR="00924E0A" w:rsidRDefault="00924E0A">
      <w:pPr>
        <w:spacing w:line="240" w:lineRule="auto"/>
        <w:jc w:val="center"/>
        <w:rPr>
          <w:lang w:val="hu-HU"/>
        </w:rPr>
      </w:pPr>
    </w:p>
    <w:p w:rsidR="00924E0A" w:rsidRDefault="00924E0A">
      <w:pPr>
        <w:pStyle w:val="Nincstrkz"/>
      </w:pPr>
    </w:p>
    <w:p w:rsidR="00924E0A" w:rsidRDefault="007F4C87">
      <w:pPr>
        <w:spacing w:line="240" w:lineRule="auto"/>
        <w:rPr>
          <w:b/>
          <w:bCs/>
          <w:lang w:val="hu-HU"/>
        </w:rPr>
      </w:pPr>
      <w:r>
        <w:rPr>
          <w:b/>
          <w:bCs/>
          <w:lang w:val="hu-HU"/>
        </w:rPr>
        <w:t>Mielőtt elkezdi alkalmazni ezt a gyógyszert, olvassa el figyelmesen az alábbi betegtájékoztatót, mert az Ön számára fontos információkat tartalmaz.</w:t>
      </w:r>
    </w:p>
    <w:p w:rsidR="00924E0A" w:rsidRDefault="007F4C87">
      <w:pPr>
        <w:spacing w:line="240" w:lineRule="auto"/>
        <w:rPr>
          <w:lang w:val="hu-HU"/>
        </w:rPr>
      </w:pPr>
      <w:r>
        <w:rPr>
          <w:lang w:val="hu-HU"/>
        </w:rPr>
        <w:t>Ezt a gyógyszert mindig pontosan a betegtájékoztatóban leírtaknak, vagy az Ön kezelőorvosa vagy gyógyszerésze által elmondottaknak megfelelően alkalmazza.</w:t>
      </w:r>
    </w:p>
    <w:p w:rsidR="00924E0A" w:rsidRDefault="007F4C87">
      <w:pPr>
        <w:numPr>
          <w:ilvl w:val="0"/>
          <w:numId w:val="1"/>
        </w:numPr>
        <w:tabs>
          <w:tab w:val="clear" w:pos="360"/>
          <w:tab w:val="num" w:pos="567"/>
        </w:tabs>
        <w:suppressAutoHyphens/>
        <w:snapToGrid w:val="0"/>
        <w:spacing w:line="240" w:lineRule="auto"/>
        <w:ind w:left="567" w:hanging="567"/>
        <w:rPr>
          <w:lang w:val="hu-HU"/>
        </w:rPr>
      </w:pPr>
      <w:r>
        <w:rPr>
          <w:lang w:val="hu-HU"/>
        </w:rPr>
        <w:t>Tartsa meg a betegtájékoztatót, mert a benne szereplő információkra a későbbiekben is szüksége lehet.</w:t>
      </w:r>
    </w:p>
    <w:p w:rsidR="00924E0A" w:rsidRDefault="007F4C87">
      <w:pPr>
        <w:numPr>
          <w:ilvl w:val="0"/>
          <w:numId w:val="2"/>
        </w:numPr>
        <w:tabs>
          <w:tab w:val="clear" w:pos="360"/>
          <w:tab w:val="num" w:pos="567"/>
        </w:tabs>
        <w:suppressAutoHyphens/>
        <w:snapToGrid w:val="0"/>
        <w:spacing w:line="240" w:lineRule="auto"/>
        <w:ind w:left="567" w:hanging="567"/>
        <w:rPr>
          <w:lang w:val="hu-HU"/>
        </w:rPr>
      </w:pPr>
      <w:r>
        <w:rPr>
          <w:lang w:val="hu-HU"/>
        </w:rPr>
        <w:t>További információkért vagy tanácsért forduljon gyógyszerészéhez.</w:t>
      </w:r>
    </w:p>
    <w:p w:rsidR="00924E0A" w:rsidRDefault="007F4C87">
      <w:pPr>
        <w:numPr>
          <w:ilvl w:val="0"/>
          <w:numId w:val="3"/>
        </w:numPr>
        <w:tabs>
          <w:tab w:val="clear" w:pos="360"/>
          <w:tab w:val="num" w:pos="567"/>
          <w:tab w:val="left" w:pos="1724"/>
        </w:tabs>
        <w:suppressAutoHyphens/>
        <w:snapToGrid w:val="0"/>
        <w:spacing w:line="240" w:lineRule="auto"/>
        <w:ind w:left="567" w:right="-2" w:hanging="567"/>
        <w:rPr>
          <w:lang w:val="hu-HU"/>
        </w:rPr>
      </w:pPr>
      <w:r>
        <w:rPr>
          <w:lang w:val="hu-HU"/>
        </w:rPr>
        <w:t xml:space="preserve">Ha Önnél bármilyen mellékhatás jelentkezik, tájékoztassa kezelőorvosát vagy gyógyszerészét. Ez a betegtájékoztatóban fel nem sorolt bármely lehetséges mellékhatásra is vonatkozik. Lásd 4. pont. </w:t>
      </w:r>
    </w:p>
    <w:p w:rsidR="00924E0A" w:rsidRDefault="007F4C87">
      <w:pPr>
        <w:numPr>
          <w:ilvl w:val="0"/>
          <w:numId w:val="3"/>
        </w:numPr>
        <w:tabs>
          <w:tab w:val="clear" w:pos="360"/>
          <w:tab w:val="num" w:pos="567"/>
          <w:tab w:val="left" w:pos="1724"/>
        </w:tabs>
        <w:suppressAutoHyphens/>
        <w:snapToGrid w:val="0"/>
        <w:spacing w:line="240" w:lineRule="auto"/>
        <w:ind w:left="567" w:right="-2" w:hanging="567"/>
        <w:rPr>
          <w:lang w:val="hu-HU"/>
        </w:rPr>
      </w:pPr>
      <w:r>
        <w:rPr>
          <w:lang w:val="hu-HU"/>
        </w:rPr>
        <w:t>Feltétlenül beszéljen kezelőorvosával, ha kézkörmök esetében 6 hónap, lábkörmök esetében 9</w:t>
      </w:r>
      <w:r>
        <w:rPr>
          <w:lang w:val="hu-HU"/>
        </w:rPr>
        <w:noBreakHyphen/>
        <w:t>12 hónapon belül tünetei nem enyhülnek, vagy éppen súlyosbodnak.</w:t>
      </w:r>
    </w:p>
    <w:p w:rsidR="00924E0A" w:rsidRDefault="00924E0A">
      <w:pPr>
        <w:tabs>
          <w:tab w:val="left" w:pos="1724"/>
        </w:tabs>
        <w:suppressAutoHyphens/>
        <w:spacing w:line="240" w:lineRule="auto"/>
        <w:ind w:right="-2"/>
        <w:rPr>
          <w:lang w:val="hu-HU"/>
        </w:rPr>
      </w:pPr>
    </w:p>
    <w:p w:rsidR="00924E0A" w:rsidRDefault="007F4C87">
      <w:pPr>
        <w:widowControl w:val="0"/>
        <w:tabs>
          <w:tab w:val="clear" w:pos="567"/>
          <w:tab w:val="left" w:pos="720"/>
        </w:tabs>
        <w:spacing w:line="240" w:lineRule="auto"/>
        <w:outlineLvl w:val="0"/>
        <w:rPr>
          <w:b/>
          <w:bCs/>
          <w:lang w:val="hu-HU"/>
        </w:rPr>
      </w:pPr>
      <w:r>
        <w:rPr>
          <w:b/>
          <w:bCs/>
          <w:lang w:val="hu-HU"/>
        </w:rPr>
        <w:t>A betegtájékoztató tartalma:</w:t>
      </w:r>
    </w:p>
    <w:p w:rsidR="00924E0A" w:rsidRDefault="00924E0A">
      <w:pPr>
        <w:tabs>
          <w:tab w:val="clear" w:pos="567"/>
          <w:tab w:val="left" w:pos="720"/>
        </w:tabs>
        <w:spacing w:line="240" w:lineRule="auto"/>
        <w:ind w:right="-2"/>
        <w:outlineLvl w:val="0"/>
        <w:rPr>
          <w:lang w:val="hu-HU"/>
        </w:rPr>
      </w:pPr>
    </w:p>
    <w:p w:rsidR="00924E0A" w:rsidRDefault="007F4C87">
      <w:pPr>
        <w:numPr>
          <w:ilvl w:val="1"/>
          <w:numId w:val="3"/>
        </w:numPr>
        <w:suppressAutoHyphens/>
        <w:snapToGrid w:val="0"/>
        <w:spacing w:line="240" w:lineRule="auto"/>
        <w:ind w:left="567" w:right="-29" w:hanging="567"/>
        <w:rPr>
          <w:lang w:val="hu-HU"/>
        </w:rPr>
      </w:pPr>
      <w:r>
        <w:rPr>
          <w:lang w:val="hu-HU"/>
        </w:rPr>
        <w:t>Milyen típusú gyógyszer az Exoterbyn gyógyszeres körömlakk (a továbbiakban Exoterbyn) és milyen betegségek esetén alkalmazható?</w:t>
      </w:r>
    </w:p>
    <w:p w:rsidR="00924E0A" w:rsidRDefault="007F4C87">
      <w:pPr>
        <w:numPr>
          <w:ilvl w:val="1"/>
          <w:numId w:val="3"/>
        </w:numPr>
        <w:suppressAutoHyphens/>
        <w:snapToGrid w:val="0"/>
        <w:spacing w:line="240" w:lineRule="auto"/>
        <w:ind w:left="567" w:right="-29" w:hanging="567"/>
        <w:rPr>
          <w:lang w:val="hu-HU"/>
        </w:rPr>
      </w:pPr>
      <w:r>
        <w:rPr>
          <w:lang w:val="hu-HU"/>
        </w:rPr>
        <w:t>Tudnivalók az Exoterbyn alkalmazása előtt</w:t>
      </w:r>
    </w:p>
    <w:p w:rsidR="00924E0A" w:rsidRDefault="007F4C87">
      <w:pPr>
        <w:spacing w:line="240" w:lineRule="auto"/>
        <w:ind w:left="567" w:right="-29" w:hanging="567"/>
        <w:rPr>
          <w:lang w:val="hu-HU"/>
        </w:rPr>
      </w:pPr>
      <w:r>
        <w:rPr>
          <w:lang w:val="hu-HU"/>
        </w:rPr>
        <w:t>3.</w:t>
      </w:r>
      <w:r>
        <w:rPr>
          <w:lang w:val="hu-HU"/>
        </w:rPr>
        <w:tab/>
        <w:t>Hogyan kell alkalmazni az Exoterbyn-t?</w:t>
      </w:r>
    </w:p>
    <w:p w:rsidR="00924E0A" w:rsidRDefault="007F4C87">
      <w:pPr>
        <w:spacing w:line="240" w:lineRule="auto"/>
        <w:ind w:left="567" w:right="-29" w:hanging="567"/>
        <w:rPr>
          <w:lang w:val="hu-HU"/>
        </w:rPr>
      </w:pPr>
      <w:r>
        <w:rPr>
          <w:lang w:val="hu-HU"/>
        </w:rPr>
        <w:t>4.</w:t>
      </w:r>
      <w:r>
        <w:rPr>
          <w:lang w:val="hu-HU"/>
        </w:rPr>
        <w:tab/>
        <w:t>Lehetséges mellékhatások</w:t>
      </w:r>
    </w:p>
    <w:p w:rsidR="00924E0A" w:rsidRDefault="007F4C87">
      <w:pPr>
        <w:spacing w:line="240" w:lineRule="auto"/>
        <w:ind w:left="567" w:right="-29" w:hanging="567"/>
        <w:rPr>
          <w:lang w:val="hu-HU"/>
        </w:rPr>
      </w:pPr>
      <w:r>
        <w:rPr>
          <w:lang w:val="hu-HU"/>
        </w:rPr>
        <w:t>5.</w:t>
      </w:r>
      <w:r>
        <w:rPr>
          <w:lang w:val="hu-HU"/>
        </w:rPr>
        <w:tab/>
        <w:t>Hogyan kell az Exoterbyn-t tárolni?</w:t>
      </w:r>
    </w:p>
    <w:p w:rsidR="00924E0A" w:rsidRDefault="007F4C87">
      <w:pPr>
        <w:spacing w:line="240" w:lineRule="auto"/>
        <w:ind w:left="567" w:right="-29" w:hanging="567"/>
        <w:rPr>
          <w:lang w:val="hu-HU"/>
        </w:rPr>
      </w:pPr>
      <w:r>
        <w:rPr>
          <w:lang w:val="hu-HU"/>
        </w:rPr>
        <w:t>6.</w:t>
      </w:r>
      <w:r>
        <w:rPr>
          <w:lang w:val="hu-HU"/>
        </w:rPr>
        <w:tab/>
        <w:t>A csomagolás tartalma és egyéb információk</w:t>
      </w:r>
    </w:p>
    <w:p w:rsidR="00924E0A" w:rsidRDefault="00924E0A">
      <w:pPr>
        <w:tabs>
          <w:tab w:val="clear" w:pos="567"/>
          <w:tab w:val="left" w:pos="720"/>
        </w:tabs>
        <w:spacing w:line="240" w:lineRule="auto"/>
        <w:ind w:right="-2"/>
        <w:rPr>
          <w:lang w:val="hu-HU"/>
        </w:rPr>
      </w:pPr>
    </w:p>
    <w:p w:rsidR="00924E0A" w:rsidRDefault="00924E0A">
      <w:pPr>
        <w:tabs>
          <w:tab w:val="clear" w:pos="567"/>
          <w:tab w:val="left" w:pos="720"/>
        </w:tabs>
        <w:spacing w:line="240" w:lineRule="auto"/>
        <w:rPr>
          <w:lang w:val="hu-HU"/>
        </w:rPr>
      </w:pPr>
    </w:p>
    <w:p w:rsidR="00924E0A" w:rsidRDefault="007F4C87">
      <w:pPr>
        <w:numPr>
          <w:ilvl w:val="0"/>
          <w:numId w:val="4"/>
        </w:numPr>
        <w:snapToGrid w:val="0"/>
        <w:spacing w:line="240" w:lineRule="auto"/>
        <w:ind w:right="-2"/>
        <w:rPr>
          <w:b/>
          <w:bCs/>
          <w:lang w:val="hu-HU"/>
        </w:rPr>
      </w:pPr>
      <w:r>
        <w:rPr>
          <w:b/>
          <w:bCs/>
          <w:lang w:val="hu-HU"/>
        </w:rPr>
        <w:t>Milyen típusú gyógyszer az Exoterbyn és milyen betegségek esetén alkalmazható?</w:t>
      </w:r>
    </w:p>
    <w:p w:rsidR="00924E0A" w:rsidRDefault="00924E0A">
      <w:pPr>
        <w:pStyle w:val="Nincstrkz"/>
      </w:pPr>
    </w:p>
    <w:p w:rsidR="00924E0A" w:rsidRDefault="007F4C87">
      <w:pPr>
        <w:pStyle w:val="Nincstrkz"/>
        <w:rPr>
          <w:lang w:eastAsia="de-DE"/>
        </w:rPr>
      </w:pPr>
      <w:r>
        <w:rPr>
          <w:lang w:eastAsia="de-DE"/>
        </w:rPr>
        <w:t xml:space="preserve">Az Exoterbyn egy terbinafin nevű hatóanyagot tartalmaz, ami a gombaellenes gyógyszerek csoportjába tartozik. A készítmény számos olyan gombát elpusztít, amelyek körömfertőzést okozhatnak. </w:t>
      </w:r>
    </w:p>
    <w:p w:rsidR="00924E0A" w:rsidRDefault="00924E0A">
      <w:pPr>
        <w:pStyle w:val="Nincstrkz"/>
        <w:rPr>
          <w:lang w:eastAsia="de-DE"/>
        </w:rPr>
      </w:pPr>
    </w:p>
    <w:p w:rsidR="00924E0A" w:rsidRDefault="007F4C87">
      <w:pPr>
        <w:pStyle w:val="Nincstrkz"/>
        <w:rPr>
          <w:lang w:eastAsia="de-DE"/>
        </w:rPr>
      </w:pPr>
      <w:r>
        <w:rPr>
          <w:lang w:eastAsia="de-DE"/>
        </w:rPr>
        <w:t>Az Exoterbyn felnőtteknél a körmök enyhe és közepesen súlyos gombás fertőzéseinek kezelésére alkalmazható.</w:t>
      </w:r>
    </w:p>
    <w:p w:rsidR="00924E0A" w:rsidRDefault="007F4C87">
      <w:pPr>
        <w:tabs>
          <w:tab w:val="clear" w:pos="567"/>
        </w:tabs>
        <w:spacing w:line="240" w:lineRule="atLeast"/>
        <w:ind w:left="547"/>
        <w:rPr>
          <w:b/>
          <w:bCs/>
          <w:i/>
          <w:noProof/>
          <w:lang w:val="hu-HU"/>
        </w:rPr>
      </w:pPr>
      <w:r>
        <w:rPr>
          <w:b/>
          <w:bCs/>
          <w:i/>
          <w:noProof/>
          <w:color w:val="00B050"/>
          <w:lang w:val="hu-HU" w:eastAsia="hu-HU"/>
        </w:rPr>
        <w:drawing>
          <wp:inline distT="0" distB="0" distL="0" distR="0">
            <wp:extent cx="1171640" cy="781050"/>
            <wp:effectExtent l="0" t="0" r="9525" b="0"/>
            <wp:docPr id="1"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640" cy="781050"/>
                    </a:xfrm>
                    <a:prstGeom prst="rect">
                      <a:avLst/>
                    </a:prstGeom>
                  </pic:spPr>
                </pic:pic>
              </a:graphicData>
            </a:graphic>
          </wp:inline>
        </w:drawing>
      </w:r>
      <w:r>
        <w:rPr>
          <w:b/>
          <w:bCs/>
          <w:i/>
          <w:noProof/>
          <w:color w:val="00B050"/>
          <w:lang w:val="hu-HU"/>
        </w:rPr>
        <w:tab/>
      </w:r>
      <w:r>
        <w:rPr>
          <w:b/>
          <w:bCs/>
          <w:i/>
          <w:noProof/>
          <w:color w:val="00B050"/>
          <w:lang w:val="hu-HU" w:eastAsia="hu-HU"/>
        </w:rPr>
        <w:drawing>
          <wp:inline distT="0" distB="0" distL="0" distR="0">
            <wp:extent cx="1219200" cy="812755"/>
            <wp:effectExtent l="0" t="0" r="0" b="6985"/>
            <wp:docPr id="3"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9200" cy="812755"/>
                    </a:xfrm>
                    <a:prstGeom prst="rect">
                      <a:avLst/>
                    </a:prstGeom>
                  </pic:spPr>
                </pic:pic>
              </a:graphicData>
            </a:graphic>
          </wp:inline>
        </w:drawing>
      </w:r>
      <w:r>
        <w:rPr>
          <w:b/>
          <w:bCs/>
          <w:i/>
          <w:noProof/>
          <w:color w:val="00B050"/>
          <w:lang w:val="hu-HU"/>
        </w:rPr>
        <w:tab/>
      </w:r>
      <w:r>
        <w:rPr>
          <w:b/>
          <w:bCs/>
          <w:i/>
          <w:noProof/>
          <w:color w:val="00B050"/>
          <w:lang w:val="hu-HU" w:eastAsia="hu-HU"/>
        </w:rPr>
        <w:drawing>
          <wp:inline distT="0" distB="0" distL="0" distR="0">
            <wp:extent cx="1123950" cy="834586"/>
            <wp:effectExtent l="0" t="0" r="0" b="3810"/>
            <wp:docPr id="5"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950" cy="834586"/>
                    </a:xfrm>
                    <a:prstGeom prst="rect">
                      <a:avLst/>
                    </a:prstGeom>
                  </pic:spPr>
                </pic:pic>
              </a:graphicData>
            </a:graphic>
          </wp:inline>
        </w:drawing>
      </w:r>
    </w:p>
    <w:p w:rsidR="00924E0A" w:rsidRDefault="007F4C87">
      <w:pPr>
        <w:pStyle w:val="Listaszerbekezds"/>
        <w:numPr>
          <w:ilvl w:val="0"/>
          <w:numId w:val="5"/>
        </w:numPr>
        <w:tabs>
          <w:tab w:val="clear" w:pos="567"/>
        </w:tabs>
        <w:spacing w:line="240" w:lineRule="atLeast"/>
        <w:rPr>
          <w:i/>
          <w:sz w:val="18"/>
          <w:szCs w:val="18"/>
          <w:lang w:val="hu-HU"/>
        </w:rPr>
      </w:pPr>
      <w:r>
        <w:rPr>
          <w:i/>
          <w:sz w:val="18"/>
          <w:szCs w:val="18"/>
          <w:lang w:val="hu-HU"/>
        </w:rPr>
        <w:t>Enyhe</w:t>
      </w:r>
      <w:r>
        <w:rPr>
          <w:i/>
          <w:sz w:val="18"/>
          <w:szCs w:val="18"/>
          <w:lang w:val="hu-HU"/>
        </w:rPr>
        <w:tab/>
      </w:r>
      <w:r>
        <w:rPr>
          <w:i/>
          <w:sz w:val="18"/>
          <w:szCs w:val="18"/>
          <w:lang w:val="hu-HU"/>
        </w:rPr>
        <w:tab/>
      </w:r>
      <w:r>
        <w:rPr>
          <w:i/>
          <w:sz w:val="18"/>
          <w:szCs w:val="18"/>
          <w:lang w:val="hu-HU"/>
        </w:rPr>
        <w:tab/>
        <w:t>2. Közepesen súlyos</w:t>
      </w:r>
      <w:r>
        <w:rPr>
          <w:i/>
          <w:sz w:val="18"/>
          <w:szCs w:val="18"/>
          <w:lang w:val="hu-HU"/>
        </w:rPr>
        <w:tab/>
      </w:r>
      <w:r>
        <w:rPr>
          <w:i/>
          <w:sz w:val="18"/>
          <w:szCs w:val="18"/>
          <w:lang w:val="hu-HU"/>
        </w:rPr>
        <w:tab/>
        <w:t>3. Súlyos</w:t>
      </w:r>
    </w:p>
    <w:p w:rsidR="00924E0A" w:rsidRDefault="00924E0A">
      <w:pPr>
        <w:pStyle w:val="Listaszerbekezds"/>
        <w:tabs>
          <w:tab w:val="clear" w:pos="567"/>
        </w:tabs>
        <w:spacing w:line="240" w:lineRule="atLeast"/>
        <w:ind w:left="907"/>
        <w:rPr>
          <w:sz w:val="18"/>
          <w:szCs w:val="18"/>
          <w:lang w:val="hu-HU"/>
        </w:rPr>
      </w:pPr>
    </w:p>
    <w:p w:rsidR="00924E0A" w:rsidRDefault="007F4C87">
      <w:pPr>
        <w:pStyle w:val="Listaszerbekezds"/>
        <w:tabs>
          <w:tab w:val="clear" w:pos="567"/>
        </w:tabs>
        <w:spacing w:line="240" w:lineRule="atLeast"/>
        <w:ind w:left="907" w:hanging="340"/>
        <w:rPr>
          <w:sz w:val="18"/>
          <w:szCs w:val="18"/>
          <w:lang w:val="hu-HU"/>
        </w:rPr>
      </w:pPr>
      <w:r>
        <w:rPr>
          <w:sz w:val="18"/>
          <w:szCs w:val="18"/>
          <w:lang w:val="hu-HU"/>
        </w:rPr>
        <w:t>1.</w:t>
      </w:r>
      <w:r>
        <w:rPr>
          <w:sz w:val="18"/>
          <w:szCs w:val="18"/>
          <w:lang w:val="hu-HU"/>
        </w:rPr>
        <w:tab/>
        <w:t>Enyhe: a fertőzés a köröm elülső szélénél kezdődik és legfeljebb a köröm felszínének egy negyedét érinti.</w:t>
      </w:r>
    </w:p>
    <w:p w:rsidR="00924E0A" w:rsidRDefault="007F4C87">
      <w:pPr>
        <w:pStyle w:val="Listaszerbekezds"/>
        <w:tabs>
          <w:tab w:val="clear" w:pos="567"/>
        </w:tabs>
        <w:spacing w:line="240" w:lineRule="atLeast"/>
        <w:ind w:left="907" w:hanging="340"/>
        <w:rPr>
          <w:b/>
          <w:bCs/>
          <w:i/>
          <w:noProof/>
          <w:sz w:val="18"/>
          <w:szCs w:val="18"/>
          <w:lang w:val="hu-HU"/>
        </w:rPr>
      </w:pPr>
      <w:r>
        <w:rPr>
          <w:sz w:val="18"/>
          <w:szCs w:val="18"/>
          <w:lang w:val="hu-HU"/>
        </w:rPr>
        <w:t>2.</w:t>
      </w:r>
      <w:r>
        <w:rPr>
          <w:sz w:val="18"/>
          <w:szCs w:val="18"/>
          <w:lang w:val="hu-HU"/>
        </w:rPr>
        <w:tab/>
        <w:t>Közepesen súlyos: a fertőzés a köröm elülső szélénél kezdődik és legfeljebb a köröm felszínének felét érinti.</w:t>
      </w:r>
    </w:p>
    <w:p w:rsidR="00924E0A" w:rsidRDefault="007F4C87">
      <w:pPr>
        <w:pStyle w:val="Listaszerbekezds"/>
        <w:tabs>
          <w:tab w:val="clear" w:pos="567"/>
        </w:tabs>
        <w:spacing w:line="240" w:lineRule="atLeast"/>
        <w:ind w:left="907" w:hanging="340"/>
        <w:rPr>
          <w:b/>
          <w:bCs/>
          <w:i/>
          <w:noProof/>
          <w:sz w:val="18"/>
          <w:szCs w:val="18"/>
          <w:lang w:val="hu-HU"/>
        </w:rPr>
      </w:pPr>
      <w:r>
        <w:rPr>
          <w:sz w:val="18"/>
          <w:szCs w:val="18"/>
          <w:lang w:val="hu-HU"/>
        </w:rPr>
        <w:t>3.</w:t>
      </w:r>
      <w:r>
        <w:rPr>
          <w:sz w:val="18"/>
          <w:szCs w:val="18"/>
          <w:lang w:val="hu-HU"/>
        </w:rPr>
        <w:tab/>
        <w:t xml:space="preserve">Súlyos: a fertőzés kiterjedten érinti a köröm felszínét és/vagy érinti a körömágybőr (kutikula, a bőr élettelen, külső rétege) közeli területet is. Ha az Önnél jelentkező fertőzés inkább a 3. képhez hasonlónak tűnik, akkor orvoshoz kell fordulnia. </w:t>
      </w:r>
    </w:p>
    <w:p w:rsidR="00924E0A" w:rsidRDefault="00924E0A">
      <w:pPr>
        <w:tabs>
          <w:tab w:val="clear" w:pos="567"/>
          <w:tab w:val="left" w:pos="720"/>
        </w:tabs>
        <w:spacing w:line="240" w:lineRule="auto"/>
        <w:ind w:right="-2"/>
        <w:rPr>
          <w:lang w:eastAsia="de-DE"/>
        </w:rPr>
      </w:pPr>
    </w:p>
    <w:p w:rsidR="00924E0A" w:rsidRDefault="007F4C87">
      <w:pPr>
        <w:tabs>
          <w:tab w:val="clear" w:pos="567"/>
          <w:tab w:val="left" w:pos="720"/>
        </w:tabs>
        <w:spacing w:line="240" w:lineRule="auto"/>
        <w:ind w:right="-2"/>
        <w:rPr>
          <w:lang w:val="hu-HU"/>
        </w:rPr>
      </w:pPr>
      <w:r>
        <w:rPr>
          <w:color w:val="000000"/>
          <w:lang w:val="hu-HU"/>
        </w:rPr>
        <w:t>Feltétlenül</w:t>
      </w:r>
      <w:r>
        <w:rPr>
          <w:lang w:val="hu-HU"/>
        </w:rPr>
        <w:t xml:space="preserve"> beszéljen kezelőorvosával, ha</w:t>
      </w:r>
      <w:r>
        <w:rPr>
          <w:color w:val="000000"/>
          <w:lang w:val="hu-HU"/>
        </w:rPr>
        <w:t xml:space="preserve"> kézkörmök esetében 6 hónap, lábkörmök esetében 9</w:t>
      </w:r>
      <w:r>
        <w:rPr>
          <w:color w:val="000000"/>
          <w:lang w:val="hu-HU"/>
        </w:rPr>
        <w:noBreakHyphen/>
        <w:t xml:space="preserve">12 hónapon belül </w:t>
      </w:r>
      <w:r>
        <w:rPr>
          <w:lang w:val="hu-HU"/>
        </w:rPr>
        <w:t>tünetei nem enyhülnek, vagy éppen súlyosbodnak.</w:t>
      </w:r>
    </w:p>
    <w:p w:rsidR="00924E0A" w:rsidRDefault="00924E0A">
      <w:pPr>
        <w:tabs>
          <w:tab w:val="clear" w:pos="567"/>
          <w:tab w:val="left" w:pos="720"/>
        </w:tabs>
        <w:spacing w:line="240" w:lineRule="auto"/>
        <w:ind w:right="-2"/>
        <w:rPr>
          <w:lang w:val="hu-HU"/>
        </w:rPr>
      </w:pPr>
    </w:p>
    <w:p w:rsidR="00924E0A" w:rsidRDefault="00924E0A">
      <w:pPr>
        <w:tabs>
          <w:tab w:val="clear" w:pos="567"/>
          <w:tab w:val="left" w:pos="720"/>
        </w:tabs>
        <w:spacing w:line="240" w:lineRule="auto"/>
        <w:ind w:right="-2"/>
        <w:rPr>
          <w:lang w:val="hu-HU"/>
        </w:rPr>
      </w:pPr>
    </w:p>
    <w:p w:rsidR="00924E0A" w:rsidRDefault="007F4C87">
      <w:pPr>
        <w:numPr>
          <w:ilvl w:val="0"/>
          <w:numId w:val="6"/>
        </w:numPr>
        <w:snapToGrid w:val="0"/>
        <w:spacing w:line="240" w:lineRule="auto"/>
        <w:ind w:right="-2"/>
        <w:rPr>
          <w:b/>
          <w:bCs/>
          <w:lang w:val="hu-HU"/>
        </w:rPr>
      </w:pPr>
      <w:r>
        <w:rPr>
          <w:b/>
          <w:bCs/>
          <w:lang w:val="hu-HU"/>
        </w:rPr>
        <w:t>Tudnivalók az Exoterbyn alkalmazása előtt</w:t>
      </w:r>
    </w:p>
    <w:p w:rsidR="00924E0A" w:rsidRDefault="00924E0A">
      <w:pPr>
        <w:tabs>
          <w:tab w:val="clear" w:pos="567"/>
          <w:tab w:val="left" w:pos="720"/>
        </w:tabs>
        <w:spacing w:line="240" w:lineRule="auto"/>
        <w:outlineLvl w:val="0"/>
        <w:rPr>
          <w:i/>
          <w:lang w:val="hu-HU"/>
        </w:rPr>
      </w:pPr>
    </w:p>
    <w:p w:rsidR="00924E0A" w:rsidRDefault="007F4C87">
      <w:pPr>
        <w:spacing w:line="240" w:lineRule="auto"/>
        <w:rPr>
          <w:b/>
          <w:bCs/>
          <w:lang w:val="hu-HU"/>
        </w:rPr>
      </w:pPr>
      <w:r>
        <w:rPr>
          <w:b/>
          <w:bCs/>
          <w:lang w:val="hu-HU"/>
        </w:rPr>
        <w:lastRenderedPageBreak/>
        <w:t>Ne alkalmazza az Exoterbyn-t:</w:t>
      </w:r>
    </w:p>
    <w:p w:rsidR="00924E0A" w:rsidRDefault="007F4C87">
      <w:pPr>
        <w:numPr>
          <w:ilvl w:val="0"/>
          <w:numId w:val="7"/>
        </w:numPr>
        <w:tabs>
          <w:tab w:val="clear" w:pos="360"/>
          <w:tab w:val="clear" w:pos="567"/>
        </w:tabs>
        <w:suppressAutoHyphens/>
        <w:snapToGrid w:val="0"/>
        <w:spacing w:line="240" w:lineRule="auto"/>
        <w:ind w:left="567" w:hanging="567"/>
        <w:rPr>
          <w:lang w:val="hu-HU"/>
        </w:rPr>
      </w:pPr>
      <w:r>
        <w:rPr>
          <w:lang w:val="hu-HU"/>
        </w:rPr>
        <w:t>ha allergiás a terbinafinra vagy a gyógyszer (6. pontban felsorolt) egyéb összetevőjére.</w:t>
      </w:r>
    </w:p>
    <w:p w:rsidR="00924E0A" w:rsidRDefault="00924E0A">
      <w:pPr>
        <w:suppressAutoHyphens/>
        <w:spacing w:line="240" w:lineRule="auto"/>
        <w:rPr>
          <w:lang w:val="hu-HU"/>
        </w:rPr>
      </w:pPr>
    </w:p>
    <w:p w:rsidR="00924E0A" w:rsidRDefault="007F4C87">
      <w:pPr>
        <w:spacing w:line="240" w:lineRule="auto"/>
        <w:ind w:right="-2"/>
        <w:rPr>
          <w:b/>
          <w:bCs/>
          <w:lang w:val="hu-HU"/>
        </w:rPr>
      </w:pPr>
      <w:bookmarkStart w:id="1" w:name="_Hlk22283755"/>
      <w:r>
        <w:rPr>
          <w:b/>
          <w:bCs/>
          <w:lang w:val="hu-HU"/>
        </w:rPr>
        <w:t>Figyelmeztetések és óvintézkedések</w:t>
      </w:r>
      <w:bookmarkEnd w:id="1"/>
    </w:p>
    <w:p w:rsidR="00924E0A" w:rsidRDefault="007F4C87">
      <w:pPr>
        <w:spacing w:line="240" w:lineRule="auto"/>
        <w:ind w:right="-2"/>
        <w:rPr>
          <w:lang w:val="hu-HU"/>
        </w:rPr>
      </w:pPr>
      <w:bookmarkStart w:id="2" w:name="_Hlk22285035"/>
      <w:r>
        <w:rPr>
          <w:lang w:val="hu-HU"/>
        </w:rPr>
        <w:t>Az Exoterbyn alkalmazása előtt beszéljen kezelőorvosával vagy gyógyszerészével</w:t>
      </w:r>
      <w:bookmarkEnd w:id="2"/>
      <w:r>
        <w:rPr>
          <w:lang w:val="hu-HU"/>
        </w:rPr>
        <w:t>, ha:</w:t>
      </w:r>
    </w:p>
    <w:p w:rsidR="00924E0A" w:rsidRDefault="007F4C87">
      <w:pPr>
        <w:pStyle w:val="Nincstrkz"/>
        <w:numPr>
          <w:ilvl w:val="0"/>
          <w:numId w:val="8"/>
        </w:numPr>
        <w:tabs>
          <w:tab w:val="left" w:pos="567"/>
        </w:tabs>
        <w:ind w:left="567" w:hanging="567"/>
        <w:rPr>
          <w:lang w:eastAsia="de-DE"/>
        </w:rPr>
      </w:pPr>
      <w:r>
        <w:rPr>
          <w:lang w:eastAsia="de-DE"/>
        </w:rPr>
        <w:t>a fertőzés 3</w:t>
      </w:r>
      <w:r>
        <w:rPr>
          <w:lang w:eastAsia="de-DE"/>
        </w:rPr>
        <w:noBreakHyphen/>
        <w:t>nál több körmöt érint vagy ha a köröm felszínének több mint a felét, illetve a körömágybőr (kutikula) közeli részt is érinti;</w:t>
      </w:r>
    </w:p>
    <w:p w:rsidR="00924E0A" w:rsidRDefault="007F4C87">
      <w:pPr>
        <w:pStyle w:val="Nincstrkz"/>
        <w:numPr>
          <w:ilvl w:val="0"/>
          <w:numId w:val="8"/>
        </w:numPr>
        <w:tabs>
          <w:tab w:val="left" w:pos="567"/>
        </w:tabs>
        <w:ind w:left="567" w:hanging="567"/>
        <w:rPr>
          <w:lang w:eastAsia="de-DE"/>
        </w:rPr>
      </w:pPr>
      <w:r>
        <w:rPr>
          <w:lang w:eastAsia="de-DE"/>
        </w:rPr>
        <w:t>Ön cukorbetegségben (</w:t>
      </w:r>
      <w:r>
        <w:rPr>
          <w:color w:val="000000"/>
        </w:rPr>
        <w:t xml:space="preserve">diabétesz) szenved; </w:t>
      </w:r>
    </w:p>
    <w:p w:rsidR="00924E0A" w:rsidRDefault="007F4C87">
      <w:pPr>
        <w:pStyle w:val="Nincstrkz"/>
        <w:numPr>
          <w:ilvl w:val="0"/>
          <w:numId w:val="8"/>
        </w:numPr>
        <w:tabs>
          <w:tab w:val="left" w:pos="567"/>
        </w:tabs>
        <w:ind w:left="567" w:hanging="567"/>
        <w:rPr>
          <w:lang w:eastAsia="de-DE"/>
        </w:rPr>
      </w:pPr>
      <w:r>
        <w:rPr>
          <w:color w:val="000000"/>
        </w:rPr>
        <w:t>Ön immunrendszeri betegségben szenved;</w:t>
      </w:r>
    </w:p>
    <w:p w:rsidR="00924E0A" w:rsidRDefault="007F4C87">
      <w:pPr>
        <w:pStyle w:val="Nincstrkz"/>
        <w:numPr>
          <w:ilvl w:val="0"/>
          <w:numId w:val="8"/>
        </w:numPr>
        <w:tabs>
          <w:tab w:val="left" w:pos="567"/>
        </w:tabs>
        <w:ind w:left="567" w:hanging="567"/>
        <w:rPr>
          <w:lang w:eastAsia="de-DE"/>
        </w:rPr>
      </w:pPr>
      <w:r>
        <w:rPr>
          <w:color w:val="000000"/>
        </w:rPr>
        <w:t>Ön vérkeringési zavarban (perifériás vaszkuláris betegség) szenved;</w:t>
      </w:r>
    </w:p>
    <w:p w:rsidR="00924E0A" w:rsidRDefault="007F4C87">
      <w:pPr>
        <w:pStyle w:val="Nincstrkz"/>
        <w:numPr>
          <w:ilvl w:val="0"/>
          <w:numId w:val="8"/>
        </w:numPr>
        <w:tabs>
          <w:tab w:val="left" w:pos="567"/>
        </w:tabs>
        <w:ind w:left="567" w:hanging="567"/>
        <w:rPr>
          <w:lang w:eastAsia="de-DE"/>
        </w:rPr>
      </w:pPr>
      <w:r>
        <w:rPr>
          <w:color w:val="000000"/>
        </w:rPr>
        <w:t xml:space="preserve">sérült, fájdalmas vagy súlyosan károsodott körmei vannak; </w:t>
      </w:r>
    </w:p>
    <w:p w:rsidR="00924E0A" w:rsidRDefault="007F4C87">
      <w:pPr>
        <w:pStyle w:val="Nincstrkz"/>
        <w:numPr>
          <w:ilvl w:val="0"/>
          <w:numId w:val="8"/>
        </w:numPr>
        <w:tabs>
          <w:tab w:val="left" w:pos="567"/>
        </w:tabs>
        <w:ind w:left="567" w:hanging="567"/>
        <w:rPr>
          <w:lang w:eastAsia="de-DE"/>
        </w:rPr>
      </w:pPr>
      <w:r>
        <w:rPr>
          <w:color w:val="000000"/>
        </w:rPr>
        <w:t>Ön bőrbetegségben (például pikkelysömör) szenved;</w:t>
      </w:r>
    </w:p>
    <w:p w:rsidR="00924E0A" w:rsidRDefault="007F4C87">
      <w:pPr>
        <w:pStyle w:val="Nincstrkz"/>
        <w:numPr>
          <w:ilvl w:val="0"/>
          <w:numId w:val="8"/>
        </w:numPr>
        <w:tabs>
          <w:tab w:val="left" w:pos="567"/>
        </w:tabs>
        <w:ind w:left="567" w:hanging="567"/>
        <w:rPr>
          <w:lang w:eastAsia="de-DE"/>
        </w:rPr>
      </w:pPr>
      <w:r>
        <w:rPr>
          <w:color w:val="000000"/>
        </w:rPr>
        <w:t xml:space="preserve">Ön sárga köröm szindrómában (a lábak vizenyős duzzanatával, légzési problémákkal, valamint a körmök sárga elszíneződésével járó betegségben) szenved. </w:t>
      </w:r>
    </w:p>
    <w:p w:rsidR="00924E0A" w:rsidRDefault="00924E0A">
      <w:pPr>
        <w:pStyle w:val="Nincstrkz"/>
      </w:pPr>
    </w:p>
    <w:p w:rsidR="00924E0A" w:rsidRDefault="007F4C87">
      <w:pPr>
        <w:pStyle w:val="Nincstrkz"/>
      </w:pPr>
      <w:r>
        <w:t xml:space="preserve">Az Exoterbyn kizárólag külsőleg alkalmazható. </w:t>
      </w:r>
    </w:p>
    <w:p w:rsidR="00924E0A" w:rsidRDefault="00924E0A">
      <w:pPr>
        <w:pStyle w:val="Nincstrkz"/>
      </w:pPr>
    </w:p>
    <w:p w:rsidR="00924E0A" w:rsidRDefault="007F4C87">
      <w:pPr>
        <w:pStyle w:val="Nincstrkz"/>
        <w:rPr>
          <w:lang w:eastAsia="de-DE"/>
        </w:rPr>
      </w:pPr>
      <w:r>
        <w:rPr>
          <w:lang w:eastAsia="de-DE"/>
        </w:rPr>
        <w:t xml:space="preserve">Kerülje el, hogy az érintett területeken kívül a lakk bármely más testrészével érintkezésbe kerüljön, amíg teljesen meg nem szárad. Irritáció előfordulhat, ha a lakk véletlenül a szembe vagy a nyálkahártyára jut. Amennyiben véletlenül ezekre a területekre kerül, folyó vízzel alaposan le kell öblíteni. </w:t>
      </w:r>
    </w:p>
    <w:p w:rsidR="00924E0A" w:rsidRDefault="00924E0A">
      <w:pPr>
        <w:pStyle w:val="Nincstrkz"/>
      </w:pPr>
    </w:p>
    <w:p w:rsidR="00924E0A" w:rsidRDefault="007F4C87">
      <w:pPr>
        <w:pStyle w:val="Nincstrkz"/>
      </w:pPr>
      <w:r>
        <w:t>A kezelés alatt ne használjon körömlakkot vagy egyéb, olyan kozmetikumot, amit a körömre és/vagy a kézre kell kenni, mivel ezek befolyásolhatják az Exoterbyn hatását.</w:t>
      </w:r>
    </w:p>
    <w:p w:rsidR="00924E0A" w:rsidRDefault="00924E0A">
      <w:pPr>
        <w:spacing w:line="240" w:lineRule="auto"/>
        <w:ind w:right="-2"/>
        <w:rPr>
          <w:lang w:val="hu-HU"/>
        </w:rPr>
      </w:pPr>
    </w:p>
    <w:p w:rsidR="00924E0A" w:rsidRDefault="007F4C87">
      <w:pPr>
        <w:spacing w:line="240" w:lineRule="auto"/>
        <w:ind w:right="-2"/>
        <w:rPr>
          <w:b/>
          <w:bCs/>
          <w:lang w:val="hu-HU"/>
        </w:rPr>
      </w:pPr>
      <w:r>
        <w:rPr>
          <w:b/>
          <w:bCs/>
          <w:lang w:val="hu-HU"/>
        </w:rPr>
        <w:t>Gyermekek és serdülők</w:t>
      </w:r>
    </w:p>
    <w:p w:rsidR="00924E0A" w:rsidRDefault="00924E0A">
      <w:pPr>
        <w:pStyle w:val="Nincstrkz"/>
      </w:pPr>
    </w:p>
    <w:p w:rsidR="00924E0A" w:rsidRDefault="007F4C87">
      <w:pPr>
        <w:pStyle w:val="Nincstrkz"/>
        <w:rPr>
          <w:color w:val="000000"/>
        </w:rPr>
      </w:pPr>
      <w:r>
        <w:t xml:space="preserve">Az Exoterbyn-t nem szabad gyermekeknél, és 18 éves kor alatti serdülőknél alkalmazni, mivel nincsenek olyan klinikai vizsgálatok, amelyeket ennél a korcsoportnál végeztek el. </w:t>
      </w:r>
    </w:p>
    <w:p w:rsidR="00924E0A" w:rsidRDefault="00924E0A">
      <w:pPr>
        <w:pStyle w:val="Nincstrkz"/>
      </w:pPr>
    </w:p>
    <w:p w:rsidR="00924E0A" w:rsidRDefault="007F4C87">
      <w:pPr>
        <w:spacing w:line="240" w:lineRule="auto"/>
        <w:ind w:right="-2"/>
        <w:rPr>
          <w:b/>
          <w:bCs/>
          <w:lang w:val="hu-HU"/>
        </w:rPr>
      </w:pPr>
      <w:r>
        <w:rPr>
          <w:b/>
          <w:bCs/>
          <w:lang w:val="hu-HU"/>
        </w:rPr>
        <w:t>Egyéb gyógyszerek és az Exoterbyn</w:t>
      </w:r>
    </w:p>
    <w:p w:rsidR="00924E0A" w:rsidRDefault="00924E0A">
      <w:pPr>
        <w:pStyle w:val="Nincstrkz"/>
      </w:pPr>
    </w:p>
    <w:p w:rsidR="00924E0A" w:rsidRDefault="007F4C87">
      <w:pPr>
        <w:widowControl w:val="0"/>
        <w:tabs>
          <w:tab w:val="clear" w:pos="567"/>
        </w:tabs>
        <w:autoSpaceDE w:val="0"/>
        <w:autoSpaceDN w:val="0"/>
        <w:spacing w:line="240" w:lineRule="auto"/>
        <w:rPr>
          <w:lang w:val="hu-HU"/>
        </w:rPr>
      </w:pPr>
      <w:r>
        <w:rPr>
          <w:lang w:val="hu-HU"/>
        </w:rPr>
        <w:t xml:space="preserve">Feltétlenül tájékoztassa kezelőorvosát vagy gyógyszerészét a jelenleg vagy nemrégiben alkalmazott, </w:t>
      </w:r>
      <w:bookmarkStart w:id="3" w:name="_Hlk517107146"/>
      <w:r>
        <w:rPr>
          <w:lang w:val="hu-HU"/>
        </w:rPr>
        <w:t>valamint alkalmazni tervezett egyéb gyógyszereiről</w:t>
      </w:r>
      <w:bookmarkEnd w:id="3"/>
      <w:r>
        <w:rPr>
          <w:lang w:val="hu-HU"/>
        </w:rPr>
        <w:t>.</w:t>
      </w:r>
    </w:p>
    <w:p w:rsidR="00924E0A" w:rsidRDefault="00924E0A">
      <w:pPr>
        <w:pStyle w:val="Nincstrkz"/>
      </w:pPr>
    </w:p>
    <w:p w:rsidR="00924E0A" w:rsidRDefault="007F4C87">
      <w:pPr>
        <w:pStyle w:val="Nincstrkz"/>
        <w:rPr>
          <w:lang w:eastAsia="de-DE"/>
        </w:rPr>
      </w:pPr>
      <w:r>
        <w:t>Amennyiben az Exoterbyn</w:t>
      </w:r>
      <w:r>
        <w:rPr>
          <w:lang w:eastAsia="de-DE"/>
        </w:rPr>
        <w:t>-t az utasításoknak megfelelően alkalmazzák, a köröm bekenése után nagyon kis mennyiségű terbinafin szívódik fel a szervezetbe, ezért nem valószínű, hogy kölcsönhatásba lépne az Ön által szedett bármilyen más gyógyszerrel.</w:t>
      </w:r>
    </w:p>
    <w:p w:rsidR="00924E0A" w:rsidRDefault="00924E0A">
      <w:pPr>
        <w:pStyle w:val="Nincstrkz"/>
      </w:pPr>
    </w:p>
    <w:p w:rsidR="00924E0A" w:rsidRDefault="007F4C87">
      <w:pPr>
        <w:pStyle w:val="Nincstrkz"/>
        <w:rPr>
          <w:lang w:eastAsia="de-DE"/>
        </w:rPr>
      </w:pPr>
      <w:r>
        <w:t xml:space="preserve">Az Exoterbyn alkalmazása alatt ne használjon más gyógyszereket az érintett területeken. </w:t>
      </w:r>
    </w:p>
    <w:p w:rsidR="00924E0A" w:rsidRDefault="00924E0A">
      <w:pPr>
        <w:spacing w:line="240" w:lineRule="auto"/>
        <w:rPr>
          <w:lang w:val="hu-HU"/>
        </w:rPr>
      </w:pPr>
    </w:p>
    <w:p w:rsidR="00924E0A" w:rsidRDefault="007F4C87">
      <w:pPr>
        <w:spacing w:line="240" w:lineRule="auto"/>
        <w:ind w:right="-2"/>
        <w:rPr>
          <w:b/>
          <w:bCs/>
          <w:lang w:val="hu-HU"/>
        </w:rPr>
      </w:pPr>
      <w:r>
        <w:rPr>
          <w:b/>
          <w:bCs/>
          <w:lang w:val="hu-HU"/>
        </w:rPr>
        <w:t>Terhesség, szoptatás és termékenység</w:t>
      </w:r>
    </w:p>
    <w:p w:rsidR="00924E0A" w:rsidRDefault="00924E0A">
      <w:pPr>
        <w:pStyle w:val="Nincstrkz"/>
      </w:pPr>
      <w:bookmarkStart w:id="4" w:name="_Hlk22283861"/>
    </w:p>
    <w:p w:rsidR="00924E0A" w:rsidRDefault="007F4C87">
      <w:pPr>
        <w:pStyle w:val="Nincstrkz"/>
      </w:pPr>
      <w:r>
        <w:t>Ha Ön terhes, illetve ha fennáll Önnél a terhesség lehetősége vagy gyermeket szeretne, a gyógyszer alkalmazása előtt beszéljen kezelőorvosával vagy gyógyszerészével</w:t>
      </w:r>
      <w:bookmarkEnd w:id="4"/>
      <w:r>
        <w:t xml:space="preserve">. Az Exoterbyn-t csak akkor szabad terhesség alatt alkalmazni, ha ez feltétlenül szükséges. </w:t>
      </w:r>
    </w:p>
    <w:p w:rsidR="00924E0A" w:rsidRDefault="00924E0A">
      <w:pPr>
        <w:pStyle w:val="Nincstrkz"/>
      </w:pPr>
    </w:p>
    <w:p w:rsidR="00924E0A" w:rsidRDefault="007F4C87">
      <w:pPr>
        <w:pStyle w:val="Nincstrkz"/>
        <w:rPr>
          <w:rFonts w:eastAsia="SimSun"/>
        </w:rPr>
      </w:pPr>
      <w:r>
        <w:rPr>
          <w:rFonts w:eastAsia="SimSun"/>
        </w:rPr>
        <w:t xml:space="preserve">Ez a gyógyszer bejuthat az anyatejbe. Ha Ön </w:t>
      </w:r>
      <w:r>
        <w:t xml:space="preserve">szoptat, a gyógyszer alkalmazása előtt kérjen tanácsot kezelőorvosától. </w:t>
      </w:r>
    </w:p>
    <w:p w:rsidR="00924E0A" w:rsidRDefault="00924E0A">
      <w:pPr>
        <w:pStyle w:val="Nincstrkz"/>
        <w:rPr>
          <w:rFonts w:eastAsia="SimSun"/>
        </w:rPr>
      </w:pPr>
    </w:p>
    <w:p w:rsidR="00924E0A" w:rsidRDefault="007F4C87">
      <w:pPr>
        <w:pStyle w:val="Nincstrkz"/>
        <w:rPr>
          <w:rFonts w:eastAsia="SimSun"/>
        </w:rPr>
      </w:pPr>
      <w:r>
        <w:rPr>
          <w:rFonts w:eastAsia="SimSun"/>
        </w:rPr>
        <w:t xml:space="preserve">Ne engedje, hogy a csecsemő érintkezésbe kerüljön bármilyen kezelt felülettel. Mindenképpen akadályozza meg, hogy csecsemő a kezelt körmöket a szájába vegye. </w:t>
      </w:r>
    </w:p>
    <w:p w:rsidR="00924E0A" w:rsidRDefault="00924E0A">
      <w:pPr>
        <w:pStyle w:val="Nincstrkz"/>
      </w:pPr>
    </w:p>
    <w:p w:rsidR="00924E0A" w:rsidRDefault="007F4C87">
      <w:pPr>
        <w:pStyle w:val="Nincstrkz"/>
        <w:rPr>
          <w:b/>
          <w:bCs/>
        </w:rPr>
      </w:pPr>
      <w:r>
        <w:rPr>
          <w:b/>
          <w:bCs/>
        </w:rPr>
        <w:t>A készítmény hatásai a gépjárművezetéshez és a gépek kezeléséhez szükséges képességekre</w:t>
      </w:r>
    </w:p>
    <w:p w:rsidR="00924E0A" w:rsidRDefault="007F4C87">
      <w:pPr>
        <w:pStyle w:val="Nincstrkz"/>
      </w:pPr>
      <w:r>
        <w:t xml:space="preserve">Az </w:t>
      </w:r>
      <w:r>
        <w:rPr>
          <w:noProof/>
        </w:rPr>
        <w:t xml:space="preserve">Exoterbyn nem </w:t>
      </w:r>
      <w:r>
        <w:t>befolyásolja a gépjárművezetéshez és a gépek kezeléséhez szükséges képességeket.</w:t>
      </w:r>
    </w:p>
    <w:p w:rsidR="00924E0A" w:rsidRDefault="00924E0A">
      <w:pPr>
        <w:spacing w:line="240" w:lineRule="auto"/>
        <w:ind w:right="-29"/>
        <w:rPr>
          <w:lang w:val="hu-HU"/>
        </w:rPr>
      </w:pPr>
    </w:p>
    <w:p w:rsidR="00924E0A" w:rsidRDefault="007F4C87">
      <w:pPr>
        <w:keepNext/>
        <w:tabs>
          <w:tab w:val="clear" w:pos="567"/>
          <w:tab w:val="left" w:pos="720"/>
        </w:tabs>
        <w:spacing w:line="240" w:lineRule="auto"/>
        <w:ind w:right="-2"/>
        <w:outlineLvl w:val="0"/>
        <w:rPr>
          <w:b/>
          <w:bCs/>
          <w:lang w:val="hu-HU"/>
        </w:rPr>
      </w:pPr>
      <w:r>
        <w:rPr>
          <w:b/>
          <w:bCs/>
          <w:lang w:val="hu-HU"/>
        </w:rPr>
        <w:lastRenderedPageBreak/>
        <w:t>Az Exoterbyn alkoholt (etanolt) tartalmaz</w:t>
      </w:r>
    </w:p>
    <w:p w:rsidR="00924E0A" w:rsidRDefault="007F4C87">
      <w:pPr>
        <w:pStyle w:val="Nincstrkz"/>
        <w:keepNext/>
        <w:rPr>
          <w:color w:val="000000"/>
        </w:rPr>
      </w:pPr>
      <w:r>
        <w:t xml:space="preserve">Ez a készítmény 616 mg alkoholt (etanolt) tartalmaz egy milliliter gyógyszeres körömlakkban. Sérült bőrön égő érzést okozhat. </w:t>
      </w:r>
    </w:p>
    <w:p w:rsidR="00924E0A" w:rsidRDefault="00924E0A">
      <w:pPr>
        <w:tabs>
          <w:tab w:val="clear" w:pos="567"/>
          <w:tab w:val="left" w:pos="720"/>
        </w:tabs>
        <w:spacing w:line="240" w:lineRule="auto"/>
        <w:ind w:right="-2"/>
        <w:rPr>
          <w:lang w:val="hu-HU"/>
        </w:rPr>
      </w:pPr>
    </w:p>
    <w:p w:rsidR="00924E0A" w:rsidRDefault="00924E0A">
      <w:pPr>
        <w:tabs>
          <w:tab w:val="clear" w:pos="567"/>
          <w:tab w:val="left" w:pos="720"/>
        </w:tabs>
        <w:spacing w:line="240" w:lineRule="auto"/>
        <w:ind w:right="-2"/>
        <w:rPr>
          <w:lang w:val="hu-HU"/>
        </w:rPr>
      </w:pPr>
    </w:p>
    <w:p w:rsidR="00924E0A" w:rsidRDefault="007F4C87">
      <w:pPr>
        <w:numPr>
          <w:ilvl w:val="0"/>
          <w:numId w:val="6"/>
        </w:numPr>
        <w:tabs>
          <w:tab w:val="clear" w:pos="570"/>
        </w:tabs>
        <w:snapToGrid w:val="0"/>
        <w:spacing w:line="240" w:lineRule="auto"/>
        <w:ind w:right="-2"/>
        <w:rPr>
          <w:b/>
          <w:bCs/>
          <w:lang w:val="hu-HU"/>
        </w:rPr>
      </w:pPr>
      <w:r>
        <w:rPr>
          <w:b/>
          <w:bCs/>
          <w:lang w:val="hu-HU"/>
        </w:rPr>
        <w:t>Hogyan kell alkalmazni az Exoterbyn-t?</w:t>
      </w:r>
    </w:p>
    <w:p w:rsidR="00924E0A" w:rsidRDefault="00924E0A">
      <w:pPr>
        <w:spacing w:line="240" w:lineRule="auto"/>
        <w:ind w:right="-2"/>
        <w:rPr>
          <w:lang w:val="hu-HU"/>
        </w:rPr>
      </w:pPr>
    </w:p>
    <w:p w:rsidR="00924E0A" w:rsidRDefault="007F4C87">
      <w:pPr>
        <w:spacing w:line="240" w:lineRule="auto"/>
        <w:ind w:right="-2"/>
        <w:rPr>
          <w:lang w:val="hu-HU"/>
        </w:rPr>
      </w:pPr>
      <w:r>
        <w:rPr>
          <w:lang w:val="hu-HU"/>
        </w:rPr>
        <w:t>Ezt a gyógyszert mindig pontosan a betegtájékoztatóban leírtaknak, vagy az Ön kezelőorvosa vagy gyógyszerésze által elmondottaknak megfelelően alkalmazza. Amennyiben nem biztos az adagolást illetően, kérdezze meg kezelőorvosát vagy gyógyszerészét.</w:t>
      </w:r>
    </w:p>
    <w:p w:rsidR="00924E0A" w:rsidRDefault="00924E0A">
      <w:pPr>
        <w:spacing w:line="240" w:lineRule="auto"/>
        <w:ind w:right="-2"/>
        <w:rPr>
          <w:lang w:val="hu-HU"/>
        </w:rPr>
      </w:pPr>
    </w:p>
    <w:p w:rsidR="00924E0A" w:rsidRDefault="007F4C87">
      <w:pPr>
        <w:pStyle w:val="Nincstrkz"/>
        <w:rPr>
          <w:lang w:eastAsia="de-DE"/>
        </w:rPr>
      </w:pPr>
      <w:r>
        <w:rPr>
          <w:lang w:eastAsia="de-DE"/>
        </w:rPr>
        <w:t xml:space="preserve">Kéz- vagy lábkörmökön történő alkalmazásra. </w:t>
      </w:r>
    </w:p>
    <w:p w:rsidR="00924E0A" w:rsidRDefault="00924E0A">
      <w:pPr>
        <w:pStyle w:val="Nincstrkz"/>
        <w:rPr>
          <w:lang w:eastAsia="de-DE"/>
        </w:rPr>
      </w:pPr>
    </w:p>
    <w:p w:rsidR="00924E0A" w:rsidRDefault="007F4C87">
      <w:pPr>
        <w:pStyle w:val="Nincstrkz"/>
      </w:pPr>
      <w:r>
        <w:rPr>
          <w:b/>
          <w:bCs/>
          <w:lang w:eastAsia="de-DE"/>
        </w:rPr>
        <w:t>Alkalmazási utasítás</w:t>
      </w:r>
    </w:p>
    <w:p w:rsidR="00924E0A" w:rsidRDefault="007F4C87">
      <w:pPr>
        <w:pStyle w:val="Nincstrkz"/>
        <w:numPr>
          <w:ilvl w:val="2"/>
          <w:numId w:val="3"/>
        </w:numPr>
        <w:tabs>
          <w:tab w:val="clear" w:pos="0"/>
          <w:tab w:val="left" w:pos="284"/>
        </w:tabs>
        <w:ind w:left="851" w:hanging="851"/>
        <w:rPr>
          <w:lang w:eastAsia="de-DE"/>
        </w:rPr>
      </w:pPr>
      <w:r>
        <w:rPr>
          <w:lang w:eastAsia="de-DE"/>
        </w:rPr>
        <w:t xml:space="preserve">lépés: Az Exoterbyn alkalmazása előtt távolítson el minden körömlakkot és egyéb kozmetikai készítményt a körmökről, valamint a közvetlenül mellettük lévő bőrről. </w:t>
      </w:r>
    </w:p>
    <w:p w:rsidR="00924E0A" w:rsidRDefault="007F4C87">
      <w:pPr>
        <w:pStyle w:val="Nincstrkz"/>
        <w:numPr>
          <w:ilvl w:val="2"/>
          <w:numId w:val="3"/>
        </w:numPr>
        <w:tabs>
          <w:tab w:val="left" w:pos="284"/>
        </w:tabs>
        <w:rPr>
          <w:lang w:eastAsia="de-DE"/>
        </w:rPr>
      </w:pPr>
      <w:r>
        <w:rPr>
          <w:lang w:eastAsia="de-DE"/>
        </w:rPr>
        <w:t xml:space="preserve">lépés: Alaposan tisztítsa meg és szárítsa meg az érintett területeket. </w:t>
      </w:r>
    </w:p>
    <w:p w:rsidR="00924E0A" w:rsidRDefault="007F4C87">
      <w:pPr>
        <w:pStyle w:val="Nincstrkz"/>
        <w:numPr>
          <w:ilvl w:val="1"/>
          <w:numId w:val="3"/>
        </w:numPr>
        <w:tabs>
          <w:tab w:val="left" w:pos="284"/>
        </w:tabs>
        <w:rPr>
          <w:lang w:eastAsia="de-DE"/>
        </w:rPr>
      </w:pPr>
      <w:r>
        <w:rPr>
          <w:lang w:eastAsia="de-DE"/>
        </w:rPr>
        <w:t>lépés: Csavarja le a palack kupakját.</w:t>
      </w:r>
    </w:p>
    <w:p w:rsidR="00924E0A" w:rsidRDefault="007F4C87">
      <w:pPr>
        <w:pStyle w:val="Nincstrkz"/>
        <w:numPr>
          <w:ilvl w:val="1"/>
          <w:numId w:val="3"/>
        </w:numPr>
        <w:tabs>
          <w:tab w:val="left" w:pos="284"/>
        </w:tabs>
        <w:rPr>
          <w:lang w:eastAsia="de-DE"/>
        </w:rPr>
      </w:pPr>
      <w:r>
        <w:rPr>
          <w:lang w:eastAsia="de-DE"/>
        </w:rPr>
        <w:t xml:space="preserve">lépés: Merítse bele az applikátort a körömlakkba. </w:t>
      </w:r>
    </w:p>
    <w:p w:rsidR="00924E0A" w:rsidRDefault="007F4C87">
      <w:pPr>
        <w:pStyle w:val="Nincstrkz"/>
        <w:numPr>
          <w:ilvl w:val="1"/>
          <w:numId w:val="3"/>
        </w:numPr>
        <w:tabs>
          <w:tab w:val="clear" w:pos="0"/>
          <w:tab w:val="left" w:pos="284"/>
        </w:tabs>
        <w:ind w:left="851" w:hanging="851"/>
        <w:rPr>
          <w:lang w:eastAsia="de-DE"/>
        </w:rPr>
      </w:pPr>
      <w:r>
        <w:rPr>
          <w:lang w:eastAsia="de-DE"/>
        </w:rPr>
        <w:t xml:space="preserve">lépés: </w:t>
      </w:r>
      <w:r>
        <w:t xml:space="preserve">Az applikátorral vékony rétegben vigye fel az </w:t>
      </w:r>
      <w:r>
        <w:rPr>
          <w:lang w:eastAsia="de-DE"/>
        </w:rPr>
        <w:t>Exoterbyn</w:t>
      </w:r>
      <w:r>
        <w:t>-t az érintett köröm teljes felszínére, valamint egy 5 mm</w:t>
      </w:r>
      <w:r>
        <w:noBreakHyphen/>
        <w:t>es sávban a környező bőrre, és ha lehetséges, az elülső körömszél alá, valamint a köröm alatti bőrre is</w:t>
      </w:r>
      <w:r>
        <w:rPr>
          <w:lang w:eastAsia="de-DE"/>
        </w:rPr>
        <w:t xml:space="preserve">. </w:t>
      </w:r>
    </w:p>
    <w:p w:rsidR="00924E0A" w:rsidRDefault="007F4C87">
      <w:pPr>
        <w:pStyle w:val="Nincstrkz"/>
        <w:numPr>
          <w:ilvl w:val="1"/>
          <w:numId w:val="3"/>
        </w:numPr>
        <w:tabs>
          <w:tab w:val="clear" w:pos="0"/>
          <w:tab w:val="left" w:pos="284"/>
        </w:tabs>
        <w:ind w:left="851" w:hanging="851"/>
        <w:rPr>
          <w:lang w:eastAsia="de-DE"/>
        </w:rPr>
      </w:pPr>
      <w:r>
        <w:rPr>
          <w:lang w:eastAsia="de-DE"/>
        </w:rPr>
        <w:t>lépés: Várjon k</w:t>
      </w:r>
      <w:r>
        <w:t xml:space="preserve">örülbelül 30 másodpercet, amíg a lakk teljesen megszárad, mielőtt bármilyen tevékenységbe kezd. </w:t>
      </w:r>
    </w:p>
    <w:p w:rsidR="00924E0A" w:rsidRDefault="007F4C87">
      <w:pPr>
        <w:pStyle w:val="Nincstrkz"/>
        <w:numPr>
          <w:ilvl w:val="1"/>
          <w:numId w:val="3"/>
        </w:numPr>
        <w:tabs>
          <w:tab w:val="left" w:pos="284"/>
        </w:tabs>
        <w:rPr>
          <w:lang w:eastAsia="de-DE"/>
        </w:rPr>
      </w:pPr>
      <w:r>
        <w:rPr>
          <w:lang w:eastAsia="de-DE"/>
        </w:rPr>
        <w:t>lépés: Szorosan zárja le a palackot.</w:t>
      </w:r>
    </w:p>
    <w:p w:rsidR="00924E0A" w:rsidRDefault="00924E0A">
      <w:pPr>
        <w:pStyle w:val="Nincstrkz"/>
        <w:rPr>
          <w:lang w:eastAsia="de-DE"/>
        </w:rPr>
      </w:pPr>
    </w:p>
    <w:p w:rsidR="00924E0A" w:rsidRDefault="007F4C87">
      <w:pPr>
        <w:pStyle w:val="Nincstrkz"/>
      </w:pPr>
      <w:r>
        <w:t xml:space="preserve">A kezelt körmöket legalább 6 órán keresztül nem szabad lemosni vagy nedvességnek kitenni. Ennek megfelelően az alkalmazás este, lefekvés előtt és zuhanyozás vagy fürdés után ajánlott. Ezt követően a szokásos higiénés gyakorlatot lehet követni. </w:t>
      </w:r>
    </w:p>
    <w:p w:rsidR="00924E0A" w:rsidRDefault="00924E0A">
      <w:pPr>
        <w:pStyle w:val="Nincstrkz"/>
      </w:pPr>
    </w:p>
    <w:p w:rsidR="00924E0A" w:rsidRDefault="007F4C87">
      <w:pPr>
        <w:pStyle w:val="Nincstrkz"/>
      </w:pPr>
      <w:r>
        <w:t xml:space="preserve">Az </w:t>
      </w:r>
      <w:r>
        <w:rPr>
          <w:lang w:val="en-GB"/>
        </w:rPr>
        <w:t>Exoterbyn</w:t>
      </w:r>
      <w:r>
        <w:t xml:space="preserve"> eltávolításához nincs szükség speciális oldószerre. Könnyen eltávolítható a körmök vízzel történő lemosásával. Nincs szükség a körmök lereszelésére. </w:t>
      </w:r>
    </w:p>
    <w:p w:rsidR="00924E0A" w:rsidRDefault="00924E0A">
      <w:pPr>
        <w:pStyle w:val="Nincstrkz"/>
        <w:rPr>
          <w:lang w:eastAsia="de-DE"/>
        </w:rPr>
      </w:pPr>
    </w:p>
    <w:p w:rsidR="00924E0A" w:rsidRDefault="007F4C87">
      <w:pPr>
        <w:pStyle w:val="Nincstrkz"/>
      </w:pPr>
      <w:r>
        <w:rPr>
          <w:b/>
          <w:bCs/>
          <w:lang w:eastAsia="de-DE"/>
        </w:rPr>
        <w:t>A kezelés időtartama</w:t>
      </w:r>
    </w:p>
    <w:p w:rsidR="00924E0A" w:rsidRDefault="007F4C87">
      <w:pPr>
        <w:pStyle w:val="Nincstrkz"/>
        <w:rPr>
          <w:lang w:eastAsia="de-DE"/>
        </w:rPr>
      </w:pPr>
      <w:r>
        <w:rPr>
          <w:lang w:eastAsia="de-DE"/>
        </w:rPr>
        <w:t>Az első 4 héten naponta egyszer kell rákenni az Exoterbyn-t az érintett körmökre. Ezt követően hetente egyszer alkalmazza az Exoterbyn</w:t>
      </w:r>
      <w:r>
        <w:t>-t</w:t>
      </w:r>
      <w:r>
        <w:rPr>
          <w:lang w:eastAsia="de-DE"/>
        </w:rPr>
        <w:t>.</w:t>
      </w:r>
    </w:p>
    <w:p w:rsidR="00924E0A" w:rsidRDefault="00924E0A">
      <w:pPr>
        <w:pStyle w:val="Nincstrkz"/>
        <w:rPr>
          <w:lang w:eastAsia="de-DE"/>
        </w:rPr>
      </w:pPr>
    </w:p>
    <w:p w:rsidR="00924E0A" w:rsidRDefault="007F4C87">
      <w:pPr>
        <w:pStyle w:val="Nincstrkz"/>
        <w:rPr>
          <w:color w:val="000000"/>
          <w:shd w:val="clear" w:color="auto" w:fill="FFFFFF"/>
        </w:rPr>
      </w:pPr>
      <w:r>
        <w:rPr>
          <w:lang w:eastAsia="de-DE"/>
        </w:rPr>
        <w:t xml:space="preserve">A kezelést addig kell folytatni, amíg a kezelt köröm sima nem lesz vagy jelentősen javul a kinézete. </w:t>
      </w:r>
    </w:p>
    <w:p w:rsidR="00924E0A" w:rsidRDefault="007F4C87">
      <w:pPr>
        <w:pStyle w:val="Nincstrkz"/>
        <w:rPr>
          <w:color w:val="000000"/>
          <w:shd w:val="clear" w:color="auto" w:fill="FFFFFF"/>
        </w:rPr>
      </w:pPr>
      <w:r>
        <w:rPr>
          <w:color w:val="000000"/>
          <w:shd w:val="clear" w:color="auto" w:fill="FFFFFF"/>
        </w:rPr>
        <w:t xml:space="preserve">Bizonyos esetekben kiegészítő, szájon át szedett gyógyszerrel végzett terápiára is szükség van. </w:t>
      </w:r>
    </w:p>
    <w:p w:rsidR="00924E0A" w:rsidRDefault="00924E0A">
      <w:pPr>
        <w:pStyle w:val="Nincstrkz"/>
        <w:rPr>
          <w:color w:val="000000"/>
          <w:shd w:val="clear" w:color="auto" w:fill="FFFFFF"/>
        </w:rPr>
      </w:pPr>
    </w:p>
    <w:p w:rsidR="00924E0A" w:rsidRDefault="007F4C87">
      <w:pPr>
        <w:pStyle w:val="Nincstrkz"/>
        <w:rPr>
          <w:lang w:eastAsia="de-DE"/>
        </w:rPr>
      </w:pPr>
      <w:r>
        <w:rPr>
          <w:lang w:eastAsia="de-DE"/>
        </w:rPr>
        <w:t>A kezelés időtartama a kézkörmök esetében általában körülbelül 6 hónap, míg a lábkörmöknél körülbelül 9</w:t>
      </w:r>
      <w:r>
        <w:rPr>
          <w:lang w:eastAsia="de-DE"/>
        </w:rPr>
        <w:noBreakHyphen/>
        <w:t>12 hónap.</w:t>
      </w:r>
    </w:p>
    <w:p w:rsidR="00924E0A" w:rsidRDefault="00924E0A">
      <w:pPr>
        <w:pStyle w:val="Nincstrkz"/>
        <w:rPr>
          <w:lang w:eastAsia="de-DE"/>
        </w:rPr>
      </w:pPr>
    </w:p>
    <w:p w:rsidR="00924E0A" w:rsidRDefault="007F4C87">
      <w:pPr>
        <w:pStyle w:val="Nincstrkz"/>
        <w:rPr>
          <w:color w:val="000000"/>
          <w:shd w:val="clear" w:color="auto" w:fill="FFFFFF"/>
        </w:rPr>
      </w:pPr>
      <w:r>
        <w:rPr>
          <w:color w:val="000000"/>
          <w:shd w:val="clear" w:color="auto" w:fill="FFFFFF"/>
        </w:rPr>
        <w:t>Forduljon kezelőorvosához, ha:</w:t>
      </w:r>
    </w:p>
    <w:p w:rsidR="00924E0A" w:rsidRDefault="007F4C87">
      <w:pPr>
        <w:pStyle w:val="Nincstrkz"/>
        <w:numPr>
          <w:ilvl w:val="0"/>
          <w:numId w:val="9"/>
        </w:numPr>
        <w:tabs>
          <w:tab w:val="left" w:pos="567"/>
        </w:tabs>
        <w:ind w:left="567" w:hanging="567"/>
        <w:rPr>
          <w:lang w:eastAsia="de-DE"/>
        </w:rPr>
      </w:pPr>
      <w:r>
        <w:rPr>
          <w:lang w:eastAsia="de-DE"/>
        </w:rPr>
        <w:t>a fertőzés nem szűnt meg a kezelési időszak után;</w:t>
      </w:r>
    </w:p>
    <w:p w:rsidR="00924E0A" w:rsidRDefault="007F4C87">
      <w:pPr>
        <w:pStyle w:val="Nincstrkz"/>
        <w:numPr>
          <w:ilvl w:val="0"/>
          <w:numId w:val="9"/>
        </w:numPr>
        <w:tabs>
          <w:tab w:val="left" w:pos="567"/>
        </w:tabs>
        <w:ind w:left="567" w:hanging="567"/>
        <w:rPr>
          <w:lang w:eastAsia="de-DE"/>
        </w:rPr>
      </w:pPr>
      <w:r>
        <w:rPr>
          <w:lang w:eastAsia="de-DE"/>
        </w:rPr>
        <w:t>Ön nem megfelelően reagál a kezelésre;</w:t>
      </w:r>
    </w:p>
    <w:p w:rsidR="00924E0A" w:rsidRDefault="007F4C87">
      <w:pPr>
        <w:pStyle w:val="Nincstrkz"/>
        <w:numPr>
          <w:ilvl w:val="0"/>
          <w:numId w:val="9"/>
        </w:numPr>
        <w:tabs>
          <w:tab w:val="left" w:pos="567"/>
        </w:tabs>
        <w:ind w:left="567" w:hanging="567"/>
        <w:rPr>
          <w:lang w:eastAsia="de-DE"/>
        </w:rPr>
      </w:pPr>
      <w:r>
        <w:rPr>
          <w:lang w:eastAsia="de-DE"/>
        </w:rPr>
        <w:t>Önnek súlyos körömfertőzése van (több mint a köröm fele érintett);</w:t>
      </w:r>
    </w:p>
    <w:p w:rsidR="00924E0A" w:rsidRDefault="007F4C87">
      <w:pPr>
        <w:pStyle w:val="Nincstrkz"/>
        <w:numPr>
          <w:ilvl w:val="0"/>
          <w:numId w:val="9"/>
        </w:numPr>
        <w:tabs>
          <w:tab w:val="left" w:pos="567"/>
        </w:tabs>
        <w:ind w:left="567" w:hanging="567"/>
        <w:rPr>
          <w:lang w:eastAsia="de-DE"/>
        </w:rPr>
      </w:pPr>
      <w:r>
        <w:rPr>
          <w:lang w:eastAsia="de-DE"/>
        </w:rPr>
        <w:t>három vagy több körme érintett;</w:t>
      </w:r>
    </w:p>
    <w:p w:rsidR="00924E0A" w:rsidRDefault="007F4C87">
      <w:pPr>
        <w:pStyle w:val="Nincstrkz"/>
        <w:numPr>
          <w:ilvl w:val="0"/>
          <w:numId w:val="9"/>
        </w:numPr>
        <w:tabs>
          <w:tab w:val="left" w:pos="567"/>
        </w:tabs>
        <w:ind w:left="567" w:hanging="567"/>
        <w:rPr>
          <w:b/>
          <w:bCs/>
        </w:rPr>
      </w:pPr>
      <w:r>
        <w:rPr>
          <w:lang w:eastAsia="de-DE"/>
        </w:rPr>
        <w:t xml:space="preserve">a körömágybőr (kutikula) melletti terület, ahonnan kinő a köröm, is érintett. </w:t>
      </w:r>
    </w:p>
    <w:p w:rsidR="00924E0A" w:rsidRDefault="00924E0A">
      <w:pPr>
        <w:pStyle w:val="Nincstrkz"/>
        <w:rPr>
          <w:b/>
          <w:bCs/>
        </w:rPr>
      </w:pPr>
    </w:p>
    <w:p w:rsidR="00924E0A" w:rsidRDefault="007F4C87">
      <w:pPr>
        <w:pStyle w:val="Nincstrkz"/>
        <w:rPr>
          <w:b/>
          <w:bCs/>
        </w:rPr>
      </w:pPr>
      <w:r>
        <w:rPr>
          <w:b/>
          <w:bCs/>
        </w:rPr>
        <w:t>Ha véletlenül lenyeli az Exoterbyn-t</w:t>
      </w:r>
    </w:p>
    <w:p w:rsidR="00924E0A" w:rsidRDefault="007F4C87">
      <w:pPr>
        <w:pStyle w:val="Nincstrkz"/>
        <w:rPr>
          <w:lang w:eastAsia="de-DE"/>
        </w:rPr>
      </w:pPr>
      <w:r>
        <w:t>Forduljon kezelőorvosához, gyógyszerészéhez, vagy a legközelebbi kórházhoz, ha Ön, vagy valaki más lenyelt valamennyi körömlakkot</w:t>
      </w:r>
      <w:r>
        <w:rPr>
          <w:lang w:eastAsia="de-DE"/>
        </w:rPr>
        <w:t xml:space="preserve">. Ha lehetséges, vigye magával a megmaradt gyógyszert és ezt a betegtájékoztatót is. </w:t>
      </w:r>
    </w:p>
    <w:p w:rsidR="00924E0A" w:rsidRDefault="00924E0A">
      <w:pPr>
        <w:spacing w:line="240" w:lineRule="auto"/>
        <w:ind w:right="-2"/>
        <w:rPr>
          <w:lang w:val="hu-HU"/>
        </w:rPr>
      </w:pPr>
    </w:p>
    <w:p w:rsidR="00924E0A" w:rsidRDefault="007F4C87">
      <w:pPr>
        <w:keepNext/>
        <w:spacing w:line="240" w:lineRule="auto"/>
        <w:ind w:right="-2"/>
        <w:rPr>
          <w:b/>
          <w:bCs/>
          <w:lang w:val="hu-HU"/>
        </w:rPr>
      </w:pPr>
      <w:r>
        <w:rPr>
          <w:b/>
          <w:bCs/>
          <w:lang w:val="hu-HU"/>
        </w:rPr>
        <w:lastRenderedPageBreak/>
        <w:t xml:space="preserve">Ha elfelejtette alkalmazni </w:t>
      </w:r>
      <w:r>
        <w:rPr>
          <w:b/>
          <w:bCs/>
        </w:rPr>
        <w:t>az Exoterbyn</w:t>
      </w:r>
      <w:r>
        <w:rPr>
          <w:b/>
          <w:bCs/>
          <w:lang w:val="hu-HU"/>
        </w:rPr>
        <w:t>-t</w:t>
      </w:r>
    </w:p>
    <w:p w:rsidR="00924E0A" w:rsidRDefault="007F4C87">
      <w:pPr>
        <w:pStyle w:val="Nincstrkz"/>
        <w:keepNext/>
        <w:rPr>
          <w:lang w:eastAsia="de-DE"/>
        </w:rPr>
      </w:pPr>
      <w:r>
        <w:rPr>
          <w:lang w:eastAsia="de-DE"/>
        </w:rPr>
        <w:t xml:space="preserve">Ha kihagy egy alkalmazást, a lehető leghamarabb kenje fel a körömre az Exoterbyn-t, majd folytassa a kezelést, mint azelőtt. Ha csupán akkor jut eszébe, amikor már itt az ideje a következő alkalmazásnak, csak kenje fel az Exoterbyn-t és folytassa a kezelést a megszokottak szerint. Fontos, hogy megpróbálja az Exoterbyn-t mindig a megfelelő időben használni, mert ha erről elfeledkezik, csökkenhet a kezelés hatásossága. </w:t>
      </w:r>
    </w:p>
    <w:p w:rsidR="00924E0A" w:rsidRDefault="00924E0A">
      <w:pPr>
        <w:pStyle w:val="Nincstrkz"/>
      </w:pPr>
    </w:p>
    <w:p w:rsidR="00924E0A" w:rsidRDefault="007F4C87">
      <w:pPr>
        <w:spacing w:line="240" w:lineRule="auto"/>
        <w:ind w:right="-2"/>
        <w:rPr>
          <w:b/>
          <w:bCs/>
          <w:lang w:val="hu-HU"/>
        </w:rPr>
      </w:pPr>
      <w:r>
        <w:rPr>
          <w:b/>
          <w:bCs/>
          <w:lang w:val="hu-HU"/>
        </w:rPr>
        <w:t>Ha idő előtt abbahagyja az Exoterbyn alkalmazását</w:t>
      </w:r>
    </w:p>
    <w:p w:rsidR="00924E0A" w:rsidRDefault="007F4C87">
      <w:pPr>
        <w:pStyle w:val="Nincstrkz"/>
        <w:rPr>
          <w:lang w:eastAsia="de-DE"/>
        </w:rPr>
      </w:pPr>
      <w:r>
        <w:rPr>
          <w:lang w:eastAsia="de-DE"/>
        </w:rPr>
        <w:t>Ha az Exoterbyn-nel végzett kezelést az ajánlott időszak vége előtt abbahagyja, előfordulhat, hogy a gombás fertőzés nem múlik el, és körmeinek állapota ismét rosszabbodhat.</w:t>
      </w:r>
    </w:p>
    <w:p w:rsidR="00924E0A" w:rsidRDefault="00924E0A">
      <w:pPr>
        <w:spacing w:line="240" w:lineRule="auto"/>
        <w:ind w:right="-2"/>
        <w:rPr>
          <w:lang w:val="hu-HU"/>
        </w:rPr>
      </w:pPr>
    </w:p>
    <w:p w:rsidR="00924E0A" w:rsidRDefault="007F4C87">
      <w:pPr>
        <w:spacing w:line="240" w:lineRule="auto"/>
        <w:ind w:right="-2"/>
        <w:rPr>
          <w:lang w:val="hu-HU"/>
        </w:rPr>
      </w:pPr>
      <w:r>
        <w:rPr>
          <w:lang w:val="hu-HU"/>
        </w:rPr>
        <w:t>Ha bármilyen további kérdése van a gyógyszer alkalmazásával kapcsolatban, kérdezze meg kezelőorvosát vagy gyógyszerészét.</w:t>
      </w:r>
    </w:p>
    <w:p w:rsidR="00924E0A" w:rsidRDefault="00924E0A">
      <w:pPr>
        <w:tabs>
          <w:tab w:val="clear" w:pos="567"/>
          <w:tab w:val="left" w:pos="720"/>
        </w:tabs>
        <w:spacing w:line="240" w:lineRule="auto"/>
        <w:rPr>
          <w:lang w:val="hu-HU"/>
        </w:rPr>
      </w:pPr>
    </w:p>
    <w:p w:rsidR="00924E0A" w:rsidRDefault="00924E0A">
      <w:pPr>
        <w:tabs>
          <w:tab w:val="clear" w:pos="567"/>
          <w:tab w:val="left" w:pos="720"/>
        </w:tabs>
        <w:spacing w:line="240" w:lineRule="auto"/>
        <w:rPr>
          <w:lang w:val="hu-HU"/>
        </w:rPr>
      </w:pPr>
    </w:p>
    <w:p w:rsidR="00924E0A" w:rsidRDefault="007F4C87">
      <w:pPr>
        <w:spacing w:line="240" w:lineRule="auto"/>
        <w:ind w:left="567" w:right="-2" w:hanging="567"/>
        <w:rPr>
          <w:b/>
          <w:bCs/>
          <w:lang w:val="hu-HU"/>
        </w:rPr>
      </w:pPr>
      <w:r>
        <w:rPr>
          <w:b/>
          <w:bCs/>
          <w:lang w:val="hu-HU"/>
        </w:rPr>
        <w:t>4.</w:t>
      </w:r>
      <w:r>
        <w:rPr>
          <w:b/>
          <w:bCs/>
          <w:lang w:val="hu-HU"/>
        </w:rPr>
        <w:tab/>
        <w:t>Lehetséges mellékhatások</w:t>
      </w:r>
    </w:p>
    <w:p w:rsidR="00924E0A" w:rsidRDefault="00924E0A">
      <w:pPr>
        <w:spacing w:line="240" w:lineRule="auto"/>
        <w:ind w:right="-29"/>
        <w:rPr>
          <w:lang w:val="hu-HU"/>
        </w:rPr>
      </w:pPr>
    </w:p>
    <w:p w:rsidR="00924E0A" w:rsidRDefault="007F4C87">
      <w:pPr>
        <w:spacing w:line="240" w:lineRule="auto"/>
        <w:ind w:right="-29"/>
        <w:rPr>
          <w:lang w:val="hu-HU"/>
        </w:rPr>
      </w:pPr>
      <w:r>
        <w:rPr>
          <w:lang w:val="hu-HU"/>
        </w:rPr>
        <w:t>Mint minden gyógyszer, így ez a gyógyszer is okozhat mellékhatásokat, amelyek azonban nem mindenkinél jelentkeznek.</w:t>
      </w:r>
    </w:p>
    <w:p w:rsidR="00924E0A" w:rsidRDefault="00924E0A">
      <w:pPr>
        <w:pStyle w:val="Nincstrkz"/>
      </w:pPr>
    </w:p>
    <w:p w:rsidR="00924E0A" w:rsidRDefault="007F4C87">
      <w:pPr>
        <w:pStyle w:val="Nincstrkz"/>
        <w:rPr>
          <w:lang w:eastAsia="de-DE"/>
        </w:rPr>
      </w:pPr>
      <w:r>
        <w:rPr>
          <w:b/>
          <w:bCs/>
          <w:lang w:eastAsia="de-DE"/>
        </w:rPr>
        <w:t>Nem gyakori</w:t>
      </w:r>
      <w:r>
        <w:rPr>
          <w:lang w:eastAsia="de-DE"/>
        </w:rPr>
        <w:t>: (100</w:t>
      </w:r>
      <w:r>
        <w:rPr>
          <w:lang w:eastAsia="de-DE"/>
        </w:rPr>
        <w:noBreakHyphen/>
        <w:t>ból legfeljebb 1 beteget érinthet)</w:t>
      </w:r>
    </w:p>
    <w:p w:rsidR="00924E0A" w:rsidRDefault="007F4C87">
      <w:pPr>
        <w:pStyle w:val="Nincstrkz"/>
        <w:numPr>
          <w:ilvl w:val="0"/>
          <w:numId w:val="10"/>
        </w:numPr>
        <w:tabs>
          <w:tab w:val="left" w:pos="567"/>
        </w:tabs>
        <w:ind w:left="567" w:hanging="567"/>
        <w:rPr>
          <w:lang w:eastAsia="de-DE"/>
        </w:rPr>
      </w:pPr>
      <w:r>
        <w:rPr>
          <w:lang w:eastAsia="de-DE"/>
        </w:rPr>
        <w:t>Bőrvörösség és bőrirritáció az alkalmazás helyén.</w:t>
      </w:r>
    </w:p>
    <w:p w:rsidR="00924E0A" w:rsidRDefault="00924E0A">
      <w:pPr>
        <w:pStyle w:val="Nincstrkz"/>
        <w:rPr>
          <w:b/>
          <w:bCs/>
        </w:rPr>
      </w:pPr>
    </w:p>
    <w:p w:rsidR="00924E0A" w:rsidRDefault="007F4C87">
      <w:pPr>
        <w:pStyle w:val="Nincstrkz"/>
        <w:rPr>
          <w:b/>
          <w:bCs/>
        </w:rPr>
      </w:pPr>
      <w:bookmarkStart w:id="5" w:name="_Hlk22284469"/>
      <w:r>
        <w:rPr>
          <w:b/>
          <w:bCs/>
        </w:rPr>
        <w:t>Mellékhatások bejelentése</w:t>
      </w:r>
    </w:p>
    <w:p w:rsidR="00924E0A" w:rsidRDefault="00924E0A">
      <w:pPr>
        <w:spacing w:line="240" w:lineRule="auto"/>
        <w:ind w:right="-29"/>
        <w:rPr>
          <w:lang w:val="hu-HU"/>
        </w:rPr>
      </w:pPr>
    </w:p>
    <w:p w:rsidR="00924E0A" w:rsidRDefault="007F4C87">
      <w:pPr>
        <w:spacing w:line="240" w:lineRule="auto"/>
        <w:ind w:right="-2"/>
        <w:rPr>
          <w:lang w:val="hu-HU"/>
        </w:rPr>
      </w:pPr>
      <w:r>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w:t>
      </w:r>
      <w:bookmarkStart w:id="6" w:name="_Hlk41996953"/>
      <w:r>
        <w:rPr>
          <w:lang w:val="hu-HU"/>
        </w:rPr>
        <w:t xml:space="preserve">is bejelentheti az </w:t>
      </w:r>
      <w:hyperlink r:id="rId11">
        <w:r>
          <w:rPr>
            <w:rStyle w:val="Hiperhivatkozs1"/>
            <w:highlight w:val="lightGray"/>
            <w:lang w:val="hu-HU"/>
          </w:rPr>
          <w:t>V. függelékben</w:t>
        </w:r>
      </w:hyperlink>
      <w:r>
        <w:rPr>
          <w:highlight w:val="lightGray"/>
          <w:lang w:val="hu-HU"/>
        </w:rPr>
        <w:t xml:space="preserve"> található elérhetőségeken keresztül</w:t>
      </w:r>
      <w:bookmarkEnd w:id="6"/>
      <w:r>
        <w:rPr>
          <w:color w:val="008000"/>
          <w:lang w:val="hu-HU"/>
        </w:rPr>
        <w:t>.</w:t>
      </w:r>
    </w:p>
    <w:p w:rsidR="00924E0A" w:rsidRDefault="007F4C87">
      <w:pPr>
        <w:spacing w:line="240" w:lineRule="auto"/>
        <w:ind w:right="-2"/>
        <w:rPr>
          <w:lang w:val="hu-HU"/>
        </w:rPr>
      </w:pPr>
      <w:r>
        <w:rPr>
          <w:lang w:val="hu-HU"/>
        </w:rPr>
        <w:t>A mellékhatások bejelentésével Ön is hozzájárulhat ahhoz, hogy minél több információ álljon rendelkezésre a gyógyszer biztonságos alkalmazásával kapcsolatban.</w:t>
      </w:r>
    </w:p>
    <w:bookmarkEnd w:id="5"/>
    <w:p w:rsidR="00924E0A" w:rsidRDefault="00924E0A">
      <w:pPr>
        <w:spacing w:line="240" w:lineRule="auto"/>
        <w:ind w:right="-2"/>
        <w:rPr>
          <w:lang w:val="hu-HU"/>
        </w:rPr>
      </w:pPr>
    </w:p>
    <w:p w:rsidR="00924E0A" w:rsidRDefault="00924E0A">
      <w:pPr>
        <w:spacing w:line="240" w:lineRule="auto"/>
        <w:ind w:right="-2"/>
        <w:rPr>
          <w:lang w:val="hu-HU"/>
        </w:rPr>
      </w:pPr>
    </w:p>
    <w:p w:rsidR="00924E0A" w:rsidRDefault="007F4C87">
      <w:pPr>
        <w:spacing w:line="240" w:lineRule="auto"/>
        <w:ind w:left="567" w:right="-2" w:hanging="567"/>
        <w:rPr>
          <w:b/>
          <w:bCs/>
          <w:lang w:val="hu-HU"/>
        </w:rPr>
      </w:pPr>
      <w:r>
        <w:rPr>
          <w:b/>
          <w:bCs/>
          <w:lang w:val="hu-HU"/>
        </w:rPr>
        <w:t>5.</w:t>
      </w:r>
      <w:r>
        <w:rPr>
          <w:b/>
          <w:bCs/>
          <w:lang w:val="hu-HU"/>
        </w:rPr>
        <w:tab/>
        <w:t>Hogyan kell az Exoterbyn-t tárolni?</w:t>
      </w:r>
    </w:p>
    <w:p w:rsidR="00924E0A" w:rsidRDefault="00924E0A">
      <w:pPr>
        <w:spacing w:line="240" w:lineRule="auto"/>
        <w:ind w:right="-2"/>
        <w:rPr>
          <w:lang w:val="hu-HU"/>
        </w:rPr>
      </w:pPr>
    </w:p>
    <w:p w:rsidR="00924E0A" w:rsidRDefault="007F4C87">
      <w:pPr>
        <w:spacing w:line="240" w:lineRule="auto"/>
        <w:ind w:right="-2"/>
        <w:rPr>
          <w:lang w:val="hu-HU"/>
        </w:rPr>
      </w:pPr>
      <w:r>
        <w:rPr>
          <w:lang w:val="hu-HU"/>
        </w:rPr>
        <w:t>A gyógyszer gyermekektől elzárva tartandó!</w:t>
      </w:r>
    </w:p>
    <w:p w:rsidR="00924E0A" w:rsidRDefault="00924E0A">
      <w:pPr>
        <w:spacing w:line="240" w:lineRule="auto"/>
        <w:ind w:right="-2"/>
        <w:rPr>
          <w:lang w:val="hu-HU"/>
        </w:rPr>
      </w:pPr>
    </w:p>
    <w:p w:rsidR="00924E0A" w:rsidRDefault="007F4C87">
      <w:pPr>
        <w:spacing w:line="240" w:lineRule="auto"/>
        <w:ind w:right="-2"/>
        <w:rPr>
          <w:lang w:val="hu-HU"/>
        </w:rPr>
      </w:pPr>
      <w:r>
        <w:rPr>
          <w:lang w:val="hu-HU"/>
        </w:rPr>
        <w:t>A dobozon és a palackon feltüntetett lejárati idő (EXP:) után ne alkalmazza ezt a gyógyszert. A lejárati idő az adott hónap utolsó napjára vonatkozik.</w:t>
      </w:r>
    </w:p>
    <w:p w:rsidR="00924E0A" w:rsidRDefault="00924E0A">
      <w:pPr>
        <w:tabs>
          <w:tab w:val="clear" w:pos="567"/>
          <w:tab w:val="left" w:pos="720"/>
        </w:tabs>
        <w:spacing w:line="240" w:lineRule="auto"/>
        <w:ind w:right="-2"/>
        <w:rPr>
          <w:lang w:val="hu-HU"/>
        </w:rPr>
      </w:pPr>
    </w:p>
    <w:p w:rsidR="00924E0A" w:rsidRDefault="007F4C87">
      <w:pPr>
        <w:rPr>
          <w:noProof/>
        </w:rPr>
      </w:pPr>
      <w:r>
        <w:rPr>
          <w:noProof/>
        </w:rPr>
        <w:t>Ez a gyógyszer különleges tárolási hőmérsékletet nem igényel.</w:t>
      </w:r>
    </w:p>
    <w:p w:rsidR="00924E0A" w:rsidRDefault="00924E0A">
      <w:pPr>
        <w:spacing w:line="240" w:lineRule="auto"/>
        <w:rPr>
          <w:lang w:val="hu-HU"/>
        </w:rPr>
      </w:pPr>
    </w:p>
    <w:p w:rsidR="00924E0A" w:rsidRDefault="007F4C87">
      <w:pPr>
        <w:spacing w:line="240" w:lineRule="auto"/>
        <w:rPr>
          <w:lang w:val="hu-HU"/>
        </w:rPr>
      </w:pPr>
      <w:r>
        <w:rPr>
          <w:lang w:val="hu-HU"/>
        </w:rPr>
        <w:t xml:space="preserve">A készítmény kiszáradásának elkerülése érdekében </w:t>
      </w:r>
      <w:r>
        <w:rPr>
          <w:noProof/>
        </w:rPr>
        <w:t>a palackot tartsa jól lezárva</w:t>
      </w:r>
      <w:r>
        <w:rPr>
          <w:lang w:val="hu-HU"/>
        </w:rPr>
        <w:t>.</w:t>
      </w:r>
    </w:p>
    <w:p w:rsidR="00924E0A" w:rsidRDefault="00924E0A">
      <w:pPr>
        <w:spacing w:line="240" w:lineRule="auto"/>
        <w:rPr>
          <w:lang w:val="hu-HU"/>
        </w:rPr>
      </w:pPr>
    </w:p>
    <w:p w:rsidR="00924E0A" w:rsidRDefault="007F4C87">
      <w:pPr>
        <w:spacing w:line="240" w:lineRule="auto"/>
        <w:rPr>
          <w:noProof/>
        </w:rPr>
      </w:pPr>
      <w:r>
        <w:rPr>
          <w:noProof/>
        </w:rPr>
        <w:t>A fénytől való védelem érdekében</w:t>
      </w:r>
      <w:r>
        <w:rPr>
          <w:lang w:val="hu-HU"/>
        </w:rPr>
        <w:t xml:space="preserve"> </w:t>
      </w:r>
      <w:r>
        <w:rPr>
          <w:noProof/>
        </w:rPr>
        <w:t>a palackot tartsa a dobozában.</w:t>
      </w:r>
    </w:p>
    <w:p w:rsidR="00924E0A" w:rsidRDefault="00924E0A">
      <w:pPr>
        <w:spacing w:line="240" w:lineRule="auto"/>
        <w:rPr>
          <w:noProof/>
        </w:rPr>
      </w:pPr>
    </w:p>
    <w:p w:rsidR="00924E0A" w:rsidRDefault="007F4C87">
      <w:pPr>
        <w:spacing w:line="240" w:lineRule="auto"/>
        <w:rPr>
          <w:noProof/>
        </w:rPr>
      </w:pPr>
      <w:r>
        <w:rPr>
          <w:noProof/>
        </w:rPr>
        <w:t xml:space="preserve">Ez a gyógyszer gyúlékony. Hőtől és nyílt lángtól távol tartandó. </w:t>
      </w:r>
    </w:p>
    <w:p w:rsidR="00924E0A" w:rsidRDefault="00924E0A">
      <w:pPr>
        <w:rPr>
          <w:noProof/>
        </w:rPr>
      </w:pPr>
    </w:p>
    <w:p w:rsidR="00924E0A" w:rsidRDefault="007F4C87">
      <w:pPr>
        <w:rPr>
          <w:noProof/>
        </w:rPr>
      </w:pPr>
      <w:r>
        <w:rPr>
          <w:noProof/>
        </w:rPr>
        <w:t xml:space="preserve">Az első felbontás után a palack tartalmát 6 hónapon belül fel kell használni. </w:t>
      </w:r>
    </w:p>
    <w:p w:rsidR="00924E0A" w:rsidRDefault="00924E0A">
      <w:pPr>
        <w:rPr>
          <w:noProof/>
        </w:rPr>
      </w:pPr>
    </w:p>
    <w:p w:rsidR="00924E0A" w:rsidRDefault="007F4C87">
      <w:pPr>
        <w:spacing w:line="240" w:lineRule="auto"/>
        <w:ind w:right="-2"/>
        <w:rPr>
          <w:lang w:val="hu-HU"/>
        </w:rPr>
      </w:pPr>
      <w:bookmarkStart w:id="7" w:name="_Hlk22284551"/>
      <w:r>
        <w:rPr>
          <w:lang w:val="hu-HU"/>
        </w:rPr>
        <w:t>Semmilyen gyógyszert ne dobjon a szennyvízbe vagy a háztartási hulladékba. Kérdezze meg gyógyszerészét, hogy mit tegyen a már nem használt gyógyszereivel. Ezek az intézkedések elősegítik a környezet védelmét.</w:t>
      </w:r>
      <w:bookmarkEnd w:id="7"/>
    </w:p>
    <w:p w:rsidR="00924E0A" w:rsidRDefault="00924E0A">
      <w:pPr>
        <w:spacing w:line="240" w:lineRule="auto"/>
        <w:ind w:right="-2"/>
        <w:rPr>
          <w:lang w:val="hu-HU"/>
        </w:rPr>
      </w:pPr>
    </w:p>
    <w:p w:rsidR="00924E0A" w:rsidRDefault="00924E0A">
      <w:pPr>
        <w:spacing w:line="240" w:lineRule="auto"/>
        <w:ind w:right="-2"/>
        <w:rPr>
          <w:lang w:val="hu-HU"/>
        </w:rPr>
      </w:pPr>
    </w:p>
    <w:p w:rsidR="00924E0A" w:rsidRDefault="007F4C87">
      <w:pPr>
        <w:keepNext/>
        <w:spacing w:line="240" w:lineRule="auto"/>
        <w:ind w:left="567" w:right="-2" w:hanging="567"/>
        <w:rPr>
          <w:b/>
          <w:bCs/>
          <w:lang w:val="hu-HU"/>
        </w:rPr>
      </w:pPr>
      <w:r>
        <w:rPr>
          <w:b/>
          <w:bCs/>
          <w:lang w:val="hu-HU"/>
        </w:rPr>
        <w:lastRenderedPageBreak/>
        <w:t>6.</w:t>
      </w:r>
      <w:r>
        <w:rPr>
          <w:b/>
          <w:bCs/>
          <w:lang w:val="hu-HU"/>
        </w:rPr>
        <w:tab/>
      </w:r>
      <w:bookmarkStart w:id="8" w:name="_Hlk22284609"/>
      <w:r>
        <w:rPr>
          <w:b/>
          <w:bCs/>
          <w:lang w:val="hu-HU"/>
        </w:rPr>
        <w:t>A csomagolás tartalma és egyéb információk</w:t>
      </w:r>
      <w:bookmarkEnd w:id="8"/>
    </w:p>
    <w:p w:rsidR="00924E0A" w:rsidRDefault="00924E0A">
      <w:pPr>
        <w:keepNext/>
        <w:spacing w:line="240" w:lineRule="auto"/>
        <w:rPr>
          <w:lang w:val="hu-HU"/>
        </w:rPr>
      </w:pPr>
    </w:p>
    <w:p w:rsidR="00924E0A" w:rsidRDefault="007F4C87">
      <w:pPr>
        <w:keepNext/>
        <w:spacing w:line="240" w:lineRule="auto"/>
        <w:rPr>
          <w:lang w:val="hu-HU"/>
        </w:rPr>
      </w:pPr>
      <w:r>
        <w:rPr>
          <w:b/>
          <w:bCs/>
          <w:lang w:val="hu-HU"/>
        </w:rPr>
        <w:t>Mit tartalmaz az Exoterbyn?</w:t>
      </w:r>
    </w:p>
    <w:p w:rsidR="00924E0A" w:rsidRDefault="007F4C87">
      <w:pPr>
        <w:keepNext/>
        <w:tabs>
          <w:tab w:val="clear" w:pos="567"/>
        </w:tabs>
        <w:snapToGrid w:val="0"/>
        <w:spacing w:line="240" w:lineRule="auto"/>
        <w:ind w:right="-2"/>
        <w:rPr>
          <w:lang w:val="hu-HU"/>
        </w:rPr>
      </w:pPr>
      <w:r>
        <w:rPr>
          <w:lang w:val="hu-HU"/>
        </w:rPr>
        <w:t xml:space="preserve">A készítmény hatóanyaga a terbinafin. A gyógyszeres körömlakk 78,22 mg terbinafinnak megfelelő terbinafin-hidrokloridot tartalmaz milliliterenként. Egyéb összetevői az etanol (96%-os), a hidroxipropil-kitozán és a tisztított víz. </w:t>
      </w:r>
    </w:p>
    <w:p w:rsidR="00924E0A" w:rsidRDefault="00924E0A">
      <w:pPr>
        <w:keepNext/>
        <w:tabs>
          <w:tab w:val="clear" w:pos="567"/>
        </w:tabs>
        <w:snapToGrid w:val="0"/>
        <w:spacing w:line="240" w:lineRule="auto"/>
        <w:ind w:right="-2"/>
        <w:rPr>
          <w:lang w:val="hu-HU"/>
        </w:rPr>
      </w:pPr>
    </w:p>
    <w:p w:rsidR="00924E0A" w:rsidRDefault="007F4C87">
      <w:pPr>
        <w:spacing w:line="240" w:lineRule="auto"/>
        <w:rPr>
          <w:lang w:val="hu-HU"/>
        </w:rPr>
      </w:pPr>
      <w:r>
        <w:rPr>
          <w:b/>
          <w:bCs/>
          <w:lang w:val="hu-HU"/>
        </w:rPr>
        <w:t>Milyen az Exoterbyn külleme és mit tartalmaz a csomagolás?</w:t>
      </w:r>
    </w:p>
    <w:p w:rsidR="00924E0A" w:rsidRDefault="00924E0A">
      <w:pPr>
        <w:spacing w:line="240" w:lineRule="auto"/>
        <w:rPr>
          <w:lang w:val="hu-HU"/>
        </w:rPr>
      </w:pPr>
    </w:p>
    <w:p w:rsidR="00924E0A" w:rsidRDefault="007F4C87">
      <w:pPr>
        <w:pStyle w:val="Nincstrkz"/>
      </w:pPr>
      <w:r>
        <w:t xml:space="preserve">Az Exoterbyn tiszta, színtelen gyógyszeres körömlakk, átlátszó, applikátorral ellátott üvegpalackba töltve. Az applikátor része egy rövid spatula, ami a lecsavarható kupakhoz van rögzítve. Az üveg kupakja a spatula nyeleként és a palack lezárására is szolgál. </w:t>
      </w:r>
    </w:p>
    <w:p w:rsidR="00924E0A" w:rsidRDefault="00924E0A">
      <w:pPr>
        <w:pStyle w:val="Nincstrkz"/>
      </w:pPr>
    </w:p>
    <w:p w:rsidR="00924E0A" w:rsidRDefault="007F4C87">
      <w:pPr>
        <w:pStyle w:val="Nincstrkz"/>
      </w:pPr>
      <w:r>
        <w:t>Kiszerelések: 3,3 ml, 6,6 ml.</w:t>
      </w:r>
    </w:p>
    <w:p w:rsidR="00924E0A" w:rsidRDefault="00924E0A">
      <w:pPr>
        <w:pStyle w:val="Nincstrkz"/>
      </w:pPr>
    </w:p>
    <w:p w:rsidR="00924E0A" w:rsidRDefault="007F4C87">
      <w:pPr>
        <w:spacing w:line="240" w:lineRule="auto"/>
        <w:rPr>
          <w:lang w:val="hu-HU"/>
        </w:rPr>
      </w:pPr>
      <w:r>
        <w:rPr>
          <w:lang w:val="hu-HU"/>
        </w:rPr>
        <w:t>Nem feltétlenül mindegyik kiszerelés kerül kereskedelmi forgalomba.</w:t>
      </w:r>
    </w:p>
    <w:p w:rsidR="00924E0A" w:rsidRDefault="00924E0A">
      <w:pPr>
        <w:spacing w:line="240" w:lineRule="auto"/>
        <w:rPr>
          <w:lang w:val="hu-HU"/>
        </w:rPr>
      </w:pPr>
    </w:p>
    <w:p w:rsidR="00924E0A" w:rsidRDefault="007F4C87">
      <w:pPr>
        <w:spacing w:line="240" w:lineRule="auto"/>
        <w:rPr>
          <w:b/>
          <w:bCs/>
          <w:lang w:val="hu-HU"/>
        </w:rPr>
      </w:pPr>
      <w:r>
        <w:rPr>
          <w:b/>
          <w:bCs/>
          <w:lang w:val="hu-HU"/>
        </w:rPr>
        <w:t xml:space="preserve">A forgalomba hozatali engedély jogosultja </w:t>
      </w:r>
    </w:p>
    <w:p w:rsidR="00924E0A" w:rsidRDefault="00924E0A">
      <w:pPr>
        <w:spacing w:line="240" w:lineRule="auto"/>
        <w:rPr>
          <w:lang w:val="hu-HU"/>
        </w:rPr>
      </w:pPr>
    </w:p>
    <w:p w:rsidR="00924E0A" w:rsidRDefault="007F4C87">
      <w:pPr>
        <w:pStyle w:val="Nincstrkz"/>
      </w:pPr>
      <w:r>
        <w:t xml:space="preserve">Sandoz Hungária Kft. </w:t>
      </w:r>
    </w:p>
    <w:p w:rsidR="00924E0A" w:rsidRDefault="007F4C87">
      <w:pPr>
        <w:pStyle w:val="Nincstrkz"/>
      </w:pPr>
      <w:r>
        <w:t xml:space="preserve">1114 Budapest, </w:t>
      </w:r>
    </w:p>
    <w:p w:rsidR="00924E0A" w:rsidRDefault="007F4C87">
      <w:pPr>
        <w:pStyle w:val="Nincstrkz"/>
      </w:pPr>
      <w:r>
        <w:t>Bartók Béla út 43-47.</w:t>
      </w:r>
    </w:p>
    <w:p w:rsidR="00924E0A" w:rsidRDefault="007F4C87">
      <w:pPr>
        <w:pStyle w:val="Nincstrkz"/>
      </w:pPr>
      <w:r>
        <w:t>Magyarország</w:t>
      </w:r>
    </w:p>
    <w:p w:rsidR="00924E0A" w:rsidRDefault="00924E0A">
      <w:pPr>
        <w:pStyle w:val="Nincstrkz"/>
      </w:pPr>
    </w:p>
    <w:p w:rsidR="00924E0A" w:rsidRDefault="007F4C87">
      <w:pPr>
        <w:pStyle w:val="Nincstrkz"/>
        <w:rPr>
          <w:b/>
          <w:bCs/>
        </w:rPr>
      </w:pPr>
      <w:r>
        <w:rPr>
          <w:b/>
          <w:bCs/>
        </w:rPr>
        <w:t>Gyártó:</w:t>
      </w:r>
    </w:p>
    <w:p w:rsidR="00924E0A" w:rsidRDefault="00924E0A">
      <w:pPr>
        <w:pStyle w:val="Nincstrkz"/>
      </w:pPr>
    </w:p>
    <w:p w:rsidR="00924E0A" w:rsidRDefault="007F4C87">
      <w:pPr>
        <w:pStyle w:val="Nincstrkz"/>
      </w:pPr>
      <w:r>
        <w:t>Alfasigma S.p.A.</w:t>
      </w:r>
    </w:p>
    <w:p w:rsidR="00924E0A" w:rsidRDefault="007F4C87">
      <w:pPr>
        <w:pStyle w:val="Nincstrkz"/>
      </w:pPr>
      <w:r>
        <w:t>Via Enrico Fermi, 1</w:t>
      </w:r>
    </w:p>
    <w:p w:rsidR="00924E0A" w:rsidRDefault="007F4C87">
      <w:pPr>
        <w:pStyle w:val="Nincstrkz"/>
      </w:pPr>
      <w:r>
        <w:t>65020 Alanno (PE)</w:t>
      </w:r>
    </w:p>
    <w:p w:rsidR="00924E0A" w:rsidRDefault="007F4C87">
      <w:pPr>
        <w:pStyle w:val="Nincstrkz"/>
      </w:pPr>
      <w:r>
        <w:t>Olaszország</w:t>
      </w:r>
    </w:p>
    <w:p w:rsidR="00924E0A" w:rsidRDefault="00924E0A">
      <w:pPr>
        <w:pStyle w:val="Nincstrkz"/>
      </w:pPr>
    </w:p>
    <w:p w:rsidR="00924E0A" w:rsidRDefault="007F4C87">
      <w:pPr>
        <w:pStyle w:val="Nincstrkz"/>
      </w:pPr>
      <w:r>
        <w:t>Salutas Pharma GmbH</w:t>
      </w:r>
    </w:p>
    <w:p w:rsidR="00924E0A" w:rsidRDefault="007F4C87">
      <w:pPr>
        <w:pStyle w:val="Nincstrkz"/>
      </w:pPr>
      <w:r>
        <w:t>Otto-von-Guericke-Allee 1</w:t>
      </w:r>
    </w:p>
    <w:p w:rsidR="00924E0A" w:rsidRDefault="007F4C87">
      <w:pPr>
        <w:pStyle w:val="Nincstrkz"/>
      </w:pPr>
      <w:r>
        <w:t>39179 Barleben</w:t>
      </w:r>
    </w:p>
    <w:p w:rsidR="00924E0A" w:rsidRDefault="007F4C87">
      <w:pPr>
        <w:pStyle w:val="Nincstrkz"/>
      </w:pPr>
      <w:r>
        <w:t>Németország</w:t>
      </w:r>
    </w:p>
    <w:p w:rsidR="00924E0A" w:rsidRDefault="00924E0A">
      <w:pPr>
        <w:spacing w:line="240" w:lineRule="auto"/>
        <w:rPr>
          <w:lang w:val="hu-HU"/>
        </w:rPr>
      </w:pPr>
    </w:p>
    <w:p w:rsidR="00924E0A" w:rsidRDefault="007F4C87">
      <w:pPr>
        <w:autoSpaceDE w:val="0"/>
        <w:autoSpaceDN w:val="0"/>
        <w:rPr>
          <w:b/>
          <w:bCs/>
          <w:lang w:val="hu-HU"/>
        </w:rPr>
      </w:pPr>
      <w:bookmarkStart w:id="9" w:name="_Hlk505657955"/>
      <w:r>
        <w:rPr>
          <w:b/>
          <w:bCs/>
          <w:lang w:val="hu-HU"/>
        </w:rPr>
        <w:t>Ezt a gyógyszert az Európai Gazdasági Térség tagállamaiban és az Egyesült Királyságban (Észak-Írországban) az alábbi neveken engedélyezték:</w:t>
      </w:r>
      <w:bookmarkEnd w:id="9"/>
    </w:p>
    <w:p w:rsidR="00924E0A" w:rsidRDefault="00924E0A">
      <w:pPr>
        <w:pStyle w:val="Nincstrkz"/>
      </w:pPr>
    </w:p>
    <w:p w:rsidR="00924E0A" w:rsidRDefault="007F4C87">
      <w:pPr>
        <w:tabs>
          <w:tab w:val="clear" w:pos="567"/>
          <w:tab w:val="left" w:pos="2268"/>
        </w:tabs>
        <w:spacing w:line="240" w:lineRule="auto"/>
        <w:rPr>
          <w:lang w:val="hu-HU"/>
        </w:rPr>
      </w:pPr>
      <w:r>
        <w:rPr>
          <w:lang w:val="hu-HU"/>
        </w:rPr>
        <w:t xml:space="preserve">Ausztria: </w:t>
      </w:r>
      <w:r>
        <w:rPr>
          <w:lang w:val="hu-HU"/>
        </w:rPr>
        <w:tab/>
        <w:t>Terbinafin Sandoz 78,22 mg/ml - wirkstoffhaltiger Nagellack</w:t>
      </w:r>
    </w:p>
    <w:p w:rsidR="00924E0A" w:rsidRDefault="007F4C87">
      <w:pPr>
        <w:pStyle w:val="Nincstrkz"/>
        <w:tabs>
          <w:tab w:val="left" w:pos="2268"/>
        </w:tabs>
      </w:pPr>
      <w:r>
        <w:t xml:space="preserve">Bulgária: </w:t>
      </w:r>
      <w:r>
        <w:tab/>
        <w:t xml:space="preserve">EXOTERBYN 78,22 mg/ml Medicated nail lacquer </w:t>
      </w:r>
      <w:r>
        <w:rPr>
          <w:lang w:val="en-GB"/>
        </w:rPr>
        <w:t>(ЕКЗОТЕРБИН)</w:t>
      </w:r>
    </w:p>
    <w:p w:rsidR="00924E0A" w:rsidRDefault="007F4C87">
      <w:pPr>
        <w:pStyle w:val="Nincstrkz"/>
        <w:tabs>
          <w:tab w:val="left" w:pos="2268"/>
        </w:tabs>
      </w:pPr>
      <w:r>
        <w:t xml:space="preserve">Csehország: </w:t>
      </w:r>
      <w:r>
        <w:tab/>
        <w:t>Terbinafin Sandoz 78 mg/ml léčivý lak na nehty</w:t>
      </w:r>
    </w:p>
    <w:p w:rsidR="00924E0A" w:rsidRDefault="007F4C87">
      <w:pPr>
        <w:tabs>
          <w:tab w:val="clear" w:pos="567"/>
          <w:tab w:val="left" w:pos="2268"/>
        </w:tabs>
        <w:spacing w:line="240" w:lineRule="auto"/>
      </w:pPr>
      <w:r>
        <w:t>Dánia</w:t>
      </w:r>
      <w:r>
        <w:rPr>
          <w:lang w:val="hu-HU"/>
        </w:rPr>
        <w:t xml:space="preserve">: </w:t>
      </w:r>
      <w:r>
        <w:rPr>
          <w:lang w:val="hu-HU"/>
        </w:rPr>
        <w:tab/>
      </w:r>
      <w:r>
        <w:t xml:space="preserve">Terbinafin Sandoz </w:t>
      </w:r>
    </w:p>
    <w:p w:rsidR="00924E0A" w:rsidRDefault="007F4C87">
      <w:pPr>
        <w:tabs>
          <w:tab w:val="clear" w:pos="567"/>
          <w:tab w:val="left" w:pos="2268"/>
        </w:tabs>
        <w:spacing w:line="240" w:lineRule="auto"/>
      </w:pPr>
      <w:r>
        <w:t>Észtország:</w:t>
      </w:r>
      <w:r>
        <w:tab/>
        <w:t>Exotafin</w:t>
      </w:r>
    </w:p>
    <w:p w:rsidR="00924E0A" w:rsidRDefault="007F4C87">
      <w:pPr>
        <w:tabs>
          <w:tab w:val="clear" w:pos="567"/>
          <w:tab w:val="left" w:pos="2268"/>
        </w:tabs>
        <w:spacing w:line="240" w:lineRule="auto"/>
        <w:rPr>
          <w:lang w:val="hu-HU"/>
        </w:rPr>
      </w:pPr>
      <w:r>
        <w:rPr>
          <w:lang w:val="hu-HU"/>
        </w:rPr>
        <w:t xml:space="preserve">Finnország: </w:t>
      </w:r>
      <w:r>
        <w:rPr>
          <w:lang w:val="hu-HU"/>
        </w:rPr>
        <w:tab/>
        <w:t xml:space="preserve">Terbinafin Sandoz 78,22 mg/ml lääkekynsilakka </w:t>
      </w:r>
    </w:p>
    <w:p w:rsidR="00924E0A" w:rsidRDefault="007F4C87">
      <w:pPr>
        <w:tabs>
          <w:tab w:val="clear" w:pos="567"/>
          <w:tab w:val="left" w:pos="2268"/>
        </w:tabs>
        <w:spacing w:line="240" w:lineRule="auto"/>
        <w:rPr>
          <w:lang w:val="hu-HU"/>
        </w:rPr>
      </w:pPr>
      <w:r>
        <w:rPr>
          <w:lang w:val="hu-HU"/>
        </w:rPr>
        <w:t>Horvátország:</w:t>
      </w:r>
      <w:r>
        <w:rPr>
          <w:lang w:val="hu-HU"/>
        </w:rPr>
        <w:tab/>
        <w:t>EXOTERBYN 78,22 mg/ml ljekoviti lak za nokte</w:t>
      </w:r>
    </w:p>
    <w:p w:rsidR="00924E0A" w:rsidRDefault="007F4C87">
      <w:pPr>
        <w:tabs>
          <w:tab w:val="clear" w:pos="567"/>
          <w:tab w:val="left" w:pos="2268"/>
        </w:tabs>
        <w:spacing w:line="240" w:lineRule="auto"/>
        <w:rPr>
          <w:lang w:val="hu-HU"/>
        </w:rPr>
      </w:pPr>
      <w:r>
        <w:rPr>
          <w:lang w:val="hu-HU"/>
        </w:rPr>
        <w:t>Lettország:</w:t>
      </w:r>
      <w:r>
        <w:rPr>
          <w:lang w:val="hu-HU"/>
        </w:rPr>
        <w:tab/>
        <w:t>Exotafin 78,22 mg/ml ārstnieciskā nagu laka</w:t>
      </w:r>
    </w:p>
    <w:p w:rsidR="00924E0A" w:rsidRDefault="007F4C87">
      <w:pPr>
        <w:tabs>
          <w:tab w:val="clear" w:pos="567"/>
          <w:tab w:val="left" w:pos="2268"/>
        </w:tabs>
        <w:spacing w:line="240" w:lineRule="auto"/>
        <w:rPr>
          <w:lang w:val="hu-HU"/>
        </w:rPr>
      </w:pPr>
      <w:r>
        <w:rPr>
          <w:lang w:val="hu-HU"/>
        </w:rPr>
        <w:t>Litvánia:</w:t>
      </w:r>
      <w:r>
        <w:rPr>
          <w:lang w:val="hu-HU"/>
        </w:rPr>
        <w:tab/>
        <w:t>Posamyk 78,22 mg/ml vaistinis nagų lakas</w:t>
      </w:r>
    </w:p>
    <w:p w:rsidR="00924E0A" w:rsidRDefault="007F4C87">
      <w:pPr>
        <w:tabs>
          <w:tab w:val="clear" w:pos="567"/>
          <w:tab w:val="left" w:pos="2268"/>
        </w:tabs>
        <w:spacing w:line="240" w:lineRule="auto"/>
        <w:rPr>
          <w:lang w:val="hu-HU"/>
        </w:rPr>
      </w:pPr>
      <w:r>
        <w:rPr>
          <w:lang w:val="hu-HU"/>
        </w:rPr>
        <w:t>Magyarország:</w:t>
      </w:r>
      <w:r>
        <w:rPr>
          <w:lang w:val="hu-HU"/>
        </w:rPr>
        <w:tab/>
        <w:t xml:space="preserve">Exoterbyn </w:t>
      </w:r>
      <w:r>
        <w:t>gyógyszeres körömlakk</w:t>
      </w:r>
    </w:p>
    <w:p w:rsidR="00924E0A" w:rsidRDefault="007F4C87">
      <w:pPr>
        <w:tabs>
          <w:tab w:val="clear" w:pos="567"/>
        </w:tabs>
        <w:spacing w:line="240" w:lineRule="auto"/>
        <w:ind w:left="2268" w:hanging="2268"/>
        <w:rPr>
          <w:lang w:val="hu-HU"/>
        </w:rPr>
      </w:pPr>
      <w:r>
        <w:rPr>
          <w:lang w:val="hu-HU"/>
        </w:rPr>
        <w:t xml:space="preserve">Németország: </w:t>
      </w:r>
      <w:r>
        <w:rPr>
          <w:lang w:val="hu-HU"/>
        </w:rPr>
        <w:tab/>
      </w:r>
      <w:r>
        <w:rPr>
          <w:lang w:val="nl-NL"/>
        </w:rPr>
        <w:t>Terbinafin 1A Pharma Nagellack gegen Nagelpilz 78,22 mg/ml wirkstoffhaltiger Nagellack</w:t>
      </w:r>
      <w:r>
        <w:rPr>
          <w:lang w:val="hu-HU"/>
        </w:rPr>
        <w:t xml:space="preserve"> </w:t>
      </w:r>
    </w:p>
    <w:p w:rsidR="00924E0A" w:rsidRDefault="007F4C87">
      <w:pPr>
        <w:tabs>
          <w:tab w:val="clear" w:pos="567"/>
          <w:tab w:val="left" w:pos="2268"/>
        </w:tabs>
        <w:spacing w:line="240" w:lineRule="auto"/>
        <w:rPr>
          <w:lang w:val="hu-HU"/>
        </w:rPr>
      </w:pPr>
      <w:r>
        <w:rPr>
          <w:lang w:val="hu-HU"/>
        </w:rPr>
        <w:t xml:space="preserve">Norvégia: </w:t>
      </w:r>
      <w:r>
        <w:rPr>
          <w:lang w:val="hu-HU"/>
        </w:rPr>
        <w:tab/>
      </w:r>
      <w:r>
        <w:t>Terbinafin Sandoz 78,22 mg/ml medisinsk neglelakk</w:t>
      </w:r>
    </w:p>
    <w:p w:rsidR="00924E0A" w:rsidRDefault="007F4C87">
      <w:pPr>
        <w:tabs>
          <w:tab w:val="clear" w:pos="567"/>
          <w:tab w:val="left" w:pos="2268"/>
        </w:tabs>
        <w:spacing w:line="240" w:lineRule="auto"/>
        <w:rPr>
          <w:lang w:val="hu-HU"/>
        </w:rPr>
      </w:pPr>
      <w:r>
        <w:rPr>
          <w:lang w:val="hu-HU"/>
        </w:rPr>
        <w:t xml:space="preserve">Olaszország: </w:t>
      </w:r>
      <w:r>
        <w:rPr>
          <w:lang w:val="hu-HU"/>
        </w:rPr>
        <w:tab/>
        <w:t>Onicoter</w:t>
      </w:r>
    </w:p>
    <w:p w:rsidR="00924E0A" w:rsidRDefault="007F4C87">
      <w:pPr>
        <w:tabs>
          <w:tab w:val="clear" w:pos="567"/>
          <w:tab w:val="left" w:pos="2268"/>
        </w:tabs>
        <w:spacing w:line="240" w:lineRule="auto"/>
        <w:rPr>
          <w:lang w:val="hu-HU"/>
        </w:rPr>
      </w:pPr>
      <w:r>
        <w:rPr>
          <w:lang w:val="hu-HU"/>
        </w:rPr>
        <w:t xml:space="preserve">Románia: </w:t>
      </w:r>
      <w:r>
        <w:rPr>
          <w:lang w:val="hu-HU"/>
        </w:rPr>
        <w:tab/>
        <w:t xml:space="preserve">Exoterfyn 78,22 mg/ml Lac de unghii medicamentos </w:t>
      </w:r>
    </w:p>
    <w:p w:rsidR="00924E0A" w:rsidRDefault="007F4C87">
      <w:pPr>
        <w:tabs>
          <w:tab w:val="clear" w:pos="567"/>
          <w:tab w:val="left" w:pos="2268"/>
        </w:tabs>
        <w:spacing w:line="240" w:lineRule="auto"/>
        <w:rPr>
          <w:lang w:val="hu-HU"/>
        </w:rPr>
      </w:pPr>
      <w:r>
        <w:rPr>
          <w:lang w:val="hu-HU"/>
        </w:rPr>
        <w:t xml:space="preserve">Spanyolország: </w:t>
      </w:r>
      <w:r>
        <w:rPr>
          <w:lang w:val="hu-HU"/>
        </w:rPr>
        <w:tab/>
      </w:r>
      <w:bookmarkStart w:id="10" w:name="_Hlk22284721"/>
      <w:r>
        <w:rPr>
          <w:lang w:val="hu-HU"/>
        </w:rPr>
        <w:t>EXOTAFIN 78.22 mg/ml barniz de uñas medicamentoso</w:t>
      </w:r>
    </w:p>
    <w:p w:rsidR="00924E0A" w:rsidRDefault="007F4C87">
      <w:pPr>
        <w:tabs>
          <w:tab w:val="clear" w:pos="567"/>
          <w:tab w:val="left" w:pos="2268"/>
        </w:tabs>
        <w:spacing w:line="240" w:lineRule="auto"/>
        <w:rPr>
          <w:lang w:val="hu-HU"/>
        </w:rPr>
      </w:pPr>
      <w:r>
        <w:rPr>
          <w:lang w:val="hu-HU"/>
        </w:rPr>
        <w:t xml:space="preserve">Svédország: </w:t>
      </w:r>
      <w:r>
        <w:rPr>
          <w:lang w:val="hu-HU"/>
        </w:rPr>
        <w:tab/>
        <w:t>Terbinafin Sandoz 78,22 mg/ml medicinskt nagellack</w:t>
      </w:r>
    </w:p>
    <w:p w:rsidR="00924E0A" w:rsidRDefault="007F4C87">
      <w:pPr>
        <w:tabs>
          <w:tab w:val="clear" w:pos="567"/>
          <w:tab w:val="left" w:pos="2268"/>
        </w:tabs>
        <w:spacing w:line="240" w:lineRule="auto"/>
        <w:rPr>
          <w:lang w:val="hu-HU"/>
        </w:rPr>
      </w:pPr>
      <w:r>
        <w:rPr>
          <w:lang w:val="hu-HU"/>
        </w:rPr>
        <w:t xml:space="preserve">Szlovákia: </w:t>
      </w:r>
      <w:r>
        <w:rPr>
          <w:lang w:val="hu-HU"/>
        </w:rPr>
        <w:tab/>
      </w:r>
      <w:r>
        <w:rPr>
          <w:color w:val="000000"/>
        </w:rPr>
        <w:t>Exoterin</w:t>
      </w:r>
      <w:r>
        <w:rPr>
          <w:lang w:val="hu-HU"/>
        </w:rPr>
        <w:t xml:space="preserve"> </w:t>
      </w:r>
    </w:p>
    <w:p w:rsidR="00924E0A" w:rsidRDefault="007F4C87">
      <w:pPr>
        <w:tabs>
          <w:tab w:val="clear" w:pos="567"/>
          <w:tab w:val="left" w:pos="2268"/>
        </w:tabs>
        <w:spacing w:line="240" w:lineRule="auto"/>
        <w:rPr>
          <w:lang w:val="nl-NL"/>
        </w:rPr>
      </w:pPr>
      <w:r>
        <w:rPr>
          <w:lang w:val="hu-HU"/>
        </w:rPr>
        <w:lastRenderedPageBreak/>
        <w:t xml:space="preserve">Szlovénia: </w:t>
      </w:r>
      <w:r>
        <w:rPr>
          <w:lang w:val="hu-HU"/>
        </w:rPr>
        <w:tab/>
      </w:r>
      <w:r>
        <w:rPr>
          <w:lang w:val="nl-NL"/>
        </w:rPr>
        <w:t>Exoter 78.22 mg/ml zdravilni lak za nohte</w:t>
      </w:r>
    </w:p>
    <w:p w:rsidR="00924E0A" w:rsidRDefault="00924E0A">
      <w:pPr>
        <w:spacing w:line="240" w:lineRule="auto"/>
        <w:rPr>
          <w:lang w:val="hu-HU"/>
        </w:rPr>
      </w:pPr>
    </w:p>
    <w:p w:rsidR="00924E0A" w:rsidRDefault="00924E0A">
      <w:pPr>
        <w:spacing w:line="240" w:lineRule="auto"/>
        <w:rPr>
          <w:lang w:val="hu-HU"/>
        </w:rPr>
      </w:pPr>
    </w:p>
    <w:p w:rsidR="00924E0A" w:rsidRDefault="007F4C87">
      <w:r>
        <w:t>OGYI-T-23769/01</w:t>
      </w:r>
      <w:r>
        <w:tab/>
        <w:t xml:space="preserve">3,3 ml </w:t>
      </w:r>
    </w:p>
    <w:p w:rsidR="00924E0A" w:rsidRDefault="007F4C87">
      <w:pPr>
        <w:rPr>
          <w:b/>
          <w:bCs/>
          <w:lang w:val="hu-HU"/>
        </w:rPr>
      </w:pPr>
      <w:r>
        <w:t>OGYI-T-23769/02</w:t>
      </w:r>
      <w:r>
        <w:tab/>
        <w:t xml:space="preserve">6,6 ml </w:t>
      </w:r>
    </w:p>
    <w:p w:rsidR="00924E0A" w:rsidRDefault="00924E0A">
      <w:pPr>
        <w:rPr>
          <w:lang w:val="hu-HU"/>
        </w:rPr>
      </w:pPr>
    </w:p>
    <w:p w:rsidR="00924E0A" w:rsidRDefault="007F4C87">
      <w:pPr>
        <w:spacing w:line="240" w:lineRule="auto"/>
      </w:pPr>
      <w:r>
        <w:rPr>
          <w:b/>
          <w:bCs/>
          <w:lang w:val="hu-HU"/>
        </w:rPr>
        <w:t xml:space="preserve">A betegtájékoztató legutóbbi felülvizsgálatának </w:t>
      </w:r>
      <w:bookmarkEnd w:id="10"/>
      <w:r>
        <w:rPr>
          <w:b/>
          <w:bCs/>
          <w:lang w:val="hu-HU"/>
        </w:rPr>
        <w:t xml:space="preserve">dátuma: </w:t>
      </w:r>
      <w:r>
        <w:rPr>
          <w:lang w:val="hu-HU"/>
        </w:rPr>
        <w:t>202</w:t>
      </w:r>
      <w:r w:rsidR="0096473A">
        <w:rPr>
          <w:lang w:val="hu-HU"/>
        </w:rPr>
        <w:t>5. november.</w:t>
      </w:r>
    </w:p>
    <w:sectPr w:rsidR="00924E0A">
      <w:headerReference w:type="default" r:id="rId12"/>
      <w:footerReference w:type="defaul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E5D" w:rsidRDefault="007F4C87">
      <w:pPr>
        <w:spacing w:line="240" w:lineRule="auto"/>
      </w:pPr>
      <w:r>
        <w:separator/>
      </w:r>
    </w:p>
  </w:endnote>
  <w:endnote w:type="continuationSeparator" w:id="0">
    <w:p w:rsidR="00A62E5D" w:rsidRDefault="007F4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E0A" w:rsidRDefault="00924E0A">
    <w:pPr>
      <w:pStyle w:val="llb"/>
      <w:jc w:val="center"/>
      <w:rPr>
        <w:rFonts w:ascii="Arial" w:hAnsi="Arial" w:cs="Arial"/>
        <w:noProof/>
        <w:sz w:val="18"/>
        <w:szCs w:val="18"/>
        <w:lang w:eastAsia="hu-HU"/>
      </w:rPr>
    </w:pPr>
  </w:p>
  <w:p w:rsidR="00924E0A" w:rsidRDefault="00924E0A">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E0A" w:rsidRDefault="0096473A">
    <w:pPr>
      <w:pStyle w:val="llb"/>
      <w:tabs>
        <w:tab w:val="clear" w:pos="4536"/>
        <w:tab w:val="center" w:pos="8505"/>
      </w:tabs>
      <w:rPr>
        <w:sz w:val="18"/>
        <w:szCs w:val="18"/>
      </w:rPr>
    </w:pPr>
    <w:r w:rsidRPr="0096473A">
      <w:rPr>
        <w:sz w:val="18"/>
        <w:szCs w:val="18"/>
      </w:rPr>
      <w:t>NNGYK/ETGY/29562/2025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E5D" w:rsidRDefault="007F4C87">
      <w:pPr>
        <w:spacing w:line="240" w:lineRule="auto"/>
      </w:pPr>
      <w:r>
        <w:separator/>
      </w:r>
    </w:p>
  </w:footnote>
  <w:footnote w:type="continuationSeparator" w:id="0">
    <w:p w:rsidR="00A62E5D" w:rsidRDefault="007F4C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575904"/>
      <w:docPartObj>
        <w:docPartGallery w:val="Page Numbers (Top of Page)"/>
        <w:docPartUnique/>
      </w:docPartObj>
    </w:sdtPr>
    <w:sdtEndPr/>
    <w:sdtContent>
      <w:p w:rsidR="00924E0A" w:rsidRDefault="007F4C87">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275FC4" w:rsidRPr="00275FC4">
          <w:rPr>
            <w:noProof/>
            <w:sz w:val="18"/>
            <w:szCs w:val="18"/>
            <w:lang w:val="hu-HU"/>
          </w:rPr>
          <w:t>2</w:t>
        </w:r>
        <w:r>
          <w:rPr>
            <w:sz w:val="18"/>
            <w:szCs w:val="18"/>
          </w:rPr>
          <w:fldChar w:fldCharType="end"/>
        </w:r>
      </w:p>
    </w:sdtContent>
  </w:sdt>
  <w:p w:rsidR="00924E0A" w:rsidRDefault="00924E0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19AB74A1"/>
    <w:multiLevelType w:val="multilevel"/>
    <w:tmpl w:val="22BAB53E"/>
    <w:lvl w:ilvl="0">
      <w:start w:val="1"/>
      <w:numFmt w:val="bullet"/>
      <w:lvlText w:val=""/>
      <w:lvlJc w:val="left"/>
      <w:pPr>
        <w:tabs>
          <w:tab w:val="num" w:pos="360"/>
        </w:tabs>
      </w:pPr>
      <w:rPr>
        <w:rFonts w:ascii="Symbol" w:hAnsi="Symbol" w:hint="default"/>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4" w15:restartNumberingAfterBreak="0">
    <w:nsid w:val="1A462EFE"/>
    <w:multiLevelType w:val="hybridMultilevel"/>
    <w:tmpl w:val="01CC5A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E541609"/>
    <w:multiLevelType w:val="hybridMultilevel"/>
    <w:tmpl w:val="1E5AABE8"/>
    <w:lvl w:ilvl="0" w:tplc="FA147AEE">
      <w:start w:val="1"/>
      <w:numFmt w:val="decimal"/>
      <w:lvlText w:val="%1."/>
      <w:lvlJc w:val="left"/>
      <w:pPr>
        <w:tabs>
          <w:tab w:val="num" w:pos="570"/>
        </w:tabs>
        <w:ind w:left="570" w:hanging="570"/>
      </w:pPr>
    </w:lvl>
    <w:lvl w:ilvl="1" w:tplc="8F50547E">
      <w:start w:val="1"/>
      <w:numFmt w:val="lowerLetter"/>
      <w:lvlText w:val="%2."/>
      <w:lvlJc w:val="left"/>
      <w:pPr>
        <w:tabs>
          <w:tab w:val="num" w:pos="1080"/>
        </w:tabs>
        <w:ind w:left="1080" w:hanging="360"/>
      </w:pPr>
    </w:lvl>
    <w:lvl w:ilvl="2" w:tplc="ECBEF2A2">
      <w:start w:val="1"/>
      <w:numFmt w:val="lowerRoman"/>
      <w:lvlText w:val="%3."/>
      <w:lvlJc w:val="right"/>
      <w:pPr>
        <w:tabs>
          <w:tab w:val="num" w:pos="1800"/>
        </w:tabs>
        <w:ind w:left="1800" w:hanging="180"/>
      </w:pPr>
    </w:lvl>
    <w:lvl w:ilvl="3" w:tplc="B680E710">
      <w:start w:val="1"/>
      <w:numFmt w:val="decimal"/>
      <w:lvlText w:val="%4."/>
      <w:lvlJc w:val="left"/>
      <w:pPr>
        <w:tabs>
          <w:tab w:val="num" w:pos="2520"/>
        </w:tabs>
        <w:ind w:left="2520" w:hanging="360"/>
      </w:pPr>
    </w:lvl>
    <w:lvl w:ilvl="4" w:tplc="E8407CDE">
      <w:start w:val="1"/>
      <w:numFmt w:val="lowerLetter"/>
      <w:lvlText w:val="%5."/>
      <w:lvlJc w:val="left"/>
      <w:pPr>
        <w:tabs>
          <w:tab w:val="num" w:pos="3240"/>
        </w:tabs>
        <w:ind w:left="3240" w:hanging="360"/>
      </w:pPr>
    </w:lvl>
    <w:lvl w:ilvl="5" w:tplc="E56CE688">
      <w:start w:val="1"/>
      <w:numFmt w:val="lowerRoman"/>
      <w:lvlText w:val="%6."/>
      <w:lvlJc w:val="right"/>
      <w:pPr>
        <w:tabs>
          <w:tab w:val="num" w:pos="3960"/>
        </w:tabs>
        <w:ind w:left="3960" w:hanging="180"/>
      </w:pPr>
    </w:lvl>
    <w:lvl w:ilvl="6" w:tplc="A7BA3138">
      <w:start w:val="1"/>
      <w:numFmt w:val="decimal"/>
      <w:lvlText w:val="%7."/>
      <w:lvlJc w:val="left"/>
      <w:pPr>
        <w:tabs>
          <w:tab w:val="num" w:pos="4680"/>
        </w:tabs>
        <w:ind w:left="4680" w:hanging="360"/>
      </w:pPr>
    </w:lvl>
    <w:lvl w:ilvl="7" w:tplc="C2D62AD2">
      <w:start w:val="1"/>
      <w:numFmt w:val="lowerLetter"/>
      <w:lvlText w:val="%8."/>
      <w:lvlJc w:val="left"/>
      <w:pPr>
        <w:tabs>
          <w:tab w:val="num" w:pos="5400"/>
        </w:tabs>
        <w:ind w:left="5400" w:hanging="360"/>
      </w:pPr>
    </w:lvl>
    <w:lvl w:ilvl="8" w:tplc="24CC0168">
      <w:start w:val="1"/>
      <w:numFmt w:val="lowerRoman"/>
      <w:lvlText w:val="%9."/>
      <w:lvlJc w:val="right"/>
      <w:pPr>
        <w:tabs>
          <w:tab w:val="num" w:pos="6120"/>
        </w:tabs>
        <w:ind w:left="6120" w:hanging="180"/>
      </w:pPr>
    </w:lvl>
  </w:abstractNum>
  <w:abstractNum w:abstractNumId="6" w15:restartNumberingAfterBreak="0">
    <w:nsid w:val="2FEF21CF"/>
    <w:multiLevelType w:val="hybridMultilevel"/>
    <w:tmpl w:val="71EA7D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437A63EE"/>
    <w:multiLevelType w:val="hybridMultilevel"/>
    <w:tmpl w:val="BB52C5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565E1464"/>
    <w:multiLevelType w:val="hybridMultilevel"/>
    <w:tmpl w:val="8D928A6C"/>
    <w:lvl w:ilvl="0" w:tplc="BE50BD66">
      <w:start w:val="1"/>
      <w:numFmt w:val="decimal"/>
      <w:lvlText w:val="%1."/>
      <w:lvlJc w:val="left"/>
      <w:pPr>
        <w:ind w:left="907" w:hanging="360"/>
      </w:pPr>
    </w:lvl>
    <w:lvl w:ilvl="1" w:tplc="0C0A0019" w:tentative="1">
      <w:start w:val="1"/>
      <w:numFmt w:val="lowerLetter"/>
      <w:lvlText w:val="%2."/>
      <w:lvlJc w:val="left"/>
      <w:pPr>
        <w:ind w:left="1627" w:hanging="360"/>
      </w:pPr>
    </w:lvl>
    <w:lvl w:ilvl="2" w:tplc="0C0A001B" w:tentative="1">
      <w:start w:val="1"/>
      <w:numFmt w:val="lowerRoman"/>
      <w:lvlText w:val="%3."/>
      <w:lvlJc w:val="right"/>
      <w:pPr>
        <w:ind w:left="2347" w:hanging="180"/>
      </w:pPr>
    </w:lvl>
    <w:lvl w:ilvl="3" w:tplc="0C0A000F" w:tentative="1">
      <w:start w:val="1"/>
      <w:numFmt w:val="decimal"/>
      <w:lvlText w:val="%4."/>
      <w:lvlJc w:val="left"/>
      <w:pPr>
        <w:ind w:left="3067" w:hanging="360"/>
      </w:pPr>
    </w:lvl>
    <w:lvl w:ilvl="4" w:tplc="0C0A0019" w:tentative="1">
      <w:start w:val="1"/>
      <w:numFmt w:val="lowerLetter"/>
      <w:lvlText w:val="%5."/>
      <w:lvlJc w:val="left"/>
      <w:pPr>
        <w:ind w:left="3787" w:hanging="360"/>
      </w:pPr>
    </w:lvl>
    <w:lvl w:ilvl="5" w:tplc="0C0A001B" w:tentative="1">
      <w:start w:val="1"/>
      <w:numFmt w:val="lowerRoman"/>
      <w:lvlText w:val="%6."/>
      <w:lvlJc w:val="right"/>
      <w:pPr>
        <w:ind w:left="4507" w:hanging="180"/>
      </w:pPr>
    </w:lvl>
    <w:lvl w:ilvl="6" w:tplc="0C0A000F" w:tentative="1">
      <w:start w:val="1"/>
      <w:numFmt w:val="decimal"/>
      <w:lvlText w:val="%7."/>
      <w:lvlJc w:val="left"/>
      <w:pPr>
        <w:ind w:left="5227" w:hanging="360"/>
      </w:pPr>
    </w:lvl>
    <w:lvl w:ilvl="7" w:tplc="0C0A0019" w:tentative="1">
      <w:start w:val="1"/>
      <w:numFmt w:val="lowerLetter"/>
      <w:lvlText w:val="%8."/>
      <w:lvlJc w:val="left"/>
      <w:pPr>
        <w:ind w:left="5947" w:hanging="360"/>
      </w:pPr>
    </w:lvl>
    <w:lvl w:ilvl="8" w:tplc="0C0A001B" w:tentative="1">
      <w:start w:val="1"/>
      <w:numFmt w:val="lowerRoman"/>
      <w:lvlText w:val="%9."/>
      <w:lvlJc w:val="right"/>
      <w:pPr>
        <w:ind w:left="6667" w:hanging="180"/>
      </w:pPr>
    </w:lvl>
  </w:abstractNum>
  <w:abstractNum w:abstractNumId="9" w15:restartNumberingAfterBreak="0">
    <w:nsid w:val="58B56C73"/>
    <w:multiLevelType w:val="hybridMultilevel"/>
    <w:tmpl w:val="5BA42128"/>
    <w:lvl w:ilvl="0" w:tplc="4DAA0ABE">
      <w:start w:val="2"/>
      <w:numFmt w:val="decimal"/>
      <w:lvlText w:val="%1."/>
      <w:lvlJc w:val="left"/>
      <w:pPr>
        <w:tabs>
          <w:tab w:val="num" w:pos="570"/>
        </w:tabs>
        <w:ind w:left="570" w:hanging="570"/>
      </w:pPr>
    </w:lvl>
    <w:lvl w:ilvl="1" w:tplc="83DE6636">
      <w:start w:val="1"/>
      <w:numFmt w:val="lowerLetter"/>
      <w:lvlText w:val="%2."/>
      <w:lvlJc w:val="left"/>
      <w:pPr>
        <w:tabs>
          <w:tab w:val="num" w:pos="1080"/>
        </w:tabs>
        <w:ind w:left="1080" w:hanging="360"/>
      </w:pPr>
    </w:lvl>
    <w:lvl w:ilvl="2" w:tplc="B1E2C604">
      <w:start w:val="1"/>
      <w:numFmt w:val="lowerRoman"/>
      <w:lvlText w:val="%3."/>
      <w:lvlJc w:val="right"/>
      <w:pPr>
        <w:tabs>
          <w:tab w:val="num" w:pos="1800"/>
        </w:tabs>
        <w:ind w:left="1800" w:hanging="180"/>
      </w:pPr>
    </w:lvl>
    <w:lvl w:ilvl="3" w:tplc="FE324A0E">
      <w:start w:val="1"/>
      <w:numFmt w:val="decimal"/>
      <w:lvlText w:val="%4."/>
      <w:lvlJc w:val="left"/>
      <w:pPr>
        <w:tabs>
          <w:tab w:val="num" w:pos="2520"/>
        </w:tabs>
        <w:ind w:left="2520" w:hanging="360"/>
      </w:pPr>
    </w:lvl>
    <w:lvl w:ilvl="4" w:tplc="8BEA07D6">
      <w:start w:val="1"/>
      <w:numFmt w:val="lowerLetter"/>
      <w:lvlText w:val="%5."/>
      <w:lvlJc w:val="left"/>
      <w:pPr>
        <w:tabs>
          <w:tab w:val="num" w:pos="3240"/>
        </w:tabs>
        <w:ind w:left="3240" w:hanging="360"/>
      </w:pPr>
    </w:lvl>
    <w:lvl w:ilvl="5" w:tplc="DE667FA0">
      <w:start w:val="1"/>
      <w:numFmt w:val="lowerRoman"/>
      <w:lvlText w:val="%6."/>
      <w:lvlJc w:val="right"/>
      <w:pPr>
        <w:tabs>
          <w:tab w:val="num" w:pos="3960"/>
        </w:tabs>
        <w:ind w:left="3960" w:hanging="180"/>
      </w:pPr>
    </w:lvl>
    <w:lvl w:ilvl="6" w:tplc="7FC401F6">
      <w:start w:val="1"/>
      <w:numFmt w:val="decimal"/>
      <w:lvlText w:val="%7."/>
      <w:lvlJc w:val="left"/>
      <w:pPr>
        <w:tabs>
          <w:tab w:val="num" w:pos="4680"/>
        </w:tabs>
        <w:ind w:left="4680" w:hanging="360"/>
      </w:pPr>
    </w:lvl>
    <w:lvl w:ilvl="7" w:tplc="9B2A2440">
      <w:start w:val="1"/>
      <w:numFmt w:val="lowerLetter"/>
      <w:lvlText w:val="%8."/>
      <w:lvlJc w:val="left"/>
      <w:pPr>
        <w:tabs>
          <w:tab w:val="num" w:pos="5400"/>
        </w:tabs>
        <w:ind w:left="5400" w:hanging="360"/>
      </w:pPr>
    </w:lvl>
    <w:lvl w:ilvl="8" w:tplc="00E800EA">
      <w:start w:val="1"/>
      <w:numFmt w:val="lowerRoman"/>
      <w:lvlText w:val="%9."/>
      <w:lvlJc w:val="right"/>
      <w:pPr>
        <w:tabs>
          <w:tab w:val="num" w:pos="6120"/>
        </w:tabs>
        <w:ind w:left="612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F2"/>
    <w:rsid w:val="0003001C"/>
    <w:rsid w:val="00036939"/>
    <w:rsid w:val="00040D58"/>
    <w:rsid w:val="00052342"/>
    <w:rsid w:val="000657E1"/>
    <w:rsid w:val="00076CC1"/>
    <w:rsid w:val="00082DDD"/>
    <w:rsid w:val="0008454B"/>
    <w:rsid w:val="00085E40"/>
    <w:rsid w:val="00086C5D"/>
    <w:rsid w:val="00087BC0"/>
    <w:rsid w:val="000A55A7"/>
    <w:rsid w:val="000B06A5"/>
    <w:rsid w:val="000E78DF"/>
    <w:rsid w:val="000E7913"/>
    <w:rsid w:val="000F56DB"/>
    <w:rsid w:val="001009AB"/>
    <w:rsid w:val="00104A4B"/>
    <w:rsid w:val="001545B2"/>
    <w:rsid w:val="00162479"/>
    <w:rsid w:val="00165879"/>
    <w:rsid w:val="00174BF4"/>
    <w:rsid w:val="00180FB3"/>
    <w:rsid w:val="001C67D2"/>
    <w:rsid w:val="001E2B99"/>
    <w:rsid w:val="001F6C2E"/>
    <w:rsid w:val="00223926"/>
    <w:rsid w:val="00223C48"/>
    <w:rsid w:val="00230B00"/>
    <w:rsid w:val="002366F4"/>
    <w:rsid w:val="00246827"/>
    <w:rsid w:val="00261BFF"/>
    <w:rsid w:val="00263738"/>
    <w:rsid w:val="002717D6"/>
    <w:rsid w:val="00275FC4"/>
    <w:rsid w:val="00295D7F"/>
    <w:rsid w:val="00296C84"/>
    <w:rsid w:val="002A6195"/>
    <w:rsid w:val="002C37AD"/>
    <w:rsid w:val="002D64FD"/>
    <w:rsid w:val="002F561C"/>
    <w:rsid w:val="002F6F4E"/>
    <w:rsid w:val="00314F1A"/>
    <w:rsid w:val="003266DA"/>
    <w:rsid w:val="00370E83"/>
    <w:rsid w:val="00390403"/>
    <w:rsid w:val="0039642A"/>
    <w:rsid w:val="003B7569"/>
    <w:rsid w:val="003C3D61"/>
    <w:rsid w:val="003E5C8A"/>
    <w:rsid w:val="003F36EF"/>
    <w:rsid w:val="004071F0"/>
    <w:rsid w:val="00407A7B"/>
    <w:rsid w:val="0045606D"/>
    <w:rsid w:val="0046092D"/>
    <w:rsid w:val="0046482E"/>
    <w:rsid w:val="004727D4"/>
    <w:rsid w:val="0047408C"/>
    <w:rsid w:val="004A41A5"/>
    <w:rsid w:val="004C066E"/>
    <w:rsid w:val="004D67A1"/>
    <w:rsid w:val="004E795E"/>
    <w:rsid w:val="00501A0A"/>
    <w:rsid w:val="0052133B"/>
    <w:rsid w:val="00522E79"/>
    <w:rsid w:val="00553071"/>
    <w:rsid w:val="005733F1"/>
    <w:rsid w:val="005923E5"/>
    <w:rsid w:val="005B3E9C"/>
    <w:rsid w:val="005D0D1F"/>
    <w:rsid w:val="005D4C04"/>
    <w:rsid w:val="005D5BE0"/>
    <w:rsid w:val="005F7048"/>
    <w:rsid w:val="00602409"/>
    <w:rsid w:val="0061719F"/>
    <w:rsid w:val="00632EFD"/>
    <w:rsid w:val="006352A5"/>
    <w:rsid w:val="00641158"/>
    <w:rsid w:val="006435A9"/>
    <w:rsid w:val="0068100D"/>
    <w:rsid w:val="00695AD1"/>
    <w:rsid w:val="006A5648"/>
    <w:rsid w:val="006B284F"/>
    <w:rsid w:val="006B2A3B"/>
    <w:rsid w:val="006C5379"/>
    <w:rsid w:val="006F023D"/>
    <w:rsid w:val="00717571"/>
    <w:rsid w:val="007678D9"/>
    <w:rsid w:val="0077281D"/>
    <w:rsid w:val="00776957"/>
    <w:rsid w:val="00777780"/>
    <w:rsid w:val="007C7A54"/>
    <w:rsid w:val="007D0A47"/>
    <w:rsid w:val="007E018F"/>
    <w:rsid w:val="007E3D84"/>
    <w:rsid w:val="007F2E86"/>
    <w:rsid w:val="007F4C87"/>
    <w:rsid w:val="007F6DEE"/>
    <w:rsid w:val="008020ED"/>
    <w:rsid w:val="00816B35"/>
    <w:rsid w:val="00820B5E"/>
    <w:rsid w:val="00844CB3"/>
    <w:rsid w:val="00861F22"/>
    <w:rsid w:val="0088192D"/>
    <w:rsid w:val="008860A6"/>
    <w:rsid w:val="00886D41"/>
    <w:rsid w:val="008912F8"/>
    <w:rsid w:val="008C4505"/>
    <w:rsid w:val="008E1E80"/>
    <w:rsid w:val="008F00C9"/>
    <w:rsid w:val="008F22E7"/>
    <w:rsid w:val="009173F7"/>
    <w:rsid w:val="00920868"/>
    <w:rsid w:val="00924E0A"/>
    <w:rsid w:val="00953DDE"/>
    <w:rsid w:val="00953EE7"/>
    <w:rsid w:val="0096404F"/>
    <w:rsid w:val="0096473A"/>
    <w:rsid w:val="0098374F"/>
    <w:rsid w:val="00984383"/>
    <w:rsid w:val="0099570B"/>
    <w:rsid w:val="009A4A15"/>
    <w:rsid w:val="009B3F9D"/>
    <w:rsid w:val="009B5BBA"/>
    <w:rsid w:val="009F4908"/>
    <w:rsid w:val="00A002BF"/>
    <w:rsid w:val="00A361C7"/>
    <w:rsid w:val="00A53AFD"/>
    <w:rsid w:val="00A62E5D"/>
    <w:rsid w:val="00A70E95"/>
    <w:rsid w:val="00A7701F"/>
    <w:rsid w:val="00A91B88"/>
    <w:rsid w:val="00A953A5"/>
    <w:rsid w:val="00A9548D"/>
    <w:rsid w:val="00AA692D"/>
    <w:rsid w:val="00AC0EC0"/>
    <w:rsid w:val="00AF3428"/>
    <w:rsid w:val="00B912AC"/>
    <w:rsid w:val="00B957DF"/>
    <w:rsid w:val="00BA6F39"/>
    <w:rsid w:val="00BD454E"/>
    <w:rsid w:val="00BE31B1"/>
    <w:rsid w:val="00BF1118"/>
    <w:rsid w:val="00BF1C75"/>
    <w:rsid w:val="00C153FA"/>
    <w:rsid w:val="00C27AF0"/>
    <w:rsid w:val="00C44B0E"/>
    <w:rsid w:val="00CE4E33"/>
    <w:rsid w:val="00D00A99"/>
    <w:rsid w:val="00D013CD"/>
    <w:rsid w:val="00D014F2"/>
    <w:rsid w:val="00D548D0"/>
    <w:rsid w:val="00DA0957"/>
    <w:rsid w:val="00DD06BC"/>
    <w:rsid w:val="00DE04CE"/>
    <w:rsid w:val="00DE5910"/>
    <w:rsid w:val="00DE6612"/>
    <w:rsid w:val="00DE6DDA"/>
    <w:rsid w:val="00DE7F1C"/>
    <w:rsid w:val="00E02862"/>
    <w:rsid w:val="00E04EED"/>
    <w:rsid w:val="00E20E8A"/>
    <w:rsid w:val="00E30229"/>
    <w:rsid w:val="00E57BF5"/>
    <w:rsid w:val="00E65A54"/>
    <w:rsid w:val="00E70D6F"/>
    <w:rsid w:val="00E846E2"/>
    <w:rsid w:val="00E8488F"/>
    <w:rsid w:val="00E85D6A"/>
    <w:rsid w:val="00E907A5"/>
    <w:rsid w:val="00EB6D93"/>
    <w:rsid w:val="00EC006D"/>
    <w:rsid w:val="00EC4D02"/>
    <w:rsid w:val="00EC6EA0"/>
    <w:rsid w:val="00EE1EAF"/>
    <w:rsid w:val="00EF2DD9"/>
    <w:rsid w:val="00F023EC"/>
    <w:rsid w:val="00F0725F"/>
    <w:rsid w:val="00F16C86"/>
    <w:rsid w:val="00F61076"/>
    <w:rsid w:val="00FB0714"/>
    <w:rsid w:val="00FB5450"/>
    <w:rsid w:val="00FD1BCA"/>
    <w:rsid w:val="00FD5590"/>
    <w:rsid w:val="00FF463A"/>
    <w:rsid w:val="00FF541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797B564D-3F2F-47F8-9975-633C6F4E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Times New Roman" w:hAnsi="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pPr>
      <w:spacing w:after="0" w:line="240" w:lineRule="auto"/>
    </w:pPr>
    <w:rPr>
      <w:rFonts w:ascii="Times New Roman" w:hAnsi="Times New Roman"/>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rPr>
      <w:rFonts w:ascii="Times New Roman" w:eastAsia="Times New Roman" w:hAnsi="Times New Roman" w:cs="Times New Roman"/>
      <w:lang w:val="en-GB" w:eastAsia="hu-HU"/>
    </w:rPr>
  </w:style>
  <w:style w:type="paragraph" w:styleId="Listaszerbekezds">
    <w:name w:val="List Paragraph"/>
    <w:basedOn w:val="Norml"/>
    <w:uiPriority w:val="34"/>
    <w:qFormat/>
    <w:pPr>
      <w:ind w:left="720"/>
      <w:contextualSpacing/>
    </w:pPr>
  </w:style>
  <w:style w:type="table" w:styleId="Rcsostblzat">
    <w:name w:val="Table Grid"/>
    <w:basedOn w:val="Normltblzat"/>
    <w:uiPriority w:val="59"/>
    <w:pPr>
      <w:spacing w:after="0" w:line="240" w:lineRule="auto"/>
    </w:pPr>
    <w:rPr>
      <w:rFonts w:ascii="Times New Roman" w:eastAsia="Times New Roman" w:hAnsi="Times New Roman"/>
      <w:sz w:val="20"/>
      <w:szCs w:val="20"/>
      <w:lang w:val="en-GB" w:eastAsia="en-GB"/>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Pr>
      <w:rFonts w:ascii="Segoe UI" w:eastAsia="Times New Roman" w:hAnsi="Segoe UI" w:cs="Segoe UI"/>
      <w:sz w:val="18"/>
      <w:szCs w:val="18"/>
      <w:lang w:val="en-GB"/>
    </w:rPr>
  </w:style>
  <w:style w:type="paragraph" w:styleId="lfej">
    <w:name w:val="header"/>
    <w:basedOn w:val="Norml"/>
    <w:link w:val="lfejChar"/>
    <w:uiPriority w:val="99"/>
    <w:unhideWhenUsed/>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Pr>
      <w:rFonts w:ascii="Times New Roman" w:eastAsia="Times New Roman" w:hAnsi="Times New Roman" w:cs="Times New Roman"/>
      <w:lang w:val="en-GB"/>
    </w:rPr>
  </w:style>
  <w:style w:type="paragraph" w:styleId="llb">
    <w:name w:val="footer"/>
    <w:basedOn w:val="Norml"/>
    <w:link w:val="llbChar1"/>
    <w:uiPriority w:val="99"/>
    <w:unhideWhenUsed/>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aliases w:val="Car17 Car Car,Car17,Car17 Car,Char13,Char13 Car Car,Char13 Car, Car17 Car Car, Car17, Car17 Car, Char13 Car Car, Char13 Car, Char13"/>
    <w:basedOn w:val="Norml"/>
    <w:link w:val="JegyzetszvegChar"/>
    <w:uiPriority w:val="99"/>
    <w:unhideWhenUsed/>
    <w:pPr>
      <w:spacing w:line="240" w:lineRule="auto"/>
    </w:pPr>
    <w:rPr>
      <w:sz w:val="20"/>
      <w:szCs w:val="20"/>
    </w:rPr>
  </w:style>
  <w:style w:type="character" w:customStyle="1" w:styleId="JegyzetszvegChar">
    <w:name w:val="Jegyzetszöveg Char"/>
    <w:aliases w:val="Car17 Car Car Char,Car17 Char,Car17 Car Char,Char13 Char,Char13 Car Car Char,Char13 Car Char, Car17 Car Car Char, Car17 Char, Car17 Car Char, Char13 Car Car Char, Char13 Car Char, Char13 Char"/>
    <w:basedOn w:val="Bekezdsalapbettpusa"/>
    <w:link w:val="Jegyzetszveg"/>
    <w:uiPriority w:val="99"/>
    <w:semiHidden/>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basedOn w:val="JegyzetszvegChar"/>
    <w:link w:val="Megjegyzstrgya"/>
    <w:uiPriority w:val="99"/>
    <w:semiHidden/>
    <w:rPr>
      <w:rFonts w:ascii="Times New Roman" w:eastAsia="Times New Roman" w:hAnsi="Times New Roman" w:cs="Times New Roman"/>
      <w:b/>
      <w:bCs/>
      <w:sz w:val="20"/>
      <w:szCs w:val="20"/>
      <w:lang w:val="en-GB"/>
    </w:rPr>
  </w:style>
  <w:style w:type="character" w:customStyle="1" w:styleId="JegyzetszvegChar2">
    <w:name w:val="Jegyzetszöveg Char2"/>
    <w:aliases w:val="Car17 Car Car Char1,Car17 Char1,Car17 Car Char1,Char13 Char1,Char13 Car Car Char1,Char13 Car Char1, Car17 Car Car Char1, Car17 Char1, Car17 Car Char1, Char13 Car Car Char1, Char13 Car Char1, Char13 Char1"/>
    <w:basedOn w:val="Bekezdsalapbettpusa"/>
    <w:uiPriority w:val="99"/>
    <w:rPr>
      <w:lang w:eastAsia="en-US"/>
    </w:rPr>
  </w:style>
  <w:style w:type="paragraph" w:styleId="Vltozat">
    <w:name w:val="Revision"/>
    <w:uiPriority w:val="99"/>
    <w:semiHidden/>
    <w:pPr>
      <w:spacing w:after="0" w:line="240" w:lineRule="auto"/>
    </w:pPr>
    <w:rPr>
      <w:rFonts w:ascii="Times New Roman" w:eastAsia="Times New Roman" w:hAnsi="Times New Roman"/>
      <w:lang w:val="en-GB"/>
    </w:rPr>
  </w:style>
  <w:style w:type="character" w:styleId="Lbjegyzet-hivatkozs">
    <w:name w:val="footnote reference"/>
    <w:basedOn w:val="Bekezdsalapbettpusa"/>
    <w:uiPriority w:val="99"/>
    <w:semiHidden/>
    <w:unhideWhenUsed/>
    <w:qFormat/>
    <w:rPr>
      <w:vertAlign w:val="superscript"/>
    </w:rPr>
  </w:style>
  <w:style w:type="character" w:styleId="Vgjegyzet-hivatkozs">
    <w:name w:val="endnote reference"/>
    <w:basedOn w:val="Bekezdsalapbettpusa"/>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596054">
      <w:bodyDiv w:val="1"/>
      <w:marLeft w:val="0"/>
      <w:marRight w:val="0"/>
      <w:marTop w:val="0"/>
      <w:marBottom w:val="0"/>
      <w:divBdr>
        <w:top w:val="none" w:sz="0" w:space="0" w:color="auto"/>
        <w:left w:val="none" w:sz="0" w:space="0" w:color="auto"/>
        <w:bottom w:val="none" w:sz="0" w:space="0" w:color="auto"/>
        <w:right w:val="none" w:sz="0" w:space="0" w:color="auto"/>
      </w:divBdr>
    </w:div>
    <w:div w:id="312638636">
      <w:bodyDiv w:val="1"/>
      <w:marLeft w:val="0"/>
      <w:marRight w:val="0"/>
      <w:marTop w:val="0"/>
      <w:marBottom w:val="0"/>
      <w:divBdr>
        <w:top w:val="none" w:sz="0" w:space="0" w:color="auto"/>
        <w:left w:val="none" w:sz="0" w:space="0" w:color="auto"/>
        <w:bottom w:val="none" w:sz="0" w:space="0" w:color="auto"/>
        <w:right w:val="none" w:sz="0" w:space="0" w:color="auto"/>
      </w:divBdr>
    </w:div>
    <w:div w:id="181876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C7D0C-056C-48E4-8ADB-5E08A2660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1589</Words>
  <Characters>10965</Characters>
  <Application>Microsoft Office Word</Application>
  <DocSecurity>0</DocSecurity>
  <Lines>91</Lines>
  <Paragraphs>25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FZ</dc:creator>
  <cp:lastModifiedBy>HU_OGYI_56.1</cp:lastModifiedBy>
  <cp:revision>7</cp:revision>
  <dcterms:created xsi:type="dcterms:W3CDTF">2023-03-02T10:26:00Z</dcterms:created>
  <dcterms:modified xsi:type="dcterms:W3CDTF">2025-11-14T09:38:00Z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929bff8-5b33-42aa-95d2-28f72e792cb0_Enabled">
    <vt:lpwstr>true</vt:lpwstr>
  </property>
  <property fmtid="{D5CDD505-2E9C-101B-9397-08002B2CF9AE}" pid="3" name="MSIP_Label_4929bff8-5b33-42aa-95d2-28f72e792cb0_SetDate">
    <vt:lpwstr>2020-12-08T20:17:58Z</vt:lpwstr>
  </property>
  <property fmtid="{D5CDD505-2E9C-101B-9397-08002B2CF9AE}" pid="4" name="MSIP_Label_4929bff8-5b33-42aa-95d2-28f72e792cb0_Method">
    <vt:lpwstr>Standard</vt:lpwstr>
  </property>
  <property fmtid="{D5CDD505-2E9C-101B-9397-08002B2CF9AE}" pid="5" name="MSIP_Label_4929bff8-5b33-42aa-95d2-28f72e792cb0_Name">
    <vt:lpwstr>Internal</vt:lpwstr>
  </property>
  <property fmtid="{D5CDD505-2E9C-101B-9397-08002B2CF9AE}" pid="6" name="MSIP_Label_4929bff8-5b33-42aa-95d2-28f72e792cb0_SiteId">
    <vt:lpwstr>f35a6974-607f-47d4-82d7-ff31d7dc53a5</vt:lpwstr>
  </property>
  <property fmtid="{D5CDD505-2E9C-101B-9397-08002B2CF9AE}" pid="7" name="MSIP_Label_4929bff8-5b33-42aa-95d2-28f72e792cb0_ActionId">
    <vt:lpwstr>473fecdd-ab5c-45f5-8f09-3df8ff869cdb</vt:lpwstr>
  </property>
  <property fmtid="{D5CDD505-2E9C-101B-9397-08002B2CF9AE}" pid="8" name="MSIP_Label_4929bff8-5b33-42aa-95d2-28f72e792cb0_ContentBits">
    <vt:lpwstr>0</vt:lpwstr>
  </property>
  <property fmtid="{D5CDD505-2E9C-101B-9397-08002B2CF9AE}" pid="9" name="DMS_Doc_ID">
    <vt:lpwstr>120940089</vt:lpwstr>
  </property>
</Properties>
</file>