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3ED76" w14:textId="77777777" w:rsidR="00F45C51" w:rsidRPr="00CE7F43" w:rsidRDefault="00907DC6" w:rsidP="00082A8E">
      <w:pPr>
        <w:tabs>
          <w:tab w:val="clear" w:pos="567"/>
        </w:tabs>
        <w:spacing w:line="240" w:lineRule="auto"/>
        <w:jc w:val="center"/>
        <w:outlineLvl w:val="0"/>
        <w:rPr>
          <w:noProof/>
          <w:szCs w:val="24"/>
          <w:lang w:val="hu-HU"/>
        </w:rPr>
      </w:pPr>
      <w:r w:rsidRPr="00CE7F43">
        <w:rPr>
          <w:b/>
          <w:noProof/>
          <w:szCs w:val="24"/>
          <w:lang w:val="hu-HU"/>
        </w:rPr>
        <w:t xml:space="preserve">Betegtájékoztató: Információk a </w:t>
      </w:r>
      <w:r w:rsidR="00E72546" w:rsidRPr="00CE7F43">
        <w:rPr>
          <w:b/>
          <w:noProof/>
          <w:szCs w:val="24"/>
          <w:lang w:val="hu-HU"/>
        </w:rPr>
        <w:t>beteg</w:t>
      </w:r>
      <w:r w:rsidRPr="00CE7F43">
        <w:rPr>
          <w:b/>
          <w:noProof/>
          <w:szCs w:val="24"/>
          <w:lang w:val="hu-HU"/>
        </w:rPr>
        <w:t xml:space="preserve"> számára</w:t>
      </w:r>
    </w:p>
    <w:p w14:paraId="0B59AE13" w14:textId="77777777" w:rsidR="00F45C51" w:rsidRPr="00CE7F43" w:rsidRDefault="00F45C51" w:rsidP="00082A8E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  <w:rPr>
          <w:lang w:val="hu-HU"/>
        </w:rPr>
      </w:pPr>
    </w:p>
    <w:p w14:paraId="0A77B917" w14:textId="4E4836BC" w:rsidR="0036603D" w:rsidRPr="00CE7F43" w:rsidRDefault="007F6B38" w:rsidP="007F6B38">
      <w:pPr>
        <w:spacing w:line="240" w:lineRule="auto"/>
        <w:jc w:val="center"/>
        <w:rPr>
          <w:b/>
          <w:lang w:val="hu-HU"/>
        </w:rPr>
      </w:pPr>
      <w:r w:rsidRPr="00CE7F43">
        <w:rPr>
          <w:b/>
          <w:lang w:val="hu-HU"/>
        </w:rPr>
        <w:t>Tranexámsav Baxter 100 mg/ml</w:t>
      </w:r>
      <w:r w:rsidR="0036603D" w:rsidRPr="00CE7F43">
        <w:rPr>
          <w:b/>
          <w:lang w:val="hu-HU"/>
        </w:rPr>
        <w:t xml:space="preserve"> </w:t>
      </w:r>
      <w:r w:rsidRPr="00CE7F43">
        <w:rPr>
          <w:b/>
          <w:lang w:val="hu-HU"/>
        </w:rPr>
        <w:t xml:space="preserve">oldatos </w:t>
      </w:r>
      <w:r w:rsidR="00DD328F" w:rsidRPr="00FD2AC6">
        <w:rPr>
          <w:b/>
          <w:lang w:val="hu-HU"/>
        </w:rPr>
        <w:t>injekció</w:t>
      </w:r>
      <w:r w:rsidR="00FD2AC6" w:rsidRPr="00890580">
        <w:rPr>
          <w:b/>
          <w:lang w:val="hu-HU"/>
        </w:rPr>
        <w:t>/</w:t>
      </w:r>
      <w:r w:rsidR="00FD2AC6" w:rsidRPr="00890580">
        <w:rPr>
          <w:b/>
          <w:bCs/>
          <w:lang w:eastAsia="en-US"/>
        </w:rPr>
        <w:t>infúzió</w:t>
      </w:r>
    </w:p>
    <w:p w14:paraId="552DF5FE" w14:textId="77777777" w:rsidR="009036EA" w:rsidRDefault="009036EA" w:rsidP="0036603D">
      <w:pPr>
        <w:tabs>
          <w:tab w:val="clear" w:pos="567"/>
        </w:tabs>
        <w:spacing w:line="240" w:lineRule="auto"/>
        <w:jc w:val="center"/>
        <w:rPr>
          <w:lang w:val="hu-HU"/>
        </w:rPr>
      </w:pPr>
    </w:p>
    <w:p w14:paraId="2E0464F3" w14:textId="77777777" w:rsidR="00F45C51" w:rsidRPr="00CE7F43" w:rsidRDefault="0036603D" w:rsidP="0036603D">
      <w:pPr>
        <w:tabs>
          <w:tab w:val="clear" w:pos="567"/>
        </w:tabs>
        <w:spacing w:line="240" w:lineRule="auto"/>
        <w:jc w:val="center"/>
        <w:rPr>
          <w:lang w:val="hu-HU"/>
        </w:rPr>
      </w:pPr>
      <w:r w:rsidRPr="00CE7F43">
        <w:rPr>
          <w:lang w:val="hu-HU"/>
        </w:rPr>
        <w:t>tranexámsav</w:t>
      </w:r>
    </w:p>
    <w:p w14:paraId="79A17D97" w14:textId="77777777" w:rsidR="00F45C51" w:rsidRPr="00CE7F43" w:rsidRDefault="00F45C51" w:rsidP="00082A8E">
      <w:pPr>
        <w:tabs>
          <w:tab w:val="clear" w:pos="567"/>
        </w:tabs>
        <w:spacing w:line="240" w:lineRule="auto"/>
        <w:rPr>
          <w:noProof/>
          <w:szCs w:val="24"/>
          <w:lang w:val="hu-HU"/>
        </w:rPr>
      </w:pPr>
    </w:p>
    <w:p w14:paraId="435BF65A" w14:textId="477BAA3C" w:rsidR="00F45C51" w:rsidRPr="00CE7F43" w:rsidRDefault="00111AC4" w:rsidP="00082A8E">
      <w:pPr>
        <w:spacing w:line="240" w:lineRule="auto"/>
        <w:rPr>
          <w:b/>
          <w:lang w:val="hu-HU"/>
        </w:rPr>
      </w:pPr>
      <w:r w:rsidRPr="00CE7F43">
        <w:rPr>
          <w:b/>
          <w:lang w:val="hu-HU"/>
        </w:rPr>
        <w:t xml:space="preserve">Mielőtt </w:t>
      </w:r>
      <w:r w:rsidR="00C11607" w:rsidRPr="009A347E">
        <w:rPr>
          <w:b/>
          <w:szCs w:val="22"/>
          <w:lang w:val="hu-HU"/>
        </w:rPr>
        <w:t xml:space="preserve">beadják Önnek </w:t>
      </w:r>
      <w:r w:rsidRPr="00CE7F43">
        <w:rPr>
          <w:b/>
          <w:lang w:val="hu-HU"/>
        </w:rPr>
        <w:t xml:space="preserve">ezt a gyógyszert, olvassa el figyelmesen az alábbi </w:t>
      </w:r>
      <w:r w:rsidRPr="00CE7F43">
        <w:rPr>
          <w:b/>
          <w:noProof/>
          <w:szCs w:val="24"/>
          <w:lang w:val="hu-HU"/>
        </w:rPr>
        <w:t xml:space="preserve">betegtájékoztatót, </w:t>
      </w:r>
      <w:r w:rsidR="00F172C9" w:rsidRPr="00CE7F43">
        <w:rPr>
          <w:b/>
          <w:noProof/>
          <w:szCs w:val="24"/>
          <w:lang w:val="hu-HU"/>
        </w:rPr>
        <w:t>me</w:t>
      </w:r>
      <w:r w:rsidR="000C1738" w:rsidRPr="00CE7F43">
        <w:rPr>
          <w:b/>
          <w:noProof/>
          <w:szCs w:val="24"/>
          <w:lang w:val="hu-HU"/>
        </w:rPr>
        <w:t>rt</w:t>
      </w:r>
      <w:r w:rsidR="00C66261" w:rsidRPr="00CE7F43">
        <w:rPr>
          <w:b/>
          <w:noProof/>
          <w:szCs w:val="24"/>
          <w:lang w:val="hu-HU"/>
        </w:rPr>
        <w:t xml:space="preserve"> </w:t>
      </w:r>
      <w:r w:rsidRPr="00CE7F43">
        <w:rPr>
          <w:b/>
          <w:noProof/>
          <w:szCs w:val="24"/>
          <w:lang w:val="hu-HU"/>
        </w:rPr>
        <w:t>az Ön számára</w:t>
      </w:r>
      <w:r w:rsidR="00F172C9" w:rsidRPr="00CE7F43">
        <w:rPr>
          <w:b/>
          <w:noProof/>
          <w:szCs w:val="24"/>
          <w:lang w:val="hu-HU"/>
        </w:rPr>
        <w:t xml:space="preserve"> fontos információkat tartalmaz</w:t>
      </w:r>
      <w:r w:rsidRPr="00CE7F43">
        <w:rPr>
          <w:b/>
          <w:lang w:val="hu-HU"/>
        </w:rPr>
        <w:t>.</w:t>
      </w:r>
    </w:p>
    <w:p w14:paraId="3A06B522" w14:textId="77777777" w:rsidR="00F45C51" w:rsidRPr="00CE7F43" w:rsidRDefault="00907DC6" w:rsidP="00082A8E">
      <w:pPr>
        <w:numPr>
          <w:ilvl w:val="0"/>
          <w:numId w:val="20"/>
        </w:numPr>
        <w:tabs>
          <w:tab w:val="clear" w:pos="360"/>
          <w:tab w:val="num" w:pos="567"/>
        </w:tabs>
        <w:suppressAutoHyphens/>
        <w:spacing w:line="240" w:lineRule="auto"/>
        <w:ind w:left="567" w:hanging="567"/>
        <w:rPr>
          <w:lang w:val="hu-HU"/>
        </w:rPr>
      </w:pPr>
      <w:r w:rsidRPr="00CE7F43">
        <w:rPr>
          <w:lang w:val="hu-HU"/>
        </w:rPr>
        <w:t xml:space="preserve">Tartsa meg a betegtájékoztatót, mert a benne szereplő információkra a </w:t>
      </w:r>
      <w:r w:rsidRPr="00CE7F43">
        <w:rPr>
          <w:noProof/>
          <w:szCs w:val="24"/>
          <w:lang w:val="hu-HU"/>
        </w:rPr>
        <w:t>későbbiekben</w:t>
      </w:r>
      <w:r w:rsidRPr="00CE7F43">
        <w:rPr>
          <w:lang w:val="hu-HU"/>
        </w:rPr>
        <w:t xml:space="preserve"> is szüksége lehet.</w:t>
      </w:r>
    </w:p>
    <w:p w14:paraId="2E5FBC68" w14:textId="77777777" w:rsidR="00F45C51" w:rsidRPr="00CE7F43" w:rsidRDefault="00907DC6" w:rsidP="00082A8E">
      <w:pPr>
        <w:numPr>
          <w:ilvl w:val="0"/>
          <w:numId w:val="21"/>
        </w:numPr>
        <w:tabs>
          <w:tab w:val="clear" w:pos="360"/>
          <w:tab w:val="num" w:pos="567"/>
        </w:tabs>
        <w:suppressAutoHyphens/>
        <w:spacing w:line="240" w:lineRule="auto"/>
        <w:ind w:left="567" w:hanging="567"/>
        <w:rPr>
          <w:lang w:val="hu-HU"/>
        </w:rPr>
      </w:pPr>
      <w:r w:rsidRPr="00CE7F43">
        <w:rPr>
          <w:lang w:val="hu-HU"/>
        </w:rPr>
        <w:t xml:space="preserve">További kérdéseivel forduljon </w:t>
      </w:r>
      <w:r w:rsidRPr="00CE7F43">
        <w:rPr>
          <w:noProof/>
          <w:szCs w:val="24"/>
          <w:lang w:val="hu-HU"/>
        </w:rPr>
        <w:t>kezelőorvosához</w:t>
      </w:r>
      <w:r w:rsidR="0036603D" w:rsidRPr="00CE7F43">
        <w:rPr>
          <w:noProof/>
          <w:szCs w:val="24"/>
          <w:lang w:val="hu-HU"/>
        </w:rPr>
        <w:t xml:space="preserve"> </w:t>
      </w:r>
      <w:r w:rsidRPr="00CE7F43">
        <w:rPr>
          <w:lang w:val="hu-HU"/>
        </w:rPr>
        <w:t>vagy</w:t>
      </w:r>
      <w:r w:rsidR="000C1738" w:rsidRPr="00CE7F43">
        <w:rPr>
          <w:lang w:val="hu-HU"/>
        </w:rPr>
        <w:t xml:space="preserve"> a gondozását végző egészségügyi szakemberhez.</w:t>
      </w:r>
    </w:p>
    <w:p w14:paraId="29CBC091" w14:textId="77777777" w:rsidR="00F45C51" w:rsidRPr="00CE7F43" w:rsidRDefault="00907DC6" w:rsidP="0056786C">
      <w:pPr>
        <w:numPr>
          <w:ilvl w:val="0"/>
          <w:numId w:val="22"/>
        </w:numPr>
        <w:tabs>
          <w:tab w:val="clear" w:pos="360"/>
          <w:tab w:val="num" w:pos="567"/>
        </w:tabs>
        <w:suppressAutoHyphens/>
        <w:spacing w:line="240" w:lineRule="auto"/>
        <w:ind w:left="567" w:hanging="567"/>
        <w:rPr>
          <w:lang w:val="hu-HU"/>
        </w:rPr>
      </w:pPr>
      <w:r w:rsidRPr="00CE7F43">
        <w:rPr>
          <w:lang w:val="hu-HU"/>
        </w:rPr>
        <w:t xml:space="preserve">Ha </w:t>
      </w:r>
      <w:r w:rsidRPr="00CE7F43">
        <w:rPr>
          <w:noProof/>
          <w:szCs w:val="24"/>
          <w:lang w:val="hu-HU"/>
        </w:rPr>
        <w:t>Önnél bármilyen</w:t>
      </w:r>
      <w:r w:rsidRPr="00CE7F43">
        <w:rPr>
          <w:lang w:val="hu-HU"/>
        </w:rPr>
        <w:t xml:space="preserve"> mellékhatás </w:t>
      </w:r>
      <w:r w:rsidRPr="00CE7F43">
        <w:rPr>
          <w:noProof/>
          <w:szCs w:val="24"/>
          <w:lang w:val="hu-HU"/>
        </w:rPr>
        <w:t>jelentkezik, tájékoztassa erről kezelőorvosát,</w:t>
      </w:r>
      <w:r w:rsidR="0036603D" w:rsidRPr="00CE7F43">
        <w:rPr>
          <w:noProof/>
          <w:szCs w:val="24"/>
          <w:lang w:val="hu-HU"/>
        </w:rPr>
        <w:t xml:space="preserve"> </w:t>
      </w:r>
      <w:r w:rsidRPr="00CE7F43">
        <w:rPr>
          <w:noProof/>
          <w:szCs w:val="24"/>
          <w:lang w:val="hu-HU"/>
        </w:rPr>
        <w:t>vagy</w:t>
      </w:r>
      <w:r w:rsidR="00111AC4" w:rsidRPr="00CE7F43">
        <w:rPr>
          <w:lang w:val="hu-HU"/>
        </w:rPr>
        <w:t xml:space="preserve"> a gondozását végző egészségügyi szakembert.</w:t>
      </w:r>
      <w:r w:rsidR="0036603D" w:rsidRPr="00CE7F43">
        <w:rPr>
          <w:lang w:val="hu-HU"/>
        </w:rPr>
        <w:t xml:space="preserve"> </w:t>
      </w:r>
      <w:r w:rsidRPr="00CE7F43">
        <w:rPr>
          <w:noProof/>
          <w:szCs w:val="24"/>
          <w:lang w:val="hu-HU"/>
        </w:rPr>
        <w:t>Ez</w:t>
      </w:r>
      <w:r w:rsidRPr="00CE7F43">
        <w:rPr>
          <w:lang w:val="hu-HU"/>
        </w:rPr>
        <w:t xml:space="preserve"> a betegtájékoztatóban </w:t>
      </w:r>
      <w:r w:rsidRPr="00CE7F43">
        <w:rPr>
          <w:noProof/>
          <w:szCs w:val="24"/>
          <w:lang w:val="hu-HU"/>
        </w:rPr>
        <w:t>fel nem sorolt bármilyen lehetséges mellékhatásra is vonatkozik.</w:t>
      </w:r>
      <w:r w:rsidR="000C1738" w:rsidRPr="00CE7F43">
        <w:rPr>
          <w:lang w:val="hu-HU"/>
        </w:rPr>
        <w:t xml:space="preserve"> Lásd 4. pont</w:t>
      </w:r>
      <w:r w:rsidR="00905D16" w:rsidRPr="00CE7F43">
        <w:rPr>
          <w:lang w:val="hu-HU"/>
        </w:rPr>
        <w:t>.</w:t>
      </w:r>
      <w:r w:rsidR="000C1738" w:rsidRPr="00CE7F43">
        <w:rPr>
          <w:lang w:val="hu-HU"/>
        </w:rPr>
        <w:t xml:space="preserve"> </w:t>
      </w:r>
    </w:p>
    <w:p w14:paraId="08A74BE7" w14:textId="77777777" w:rsidR="00F45C51" w:rsidRPr="00CE7F43" w:rsidRDefault="00F45C51" w:rsidP="00082A8E">
      <w:pPr>
        <w:tabs>
          <w:tab w:val="clear" w:pos="567"/>
        </w:tabs>
        <w:spacing w:line="240" w:lineRule="auto"/>
        <w:ind w:right="-2"/>
        <w:rPr>
          <w:lang w:val="hu-HU"/>
        </w:rPr>
      </w:pPr>
    </w:p>
    <w:p w14:paraId="15178C80" w14:textId="77777777" w:rsidR="00F45C51" w:rsidRPr="00CE7F43" w:rsidRDefault="00907DC6" w:rsidP="00082A8E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eastAsia="Times New Roman"/>
          <w:b/>
          <w:snapToGrid/>
          <w:lang w:val="hu-HU" w:eastAsia="en-US"/>
        </w:rPr>
      </w:pPr>
      <w:r w:rsidRPr="00CE7F43">
        <w:rPr>
          <w:rFonts w:eastAsia="Times New Roman"/>
          <w:b/>
          <w:snapToGrid/>
          <w:lang w:val="hu-HU" w:eastAsia="en-US"/>
        </w:rPr>
        <w:t>A betegtájékoztató tartalma:</w:t>
      </w:r>
    </w:p>
    <w:p w14:paraId="4375CB17" w14:textId="77777777" w:rsidR="00FD7383" w:rsidRPr="00CE7F43" w:rsidRDefault="00FD7383" w:rsidP="00082A8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eastAsia="Times New Roman"/>
          <w:noProof/>
          <w:snapToGrid/>
          <w:lang w:val="hu-HU" w:eastAsia="en-US"/>
        </w:rPr>
      </w:pPr>
    </w:p>
    <w:p w14:paraId="18FCFADD" w14:textId="305C50B9" w:rsidR="00F45C51" w:rsidRPr="00CE7F43" w:rsidRDefault="00907DC6" w:rsidP="00082A8E">
      <w:pPr>
        <w:numPr>
          <w:ilvl w:val="1"/>
          <w:numId w:val="25"/>
        </w:numPr>
        <w:tabs>
          <w:tab w:val="clear" w:pos="567"/>
        </w:tabs>
        <w:suppressAutoHyphens/>
        <w:spacing w:line="240" w:lineRule="auto"/>
        <w:ind w:left="567" w:right="-29" w:hanging="567"/>
        <w:rPr>
          <w:lang w:val="hu-HU"/>
        </w:rPr>
      </w:pPr>
      <w:r w:rsidRPr="00CE7F43">
        <w:rPr>
          <w:lang w:val="hu-HU"/>
        </w:rPr>
        <w:t xml:space="preserve">Milyen típusú gyógyszer a </w:t>
      </w:r>
      <w:bookmarkStart w:id="0" w:name="_Hlk39152865"/>
      <w:r w:rsidR="0036603D" w:rsidRPr="00CE7F43">
        <w:rPr>
          <w:lang w:val="hu-HU"/>
        </w:rPr>
        <w:t xml:space="preserve">Tranexámsav Baxter 100 mg/ml oldatos </w:t>
      </w:r>
      <w:r w:rsidR="00675021">
        <w:rPr>
          <w:lang w:val="hu-HU"/>
        </w:rPr>
        <w:t>injekció</w:t>
      </w:r>
      <w:r w:rsidR="00FD2AC6">
        <w:rPr>
          <w:lang w:val="hu-HU"/>
        </w:rPr>
        <w:t>/</w:t>
      </w:r>
      <w:r w:rsidR="00FD2AC6" w:rsidRPr="00890580">
        <w:rPr>
          <w:bCs/>
          <w:lang w:eastAsia="en-US"/>
        </w:rPr>
        <w:t xml:space="preserve"> infúzió</w:t>
      </w:r>
      <w:r w:rsidR="002B450D">
        <w:rPr>
          <w:lang w:val="hu-HU"/>
        </w:rPr>
        <w:t xml:space="preserve"> (a továbbiakban</w:t>
      </w:r>
      <w:r w:rsidRPr="00CE7F43">
        <w:rPr>
          <w:lang w:val="hu-HU"/>
        </w:rPr>
        <w:t xml:space="preserve"> </w:t>
      </w:r>
      <w:bookmarkEnd w:id="0"/>
      <w:r w:rsidR="002B450D">
        <w:rPr>
          <w:lang w:val="hu-HU"/>
        </w:rPr>
        <w:t>Tranexámsav Baxter</w:t>
      </w:r>
      <w:r w:rsidR="00383CAE">
        <w:rPr>
          <w:lang w:val="hu-HU"/>
        </w:rPr>
        <w:t>)</w:t>
      </w:r>
      <w:r w:rsidR="002B450D">
        <w:rPr>
          <w:lang w:val="hu-HU"/>
        </w:rPr>
        <w:t xml:space="preserve"> </w:t>
      </w:r>
      <w:r w:rsidRPr="00CE7F43">
        <w:rPr>
          <w:lang w:val="hu-HU"/>
        </w:rPr>
        <w:t>és milyen betegségek esetén alkalmazható?</w:t>
      </w:r>
    </w:p>
    <w:p w14:paraId="3C30AB08" w14:textId="38F86B65" w:rsidR="00F45C51" w:rsidRPr="00CE7F43" w:rsidRDefault="00907DC6" w:rsidP="00082A8E">
      <w:pPr>
        <w:numPr>
          <w:ilvl w:val="1"/>
          <w:numId w:val="25"/>
        </w:numPr>
        <w:tabs>
          <w:tab w:val="clear" w:pos="567"/>
        </w:tabs>
        <w:suppressAutoHyphens/>
        <w:spacing w:line="240" w:lineRule="auto"/>
        <w:ind w:left="567" w:right="-29" w:hanging="567"/>
        <w:rPr>
          <w:lang w:val="hu-HU"/>
        </w:rPr>
      </w:pPr>
      <w:r w:rsidRPr="00CE7F43">
        <w:rPr>
          <w:lang w:val="hu-HU"/>
        </w:rPr>
        <w:t xml:space="preserve">Tudnivalók a </w:t>
      </w:r>
      <w:r w:rsidR="0036603D" w:rsidRPr="00CE7F43">
        <w:rPr>
          <w:lang w:val="hu-HU"/>
        </w:rPr>
        <w:t xml:space="preserve">Tranexámsav Baxter </w:t>
      </w:r>
      <w:r w:rsidRPr="00CE7F43">
        <w:rPr>
          <w:lang w:val="hu-HU"/>
        </w:rPr>
        <w:t>alkalmazása előtt</w:t>
      </w:r>
    </w:p>
    <w:p w14:paraId="321E14F8" w14:textId="103ADF0D" w:rsidR="00F45C51" w:rsidRPr="00CE7F43" w:rsidRDefault="00907DC6" w:rsidP="00082A8E">
      <w:pPr>
        <w:spacing w:line="240" w:lineRule="auto"/>
        <w:ind w:left="567" w:right="-29" w:hanging="567"/>
        <w:rPr>
          <w:lang w:val="hu-HU"/>
        </w:rPr>
      </w:pPr>
      <w:r w:rsidRPr="00CE7F43">
        <w:rPr>
          <w:lang w:val="hu-HU"/>
        </w:rPr>
        <w:t>3.</w:t>
      </w:r>
      <w:r w:rsidRPr="00CE7F43">
        <w:rPr>
          <w:lang w:val="hu-HU"/>
        </w:rPr>
        <w:tab/>
        <w:t>Hogyan kell</w:t>
      </w:r>
      <w:r w:rsidR="0036603D" w:rsidRPr="00CE7F43">
        <w:rPr>
          <w:lang w:val="hu-HU"/>
        </w:rPr>
        <w:t xml:space="preserve"> </w:t>
      </w:r>
      <w:r w:rsidRPr="00CE7F43">
        <w:rPr>
          <w:lang w:val="hu-HU"/>
        </w:rPr>
        <w:t>alkalmazni</w:t>
      </w:r>
      <w:r w:rsidR="0036603D" w:rsidRPr="00CE7F43">
        <w:rPr>
          <w:lang w:val="hu-HU"/>
        </w:rPr>
        <w:t xml:space="preserve"> </w:t>
      </w:r>
      <w:r w:rsidRPr="00CE7F43">
        <w:rPr>
          <w:lang w:val="hu-HU"/>
        </w:rPr>
        <w:t xml:space="preserve">a </w:t>
      </w:r>
      <w:r w:rsidR="0036603D" w:rsidRPr="00CE7F43">
        <w:rPr>
          <w:lang w:val="hu-HU"/>
        </w:rPr>
        <w:t>Tranexámsav Baxter</w:t>
      </w:r>
      <w:r w:rsidR="00383CAE">
        <w:rPr>
          <w:lang w:val="hu-HU"/>
        </w:rPr>
        <w:t>-t</w:t>
      </w:r>
      <w:r w:rsidRPr="00CE7F43">
        <w:rPr>
          <w:lang w:val="hu-HU"/>
        </w:rPr>
        <w:t>?</w:t>
      </w:r>
    </w:p>
    <w:p w14:paraId="47173760" w14:textId="77777777" w:rsidR="00F45C51" w:rsidRPr="00CE7F43" w:rsidRDefault="00907DC6" w:rsidP="00082A8E">
      <w:pPr>
        <w:spacing w:line="240" w:lineRule="auto"/>
        <w:ind w:left="567" w:right="-29" w:hanging="567"/>
        <w:rPr>
          <w:lang w:val="hu-HU"/>
        </w:rPr>
      </w:pPr>
      <w:r w:rsidRPr="00CE7F43">
        <w:rPr>
          <w:lang w:val="hu-HU"/>
        </w:rPr>
        <w:t>4.</w:t>
      </w:r>
      <w:r w:rsidRPr="00CE7F43">
        <w:rPr>
          <w:lang w:val="hu-HU"/>
        </w:rPr>
        <w:tab/>
        <w:t>Lehetséges mellékhatások</w:t>
      </w:r>
    </w:p>
    <w:p w14:paraId="60B42A13" w14:textId="339ACE13" w:rsidR="00F45C51" w:rsidRPr="00CE7F43" w:rsidRDefault="00907DC6" w:rsidP="00082A8E">
      <w:pPr>
        <w:spacing w:line="240" w:lineRule="auto"/>
        <w:ind w:left="567" w:right="-29" w:hanging="567"/>
        <w:rPr>
          <w:lang w:val="hu-HU"/>
        </w:rPr>
      </w:pPr>
      <w:r w:rsidRPr="00CE7F43">
        <w:rPr>
          <w:lang w:val="hu-HU"/>
        </w:rPr>
        <w:t>5</w:t>
      </w:r>
      <w:r w:rsidR="008957AC" w:rsidRPr="00CE7F43">
        <w:rPr>
          <w:noProof/>
          <w:szCs w:val="24"/>
          <w:lang w:val="hu-HU"/>
        </w:rPr>
        <w:t>.</w:t>
      </w:r>
      <w:r w:rsidRPr="00CE7F43">
        <w:rPr>
          <w:lang w:val="hu-HU"/>
        </w:rPr>
        <w:tab/>
        <w:t xml:space="preserve">Hogyan kell </w:t>
      </w:r>
      <w:r w:rsidR="00E72546" w:rsidRPr="00CE7F43">
        <w:rPr>
          <w:lang w:val="hu-HU"/>
        </w:rPr>
        <w:t xml:space="preserve">a </w:t>
      </w:r>
      <w:r w:rsidR="0036603D" w:rsidRPr="00CE7F43">
        <w:rPr>
          <w:lang w:val="hu-HU"/>
        </w:rPr>
        <w:t>Tranexámsav Baxter</w:t>
      </w:r>
      <w:r w:rsidR="00FB72F3">
        <w:rPr>
          <w:lang w:val="hu-HU"/>
        </w:rPr>
        <w:t>-t</w:t>
      </w:r>
      <w:r w:rsidR="0036603D" w:rsidRPr="00CE7F43">
        <w:rPr>
          <w:lang w:val="hu-HU"/>
        </w:rPr>
        <w:t xml:space="preserve"> </w:t>
      </w:r>
      <w:r w:rsidRPr="00CE7F43">
        <w:rPr>
          <w:lang w:val="hu-HU"/>
        </w:rPr>
        <w:t>tárolni?</w:t>
      </w:r>
    </w:p>
    <w:p w14:paraId="7ABF10B0" w14:textId="77777777" w:rsidR="00F45C51" w:rsidRPr="00CE7F43" w:rsidRDefault="00907DC6" w:rsidP="00082A8E">
      <w:pPr>
        <w:spacing w:line="240" w:lineRule="auto"/>
        <w:ind w:left="567" w:right="-29" w:hanging="567"/>
        <w:rPr>
          <w:lang w:val="hu-HU"/>
        </w:rPr>
      </w:pPr>
      <w:r w:rsidRPr="00CE7F43">
        <w:rPr>
          <w:lang w:val="hu-HU"/>
        </w:rPr>
        <w:t>6.</w:t>
      </w:r>
      <w:r w:rsidRPr="00CE7F43">
        <w:rPr>
          <w:lang w:val="hu-HU"/>
        </w:rPr>
        <w:tab/>
      </w:r>
      <w:r w:rsidRPr="00CE7F43">
        <w:rPr>
          <w:noProof/>
          <w:szCs w:val="24"/>
          <w:lang w:val="hu-HU"/>
        </w:rPr>
        <w:t xml:space="preserve">A csomagolás tartalma és egyéb </w:t>
      </w:r>
      <w:r w:rsidRPr="00CE7F43">
        <w:rPr>
          <w:lang w:val="hu-HU"/>
        </w:rPr>
        <w:t>információk</w:t>
      </w:r>
    </w:p>
    <w:p w14:paraId="0EF01E76" w14:textId="77777777" w:rsidR="00F45C51" w:rsidRPr="00CE7F43" w:rsidRDefault="00F45C51" w:rsidP="00082A8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lang w:val="hu-HU"/>
        </w:rPr>
      </w:pPr>
    </w:p>
    <w:p w14:paraId="2CCD4559" w14:textId="77777777" w:rsidR="00F45C51" w:rsidRPr="00CE7F43" w:rsidRDefault="00F45C51" w:rsidP="00082A8E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hu-HU"/>
        </w:rPr>
      </w:pPr>
    </w:p>
    <w:p w14:paraId="59EA2ED0" w14:textId="1A71DAD1" w:rsidR="00F45C51" w:rsidRPr="00CE7F43" w:rsidRDefault="00907DC6" w:rsidP="00082A8E">
      <w:pPr>
        <w:numPr>
          <w:ilvl w:val="0"/>
          <w:numId w:val="7"/>
        </w:numPr>
        <w:tabs>
          <w:tab w:val="clear" w:pos="570"/>
        </w:tabs>
        <w:spacing w:line="240" w:lineRule="auto"/>
        <w:ind w:right="-2"/>
        <w:rPr>
          <w:b/>
          <w:lang w:val="hu-HU"/>
        </w:rPr>
      </w:pPr>
      <w:r w:rsidRPr="00CE7F43">
        <w:rPr>
          <w:b/>
          <w:noProof/>
          <w:szCs w:val="24"/>
          <w:lang w:val="hu-HU"/>
        </w:rPr>
        <w:t>Milyen típusú</w:t>
      </w:r>
      <w:r w:rsidRPr="00CE7F43">
        <w:rPr>
          <w:b/>
          <w:lang w:val="hu-HU"/>
        </w:rPr>
        <w:t xml:space="preserve"> gyógyszer </w:t>
      </w:r>
      <w:r w:rsidRPr="00CE7F43">
        <w:rPr>
          <w:b/>
          <w:noProof/>
          <w:szCs w:val="24"/>
          <w:lang w:val="hu-HU"/>
        </w:rPr>
        <w:t xml:space="preserve">a </w:t>
      </w:r>
      <w:r w:rsidR="0036603D" w:rsidRPr="00CE7F43">
        <w:rPr>
          <w:b/>
          <w:noProof/>
          <w:szCs w:val="24"/>
          <w:lang w:val="hu-HU"/>
        </w:rPr>
        <w:t xml:space="preserve">Tranexámsav Baxter </w:t>
      </w:r>
      <w:r w:rsidRPr="00CE7F43">
        <w:rPr>
          <w:b/>
          <w:noProof/>
          <w:szCs w:val="24"/>
          <w:lang w:val="hu-HU"/>
        </w:rPr>
        <w:t>és milyen betegségek esetén</w:t>
      </w:r>
      <w:r w:rsidRPr="00CE7F43">
        <w:rPr>
          <w:b/>
          <w:lang w:val="hu-HU"/>
        </w:rPr>
        <w:t xml:space="preserve"> alkalmazható</w:t>
      </w:r>
      <w:r w:rsidRPr="00CE7F43">
        <w:rPr>
          <w:b/>
          <w:noProof/>
          <w:szCs w:val="24"/>
          <w:lang w:val="hu-HU"/>
        </w:rPr>
        <w:t>?</w:t>
      </w:r>
    </w:p>
    <w:p w14:paraId="0812C658" w14:textId="77777777" w:rsidR="00F45C51" w:rsidRPr="00CE7F43" w:rsidRDefault="00F45C51" w:rsidP="00082A8E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hu-HU"/>
        </w:rPr>
      </w:pPr>
    </w:p>
    <w:p w14:paraId="534FDD35" w14:textId="5EBF07BF" w:rsidR="004C3415" w:rsidRPr="00CE7F43" w:rsidRDefault="004C3415" w:rsidP="004C3415">
      <w:pPr>
        <w:rPr>
          <w:szCs w:val="22"/>
          <w:lang w:val="hu-HU"/>
        </w:rPr>
      </w:pPr>
      <w:r w:rsidRPr="00CE7F43">
        <w:rPr>
          <w:szCs w:val="22"/>
          <w:lang w:val="hu-HU"/>
        </w:rPr>
        <w:t xml:space="preserve">A </w:t>
      </w:r>
      <w:r w:rsidR="00822A06">
        <w:rPr>
          <w:lang w:val="hu-HU"/>
        </w:rPr>
        <w:t>Tranexámsav Baxter</w:t>
      </w:r>
      <w:r w:rsidR="00F94D2F" w:rsidRPr="00CE7F43">
        <w:rPr>
          <w:lang w:val="hu-HU"/>
        </w:rPr>
        <w:t xml:space="preserve"> </w:t>
      </w:r>
      <w:r w:rsidRPr="00CE7F43">
        <w:rPr>
          <w:szCs w:val="22"/>
          <w:lang w:val="hu-HU"/>
        </w:rPr>
        <w:t>tranexámsavat tartalmaz, mely a vérzéscsillapító és a fibrin feloldását gátló (antifibrinolitikus) aminosavak csoportjába tartozik.</w:t>
      </w:r>
    </w:p>
    <w:p w14:paraId="39E61FC8" w14:textId="338A823E" w:rsidR="004C3415" w:rsidRPr="00CE7F43" w:rsidRDefault="004C3415" w:rsidP="004C3415">
      <w:pPr>
        <w:rPr>
          <w:szCs w:val="22"/>
          <w:lang w:val="hu-HU"/>
        </w:rPr>
      </w:pPr>
      <w:r w:rsidRPr="00CE7F43">
        <w:rPr>
          <w:szCs w:val="22"/>
          <w:lang w:val="hu-HU"/>
        </w:rPr>
        <w:t xml:space="preserve">A </w:t>
      </w:r>
      <w:r w:rsidR="00F94D2F" w:rsidRPr="00CE7F43">
        <w:rPr>
          <w:lang w:val="hu-HU"/>
        </w:rPr>
        <w:t xml:space="preserve">Tranexámsav Baxter </w:t>
      </w:r>
      <w:r w:rsidRPr="00CE7F43">
        <w:rPr>
          <w:szCs w:val="22"/>
          <w:lang w:val="hu-HU"/>
        </w:rPr>
        <w:t>felnőttek és 1 éves kor feletti gyermekek esetén vérzések megelőzésére és kezelésére alkalmazzák, melyet a véralvadék feloldási folyamatának (fibrinolízis) gátlásával idéz elő.</w:t>
      </w:r>
    </w:p>
    <w:p w14:paraId="4C5E1A37" w14:textId="77777777" w:rsidR="004C3415" w:rsidRPr="00CE7F43" w:rsidRDefault="004C3415" w:rsidP="004C3415">
      <w:pPr>
        <w:spacing w:line="240" w:lineRule="exact"/>
        <w:rPr>
          <w:szCs w:val="22"/>
          <w:lang w:val="hu-HU"/>
        </w:rPr>
      </w:pPr>
    </w:p>
    <w:p w14:paraId="512092A9" w14:textId="0B3ECDA2" w:rsidR="004C3415" w:rsidRDefault="004C3415" w:rsidP="004C3415">
      <w:pPr>
        <w:spacing w:line="240" w:lineRule="exact"/>
        <w:rPr>
          <w:szCs w:val="22"/>
          <w:lang w:val="hu-HU"/>
        </w:rPr>
      </w:pPr>
      <w:r w:rsidRPr="00CE7F43">
        <w:rPr>
          <w:szCs w:val="22"/>
          <w:lang w:val="hu-HU"/>
        </w:rPr>
        <w:t>Speciális alkalmazási területei részletesen:</w:t>
      </w:r>
    </w:p>
    <w:p w14:paraId="03638251" w14:textId="77777777" w:rsidR="00CA7D22" w:rsidRPr="00CE7F43" w:rsidRDefault="00CA7D22" w:rsidP="004C3415">
      <w:pPr>
        <w:spacing w:line="240" w:lineRule="exact"/>
        <w:rPr>
          <w:szCs w:val="22"/>
          <w:lang w:val="hu-HU"/>
        </w:rPr>
      </w:pPr>
    </w:p>
    <w:p w14:paraId="69A73FB3" w14:textId="77777777" w:rsidR="004C3415" w:rsidRPr="00CE7F43" w:rsidRDefault="004C3415" w:rsidP="004C3415">
      <w:pPr>
        <w:widowControl w:val="0"/>
        <w:numPr>
          <w:ilvl w:val="0"/>
          <w:numId w:val="44"/>
        </w:numPr>
        <w:tabs>
          <w:tab w:val="clear" w:pos="720"/>
          <w:tab w:val="num" w:pos="567"/>
        </w:tabs>
        <w:suppressAutoHyphens/>
        <w:spacing w:line="240" w:lineRule="exact"/>
        <w:ind w:left="567" w:hanging="567"/>
        <w:rPr>
          <w:szCs w:val="22"/>
          <w:lang w:val="hu-HU"/>
        </w:rPr>
      </w:pPr>
      <w:r w:rsidRPr="00CE7F43">
        <w:rPr>
          <w:szCs w:val="22"/>
          <w:lang w:val="hu-HU"/>
        </w:rPr>
        <w:t>Nőknél erős menstruációs vérzés</w:t>
      </w:r>
    </w:p>
    <w:p w14:paraId="50439BDB" w14:textId="77777777" w:rsidR="004C3415" w:rsidRPr="00CE7F43" w:rsidRDefault="004C3415" w:rsidP="004C3415">
      <w:pPr>
        <w:widowControl w:val="0"/>
        <w:numPr>
          <w:ilvl w:val="0"/>
          <w:numId w:val="44"/>
        </w:numPr>
        <w:tabs>
          <w:tab w:val="clear" w:pos="720"/>
          <w:tab w:val="num" w:pos="567"/>
        </w:tabs>
        <w:suppressAutoHyphens/>
        <w:spacing w:line="240" w:lineRule="exact"/>
        <w:ind w:left="567" w:hanging="567"/>
        <w:rPr>
          <w:szCs w:val="22"/>
          <w:lang w:val="hu-HU"/>
        </w:rPr>
      </w:pPr>
      <w:r w:rsidRPr="00CE7F43">
        <w:rPr>
          <w:szCs w:val="22"/>
          <w:lang w:val="hu-HU"/>
        </w:rPr>
        <w:t>Gyomor-bélrendszeri vérzés</w:t>
      </w:r>
    </w:p>
    <w:p w14:paraId="4CBEF4A1" w14:textId="77777777" w:rsidR="004C3415" w:rsidRPr="00CE7F43" w:rsidRDefault="004C3415" w:rsidP="004C3415">
      <w:pPr>
        <w:widowControl w:val="0"/>
        <w:numPr>
          <w:ilvl w:val="0"/>
          <w:numId w:val="44"/>
        </w:numPr>
        <w:tabs>
          <w:tab w:val="clear" w:pos="720"/>
          <w:tab w:val="num" w:pos="567"/>
        </w:tabs>
        <w:suppressAutoHyphens/>
        <w:spacing w:line="240" w:lineRule="exact"/>
        <w:ind w:left="567" w:hanging="567"/>
        <w:rPr>
          <w:szCs w:val="22"/>
          <w:lang w:val="hu-HU"/>
        </w:rPr>
      </w:pPr>
      <w:r w:rsidRPr="00CE7F43">
        <w:rPr>
          <w:szCs w:val="22"/>
          <w:lang w:val="hu-HU"/>
        </w:rPr>
        <w:t xml:space="preserve">Vizeletkiválasztó rendszerben jelentkező vérzés, így prosztata műtéteket követően vagy a </w:t>
      </w:r>
      <w:r w:rsidR="00675021" w:rsidRPr="00CE7F43">
        <w:rPr>
          <w:szCs w:val="22"/>
          <w:lang w:val="hu-HU"/>
        </w:rPr>
        <w:t>húgyutakat</w:t>
      </w:r>
      <w:r w:rsidRPr="00CE7F43">
        <w:rPr>
          <w:szCs w:val="22"/>
          <w:lang w:val="hu-HU"/>
        </w:rPr>
        <w:t xml:space="preserve"> érintő műtétek után fellépő vérzés</w:t>
      </w:r>
    </w:p>
    <w:p w14:paraId="54BB96AF" w14:textId="77777777" w:rsidR="004C3415" w:rsidRPr="00CE7F43" w:rsidRDefault="004C3415" w:rsidP="004C3415">
      <w:pPr>
        <w:widowControl w:val="0"/>
        <w:numPr>
          <w:ilvl w:val="0"/>
          <w:numId w:val="44"/>
        </w:numPr>
        <w:tabs>
          <w:tab w:val="clear" w:pos="720"/>
          <w:tab w:val="num" w:pos="567"/>
        </w:tabs>
        <w:suppressAutoHyphens/>
        <w:spacing w:line="240" w:lineRule="exact"/>
        <w:ind w:left="567" w:hanging="567"/>
        <w:rPr>
          <w:szCs w:val="22"/>
          <w:lang w:val="hu-HU"/>
        </w:rPr>
      </w:pPr>
      <w:r w:rsidRPr="00CE7F43">
        <w:rPr>
          <w:szCs w:val="22"/>
          <w:lang w:val="hu-HU"/>
        </w:rPr>
        <w:t xml:space="preserve">Fül-orr-gégészeti műtétek </w:t>
      </w:r>
    </w:p>
    <w:p w14:paraId="3B909B61" w14:textId="77777777" w:rsidR="004C3415" w:rsidRPr="00CE7F43" w:rsidRDefault="004C3415" w:rsidP="004C3415">
      <w:pPr>
        <w:widowControl w:val="0"/>
        <w:numPr>
          <w:ilvl w:val="0"/>
          <w:numId w:val="44"/>
        </w:numPr>
        <w:tabs>
          <w:tab w:val="clear" w:pos="720"/>
          <w:tab w:val="num" w:pos="567"/>
        </w:tabs>
        <w:suppressAutoHyphens/>
        <w:spacing w:line="240" w:lineRule="exact"/>
        <w:ind w:left="567" w:hanging="567"/>
        <w:rPr>
          <w:szCs w:val="22"/>
          <w:lang w:val="hu-HU"/>
        </w:rPr>
      </w:pPr>
      <w:r w:rsidRPr="00CE7F43">
        <w:rPr>
          <w:szCs w:val="22"/>
          <w:lang w:val="hu-HU"/>
        </w:rPr>
        <w:t>Szív-, hasi vagy nőgyógyászati műtétek</w:t>
      </w:r>
    </w:p>
    <w:p w14:paraId="35A5AFFB" w14:textId="77777777" w:rsidR="004C3415" w:rsidRPr="00CE7F43" w:rsidRDefault="004C3415" w:rsidP="004C3415">
      <w:pPr>
        <w:widowControl w:val="0"/>
        <w:numPr>
          <w:ilvl w:val="0"/>
          <w:numId w:val="44"/>
        </w:numPr>
        <w:tabs>
          <w:tab w:val="clear" w:pos="720"/>
          <w:tab w:val="num" w:pos="567"/>
        </w:tabs>
        <w:suppressAutoHyphens/>
        <w:spacing w:line="240" w:lineRule="exact"/>
        <w:ind w:left="567" w:hanging="567"/>
        <w:rPr>
          <w:szCs w:val="22"/>
          <w:lang w:val="hu-HU"/>
        </w:rPr>
      </w:pPr>
      <w:r w:rsidRPr="00CE7F43">
        <w:rPr>
          <w:szCs w:val="22"/>
          <w:lang w:val="hu-HU"/>
        </w:rPr>
        <w:t>Olyan gyógyszeres kezelést követően fellépő vérzés esetén, melynek célja a vérrögök feloldása volt</w:t>
      </w:r>
    </w:p>
    <w:p w14:paraId="305CFE8F" w14:textId="0D7B43C7" w:rsidR="00C9380B" w:rsidRDefault="00C9380B" w:rsidP="00082A8E">
      <w:pPr>
        <w:tabs>
          <w:tab w:val="clear" w:pos="567"/>
        </w:tabs>
        <w:spacing w:line="240" w:lineRule="auto"/>
        <w:ind w:right="-2"/>
        <w:rPr>
          <w:noProof/>
          <w:szCs w:val="24"/>
          <w:lang w:val="hu-HU"/>
        </w:rPr>
      </w:pPr>
    </w:p>
    <w:p w14:paraId="4CE3DD84" w14:textId="77777777" w:rsidR="00CA7D22" w:rsidRPr="00CE7F43" w:rsidRDefault="00CA7D22" w:rsidP="00082A8E">
      <w:pPr>
        <w:tabs>
          <w:tab w:val="clear" w:pos="567"/>
        </w:tabs>
        <w:spacing w:line="240" w:lineRule="auto"/>
        <w:ind w:right="-2"/>
        <w:rPr>
          <w:noProof/>
          <w:szCs w:val="24"/>
          <w:lang w:val="hu-HU"/>
        </w:rPr>
      </w:pPr>
    </w:p>
    <w:p w14:paraId="7A9E8DA3" w14:textId="72CD8C3D" w:rsidR="00F45C51" w:rsidRPr="00CE7F43" w:rsidRDefault="00907DC6" w:rsidP="00082A8E">
      <w:pPr>
        <w:numPr>
          <w:ilvl w:val="0"/>
          <w:numId w:val="6"/>
        </w:numPr>
        <w:tabs>
          <w:tab w:val="clear" w:pos="570"/>
        </w:tabs>
        <w:spacing w:line="240" w:lineRule="auto"/>
        <w:ind w:right="-2"/>
        <w:rPr>
          <w:b/>
          <w:noProof/>
          <w:szCs w:val="24"/>
          <w:lang w:val="hu-HU"/>
        </w:rPr>
      </w:pPr>
      <w:r w:rsidRPr="00CE7F43">
        <w:rPr>
          <w:b/>
          <w:noProof/>
          <w:szCs w:val="24"/>
          <w:lang w:val="hu-HU"/>
        </w:rPr>
        <w:t xml:space="preserve">Tudnivalók az </w:t>
      </w:r>
      <w:r w:rsidR="0036603D" w:rsidRPr="00CE7F43">
        <w:rPr>
          <w:b/>
          <w:noProof/>
          <w:szCs w:val="24"/>
          <w:lang w:val="hu-HU"/>
        </w:rPr>
        <w:t xml:space="preserve">Tranexámsav Baxter </w:t>
      </w:r>
      <w:r w:rsidRPr="00CE7F43">
        <w:rPr>
          <w:b/>
          <w:noProof/>
          <w:szCs w:val="24"/>
          <w:lang w:val="hu-HU"/>
        </w:rPr>
        <w:t>alkalmazása előtt</w:t>
      </w:r>
    </w:p>
    <w:p w14:paraId="2FAC9051" w14:textId="77777777" w:rsidR="00F45C51" w:rsidRPr="00CA7D22" w:rsidRDefault="00F45C51" w:rsidP="00082A8E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i/>
          <w:lang w:val="hu-HU"/>
        </w:rPr>
      </w:pPr>
    </w:p>
    <w:p w14:paraId="0A292EB3" w14:textId="7B29CFB3" w:rsidR="004C3415" w:rsidRPr="00CA7D22" w:rsidRDefault="004C3415" w:rsidP="004C3415">
      <w:pPr>
        <w:rPr>
          <w:b/>
          <w:szCs w:val="22"/>
          <w:lang w:val="hu-HU"/>
        </w:rPr>
      </w:pPr>
      <w:r w:rsidRPr="00CA7D22">
        <w:rPr>
          <w:b/>
          <w:szCs w:val="22"/>
          <w:lang w:val="hu-HU"/>
        </w:rPr>
        <w:t xml:space="preserve">Nem alkalmazható Önnél a </w:t>
      </w:r>
      <w:r w:rsidR="00F94D2F" w:rsidRPr="00CA7D22">
        <w:rPr>
          <w:b/>
          <w:szCs w:val="22"/>
          <w:lang w:val="hu-HU"/>
        </w:rPr>
        <w:t>Tranexámsav Baxter</w:t>
      </w:r>
      <w:r w:rsidRPr="00CA7D22">
        <w:rPr>
          <w:b/>
          <w:szCs w:val="22"/>
          <w:lang w:val="hu-HU"/>
        </w:rPr>
        <w:t>:</w:t>
      </w:r>
    </w:p>
    <w:p w14:paraId="0E11F958" w14:textId="77777777" w:rsidR="00CA7D22" w:rsidRPr="00CE7F43" w:rsidRDefault="00CA7D22" w:rsidP="004C3415">
      <w:pPr>
        <w:rPr>
          <w:b/>
          <w:szCs w:val="22"/>
          <w:lang w:val="hu-HU"/>
        </w:rPr>
      </w:pPr>
    </w:p>
    <w:p w14:paraId="68F13023" w14:textId="77777777" w:rsidR="004C3415" w:rsidRPr="00CE7F43" w:rsidRDefault="004C3415" w:rsidP="004C3415">
      <w:pPr>
        <w:widowControl w:val="0"/>
        <w:numPr>
          <w:ilvl w:val="0"/>
          <w:numId w:val="45"/>
        </w:numPr>
        <w:suppressAutoHyphens/>
        <w:spacing w:line="240" w:lineRule="exact"/>
        <w:ind w:hanging="567"/>
        <w:rPr>
          <w:spacing w:val="-5"/>
          <w:szCs w:val="22"/>
          <w:lang w:val="hu-HU"/>
        </w:rPr>
      </w:pPr>
      <w:r w:rsidRPr="00CE7F43">
        <w:rPr>
          <w:szCs w:val="22"/>
          <w:lang w:val="hu-HU"/>
        </w:rPr>
        <w:t>ha allergiás a tranexámsavra vagy a gyógyszer (6. pontban felsorolt) bármely egyéb összetevőjére.</w:t>
      </w:r>
    </w:p>
    <w:p w14:paraId="07D0A7E1" w14:textId="77777777" w:rsidR="004C3415" w:rsidRPr="00CE7F43" w:rsidRDefault="007B5550" w:rsidP="004C3415">
      <w:pPr>
        <w:widowControl w:val="0"/>
        <w:numPr>
          <w:ilvl w:val="0"/>
          <w:numId w:val="45"/>
        </w:numPr>
        <w:suppressAutoHyphens/>
        <w:spacing w:line="240" w:lineRule="exact"/>
        <w:ind w:hanging="567"/>
        <w:rPr>
          <w:szCs w:val="22"/>
          <w:lang w:val="hu-HU"/>
        </w:rPr>
      </w:pPr>
      <w:r>
        <w:rPr>
          <w:szCs w:val="22"/>
          <w:lang w:val="hu-HU"/>
        </w:rPr>
        <w:t xml:space="preserve">ha </w:t>
      </w:r>
      <w:r w:rsidR="004C3415" w:rsidRPr="00CE7F43">
        <w:rPr>
          <w:szCs w:val="22"/>
          <w:lang w:val="hu-HU"/>
        </w:rPr>
        <w:t>jelenleg vérrögképződéssel járó betegségben szenved.</w:t>
      </w:r>
    </w:p>
    <w:p w14:paraId="6AC50B33" w14:textId="6166B9A9" w:rsidR="004C3415" w:rsidRPr="00CE7F43" w:rsidRDefault="007B5550" w:rsidP="004C3415">
      <w:pPr>
        <w:widowControl w:val="0"/>
        <w:numPr>
          <w:ilvl w:val="0"/>
          <w:numId w:val="45"/>
        </w:numPr>
        <w:suppressAutoHyphens/>
        <w:spacing w:line="240" w:lineRule="exact"/>
        <w:ind w:hanging="567"/>
        <w:rPr>
          <w:szCs w:val="22"/>
          <w:lang w:val="hu-HU"/>
        </w:rPr>
      </w:pPr>
      <w:r>
        <w:rPr>
          <w:szCs w:val="22"/>
          <w:lang w:val="hu-HU"/>
        </w:rPr>
        <w:t xml:space="preserve">ha </w:t>
      </w:r>
      <w:r w:rsidR="00822A06">
        <w:rPr>
          <w:szCs w:val="22"/>
          <w:lang w:val="hu-HU"/>
        </w:rPr>
        <w:t>úgy</w:t>
      </w:r>
      <w:r w:rsidR="004C3415" w:rsidRPr="00CE7F43">
        <w:rPr>
          <w:szCs w:val="22"/>
          <w:lang w:val="hu-HU"/>
        </w:rPr>
        <w:t>nevezett „konszumpciós koagulopátiában” („elhasználódásos alvadási zavar”) szenved, ami azt jelenti, hogy a vér a szervezetében mindenütt elkezd megalvadni, majd az alvadást követően vérzések lépnek fel.</w:t>
      </w:r>
    </w:p>
    <w:p w14:paraId="244B80AA" w14:textId="0951534C" w:rsidR="004C3415" w:rsidRPr="00CE7F43" w:rsidRDefault="00383CAE" w:rsidP="004C3415">
      <w:pPr>
        <w:widowControl w:val="0"/>
        <w:numPr>
          <w:ilvl w:val="0"/>
          <w:numId w:val="45"/>
        </w:numPr>
        <w:suppressAutoHyphens/>
        <w:spacing w:line="240" w:lineRule="exact"/>
        <w:ind w:hanging="567"/>
        <w:rPr>
          <w:szCs w:val="22"/>
          <w:lang w:val="hu-HU"/>
        </w:rPr>
      </w:pPr>
      <w:r>
        <w:rPr>
          <w:szCs w:val="22"/>
          <w:lang w:val="hu-HU"/>
        </w:rPr>
        <w:t xml:space="preserve">ha </w:t>
      </w:r>
      <w:r w:rsidR="004C3415" w:rsidRPr="00CE7F43">
        <w:rPr>
          <w:szCs w:val="22"/>
          <w:lang w:val="hu-HU"/>
        </w:rPr>
        <w:t>veseproblémája van,</w:t>
      </w:r>
    </w:p>
    <w:p w14:paraId="7F93CB34" w14:textId="0FF53D30" w:rsidR="004C3415" w:rsidRPr="00CE7F43" w:rsidRDefault="00383CAE" w:rsidP="004C3415">
      <w:pPr>
        <w:widowControl w:val="0"/>
        <w:numPr>
          <w:ilvl w:val="0"/>
          <w:numId w:val="45"/>
        </w:numPr>
        <w:suppressAutoHyphens/>
        <w:spacing w:line="240" w:lineRule="exact"/>
        <w:ind w:hanging="567"/>
        <w:rPr>
          <w:szCs w:val="22"/>
          <w:lang w:val="hu-HU"/>
        </w:rPr>
      </w:pPr>
      <w:r>
        <w:rPr>
          <w:szCs w:val="22"/>
          <w:lang w:val="hu-HU"/>
        </w:rPr>
        <w:t xml:space="preserve">ha </w:t>
      </w:r>
      <w:r w:rsidR="004C3415" w:rsidRPr="00CE7F43">
        <w:rPr>
          <w:szCs w:val="22"/>
          <w:lang w:val="hu-HU"/>
        </w:rPr>
        <w:t>kórelőzményében görcsrohamok szerepelnek.</w:t>
      </w:r>
    </w:p>
    <w:p w14:paraId="63E774BD" w14:textId="77777777" w:rsidR="00F45C51" w:rsidRPr="00CE7F43" w:rsidRDefault="004C3415" w:rsidP="00082A8E">
      <w:pPr>
        <w:suppressAutoHyphens/>
        <w:spacing w:line="240" w:lineRule="auto"/>
        <w:rPr>
          <w:b/>
          <w:lang w:val="hu-HU"/>
        </w:rPr>
      </w:pPr>
      <w:r w:rsidRPr="00CE7F43">
        <w:rPr>
          <w:bCs/>
          <w:lang w:val="hu-HU"/>
        </w:rPr>
        <w:lastRenderedPageBreak/>
        <w:t>Az agyödéma és görcsrohamok kialakulásának veszélye miatt, a gerincközeli (intratekális) és agykamrába (intraventrikuláris) adott injekció, valamint az agy állományát érintő (intracerebrális) alkalmazás nem javasolt.</w:t>
      </w:r>
    </w:p>
    <w:p w14:paraId="41765166" w14:textId="77777777" w:rsidR="004C3415" w:rsidRPr="00CE7F43" w:rsidRDefault="004C3415" w:rsidP="00082A8E">
      <w:pPr>
        <w:suppressAutoHyphens/>
        <w:spacing w:line="240" w:lineRule="auto"/>
        <w:rPr>
          <w:b/>
          <w:lang w:val="hu-HU"/>
        </w:rPr>
      </w:pPr>
    </w:p>
    <w:p w14:paraId="731D8E9E" w14:textId="62152C1C" w:rsidR="004C3415" w:rsidRPr="00CE7F43" w:rsidRDefault="004C3415" w:rsidP="004C3415">
      <w:pPr>
        <w:rPr>
          <w:szCs w:val="22"/>
          <w:lang w:val="hu-HU"/>
        </w:rPr>
      </w:pPr>
      <w:r w:rsidRPr="00CE7F43">
        <w:rPr>
          <w:szCs w:val="22"/>
          <w:lang w:val="hu-HU"/>
        </w:rPr>
        <w:t xml:space="preserve">Amennyiben úgy gondolja, hogy a fentiek valamelyike igaz Önre, vagy kétségei vannak, jelezze kezelőorvosának a </w:t>
      </w:r>
      <w:r w:rsidR="004D55DC" w:rsidRPr="00CE7F43">
        <w:rPr>
          <w:lang w:val="hu-HU"/>
        </w:rPr>
        <w:t xml:space="preserve">Tranexámsav Baxter </w:t>
      </w:r>
      <w:r w:rsidRPr="00CE7F43">
        <w:rPr>
          <w:szCs w:val="22"/>
          <w:lang w:val="hu-HU"/>
        </w:rPr>
        <w:t>alkalmazásának megkezdése előtt.</w:t>
      </w:r>
    </w:p>
    <w:p w14:paraId="4FF53810" w14:textId="421BBF22" w:rsidR="004C3415" w:rsidRDefault="004C3415" w:rsidP="00082A8E">
      <w:pPr>
        <w:suppressAutoHyphens/>
        <w:spacing w:line="240" w:lineRule="auto"/>
        <w:rPr>
          <w:noProof/>
          <w:szCs w:val="24"/>
          <w:lang w:val="hu-HU"/>
        </w:rPr>
      </w:pPr>
    </w:p>
    <w:p w14:paraId="0D74909D" w14:textId="77777777" w:rsidR="00F45C51" w:rsidRPr="00CE7F43" w:rsidRDefault="00907DC6" w:rsidP="00B311B8">
      <w:pPr>
        <w:spacing w:line="240" w:lineRule="auto"/>
        <w:ind w:right="-2"/>
        <w:rPr>
          <w:b/>
          <w:noProof/>
          <w:szCs w:val="24"/>
          <w:lang w:val="hu-HU"/>
        </w:rPr>
      </w:pPr>
      <w:r w:rsidRPr="00CE7F43">
        <w:rPr>
          <w:b/>
          <w:noProof/>
          <w:szCs w:val="24"/>
          <w:lang w:val="hu-HU"/>
        </w:rPr>
        <w:t>Figyelmeztetések és óvintézkedések</w:t>
      </w:r>
    </w:p>
    <w:p w14:paraId="4BDC7F7F" w14:textId="6816DB48" w:rsidR="004C3415" w:rsidRPr="00CE7F43" w:rsidRDefault="004C3415" w:rsidP="004D55DC">
      <w:pPr>
        <w:rPr>
          <w:szCs w:val="22"/>
          <w:lang w:val="hu-HU"/>
        </w:rPr>
      </w:pPr>
      <w:r w:rsidRPr="00CE7F43">
        <w:rPr>
          <w:bCs/>
          <w:szCs w:val="22"/>
          <w:lang w:val="hu-HU"/>
        </w:rPr>
        <w:t>Jelezze kezelőorvosának, ha az alább felsorolt állapotok bármelyike igaz Önre, hogy az orvos eldönthesse, megfelelő-e az Ön számára a</w:t>
      </w:r>
      <w:r w:rsidRPr="00CE7F43">
        <w:rPr>
          <w:szCs w:val="22"/>
          <w:lang w:val="hu-HU"/>
        </w:rPr>
        <w:t xml:space="preserve"> </w:t>
      </w:r>
      <w:r w:rsidR="004D55DC" w:rsidRPr="00CE7F43">
        <w:rPr>
          <w:szCs w:val="22"/>
          <w:lang w:val="hu-HU"/>
        </w:rPr>
        <w:t>Tranexámsav Baxter</w:t>
      </w:r>
      <w:r w:rsidR="00C54BEF">
        <w:rPr>
          <w:szCs w:val="22"/>
          <w:lang w:val="hu-HU"/>
        </w:rPr>
        <w:t>-</w:t>
      </w:r>
      <w:r w:rsidRPr="00CE7F43">
        <w:rPr>
          <w:szCs w:val="22"/>
          <w:lang w:val="hu-HU"/>
        </w:rPr>
        <w:t>kezelés:</w:t>
      </w:r>
    </w:p>
    <w:p w14:paraId="65140845" w14:textId="73300995" w:rsidR="004C3415" w:rsidRPr="00CE7F43" w:rsidRDefault="000661BB" w:rsidP="004C3415">
      <w:pPr>
        <w:widowControl w:val="0"/>
        <w:numPr>
          <w:ilvl w:val="0"/>
          <w:numId w:val="46"/>
        </w:numPr>
        <w:suppressAutoHyphens/>
        <w:spacing w:line="240" w:lineRule="exact"/>
        <w:ind w:right="-2" w:hanging="567"/>
        <w:rPr>
          <w:szCs w:val="22"/>
          <w:lang w:val="hu-HU"/>
        </w:rPr>
      </w:pPr>
      <w:r>
        <w:rPr>
          <w:szCs w:val="22"/>
          <w:lang w:val="hu-HU"/>
        </w:rPr>
        <w:t xml:space="preserve">ha </w:t>
      </w:r>
      <w:r w:rsidR="00343EB1" w:rsidRPr="00CE7F43">
        <w:rPr>
          <w:szCs w:val="22"/>
          <w:lang w:val="hu-HU"/>
        </w:rPr>
        <w:t xml:space="preserve">véres a vizelete, mert </w:t>
      </w:r>
      <w:r w:rsidR="004C3415" w:rsidRPr="00CE7F43">
        <w:rPr>
          <w:szCs w:val="22"/>
          <w:lang w:val="hu-HU"/>
        </w:rPr>
        <w:t>a húgycső elzáródását okozhatja.</w:t>
      </w:r>
    </w:p>
    <w:p w14:paraId="4C8E36CD" w14:textId="09928FB4" w:rsidR="004C3415" w:rsidRPr="00CE7F43" w:rsidRDefault="000661BB" w:rsidP="004C3415">
      <w:pPr>
        <w:widowControl w:val="0"/>
        <w:numPr>
          <w:ilvl w:val="0"/>
          <w:numId w:val="46"/>
        </w:numPr>
        <w:suppressAutoHyphens/>
        <w:spacing w:line="240" w:lineRule="exact"/>
        <w:ind w:right="-2" w:hanging="567"/>
        <w:rPr>
          <w:szCs w:val="22"/>
          <w:lang w:val="hu-HU"/>
        </w:rPr>
      </w:pPr>
      <w:r>
        <w:rPr>
          <w:szCs w:val="22"/>
          <w:lang w:val="hu-HU"/>
        </w:rPr>
        <w:t>ha</w:t>
      </w:r>
      <w:r w:rsidRPr="00CE7F43">
        <w:rPr>
          <w:szCs w:val="22"/>
          <w:lang w:val="hu-HU"/>
        </w:rPr>
        <w:t xml:space="preserve"> </w:t>
      </w:r>
      <w:r w:rsidR="004C3415" w:rsidRPr="00CE7F43">
        <w:rPr>
          <w:szCs w:val="22"/>
          <w:lang w:val="hu-HU"/>
        </w:rPr>
        <w:t xml:space="preserve">fennáll Önnél a vérrögképződés veszélye. </w:t>
      </w:r>
    </w:p>
    <w:p w14:paraId="06D93A5B" w14:textId="569FB0CD" w:rsidR="004C3415" w:rsidRPr="00CE7F43" w:rsidRDefault="000661BB" w:rsidP="004C3415">
      <w:pPr>
        <w:widowControl w:val="0"/>
        <w:numPr>
          <w:ilvl w:val="0"/>
          <w:numId w:val="46"/>
        </w:numPr>
        <w:suppressAutoHyphens/>
        <w:spacing w:line="240" w:lineRule="exact"/>
        <w:ind w:right="-2" w:hanging="567"/>
        <w:rPr>
          <w:szCs w:val="22"/>
          <w:lang w:val="hu-HU"/>
        </w:rPr>
      </w:pPr>
      <w:r>
        <w:rPr>
          <w:szCs w:val="22"/>
          <w:lang w:val="hu-HU"/>
        </w:rPr>
        <w:t xml:space="preserve">ha </w:t>
      </w:r>
      <w:r w:rsidR="004C3415" w:rsidRPr="00CE7F43">
        <w:rPr>
          <w:szCs w:val="22"/>
          <w:lang w:val="hu-HU"/>
        </w:rPr>
        <w:t>Önnél testszerte fokozott véralvadás vagy vérzés jelentkezett (disszeminált intravaszkuláris koaguláció), a tranexámsav-tartalmú gyógyszerek nem alkalmazhatók</w:t>
      </w:r>
      <w:r w:rsidR="004C3415" w:rsidRPr="00CE7F43" w:rsidDel="00A95D2A">
        <w:rPr>
          <w:szCs w:val="22"/>
          <w:lang w:val="hu-HU"/>
        </w:rPr>
        <w:t xml:space="preserve"> </w:t>
      </w:r>
      <w:r w:rsidR="004C3415" w:rsidRPr="00CE7F43">
        <w:rPr>
          <w:szCs w:val="22"/>
          <w:lang w:val="hu-HU"/>
        </w:rPr>
        <w:t>Önnél, kivéve, ha Önnél heveny, súlyos vérzés lépett fel, és a vérvizsgálatok eredményei alapján aktiválódott egy véralvadást gátló folyamat, melyet fibrinolízisnek neveznek.</w:t>
      </w:r>
    </w:p>
    <w:p w14:paraId="56A06D67" w14:textId="7A98974D" w:rsidR="00343EB1" w:rsidRPr="00CE7F43" w:rsidRDefault="000661BB" w:rsidP="00343EB1">
      <w:pPr>
        <w:widowControl w:val="0"/>
        <w:numPr>
          <w:ilvl w:val="0"/>
          <w:numId w:val="46"/>
        </w:numPr>
        <w:suppressAutoHyphens/>
        <w:spacing w:line="240" w:lineRule="exact"/>
        <w:ind w:right="-2" w:hanging="567"/>
        <w:rPr>
          <w:szCs w:val="22"/>
          <w:lang w:val="hu-HU"/>
        </w:rPr>
      </w:pPr>
      <w:r>
        <w:rPr>
          <w:szCs w:val="22"/>
          <w:lang w:val="hu-HU"/>
        </w:rPr>
        <w:t xml:space="preserve">ha </w:t>
      </w:r>
      <w:r w:rsidR="004C3415" w:rsidRPr="00CE7F43">
        <w:rPr>
          <w:szCs w:val="22"/>
          <w:lang w:val="hu-HU"/>
        </w:rPr>
        <w:t xml:space="preserve">Önnél korábban görcsrohamok jelentkeztek, a </w:t>
      </w:r>
      <w:r w:rsidR="00343EB1" w:rsidRPr="00CE7F43">
        <w:rPr>
          <w:szCs w:val="22"/>
          <w:lang w:val="hu-HU"/>
        </w:rPr>
        <w:t>Tranexámsav Baxter</w:t>
      </w:r>
      <w:r w:rsidR="004C3415" w:rsidRPr="00CE7F43">
        <w:rPr>
          <w:szCs w:val="22"/>
          <w:lang w:val="hu-HU"/>
        </w:rPr>
        <w:t xml:space="preserve"> nem alkalmazható. Kezelőorvosának a lehető leg</w:t>
      </w:r>
      <w:r w:rsidR="009A347E">
        <w:rPr>
          <w:szCs w:val="22"/>
          <w:lang w:val="hu-HU"/>
        </w:rPr>
        <w:t>kisebb</w:t>
      </w:r>
      <w:r w:rsidR="004C3415" w:rsidRPr="00CE7F43">
        <w:rPr>
          <w:szCs w:val="22"/>
          <w:lang w:val="hu-HU"/>
        </w:rPr>
        <w:t xml:space="preserve"> adagot kell alkalmaznia, hogy elkerülje a tranexámsav-tartalmú gyógyszerekkel történő kezeléssel összefüggésben kialakuló görcsrohamokat.</w:t>
      </w:r>
    </w:p>
    <w:p w14:paraId="6391F909" w14:textId="390F61A9" w:rsidR="00F45C51" w:rsidRPr="00CE7F43" w:rsidRDefault="000661BB" w:rsidP="00343EB1">
      <w:pPr>
        <w:widowControl w:val="0"/>
        <w:numPr>
          <w:ilvl w:val="0"/>
          <w:numId w:val="46"/>
        </w:numPr>
        <w:suppressAutoHyphens/>
        <w:spacing w:line="240" w:lineRule="exact"/>
        <w:ind w:right="-2" w:hanging="567"/>
        <w:rPr>
          <w:szCs w:val="22"/>
          <w:lang w:val="hu-HU"/>
        </w:rPr>
      </w:pPr>
      <w:r>
        <w:rPr>
          <w:szCs w:val="22"/>
          <w:lang w:val="hu-HU"/>
        </w:rPr>
        <w:t>ha</w:t>
      </w:r>
      <w:r w:rsidR="00CA7D22">
        <w:rPr>
          <w:szCs w:val="22"/>
          <w:lang w:val="hu-HU"/>
        </w:rPr>
        <w:t xml:space="preserve"> Ön</w:t>
      </w:r>
      <w:r>
        <w:rPr>
          <w:szCs w:val="22"/>
          <w:lang w:val="hu-HU"/>
        </w:rPr>
        <w:t xml:space="preserve"> </w:t>
      </w:r>
      <w:r w:rsidR="004C3415" w:rsidRPr="00CE7F43">
        <w:rPr>
          <w:szCs w:val="22"/>
          <w:lang w:val="hu-HU"/>
        </w:rPr>
        <w:t>hossz</w:t>
      </w:r>
      <w:r>
        <w:rPr>
          <w:szCs w:val="22"/>
          <w:lang w:val="hu-HU"/>
        </w:rPr>
        <w:t>an tartó</w:t>
      </w:r>
      <w:r w:rsidR="004C3415" w:rsidRPr="00CE7F43">
        <w:rPr>
          <w:szCs w:val="22"/>
          <w:lang w:val="hu-HU"/>
        </w:rPr>
        <w:t xml:space="preserve"> </w:t>
      </w:r>
      <w:r w:rsidR="00343EB1" w:rsidRPr="00CE7F43">
        <w:rPr>
          <w:szCs w:val="22"/>
          <w:lang w:val="hu-HU"/>
        </w:rPr>
        <w:t xml:space="preserve">Tranexámsav Baxter </w:t>
      </w:r>
      <w:r w:rsidR="004C3415" w:rsidRPr="00CE7F43">
        <w:rPr>
          <w:szCs w:val="22"/>
          <w:lang w:val="hu-HU"/>
        </w:rPr>
        <w:t xml:space="preserve">kezelésben részesül, fokozott figyelemmel kell kísérni a színlátással kapcsolatos rendellenességek kialakulásának lehetőségét, és amennyiben szükséges, a kezelést meg kell szakítani. Folyamatos, hosszú távú </w:t>
      </w:r>
      <w:r w:rsidR="00343EB1" w:rsidRPr="00CE7F43">
        <w:rPr>
          <w:szCs w:val="22"/>
          <w:lang w:val="hu-HU"/>
        </w:rPr>
        <w:t>tranexámsav</w:t>
      </w:r>
      <w:r w:rsidR="00343EB1" w:rsidRPr="00CE7F43">
        <w:rPr>
          <w:szCs w:val="22"/>
          <w:lang w:val="hu-HU"/>
        </w:rPr>
        <w:noBreakHyphen/>
      </w:r>
      <w:r w:rsidR="004C3415" w:rsidRPr="00CE7F43">
        <w:rPr>
          <w:szCs w:val="22"/>
          <w:lang w:val="hu-HU"/>
        </w:rPr>
        <w:t>alkalmazás esetén rendszeres szemészeti vizsgálat (a szemvizsgálatokba beleértendő a látóképesség, színlátás, szemfenék és látótérvizsgálat) javasolt. Patológiás szemészeti elváltozás esetén, különösen retinabetegség esetén, a kezelőorvosának egyedileg, szakorvossal történő konzultációt követően kell eldöntenie, hogy az Ön esetében szükséges-e a hosszú távú tranexámsav</w:t>
      </w:r>
      <w:r w:rsidR="004C3415" w:rsidRPr="00CE7F43">
        <w:rPr>
          <w:szCs w:val="22"/>
          <w:lang w:val="hu-HU"/>
        </w:rPr>
        <w:noBreakHyphen/>
        <w:t>kezelés</w:t>
      </w:r>
      <w:r w:rsidR="001E64D1" w:rsidRPr="00CE7F43">
        <w:rPr>
          <w:lang w:val="hu-HU"/>
        </w:rPr>
        <w:t>.</w:t>
      </w:r>
    </w:p>
    <w:p w14:paraId="720BA855" w14:textId="77777777" w:rsidR="00F45C51" w:rsidRPr="00CE7F43" w:rsidRDefault="00F45C51" w:rsidP="00082A8E">
      <w:pPr>
        <w:spacing w:line="240" w:lineRule="auto"/>
        <w:ind w:right="-2"/>
        <w:rPr>
          <w:noProof/>
          <w:szCs w:val="24"/>
          <w:lang w:val="hu-HU"/>
        </w:rPr>
      </w:pPr>
    </w:p>
    <w:p w14:paraId="3FCF749B" w14:textId="7041DC6F" w:rsidR="00F45C51" w:rsidRPr="00CE7F43" w:rsidRDefault="00907DC6" w:rsidP="00082A8E">
      <w:pPr>
        <w:spacing w:line="240" w:lineRule="auto"/>
        <w:ind w:right="-2"/>
        <w:rPr>
          <w:b/>
          <w:lang w:val="hu-HU"/>
        </w:rPr>
      </w:pPr>
      <w:r w:rsidRPr="00CE7F43">
        <w:rPr>
          <w:b/>
          <w:noProof/>
          <w:szCs w:val="24"/>
          <w:lang w:val="hu-HU"/>
        </w:rPr>
        <w:t>Egyéb</w:t>
      </w:r>
      <w:r w:rsidRPr="00CE7F43">
        <w:rPr>
          <w:b/>
          <w:lang w:val="hu-HU"/>
        </w:rPr>
        <w:t xml:space="preserve"> gyógyszerek</w:t>
      </w:r>
      <w:r w:rsidRPr="00CE7F43">
        <w:rPr>
          <w:b/>
          <w:noProof/>
          <w:szCs w:val="24"/>
          <w:lang w:val="hu-HU"/>
        </w:rPr>
        <w:t xml:space="preserve"> és a </w:t>
      </w:r>
      <w:r w:rsidR="0036603D" w:rsidRPr="00CE7F43">
        <w:rPr>
          <w:b/>
          <w:noProof/>
          <w:szCs w:val="24"/>
          <w:lang w:val="hu-HU"/>
        </w:rPr>
        <w:t xml:space="preserve">Tranexámsav Baxter   </w:t>
      </w:r>
    </w:p>
    <w:p w14:paraId="14B934A1" w14:textId="77777777" w:rsidR="00343EB1" w:rsidRPr="00CE7F43" w:rsidRDefault="00343EB1" w:rsidP="00343EB1">
      <w:pPr>
        <w:keepNext/>
        <w:spacing w:line="240" w:lineRule="exact"/>
        <w:ind w:right="-2"/>
        <w:rPr>
          <w:szCs w:val="22"/>
          <w:lang w:val="hu-HU"/>
        </w:rPr>
      </w:pPr>
      <w:r w:rsidRPr="00CE7F43">
        <w:rPr>
          <w:szCs w:val="22"/>
          <w:lang w:val="hu-HU"/>
        </w:rPr>
        <w:t>Feltétlenül tájékoztassa kezelőorvosát vagy gyógyszerészét a jelenleg vagy nemrégiben szedett, vagy szedni tervezett egyéb gyógyszereiről, beleértve a vény nélkül kapható készítményeket, a vitaminokat, gyógynövényeket vagy étrend kiegészítőket is.</w:t>
      </w:r>
    </w:p>
    <w:p w14:paraId="2024C18F" w14:textId="77777777" w:rsidR="00343EB1" w:rsidRPr="00CE7F43" w:rsidRDefault="00343EB1" w:rsidP="00343EB1">
      <w:pPr>
        <w:spacing w:line="240" w:lineRule="exact"/>
        <w:rPr>
          <w:szCs w:val="22"/>
          <w:lang w:val="hu-HU"/>
        </w:rPr>
      </w:pPr>
    </w:p>
    <w:p w14:paraId="3D223FD9" w14:textId="77777777" w:rsidR="00343EB1" w:rsidRPr="00CE7F43" w:rsidRDefault="00343EB1" w:rsidP="00343EB1">
      <w:pPr>
        <w:spacing w:line="240" w:lineRule="exact"/>
        <w:rPr>
          <w:szCs w:val="22"/>
          <w:lang w:val="hu-HU"/>
        </w:rPr>
      </w:pPr>
      <w:r w:rsidRPr="00CE7F43">
        <w:rPr>
          <w:szCs w:val="22"/>
          <w:lang w:val="hu-HU"/>
        </w:rPr>
        <w:t>Kiemelten fontos jeleznie kezelőorvosának, ha Ön</w:t>
      </w:r>
    </w:p>
    <w:p w14:paraId="65F84ACF" w14:textId="77777777" w:rsidR="00343EB1" w:rsidRPr="00CE7F43" w:rsidRDefault="00343EB1" w:rsidP="00343EB1">
      <w:pPr>
        <w:widowControl w:val="0"/>
        <w:numPr>
          <w:ilvl w:val="0"/>
          <w:numId w:val="47"/>
        </w:numPr>
        <w:tabs>
          <w:tab w:val="clear" w:pos="720"/>
          <w:tab w:val="num" w:pos="567"/>
        </w:tabs>
        <w:suppressAutoHyphens/>
        <w:spacing w:line="240" w:lineRule="exact"/>
        <w:ind w:left="567" w:hanging="567"/>
        <w:rPr>
          <w:szCs w:val="22"/>
          <w:lang w:val="hu-HU"/>
        </w:rPr>
      </w:pPr>
      <w:r w:rsidRPr="00CE7F43">
        <w:rPr>
          <w:szCs w:val="22"/>
          <w:lang w:val="hu-HU"/>
        </w:rPr>
        <w:t>olyan egyéb gyógyszereket szed, amelyek segítik a véralvadást, ezeket antifibrinolitikus gyógyszereknek nevezik</w:t>
      </w:r>
    </w:p>
    <w:p w14:paraId="015AE562" w14:textId="77777777" w:rsidR="00343EB1" w:rsidRPr="00CE7F43" w:rsidRDefault="00343EB1" w:rsidP="001A2E98">
      <w:pPr>
        <w:widowControl w:val="0"/>
        <w:numPr>
          <w:ilvl w:val="0"/>
          <w:numId w:val="47"/>
        </w:numPr>
        <w:tabs>
          <w:tab w:val="clear" w:pos="720"/>
          <w:tab w:val="num" w:pos="567"/>
        </w:tabs>
        <w:suppressAutoHyphens/>
        <w:spacing w:line="240" w:lineRule="auto"/>
        <w:ind w:left="567" w:hanging="567"/>
        <w:rPr>
          <w:lang w:val="hu-HU"/>
        </w:rPr>
      </w:pPr>
      <w:r w:rsidRPr="00CE7F43">
        <w:rPr>
          <w:szCs w:val="22"/>
          <w:lang w:val="hu-HU"/>
        </w:rPr>
        <w:t>olyan gyógyszereket szed, amelyek megakadályozzák a véralvadék</w:t>
      </w:r>
      <w:r w:rsidRPr="00CE7F43">
        <w:rPr>
          <w:szCs w:val="22"/>
          <w:lang w:val="hu-HU"/>
        </w:rPr>
        <w:noBreakHyphen/>
        <w:t>képződést, ezeket trombolitikus gyógyszereknek nevezik</w:t>
      </w:r>
    </w:p>
    <w:p w14:paraId="171E8F96" w14:textId="77777777" w:rsidR="00343EB1" w:rsidRPr="00CE7F43" w:rsidRDefault="00343EB1" w:rsidP="001A2E98">
      <w:pPr>
        <w:widowControl w:val="0"/>
        <w:numPr>
          <w:ilvl w:val="0"/>
          <w:numId w:val="47"/>
        </w:numPr>
        <w:tabs>
          <w:tab w:val="clear" w:pos="720"/>
          <w:tab w:val="num" w:pos="567"/>
        </w:tabs>
        <w:suppressAutoHyphens/>
        <w:spacing w:line="240" w:lineRule="auto"/>
        <w:ind w:left="567" w:hanging="567"/>
        <w:rPr>
          <w:lang w:val="hu-HU"/>
        </w:rPr>
      </w:pPr>
      <w:r w:rsidRPr="00CE7F43">
        <w:rPr>
          <w:szCs w:val="22"/>
          <w:lang w:val="hu-HU"/>
        </w:rPr>
        <w:t>szájon át szedhető fogamzásgátlókat szed</w:t>
      </w:r>
    </w:p>
    <w:p w14:paraId="1694CEA4" w14:textId="77777777" w:rsidR="00F45C51" w:rsidRPr="00CE7F43" w:rsidRDefault="00F45C51" w:rsidP="00082A8E">
      <w:pPr>
        <w:spacing w:line="240" w:lineRule="auto"/>
        <w:ind w:right="-2"/>
        <w:rPr>
          <w:lang w:val="hu-HU"/>
        </w:rPr>
      </w:pPr>
    </w:p>
    <w:p w14:paraId="65C82FF9" w14:textId="77777777" w:rsidR="00343EB1" w:rsidRPr="00CE7F43" w:rsidRDefault="00343EB1" w:rsidP="00343EB1">
      <w:pPr>
        <w:spacing w:line="240" w:lineRule="exact"/>
        <w:ind w:right="-2"/>
        <w:rPr>
          <w:b/>
          <w:szCs w:val="22"/>
          <w:lang w:val="hu-HU"/>
        </w:rPr>
      </w:pPr>
      <w:r w:rsidRPr="00CE7F43">
        <w:rPr>
          <w:b/>
          <w:szCs w:val="22"/>
          <w:lang w:val="hu-HU"/>
        </w:rPr>
        <w:t>Terhesség, szoptatás és termékenység</w:t>
      </w:r>
    </w:p>
    <w:p w14:paraId="4BE5431A" w14:textId="77777777" w:rsidR="00343EB1" w:rsidRPr="00CE7F43" w:rsidRDefault="00343EB1" w:rsidP="00343EB1">
      <w:pPr>
        <w:spacing w:line="240" w:lineRule="exact"/>
        <w:rPr>
          <w:szCs w:val="22"/>
          <w:lang w:val="hu-HU"/>
        </w:rPr>
      </w:pPr>
      <w:r w:rsidRPr="00CE7F43">
        <w:rPr>
          <w:noProof/>
          <w:szCs w:val="22"/>
          <w:lang w:val="hu-HU"/>
        </w:rPr>
        <w:t xml:space="preserve">Ha Ön terhes vagy szoptat, a </w:t>
      </w:r>
      <w:r w:rsidRPr="00CE7F43">
        <w:rPr>
          <w:szCs w:val="22"/>
          <w:lang w:val="hu-HU"/>
        </w:rPr>
        <w:t xml:space="preserve">tranexámsav-tartalmú gyógyszerek </w:t>
      </w:r>
      <w:r w:rsidRPr="00CE7F43">
        <w:rPr>
          <w:noProof/>
          <w:szCs w:val="22"/>
          <w:lang w:val="hu-HU"/>
        </w:rPr>
        <w:t>alkalmazása előtt beszéljen</w:t>
      </w:r>
      <w:r w:rsidRPr="00CE7F43">
        <w:rPr>
          <w:szCs w:val="22"/>
          <w:lang w:val="hu-HU"/>
        </w:rPr>
        <w:t xml:space="preserve"> kezelőorvosával.</w:t>
      </w:r>
    </w:p>
    <w:p w14:paraId="354C244C" w14:textId="77777777" w:rsidR="00343EB1" w:rsidRPr="00CE7F43" w:rsidRDefault="00343EB1" w:rsidP="00343EB1">
      <w:pPr>
        <w:rPr>
          <w:szCs w:val="22"/>
          <w:lang w:val="hu-HU"/>
        </w:rPr>
      </w:pPr>
      <w:r w:rsidRPr="00CE7F43">
        <w:rPr>
          <w:szCs w:val="22"/>
          <w:lang w:val="hu-HU"/>
        </w:rPr>
        <w:t>A terhesség első harmadában (trimeszter) a tranexámsav alkalmazása nem javasolt. A különböző vérzéses állapotokban alkalmazott tranexámsavról, a terhesség második és harmadik harmadában csak korlátozott klinikai tapasztalatok állnak rendelkezésre. A tranexámsav alkalmazása az egész terhesség során csak abban az esetben javasolt, ha a várható előny felülmúlja a lehetséges kockázatot.</w:t>
      </w:r>
    </w:p>
    <w:p w14:paraId="45194802" w14:textId="526FF2E3" w:rsidR="00F45C51" w:rsidRPr="00CE7F43" w:rsidRDefault="00343EB1" w:rsidP="00675021">
      <w:pPr>
        <w:rPr>
          <w:szCs w:val="22"/>
          <w:lang w:val="hu-HU"/>
        </w:rPr>
      </w:pPr>
      <w:r w:rsidRPr="00CE7F43">
        <w:rPr>
          <w:szCs w:val="22"/>
          <w:lang w:val="hu-HU"/>
        </w:rPr>
        <w:t xml:space="preserve">A tranexámsav </w:t>
      </w:r>
      <w:r w:rsidR="00D47FA3">
        <w:rPr>
          <w:szCs w:val="22"/>
          <w:lang w:val="hu-HU"/>
        </w:rPr>
        <w:t>átjut</w:t>
      </w:r>
      <w:r w:rsidR="00D47FA3" w:rsidRPr="00CE7F43">
        <w:rPr>
          <w:szCs w:val="22"/>
          <w:lang w:val="hu-HU"/>
        </w:rPr>
        <w:t xml:space="preserve"> </w:t>
      </w:r>
      <w:r w:rsidRPr="00CE7F43">
        <w:rPr>
          <w:szCs w:val="22"/>
          <w:lang w:val="hu-HU"/>
        </w:rPr>
        <w:t>az anyatejben; ezért a Tranexámsav Baxter alkalmazása szoptatás alatt nem ajánlott.</w:t>
      </w:r>
    </w:p>
    <w:p w14:paraId="75EC4ABE" w14:textId="77777777" w:rsidR="00343EB1" w:rsidRPr="00CE7F43" w:rsidRDefault="00343EB1" w:rsidP="00343EB1">
      <w:pPr>
        <w:spacing w:line="240" w:lineRule="auto"/>
        <w:ind w:right="-2"/>
        <w:rPr>
          <w:lang w:val="hu-HU"/>
        </w:rPr>
      </w:pPr>
    </w:p>
    <w:p w14:paraId="04FC48F2" w14:textId="77777777" w:rsidR="00F45C51" w:rsidRPr="00CE7F43" w:rsidRDefault="00907DC6" w:rsidP="00082A8E">
      <w:pPr>
        <w:spacing w:line="240" w:lineRule="auto"/>
        <w:ind w:right="-29"/>
        <w:rPr>
          <w:b/>
          <w:lang w:val="hu-HU"/>
        </w:rPr>
      </w:pPr>
      <w:r w:rsidRPr="00CE7F43">
        <w:rPr>
          <w:b/>
          <w:lang w:val="hu-HU"/>
        </w:rPr>
        <w:t xml:space="preserve">A készítmény hatásai a gépjárművezetéshez és </w:t>
      </w:r>
      <w:r w:rsidR="001E64D1" w:rsidRPr="00CE7F43">
        <w:rPr>
          <w:b/>
          <w:lang w:val="hu-HU"/>
        </w:rPr>
        <w:t xml:space="preserve">a </w:t>
      </w:r>
      <w:r w:rsidRPr="00CE7F43">
        <w:rPr>
          <w:b/>
          <w:lang w:val="hu-HU"/>
        </w:rPr>
        <w:t>gépek kezeléséhez szükséges képességekre</w:t>
      </w:r>
    </w:p>
    <w:p w14:paraId="5D87315F" w14:textId="77777777" w:rsidR="00F45C51" w:rsidRPr="00CE7F43" w:rsidRDefault="00343EB1" w:rsidP="00082A8E">
      <w:pPr>
        <w:spacing w:line="240" w:lineRule="auto"/>
        <w:ind w:right="-29"/>
        <w:rPr>
          <w:lang w:val="hu-HU"/>
        </w:rPr>
      </w:pPr>
      <w:r w:rsidRPr="00CE7F43">
        <w:rPr>
          <w:lang w:val="hu-HU"/>
        </w:rPr>
        <w:t>Nem vizsgálták a gépjárművezetésre és a gépek kezeléséhez szükséges képességekre gyakorolt hatását.</w:t>
      </w:r>
    </w:p>
    <w:p w14:paraId="1D3552D7" w14:textId="77777777" w:rsidR="00C54BEF" w:rsidRPr="00CE7F43" w:rsidRDefault="00C54BEF" w:rsidP="00082A8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4"/>
          <w:lang w:val="hu-HU"/>
        </w:rPr>
      </w:pPr>
    </w:p>
    <w:p w14:paraId="0E9013E7" w14:textId="5EFF83F6" w:rsidR="00F45C51" w:rsidRPr="00CE7F43" w:rsidRDefault="00907DC6" w:rsidP="00082A8E">
      <w:pPr>
        <w:numPr>
          <w:ilvl w:val="0"/>
          <w:numId w:val="6"/>
        </w:numPr>
        <w:tabs>
          <w:tab w:val="clear" w:pos="570"/>
        </w:tabs>
        <w:spacing w:line="240" w:lineRule="auto"/>
        <w:ind w:right="-2"/>
        <w:rPr>
          <w:b/>
          <w:noProof/>
          <w:szCs w:val="24"/>
          <w:lang w:val="hu-HU"/>
        </w:rPr>
      </w:pPr>
      <w:r w:rsidRPr="00CE7F43">
        <w:rPr>
          <w:b/>
          <w:noProof/>
          <w:szCs w:val="24"/>
          <w:lang w:val="hu-HU"/>
        </w:rPr>
        <w:t>Hogyan kell alkalmazni</w:t>
      </w:r>
      <w:r w:rsidR="00343EB1" w:rsidRPr="00CE7F43">
        <w:rPr>
          <w:b/>
          <w:noProof/>
          <w:szCs w:val="24"/>
          <w:lang w:val="hu-HU"/>
        </w:rPr>
        <w:t xml:space="preserve"> </w:t>
      </w:r>
      <w:r w:rsidRPr="00CE7F43">
        <w:rPr>
          <w:b/>
          <w:noProof/>
          <w:szCs w:val="24"/>
          <w:lang w:val="hu-HU"/>
        </w:rPr>
        <w:t xml:space="preserve">a </w:t>
      </w:r>
      <w:r w:rsidR="004C3415" w:rsidRPr="00CE7F43">
        <w:rPr>
          <w:b/>
          <w:noProof/>
          <w:szCs w:val="24"/>
          <w:lang w:val="hu-HU"/>
        </w:rPr>
        <w:t>Tranexámsav Baxter</w:t>
      </w:r>
      <w:r w:rsidR="00A21CF0">
        <w:rPr>
          <w:b/>
          <w:noProof/>
          <w:szCs w:val="24"/>
          <w:lang w:val="hu-HU"/>
        </w:rPr>
        <w:t>-</w:t>
      </w:r>
      <w:r w:rsidRPr="00CE7F43">
        <w:rPr>
          <w:b/>
          <w:lang w:val="hu-HU"/>
        </w:rPr>
        <w:t>t</w:t>
      </w:r>
      <w:r w:rsidRPr="00CE7F43">
        <w:rPr>
          <w:b/>
          <w:noProof/>
          <w:szCs w:val="24"/>
          <w:lang w:val="hu-HU"/>
        </w:rPr>
        <w:t>?</w:t>
      </w:r>
    </w:p>
    <w:p w14:paraId="48582E21" w14:textId="77777777" w:rsidR="00F45C51" w:rsidRPr="00CE7F43" w:rsidRDefault="00F45C51" w:rsidP="00082A8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noProof/>
          <w:szCs w:val="24"/>
          <w:lang w:val="hu-HU"/>
        </w:rPr>
      </w:pPr>
    </w:p>
    <w:p w14:paraId="79EE7E14" w14:textId="77777777" w:rsidR="00343EB1" w:rsidRPr="00CE7F43" w:rsidRDefault="00343EB1" w:rsidP="00343EB1">
      <w:pPr>
        <w:spacing w:line="240" w:lineRule="auto"/>
        <w:ind w:right="-2"/>
        <w:rPr>
          <w:noProof/>
          <w:szCs w:val="24"/>
          <w:lang w:val="hu-HU"/>
        </w:rPr>
      </w:pPr>
      <w:r w:rsidRPr="00CE7F43">
        <w:rPr>
          <w:noProof/>
          <w:szCs w:val="24"/>
          <w:lang w:val="hu-HU"/>
        </w:rPr>
        <w:t xml:space="preserve">A tranexámsavat tartalmazó oldatos </w:t>
      </w:r>
      <w:r w:rsidR="00DD328F">
        <w:rPr>
          <w:noProof/>
          <w:szCs w:val="24"/>
          <w:lang w:val="hu-HU"/>
        </w:rPr>
        <w:t>injekció</w:t>
      </w:r>
      <w:r w:rsidRPr="00CE7F43">
        <w:rPr>
          <w:noProof/>
          <w:szCs w:val="24"/>
          <w:lang w:val="hu-HU"/>
        </w:rPr>
        <w:t xml:space="preserve">t lassú, intravénás </w:t>
      </w:r>
      <w:r w:rsidR="00675021">
        <w:rPr>
          <w:noProof/>
          <w:szCs w:val="24"/>
          <w:lang w:val="hu-HU"/>
        </w:rPr>
        <w:t>injekció</w:t>
      </w:r>
      <w:r w:rsidRPr="00CE7F43">
        <w:rPr>
          <w:noProof/>
          <w:szCs w:val="24"/>
          <w:lang w:val="hu-HU"/>
        </w:rPr>
        <w:t xml:space="preserve"> formájában fogják Önnek beadni. Kezelőorvosa fogja meghatározni a megfelelő adagot és a kezelés időtartamát.</w:t>
      </w:r>
    </w:p>
    <w:p w14:paraId="4D67BA27" w14:textId="77777777" w:rsidR="00343EB1" w:rsidRPr="00CE7F43" w:rsidRDefault="00343EB1" w:rsidP="00343EB1">
      <w:pPr>
        <w:spacing w:line="240" w:lineRule="auto"/>
        <w:ind w:right="-2"/>
        <w:rPr>
          <w:noProof/>
          <w:szCs w:val="24"/>
          <w:lang w:val="hu-HU"/>
        </w:rPr>
      </w:pPr>
    </w:p>
    <w:p w14:paraId="1F5D51CC" w14:textId="77777777" w:rsidR="00343EB1" w:rsidRPr="00CE7F43" w:rsidRDefault="00343EB1" w:rsidP="00343EB1">
      <w:pPr>
        <w:spacing w:line="240" w:lineRule="auto"/>
        <w:ind w:right="-2"/>
        <w:rPr>
          <w:b/>
          <w:bCs/>
          <w:noProof/>
          <w:szCs w:val="24"/>
          <w:lang w:val="hu-HU"/>
        </w:rPr>
      </w:pPr>
      <w:r w:rsidRPr="00CE7F43">
        <w:rPr>
          <w:b/>
          <w:bCs/>
          <w:noProof/>
          <w:szCs w:val="24"/>
          <w:lang w:val="hu-HU"/>
        </w:rPr>
        <w:lastRenderedPageBreak/>
        <w:t>Alkalmazása gyermekeknél</w:t>
      </w:r>
    </w:p>
    <w:p w14:paraId="5A17BA9A" w14:textId="2BC5C263" w:rsidR="00343EB1" w:rsidRPr="00CE7F43" w:rsidRDefault="00343EB1" w:rsidP="00343EB1">
      <w:pPr>
        <w:spacing w:line="240" w:lineRule="auto"/>
        <w:ind w:right="-2"/>
        <w:rPr>
          <w:noProof/>
          <w:szCs w:val="24"/>
          <w:lang w:val="hu-HU"/>
        </w:rPr>
      </w:pPr>
      <w:r w:rsidRPr="00CE7F43">
        <w:rPr>
          <w:noProof/>
          <w:szCs w:val="24"/>
          <w:lang w:val="hu-HU"/>
        </w:rPr>
        <w:t xml:space="preserve">Amennyiben a Tranexámsav </w:t>
      </w:r>
      <w:r w:rsidR="00707BE2">
        <w:rPr>
          <w:noProof/>
          <w:szCs w:val="24"/>
          <w:lang w:val="hu-HU"/>
        </w:rPr>
        <w:t>Baxter</w:t>
      </w:r>
      <w:r w:rsidRPr="00CE7F43">
        <w:rPr>
          <w:noProof/>
          <w:szCs w:val="24"/>
          <w:lang w:val="hu-HU"/>
        </w:rPr>
        <w:t xml:space="preserve"> 1 évesnél idősebb gyermeknél alkalmazzák, az adagot a gyermek testsúlya alapján fogják meghatározni. </w:t>
      </w:r>
    </w:p>
    <w:p w14:paraId="5B5E8853" w14:textId="77777777" w:rsidR="00343EB1" w:rsidRPr="00CE7F43" w:rsidRDefault="00343EB1" w:rsidP="00343EB1">
      <w:pPr>
        <w:spacing w:line="240" w:lineRule="auto"/>
        <w:ind w:right="-2"/>
        <w:rPr>
          <w:noProof/>
          <w:szCs w:val="24"/>
          <w:lang w:val="hu-HU"/>
        </w:rPr>
      </w:pPr>
      <w:r w:rsidRPr="00CE7F43">
        <w:rPr>
          <w:noProof/>
          <w:szCs w:val="24"/>
          <w:lang w:val="hu-HU"/>
        </w:rPr>
        <w:t>Kezelőorvosa fogja meghatározni a gyermek számára a megfelelő adagot és a kezelés időtartamát.</w:t>
      </w:r>
    </w:p>
    <w:p w14:paraId="54A0C4F3" w14:textId="77777777" w:rsidR="00343EB1" w:rsidRPr="00CE7F43" w:rsidRDefault="00343EB1" w:rsidP="00343EB1">
      <w:pPr>
        <w:spacing w:line="240" w:lineRule="auto"/>
        <w:ind w:right="-2"/>
        <w:rPr>
          <w:noProof/>
          <w:szCs w:val="24"/>
          <w:lang w:val="hu-HU"/>
        </w:rPr>
      </w:pPr>
    </w:p>
    <w:p w14:paraId="36B06E3A" w14:textId="77777777" w:rsidR="00343EB1" w:rsidRPr="00CE7F43" w:rsidRDefault="00343EB1" w:rsidP="00343EB1">
      <w:pPr>
        <w:spacing w:line="240" w:lineRule="auto"/>
        <w:ind w:right="-2"/>
        <w:rPr>
          <w:b/>
          <w:bCs/>
          <w:noProof/>
          <w:szCs w:val="24"/>
          <w:lang w:val="hu-HU"/>
        </w:rPr>
      </w:pPr>
      <w:r w:rsidRPr="00CE7F43">
        <w:rPr>
          <w:b/>
          <w:bCs/>
          <w:noProof/>
          <w:szCs w:val="24"/>
          <w:lang w:val="hu-HU"/>
        </w:rPr>
        <w:t>Alkalmazása időseknél</w:t>
      </w:r>
    </w:p>
    <w:p w14:paraId="298179A5" w14:textId="77777777" w:rsidR="00343EB1" w:rsidRPr="00CE7F43" w:rsidRDefault="00343EB1" w:rsidP="00343EB1">
      <w:pPr>
        <w:spacing w:line="240" w:lineRule="auto"/>
        <w:ind w:right="-2"/>
        <w:rPr>
          <w:noProof/>
          <w:szCs w:val="24"/>
          <w:lang w:val="hu-HU"/>
        </w:rPr>
      </w:pPr>
      <w:r w:rsidRPr="00CE7F43">
        <w:rPr>
          <w:noProof/>
          <w:szCs w:val="24"/>
          <w:lang w:val="hu-HU"/>
        </w:rPr>
        <w:t>Az adag csökkentése nem szükséges, kivéve bizonyított vesekárosodás esetén.</w:t>
      </w:r>
    </w:p>
    <w:p w14:paraId="672468DC" w14:textId="77777777" w:rsidR="00343EB1" w:rsidRPr="00CE7F43" w:rsidRDefault="00343EB1" w:rsidP="00343EB1">
      <w:pPr>
        <w:spacing w:line="240" w:lineRule="auto"/>
        <w:ind w:right="-2"/>
        <w:rPr>
          <w:noProof/>
          <w:szCs w:val="24"/>
          <w:lang w:val="hu-HU"/>
        </w:rPr>
      </w:pPr>
    </w:p>
    <w:p w14:paraId="7AD7A96B" w14:textId="77777777" w:rsidR="00343EB1" w:rsidRPr="00CE7F43" w:rsidRDefault="00343EB1" w:rsidP="00343EB1">
      <w:pPr>
        <w:spacing w:line="240" w:lineRule="auto"/>
        <w:ind w:right="-2"/>
        <w:rPr>
          <w:b/>
          <w:bCs/>
          <w:noProof/>
          <w:szCs w:val="24"/>
          <w:lang w:val="hu-HU"/>
        </w:rPr>
      </w:pPr>
      <w:r w:rsidRPr="00CE7F43">
        <w:rPr>
          <w:b/>
          <w:bCs/>
          <w:noProof/>
          <w:szCs w:val="24"/>
          <w:lang w:val="hu-HU"/>
        </w:rPr>
        <w:t>Vesekárosodásban szenvedő betegek esetén történő alkalmazás</w:t>
      </w:r>
    </w:p>
    <w:p w14:paraId="3E8B647C" w14:textId="77777777" w:rsidR="00343EB1" w:rsidRPr="00CE7F43" w:rsidRDefault="00343EB1" w:rsidP="00343EB1">
      <w:pPr>
        <w:spacing w:line="240" w:lineRule="auto"/>
        <w:ind w:right="-2"/>
        <w:rPr>
          <w:noProof/>
          <w:szCs w:val="24"/>
          <w:lang w:val="hu-HU"/>
        </w:rPr>
      </w:pPr>
      <w:r w:rsidRPr="00CE7F43">
        <w:rPr>
          <w:noProof/>
          <w:szCs w:val="24"/>
          <w:lang w:val="hu-HU"/>
        </w:rPr>
        <w:t>Ha Önnek vesekárosodása van, a tranexámsav adagját az Ön vérvizsgálati eredménye (szérum kreatinin) alapján fogják csökkenteni.</w:t>
      </w:r>
    </w:p>
    <w:p w14:paraId="049AB135" w14:textId="77777777" w:rsidR="00343EB1" w:rsidRPr="00CE7F43" w:rsidRDefault="00343EB1" w:rsidP="00343EB1">
      <w:pPr>
        <w:spacing w:line="240" w:lineRule="auto"/>
        <w:ind w:right="-2"/>
        <w:rPr>
          <w:noProof/>
          <w:szCs w:val="24"/>
          <w:lang w:val="hu-HU"/>
        </w:rPr>
      </w:pPr>
    </w:p>
    <w:p w14:paraId="3D8CEEA8" w14:textId="77777777" w:rsidR="00343EB1" w:rsidRPr="00CE7F43" w:rsidRDefault="00343EB1" w:rsidP="00343EB1">
      <w:pPr>
        <w:spacing w:line="240" w:lineRule="auto"/>
        <w:ind w:right="-2"/>
        <w:rPr>
          <w:b/>
          <w:bCs/>
          <w:noProof/>
          <w:szCs w:val="24"/>
          <w:lang w:val="hu-HU"/>
        </w:rPr>
      </w:pPr>
      <w:r w:rsidRPr="00CE7F43">
        <w:rPr>
          <w:b/>
          <w:bCs/>
          <w:noProof/>
          <w:szCs w:val="24"/>
          <w:lang w:val="hu-HU"/>
        </w:rPr>
        <w:t>Májkárosodás esetén történő alkalmazás</w:t>
      </w:r>
    </w:p>
    <w:p w14:paraId="62AC89E8" w14:textId="77777777" w:rsidR="00343EB1" w:rsidRPr="00CE7F43" w:rsidRDefault="00343EB1" w:rsidP="00343EB1">
      <w:pPr>
        <w:spacing w:line="240" w:lineRule="auto"/>
        <w:ind w:right="-2"/>
        <w:rPr>
          <w:noProof/>
          <w:szCs w:val="24"/>
          <w:lang w:val="hu-HU"/>
        </w:rPr>
      </w:pPr>
      <w:r w:rsidRPr="00CE7F43">
        <w:rPr>
          <w:noProof/>
          <w:szCs w:val="24"/>
          <w:lang w:val="hu-HU"/>
        </w:rPr>
        <w:t>Nem szükséges az adag módosítása májkárosodás esetén.</w:t>
      </w:r>
    </w:p>
    <w:p w14:paraId="1033722F" w14:textId="77777777" w:rsidR="00343EB1" w:rsidRPr="00CE7F43" w:rsidRDefault="00343EB1" w:rsidP="00082A8E">
      <w:pPr>
        <w:spacing w:line="240" w:lineRule="auto"/>
        <w:ind w:right="-2"/>
        <w:rPr>
          <w:noProof/>
          <w:szCs w:val="24"/>
          <w:lang w:val="hu-HU"/>
        </w:rPr>
      </w:pPr>
    </w:p>
    <w:p w14:paraId="20B033F1" w14:textId="77777777" w:rsidR="00EB339E" w:rsidRPr="00CE7F43" w:rsidRDefault="00EB339E" w:rsidP="00EB339E">
      <w:pPr>
        <w:spacing w:line="240" w:lineRule="auto"/>
        <w:ind w:right="-2"/>
        <w:rPr>
          <w:b/>
          <w:bCs/>
          <w:lang w:val="hu-HU"/>
        </w:rPr>
      </w:pPr>
      <w:r w:rsidRPr="00CE7F43">
        <w:rPr>
          <w:b/>
          <w:bCs/>
          <w:lang w:val="hu-HU"/>
        </w:rPr>
        <w:t>Az alkalmazás módja</w:t>
      </w:r>
    </w:p>
    <w:p w14:paraId="22C5673D" w14:textId="77777777" w:rsidR="00EB339E" w:rsidRPr="00CE7F43" w:rsidRDefault="00EB339E" w:rsidP="00EB339E">
      <w:pPr>
        <w:spacing w:line="240" w:lineRule="auto"/>
        <w:ind w:right="-2"/>
        <w:rPr>
          <w:lang w:val="hu-HU"/>
        </w:rPr>
      </w:pPr>
    </w:p>
    <w:p w14:paraId="0A165BF7" w14:textId="5CBF1439" w:rsidR="00EB339E" w:rsidRPr="00CE7F43" w:rsidRDefault="00EB339E" w:rsidP="00EB339E">
      <w:pPr>
        <w:spacing w:line="240" w:lineRule="auto"/>
        <w:ind w:right="-2"/>
        <w:rPr>
          <w:lang w:val="hu-HU"/>
        </w:rPr>
      </w:pPr>
      <w:r w:rsidRPr="00CE7F43">
        <w:rPr>
          <w:lang w:val="hu-HU"/>
        </w:rPr>
        <w:t>A Tranexámsav Baxter</w:t>
      </w:r>
      <w:r w:rsidR="00515ED7">
        <w:rPr>
          <w:lang w:val="hu-HU"/>
        </w:rPr>
        <w:t xml:space="preserve">-t </w:t>
      </w:r>
      <w:r w:rsidRPr="00CE7F43">
        <w:rPr>
          <w:lang w:val="hu-HU"/>
        </w:rPr>
        <w:t xml:space="preserve">kizárólag lassú </w:t>
      </w:r>
      <w:r w:rsidR="00DD328F">
        <w:rPr>
          <w:lang w:val="hu-HU"/>
        </w:rPr>
        <w:t>injekció</w:t>
      </w:r>
      <w:r w:rsidRPr="00CE7F43">
        <w:rPr>
          <w:lang w:val="hu-HU"/>
        </w:rPr>
        <w:t xml:space="preserve"> formájában fogják a vénájába beadni.</w:t>
      </w:r>
    </w:p>
    <w:p w14:paraId="16D2CD2D" w14:textId="63AD5465" w:rsidR="00EB339E" w:rsidRPr="00CE7F43" w:rsidRDefault="00EB339E" w:rsidP="00EB339E">
      <w:pPr>
        <w:spacing w:line="240" w:lineRule="auto"/>
        <w:ind w:right="-2"/>
        <w:rPr>
          <w:lang w:val="hu-HU"/>
        </w:rPr>
      </w:pPr>
      <w:r w:rsidRPr="00CE7F43">
        <w:rPr>
          <w:lang w:val="hu-HU"/>
        </w:rPr>
        <w:t>A Tranexámsav Baxter</w:t>
      </w:r>
      <w:r w:rsidR="00515824">
        <w:rPr>
          <w:lang w:val="hu-HU"/>
        </w:rPr>
        <w:t xml:space="preserve"> </w:t>
      </w:r>
      <w:r w:rsidRPr="00CE7F43">
        <w:rPr>
          <w:lang w:val="hu-HU"/>
        </w:rPr>
        <w:t xml:space="preserve">izomba </w:t>
      </w:r>
      <w:r w:rsidR="00515824" w:rsidRPr="00CE7F43">
        <w:rPr>
          <w:lang w:val="hu-HU"/>
        </w:rPr>
        <w:t xml:space="preserve">nem </w:t>
      </w:r>
      <w:r w:rsidR="00515824">
        <w:rPr>
          <w:lang w:val="hu-HU"/>
        </w:rPr>
        <w:t>beadható</w:t>
      </w:r>
      <w:r w:rsidRPr="00CE7F43">
        <w:rPr>
          <w:lang w:val="hu-HU"/>
        </w:rPr>
        <w:t>.</w:t>
      </w:r>
    </w:p>
    <w:p w14:paraId="301604E6" w14:textId="77777777" w:rsidR="00EB339E" w:rsidRPr="00CE7F43" w:rsidRDefault="00EB339E" w:rsidP="00EB339E">
      <w:pPr>
        <w:spacing w:line="240" w:lineRule="auto"/>
        <w:ind w:right="-2"/>
        <w:rPr>
          <w:lang w:val="hu-HU"/>
        </w:rPr>
      </w:pPr>
    </w:p>
    <w:p w14:paraId="57C6C551" w14:textId="71CBF5C4" w:rsidR="00EB339E" w:rsidRPr="00CE7F43" w:rsidRDefault="00EB339E" w:rsidP="00EB339E">
      <w:pPr>
        <w:spacing w:line="240" w:lineRule="auto"/>
        <w:ind w:right="-2"/>
        <w:rPr>
          <w:lang w:val="hu-HU"/>
        </w:rPr>
      </w:pPr>
      <w:r w:rsidRPr="00CE7F43">
        <w:rPr>
          <w:lang w:val="hu-HU"/>
        </w:rPr>
        <w:t>Ha az előírtnál több Tranexámsav Baxte</w:t>
      </w:r>
      <w:r w:rsidR="00B86813">
        <w:rPr>
          <w:lang w:val="hu-HU"/>
        </w:rPr>
        <w:t>r-</w:t>
      </w:r>
      <w:r w:rsidRPr="00CE7F43">
        <w:rPr>
          <w:lang w:val="hu-HU"/>
        </w:rPr>
        <w:t>t kapott:</w:t>
      </w:r>
    </w:p>
    <w:p w14:paraId="7F8CA57D" w14:textId="3E4A9EFB" w:rsidR="00EB339E" w:rsidRPr="00CE7F43" w:rsidRDefault="00EB339E" w:rsidP="00EB339E">
      <w:pPr>
        <w:spacing w:line="240" w:lineRule="auto"/>
        <w:ind w:right="-2"/>
        <w:rPr>
          <w:lang w:val="hu-HU"/>
        </w:rPr>
      </w:pPr>
      <w:r w:rsidRPr="00CE7F43">
        <w:rPr>
          <w:lang w:val="hu-HU"/>
        </w:rPr>
        <w:t>Amennyiben Önnek az ajánlottnál több Tranexámsav Baxter</w:t>
      </w:r>
      <w:r w:rsidR="00B86813">
        <w:rPr>
          <w:lang w:val="hu-HU"/>
        </w:rPr>
        <w:t xml:space="preserve">t </w:t>
      </w:r>
      <w:r w:rsidRPr="00CE7F43">
        <w:rPr>
          <w:lang w:val="hu-HU"/>
        </w:rPr>
        <w:t xml:space="preserve">adtak be, átmeneti vérnyomásesést tapasztalhat. Azonnal jelezze kezelőorvosának vagy a szakszemélyzetnek. </w:t>
      </w:r>
    </w:p>
    <w:p w14:paraId="51B5B048" w14:textId="77777777" w:rsidR="00EB339E" w:rsidRPr="00CE7F43" w:rsidRDefault="00EB339E" w:rsidP="00EB339E">
      <w:pPr>
        <w:spacing w:line="240" w:lineRule="auto"/>
        <w:ind w:right="-2"/>
        <w:rPr>
          <w:lang w:val="hu-HU"/>
        </w:rPr>
      </w:pPr>
    </w:p>
    <w:p w14:paraId="4238AE5F" w14:textId="77777777" w:rsidR="00F45C51" w:rsidRPr="00CE7F43" w:rsidRDefault="00EB339E" w:rsidP="00EB339E">
      <w:pPr>
        <w:spacing w:line="240" w:lineRule="auto"/>
        <w:ind w:right="-2"/>
        <w:rPr>
          <w:lang w:val="hu-HU"/>
        </w:rPr>
      </w:pPr>
      <w:r w:rsidRPr="00CE7F43">
        <w:rPr>
          <w:lang w:val="hu-HU"/>
        </w:rPr>
        <w:t>Ha bármilyen további kérdése van a készítmény alkalmazásával kapcsolatban, kérdezze meg kezelőorvosát vagy a gondozását végző egészségügyi szakembert.</w:t>
      </w:r>
    </w:p>
    <w:p w14:paraId="138641CA" w14:textId="0CCF0DC3" w:rsidR="00EB339E" w:rsidRDefault="00EB339E" w:rsidP="00082A8E">
      <w:pPr>
        <w:spacing w:line="240" w:lineRule="auto"/>
        <w:ind w:right="-2"/>
        <w:rPr>
          <w:lang w:val="hu-HU"/>
        </w:rPr>
      </w:pPr>
    </w:p>
    <w:p w14:paraId="7E4FBAE4" w14:textId="77777777" w:rsidR="00CA7D22" w:rsidRPr="00CE7F43" w:rsidRDefault="00CA7D22" w:rsidP="00082A8E">
      <w:pPr>
        <w:spacing w:line="240" w:lineRule="auto"/>
        <w:ind w:right="-2"/>
        <w:rPr>
          <w:lang w:val="hu-HU"/>
        </w:rPr>
      </w:pPr>
    </w:p>
    <w:p w14:paraId="20969C9B" w14:textId="77777777" w:rsidR="00F45C51" w:rsidRPr="00CE7F43" w:rsidRDefault="00907DC6" w:rsidP="00082A8E">
      <w:pPr>
        <w:spacing w:line="240" w:lineRule="auto"/>
        <w:ind w:left="567" w:right="-2" w:hanging="567"/>
        <w:rPr>
          <w:b/>
          <w:lang w:val="hu-HU"/>
        </w:rPr>
      </w:pPr>
      <w:r w:rsidRPr="00CE7F43">
        <w:rPr>
          <w:b/>
          <w:lang w:val="hu-HU"/>
        </w:rPr>
        <w:t>4.</w:t>
      </w:r>
      <w:r w:rsidRPr="00CE7F43">
        <w:rPr>
          <w:b/>
          <w:lang w:val="hu-HU"/>
        </w:rPr>
        <w:tab/>
      </w:r>
      <w:r w:rsidRPr="00CE7F43">
        <w:rPr>
          <w:b/>
          <w:noProof/>
          <w:szCs w:val="24"/>
          <w:lang w:val="hu-HU"/>
        </w:rPr>
        <w:t>Lehetséges mellékhatások</w:t>
      </w:r>
    </w:p>
    <w:p w14:paraId="4D029EF4" w14:textId="77777777" w:rsidR="00F45C51" w:rsidRPr="00CE7F43" w:rsidRDefault="00F45C51" w:rsidP="00082A8E">
      <w:pPr>
        <w:spacing w:line="240" w:lineRule="auto"/>
        <w:ind w:right="-29"/>
        <w:rPr>
          <w:lang w:val="hu-HU"/>
        </w:rPr>
      </w:pPr>
    </w:p>
    <w:p w14:paraId="7898DCC4" w14:textId="77777777" w:rsidR="00F45C51" w:rsidRPr="00CE7F43" w:rsidRDefault="00907DC6" w:rsidP="00082A8E">
      <w:pPr>
        <w:spacing w:line="240" w:lineRule="auto"/>
        <w:ind w:right="-29"/>
        <w:rPr>
          <w:lang w:val="hu-HU"/>
        </w:rPr>
      </w:pPr>
      <w:r w:rsidRPr="00CE7F43">
        <w:rPr>
          <w:lang w:val="hu-HU"/>
        </w:rPr>
        <w:t xml:space="preserve">Mint minden gyógyszer, így </w:t>
      </w:r>
      <w:r w:rsidRPr="00CE7F43">
        <w:rPr>
          <w:noProof/>
          <w:szCs w:val="24"/>
          <w:lang w:val="hu-HU"/>
        </w:rPr>
        <w:t>ez a gyógyszer</w:t>
      </w:r>
      <w:r w:rsidRPr="00CE7F43">
        <w:rPr>
          <w:lang w:val="hu-HU"/>
        </w:rPr>
        <w:t xml:space="preserve"> is okozhat mellékhatásokat, amelyek azonban nem mindenkinél jelentkeznek.</w:t>
      </w:r>
    </w:p>
    <w:p w14:paraId="1B5A3B26" w14:textId="77777777" w:rsidR="00F45C51" w:rsidRPr="00CE7F43" w:rsidRDefault="00F45C51" w:rsidP="00082A8E">
      <w:pPr>
        <w:spacing w:line="240" w:lineRule="auto"/>
        <w:ind w:right="-29"/>
        <w:rPr>
          <w:lang w:val="hu-HU"/>
        </w:rPr>
      </w:pPr>
    </w:p>
    <w:p w14:paraId="6F9BE2AA" w14:textId="4A65C726" w:rsidR="00EB339E" w:rsidRPr="00CE7F43" w:rsidRDefault="00EB339E" w:rsidP="00EB339E">
      <w:pPr>
        <w:spacing w:line="240" w:lineRule="exact"/>
        <w:rPr>
          <w:rStyle w:val="StyleOutline"/>
          <w:rFonts w:eastAsia="StarSymbol"/>
          <w:b/>
          <w:bCs/>
          <w:szCs w:val="22"/>
          <w:lang w:val="hu-HU"/>
        </w:rPr>
      </w:pPr>
      <w:r w:rsidRPr="00CE7F43">
        <w:rPr>
          <w:rStyle w:val="StyleOutline"/>
          <w:rFonts w:eastAsia="StarSymbol"/>
          <w:b/>
          <w:bCs/>
          <w:szCs w:val="22"/>
          <w:lang w:val="hu-HU"/>
        </w:rPr>
        <w:t xml:space="preserve">A </w:t>
      </w:r>
      <w:r w:rsidR="002E60B2">
        <w:rPr>
          <w:rFonts w:eastAsia="StarSymbol"/>
          <w:b/>
          <w:bCs/>
          <w:szCs w:val="22"/>
          <w:lang w:val="hu-HU"/>
        </w:rPr>
        <w:t>t</w:t>
      </w:r>
      <w:r w:rsidR="002E60B2" w:rsidRPr="00CE7F43">
        <w:rPr>
          <w:rFonts w:eastAsia="StarSymbol"/>
          <w:b/>
          <w:bCs/>
          <w:szCs w:val="22"/>
          <w:lang w:val="hu-HU"/>
        </w:rPr>
        <w:t>ranexámsav</w:t>
      </w:r>
      <w:r w:rsidR="002E60B2">
        <w:rPr>
          <w:rFonts w:eastAsia="StarSymbol"/>
          <w:b/>
          <w:bCs/>
          <w:szCs w:val="22"/>
          <w:lang w:val="hu-HU"/>
        </w:rPr>
        <w:t xml:space="preserve">val </w:t>
      </w:r>
      <w:r w:rsidRPr="00CE7F43">
        <w:rPr>
          <w:rFonts w:eastAsia="StarSymbol"/>
          <w:b/>
          <w:bCs/>
          <w:szCs w:val="22"/>
          <w:lang w:val="hu-HU"/>
        </w:rPr>
        <w:t xml:space="preserve">kapcsolatban </w:t>
      </w:r>
      <w:r w:rsidRPr="00CE7F43">
        <w:rPr>
          <w:rStyle w:val="StyleOutline"/>
          <w:rFonts w:eastAsia="StarSymbol"/>
          <w:b/>
          <w:bCs/>
          <w:szCs w:val="22"/>
          <w:lang w:val="hu-HU"/>
        </w:rPr>
        <w:t>jelentett mellékhatások:</w:t>
      </w:r>
    </w:p>
    <w:p w14:paraId="4A5386FF" w14:textId="33344652" w:rsidR="00EB339E" w:rsidRPr="00CE7F43" w:rsidRDefault="00EB339E" w:rsidP="00EB339E">
      <w:pPr>
        <w:spacing w:line="240" w:lineRule="exact"/>
        <w:rPr>
          <w:szCs w:val="22"/>
          <w:lang w:val="hu-HU"/>
        </w:rPr>
      </w:pPr>
      <w:r w:rsidRPr="00CE7F43">
        <w:rPr>
          <w:rStyle w:val="StyleOutline"/>
          <w:rFonts w:eastAsia="StarSymbol"/>
          <w:szCs w:val="22"/>
          <w:lang w:val="hu-HU"/>
        </w:rPr>
        <w:t>Az alábbi mellékhatásokat tapasztalták a</w:t>
      </w:r>
      <w:r w:rsidRPr="00CE7F43">
        <w:rPr>
          <w:szCs w:val="22"/>
          <w:lang w:val="hu-HU"/>
        </w:rPr>
        <w:t xml:space="preserve"> Tranexámsav Baxter</w:t>
      </w:r>
      <w:r w:rsidR="002E60B2">
        <w:rPr>
          <w:szCs w:val="22"/>
          <w:lang w:val="hu-HU"/>
        </w:rPr>
        <w:t xml:space="preserve">rel </w:t>
      </w:r>
      <w:r w:rsidR="00CD5E42">
        <w:rPr>
          <w:szCs w:val="22"/>
          <w:lang w:val="hu-HU"/>
        </w:rPr>
        <w:t>ka</w:t>
      </w:r>
      <w:r w:rsidRPr="00CE7F43">
        <w:rPr>
          <w:szCs w:val="22"/>
          <w:lang w:val="hu-HU"/>
        </w:rPr>
        <w:t>pcsolatban:</w:t>
      </w:r>
    </w:p>
    <w:p w14:paraId="016ECC91" w14:textId="77777777" w:rsidR="00EB339E" w:rsidRPr="00CE7F43" w:rsidRDefault="00EB339E" w:rsidP="00EB339E">
      <w:pPr>
        <w:spacing w:line="240" w:lineRule="exact"/>
        <w:rPr>
          <w:szCs w:val="22"/>
          <w:lang w:val="hu-HU"/>
        </w:rPr>
      </w:pPr>
    </w:p>
    <w:p w14:paraId="12AA87AF" w14:textId="4AF165B3" w:rsidR="00EB339E" w:rsidRPr="00CE7F43" w:rsidRDefault="00EB339E" w:rsidP="00EB339E">
      <w:pPr>
        <w:tabs>
          <w:tab w:val="left" w:pos="1701"/>
        </w:tabs>
        <w:spacing w:line="240" w:lineRule="exact"/>
        <w:ind w:left="1701" w:hanging="1701"/>
        <w:rPr>
          <w:szCs w:val="22"/>
          <w:lang w:val="hu-HU"/>
        </w:rPr>
      </w:pPr>
      <w:r w:rsidRPr="00CE7F43">
        <w:rPr>
          <w:szCs w:val="22"/>
          <w:lang w:val="hu-HU"/>
        </w:rPr>
        <w:t>Gyakori (10 betegekből legfeljebb 1</w:t>
      </w:r>
      <w:r w:rsidRPr="00CE7F43">
        <w:rPr>
          <w:szCs w:val="22"/>
          <w:lang w:val="hu-HU"/>
        </w:rPr>
        <w:noBreakHyphen/>
        <w:t>et érinthet)</w:t>
      </w:r>
    </w:p>
    <w:p w14:paraId="3323F01C" w14:textId="1199CBF0" w:rsidR="00EB339E" w:rsidRPr="00CE7F43" w:rsidRDefault="00EB339E" w:rsidP="00EB339E">
      <w:pPr>
        <w:widowControl w:val="0"/>
        <w:numPr>
          <w:ilvl w:val="0"/>
          <w:numId w:val="48"/>
        </w:numPr>
        <w:tabs>
          <w:tab w:val="left" w:pos="1701"/>
        </w:tabs>
        <w:suppressAutoHyphens/>
        <w:spacing w:line="240" w:lineRule="exact"/>
        <w:ind w:hanging="720"/>
        <w:rPr>
          <w:szCs w:val="22"/>
          <w:lang w:val="hu-HU"/>
        </w:rPr>
      </w:pPr>
      <w:r w:rsidRPr="00CE7F43">
        <w:rPr>
          <w:szCs w:val="22"/>
          <w:lang w:val="hu-HU"/>
        </w:rPr>
        <w:t>Gyomor-bél</w:t>
      </w:r>
      <w:r w:rsidR="009A347E">
        <w:rPr>
          <w:szCs w:val="22"/>
          <w:lang w:val="hu-HU"/>
        </w:rPr>
        <w:t xml:space="preserve"> </w:t>
      </w:r>
      <w:r w:rsidRPr="00CE7F43">
        <w:rPr>
          <w:szCs w:val="22"/>
          <w:lang w:val="hu-HU"/>
        </w:rPr>
        <w:t>rendszert érintő hatások: hányinger, hányás, hasmenés</w:t>
      </w:r>
    </w:p>
    <w:p w14:paraId="04BF359C" w14:textId="77777777" w:rsidR="00EB339E" w:rsidRPr="00CE7F43" w:rsidRDefault="00EB339E" w:rsidP="00EB339E">
      <w:pPr>
        <w:tabs>
          <w:tab w:val="left" w:pos="1701"/>
        </w:tabs>
        <w:spacing w:line="240" w:lineRule="exact"/>
        <w:ind w:left="1701" w:hanging="1701"/>
        <w:rPr>
          <w:szCs w:val="22"/>
          <w:lang w:val="hu-HU"/>
        </w:rPr>
      </w:pPr>
    </w:p>
    <w:p w14:paraId="36784BD2" w14:textId="29D76044" w:rsidR="00EB339E" w:rsidRPr="00CE7F43" w:rsidRDefault="00EB339E" w:rsidP="00EB339E">
      <w:pPr>
        <w:spacing w:line="240" w:lineRule="exact"/>
        <w:rPr>
          <w:szCs w:val="22"/>
          <w:lang w:val="hu-HU"/>
        </w:rPr>
      </w:pPr>
      <w:r w:rsidRPr="00CE7F43">
        <w:rPr>
          <w:szCs w:val="22"/>
          <w:lang w:val="hu-HU"/>
        </w:rPr>
        <w:t>Nem gyakori (100 betegekből 1</w:t>
      </w:r>
      <w:r w:rsidRPr="00CE7F43">
        <w:rPr>
          <w:szCs w:val="22"/>
          <w:lang w:val="hu-HU"/>
        </w:rPr>
        <w:noBreakHyphen/>
        <w:t>et érinthet)</w:t>
      </w:r>
    </w:p>
    <w:p w14:paraId="40018494" w14:textId="77777777" w:rsidR="00EB339E" w:rsidRPr="00CE7F43" w:rsidRDefault="00EB339E" w:rsidP="00EB339E">
      <w:pPr>
        <w:widowControl w:val="0"/>
        <w:numPr>
          <w:ilvl w:val="0"/>
          <w:numId w:val="48"/>
        </w:numPr>
        <w:tabs>
          <w:tab w:val="clear" w:pos="720"/>
          <w:tab w:val="num" w:pos="567"/>
        </w:tabs>
        <w:suppressAutoHyphens/>
        <w:spacing w:line="240" w:lineRule="exact"/>
        <w:ind w:left="567" w:hanging="567"/>
        <w:rPr>
          <w:szCs w:val="22"/>
          <w:lang w:val="hu-HU"/>
        </w:rPr>
      </w:pPr>
      <w:r w:rsidRPr="00CE7F43">
        <w:rPr>
          <w:szCs w:val="22"/>
          <w:lang w:val="hu-HU"/>
        </w:rPr>
        <w:t>Bőrproblémák: bőrkiütés</w:t>
      </w:r>
    </w:p>
    <w:p w14:paraId="1547F64A" w14:textId="77777777" w:rsidR="00EB339E" w:rsidRPr="00CE7F43" w:rsidRDefault="00EB339E" w:rsidP="00EB339E">
      <w:pPr>
        <w:spacing w:line="240" w:lineRule="exact"/>
        <w:rPr>
          <w:szCs w:val="22"/>
          <w:lang w:val="hu-HU"/>
        </w:rPr>
      </w:pPr>
    </w:p>
    <w:p w14:paraId="04C0242B" w14:textId="57A962AE" w:rsidR="00EB339E" w:rsidRPr="00CE7F43" w:rsidRDefault="00EB339E" w:rsidP="00EB339E">
      <w:pPr>
        <w:tabs>
          <w:tab w:val="left" w:pos="1701"/>
        </w:tabs>
        <w:spacing w:line="240" w:lineRule="exact"/>
        <w:ind w:left="3969" w:hanging="3969"/>
        <w:rPr>
          <w:bCs/>
          <w:szCs w:val="22"/>
          <w:lang w:val="hu-HU"/>
        </w:rPr>
      </w:pPr>
      <w:r w:rsidRPr="00CE7F43">
        <w:rPr>
          <w:bCs/>
          <w:szCs w:val="22"/>
          <w:lang w:val="hu-HU"/>
        </w:rPr>
        <w:t>Nem ismert (a</w:t>
      </w:r>
      <w:r w:rsidR="00DA182D" w:rsidRPr="009A347E">
        <w:rPr>
          <w:bCs/>
          <w:szCs w:val="22"/>
          <w:lang w:val="hu-HU"/>
        </w:rPr>
        <w:t xml:space="preserve"> gyakoriság</w:t>
      </w:r>
      <w:r w:rsidRPr="00CE7F43">
        <w:rPr>
          <w:bCs/>
          <w:szCs w:val="22"/>
          <w:lang w:val="hu-HU"/>
        </w:rPr>
        <w:t xml:space="preserve"> </w:t>
      </w:r>
      <w:r w:rsidR="00DA182D">
        <w:rPr>
          <w:bCs/>
          <w:szCs w:val="22"/>
          <w:lang w:val="hu-HU"/>
        </w:rPr>
        <w:t xml:space="preserve">a </w:t>
      </w:r>
      <w:r w:rsidRPr="00CE7F43">
        <w:rPr>
          <w:bCs/>
          <w:szCs w:val="22"/>
          <w:lang w:val="hu-HU"/>
        </w:rPr>
        <w:t xml:space="preserve">rendelkezésre álló adatokból nem </w:t>
      </w:r>
      <w:r w:rsidR="009A347E">
        <w:rPr>
          <w:bCs/>
          <w:szCs w:val="22"/>
          <w:lang w:val="hu-HU"/>
        </w:rPr>
        <w:t>állapítható</w:t>
      </w:r>
      <w:r w:rsidR="009A347E" w:rsidRPr="00CE7F43">
        <w:rPr>
          <w:bCs/>
          <w:szCs w:val="22"/>
          <w:lang w:val="hu-HU"/>
        </w:rPr>
        <w:t xml:space="preserve"> </w:t>
      </w:r>
      <w:r w:rsidRPr="00CE7F43">
        <w:rPr>
          <w:bCs/>
          <w:szCs w:val="22"/>
          <w:lang w:val="hu-HU"/>
        </w:rPr>
        <w:t>meg):</w:t>
      </w:r>
    </w:p>
    <w:p w14:paraId="5A382A56" w14:textId="74F7640C" w:rsidR="00EB339E" w:rsidRPr="00CE7F43" w:rsidRDefault="00EB339E" w:rsidP="007B0B00">
      <w:pPr>
        <w:widowControl w:val="0"/>
        <w:numPr>
          <w:ilvl w:val="0"/>
          <w:numId w:val="48"/>
        </w:numPr>
        <w:tabs>
          <w:tab w:val="clear" w:pos="720"/>
          <w:tab w:val="num" w:pos="567"/>
          <w:tab w:val="left" w:pos="1701"/>
        </w:tabs>
        <w:suppressAutoHyphens/>
        <w:spacing w:line="240" w:lineRule="exact"/>
        <w:ind w:left="567" w:hanging="567"/>
        <w:rPr>
          <w:bCs/>
          <w:szCs w:val="22"/>
          <w:lang w:val="hu-HU"/>
        </w:rPr>
      </w:pPr>
      <w:r w:rsidRPr="00CE7F43">
        <w:rPr>
          <w:bCs/>
          <w:szCs w:val="22"/>
          <w:lang w:val="hu-HU"/>
        </w:rPr>
        <w:t>Gyengeség alacsony vérnyomással (hipotenzió) szédüléssel vagy szédülés nélkül, különösen, ha az injekciót túl gyorsan adják be</w:t>
      </w:r>
    </w:p>
    <w:p w14:paraId="37BCFF3B" w14:textId="77777777" w:rsidR="00EB339E" w:rsidRPr="00CE7F43" w:rsidRDefault="00EB339E" w:rsidP="00EB339E">
      <w:pPr>
        <w:widowControl w:val="0"/>
        <w:numPr>
          <w:ilvl w:val="0"/>
          <w:numId w:val="48"/>
        </w:numPr>
        <w:tabs>
          <w:tab w:val="clear" w:pos="720"/>
          <w:tab w:val="num" w:pos="567"/>
          <w:tab w:val="left" w:pos="1701"/>
        </w:tabs>
        <w:suppressAutoHyphens/>
        <w:spacing w:line="240" w:lineRule="exact"/>
        <w:ind w:hanging="720"/>
        <w:rPr>
          <w:bCs/>
          <w:szCs w:val="22"/>
          <w:lang w:val="hu-HU"/>
        </w:rPr>
      </w:pPr>
      <w:r w:rsidRPr="00CE7F43">
        <w:rPr>
          <w:bCs/>
          <w:szCs w:val="22"/>
          <w:lang w:val="hu-HU"/>
        </w:rPr>
        <w:t>Vérrögök</w:t>
      </w:r>
    </w:p>
    <w:p w14:paraId="68985A0A" w14:textId="77777777" w:rsidR="00EB339E" w:rsidRPr="00CE7F43" w:rsidRDefault="00EB339E" w:rsidP="00EB339E">
      <w:pPr>
        <w:widowControl w:val="0"/>
        <w:numPr>
          <w:ilvl w:val="0"/>
          <w:numId w:val="48"/>
        </w:numPr>
        <w:tabs>
          <w:tab w:val="clear" w:pos="720"/>
          <w:tab w:val="num" w:pos="567"/>
          <w:tab w:val="left" w:pos="1701"/>
        </w:tabs>
        <w:suppressAutoHyphens/>
        <w:spacing w:line="240" w:lineRule="exact"/>
        <w:ind w:hanging="720"/>
        <w:rPr>
          <w:bCs/>
          <w:szCs w:val="22"/>
          <w:lang w:val="hu-HU"/>
        </w:rPr>
      </w:pPr>
      <w:r w:rsidRPr="00CE7F43">
        <w:rPr>
          <w:bCs/>
          <w:szCs w:val="22"/>
          <w:lang w:val="hu-HU"/>
        </w:rPr>
        <w:t>Idegrendszert érintő hatások: görcsrohamok (konvulzió)</w:t>
      </w:r>
    </w:p>
    <w:p w14:paraId="37C32925" w14:textId="77777777" w:rsidR="00EB339E" w:rsidRPr="00CE7F43" w:rsidRDefault="00EB339E" w:rsidP="00EB339E">
      <w:pPr>
        <w:widowControl w:val="0"/>
        <w:numPr>
          <w:ilvl w:val="0"/>
          <w:numId w:val="48"/>
        </w:numPr>
        <w:tabs>
          <w:tab w:val="clear" w:pos="720"/>
          <w:tab w:val="num" w:pos="567"/>
          <w:tab w:val="left" w:pos="1701"/>
        </w:tabs>
        <w:suppressAutoHyphens/>
        <w:spacing w:line="240" w:lineRule="exact"/>
        <w:ind w:hanging="720"/>
        <w:rPr>
          <w:bCs/>
          <w:szCs w:val="22"/>
          <w:lang w:val="hu-HU"/>
        </w:rPr>
      </w:pPr>
      <w:r w:rsidRPr="00CE7F43">
        <w:rPr>
          <w:bCs/>
          <w:szCs w:val="22"/>
          <w:lang w:val="hu-HU"/>
        </w:rPr>
        <w:t>Szemet érintő hatások: látászavarok, beleértve a színlátás zavarát is</w:t>
      </w:r>
    </w:p>
    <w:p w14:paraId="442C18A2" w14:textId="6DA634E4" w:rsidR="00D236EA" w:rsidRPr="00CE7F43" w:rsidRDefault="00EB339E" w:rsidP="00EB339E">
      <w:pPr>
        <w:widowControl w:val="0"/>
        <w:numPr>
          <w:ilvl w:val="0"/>
          <w:numId w:val="48"/>
        </w:numPr>
        <w:tabs>
          <w:tab w:val="clear" w:pos="720"/>
          <w:tab w:val="num" w:pos="567"/>
          <w:tab w:val="left" w:pos="1701"/>
        </w:tabs>
        <w:suppressAutoHyphens/>
        <w:spacing w:line="240" w:lineRule="exact"/>
        <w:ind w:hanging="720"/>
        <w:rPr>
          <w:bCs/>
          <w:szCs w:val="22"/>
          <w:lang w:val="hu-HU"/>
        </w:rPr>
      </w:pPr>
      <w:r w:rsidRPr="00CE7F43">
        <w:rPr>
          <w:bCs/>
          <w:szCs w:val="22"/>
          <w:lang w:val="hu-HU"/>
        </w:rPr>
        <w:t xml:space="preserve">Immunrendszert érintő hatások: </w:t>
      </w:r>
      <w:r w:rsidRPr="00CE7F43">
        <w:rPr>
          <w:szCs w:val="22"/>
          <w:lang w:val="hu-HU"/>
        </w:rPr>
        <w:t>túlérzékenységi (allergiás) reakciók</w:t>
      </w:r>
    </w:p>
    <w:p w14:paraId="6C6C96E4" w14:textId="77777777" w:rsidR="00D236EA" w:rsidRDefault="00D236EA" w:rsidP="00EB339E">
      <w:pPr>
        <w:ind w:right="-29"/>
        <w:rPr>
          <w:b/>
          <w:bCs/>
          <w:szCs w:val="22"/>
          <w:lang w:val="hu-HU"/>
        </w:rPr>
      </w:pPr>
      <w:bookmarkStart w:id="1" w:name="OLE_LINK3"/>
      <w:bookmarkStart w:id="2" w:name="OLE_LINK4"/>
    </w:p>
    <w:p w14:paraId="649B819A" w14:textId="77777777" w:rsidR="00EB339E" w:rsidRPr="00CE7F43" w:rsidRDefault="00EB339E" w:rsidP="00EB339E">
      <w:pPr>
        <w:ind w:right="-29"/>
        <w:rPr>
          <w:b/>
          <w:bCs/>
          <w:szCs w:val="22"/>
          <w:lang w:val="hu-HU"/>
        </w:rPr>
      </w:pPr>
      <w:r w:rsidRPr="00CE7F43">
        <w:rPr>
          <w:b/>
          <w:bCs/>
          <w:szCs w:val="22"/>
          <w:lang w:val="hu-HU"/>
        </w:rPr>
        <w:t>Mellékhatások bejelentése</w:t>
      </w:r>
    </w:p>
    <w:p w14:paraId="3CC7EEFA" w14:textId="77777777" w:rsidR="00EB339E" w:rsidRPr="00CE7F43" w:rsidRDefault="00EB339E" w:rsidP="00EB339E">
      <w:pPr>
        <w:ind w:right="-2"/>
        <w:rPr>
          <w:szCs w:val="22"/>
          <w:lang w:val="hu-HU"/>
        </w:rPr>
      </w:pPr>
      <w:r w:rsidRPr="00CE7F43">
        <w:rPr>
          <w:szCs w:val="22"/>
          <w:lang w:val="hu-HU"/>
        </w:rPr>
        <w:t xml:space="preserve">Ha Önnél bármilyen mellékhatás jelentkezik, tájékoztassa kezelőorvosát, vagy gyógyszerészét, vagy a gondozását végző egészségügyi szakembert. Ez a betegtájékoztatóban fel nem sorolt bármilyen lehetséges mellékhatásra is vonatkozik. A mellékhatásokat közvetlenül a hatóság részére is bejelentheti az </w:t>
      </w:r>
      <w:hyperlink r:id="rId8" w:history="1">
        <w:r w:rsidRPr="00CE7F43">
          <w:rPr>
            <w:rStyle w:val="Hiperhivatkozs"/>
            <w:highlight w:val="lightGray"/>
            <w:lang w:val="hu-HU"/>
          </w:rPr>
          <w:t>V</w:t>
        </w:r>
      </w:hyperlink>
      <w:r w:rsidRPr="00CE7F43">
        <w:rPr>
          <w:szCs w:val="22"/>
          <w:highlight w:val="lightGray"/>
          <w:u w:val="single"/>
          <w:lang w:val="hu-HU"/>
        </w:rPr>
        <w:t>. függelékben</w:t>
      </w:r>
      <w:r w:rsidRPr="00CE7F43">
        <w:rPr>
          <w:szCs w:val="22"/>
          <w:lang w:val="hu-HU"/>
        </w:rPr>
        <w:t xml:space="preserve"> található elérhetőségeken keresztül. </w:t>
      </w:r>
    </w:p>
    <w:p w14:paraId="5D27B43A" w14:textId="77777777" w:rsidR="00EB339E" w:rsidRPr="00CE7F43" w:rsidRDefault="00EB339E" w:rsidP="00EB339E">
      <w:pPr>
        <w:ind w:right="-2"/>
        <w:rPr>
          <w:szCs w:val="22"/>
          <w:lang w:val="hu-HU"/>
        </w:rPr>
      </w:pPr>
      <w:r w:rsidRPr="00CE7F43">
        <w:rPr>
          <w:szCs w:val="22"/>
          <w:lang w:val="hu-HU"/>
        </w:rPr>
        <w:t>A mellékhatások bejelentésével Ön is hozzájárulhat ahhoz, hogy minél több információ álljon rendelkezésre a gyógyszer biztonságos alkalmazásával kapcsolatban.</w:t>
      </w:r>
    </w:p>
    <w:bookmarkEnd w:id="1"/>
    <w:bookmarkEnd w:id="2"/>
    <w:p w14:paraId="5739F2E1" w14:textId="77777777" w:rsidR="00EB339E" w:rsidRPr="00CE7F43" w:rsidRDefault="00EB339E" w:rsidP="00EB339E">
      <w:pPr>
        <w:spacing w:line="240" w:lineRule="exact"/>
        <w:rPr>
          <w:b/>
          <w:szCs w:val="22"/>
          <w:lang w:val="hu-HU"/>
        </w:rPr>
      </w:pPr>
    </w:p>
    <w:p w14:paraId="65278B76" w14:textId="77777777" w:rsidR="00C9380B" w:rsidRPr="00CE7F43" w:rsidRDefault="00C9380B" w:rsidP="00E320A0">
      <w:pPr>
        <w:spacing w:line="240" w:lineRule="auto"/>
        <w:ind w:right="-2"/>
        <w:rPr>
          <w:lang w:val="hu-HU"/>
        </w:rPr>
      </w:pPr>
    </w:p>
    <w:p w14:paraId="391E1305" w14:textId="6C763FEF" w:rsidR="00F45C51" w:rsidRPr="00CE7F43" w:rsidRDefault="00907DC6" w:rsidP="00B311B8">
      <w:pPr>
        <w:spacing w:line="240" w:lineRule="auto"/>
        <w:ind w:left="567" w:right="-2" w:hanging="567"/>
        <w:rPr>
          <w:b/>
          <w:lang w:val="hu-HU"/>
        </w:rPr>
      </w:pPr>
      <w:r w:rsidRPr="00CE7F43">
        <w:rPr>
          <w:b/>
          <w:lang w:val="hu-HU"/>
        </w:rPr>
        <w:t>5.</w:t>
      </w:r>
      <w:r w:rsidRPr="00CE7F43">
        <w:rPr>
          <w:b/>
          <w:lang w:val="hu-HU"/>
        </w:rPr>
        <w:tab/>
      </w:r>
      <w:r w:rsidRPr="00CE7F43">
        <w:rPr>
          <w:b/>
          <w:noProof/>
          <w:szCs w:val="24"/>
          <w:lang w:val="hu-HU"/>
        </w:rPr>
        <w:t xml:space="preserve">Hogyan kell az </w:t>
      </w:r>
      <w:r w:rsidR="004C3415" w:rsidRPr="00CE7F43">
        <w:rPr>
          <w:b/>
          <w:noProof/>
          <w:szCs w:val="24"/>
          <w:lang w:val="hu-HU"/>
        </w:rPr>
        <w:t>Tranexámsav Baxter</w:t>
      </w:r>
      <w:r w:rsidR="00DB1668">
        <w:rPr>
          <w:b/>
          <w:noProof/>
          <w:szCs w:val="24"/>
          <w:lang w:val="hu-HU"/>
        </w:rPr>
        <w:t xml:space="preserve">-t </w:t>
      </w:r>
      <w:r w:rsidRPr="00CE7F43">
        <w:rPr>
          <w:b/>
          <w:noProof/>
          <w:szCs w:val="24"/>
          <w:lang w:val="hu-HU"/>
        </w:rPr>
        <w:t xml:space="preserve"> tárolni</w:t>
      </w:r>
      <w:r w:rsidRPr="00CE7F43">
        <w:rPr>
          <w:b/>
          <w:lang w:val="hu-HU"/>
        </w:rPr>
        <w:t>?</w:t>
      </w:r>
    </w:p>
    <w:p w14:paraId="51CC88E6" w14:textId="77777777" w:rsidR="003728DD" w:rsidRPr="00CE7F43" w:rsidRDefault="003728DD" w:rsidP="00082A8E">
      <w:pPr>
        <w:spacing w:line="240" w:lineRule="auto"/>
        <w:ind w:right="-2"/>
        <w:rPr>
          <w:noProof/>
          <w:lang w:val="hu-HU"/>
        </w:rPr>
      </w:pPr>
    </w:p>
    <w:p w14:paraId="2EACB07B" w14:textId="77777777" w:rsidR="00F45C51" w:rsidRPr="00CE7F43" w:rsidRDefault="00907DC6" w:rsidP="00B311B8">
      <w:pPr>
        <w:spacing w:line="240" w:lineRule="auto"/>
        <w:ind w:right="-2"/>
        <w:rPr>
          <w:lang w:val="hu-HU"/>
        </w:rPr>
      </w:pPr>
      <w:r w:rsidRPr="00CE7F43">
        <w:rPr>
          <w:lang w:val="hu-HU"/>
        </w:rPr>
        <w:t>A gyógyszer gyermekektől elzárva tartandó!</w:t>
      </w:r>
    </w:p>
    <w:p w14:paraId="31FB18C1" w14:textId="01CB8823" w:rsidR="00F45C51" w:rsidRPr="00CE7F43" w:rsidRDefault="00EB339E" w:rsidP="00082A8E">
      <w:pPr>
        <w:spacing w:line="240" w:lineRule="auto"/>
        <w:ind w:right="-2"/>
        <w:rPr>
          <w:lang w:val="hu-HU"/>
        </w:rPr>
      </w:pPr>
      <w:r w:rsidRPr="00CE7F43">
        <w:rPr>
          <w:lang w:val="hu-HU"/>
        </w:rPr>
        <w:t>A csomagoláson feltüntetett lejárati idő (Felhasználható:) után ne alkalmazza a gyógyszert. A lejárati idő az adott hónap utolsó napjára vonatkozik</w:t>
      </w:r>
      <w:r w:rsidR="00CA7D22">
        <w:rPr>
          <w:lang w:val="hu-HU"/>
        </w:rPr>
        <w:t>.</w:t>
      </w:r>
    </w:p>
    <w:p w14:paraId="08F17530" w14:textId="77777777" w:rsidR="00EB339E" w:rsidRPr="00CE7F43" w:rsidRDefault="00EB339E" w:rsidP="00082A8E">
      <w:pPr>
        <w:spacing w:line="240" w:lineRule="auto"/>
        <w:ind w:right="-2"/>
        <w:rPr>
          <w:lang w:val="hu-HU"/>
        </w:rPr>
      </w:pPr>
      <w:r w:rsidRPr="00CE7F43">
        <w:rPr>
          <w:lang w:val="hu-HU"/>
        </w:rPr>
        <w:t>Nem fagyasztható!</w:t>
      </w:r>
    </w:p>
    <w:p w14:paraId="32297A72" w14:textId="77777777" w:rsidR="00EB339E" w:rsidRPr="00CE7F43" w:rsidRDefault="00EB339E" w:rsidP="00EB339E">
      <w:pPr>
        <w:spacing w:line="240" w:lineRule="auto"/>
        <w:rPr>
          <w:lang w:val="hu-HU"/>
        </w:rPr>
      </w:pPr>
      <w:r w:rsidRPr="00CE7F43">
        <w:rPr>
          <w:lang w:val="hu-HU"/>
        </w:rPr>
        <w:t>Kizárólag egyszeri alkalmazásra, a fel nem használt oldatot meg kell semmisíteni.</w:t>
      </w:r>
    </w:p>
    <w:p w14:paraId="7C4B303E" w14:textId="77777777" w:rsidR="00EB339E" w:rsidRPr="00CE7F43" w:rsidRDefault="00EB339E" w:rsidP="00EB339E">
      <w:pPr>
        <w:spacing w:line="240" w:lineRule="exact"/>
        <w:ind w:right="-2"/>
        <w:rPr>
          <w:noProof/>
          <w:szCs w:val="22"/>
          <w:lang w:val="hu-HU"/>
        </w:rPr>
      </w:pPr>
      <w:r w:rsidRPr="00CE7F43">
        <w:rPr>
          <w:noProof/>
          <w:szCs w:val="22"/>
          <w:lang w:val="hu-HU"/>
        </w:rPr>
        <w:t>Semmilyen gyógyszert ne dobjon a szennyvízbe vagy a háztartási hulladékba. Kérdezze meg gyógyszerészét, hogy mit tegyen a már nem használt gyógyszereivel. Ezek az intézkedések elősegítik a környezet védelmét.</w:t>
      </w:r>
    </w:p>
    <w:p w14:paraId="6B86A9A4" w14:textId="77777777" w:rsidR="00EB339E" w:rsidRPr="00CE7F43" w:rsidRDefault="00EB339E" w:rsidP="00082A8E">
      <w:pPr>
        <w:spacing w:line="240" w:lineRule="auto"/>
        <w:ind w:right="-2"/>
        <w:rPr>
          <w:lang w:val="hu-HU"/>
        </w:rPr>
      </w:pPr>
    </w:p>
    <w:p w14:paraId="2826E0CE" w14:textId="77777777" w:rsidR="00EB339E" w:rsidRPr="00CE7F43" w:rsidRDefault="00EB339E" w:rsidP="00EB339E">
      <w:pPr>
        <w:spacing w:line="240" w:lineRule="auto"/>
        <w:rPr>
          <w:lang w:val="hu-HU"/>
        </w:rPr>
      </w:pPr>
      <w:r w:rsidRPr="00CE7F43">
        <w:rPr>
          <w:lang w:val="hu-HU"/>
        </w:rPr>
        <w:t>Hígítás után az oldat kémiai és fizikai stabilitását 25°C-on 48 óráig őrzi meg.</w:t>
      </w:r>
    </w:p>
    <w:p w14:paraId="768B0BC9" w14:textId="77777777" w:rsidR="00EB339E" w:rsidRPr="00CE7F43" w:rsidRDefault="00EB339E" w:rsidP="00082A8E">
      <w:pPr>
        <w:spacing w:line="240" w:lineRule="auto"/>
        <w:ind w:right="-2"/>
        <w:rPr>
          <w:lang w:val="hu-HU"/>
        </w:rPr>
      </w:pPr>
    </w:p>
    <w:p w14:paraId="4F500CC3" w14:textId="77777777" w:rsidR="00EB339E" w:rsidRPr="00CE7F43" w:rsidRDefault="00EB339E" w:rsidP="00EB339E">
      <w:pPr>
        <w:rPr>
          <w:lang w:val="hu-HU"/>
        </w:rPr>
      </w:pPr>
      <w:r w:rsidRPr="00CE7F43">
        <w:rPr>
          <w:lang w:val="hu-HU"/>
        </w:rPr>
        <w:t>Mikrobiológiai szempontból a készítményt azonnal fel kell használni. Amennyiben nem használják fel azonnal, a felhasználásig az eltartási idő és a tárolási körülmények a felhasználó felelőssége, és általában nem lehet több mint 24 óra 2-8°C-on tárolva, kivéve, amikor a hígítás validált aszeptikus körülmények között történt.</w:t>
      </w:r>
    </w:p>
    <w:p w14:paraId="4D0680A9" w14:textId="77777777" w:rsidR="00F45C51" w:rsidRPr="00CE7F43" w:rsidRDefault="00F45C51" w:rsidP="00082A8E">
      <w:pPr>
        <w:spacing w:line="240" w:lineRule="auto"/>
        <w:ind w:right="-2"/>
        <w:rPr>
          <w:lang w:val="hu-HU"/>
        </w:rPr>
      </w:pPr>
    </w:p>
    <w:p w14:paraId="0D82BBD9" w14:textId="77777777" w:rsidR="00F45C51" w:rsidRPr="00CE7F43" w:rsidRDefault="00F45C51" w:rsidP="00082A8E">
      <w:pPr>
        <w:spacing w:line="240" w:lineRule="auto"/>
        <w:ind w:right="-2"/>
        <w:rPr>
          <w:lang w:val="hu-HU"/>
        </w:rPr>
      </w:pPr>
    </w:p>
    <w:p w14:paraId="6B6D2F3F" w14:textId="77777777" w:rsidR="00F45C51" w:rsidRPr="00CE7F43" w:rsidRDefault="00907DC6" w:rsidP="00082A8E">
      <w:pPr>
        <w:spacing w:line="240" w:lineRule="auto"/>
        <w:ind w:left="567" w:right="-2" w:hanging="567"/>
        <w:rPr>
          <w:b/>
          <w:lang w:val="hu-HU"/>
        </w:rPr>
      </w:pPr>
      <w:r w:rsidRPr="00CE7F43">
        <w:rPr>
          <w:b/>
          <w:lang w:val="hu-HU"/>
        </w:rPr>
        <w:t>6.</w:t>
      </w:r>
      <w:r w:rsidRPr="00CE7F43">
        <w:rPr>
          <w:b/>
          <w:lang w:val="hu-HU"/>
        </w:rPr>
        <w:tab/>
      </w:r>
      <w:r w:rsidRPr="00CE7F43">
        <w:rPr>
          <w:b/>
          <w:noProof/>
          <w:szCs w:val="24"/>
          <w:lang w:val="hu-HU"/>
        </w:rPr>
        <w:t>A csomagolás tartalma és egyéb információk</w:t>
      </w:r>
    </w:p>
    <w:p w14:paraId="56BA85A9" w14:textId="77777777" w:rsidR="00F45C51" w:rsidRPr="00CE7F43" w:rsidRDefault="00F45C51" w:rsidP="00082A8E">
      <w:pPr>
        <w:spacing w:line="240" w:lineRule="auto"/>
        <w:rPr>
          <w:lang w:val="hu-HU"/>
        </w:rPr>
      </w:pPr>
    </w:p>
    <w:p w14:paraId="4CA69550" w14:textId="15335935" w:rsidR="00F45C51" w:rsidRPr="00CE7F43" w:rsidRDefault="00907DC6" w:rsidP="00082A8E">
      <w:pPr>
        <w:spacing w:line="240" w:lineRule="auto"/>
        <w:rPr>
          <w:lang w:val="hu-HU"/>
        </w:rPr>
      </w:pPr>
      <w:r w:rsidRPr="00CE7F43">
        <w:rPr>
          <w:b/>
          <w:lang w:val="hu-HU"/>
        </w:rPr>
        <w:t xml:space="preserve">Mit tartalmaz az </w:t>
      </w:r>
      <w:r w:rsidR="00CA7D22">
        <w:rPr>
          <w:b/>
          <w:lang w:val="hu-HU"/>
        </w:rPr>
        <w:t>Tranexámsav Baxter</w:t>
      </w:r>
      <w:r w:rsidR="00905D16" w:rsidRPr="00CE7F43">
        <w:rPr>
          <w:b/>
          <w:lang w:val="hu-HU"/>
        </w:rPr>
        <w:t>?</w:t>
      </w:r>
    </w:p>
    <w:p w14:paraId="2DBAEDA3" w14:textId="77777777" w:rsidR="00F45C51" w:rsidRPr="00CE7F43" w:rsidRDefault="00F45C51" w:rsidP="00497F75">
      <w:pPr>
        <w:keepNext/>
        <w:tabs>
          <w:tab w:val="clear" w:pos="567"/>
        </w:tabs>
        <w:spacing w:line="240" w:lineRule="auto"/>
        <w:ind w:right="-2"/>
        <w:rPr>
          <w:rFonts w:eastAsia="Times New Roman"/>
          <w:noProof/>
          <w:snapToGrid/>
          <w:szCs w:val="22"/>
          <w:lang w:val="hu-HU" w:eastAsia="en-US"/>
        </w:rPr>
      </w:pPr>
    </w:p>
    <w:p w14:paraId="566EA9D8" w14:textId="16193A22" w:rsidR="00CE5D27" w:rsidRPr="00CE7F43" w:rsidRDefault="00DF7425" w:rsidP="00675021">
      <w:pPr>
        <w:spacing w:line="240" w:lineRule="exact"/>
        <w:ind w:right="-2"/>
        <w:rPr>
          <w:noProof/>
          <w:szCs w:val="22"/>
          <w:lang w:val="hu-HU"/>
        </w:rPr>
      </w:pPr>
      <w:r w:rsidRPr="00CE7F43">
        <w:rPr>
          <w:noProof/>
          <w:szCs w:val="22"/>
          <w:lang w:val="hu-HU"/>
        </w:rPr>
        <w:t xml:space="preserve">A készítmény hatóanyaga </w:t>
      </w:r>
      <w:r w:rsidRPr="00CE7F43">
        <w:rPr>
          <w:szCs w:val="22"/>
          <w:lang w:val="hu-HU"/>
        </w:rPr>
        <w:t xml:space="preserve">a tranexámsav. </w:t>
      </w:r>
    </w:p>
    <w:p w14:paraId="3B51113A" w14:textId="1D88003C" w:rsidR="00DF7425" w:rsidRPr="00CE7F43" w:rsidRDefault="00DF7425" w:rsidP="00C539FD">
      <w:pPr>
        <w:spacing w:line="240" w:lineRule="exact"/>
        <w:ind w:right="-2"/>
        <w:rPr>
          <w:noProof/>
          <w:lang w:val="hu-HU"/>
        </w:rPr>
      </w:pPr>
      <w:r w:rsidRPr="00CE7F43">
        <w:rPr>
          <w:noProof/>
          <w:lang w:val="hu-HU"/>
        </w:rPr>
        <w:t>5</w:t>
      </w:r>
      <w:r w:rsidR="009A347E">
        <w:rPr>
          <w:noProof/>
          <w:lang w:val="hu-HU"/>
        </w:rPr>
        <w:t> </w:t>
      </w:r>
      <w:r w:rsidRPr="00CE7F43">
        <w:rPr>
          <w:noProof/>
          <w:lang w:val="hu-HU"/>
        </w:rPr>
        <w:t>ml</w:t>
      </w:r>
      <w:r w:rsidR="00582EB9">
        <w:rPr>
          <w:noProof/>
          <w:lang w:val="hu-HU"/>
        </w:rPr>
        <w:t xml:space="preserve"> </w:t>
      </w:r>
      <w:r w:rsidR="00CE5D27">
        <w:rPr>
          <w:noProof/>
          <w:lang w:val="hu-HU"/>
        </w:rPr>
        <w:t xml:space="preserve">oldat </w:t>
      </w:r>
      <w:r w:rsidRPr="00CE7F43">
        <w:rPr>
          <w:noProof/>
          <w:lang w:val="hu-HU"/>
        </w:rPr>
        <w:t>500</w:t>
      </w:r>
      <w:r w:rsidR="009A347E">
        <w:rPr>
          <w:noProof/>
          <w:lang w:val="hu-HU"/>
        </w:rPr>
        <w:t> </w:t>
      </w:r>
      <w:r w:rsidRPr="00CE7F43">
        <w:rPr>
          <w:noProof/>
          <w:lang w:val="hu-HU"/>
        </w:rPr>
        <w:t xml:space="preserve">mg tranexámsavot tartalmaz. </w:t>
      </w:r>
    </w:p>
    <w:p w14:paraId="300E9F56" w14:textId="4B99F54A" w:rsidR="00DF7425" w:rsidRPr="00CE7F43" w:rsidRDefault="00DF7425" w:rsidP="00DF7425">
      <w:pPr>
        <w:pStyle w:val="EMEAEnBodyText"/>
        <w:autoSpaceDE w:val="0"/>
        <w:autoSpaceDN w:val="0"/>
        <w:adjustRightInd w:val="0"/>
        <w:spacing w:before="0" w:after="0"/>
        <w:rPr>
          <w:noProof/>
          <w:szCs w:val="22"/>
          <w:lang w:val="hu-HU"/>
        </w:rPr>
      </w:pPr>
      <w:r w:rsidRPr="00CE7F43">
        <w:rPr>
          <w:bCs/>
          <w:noProof/>
          <w:szCs w:val="22"/>
          <w:lang w:val="hu-HU"/>
        </w:rPr>
        <w:t>10</w:t>
      </w:r>
      <w:r w:rsidR="009A347E">
        <w:rPr>
          <w:bCs/>
          <w:noProof/>
          <w:szCs w:val="22"/>
          <w:lang w:val="hu-HU"/>
        </w:rPr>
        <w:t> </w:t>
      </w:r>
      <w:r w:rsidRPr="00CE7F43">
        <w:rPr>
          <w:bCs/>
          <w:noProof/>
          <w:szCs w:val="22"/>
          <w:lang w:val="hu-HU"/>
        </w:rPr>
        <w:t xml:space="preserve">ml </w:t>
      </w:r>
      <w:r w:rsidR="00CE5D27">
        <w:rPr>
          <w:bCs/>
          <w:noProof/>
          <w:szCs w:val="22"/>
          <w:lang w:val="hu-HU"/>
        </w:rPr>
        <w:t>oldat</w:t>
      </w:r>
      <w:r w:rsidRPr="00CE7F43">
        <w:rPr>
          <w:bCs/>
          <w:noProof/>
          <w:szCs w:val="22"/>
          <w:lang w:val="hu-HU"/>
        </w:rPr>
        <w:t xml:space="preserve"> 1000</w:t>
      </w:r>
      <w:r w:rsidR="009A347E">
        <w:rPr>
          <w:bCs/>
          <w:noProof/>
          <w:szCs w:val="22"/>
          <w:lang w:val="hu-HU"/>
        </w:rPr>
        <w:t> </w:t>
      </w:r>
      <w:r w:rsidRPr="00CE7F43">
        <w:rPr>
          <w:bCs/>
          <w:noProof/>
          <w:szCs w:val="22"/>
          <w:lang w:val="hu-HU"/>
        </w:rPr>
        <w:t>mg tranexámsavot tartalmaz.</w:t>
      </w:r>
    </w:p>
    <w:p w14:paraId="3C0361BC" w14:textId="77777777" w:rsidR="00DF7425" w:rsidRPr="00CE7F43" w:rsidRDefault="00DF7425" w:rsidP="00675021">
      <w:pPr>
        <w:spacing w:line="240" w:lineRule="exact"/>
        <w:ind w:right="-2"/>
        <w:rPr>
          <w:noProof/>
          <w:szCs w:val="22"/>
          <w:lang w:val="hu-HU"/>
        </w:rPr>
      </w:pPr>
    </w:p>
    <w:p w14:paraId="68C94BAD" w14:textId="77777777" w:rsidR="00DF7425" w:rsidRPr="00CE7F43" w:rsidRDefault="00DF7425" w:rsidP="00675021">
      <w:pPr>
        <w:spacing w:line="240" w:lineRule="exact"/>
        <w:ind w:right="-2"/>
        <w:rPr>
          <w:bCs/>
          <w:szCs w:val="22"/>
          <w:lang w:val="hu-HU"/>
        </w:rPr>
      </w:pPr>
      <w:r w:rsidRPr="00CE7F43">
        <w:rPr>
          <w:noProof/>
          <w:szCs w:val="22"/>
          <w:lang w:val="hu-HU"/>
        </w:rPr>
        <w:t xml:space="preserve">Egyéb összetevők: </w:t>
      </w:r>
      <w:r w:rsidRPr="00CE7F43">
        <w:rPr>
          <w:szCs w:val="22"/>
          <w:lang w:val="hu-HU"/>
        </w:rPr>
        <w:t>injekcióhoz való víz</w:t>
      </w:r>
      <w:r w:rsidRPr="00CE7F43">
        <w:rPr>
          <w:spacing w:val="-4"/>
          <w:szCs w:val="22"/>
          <w:lang w:val="hu-HU"/>
        </w:rPr>
        <w:t>.</w:t>
      </w:r>
    </w:p>
    <w:p w14:paraId="0D6918A6" w14:textId="77777777" w:rsidR="00DF7425" w:rsidRPr="00CE7F43" w:rsidRDefault="00DF7425" w:rsidP="00497F75">
      <w:pPr>
        <w:keepNext/>
        <w:tabs>
          <w:tab w:val="clear" w:pos="567"/>
        </w:tabs>
        <w:spacing w:line="240" w:lineRule="auto"/>
        <w:ind w:right="-2"/>
        <w:rPr>
          <w:rFonts w:eastAsia="Times New Roman"/>
          <w:noProof/>
          <w:snapToGrid/>
          <w:szCs w:val="22"/>
          <w:lang w:val="hu-HU" w:eastAsia="en-US"/>
        </w:rPr>
      </w:pPr>
    </w:p>
    <w:p w14:paraId="10639A67" w14:textId="2F937749" w:rsidR="00F45C51" w:rsidRPr="00CE7F43" w:rsidRDefault="00907DC6" w:rsidP="00B311B8">
      <w:pPr>
        <w:spacing w:line="240" w:lineRule="auto"/>
        <w:rPr>
          <w:lang w:val="hu-HU"/>
        </w:rPr>
      </w:pPr>
      <w:r w:rsidRPr="00CE7F43">
        <w:rPr>
          <w:b/>
          <w:lang w:val="hu-HU"/>
        </w:rPr>
        <w:t xml:space="preserve">Milyen az </w:t>
      </w:r>
      <w:r w:rsidR="004C3415" w:rsidRPr="00CE7F43">
        <w:rPr>
          <w:b/>
          <w:lang w:val="hu-HU"/>
        </w:rPr>
        <w:t xml:space="preserve">Tranexámsav Baxter  </w:t>
      </w:r>
      <w:r w:rsidRPr="00CE7F43">
        <w:rPr>
          <w:b/>
          <w:lang w:val="hu-HU"/>
        </w:rPr>
        <w:t>külleme és mit tartalmaz a csomagolás</w:t>
      </w:r>
      <w:r w:rsidR="00905D16" w:rsidRPr="00CE7F43">
        <w:rPr>
          <w:b/>
          <w:lang w:val="hu-HU"/>
        </w:rPr>
        <w:t>?</w:t>
      </w:r>
    </w:p>
    <w:p w14:paraId="784092C7" w14:textId="77777777" w:rsidR="009A347E" w:rsidRDefault="009A347E" w:rsidP="00DF7425">
      <w:pPr>
        <w:spacing w:line="240" w:lineRule="exact"/>
        <w:rPr>
          <w:iCs/>
          <w:szCs w:val="22"/>
          <w:lang w:val="hu-HU"/>
        </w:rPr>
      </w:pPr>
    </w:p>
    <w:p w14:paraId="58271B56" w14:textId="08398189" w:rsidR="00DF7425" w:rsidRPr="00CE7F43" w:rsidRDefault="00DF7425" w:rsidP="00DF7425">
      <w:pPr>
        <w:spacing w:line="240" w:lineRule="exact"/>
        <w:rPr>
          <w:szCs w:val="22"/>
          <w:lang w:val="hu-HU"/>
        </w:rPr>
      </w:pPr>
      <w:r w:rsidRPr="00DD328F">
        <w:rPr>
          <w:iCs/>
          <w:szCs w:val="22"/>
          <w:lang w:val="hu-HU"/>
        </w:rPr>
        <w:t>Oldatos injekció</w:t>
      </w:r>
      <w:r w:rsidR="00FD3099">
        <w:rPr>
          <w:iCs/>
          <w:szCs w:val="22"/>
          <w:lang w:val="hu-HU"/>
        </w:rPr>
        <w:t>/infuzió</w:t>
      </w:r>
      <w:r w:rsidRPr="00CE7F43">
        <w:rPr>
          <w:i/>
          <w:szCs w:val="22"/>
          <w:lang w:val="hu-HU"/>
        </w:rPr>
        <w:t xml:space="preserve">: </w:t>
      </w:r>
      <w:r w:rsidRPr="00CE7F43">
        <w:rPr>
          <w:szCs w:val="22"/>
          <w:lang w:val="hu-HU"/>
        </w:rPr>
        <w:t>tiszta, színtelen, steril oldat.</w:t>
      </w:r>
    </w:p>
    <w:p w14:paraId="7AC008D8" w14:textId="5AE88188" w:rsidR="00CE5D27" w:rsidRPr="009A347E" w:rsidRDefault="00CE5D27" w:rsidP="00CE5D27">
      <w:pPr>
        <w:contextualSpacing/>
        <w:jc w:val="both"/>
        <w:rPr>
          <w:szCs w:val="24"/>
          <w:lang w:val="hu-HU"/>
        </w:rPr>
      </w:pPr>
      <w:r w:rsidRPr="009A347E">
        <w:rPr>
          <w:spacing w:val="-3"/>
          <w:szCs w:val="24"/>
          <w:lang w:val="hu-HU"/>
        </w:rPr>
        <w:t>5</w:t>
      </w:r>
      <w:r w:rsidR="009A347E">
        <w:rPr>
          <w:spacing w:val="-3"/>
          <w:szCs w:val="24"/>
          <w:lang w:val="hu-HU"/>
        </w:rPr>
        <w:t> </w:t>
      </w:r>
      <w:r w:rsidRPr="009A347E">
        <w:rPr>
          <w:spacing w:val="-3"/>
          <w:szCs w:val="24"/>
          <w:lang w:val="hu-HU"/>
        </w:rPr>
        <w:t>ml olda</w:t>
      </w:r>
      <w:r w:rsidR="00F204E3">
        <w:rPr>
          <w:spacing w:val="-3"/>
          <w:szCs w:val="24"/>
          <w:lang w:val="hu-HU"/>
        </w:rPr>
        <w:t>t</w:t>
      </w:r>
      <w:r w:rsidRPr="009A347E">
        <w:rPr>
          <w:spacing w:val="-3"/>
          <w:szCs w:val="24"/>
          <w:lang w:val="hu-HU"/>
        </w:rPr>
        <w:t>: 6</w:t>
      </w:r>
      <w:r w:rsidR="009A347E">
        <w:rPr>
          <w:spacing w:val="-3"/>
          <w:szCs w:val="24"/>
          <w:lang w:val="hu-HU"/>
        </w:rPr>
        <w:t> </w:t>
      </w:r>
      <w:r w:rsidRPr="009A347E">
        <w:rPr>
          <w:spacing w:val="-3"/>
          <w:szCs w:val="24"/>
          <w:lang w:val="hu-HU"/>
        </w:rPr>
        <w:t xml:space="preserve">ml-es </w:t>
      </w:r>
      <w:r w:rsidRPr="009A347E">
        <w:rPr>
          <w:szCs w:val="24"/>
          <w:lang w:val="hu-HU"/>
        </w:rPr>
        <w:t>I-es típusú injekciós üvegben, buborékcsomagolásban.</w:t>
      </w:r>
    </w:p>
    <w:p w14:paraId="33A2CC33" w14:textId="1FC04CA2" w:rsidR="00CE5D27" w:rsidRDefault="00CE5D27" w:rsidP="00497704">
      <w:pPr>
        <w:autoSpaceDE w:val="0"/>
        <w:autoSpaceDN w:val="0"/>
        <w:adjustRightInd w:val="0"/>
        <w:rPr>
          <w:szCs w:val="22"/>
          <w:lang w:val="hu-HU"/>
        </w:rPr>
      </w:pPr>
      <w:r w:rsidRPr="009A347E">
        <w:rPr>
          <w:spacing w:val="-3"/>
          <w:szCs w:val="24"/>
          <w:lang w:val="hu-HU"/>
        </w:rPr>
        <w:t>10</w:t>
      </w:r>
      <w:r w:rsidR="009A347E">
        <w:rPr>
          <w:spacing w:val="-3"/>
          <w:szCs w:val="24"/>
          <w:lang w:val="hu-HU"/>
        </w:rPr>
        <w:t> </w:t>
      </w:r>
      <w:r w:rsidRPr="009A347E">
        <w:rPr>
          <w:spacing w:val="-3"/>
          <w:szCs w:val="24"/>
          <w:lang w:val="hu-HU"/>
        </w:rPr>
        <w:t xml:space="preserve">ml </w:t>
      </w:r>
      <w:r w:rsidR="00F204E3">
        <w:rPr>
          <w:spacing w:val="-3"/>
          <w:szCs w:val="24"/>
          <w:lang w:val="hu-HU"/>
        </w:rPr>
        <w:t>oldat</w:t>
      </w:r>
      <w:r w:rsidR="00CD5E42">
        <w:rPr>
          <w:spacing w:val="-3"/>
          <w:szCs w:val="24"/>
          <w:lang w:val="hu-HU"/>
        </w:rPr>
        <w:t>:</w:t>
      </w:r>
      <w:r w:rsidRPr="009A347E">
        <w:rPr>
          <w:spacing w:val="-3"/>
          <w:szCs w:val="24"/>
          <w:lang w:val="hu-HU"/>
        </w:rPr>
        <w:t xml:space="preserve"> 10</w:t>
      </w:r>
      <w:r w:rsidR="009A347E">
        <w:rPr>
          <w:spacing w:val="-3"/>
          <w:szCs w:val="24"/>
          <w:lang w:val="hu-HU"/>
        </w:rPr>
        <w:t> </w:t>
      </w:r>
      <w:r w:rsidRPr="009A347E">
        <w:rPr>
          <w:spacing w:val="-3"/>
          <w:szCs w:val="24"/>
          <w:lang w:val="hu-HU"/>
        </w:rPr>
        <w:t xml:space="preserve">ml-es </w:t>
      </w:r>
      <w:r w:rsidRPr="009A347E">
        <w:rPr>
          <w:szCs w:val="24"/>
          <w:lang w:val="hu-HU"/>
        </w:rPr>
        <w:t>I-es típusú injekciós üvegben, buborékcsomagolásban</w:t>
      </w:r>
      <w:r w:rsidRPr="00CE7F43" w:rsidDel="00CE5D27">
        <w:rPr>
          <w:szCs w:val="22"/>
          <w:lang w:val="hu-HU"/>
        </w:rPr>
        <w:t xml:space="preserve"> </w:t>
      </w:r>
    </w:p>
    <w:p w14:paraId="68170334" w14:textId="77777777" w:rsidR="00CE5D27" w:rsidRDefault="00CE5D27" w:rsidP="00497704">
      <w:pPr>
        <w:autoSpaceDE w:val="0"/>
        <w:autoSpaceDN w:val="0"/>
        <w:adjustRightInd w:val="0"/>
        <w:rPr>
          <w:szCs w:val="22"/>
          <w:lang w:val="hu-HU"/>
        </w:rPr>
      </w:pPr>
    </w:p>
    <w:p w14:paraId="12CFBA44" w14:textId="77777777" w:rsidR="00497704" w:rsidRPr="00CE7F43" w:rsidRDefault="00497704" w:rsidP="00497704">
      <w:pPr>
        <w:autoSpaceDE w:val="0"/>
        <w:autoSpaceDN w:val="0"/>
        <w:adjustRightInd w:val="0"/>
        <w:rPr>
          <w:szCs w:val="22"/>
          <w:lang w:val="hu-HU"/>
        </w:rPr>
      </w:pPr>
      <w:r w:rsidRPr="00CE7F43">
        <w:rPr>
          <w:szCs w:val="22"/>
          <w:lang w:val="hu-HU"/>
        </w:rPr>
        <w:t>Kiszerelés:</w:t>
      </w:r>
    </w:p>
    <w:p w14:paraId="469E2F48" w14:textId="1378BF38" w:rsidR="00CE5D27" w:rsidRDefault="00CE5D27" w:rsidP="00CE5D27">
      <w:pPr>
        <w:autoSpaceDE w:val="0"/>
        <w:autoSpaceDN w:val="0"/>
        <w:adjustRightInd w:val="0"/>
        <w:rPr>
          <w:lang w:val="hu-HU"/>
        </w:rPr>
      </w:pPr>
      <w:r w:rsidRPr="009A347E">
        <w:rPr>
          <w:szCs w:val="22"/>
          <w:lang w:val="hu-HU"/>
        </w:rPr>
        <w:t>Tranexámsav</w:t>
      </w:r>
      <w:r w:rsidRPr="009A347E">
        <w:rPr>
          <w:spacing w:val="-3"/>
          <w:szCs w:val="24"/>
          <w:lang w:val="hu-HU"/>
        </w:rPr>
        <w:t xml:space="preserve"> 5</w:t>
      </w:r>
      <w:r w:rsidR="009A347E">
        <w:rPr>
          <w:spacing w:val="-3"/>
          <w:szCs w:val="24"/>
          <w:lang w:val="hu-HU"/>
        </w:rPr>
        <w:t> </w:t>
      </w:r>
      <w:r w:rsidRPr="009A347E">
        <w:rPr>
          <w:spacing w:val="-3"/>
          <w:szCs w:val="24"/>
          <w:lang w:val="hu-HU"/>
        </w:rPr>
        <w:t>ml oldatot és 10 ml oldatot tartalmazó</w:t>
      </w:r>
      <w:r w:rsidDel="008714CE">
        <w:rPr>
          <w:lang w:val="hu-HU"/>
        </w:rPr>
        <w:t xml:space="preserve"> </w:t>
      </w:r>
      <w:r>
        <w:rPr>
          <w:lang w:val="hu-HU"/>
        </w:rPr>
        <w:t>ampullák műanyag tálcában és dobozban.</w:t>
      </w:r>
    </w:p>
    <w:p w14:paraId="3D88B9FE" w14:textId="77777777" w:rsidR="00CE5D27" w:rsidRDefault="00CE5D27" w:rsidP="00CE5D27">
      <w:pPr>
        <w:spacing w:line="240" w:lineRule="auto"/>
        <w:rPr>
          <w:lang w:val="hu-HU"/>
        </w:rPr>
      </w:pPr>
      <w:r>
        <w:rPr>
          <w:lang w:val="hu-HU"/>
        </w:rPr>
        <w:t>Nem feltétlenül mindegyik kiszerelés kerül kereskedelmi forgalomba.</w:t>
      </w:r>
    </w:p>
    <w:p w14:paraId="41542123" w14:textId="77777777" w:rsidR="00CE5D27" w:rsidRPr="009A347E" w:rsidRDefault="00CE5D27" w:rsidP="00CE5D27">
      <w:pPr>
        <w:spacing w:line="240" w:lineRule="auto"/>
        <w:rPr>
          <w:rFonts w:eastAsia="Times New Roman"/>
          <w:noProof/>
          <w:snapToGrid/>
          <w:szCs w:val="22"/>
          <w:lang w:val="hu-HU" w:eastAsia="en-US"/>
        </w:rPr>
      </w:pPr>
    </w:p>
    <w:p w14:paraId="538809B7" w14:textId="77777777" w:rsidR="00CE5D27" w:rsidRDefault="00CE5D27" w:rsidP="00CE5D27">
      <w:pPr>
        <w:spacing w:line="240" w:lineRule="auto"/>
        <w:rPr>
          <w:lang w:val="hu-HU"/>
        </w:rPr>
      </w:pPr>
      <w:r>
        <w:rPr>
          <w:lang w:val="hu-HU"/>
        </w:rPr>
        <w:t>5×5 ml vagy 10×5 ml</w:t>
      </w:r>
    </w:p>
    <w:p w14:paraId="2F13F4A5" w14:textId="0F3CC5D5" w:rsidR="00CE5D27" w:rsidRPr="00122720" w:rsidRDefault="00CE5D27" w:rsidP="00CE5D27">
      <w:pPr>
        <w:spacing w:line="240" w:lineRule="auto"/>
        <w:rPr>
          <w:lang w:val="hu-HU"/>
        </w:rPr>
      </w:pPr>
      <w:r>
        <w:rPr>
          <w:lang w:val="hu-HU"/>
        </w:rPr>
        <w:t>5×10 ml vagy 10×10 ml</w:t>
      </w:r>
    </w:p>
    <w:p w14:paraId="760037D0" w14:textId="79F522C4" w:rsidR="003728DD" w:rsidRPr="00CE7F43" w:rsidRDefault="003728DD" w:rsidP="00082A8E">
      <w:pPr>
        <w:spacing w:line="240" w:lineRule="auto"/>
        <w:rPr>
          <w:lang w:val="hu-HU"/>
        </w:rPr>
      </w:pPr>
    </w:p>
    <w:p w14:paraId="5C47AE06" w14:textId="1C1CAE4B" w:rsidR="00F45C51" w:rsidRDefault="00907DC6" w:rsidP="00B311B8">
      <w:pPr>
        <w:spacing w:line="240" w:lineRule="auto"/>
        <w:rPr>
          <w:b/>
          <w:lang w:val="hu-HU"/>
        </w:rPr>
      </w:pPr>
      <w:r w:rsidRPr="00CE7F43">
        <w:rPr>
          <w:b/>
          <w:lang w:val="hu-HU"/>
        </w:rPr>
        <w:t>A forgalomba hozatali engedély jogosultja és a gyártó</w:t>
      </w:r>
    </w:p>
    <w:p w14:paraId="13572826" w14:textId="77777777" w:rsidR="006103B9" w:rsidRPr="00CE7F43" w:rsidRDefault="006103B9" w:rsidP="00B311B8">
      <w:pPr>
        <w:spacing w:line="240" w:lineRule="auto"/>
        <w:rPr>
          <w:b/>
          <w:lang w:val="hu-HU"/>
        </w:rPr>
      </w:pPr>
    </w:p>
    <w:p w14:paraId="44EC006F" w14:textId="77777777" w:rsidR="00497704" w:rsidRPr="00CE7F43" w:rsidRDefault="00497704" w:rsidP="00497704">
      <w:pPr>
        <w:spacing w:line="240" w:lineRule="exact"/>
        <w:rPr>
          <w:szCs w:val="22"/>
          <w:u w:val="single"/>
          <w:lang w:val="hu-HU"/>
        </w:rPr>
      </w:pPr>
      <w:r w:rsidRPr="00CE7F43">
        <w:rPr>
          <w:szCs w:val="22"/>
          <w:u w:val="single"/>
          <w:lang w:val="hu-HU"/>
        </w:rPr>
        <w:t xml:space="preserve">Forgalombahozatali engedély jogosultja: </w:t>
      </w:r>
    </w:p>
    <w:p w14:paraId="2CD988FA" w14:textId="77777777" w:rsidR="00497704" w:rsidRPr="00CE7F43" w:rsidRDefault="00497704" w:rsidP="00497704">
      <w:pPr>
        <w:spacing w:line="240" w:lineRule="auto"/>
        <w:ind w:left="567" w:hanging="567"/>
        <w:outlineLvl w:val="0"/>
        <w:rPr>
          <w:lang w:val="hu-HU"/>
        </w:rPr>
      </w:pPr>
      <w:r w:rsidRPr="00CE7F43">
        <w:rPr>
          <w:lang w:val="hu-HU"/>
        </w:rPr>
        <w:t>Baxter Holding B.V.</w:t>
      </w:r>
    </w:p>
    <w:p w14:paraId="3068B2D1" w14:textId="77777777" w:rsidR="00497704" w:rsidRPr="00CE7F43" w:rsidRDefault="00497704" w:rsidP="00497704">
      <w:pPr>
        <w:spacing w:line="240" w:lineRule="auto"/>
        <w:ind w:left="567" w:hanging="567"/>
        <w:outlineLvl w:val="0"/>
        <w:rPr>
          <w:lang w:val="hu-HU"/>
        </w:rPr>
      </w:pPr>
      <w:r w:rsidRPr="00CE7F43">
        <w:rPr>
          <w:lang w:val="hu-HU"/>
        </w:rPr>
        <w:t>Kobaltweg 49,</w:t>
      </w:r>
    </w:p>
    <w:p w14:paraId="3BA0C728" w14:textId="77777777" w:rsidR="00497704" w:rsidRPr="00CE7F43" w:rsidRDefault="00497704" w:rsidP="00497704">
      <w:pPr>
        <w:spacing w:line="240" w:lineRule="auto"/>
        <w:ind w:left="567" w:hanging="567"/>
        <w:outlineLvl w:val="0"/>
        <w:rPr>
          <w:lang w:val="hu-HU"/>
        </w:rPr>
      </w:pPr>
      <w:r w:rsidRPr="00CE7F43">
        <w:rPr>
          <w:lang w:val="hu-HU"/>
        </w:rPr>
        <w:t>3542CE Utrecht, Hollandia</w:t>
      </w:r>
    </w:p>
    <w:p w14:paraId="22050B18" w14:textId="77777777" w:rsidR="003728DD" w:rsidRPr="00CE7F43" w:rsidRDefault="003728DD" w:rsidP="00082A8E">
      <w:pPr>
        <w:pStyle w:val="Vgjegyzetszvege"/>
        <w:spacing w:line="240" w:lineRule="auto"/>
      </w:pPr>
    </w:p>
    <w:p w14:paraId="36876F16" w14:textId="77777777" w:rsidR="00497704" w:rsidRPr="00CE7F43" w:rsidRDefault="00497704" w:rsidP="00497704">
      <w:pPr>
        <w:spacing w:line="240" w:lineRule="exact"/>
        <w:rPr>
          <w:szCs w:val="22"/>
          <w:lang w:val="hu-HU"/>
        </w:rPr>
      </w:pPr>
      <w:r w:rsidRPr="00CE7F43">
        <w:rPr>
          <w:szCs w:val="22"/>
          <w:u w:val="single"/>
          <w:lang w:val="hu-HU"/>
        </w:rPr>
        <w:t>Gyártó:</w:t>
      </w:r>
      <w:r w:rsidRPr="00CE7F43">
        <w:rPr>
          <w:szCs w:val="22"/>
          <w:lang w:val="hu-HU"/>
        </w:rPr>
        <w:t xml:space="preserve"> </w:t>
      </w:r>
    </w:p>
    <w:p w14:paraId="792B5A59" w14:textId="13DC2175" w:rsidR="00497704" w:rsidRPr="00CE7F43" w:rsidRDefault="00497704" w:rsidP="00497704">
      <w:pPr>
        <w:rPr>
          <w:lang w:val="hu-HU"/>
        </w:rPr>
      </w:pPr>
      <w:r w:rsidRPr="00CE7F43">
        <w:rPr>
          <w:lang w:val="hu-HU"/>
        </w:rPr>
        <w:t>UAB Norameda</w:t>
      </w:r>
    </w:p>
    <w:p w14:paraId="0F35F402" w14:textId="77777777" w:rsidR="00497704" w:rsidRPr="00CE7F43" w:rsidRDefault="00497704" w:rsidP="00497704">
      <w:pPr>
        <w:rPr>
          <w:lang w:val="hu-HU"/>
        </w:rPr>
      </w:pPr>
      <w:r w:rsidRPr="00CE7F43">
        <w:rPr>
          <w:lang w:val="hu-HU"/>
        </w:rPr>
        <w:t xml:space="preserve">Meistru G. 8a, Vilniaus m, Vilniaus m.sav., LT-02189, </w:t>
      </w:r>
      <w:r w:rsidR="001D2979" w:rsidRPr="00CE7F43">
        <w:rPr>
          <w:lang w:val="hu-HU"/>
        </w:rPr>
        <w:t>Litvánia</w:t>
      </w:r>
      <w:r w:rsidRPr="00CE7F43">
        <w:rPr>
          <w:lang w:val="hu-HU"/>
        </w:rPr>
        <w:t>.</w:t>
      </w:r>
    </w:p>
    <w:p w14:paraId="23DEA4F4" w14:textId="77777777" w:rsidR="00497704" w:rsidRPr="00CE7F43" w:rsidRDefault="00497704" w:rsidP="00497704">
      <w:pPr>
        <w:rPr>
          <w:lang w:val="hu-HU"/>
        </w:rPr>
      </w:pPr>
    </w:p>
    <w:p w14:paraId="2F6AEF45" w14:textId="77777777" w:rsidR="00497704" w:rsidRPr="00CE7F43" w:rsidRDefault="00497704" w:rsidP="00497704">
      <w:pPr>
        <w:rPr>
          <w:lang w:val="hu-HU"/>
        </w:rPr>
      </w:pPr>
      <w:r w:rsidRPr="00CE7F43">
        <w:rPr>
          <w:lang w:val="hu-HU"/>
        </w:rPr>
        <w:t>Bieffe Medital S.p.A.,</w:t>
      </w:r>
    </w:p>
    <w:p w14:paraId="346A009C" w14:textId="77777777" w:rsidR="00497704" w:rsidRPr="00CE7F43" w:rsidRDefault="00497704" w:rsidP="00497704">
      <w:pPr>
        <w:rPr>
          <w:lang w:val="hu-HU"/>
        </w:rPr>
      </w:pPr>
      <w:r w:rsidRPr="00CE7F43">
        <w:rPr>
          <w:lang w:val="hu-HU"/>
        </w:rPr>
        <w:t xml:space="preserve">Via Nuova Provinciale, 23034 Grossotto (SO) </w:t>
      </w:r>
      <w:r w:rsidR="001D2979" w:rsidRPr="00CE7F43">
        <w:rPr>
          <w:lang w:val="hu-HU"/>
        </w:rPr>
        <w:t>Olaszország</w:t>
      </w:r>
      <w:r w:rsidRPr="00CE7F43">
        <w:rPr>
          <w:lang w:val="hu-HU"/>
        </w:rPr>
        <w:t>.</w:t>
      </w:r>
    </w:p>
    <w:p w14:paraId="61A632A4" w14:textId="77777777" w:rsidR="00497704" w:rsidRPr="00CE7F43" w:rsidRDefault="00497704" w:rsidP="00497704">
      <w:pPr>
        <w:rPr>
          <w:lang w:val="hu-HU"/>
        </w:rPr>
      </w:pPr>
    </w:p>
    <w:p w14:paraId="3FF1B2D7" w14:textId="77777777" w:rsidR="00497704" w:rsidRPr="00CE7F43" w:rsidRDefault="00497704" w:rsidP="00497704">
      <w:pPr>
        <w:rPr>
          <w:lang w:val="hu-HU"/>
        </w:rPr>
      </w:pPr>
      <w:r w:rsidRPr="00CE7F43">
        <w:rPr>
          <w:lang w:val="hu-HU"/>
        </w:rPr>
        <w:lastRenderedPageBreak/>
        <w:t>Tramco</w:t>
      </w:r>
    </w:p>
    <w:p w14:paraId="3666C636" w14:textId="77777777" w:rsidR="00497704" w:rsidRPr="00CE7F43" w:rsidRDefault="00497704" w:rsidP="00497704">
      <w:pPr>
        <w:rPr>
          <w:lang w:val="hu-HU"/>
        </w:rPr>
      </w:pPr>
      <w:r w:rsidRPr="00CE7F43">
        <w:rPr>
          <w:lang w:val="hu-HU"/>
        </w:rPr>
        <w:t xml:space="preserve">Tramco Sp. Z.o.o, Wolskie, ul. Wolska 14, 05-860 Plochocin, </w:t>
      </w:r>
      <w:r w:rsidR="001D2979" w:rsidRPr="00CE7F43">
        <w:rPr>
          <w:lang w:val="hu-HU"/>
        </w:rPr>
        <w:t>Lengyelország</w:t>
      </w:r>
      <w:r w:rsidRPr="00CE7F43">
        <w:rPr>
          <w:lang w:val="hu-HU"/>
        </w:rPr>
        <w:t>.</w:t>
      </w:r>
    </w:p>
    <w:p w14:paraId="1FCED2DF" w14:textId="19C50122" w:rsidR="00497704" w:rsidRDefault="00497704" w:rsidP="00497704">
      <w:pPr>
        <w:rPr>
          <w:lang w:val="hu-HU"/>
        </w:rPr>
      </w:pPr>
    </w:p>
    <w:p w14:paraId="35C9266E" w14:textId="77777777" w:rsidR="006103B9" w:rsidRPr="00CE7F43" w:rsidRDefault="006103B9" w:rsidP="00497704">
      <w:pPr>
        <w:rPr>
          <w:lang w:val="hu-HU"/>
        </w:rPr>
      </w:pPr>
    </w:p>
    <w:p w14:paraId="5C7C72E7" w14:textId="77777777" w:rsidR="00F3760A" w:rsidRPr="00CE7F43" w:rsidRDefault="00907DC6" w:rsidP="00082A8E">
      <w:pPr>
        <w:spacing w:line="240" w:lineRule="auto"/>
        <w:ind w:right="-2"/>
        <w:rPr>
          <w:b/>
          <w:lang w:val="hu-HU"/>
        </w:rPr>
      </w:pPr>
      <w:r w:rsidRPr="00CE7F43">
        <w:rPr>
          <w:b/>
          <w:lang w:val="hu-HU"/>
        </w:rPr>
        <w:t>Ezt a gyógyszert az Európai Gazdasági Térség tagállamaiban az alábbi neveken engedélyezték:</w:t>
      </w:r>
    </w:p>
    <w:p w14:paraId="2D50E31B" w14:textId="77777777" w:rsidR="003728DD" w:rsidRPr="00CE7F43" w:rsidRDefault="003728DD" w:rsidP="00082A8E">
      <w:pPr>
        <w:spacing w:line="240" w:lineRule="auto"/>
        <w:rPr>
          <w:noProof/>
          <w:lang w:val="hu-HU"/>
        </w:rPr>
      </w:pPr>
    </w:p>
    <w:p w14:paraId="13255ED3" w14:textId="77777777" w:rsidR="00497704" w:rsidRPr="00CE7F43" w:rsidRDefault="00497704" w:rsidP="00497704">
      <w:pPr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>Austria</w:t>
      </w:r>
      <w:r w:rsidRPr="00CE7F43">
        <w:rPr>
          <w:noProof/>
          <w:lang w:val="hu-HU"/>
        </w:rPr>
        <w:tab/>
        <w:t xml:space="preserve">  Tranexamsäure Baxter 100 mg/ml Injektionslösung/Infusionslösung</w:t>
      </w:r>
    </w:p>
    <w:p w14:paraId="1BB37A3B" w14:textId="48DD6FF9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>Belgium</w:t>
      </w:r>
      <w:r w:rsidRPr="00CE7F43">
        <w:rPr>
          <w:noProof/>
          <w:lang w:val="hu-HU"/>
        </w:rPr>
        <w:tab/>
        <w:t>Tranexamic acid Baxter 100 mg/ml solution injectable/ pour perfusion</w:t>
      </w:r>
    </w:p>
    <w:p w14:paraId="4F64D80A" w14:textId="77777777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 xml:space="preserve">Dánia </w:t>
      </w:r>
      <w:r w:rsidRPr="00CE7F43">
        <w:rPr>
          <w:noProof/>
          <w:lang w:val="hu-HU"/>
        </w:rPr>
        <w:tab/>
        <w:t>Tranexamic acid Baxter 100 mg/ml injektions-/infusionsvæske, opløsning</w:t>
      </w:r>
    </w:p>
    <w:p w14:paraId="6AC0D0B8" w14:textId="77777777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>Észtország</w:t>
      </w:r>
      <w:r w:rsidRPr="00CE7F43">
        <w:rPr>
          <w:noProof/>
          <w:lang w:val="hu-HU"/>
        </w:rPr>
        <w:tab/>
        <w:t>Tranexamic acid Baxter</w:t>
      </w:r>
    </w:p>
    <w:p w14:paraId="021421ED" w14:textId="77777777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 xml:space="preserve">Finnország </w:t>
      </w:r>
      <w:r w:rsidRPr="00CE7F43">
        <w:rPr>
          <w:noProof/>
          <w:lang w:val="hu-HU"/>
        </w:rPr>
        <w:tab/>
        <w:t>Tranexamic acid Baxter 100 mg/ml injektio-/infuusioneste, liuos</w:t>
      </w:r>
    </w:p>
    <w:p w14:paraId="596636F8" w14:textId="77777777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>Görögország</w:t>
      </w:r>
      <w:r w:rsidRPr="00CE7F43">
        <w:rPr>
          <w:noProof/>
          <w:lang w:val="hu-HU"/>
        </w:rPr>
        <w:tab/>
      </w:r>
      <w:r w:rsidR="000768B2" w:rsidRPr="00CE7F43">
        <w:rPr>
          <w:noProof/>
          <w:lang w:val="hu-HU"/>
        </w:rPr>
        <w:t>T</w:t>
      </w:r>
      <w:r w:rsidRPr="00CE7F43">
        <w:rPr>
          <w:noProof/>
          <w:lang w:val="hu-HU"/>
        </w:rPr>
        <w:t>ranexamic acid Baxter 100 mg/διάλυμα για ένεση/έγχυση</w:t>
      </w:r>
    </w:p>
    <w:p w14:paraId="4157B8F0" w14:textId="77777777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>Németország</w:t>
      </w:r>
      <w:r w:rsidRPr="00CE7F43">
        <w:rPr>
          <w:noProof/>
          <w:lang w:val="hu-HU"/>
        </w:rPr>
        <w:tab/>
        <w:t>Tranexamsäure Baxter 100 mg/ml Injektionslösung/Infusionslösung</w:t>
      </w:r>
    </w:p>
    <w:p w14:paraId="5D5EAECB" w14:textId="77777777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>Magyarország</w:t>
      </w:r>
      <w:r w:rsidRPr="00CE7F43">
        <w:rPr>
          <w:noProof/>
          <w:lang w:val="hu-HU"/>
        </w:rPr>
        <w:tab/>
        <w:t xml:space="preserve">Tranexámsav Baxter 100 mg/m oldatos </w:t>
      </w:r>
      <w:r w:rsidR="00DD328F">
        <w:rPr>
          <w:noProof/>
          <w:lang w:val="hu-HU"/>
        </w:rPr>
        <w:t>injekció</w:t>
      </w:r>
    </w:p>
    <w:p w14:paraId="14649942" w14:textId="77777777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>Ír Köztársaság</w:t>
      </w:r>
      <w:r w:rsidRPr="00CE7F43">
        <w:rPr>
          <w:noProof/>
          <w:lang w:val="hu-HU"/>
        </w:rPr>
        <w:tab/>
        <w:t>Tranexamic acid 100 mg/ml solution for injection/infusion</w:t>
      </w:r>
    </w:p>
    <w:p w14:paraId="725847F3" w14:textId="77777777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>Olaszország</w:t>
      </w:r>
      <w:r w:rsidRPr="00CE7F43">
        <w:rPr>
          <w:noProof/>
          <w:lang w:val="hu-HU"/>
        </w:rPr>
        <w:tab/>
        <w:t>Acido Tranexamico Baxter 100 mg/ml soluzione iniettabile/infusione</w:t>
      </w:r>
    </w:p>
    <w:p w14:paraId="3FCD205A" w14:textId="77777777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>Lettország</w:t>
      </w:r>
      <w:r w:rsidRPr="00CE7F43">
        <w:rPr>
          <w:noProof/>
          <w:lang w:val="hu-HU"/>
        </w:rPr>
        <w:tab/>
        <w:t>Tranexamic acid Baxter 100 mg/ml šķīdums injekcijām/infūzijām</w:t>
      </w:r>
    </w:p>
    <w:p w14:paraId="3B5EE5E7" w14:textId="721D6F5B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>Litvánia</w:t>
      </w:r>
      <w:r w:rsidRPr="00CE7F43">
        <w:rPr>
          <w:noProof/>
          <w:lang w:val="hu-HU"/>
        </w:rPr>
        <w:tab/>
        <w:t>Tranexamic acid Baxter 100mg/ml injekcinis tirpalas</w:t>
      </w:r>
    </w:p>
    <w:p w14:paraId="42A69427" w14:textId="0D0819E3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</w:r>
      <w:r w:rsidR="000768B2" w:rsidRPr="00CE7F43">
        <w:rPr>
          <w:noProof/>
          <w:lang w:val="hu-HU"/>
        </w:rPr>
        <w:t>Hollandia</w:t>
      </w:r>
      <w:r w:rsidR="000768B2" w:rsidRPr="00CE7F43">
        <w:rPr>
          <w:noProof/>
          <w:lang w:val="hu-HU"/>
        </w:rPr>
        <w:tab/>
      </w:r>
      <w:r w:rsidRPr="00CE7F43">
        <w:rPr>
          <w:noProof/>
          <w:lang w:val="hu-HU"/>
        </w:rPr>
        <w:t>Tranexaminezuur Baxter 100 mg/ml, oplossing voor injectie/infusie</w:t>
      </w:r>
    </w:p>
    <w:p w14:paraId="0B8E6FB7" w14:textId="467792FB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</w:r>
      <w:r w:rsidR="000768B2" w:rsidRPr="00CE7F43">
        <w:rPr>
          <w:noProof/>
          <w:lang w:val="hu-HU"/>
        </w:rPr>
        <w:t>Norvégia</w:t>
      </w:r>
      <w:r w:rsidRPr="00CE7F43">
        <w:rPr>
          <w:noProof/>
          <w:lang w:val="hu-HU"/>
        </w:rPr>
        <w:tab/>
        <w:t>Tranexamic acid Baxter</w:t>
      </w:r>
    </w:p>
    <w:p w14:paraId="72608742" w14:textId="77777777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</w:r>
      <w:r w:rsidR="000768B2" w:rsidRPr="00CE7F43">
        <w:rPr>
          <w:noProof/>
          <w:lang w:val="hu-HU"/>
        </w:rPr>
        <w:t>Lengyelország</w:t>
      </w:r>
      <w:r w:rsidRPr="00CE7F43">
        <w:rPr>
          <w:noProof/>
          <w:lang w:val="hu-HU"/>
        </w:rPr>
        <w:t xml:space="preserve"> </w:t>
      </w:r>
      <w:r w:rsidRPr="00CE7F43">
        <w:rPr>
          <w:noProof/>
          <w:lang w:val="hu-HU"/>
        </w:rPr>
        <w:tab/>
        <w:t>Tranexamic acid Baxter</w:t>
      </w:r>
    </w:p>
    <w:p w14:paraId="7C31EFA0" w14:textId="77777777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</w:r>
      <w:r w:rsidR="000768B2" w:rsidRPr="00CE7F43">
        <w:rPr>
          <w:noProof/>
          <w:lang w:val="hu-HU"/>
        </w:rPr>
        <w:t>Portugália</w:t>
      </w:r>
      <w:r w:rsidRPr="00CE7F43">
        <w:rPr>
          <w:noProof/>
          <w:lang w:val="hu-HU"/>
        </w:rPr>
        <w:tab/>
        <w:t>Ácido Tranexâmico Baxter</w:t>
      </w:r>
    </w:p>
    <w:p w14:paraId="22C2C8AF" w14:textId="744E91A7" w:rsidR="00497704" w:rsidRPr="00CE7F43" w:rsidRDefault="00497704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</w:r>
      <w:r w:rsidR="000768B2" w:rsidRPr="00CE7F43">
        <w:rPr>
          <w:noProof/>
          <w:lang w:val="hu-HU"/>
        </w:rPr>
        <w:t>Szlovákia</w:t>
      </w:r>
      <w:r w:rsidR="000768B2" w:rsidRPr="00CE7F43">
        <w:rPr>
          <w:noProof/>
          <w:lang w:val="hu-HU"/>
        </w:rPr>
        <w:tab/>
      </w:r>
      <w:r w:rsidRPr="00CE7F43">
        <w:rPr>
          <w:noProof/>
          <w:lang w:val="hu-HU"/>
        </w:rPr>
        <w:t>Tranexamic acid Baxter 100 mg/ml injekčný roztok</w:t>
      </w:r>
    </w:p>
    <w:p w14:paraId="2599A948" w14:textId="77777777" w:rsidR="00497704" w:rsidRPr="00CE7F43" w:rsidRDefault="000768B2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>Spanyolország</w:t>
      </w:r>
      <w:r w:rsidR="00497704" w:rsidRPr="00CE7F43">
        <w:rPr>
          <w:noProof/>
          <w:lang w:val="hu-HU"/>
        </w:rPr>
        <w:tab/>
        <w:t>Ácido tranexámico Baxter 100 mg/ml solucion inyectable y para perfusión EFG</w:t>
      </w:r>
    </w:p>
    <w:p w14:paraId="1300027B" w14:textId="77777777" w:rsidR="00497704" w:rsidRPr="00CE7F43" w:rsidRDefault="000768B2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>Svédország</w:t>
      </w:r>
      <w:r w:rsidR="00497704" w:rsidRPr="00CE7F43">
        <w:rPr>
          <w:noProof/>
          <w:lang w:val="hu-HU"/>
        </w:rPr>
        <w:tab/>
        <w:t>Tranexamic acid Baxter 100 mg/ml solution for injektion/infusion</w:t>
      </w:r>
    </w:p>
    <w:p w14:paraId="026BDB90" w14:textId="77777777" w:rsidR="003728DD" w:rsidRPr="00CE7F43" w:rsidRDefault="000768B2" w:rsidP="007B0B00">
      <w:pPr>
        <w:tabs>
          <w:tab w:val="left" w:pos="2410"/>
        </w:tabs>
        <w:spacing w:line="240" w:lineRule="auto"/>
        <w:ind w:right="-449"/>
        <w:rPr>
          <w:noProof/>
          <w:lang w:val="hu-HU"/>
        </w:rPr>
      </w:pPr>
      <w:r w:rsidRPr="00CE7F43">
        <w:rPr>
          <w:noProof/>
          <w:lang w:val="hu-HU"/>
        </w:rPr>
        <w:tab/>
        <w:t>Egyesült Királyság</w:t>
      </w:r>
      <w:r w:rsidR="00497704" w:rsidRPr="00CE7F43">
        <w:rPr>
          <w:noProof/>
          <w:lang w:val="hu-HU"/>
        </w:rPr>
        <w:tab/>
        <w:t>Tranexamic acid 100 mg/ml solution for injection/infusion</w:t>
      </w:r>
    </w:p>
    <w:p w14:paraId="3D5FCB34" w14:textId="77777777" w:rsidR="008679C7" w:rsidRDefault="008679C7" w:rsidP="008679C7">
      <w:pPr>
        <w:rPr>
          <w:snapToGrid/>
          <w:sz w:val="24"/>
          <w:szCs w:val="24"/>
          <w:lang w:eastAsia="en-US"/>
        </w:rPr>
      </w:pPr>
    </w:p>
    <w:p w14:paraId="622A0158" w14:textId="77777777" w:rsidR="009A347E" w:rsidRPr="00767E11" w:rsidRDefault="009A347E" w:rsidP="009A347E">
      <w:pPr>
        <w:tabs>
          <w:tab w:val="left" w:pos="2127"/>
          <w:tab w:val="left" w:pos="3261"/>
        </w:tabs>
        <w:rPr>
          <w:szCs w:val="22"/>
          <w:lang w:val="hu-HU"/>
        </w:rPr>
      </w:pPr>
      <w:r w:rsidRPr="00767E11">
        <w:rPr>
          <w:szCs w:val="22"/>
          <w:lang w:val="hu-HU"/>
        </w:rPr>
        <w:t>OGYI-T-23682/01</w:t>
      </w:r>
      <w:r>
        <w:rPr>
          <w:szCs w:val="22"/>
          <w:lang w:val="hu-HU"/>
        </w:rPr>
        <w:tab/>
      </w:r>
      <w:r w:rsidRPr="00767E11">
        <w:rPr>
          <w:szCs w:val="22"/>
          <w:lang w:val="hu-HU"/>
        </w:rPr>
        <w:t>5</w:t>
      </w:r>
      <w:r>
        <w:rPr>
          <w:szCs w:val="22"/>
          <w:lang w:val="hu-HU"/>
        </w:rPr>
        <w:t>×</w:t>
      </w:r>
      <w:r w:rsidRPr="00767E11">
        <w:rPr>
          <w:szCs w:val="22"/>
          <w:lang w:val="hu-HU"/>
        </w:rPr>
        <w:t>5 ml</w:t>
      </w:r>
      <w:r>
        <w:rPr>
          <w:szCs w:val="22"/>
          <w:lang w:val="hu-HU"/>
        </w:rPr>
        <w:tab/>
      </w:r>
      <w:r w:rsidRPr="00767E11">
        <w:rPr>
          <w:spacing w:val="-3"/>
          <w:szCs w:val="22"/>
          <w:lang w:val="hu-HU"/>
        </w:rPr>
        <w:t>6</w:t>
      </w:r>
      <w:r>
        <w:rPr>
          <w:spacing w:val="-3"/>
          <w:szCs w:val="22"/>
          <w:lang w:val="hu-HU"/>
        </w:rPr>
        <w:t> </w:t>
      </w:r>
      <w:r w:rsidRPr="00767E11">
        <w:rPr>
          <w:spacing w:val="-3"/>
          <w:szCs w:val="22"/>
          <w:lang w:val="hu-HU"/>
        </w:rPr>
        <w:t xml:space="preserve">ml-es </w:t>
      </w:r>
      <w:r w:rsidRPr="00767E11">
        <w:rPr>
          <w:szCs w:val="22"/>
          <w:lang w:val="hu-HU"/>
        </w:rPr>
        <w:t>I-es típusú injekciós üvegben, buborékcsomagolásban</w:t>
      </w:r>
    </w:p>
    <w:p w14:paraId="00827799" w14:textId="77777777" w:rsidR="009A347E" w:rsidRPr="00767E11" w:rsidRDefault="009A347E" w:rsidP="009A347E">
      <w:pPr>
        <w:tabs>
          <w:tab w:val="left" w:pos="2127"/>
          <w:tab w:val="left" w:pos="3261"/>
        </w:tabs>
        <w:rPr>
          <w:szCs w:val="22"/>
          <w:lang w:val="hu-HU"/>
        </w:rPr>
      </w:pPr>
      <w:r w:rsidRPr="00767E11">
        <w:rPr>
          <w:szCs w:val="22"/>
          <w:lang w:val="hu-HU"/>
        </w:rPr>
        <w:t>OGYI-T-23682/02</w:t>
      </w:r>
      <w:r>
        <w:rPr>
          <w:szCs w:val="22"/>
          <w:lang w:val="hu-HU"/>
        </w:rPr>
        <w:tab/>
      </w:r>
      <w:r w:rsidRPr="00767E11">
        <w:rPr>
          <w:szCs w:val="22"/>
          <w:lang w:val="hu-HU"/>
        </w:rPr>
        <w:t>10</w:t>
      </w:r>
      <w:r>
        <w:rPr>
          <w:szCs w:val="22"/>
          <w:lang w:val="hu-HU"/>
        </w:rPr>
        <w:t>×</w:t>
      </w:r>
      <w:r w:rsidRPr="00767E11">
        <w:rPr>
          <w:szCs w:val="22"/>
          <w:lang w:val="hu-HU"/>
        </w:rPr>
        <w:t>5 ml</w:t>
      </w:r>
      <w:r>
        <w:rPr>
          <w:szCs w:val="22"/>
          <w:lang w:val="hu-HU"/>
        </w:rPr>
        <w:tab/>
      </w:r>
      <w:r w:rsidRPr="00767E11">
        <w:rPr>
          <w:spacing w:val="-3"/>
          <w:szCs w:val="22"/>
          <w:lang w:val="hu-HU"/>
        </w:rPr>
        <w:t>6</w:t>
      </w:r>
      <w:r>
        <w:rPr>
          <w:spacing w:val="-3"/>
          <w:szCs w:val="22"/>
          <w:lang w:val="hu-HU"/>
        </w:rPr>
        <w:t> </w:t>
      </w:r>
      <w:r w:rsidRPr="00767E11">
        <w:rPr>
          <w:spacing w:val="-3"/>
          <w:szCs w:val="22"/>
          <w:lang w:val="hu-HU"/>
        </w:rPr>
        <w:t xml:space="preserve">ml-es </w:t>
      </w:r>
      <w:r w:rsidRPr="00767E11">
        <w:rPr>
          <w:szCs w:val="22"/>
          <w:lang w:val="hu-HU"/>
        </w:rPr>
        <w:t>I-es típusú injekciós üvegben, buborékcsomagolásban</w:t>
      </w:r>
    </w:p>
    <w:p w14:paraId="2832DEE8" w14:textId="77777777" w:rsidR="009A347E" w:rsidRPr="00767E11" w:rsidRDefault="009A347E" w:rsidP="009A347E">
      <w:pPr>
        <w:tabs>
          <w:tab w:val="left" w:pos="2127"/>
          <w:tab w:val="left" w:pos="3261"/>
        </w:tabs>
        <w:rPr>
          <w:szCs w:val="22"/>
          <w:lang w:val="hu-HU"/>
        </w:rPr>
      </w:pPr>
      <w:r w:rsidRPr="00767E11">
        <w:rPr>
          <w:szCs w:val="22"/>
          <w:lang w:val="hu-HU"/>
        </w:rPr>
        <w:t>OGYI-T-23682/03</w:t>
      </w:r>
      <w:r>
        <w:rPr>
          <w:szCs w:val="22"/>
          <w:lang w:val="hu-HU"/>
        </w:rPr>
        <w:tab/>
      </w:r>
      <w:r w:rsidRPr="00767E11">
        <w:rPr>
          <w:szCs w:val="22"/>
          <w:lang w:val="hu-HU"/>
        </w:rPr>
        <w:t>5</w:t>
      </w:r>
      <w:r>
        <w:rPr>
          <w:szCs w:val="22"/>
          <w:lang w:val="hu-HU"/>
        </w:rPr>
        <w:t>×</w:t>
      </w:r>
      <w:r w:rsidRPr="00767E11">
        <w:rPr>
          <w:szCs w:val="22"/>
          <w:lang w:val="hu-HU"/>
        </w:rPr>
        <w:t>10 ml</w:t>
      </w:r>
      <w:r>
        <w:rPr>
          <w:szCs w:val="22"/>
          <w:lang w:val="hu-HU"/>
        </w:rPr>
        <w:tab/>
      </w:r>
      <w:r w:rsidRPr="00767E11">
        <w:rPr>
          <w:spacing w:val="-3"/>
          <w:szCs w:val="22"/>
          <w:lang w:val="hu-HU"/>
        </w:rPr>
        <w:t>10</w:t>
      </w:r>
      <w:r>
        <w:rPr>
          <w:spacing w:val="-3"/>
          <w:szCs w:val="22"/>
          <w:lang w:val="hu-HU"/>
        </w:rPr>
        <w:t> </w:t>
      </w:r>
      <w:r w:rsidRPr="00767E11">
        <w:rPr>
          <w:spacing w:val="-3"/>
          <w:szCs w:val="22"/>
          <w:lang w:val="hu-HU"/>
        </w:rPr>
        <w:t xml:space="preserve">ml-es </w:t>
      </w:r>
      <w:r w:rsidRPr="00767E11">
        <w:rPr>
          <w:szCs w:val="22"/>
          <w:lang w:val="hu-HU"/>
        </w:rPr>
        <w:t>I-es típusú injekciós üvegben, buborékcsomagolásban</w:t>
      </w:r>
    </w:p>
    <w:p w14:paraId="429E3835" w14:textId="77777777" w:rsidR="009A347E" w:rsidRPr="00767E11" w:rsidRDefault="009A347E" w:rsidP="009A347E">
      <w:pPr>
        <w:tabs>
          <w:tab w:val="left" w:pos="2127"/>
          <w:tab w:val="left" w:pos="3261"/>
        </w:tabs>
        <w:rPr>
          <w:szCs w:val="22"/>
          <w:lang w:val="hu-HU"/>
        </w:rPr>
      </w:pPr>
      <w:r w:rsidRPr="00767E11">
        <w:rPr>
          <w:szCs w:val="22"/>
          <w:lang w:val="hu-HU"/>
        </w:rPr>
        <w:t>OGYI-T-23682/04</w:t>
      </w:r>
      <w:r>
        <w:rPr>
          <w:szCs w:val="22"/>
          <w:lang w:val="hu-HU"/>
        </w:rPr>
        <w:tab/>
      </w:r>
      <w:r w:rsidRPr="00767E11">
        <w:rPr>
          <w:szCs w:val="22"/>
          <w:lang w:val="hu-HU"/>
        </w:rPr>
        <w:t>10</w:t>
      </w:r>
      <w:r>
        <w:rPr>
          <w:szCs w:val="22"/>
          <w:lang w:val="hu-HU"/>
        </w:rPr>
        <w:t>×</w:t>
      </w:r>
      <w:r w:rsidRPr="00767E11">
        <w:rPr>
          <w:szCs w:val="22"/>
          <w:lang w:val="hu-HU"/>
        </w:rPr>
        <w:t>10 ml</w:t>
      </w:r>
      <w:r>
        <w:rPr>
          <w:szCs w:val="22"/>
          <w:lang w:val="hu-HU"/>
        </w:rPr>
        <w:tab/>
      </w:r>
      <w:r w:rsidRPr="00767E11">
        <w:rPr>
          <w:spacing w:val="-3"/>
          <w:szCs w:val="22"/>
          <w:lang w:val="hu-HU"/>
        </w:rPr>
        <w:t>10</w:t>
      </w:r>
      <w:r>
        <w:rPr>
          <w:spacing w:val="-3"/>
          <w:szCs w:val="22"/>
          <w:lang w:val="hu-HU"/>
        </w:rPr>
        <w:t> </w:t>
      </w:r>
      <w:r w:rsidRPr="00767E11">
        <w:rPr>
          <w:spacing w:val="-3"/>
          <w:szCs w:val="22"/>
          <w:lang w:val="hu-HU"/>
        </w:rPr>
        <w:t xml:space="preserve">ml-es </w:t>
      </w:r>
      <w:r w:rsidRPr="00767E11">
        <w:rPr>
          <w:szCs w:val="22"/>
          <w:lang w:val="hu-HU"/>
        </w:rPr>
        <w:t>I-es típusú injekciós üvegben, buborékcsomagolásban</w:t>
      </w:r>
    </w:p>
    <w:p w14:paraId="7B725EF0" w14:textId="77777777" w:rsidR="00F45C51" w:rsidRPr="00CE7F43" w:rsidRDefault="00F45C51" w:rsidP="00B311B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lang w:val="hu-HU"/>
        </w:rPr>
      </w:pPr>
    </w:p>
    <w:p w14:paraId="6DB125C8" w14:textId="6C12E117" w:rsidR="00F45C51" w:rsidRPr="00CE7F43" w:rsidRDefault="00907DC6" w:rsidP="00082A8E">
      <w:pPr>
        <w:spacing w:line="240" w:lineRule="auto"/>
        <w:ind w:right="-2"/>
        <w:rPr>
          <w:b/>
          <w:lang w:val="hu-HU"/>
        </w:rPr>
      </w:pPr>
      <w:r w:rsidRPr="00CE7F43">
        <w:rPr>
          <w:b/>
          <w:lang w:val="hu-HU"/>
        </w:rPr>
        <w:t xml:space="preserve">A betegtájékoztató </w:t>
      </w:r>
      <w:r w:rsidRPr="00CE7F43">
        <w:rPr>
          <w:b/>
          <w:noProof/>
          <w:szCs w:val="24"/>
          <w:lang w:val="hu-HU"/>
        </w:rPr>
        <w:t>legutóbbi felülvizsgálatának</w:t>
      </w:r>
      <w:r w:rsidRPr="00CE7F43">
        <w:rPr>
          <w:b/>
          <w:lang w:val="hu-HU"/>
        </w:rPr>
        <w:t xml:space="preserve"> dátuma</w:t>
      </w:r>
      <w:r w:rsidRPr="00CE7F43">
        <w:rPr>
          <w:b/>
          <w:noProof/>
          <w:szCs w:val="24"/>
          <w:lang w:val="hu-HU"/>
        </w:rPr>
        <w:t>:</w:t>
      </w:r>
      <w:r w:rsidR="008679C7" w:rsidRPr="004D59E4">
        <w:rPr>
          <w:b/>
          <w:noProof/>
          <w:szCs w:val="24"/>
          <w:lang w:val="hu-HU"/>
        </w:rPr>
        <w:t xml:space="preserve"> </w:t>
      </w:r>
      <w:r w:rsidR="005C15A8" w:rsidRPr="001D0149">
        <w:rPr>
          <w:b/>
          <w:szCs w:val="22"/>
          <w:lang w:val="hu-HU"/>
        </w:rPr>
        <w:t>2022</w:t>
      </w:r>
      <w:r w:rsidR="008679C7" w:rsidRPr="001D0149">
        <w:rPr>
          <w:b/>
          <w:szCs w:val="22"/>
          <w:lang w:val="hu-HU"/>
        </w:rPr>
        <w:t xml:space="preserve">. </w:t>
      </w:r>
      <w:r w:rsidR="005C15A8" w:rsidRPr="001D0149">
        <w:rPr>
          <w:b/>
          <w:szCs w:val="22"/>
          <w:lang w:val="hu-HU"/>
        </w:rPr>
        <w:t>április</w:t>
      </w:r>
      <w:r w:rsidR="008679C7" w:rsidRPr="001D0149">
        <w:rPr>
          <w:b/>
          <w:szCs w:val="22"/>
          <w:lang w:val="hu-HU"/>
        </w:rPr>
        <w:t xml:space="preserve"> </w:t>
      </w:r>
    </w:p>
    <w:p w14:paraId="22B14F07" w14:textId="77777777" w:rsidR="00F45C51" w:rsidRPr="00CE7F43" w:rsidRDefault="00F45C51" w:rsidP="00B311B8">
      <w:pPr>
        <w:spacing w:line="240" w:lineRule="auto"/>
        <w:rPr>
          <w:lang w:val="hu-HU"/>
        </w:rPr>
      </w:pPr>
    </w:p>
    <w:sectPr w:rsidR="00F45C51" w:rsidRPr="00CE7F43" w:rsidSect="00822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CC3F1" w14:textId="77777777" w:rsidR="00F43479" w:rsidRDefault="00F43479">
      <w:pPr>
        <w:spacing w:line="240" w:lineRule="auto"/>
      </w:pPr>
      <w:r>
        <w:separator/>
      </w:r>
    </w:p>
  </w:endnote>
  <w:endnote w:type="continuationSeparator" w:id="0">
    <w:p w14:paraId="5D228C42" w14:textId="77777777" w:rsidR="00F43479" w:rsidRDefault="00F43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5F4D" w14:textId="77777777" w:rsidR="00890580" w:rsidRDefault="0089058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D2E0" w14:textId="4393C99B" w:rsidR="00E320A0" w:rsidRDefault="00907DC6">
    <w:pPr>
      <w:pStyle w:val="llb"/>
      <w:tabs>
        <w:tab w:val="right" w:pos="8931"/>
      </w:tabs>
      <w:ind w:right="96"/>
      <w:jc w:val="center"/>
    </w:pPr>
    <w:r>
      <w:rPr>
        <w:szCs w:val="24"/>
      </w:rPr>
      <w:fldChar w:fldCharType="begin"/>
    </w:r>
    <w:r>
      <w:rPr>
        <w:szCs w:val="24"/>
      </w:rPr>
      <w:instrText xml:space="preserve"> EQ </w:instrText>
    </w:r>
    <w:r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0FC3" w14:textId="3D10485E" w:rsidR="00E320A0" w:rsidRPr="004113B2" w:rsidRDefault="004113B2" w:rsidP="004113B2">
    <w:pPr>
      <w:pStyle w:val="llb"/>
      <w:tabs>
        <w:tab w:val="right" w:pos="8931"/>
      </w:tabs>
      <w:ind w:right="96"/>
      <w:jc w:val="both"/>
      <w:rPr>
        <w:rFonts w:ascii="Times New Roman" w:hAnsi="Times New Roman"/>
        <w:sz w:val="18"/>
        <w:szCs w:val="18"/>
      </w:rPr>
    </w:pPr>
    <w:r w:rsidRPr="004113B2">
      <w:rPr>
        <w:rFonts w:ascii="Times New Roman" w:hAnsi="Times New Roman"/>
        <w:sz w:val="18"/>
        <w:szCs w:val="18"/>
      </w:rPr>
      <w:t>OGYÉI/27840/2022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CCAC8" w14:textId="77777777" w:rsidR="00F43479" w:rsidRDefault="00F43479">
      <w:pPr>
        <w:spacing w:line="240" w:lineRule="auto"/>
      </w:pPr>
      <w:r>
        <w:separator/>
      </w:r>
    </w:p>
  </w:footnote>
  <w:footnote w:type="continuationSeparator" w:id="0">
    <w:p w14:paraId="6C5DA1D1" w14:textId="77777777" w:rsidR="00F43479" w:rsidRDefault="00F43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31C07" w14:textId="77777777" w:rsidR="00890580" w:rsidRDefault="0089058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54741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AA0DE42" w14:textId="0EB4283F" w:rsidR="00822A06" w:rsidRPr="00794783" w:rsidRDefault="00822A06">
        <w:pPr>
          <w:pStyle w:val="lfej"/>
          <w:jc w:val="center"/>
          <w:rPr>
            <w:sz w:val="18"/>
            <w:szCs w:val="18"/>
          </w:rPr>
        </w:pPr>
        <w:r w:rsidRPr="00794783">
          <w:rPr>
            <w:sz w:val="18"/>
            <w:szCs w:val="18"/>
          </w:rPr>
          <w:fldChar w:fldCharType="begin"/>
        </w:r>
        <w:r w:rsidRPr="00794783">
          <w:rPr>
            <w:sz w:val="18"/>
            <w:szCs w:val="18"/>
          </w:rPr>
          <w:instrText>PAGE   \* MERGEFORMAT</w:instrText>
        </w:r>
        <w:r w:rsidRPr="00794783">
          <w:rPr>
            <w:sz w:val="18"/>
            <w:szCs w:val="18"/>
          </w:rPr>
          <w:fldChar w:fldCharType="separate"/>
        </w:r>
        <w:r w:rsidR="00794783" w:rsidRPr="00794783">
          <w:rPr>
            <w:noProof/>
            <w:sz w:val="18"/>
            <w:szCs w:val="18"/>
            <w:lang w:val="hu-HU"/>
          </w:rPr>
          <w:t>2</w:t>
        </w:r>
        <w:r w:rsidRPr="00794783">
          <w:rPr>
            <w:sz w:val="18"/>
            <w:szCs w:val="18"/>
          </w:rPr>
          <w:fldChar w:fldCharType="end"/>
        </w:r>
      </w:p>
    </w:sdtContent>
  </w:sdt>
  <w:bookmarkStart w:id="3" w:name="_GoBack" w:displacedByCustomXml="prev"/>
  <w:bookmarkEnd w:id="3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6C33" w14:textId="77777777" w:rsidR="00890580" w:rsidRDefault="008905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900ED"/>
    <w:multiLevelType w:val="hybridMultilevel"/>
    <w:tmpl w:val="3D08C984"/>
    <w:lvl w:ilvl="0" w:tplc="D78468C8">
      <w:start w:val="1"/>
      <w:numFmt w:val="bullet"/>
      <w:pStyle w:val="Cmso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A284CA" w:tentative="1">
      <w:start w:val="1"/>
      <w:numFmt w:val="bullet"/>
      <w:pStyle w:val="Cmsor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7ABBB2" w:tentative="1">
      <w:start w:val="1"/>
      <w:numFmt w:val="bullet"/>
      <w:pStyle w:val="Cmsor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E86A1C" w:tentative="1">
      <w:start w:val="1"/>
      <w:numFmt w:val="bullet"/>
      <w:pStyle w:val="Cmsor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EAF160" w:tentative="1">
      <w:start w:val="1"/>
      <w:numFmt w:val="bullet"/>
      <w:pStyle w:val="Cmsor5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04473E8" w:tentative="1">
      <w:start w:val="1"/>
      <w:numFmt w:val="bullet"/>
      <w:pStyle w:val="Cmsor6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FCEC60" w:tentative="1">
      <w:start w:val="1"/>
      <w:numFmt w:val="bullet"/>
      <w:pStyle w:val="Cmsor7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6858FA" w:tentative="1">
      <w:start w:val="1"/>
      <w:numFmt w:val="bullet"/>
      <w:pStyle w:val="Cmsor8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C60E0A4" w:tentative="1">
      <w:start w:val="1"/>
      <w:numFmt w:val="bullet"/>
      <w:pStyle w:val="Cmsor9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5874684"/>
    <w:multiLevelType w:val="hybridMultilevel"/>
    <w:tmpl w:val="789C5BEC"/>
    <w:lvl w:ilvl="0" w:tplc="698E02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D945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CCA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A0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2B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5ED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41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8D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62D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C44CC1"/>
    <w:multiLevelType w:val="hybridMultilevel"/>
    <w:tmpl w:val="7FF2C56E"/>
    <w:lvl w:ilvl="0" w:tplc="174E8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C2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7A4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A2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44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8C9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C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80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4A2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7469B1"/>
    <w:multiLevelType w:val="hybridMultilevel"/>
    <w:tmpl w:val="64D26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309E1"/>
    <w:multiLevelType w:val="hybridMultilevel"/>
    <w:tmpl w:val="6FEE5AAA"/>
    <w:lvl w:ilvl="0" w:tplc="B440914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Dotum" w:eastAsia="Dotum" w:hAnsi="Dotum" w:hint="eastAsia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3A16C1"/>
    <w:multiLevelType w:val="hybridMultilevel"/>
    <w:tmpl w:val="2EA00F26"/>
    <w:lvl w:ilvl="0" w:tplc="B440914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Dotum" w:eastAsia="Dotum" w:hAnsi="Dotum" w:hint="eastAsia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2D9A2726"/>
    <w:multiLevelType w:val="hybridMultilevel"/>
    <w:tmpl w:val="410AA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41609"/>
    <w:multiLevelType w:val="hybridMultilevel"/>
    <w:tmpl w:val="1E5AABE8"/>
    <w:lvl w:ilvl="0" w:tplc="A450020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51103E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4283F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BFE20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5C8F2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486A5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A68E9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6EE97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BB4C4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5" w15:restartNumberingAfterBreak="0">
    <w:nsid w:val="4F18218D"/>
    <w:multiLevelType w:val="hybridMultilevel"/>
    <w:tmpl w:val="B972F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F0A91"/>
    <w:multiLevelType w:val="hybridMultilevel"/>
    <w:tmpl w:val="2B94116C"/>
    <w:lvl w:ilvl="0" w:tplc="DD3CF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8A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87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E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68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AD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25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A6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41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8" w15:restartNumberingAfterBreak="0">
    <w:nsid w:val="58B56C73"/>
    <w:multiLevelType w:val="hybridMultilevel"/>
    <w:tmpl w:val="5BA42128"/>
    <w:lvl w:ilvl="0" w:tplc="04627FB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652E27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55A2C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80E14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F18C2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8A855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BA4B2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0D876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458C5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CB13BD7"/>
    <w:multiLevelType w:val="hybridMultilevel"/>
    <w:tmpl w:val="E8CED8CC"/>
    <w:lvl w:ilvl="0" w:tplc="8B5CCF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C87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448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44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83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4CD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AC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0C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8D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4" w15:restartNumberingAfterBreak="0">
    <w:nsid w:val="714B28E8"/>
    <w:multiLevelType w:val="multilevel"/>
    <w:tmpl w:val="0A14FD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35" w15:restartNumberingAfterBreak="0">
    <w:nsid w:val="72AB50F1"/>
    <w:multiLevelType w:val="hybridMultilevel"/>
    <w:tmpl w:val="64CEA6CC"/>
    <w:lvl w:ilvl="0" w:tplc="82C68A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D34C5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FA4E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480B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7ACA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7A7B2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8AE01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ACA6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72207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100D28"/>
    <w:multiLevelType w:val="hybridMultilevel"/>
    <w:tmpl w:val="979479BE"/>
    <w:lvl w:ilvl="0" w:tplc="8982A3E6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521445FE">
      <w:start w:val="17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993E7FC0">
      <w:start w:val="1"/>
      <w:numFmt w:val="lowerRoman"/>
      <w:lvlText w:val="%3."/>
      <w:lvlJc w:val="right"/>
      <w:pPr>
        <w:ind w:left="2160" w:hanging="180"/>
      </w:pPr>
    </w:lvl>
    <w:lvl w:ilvl="3" w:tplc="7D84923C">
      <w:start w:val="1"/>
      <w:numFmt w:val="decimal"/>
      <w:lvlText w:val="%4."/>
      <w:lvlJc w:val="left"/>
      <w:pPr>
        <w:ind w:left="2880" w:hanging="360"/>
      </w:pPr>
    </w:lvl>
    <w:lvl w:ilvl="4" w:tplc="A7DAF7F0">
      <w:start w:val="1"/>
      <w:numFmt w:val="lowerLetter"/>
      <w:lvlText w:val="%5."/>
      <w:lvlJc w:val="left"/>
      <w:pPr>
        <w:ind w:left="3600" w:hanging="360"/>
      </w:pPr>
    </w:lvl>
    <w:lvl w:ilvl="5" w:tplc="64684AA2">
      <w:start w:val="1"/>
      <w:numFmt w:val="lowerRoman"/>
      <w:lvlText w:val="%6."/>
      <w:lvlJc w:val="right"/>
      <w:pPr>
        <w:ind w:left="4320" w:hanging="180"/>
      </w:pPr>
    </w:lvl>
    <w:lvl w:ilvl="6" w:tplc="A328D97E">
      <w:start w:val="1"/>
      <w:numFmt w:val="decimal"/>
      <w:lvlText w:val="%7."/>
      <w:lvlJc w:val="left"/>
      <w:pPr>
        <w:ind w:left="5040" w:hanging="360"/>
      </w:pPr>
    </w:lvl>
    <w:lvl w:ilvl="7" w:tplc="790EA518">
      <w:start w:val="1"/>
      <w:numFmt w:val="lowerLetter"/>
      <w:lvlText w:val="%8."/>
      <w:lvlJc w:val="left"/>
      <w:pPr>
        <w:ind w:left="5760" w:hanging="360"/>
      </w:pPr>
    </w:lvl>
    <w:lvl w:ilvl="8" w:tplc="218C61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1"/>
  </w:num>
  <w:num w:numId="6">
    <w:abstractNumId w:val="28"/>
  </w:num>
  <w:num w:numId="7">
    <w:abstractNumId w:val="21"/>
  </w:num>
  <w:num w:numId="8">
    <w:abstractNumId w:val="23"/>
  </w:num>
  <w:num w:numId="9">
    <w:abstractNumId w:val="35"/>
  </w:num>
  <w:num w:numId="10">
    <w:abstractNumId w:val="11"/>
  </w:num>
  <w:num w:numId="11">
    <w:abstractNumId w:val="32"/>
  </w:num>
  <w:num w:numId="12">
    <w:abstractNumId w:val="22"/>
  </w:num>
  <w:num w:numId="13">
    <w:abstractNumId w:val="19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33"/>
  </w:num>
  <w:num w:numId="17">
    <w:abstractNumId w:val="24"/>
  </w:num>
  <w:num w:numId="18">
    <w:abstractNumId w:val="27"/>
  </w:num>
  <w:num w:numId="19">
    <w:abstractNumId w:val="14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26"/>
  </w:num>
  <w:num w:numId="40">
    <w:abstractNumId w:val="13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2">
    <w:abstractNumId w:val="29"/>
  </w:num>
  <w:num w:numId="43">
    <w:abstractNumId w:val="3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7"/>
  </w:num>
  <w:num w:numId="46">
    <w:abstractNumId w:val="18"/>
  </w:num>
  <w:num w:numId="47">
    <w:abstractNumId w:val="20"/>
  </w:num>
  <w:num w:numId="48">
    <w:abstractNumId w:val="1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812D16"/>
    <w:rsid w:val="00000D62"/>
    <w:rsid w:val="00001587"/>
    <w:rsid w:val="00001B46"/>
    <w:rsid w:val="000021DD"/>
    <w:rsid w:val="0000362A"/>
    <w:rsid w:val="00005701"/>
    <w:rsid w:val="00006494"/>
    <w:rsid w:val="00007528"/>
    <w:rsid w:val="0001164F"/>
    <w:rsid w:val="000121D6"/>
    <w:rsid w:val="000150D3"/>
    <w:rsid w:val="000166C1"/>
    <w:rsid w:val="000177FF"/>
    <w:rsid w:val="00020AE8"/>
    <w:rsid w:val="00023F29"/>
    <w:rsid w:val="00025EBE"/>
    <w:rsid w:val="00030445"/>
    <w:rsid w:val="000318C7"/>
    <w:rsid w:val="00033FDB"/>
    <w:rsid w:val="00034204"/>
    <w:rsid w:val="000344F6"/>
    <w:rsid w:val="00036493"/>
    <w:rsid w:val="00042263"/>
    <w:rsid w:val="000422C9"/>
    <w:rsid w:val="00043F0F"/>
    <w:rsid w:val="00044042"/>
    <w:rsid w:val="00044F37"/>
    <w:rsid w:val="00046DCE"/>
    <w:rsid w:val="000474D2"/>
    <w:rsid w:val="00047617"/>
    <w:rsid w:val="000479C5"/>
    <w:rsid w:val="00050DFD"/>
    <w:rsid w:val="00053809"/>
    <w:rsid w:val="000538C2"/>
    <w:rsid w:val="00053914"/>
    <w:rsid w:val="00053EFA"/>
    <w:rsid w:val="00054756"/>
    <w:rsid w:val="000560C5"/>
    <w:rsid w:val="00056833"/>
    <w:rsid w:val="00056C49"/>
    <w:rsid w:val="00056FE0"/>
    <w:rsid w:val="000603C8"/>
    <w:rsid w:val="00060656"/>
    <w:rsid w:val="000608A4"/>
    <w:rsid w:val="00060AA1"/>
    <w:rsid w:val="0006247C"/>
    <w:rsid w:val="000631FD"/>
    <w:rsid w:val="000661BB"/>
    <w:rsid w:val="00067D12"/>
    <w:rsid w:val="00070B1E"/>
    <w:rsid w:val="00071071"/>
    <w:rsid w:val="00071F8A"/>
    <w:rsid w:val="00073E04"/>
    <w:rsid w:val="0007628D"/>
    <w:rsid w:val="000768B2"/>
    <w:rsid w:val="00077267"/>
    <w:rsid w:val="0007752B"/>
    <w:rsid w:val="00080AB8"/>
    <w:rsid w:val="00081DAB"/>
    <w:rsid w:val="0008235E"/>
    <w:rsid w:val="00082A8E"/>
    <w:rsid w:val="000855CA"/>
    <w:rsid w:val="0009351E"/>
    <w:rsid w:val="0009479A"/>
    <w:rsid w:val="00095E44"/>
    <w:rsid w:val="0009755A"/>
    <w:rsid w:val="000A1232"/>
    <w:rsid w:val="000A13ED"/>
    <w:rsid w:val="000A1FD6"/>
    <w:rsid w:val="000A2E62"/>
    <w:rsid w:val="000B0097"/>
    <w:rsid w:val="000B101F"/>
    <w:rsid w:val="000B1F4B"/>
    <w:rsid w:val="000B2F27"/>
    <w:rsid w:val="000B2F58"/>
    <w:rsid w:val="000B3762"/>
    <w:rsid w:val="000B37A8"/>
    <w:rsid w:val="000B51D9"/>
    <w:rsid w:val="000B6240"/>
    <w:rsid w:val="000C1738"/>
    <w:rsid w:val="000C308F"/>
    <w:rsid w:val="000C5A4E"/>
    <w:rsid w:val="000C635D"/>
    <w:rsid w:val="000C700C"/>
    <w:rsid w:val="000C7F49"/>
    <w:rsid w:val="000D1AEE"/>
    <w:rsid w:val="000D1F4F"/>
    <w:rsid w:val="000D4D07"/>
    <w:rsid w:val="000D7535"/>
    <w:rsid w:val="000E0192"/>
    <w:rsid w:val="000E163C"/>
    <w:rsid w:val="000E165D"/>
    <w:rsid w:val="000E1BAF"/>
    <w:rsid w:val="000E223E"/>
    <w:rsid w:val="000E2491"/>
    <w:rsid w:val="000E2EA9"/>
    <w:rsid w:val="000E46A3"/>
    <w:rsid w:val="000E5726"/>
    <w:rsid w:val="000E6C94"/>
    <w:rsid w:val="000E7995"/>
    <w:rsid w:val="000F1BB2"/>
    <w:rsid w:val="000F3F94"/>
    <w:rsid w:val="00100164"/>
    <w:rsid w:val="00101CAD"/>
    <w:rsid w:val="00103501"/>
    <w:rsid w:val="00103B2D"/>
    <w:rsid w:val="00103CD2"/>
    <w:rsid w:val="00104061"/>
    <w:rsid w:val="00107236"/>
    <w:rsid w:val="001101A2"/>
    <w:rsid w:val="001106F7"/>
    <w:rsid w:val="00111AC4"/>
    <w:rsid w:val="00111F79"/>
    <w:rsid w:val="00112EDA"/>
    <w:rsid w:val="00114174"/>
    <w:rsid w:val="00117C1D"/>
    <w:rsid w:val="00122720"/>
    <w:rsid w:val="00122AD8"/>
    <w:rsid w:val="00122D9F"/>
    <w:rsid w:val="00123688"/>
    <w:rsid w:val="00124CAB"/>
    <w:rsid w:val="00127562"/>
    <w:rsid w:val="00127C1D"/>
    <w:rsid w:val="00130037"/>
    <w:rsid w:val="001301C2"/>
    <w:rsid w:val="00131748"/>
    <w:rsid w:val="00133366"/>
    <w:rsid w:val="00133572"/>
    <w:rsid w:val="001354A7"/>
    <w:rsid w:val="00135814"/>
    <w:rsid w:val="0013601F"/>
    <w:rsid w:val="00136D7A"/>
    <w:rsid w:val="00141470"/>
    <w:rsid w:val="00141540"/>
    <w:rsid w:val="00143AD5"/>
    <w:rsid w:val="001445BE"/>
    <w:rsid w:val="001449DF"/>
    <w:rsid w:val="0014569B"/>
    <w:rsid w:val="00151BA4"/>
    <w:rsid w:val="00151E9D"/>
    <w:rsid w:val="00152F3B"/>
    <w:rsid w:val="00155337"/>
    <w:rsid w:val="001563B4"/>
    <w:rsid w:val="0015704C"/>
    <w:rsid w:val="00161E87"/>
    <w:rsid w:val="00162EDD"/>
    <w:rsid w:val="00163D6C"/>
    <w:rsid w:val="0016566C"/>
    <w:rsid w:val="0017265B"/>
    <w:rsid w:val="001727F0"/>
    <w:rsid w:val="00172B06"/>
    <w:rsid w:val="001752D8"/>
    <w:rsid w:val="00175931"/>
    <w:rsid w:val="00176B25"/>
    <w:rsid w:val="0018224D"/>
    <w:rsid w:val="0018238B"/>
    <w:rsid w:val="00183419"/>
    <w:rsid w:val="0018394A"/>
    <w:rsid w:val="00186A9D"/>
    <w:rsid w:val="001874A6"/>
    <w:rsid w:val="0018765B"/>
    <w:rsid w:val="00190913"/>
    <w:rsid w:val="00195F65"/>
    <w:rsid w:val="001A07E2"/>
    <w:rsid w:val="001A1EEE"/>
    <w:rsid w:val="001A2018"/>
    <w:rsid w:val="001A757B"/>
    <w:rsid w:val="001B01C8"/>
    <w:rsid w:val="001B0DDB"/>
    <w:rsid w:val="001B13F6"/>
    <w:rsid w:val="001B1747"/>
    <w:rsid w:val="001B1B4E"/>
    <w:rsid w:val="001B2D44"/>
    <w:rsid w:val="001B453D"/>
    <w:rsid w:val="001B752A"/>
    <w:rsid w:val="001C12E0"/>
    <w:rsid w:val="001C35E9"/>
    <w:rsid w:val="001C36BD"/>
    <w:rsid w:val="001C3733"/>
    <w:rsid w:val="001C4025"/>
    <w:rsid w:val="001C4C82"/>
    <w:rsid w:val="001C5B30"/>
    <w:rsid w:val="001C6502"/>
    <w:rsid w:val="001C6E07"/>
    <w:rsid w:val="001D0149"/>
    <w:rsid w:val="001D2979"/>
    <w:rsid w:val="001D3C05"/>
    <w:rsid w:val="001D47C1"/>
    <w:rsid w:val="001D52E3"/>
    <w:rsid w:val="001D6A28"/>
    <w:rsid w:val="001D6AF4"/>
    <w:rsid w:val="001E0CC1"/>
    <w:rsid w:val="001E1CD5"/>
    <w:rsid w:val="001E3CC0"/>
    <w:rsid w:val="001E4326"/>
    <w:rsid w:val="001E64BD"/>
    <w:rsid w:val="001E64D1"/>
    <w:rsid w:val="001E77C3"/>
    <w:rsid w:val="001E77F1"/>
    <w:rsid w:val="001F090B"/>
    <w:rsid w:val="001F180A"/>
    <w:rsid w:val="001F1A28"/>
    <w:rsid w:val="001F35E8"/>
    <w:rsid w:val="001F38F9"/>
    <w:rsid w:val="001F4014"/>
    <w:rsid w:val="001F445E"/>
    <w:rsid w:val="0020024D"/>
    <w:rsid w:val="00201213"/>
    <w:rsid w:val="00201323"/>
    <w:rsid w:val="0020165E"/>
    <w:rsid w:val="00202E50"/>
    <w:rsid w:val="00205180"/>
    <w:rsid w:val="00207F81"/>
    <w:rsid w:val="002109F4"/>
    <w:rsid w:val="00211B2E"/>
    <w:rsid w:val="00211FDA"/>
    <w:rsid w:val="002160C2"/>
    <w:rsid w:val="00217D6E"/>
    <w:rsid w:val="00222BB9"/>
    <w:rsid w:val="002258D6"/>
    <w:rsid w:val="002266E1"/>
    <w:rsid w:val="00226DFC"/>
    <w:rsid w:val="002274FB"/>
    <w:rsid w:val="002309D2"/>
    <w:rsid w:val="0023315B"/>
    <w:rsid w:val="002331DA"/>
    <w:rsid w:val="002347FE"/>
    <w:rsid w:val="00235DA3"/>
    <w:rsid w:val="0024178D"/>
    <w:rsid w:val="002421D4"/>
    <w:rsid w:val="00245DCF"/>
    <w:rsid w:val="00246C65"/>
    <w:rsid w:val="0025261B"/>
    <w:rsid w:val="00252FFB"/>
    <w:rsid w:val="002542A8"/>
    <w:rsid w:val="00260A11"/>
    <w:rsid w:val="00260EC2"/>
    <w:rsid w:val="0026169A"/>
    <w:rsid w:val="00262763"/>
    <w:rsid w:val="00264BEA"/>
    <w:rsid w:val="00271032"/>
    <w:rsid w:val="00273C1C"/>
    <w:rsid w:val="00273E3E"/>
    <w:rsid w:val="00274147"/>
    <w:rsid w:val="00275189"/>
    <w:rsid w:val="002756DC"/>
    <w:rsid w:val="00276437"/>
    <w:rsid w:val="0028063F"/>
    <w:rsid w:val="00280740"/>
    <w:rsid w:val="0028282C"/>
    <w:rsid w:val="00283B02"/>
    <w:rsid w:val="00283C5D"/>
    <w:rsid w:val="00283D5A"/>
    <w:rsid w:val="002844B0"/>
    <w:rsid w:val="00285586"/>
    <w:rsid w:val="00286322"/>
    <w:rsid w:val="00290C3B"/>
    <w:rsid w:val="00291607"/>
    <w:rsid w:val="0029347B"/>
    <w:rsid w:val="00296C1F"/>
    <w:rsid w:val="002A0C34"/>
    <w:rsid w:val="002A1B59"/>
    <w:rsid w:val="002A41E6"/>
    <w:rsid w:val="002A5250"/>
    <w:rsid w:val="002A7C47"/>
    <w:rsid w:val="002B0455"/>
    <w:rsid w:val="002B09DD"/>
    <w:rsid w:val="002B2BEE"/>
    <w:rsid w:val="002B2F76"/>
    <w:rsid w:val="002B35C5"/>
    <w:rsid w:val="002B3935"/>
    <w:rsid w:val="002B406A"/>
    <w:rsid w:val="002B41D4"/>
    <w:rsid w:val="002B450D"/>
    <w:rsid w:val="002B478D"/>
    <w:rsid w:val="002B543F"/>
    <w:rsid w:val="002B7D73"/>
    <w:rsid w:val="002C06E3"/>
    <w:rsid w:val="002C0801"/>
    <w:rsid w:val="002C33B3"/>
    <w:rsid w:val="002C44B0"/>
    <w:rsid w:val="002C4E07"/>
    <w:rsid w:val="002C676D"/>
    <w:rsid w:val="002C69DA"/>
    <w:rsid w:val="002C7331"/>
    <w:rsid w:val="002D0586"/>
    <w:rsid w:val="002D1023"/>
    <w:rsid w:val="002D1459"/>
    <w:rsid w:val="002D1470"/>
    <w:rsid w:val="002D1F2D"/>
    <w:rsid w:val="002D21CF"/>
    <w:rsid w:val="002D4705"/>
    <w:rsid w:val="002D5B65"/>
    <w:rsid w:val="002D6396"/>
    <w:rsid w:val="002D6954"/>
    <w:rsid w:val="002D7E5E"/>
    <w:rsid w:val="002E07AC"/>
    <w:rsid w:val="002E07EF"/>
    <w:rsid w:val="002E0D06"/>
    <w:rsid w:val="002E4E94"/>
    <w:rsid w:val="002E60B2"/>
    <w:rsid w:val="002F1F28"/>
    <w:rsid w:val="002F43CA"/>
    <w:rsid w:val="002F57AA"/>
    <w:rsid w:val="002F714C"/>
    <w:rsid w:val="002F77BF"/>
    <w:rsid w:val="003004A2"/>
    <w:rsid w:val="00302993"/>
    <w:rsid w:val="00303DD5"/>
    <w:rsid w:val="003046D6"/>
    <w:rsid w:val="003062F8"/>
    <w:rsid w:val="00310764"/>
    <w:rsid w:val="00310D54"/>
    <w:rsid w:val="00320203"/>
    <w:rsid w:val="0032120D"/>
    <w:rsid w:val="00322002"/>
    <w:rsid w:val="00323890"/>
    <w:rsid w:val="00323963"/>
    <w:rsid w:val="00324129"/>
    <w:rsid w:val="003247B0"/>
    <w:rsid w:val="00325E81"/>
    <w:rsid w:val="00332E57"/>
    <w:rsid w:val="0033486D"/>
    <w:rsid w:val="003367C4"/>
    <w:rsid w:val="00336D8E"/>
    <w:rsid w:val="003376B3"/>
    <w:rsid w:val="00341F90"/>
    <w:rsid w:val="00342AD6"/>
    <w:rsid w:val="00343EB1"/>
    <w:rsid w:val="00345EDE"/>
    <w:rsid w:val="00347776"/>
    <w:rsid w:val="00347CA6"/>
    <w:rsid w:val="00351453"/>
    <w:rsid w:val="00351A91"/>
    <w:rsid w:val="003520C4"/>
    <w:rsid w:val="003533AE"/>
    <w:rsid w:val="00355E14"/>
    <w:rsid w:val="003563B1"/>
    <w:rsid w:val="00361280"/>
    <w:rsid w:val="003615F1"/>
    <w:rsid w:val="00361A6E"/>
    <w:rsid w:val="00362983"/>
    <w:rsid w:val="00363D7F"/>
    <w:rsid w:val="0036603D"/>
    <w:rsid w:val="00367C66"/>
    <w:rsid w:val="0037233D"/>
    <w:rsid w:val="003728DD"/>
    <w:rsid w:val="003736EF"/>
    <w:rsid w:val="003737E3"/>
    <w:rsid w:val="00374F4A"/>
    <w:rsid w:val="00380D80"/>
    <w:rsid w:val="00381E38"/>
    <w:rsid w:val="00383CAE"/>
    <w:rsid w:val="00385A7E"/>
    <w:rsid w:val="00386C66"/>
    <w:rsid w:val="003906F8"/>
    <w:rsid w:val="003935EE"/>
    <w:rsid w:val="0039408A"/>
    <w:rsid w:val="0039673D"/>
    <w:rsid w:val="00397893"/>
    <w:rsid w:val="003A2CF0"/>
    <w:rsid w:val="003A31F0"/>
    <w:rsid w:val="003A3359"/>
    <w:rsid w:val="003A33C4"/>
    <w:rsid w:val="003A33D3"/>
    <w:rsid w:val="003A3880"/>
    <w:rsid w:val="003A5BC5"/>
    <w:rsid w:val="003A5D55"/>
    <w:rsid w:val="003A75E6"/>
    <w:rsid w:val="003B255B"/>
    <w:rsid w:val="003B3317"/>
    <w:rsid w:val="003B52D4"/>
    <w:rsid w:val="003B5947"/>
    <w:rsid w:val="003B5AD5"/>
    <w:rsid w:val="003B774A"/>
    <w:rsid w:val="003C1CA5"/>
    <w:rsid w:val="003C1EC7"/>
    <w:rsid w:val="003C3BDE"/>
    <w:rsid w:val="003C64A0"/>
    <w:rsid w:val="003C7BA3"/>
    <w:rsid w:val="003D21C8"/>
    <w:rsid w:val="003D2303"/>
    <w:rsid w:val="003D4015"/>
    <w:rsid w:val="003D4E9C"/>
    <w:rsid w:val="003E038E"/>
    <w:rsid w:val="003E0D78"/>
    <w:rsid w:val="003E3277"/>
    <w:rsid w:val="003E3A1D"/>
    <w:rsid w:val="003E6CA0"/>
    <w:rsid w:val="003F2FDE"/>
    <w:rsid w:val="003F330B"/>
    <w:rsid w:val="003F5756"/>
    <w:rsid w:val="003F6FDF"/>
    <w:rsid w:val="003F73A7"/>
    <w:rsid w:val="004016F5"/>
    <w:rsid w:val="004045AA"/>
    <w:rsid w:val="00404A0D"/>
    <w:rsid w:val="00405229"/>
    <w:rsid w:val="00405CC9"/>
    <w:rsid w:val="00410E7D"/>
    <w:rsid w:val="004113B2"/>
    <w:rsid w:val="004138DE"/>
    <w:rsid w:val="00414B2F"/>
    <w:rsid w:val="00415E58"/>
    <w:rsid w:val="00416231"/>
    <w:rsid w:val="004179C1"/>
    <w:rsid w:val="004208AB"/>
    <w:rsid w:val="004219EF"/>
    <w:rsid w:val="00426CD9"/>
    <w:rsid w:val="00430FEB"/>
    <w:rsid w:val="004310EE"/>
    <w:rsid w:val="00433677"/>
    <w:rsid w:val="00433DCE"/>
    <w:rsid w:val="004340D5"/>
    <w:rsid w:val="00434880"/>
    <w:rsid w:val="004359A0"/>
    <w:rsid w:val="004406C1"/>
    <w:rsid w:val="00442C1B"/>
    <w:rsid w:val="00445EB3"/>
    <w:rsid w:val="004460E9"/>
    <w:rsid w:val="00447B6F"/>
    <w:rsid w:val="00453C11"/>
    <w:rsid w:val="004557B0"/>
    <w:rsid w:val="00457946"/>
    <w:rsid w:val="00457BB9"/>
    <w:rsid w:val="00457D8B"/>
    <w:rsid w:val="00460A17"/>
    <w:rsid w:val="00464B3D"/>
    <w:rsid w:val="00470CB5"/>
    <w:rsid w:val="00471EAB"/>
    <w:rsid w:val="004723EE"/>
    <w:rsid w:val="0047451B"/>
    <w:rsid w:val="00475A92"/>
    <w:rsid w:val="00477BB9"/>
    <w:rsid w:val="00477FC7"/>
    <w:rsid w:val="00484793"/>
    <w:rsid w:val="00487366"/>
    <w:rsid w:val="004873E4"/>
    <w:rsid w:val="0049072C"/>
    <w:rsid w:val="00490FD1"/>
    <w:rsid w:val="0049122E"/>
    <w:rsid w:val="00491AD2"/>
    <w:rsid w:val="004935C0"/>
    <w:rsid w:val="00493B43"/>
    <w:rsid w:val="004945A2"/>
    <w:rsid w:val="00494EB1"/>
    <w:rsid w:val="00494F35"/>
    <w:rsid w:val="00496414"/>
    <w:rsid w:val="00497704"/>
    <w:rsid w:val="00497A38"/>
    <w:rsid w:val="00497F75"/>
    <w:rsid w:val="004A2056"/>
    <w:rsid w:val="004A3815"/>
    <w:rsid w:val="004A45BD"/>
    <w:rsid w:val="004A4656"/>
    <w:rsid w:val="004A77B0"/>
    <w:rsid w:val="004B1CED"/>
    <w:rsid w:val="004B34A7"/>
    <w:rsid w:val="004B3B06"/>
    <w:rsid w:val="004B4643"/>
    <w:rsid w:val="004B4AD0"/>
    <w:rsid w:val="004B7F67"/>
    <w:rsid w:val="004C1994"/>
    <w:rsid w:val="004C3415"/>
    <w:rsid w:val="004D4080"/>
    <w:rsid w:val="004D55DC"/>
    <w:rsid w:val="004D59E4"/>
    <w:rsid w:val="004E05FD"/>
    <w:rsid w:val="004E1A0D"/>
    <w:rsid w:val="004E23F5"/>
    <w:rsid w:val="004E63E5"/>
    <w:rsid w:val="004E6B76"/>
    <w:rsid w:val="004E7BF4"/>
    <w:rsid w:val="004F3540"/>
    <w:rsid w:val="004F3AB1"/>
    <w:rsid w:val="004F5624"/>
    <w:rsid w:val="004F5DA4"/>
    <w:rsid w:val="004F62B2"/>
    <w:rsid w:val="004F6424"/>
    <w:rsid w:val="005040CD"/>
    <w:rsid w:val="00505229"/>
    <w:rsid w:val="00505EDB"/>
    <w:rsid w:val="00506491"/>
    <w:rsid w:val="00506D18"/>
    <w:rsid w:val="00507300"/>
    <w:rsid w:val="00507F98"/>
    <w:rsid w:val="005108A3"/>
    <w:rsid w:val="0051091F"/>
    <w:rsid w:val="00510F6E"/>
    <w:rsid w:val="005118AE"/>
    <w:rsid w:val="005151DA"/>
    <w:rsid w:val="00515824"/>
    <w:rsid w:val="0051587A"/>
    <w:rsid w:val="005158FA"/>
    <w:rsid w:val="00515ED7"/>
    <w:rsid w:val="005165AB"/>
    <w:rsid w:val="005169AD"/>
    <w:rsid w:val="005208B9"/>
    <w:rsid w:val="005221F0"/>
    <w:rsid w:val="00524807"/>
    <w:rsid w:val="00525361"/>
    <w:rsid w:val="00525FF9"/>
    <w:rsid w:val="00531D11"/>
    <w:rsid w:val="00532D3F"/>
    <w:rsid w:val="0053383B"/>
    <w:rsid w:val="0053386D"/>
    <w:rsid w:val="0053791F"/>
    <w:rsid w:val="00547538"/>
    <w:rsid w:val="00553BFA"/>
    <w:rsid w:val="00553D8D"/>
    <w:rsid w:val="0055608E"/>
    <w:rsid w:val="00557755"/>
    <w:rsid w:val="0056077E"/>
    <w:rsid w:val="00561E41"/>
    <w:rsid w:val="005629EE"/>
    <w:rsid w:val="005648FA"/>
    <w:rsid w:val="00564D50"/>
    <w:rsid w:val="005655B6"/>
    <w:rsid w:val="00567346"/>
    <w:rsid w:val="0057371B"/>
    <w:rsid w:val="005737B4"/>
    <w:rsid w:val="00574616"/>
    <w:rsid w:val="00575EB8"/>
    <w:rsid w:val="00582A9B"/>
    <w:rsid w:val="00582EB9"/>
    <w:rsid w:val="005832AB"/>
    <w:rsid w:val="0058437C"/>
    <w:rsid w:val="0058606E"/>
    <w:rsid w:val="00587706"/>
    <w:rsid w:val="005935F4"/>
    <w:rsid w:val="005A346E"/>
    <w:rsid w:val="005A73CF"/>
    <w:rsid w:val="005B14D5"/>
    <w:rsid w:val="005B409C"/>
    <w:rsid w:val="005B42DE"/>
    <w:rsid w:val="005B798B"/>
    <w:rsid w:val="005C15A8"/>
    <w:rsid w:val="005C1FAE"/>
    <w:rsid w:val="005C2162"/>
    <w:rsid w:val="005C39E8"/>
    <w:rsid w:val="005C5660"/>
    <w:rsid w:val="005C7731"/>
    <w:rsid w:val="005D1A0E"/>
    <w:rsid w:val="005D4B68"/>
    <w:rsid w:val="005E11C1"/>
    <w:rsid w:val="005E2563"/>
    <w:rsid w:val="005E394C"/>
    <w:rsid w:val="005E42BF"/>
    <w:rsid w:val="005E4341"/>
    <w:rsid w:val="005E4E70"/>
    <w:rsid w:val="005E65BB"/>
    <w:rsid w:val="005F0DA0"/>
    <w:rsid w:val="005F4914"/>
    <w:rsid w:val="005F6103"/>
    <w:rsid w:val="005F62B7"/>
    <w:rsid w:val="005F6869"/>
    <w:rsid w:val="005F6BB9"/>
    <w:rsid w:val="005F7E35"/>
    <w:rsid w:val="00603148"/>
    <w:rsid w:val="00606FC7"/>
    <w:rsid w:val="00607564"/>
    <w:rsid w:val="006103B9"/>
    <w:rsid w:val="00610456"/>
    <w:rsid w:val="00611473"/>
    <w:rsid w:val="00611B36"/>
    <w:rsid w:val="00613A34"/>
    <w:rsid w:val="00615ADA"/>
    <w:rsid w:val="00615CC5"/>
    <w:rsid w:val="006221CD"/>
    <w:rsid w:val="006237D8"/>
    <w:rsid w:val="006266A9"/>
    <w:rsid w:val="00630426"/>
    <w:rsid w:val="006316C1"/>
    <w:rsid w:val="00631ED4"/>
    <w:rsid w:val="00633BC7"/>
    <w:rsid w:val="00635E9C"/>
    <w:rsid w:val="00637163"/>
    <w:rsid w:val="00637B41"/>
    <w:rsid w:val="006414EE"/>
    <w:rsid w:val="00642D0A"/>
    <w:rsid w:val="00646130"/>
    <w:rsid w:val="00646FE1"/>
    <w:rsid w:val="006470ED"/>
    <w:rsid w:val="00647E20"/>
    <w:rsid w:val="00660727"/>
    <w:rsid w:val="00661140"/>
    <w:rsid w:val="00667893"/>
    <w:rsid w:val="006710DD"/>
    <w:rsid w:val="006714D3"/>
    <w:rsid w:val="00673200"/>
    <w:rsid w:val="0067501E"/>
    <w:rsid w:val="00675021"/>
    <w:rsid w:val="006773D2"/>
    <w:rsid w:val="00681A41"/>
    <w:rsid w:val="006821B2"/>
    <w:rsid w:val="00682EC4"/>
    <w:rsid w:val="006838C0"/>
    <w:rsid w:val="00685901"/>
    <w:rsid w:val="00685BB9"/>
    <w:rsid w:val="00685D08"/>
    <w:rsid w:val="00687C42"/>
    <w:rsid w:val="00690127"/>
    <w:rsid w:val="00691BFF"/>
    <w:rsid w:val="00695227"/>
    <w:rsid w:val="006953C1"/>
    <w:rsid w:val="00696175"/>
    <w:rsid w:val="00696EB2"/>
    <w:rsid w:val="006A16E9"/>
    <w:rsid w:val="006A18FE"/>
    <w:rsid w:val="006A5450"/>
    <w:rsid w:val="006B0199"/>
    <w:rsid w:val="006B0A32"/>
    <w:rsid w:val="006B0BD8"/>
    <w:rsid w:val="006B22A3"/>
    <w:rsid w:val="006B285F"/>
    <w:rsid w:val="006B3279"/>
    <w:rsid w:val="006B7CDB"/>
    <w:rsid w:val="006C0251"/>
    <w:rsid w:val="006C2B9A"/>
    <w:rsid w:val="006C38EA"/>
    <w:rsid w:val="006C39BB"/>
    <w:rsid w:val="006C4502"/>
    <w:rsid w:val="006D159F"/>
    <w:rsid w:val="006D2F02"/>
    <w:rsid w:val="006D5E91"/>
    <w:rsid w:val="006D75DA"/>
    <w:rsid w:val="006E14E6"/>
    <w:rsid w:val="006E1AEE"/>
    <w:rsid w:val="006E1F6F"/>
    <w:rsid w:val="006E23AC"/>
    <w:rsid w:val="006E3B9C"/>
    <w:rsid w:val="006E51A2"/>
    <w:rsid w:val="006F0DE2"/>
    <w:rsid w:val="006F3495"/>
    <w:rsid w:val="006F417D"/>
    <w:rsid w:val="006F5C83"/>
    <w:rsid w:val="006F67CC"/>
    <w:rsid w:val="00701C2D"/>
    <w:rsid w:val="00702162"/>
    <w:rsid w:val="00702286"/>
    <w:rsid w:val="00703930"/>
    <w:rsid w:val="00704070"/>
    <w:rsid w:val="00705744"/>
    <w:rsid w:val="0070610E"/>
    <w:rsid w:val="00706FEA"/>
    <w:rsid w:val="00707759"/>
    <w:rsid w:val="00707BE2"/>
    <w:rsid w:val="00710081"/>
    <w:rsid w:val="00710B0D"/>
    <w:rsid w:val="00713CB5"/>
    <w:rsid w:val="007153E5"/>
    <w:rsid w:val="0071558B"/>
    <w:rsid w:val="00720F37"/>
    <w:rsid w:val="00721189"/>
    <w:rsid w:val="007221C3"/>
    <w:rsid w:val="00722F2C"/>
    <w:rsid w:val="007253A4"/>
    <w:rsid w:val="007254D1"/>
    <w:rsid w:val="00725B32"/>
    <w:rsid w:val="00725B3C"/>
    <w:rsid w:val="007264B0"/>
    <w:rsid w:val="00733D54"/>
    <w:rsid w:val="00736A4F"/>
    <w:rsid w:val="00736E76"/>
    <w:rsid w:val="00737753"/>
    <w:rsid w:val="00740CE9"/>
    <w:rsid w:val="007428E3"/>
    <w:rsid w:val="00743511"/>
    <w:rsid w:val="0074394E"/>
    <w:rsid w:val="007471D2"/>
    <w:rsid w:val="00750ABC"/>
    <w:rsid w:val="00750D0A"/>
    <w:rsid w:val="00751863"/>
    <w:rsid w:val="00751D93"/>
    <w:rsid w:val="00752300"/>
    <w:rsid w:val="007546F8"/>
    <w:rsid w:val="00755BAB"/>
    <w:rsid w:val="00757BA2"/>
    <w:rsid w:val="0076080E"/>
    <w:rsid w:val="007615E5"/>
    <w:rsid w:val="0076411D"/>
    <w:rsid w:val="007650F8"/>
    <w:rsid w:val="007670F8"/>
    <w:rsid w:val="007671D4"/>
    <w:rsid w:val="00770A85"/>
    <w:rsid w:val="00772F2D"/>
    <w:rsid w:val="00773DC9"/>
    <w:rsid w:val="0077572E"/>
    <w:rsid w:val="0078031B"/>
    <w:rsid w:val="00781EBC"/>
    <w:rsid w:val="00784F44"/>
    <w:rsid w:val="00786672"/>
    <w:rsid w:val="007872CF"/>
    <w:rsid w:val="0079201C"/>
    <w:rsid w:val="00792495"/>
    <w:rsid w:val="0079307F"/>
    <w:rsid w:val="00794783"/>
    <w:rsid w:val="007947C4"/>
    <w:rsid w:val="00795CE1"/>
    <w:rsid w:val="00797C53"/>
    <w:rsid w:val="007A06AC"/>
    <w:rsid w:val="007B0B00"/>
    <w:rsid w:val="007B1014"/>
    <w:rsid w:val="007B103F"/>
    <w:rsid w:val="007B1484"/>
    <w:rsid w:val="007B1A10"/>
    <w:rsid w:val="007B5550"/>
    <w:rsid w:val="007B6659"/>
    <w:rsid w:val="007B76AB"/>
    <w:rsid w:val="007B7DBD"/>
    <w:rsid w:val="007C334F"/>
    <w:rsid w:val="007C45D3"/>
    <w:rsid w:val="007C597B"/>
    <w:rsid w:val="007C61CB"/>
    <w:rsid w:val="007C760C"/>
    <w:rsid w:val="007D08FD"/>
    <w:rsid w:val="007D0AD2"/>
    <w:rsid w:val="007D1584"/>
    <w:rsid w:val="007D2044"/>
    <w:rsid w:val="007D2D55"/>
    <w:rsid w:val="007D4F33"/>
    <w:rsid w:val="007D65C7"/>
    <w:rsid w:val="007D74D2"/>
    <w:rsid w:val="007D79B5"/>
    <w:rsid w:val="007E09F0"/>
    <w:rsid w:val="007E2334"/>
    <w:rsid w:val="007E23CE"/>
    <w:rsid w:val="007E2CE7"/>
    <w:rsid w:val="007E43D0"/>
    <w:rsid w:val="007E48E0"/>
    <w:rsid w:val="007E4EA8"/>
    <w:rsid w:val="007E4FDA"/>
    <w:rsid w:val="007E54F8"/>
    <w:rsid w:val="007E5987"/>
    <w:rsid w:val="007E5BD8"/>
    <w:rsid w:val="007E6601"/>
    <w:rsid w:val="007E7BF9"/>
    <w:rsid w:val="007F0212"/>
    <w:rsid w:val="007F02BC"/>
    <w:rsid w:val="007F1A40"/>
    <w:rsid w:val="007F1D17"/>
    <w:rsid w:val="007F235A"/>
    <w:rsid w:val="007F2E65"/>
    <w:rsid w:val="007F2F4B"/>
    <w:rsid w:val="007F43BA"/>
    <w:rsid w:val="007F45D1"/>
    <w:rsid w:val="007F6B38"/>
    <w:rsid w:val="007F6DC3"/>
    <w:rsid w:val="008006B4"/>
    <w:rsid w:val="00801A3F"/>
    <w:rsid w:val="00803695"/>
    <w:rsid w:val="00803FD4"/>
    <w:rsid w:val="0080481C"/>
    <w:rsid w:val="0080494A"/>
    <w:rsid w:val="00804A38"/>
    <w:rsid w:val="00804C54"/>
    <w:rsid w:val="008056DD"/>
    <w:rsid w:val="0081104C"/>
    <w:rsid w:val="00811D2A"/>
    <w:rsid w:val="00812D16"/>
    <w:rsid w:val="00813417"/>
    <w:rsid w:val="00817A54"/>
    <w:rsid w:val="00817A6B"/>
    <w:rsid w:val="00817C04"/>
    <w:rsid w:val="00821865"/>
    <w:rsid w:val="00822A06"/>
    <w:rsid w:val="0082327D"/>
    <w:rsid w:val="0082433D"/>
    <w:rsid w:val="00826509"/>
    <w:rsid w:val="0083354D"/>
    <w:rsid w:val="0083561B"/>
    <w:rsid w:val="0083685F"/>
    <w:rsid w:val="00836C13"/>
    <w:rsid w:val="008371F6"/>
    <w:rsid w:val="00837D78"/>
    <w:rsid w:val="00840D79"/>
    <w:rsid w:val="00842A21"/>
    <w:rsid w:val="008431CC"/>
    <w:rsid w:val="008439BF"/>
    <w:rsid w:val="008450A5"/>
    <w:rsid w:val="00845DAD"/>
    <w:rsid w:val="00853C1D"/>
    <w:rsid w:val="008548E7"/>
    <w:rsid w:val="00854B2F"/>
    <w:rsid w:val="00856354"/>
    <w:rsid w:val="008568E1"/>
    <w:rsid w:val="008568F2"/>
    <w:rsid w:val="00856BE9"/>
    <w:rsid w:val="008578F8"/>
    <w:rsid w:val="00860566"/>
    <w:rsid w:val="0086165C"/>
    <w:rsid w:val="00861B26"/>
    <w:rsid w:val="00862EED"/>
    <w:rsid w:val="008643FC"/>
    <w:rsid w:val="00864529"/>
    <w:rsid w:val="008649B9"/>
    <w:rsid w:val="0086784F"/>
    <w:rsid w:val="008679C7"/>
    <w:rsid w:val="00870394"/>
    <w:rsid w:val="0087073B"/>
    <w:rsid w:val="008770D4"/>
    <w:rsid w:val="008770F3"/>
    <w:rsid w:val="0088127F"/>
    <w:rsid w:val="008815EF"/>
    <w:rsid w:val="00885273"/>
    <w:rsid w:val="00885F2C"/>
    <w:rsid w:val="00886386"/>
    <w:rsid w:val="0088701C"/>
    <w:rsid w:val="00887BA4"/>
    <w:rsid w:val="00890580"/>
    <w:rsid w:val="0089174C"/>
    <w:rsid w:val="00892EB4"/>
    <w:rsid w:val="0089499B"/>
    <w:rsid w:val="00894ACA"/>
    <w:rsid w:val="00894E87"/>
    <w:rsid w:val="00894EC5"/>
    <w:rsid w:val="008957AC"/>
    <w:rsid w:val="008967B5"/>
    <w:rsid w:val="008A03AC"/>
    <w:rsid w:val="008A186D"/>
    <w:rsid w:val="008A20BE"/>
    <w:rsid w:val="008A2B4E"/>
    <w:rsid w:val="008A345A"/>
    <w:rsid w:val="008A3BF2"/>
    <w:rsid w:val="008A3DB9"/>
    <w:rsid w:val="008A53A7"/>
    <w:rsid w:val="008A6A5C"/>
    <w:rsid w:val="008A7316"/>
    <w:rsid w:val="008B500A"/>
    <w:rsid w:val="008C1610"/>
    <w:rsid w:val="008C2F1E"/>
    <w:rsid w:val="008C30E5"/>
    <w:rsid w:val="008C3B5B"/>
    <w:rsid w:val="008C409F"/>
    <w:rsid w:val="008C602D"/>
    <w:rsid w:val="008C6BCC"/>
    <w:rsid w:val="008D098D"/>
    <w:rsid w:val="008D135A"/>
    <w:rsid w:val="008D2205"/>
    <w:rsid w:val="008D2331"/>
    <w:rsid w:val="008D2E9B"/>
    <w:rsid w:val="008D36CD"/>
    <w:rsid w:val="008D4380"/>
    <w:rsid w:val="008D48D1"/>
    <w:rsid w:val="008D5B7E"/>
    <w:rsid w:val="008F2C49"/>
    <w:rsid w:val="008F4FB0"/>
    <w:rsid w:val="008F769E"/>
    <w:rsid w:val="008F7CFF"/>
    <w:rsid w:val="008F7ED1"/>
    <w:rsid w:val="00901C8D"/>
    <w:rsid w:val="009027BC"/>
    <w:rsid w:val="009036EA"/>
    <w:rsid w:val="00904A4D"/>
    <w:rsid w:val="00905BFB"/>
    <w:rsid w:val="00905D16"/>
    <w:rsid w:val="00905EE9"/>
    <w:rsid w:val="009060A7"/>
    <w:rsid w:val="009065F4"/>
    <w:rsid w:val="009075A7"/>
    <w:rsid w:val="009076AF"/>
    <w:rsid w:val="00907DC6"/>
    <w:rsid w:val="00910FBA"/>
    <w:rsid w:val="00911D39"/>
    <w:rsid w:val="00912B9F"/>
    <w:rsid w:val="00917C0F"/>
    <w:rsid w:val="00917D2A"/>
    <w:rsid w:val="0092040E"/>
    <w:rsid w:val="00920C6C"/>
    <w:rsid w:val="00921986"/>
    <w:rsid w:val="009227D9"/>
    <w:rsid w:val="009253FC"/>
    <w:rsid w:val="00925D9E"/>
    <w:rsid w:val="00927791"/>
    <w:rsid w:val="00930607"/>
    <w:rsid w:val="00930D0A"/>
    <w:rsid w:val="009329BA"/>
    <w:rsid w:val="0093304D"/>
    <w:rsid w:val="009356C6"/>
    <w:rsid w:val="009356D3"/>
    <w:rsid w:val="00936939"/>
    <w:rsid w:val="0094053B"/>
    <w:rsid w:val="00942040"/>
    <w:rsid w:val="00942C9F"/>
    <w:rsid w:val="00945631"/>
    <w:rsid w:val="00947549"/>
    <w:rsid w:val="00951BDD"/>
    <w:rsid w:val="00955DC8"/>
    <w:rsid w:val="0095793C"/>
    <w:rsid w:val="0096111E"/>
    <w:rsid w:val="00961125"/>
    <w:rsid w:val="00961951"/>
    <w:rsid w:val="00963BD1"/>
    <w:rsid w:val="00964696"/>
    <w:rsid w:val="00966B1F"/>
    <w:rsid w:val="00970C06"/>
    <w:rsid w:val="00974518"/>
    <w:rsid w:val="00975B88"/>
    <w:rsid w:val="00980FE0"/>
    <w:rsid w:val="00983A15"/>
    <w:rsid w:val="00983D7E"/>
    <w:rsid w:val="009927BB"/>
    <w:rsid w:val="009928B7"/>
    <w:rsid w:val="0099321A"/>
    <w:rsid w:val="0099531A"/>
    <w:rsid w:val="009960B7"/>
    <w:rsid w:val="00997986"/>
    <w:rsid w:val="009A09F6"/>
    <w:rsid w:val="009A1B3A"/>
    <w:rsid w:val="009A324E"/>
    <w:rsid w:val="009A347E"/>
    <w:rsid w:val="009A3D53"/>
    <w:rsid w:val="009B39D3"/>
    <w:rsid w:val="009B536C"/>
    <w:rsid w:val="009B6496"/>
    <w:rsid w:val="009B69D5"/>
    <w:rsid w:val="009B7D85"/>
    <w:rsid w:val="009C01DA"/>
    <w:rsid w:val="009C070E"/>
    <w:rsid w:val="009C20CC"/>
    <w:rsid w:val="009C3558"/>
    <w:rsid w:val="009C562E"/>
    <w:rsid w:val="009C7531"/>
    <w:rsid w:val="009D220C"/>
    <w:rsid w:val="009D221F"/>
    <w:rsid w:val="009D53E0"/>
    <w:rsid w:val="009D5FB5"/>
    <w:rsid w:val="009E09F0"/>
    <w:rsid w:val="009E19E8"/>
    <w:rsid w:val="009E377C"/>
    <w:rsid w:val="009E458A"/>
    <w:rsid w:val="009E5DFC"/>
    <w:rsid w:val="009F1789"/>
    <w:rsid w:val="009F36D2"/>
    <w:rsid w:val="009F4504"/>
    <w:rsid w:val="009F502C"/>
    <w:rsid w:val="009F603B"/>
    <w:rsid w:val="009F6987"/>
    <w:rsid w:val="009F720F"/>
    <w:rsid w:val="00A00CFB"/>
    <w:rsid w:val="00A010E7"/>
    <w:rsid w:val="00A01A17"/>
    <w:rsid w:val="00A01A60"/>
    <w:rsid w:val="00A02C07"/>
    <w:rsid w:val="00A0391D"/>
    <w:rsid w:val="00A04F67"/>
    <w:rsid w:val="00A076F9"/>
    <w:rsid w:val="00A07997"/>
    <w:rsid w:val="00A07F87"/>
    <w:rsid w:val="00A11B05"/>
    <w:rsid w:val="00A12B81"/>
    <w:rsid w:val="00A15F86"/>
    <w:rsid w:val="00A206ED"/>
    <w:rsid w:val="00A20806"/>
    <w:rsid w:val="00A20C7F"/>
    <w:rsid w:val="00A212DF"/>
    <w:rsid w:val="00A21BD8"/>
    <w:rsid w:val="00A21CF0"/>
    <w:rsid w:val="00A22DBA"/>
    <w:rsid w:val="00A25992"/>
    <w:rsid w:val="00A25BFF"/>
    <w:rsid w:val="00A27522"/>
    <w:rsid w:val="00A2796E"/>
    <w:rsid w:val="00A330C5"/>
    <w:rsid w:val="00A34D76"/>
    <w:rsid w:val="00A365D0"/>
    <w:rsid w:val="00A37428"/>
    <w:rsid w:val="00A402B8"/>
    <w:rsid w:val="00A4360E"/>
    <w:rsid w:val="00A443A6"/>
    <w:rsid w:val="00A45A1A"/>
    <w:rsid w:val="00A47F32"/>
    <w:rsid w:val="00A53220"/>
    <w:rsid w:val="00A538E6"/>
    <w:rsid w:val="00A540C1"/>
    <w:rsid w:val="00A56800"/>
    <w:rsid w:val="00A56D7E"/>
    <w:rsid w:val="00A5729F"/>
    <w:rsid w:val="00A57404"/>
    <w:rsid w:val="00A575BD"/>
    <w:rsid w:val="00A57AB2"/>
    <w:rsid w:val="00A60EEC"/>
    <w:rsid w:val="00A65BD9"/>
    <w:rsid w:val="00A65C1E"/>
    <w:rsid w:val="00A66718"/>
    <w:rsid w:val="00A70750"/>
    <w:rsid w:val="00A70B31"/>
    <w:rsid w:val="00A71382"/>
    <w:rsid w:val="00A72A72"/>
    <w:rsid w:val="00A759FE"/>
    <w:rsid w:val="00A76D67"/>
    <w:rsid w:val="00A776B8"/>
    <w:rsid w:val="00A80DD3"/>
    <w:rsid w:val="00A827A3"/>
    <w:rsid w:val="00A85357"/>
    <w:rsid w:val="00A902DD"/>
    <w:rsid w:val="00A91617"/>
    <w:rsid w:val="00A920F9"/>
    <w:rsid w:val="00A93207"/>
    <w:rsid w:val="00A9432C"/>
    <w:rsid w:val="00A9482B"/>
    <w:rsid w:val="00A94BDF"/>
    <w:rsid w:val="00A95230"/>
    <w:rsid w:val="00A96FA8"/>
    <w:rsid w:val="00A9770A"/>
    <w:rsid w:val="00A97A85"/>
    <w:rsid w:val="00AA0DD3"/>
    <w:rsid w:val="00AA1C07"/>
    <w:rsid w:val="00AA3688"/>
    <w:rsid w:val="00AA5887"/>
    <w:rsid w:val="00AA7213"/>
    <w:rsid w:val="00AB19F8"/>
    <w:rsid w:val="00AB2A61"/>
    <w:rsid w:val="00AB3A12"/>
    <w:rsid w:val="00AB5A8D"/>
    <w:rsid w:val="00AB5C95"/>
    <w:rsid w:val="00AB5FA4"/>
    <w:rsid w:val="00AB6642"/>
    <w:rsid w:val="00AC2EFE"/>
    <w:rsid w:val="00AC3930"/>
    <w:rsid w:val="00AC3AB1"/>
    <w:rsid w:val="00AC68C6"/>
    <w:rsid w:val="00AC75AA"/>
    <w:rsid w:val="00AC79C1"/>
    <w:rsid w:val="00AC7CA4"/>
    <w:rsid w:val="00AD4A64"/>
    <w:rsid w:val="00AD598F"/>
    <w:rsid w:val="00AD6D09"/>
    <w:rsid w:val="00AD72A5"/>
    <w:rsid w:val="00AD7B84"/>
    <w:rsid w:val="00AE098E"/>
    <w:rsid w:val="00AE0BBA"/>
    <w:rsid w:val="00AE2291"/>
    <w:rsid w:val="00AE25C8"/>
    <w:rsid w:val="00AE4113"/>
    <w:rsid w:val="00AE42BE"/>
    <w:rsid w:val="00AE4380"/>
    <w:rsid w:val="00AE52C0"/>
    <w:rsid w:val="00AE5525"/>
    <w:rsid w:val="00AE6381"/>
    <w:rsid w:val="00AE656F"/>
    <w:rsid w:val="00AE743A"/>
    <w:rsid w:val="00AE7D78"/>
    <w:rsid w:val="00AF0902"/>
    <w:rsid w:val="00AF438E"/>
    <w:rsid w:val="00AF45CA"/>
    <w:rsid w:val="00AF5CEE"/>
    <w:rsid w:val="00AF719C"/>
    <w:rsid w:val="00AF7506"/>
    <w:rsid w:val="00B007DD"/>
    <w:rsid w:val="00B0098A"/>
    <w:rsid w:val="00B01016"/>
    <w:rsid w:val="00B0146E"/>
    <w:rsid w:val="00B027CB"/>
    <w:rsid w:val="00B0352B"/>
    <w:rsid w:val="00B03A73"/>
    <w:rsid w:val="00B06321"/>
    <w:rsid w:val="00B074F8"/>
    <w:rsid w:val="00B145CD"/>
    <w:rsid w:val="00B17FAB"/>
    <w:rsid w:val="00B2099F"/>
    <w:rsid w:val="00B22C5F"/>
    <w:rsid w:val="00B23687"/>
    <w:rsid w:val="00B25432"/>
    <w:rsid w:val="00B25710"/>
    <w:rsid w:val="00B2724E"/>
    <w:rsid w:val="00B27B03"/>
    <w:rsid w:val="00B301B0"/>
    <w:rsid w:val="00B30DCD"/>
    <w:rsid w:val="00B311B8"/>
    <w:rsid w:val="00B31B62"/>
    <w:rsid w:val="00B33711"/>
    <w:rsid w:val="00B33DC3"/>
    <w:rsid w:val="00B3482A"/>
    <w:rsid w:val="00B34889"/>
    <w:rsid w:val="00B353AC"/>
    <w:rsid w:val="00B3652E"/>
    <w:rsid w:val="00B37550"/>
    <w:rsid w:val="00B402C6"/>
    <w:rsid w:val="00B41DC1"/>
    <w:rsid w:val="00B43058"/>
    <w:rsid w:val="00B46EC7"/>
    <w:rsid w:val="00B50A91"/>
    <w:rsid w:val="00B52022"/>
    <w:rsid w:val="00B52187"/>
    <w:rsid w:val="00B54691"/>
    <w:rsid w:val="00B5744E"/>
    <w:rsid w:val="00B60CCD"/>
    <w:rsid w:val="00B62854"/>
    <w:rsid w:val="00B62EF1"/>
    <w:rsid w:val="00B640CC"/>
    <w:rsid w:val="00B645B6"/>
    <w:rsid w:val="00B64DAE"/>
    <w:rsid w:val="00B667BF"/>
    <w:rsid w:val="00B6797D"/>
    <w:rsid w:val="00B735B8"/>
    <w:rsid w:val="00B73B5A"/>
    <w:rsid w:val="00B74858"/>
    <w:rsid w:val="00B752EB"/>
    <w:rsid w:val="00B7782D"/>
    <w:rsid w:val="00B77BE4"/>
    <w:rsid w:val="00B812BE"/>
    <w:rsid w:val="00B8137B"/>
    <w:rsid w:val="00B816FE"/>
    <w:rsid w:val="00B81D87"/>
    <w:rsid w:val="00B86608"/>
    <w:rsid w:val="00B86813"/>
    <w:rsid w:val="00B87847"/>
    <w:rsid w:val="00B90477"/>
    <w:rsid w:val="00B92AA5"/>
    <w:rsid w:val="00B96744"/>
    <w:rsid w:val="00BA6419"/>
    <w:rsid w:val="00BA6550"/>
    <w:rsid w:val="00BB0EDC"/>
    <w:rsid w:val="00BB2437"/>
    <w:rsid w:val="00BB2F21"/>
    <w:rsid w:val="00BB32A1"/>
    <w:rsid w:val="00BB3642"/>
    <w:rsid w:val="00BB66AB"/>
    <w:rsid w:val="00BC0AD6"/>
    <w:rsid w:val="00BC3584"/>
    <w:rsid w:val="00BC4673"/>
    <w:rsid w:val="00BD5B0B"/>
    <w:rsid w:val="00BE0AA9"/>
    <w:rsid w:val="00BE1905"/>
    <w:rsid w:val="00BE1CB6"/>
    <w:rsid w:val="00BE2A1F"/>
    <w:rsid w:val="00BE4ED6"/>
    <w:rsid w:val="00BE54F3"/>
    <w:rsid w:val="00BE5F67"/>
    <w:rsid w:val="00BE7920"/>
    <w:rsid w:val="00BE793B"/>
    <w:rsid w:val="00BF2CD1"/>
    <w:rsid w:val="00BF4B6A"/>
    <w:rsid w:val="00BF5135"/>
    <w:rsid w:val="00BF5FA5"/>
    <w:rsid w:val="00BF5FC0"/>
    <w:rsid w:val="00C009F5"/>
    <w:rsid w:val="00C01129"/>
    <w:rsid w:val="00C02239"/>
    <w:rsid w:val="00C022E1"/>
    <w:rsid w:val="00C0398D"/>
    <w:rsid w:val="00C0539F"/>
    <w:rsid w:val="00C11607"/>
    <w:rsid w:val="00C11E4C"/>
    <w:rsid w:val="00C14792"/>
    <w:rsid w:val="00C14954"/>
    <w:rsid w:val="00C16BEB"/>
    <w:rsid w:val="00C1743B"/>
    <w:rsid w:val="00C17D23"/>
    <w:rsid w:val="00C20CA6"/>
    <w:rsid w:val="00C23398"/>
    <w:rsid w:val="00C23B23"/>
    <w:rsid w:val="00C26C22"/>
    <w:rsid w:val="00C27B03"/>
    <w:rsid w:val="00C3089B"/>
    <w:rsid w:val="00C34B40"/>
    <w:rsid w:val="00C35836"/>
    <w:rsid w:val="00C41CD3"/>
    <w:rsid w:val="00C41D29"/>
    <w:rsid w:val="00C43438"/>
    <w:rsid w:val="00C43DF2"/>
    <w:rsid w:val="00C44264"/>
    <w:rsid w:val="00C46251"/>
    <w:rsid w:val="00C4790F"/>
    <w:rsid w:val="00C47FC0"/>
    <w:rsid w:val="00C5072A"/>
    <w:rsid w:val="00C528CC"/>
    <w:rsid w:val="00C539FD"/>
    <w:rsid w:val="00C53ABD"/>
    <w:rsid w:val="00C53AD3"/>
    <w:rsid w:val="00C53C94"/>
    <w:rsid w:val="00C54BEF"/>
    <w:rsid w:val="00C56E1B"/>
    <w:rsid w:val="00C57741"/>
    <w:rsid w:val="00C60B41"/>
    <w:rsid w:val="00C6210E"/>
    <w:rsid w:val="00C62568"/>
    <w:rsid w:val="00C64143"/>
    <w:rsid w:val="00C6434D"/>
    <w:rsid w:val="00C652E5"/>
    <w:rsid w:val="00C659F1"/>
    <w:rsid w:val="00C66261"/>
    <w:rsid w:val="00C67446"/>
    <w:rsid w:val="00C7356B"/>
    <w:rsid w:val="00C7697F"/>
    <w:rsid w:val="00C8136C"/>
    <w:rsid w:val="00C82FFA"/>
    <w:rsid w:val="00C85521"/>
    <w:rsid w:val="00C863EE"/>
    <w:rsid w:val="00C879CA"/>
    <w:rsid w:val="00C92646"/>
    <w:rsid w:val="00C9316A"/>
    <w:rsid w:val="00C9380B"/>
    <w:rsid w:val="00C93B5E"/>
    <w:rsid w:val="00C93FF3"/>
    <w:rsid w:val="00C9524B"/>
    <w:rsid w:val="00C95D8D"/>
    <w:rsid w:val="00CA24F2"/>
    <w:rsid w:val="00CA2883"/>
    <w:rsid w:val="00CA2AEF"/>
    <w:rsid w:val="00CA6136"/>
    <w:rsid w:val="00CA6BCC"/>
    <w:rsid w:val="00CA71DA"/>
    <w:rsid w:val="00CA7D22"/>
    <w:rsid w:val="00CB5032"/>
    <w:rsid w:val="00CB5C65"/>
    <w:rsid w:val="00CB62AC"/>
    <w:rsid w:val="00CB77EA"/>
    <w:rsid w:val="00CB7DF6"/>
    <w:rsid w:val="00CC303F"/>
    <w:rsid w:val="00CC3C96"/>
    <w:rsid w:val="00CC5776"/>
    <w:rsid w:val="00CD077C"/>
    <w:rsid w:val="00CD1ACE"/>
    <w:rsid w:val="00CD342A"/>
    <w:rsid w:val="00CD3940"/>
    <w:rsid w:val="00CD3B1F"/>
    <w:rsid w:val="00CD4E32"/>
    <w:rsid w:val="00CD5E42"/>
    <w:rsid w:val="00CD7E60"/>
    <w:rsid w:val="00CE3AE5"/>
    <w:rsid w:val="00CE5429"/>
    <w:rsid w:val="00CE5D27"/>
    <w:rsid w:val="00CE6A0B"/>
    <w:rsid w:val="00CE7F43"/>
    <w:rsid w:val="00CF0950"/>
    <w:rsid w:val="00CF3B07"/>
    <w:rsid w:val="00CF4C13"/>
    <w:rsid w:val="00CF4DC9"/>
    <w:rsid w:val="00CF625A"/>
    <w:rsid w:val="00CF6384"/>
    <w:rsid w:val="00CF6902"/>
    <w:rsid w:val="00CF7924"/>
    <w:rsid w:val="00D06E88"/>
    <w:rsid w:val="00D0750E"/>
    <w:rsid w:val="00D11F90"/>
    <w:rsid w:val="00D13527"/>
    <w:rsid w:val="00D15E4E"/>
    <w:rsid w:val="00D161AC"/>
    <w:rsid w:val="00D174E6"/>
    <w:rsid w:val="00D17601"/>
    <w:rsid w:val="00D20D6E"/>
    <w:rsid w:val="00D21300"/>
    <w:rsid w:val="00D230DC"/>
    <w:rsid w:val="00D236EA"/>
    <w:rsid w:val="00D303E8"/>
    <w:rsid w:val="00D31BA6"/>
    <w:rsid w:val="00D31EB9"/>
    <w:rsid w:val="00D335E1"/>
    <w:rsid w:val="00D35FEA"/>
    <w:rsid w:val="00D366E4"/>
    <w:rsid w:val="00D423AC"/>
    <w:rsid w:val="00D44DC6"/>
    <w:rsid w:val="00D47FA3"/>
    <w:rsid w:val="00D514E5"/>
    <w:rsid w:val="00D539D5"/>
    <w:rsid w:val="00D544D5"/>
    <w:rsid w:val="00D5508E"/>
    <w:rsid w:val="00D602DE"/>
    <w:rsid w:val="00D6096A"/>
    <w:rsid w:val="00D60ABE"/>
    <w:rsid w:val="00D60CE5"/>
    <w:rsid w:val="00D61811"/>
    <w:rsid w:val="00D62055"/>
    <w:rsid w:val="00D63F9F"/>
    <w:rsid w:val="00D646D3"/>
    <w:rsid w:val="00D66264"/>
    <w:rsid w:val="00D662F2"/>
    <w:rsid w:val="00D665F1"/>
    <w:rsid w:val="00D6711E"/>
    <w:rsid w:val="00D67EF6"/>
    <w:rsid w:val="00D73B08"/>
    <w:rsid w:val="00D74BE7"/>
    <w:rsid w:val="00D76ADD"/>
    <w:rsid w:val="00D80127"/>
    <w:rsid w:val="00D805D1"/>
    <w:rsid w:val="00D82FD7"/>
    <w:rsid w:val="00D84FA6"/>
    <w:rsid w:val="00D85ECC"/>
    <w:rsid w:val="00D864C7"/>
    <w:rsid w:val="00D86552"/>
    <w:rsid w:val="00D86EB7"/>
    <w:rsid w:val="00D92B5E"/>
    <w:rsid w:val="00D93388"/>
    <w:rsid w:val="00D95457"/>
    <w:rsid w:val="00D97A7B"/>
    <w:rsid w:val="00DA0D4C"/>
    <w:rsid w:val="00DA1259"/>
    <w:rsid w:val="00DA182D"/>
    <w:rsid w:val="00DA1AAD"/>
    <w:rsid w:val="00DA1BE8"/>
    <w:rsid w:val="00DA1E08"/>
    <w:rsid w:val="00DA4A52"/>
    <w:rsid w:val="00DA4FBC"/>
    <w:rsid w:val="00DA7457"/>
    <w:rsid w:val="00DB055B"/>
    <w:rsid w:val="00DB1668"/>
    <w:rsid w:val="00DB2995"/>
    <w:rsid w:val="00DB2ED0"/>
    <w:rsid w:val="00DB38F0"/>
    <w:rsid w:val="00DB3EE8"/>
    <w:rsid w:val="00DB4701"/>
    <w:rsid w:val="00DB4BAA"/>
    <w:rsid w:val="00DB59C0"/>
    <w:rsid w:val="00DB7E46"/>
    <w:rsid w:val="00DB7F22"/>
    <w:rsid w:val="00DC0146"/>
    <w:rsid w:val="00DC03EE"/>
    <w:rsid w:val="00DC1BA1"/>
    <w:rsid w:val="00DC36B8"/>
    <w:rsid w:val="00DC4CAB"/>
    <w:rsid w:val="00DC53F2"/>
    <w:rsid w:val="00DC6B01"/>
    <w:rsid w:val="00DC7797"/>
    <w:rsid w:val="00DD078A"/>
    <w:rsid w:val="00DD1737"/>
    <w:rsid w:val="00DD328F"/>
    <w:rsid w:val="00DD34E1"/>
    <w:rsid w:val="00DD7667"/>
    <w:rsid w:val="00DD777C"/>
    <w:rsid w:val="00DE0299"/>
    <w:rsid w:val="00DE0D75"/>
    <w:rsid w:val="00DE19EB"/>
    <w:rsid w:val="00DE5B0F"/>
    <w:rsid w:val="00DF2CB1"/>
    <w:rsid w:val="00DF33CF"/>
    <w:rsid w:val="00DF69F9"/>
    <w:rsid w:val="00DF7425"/>
    <w:rsid w:val="00E00330"/>
    <w:rsid w:val="00E02B50"/>
    <w:rsid w:val="00E03CC9"/>
    <w:rsid w:val="00E04B08"/>
    <w:rsid w:val="00E04B3F"/>
    <w:rsid w:val="00E060C1"/>
    <w:rsid w:val="00E06B1E"/>
    <w:rsid w:val="00E07787"/>
    <w:rsid w:val="00E07FBC"/>
    <w:rsid w:val="00E10AAF"/>
    <w:rsid w:val="00E10CD0"/>
    <w:rsid w:val="00E115D0"/>
    <w:rsid w:val="00E1258C"/>
    <w:rsid w:val="00E147D5"/>
    <w:rsid w:val="00E14C0E"/>
    <w:rsid w:val="00E16642"/>
    <w:rsid w:val="00E1787C"/>
    <w:rsid w:val="00E2249E"/>
    <w:rsid w:val="00E22B76"/>
    <w:rsid w:val="00E234F1"/>
    <w:rsid w:val="00E24762"/>
    <w:rsid w:val="00E25AF8"/>
    <w:rsid w:val="00E26C55"/>
    <w:rsid w:val="00E26F6C"/>
    <w:rsid w:val="00E27EC3"/>
    <w:rsid w:val="00E320A0"/>
    <w:rsid w:val="00E326EA"/>
    <w:rsid w:val="00E34CA3"/>
    <w:rsid w:val="00E37DA6"/>
    <w:rsid w:val="00E37FE3"/>
    <w:rsid w:val="00E43AAA"/>
    <w:rsid w:val="00E44C62"/>
    <w:rsid w:val="00E54EF2"/>
    <w:rsid w:val="00E55FD9"/>
    <w:rsid w:val="00E60DC5"/>
    <w:rsid w:val="00E61A93"/>
    <w:rsid w:val="00E6231F"/>
    <w:rsid w:val="00E63559"/>
    <w:rsid w:val="00E67180"/>
    <w:rsid w:val="00E676E2"/>
    <w:rsid w:val="00E709E5"/>
    <w:rsid w:val="00E72546"/>
    <w:rsid w:val="00E74FA5"/>
    <w:rsid w:val="00E756A8"/>
    <w:rsid w:val="00E76032"/>
    <w:rsid w:val="00E768F2"/>
    <w:rsid w:val="00E77E9E"/>
    <w:rsid w:val="00E81DED"/>
    <w:rsid w:val="00E82316"/>
    <w:rsid w:val="00E825B3"/>
    <w:rsid w:val="00E849DE"/>
    <w:rsid w:val="00E85948"/>
    <w:rsid w:val="00E86536"/>
    <w:rsid w:val="00E87EE7"/>
    <w:rsid w:val="00E9167E"/>
    <w:rsid w:val="00E922A4"/>
    <w:rsid w:val="00E93F3F"/>
    <w:rsid w:val="00E97944"/>
    <w:rsid w:val="00EA05D9"/>
    <w:rsid w:val="00EA0C7F"/>
    <w:rsid w:val="00EA1104"/>
    <w:rsid w:val="00EA1846"/>
    <w:rsid w:val="00EA18E1"/>
    <w:rsid w:val="00EA3B8C"/>
    <w:rsid w:val="00EA5257"/>
    <w:rsid w:val="00EA59B6"/>
    <w:rsid w:val="00EB0433"/>
    <w:rsid w:val="00EB1B8B"/>
    <w:rsid w:val="00EB339E"/>
    <w:rsid w:val="00EB3C54"/>
    <w:rsid w:val="00EB4951"/>
    <w:rsid w:val="00EC098E"/>
    <w:rsid w:val="00EC0BCB"/>
    <w:rsid w:val="00EC0E71"/>
    <w:rsid w:val="00EC221F"/>
    <w:rsid w:val="00EC799E"/>
    <w:rsid w:val="00ED281F"/>
    <w:rsid w:val="00ED50F6"/>
    <w:rsid w:val="00ED613A"/>
    <w:rsid w:val="00ED6CFA"/>
    <w:rsid w:val="00ED6D53"/>
    <w:rsid w:val="00EE1855"/>
    <w:rsid w:val="00EE2B68"/>
    <w:rsid w:val="00EE6D70"/>
    <w:rsid w:val="00EF1386"/>
    <w:rsid w:val="00EF2491"/>
    <w:rsid w:val="00EF256B"/>
    <w:rsid w:val="00EF5277"/>
    <w:rsid w:val="00EF52FB"/>
    <w:rsid w:val="00EF54CA"/>
    <w:rsid w:val="00EF5CAD"/>
    <w:rsid w:val="00EF611F"/>
    <w:rsid w:val="00EF6A7E"/>
    <w:rsid w:val="00EF71DF"/>
    <w:rsid w:val="00F1030E"/>
    <w:rsid w:val="00F10925"/>
    <w:rsid w:val="00F12F6C"/>
    <w:rsid w:val="00F12F7D"/>
    <w:rsid w:val="00F13DAE"/>
    <w:rsid w:val="00F155BC"/>
    <w:rsid w:val="00F157D8"/>
    <w:rsid w:val="00F172C9"/>
    <w:rsid w:val="00F201AD"/>
    <w:rsid w:val="00F204E3"/>
    <w:rsid w:val="00F21481"/>
    <w:rsid w:val="00F222BB"/>
    <w:rsid w:val="00F2491A"/>
    <w:rsid w:val="00F24C6C"/>
    <w:rsid w:val="00F24EF6"/>
    <w:rsid w:val="00F254E4"/>
    <w:rsid w:val="00F27AE8"/>
    <w:rsid w:val="00F35D19"/>
    <w:rsid w:val="00F37007"/>
    <w:rsid w:val="00F3760A"/>
    <w:rsid w:val="00F41269"/>
    <w:rsid w:val="00F41319"/>
    <w:rsid w:val="00F43479"/>
    <w:rsid w:val="00F44B13"/>
    <w:rsid w:val="00F44FAB"/>
    <w:rsid w:val="00F45BE7"/>
    <w:rsid w:val="00F45C51"/>
    <w:rsid w:val="00F45CA8"/>
    <w:rsid w:val="00F463D7"/>
    <w:rsid w:val="00F50163"/>
    <w:rsid w:val="00F508B4"/>
    <w:rsid w:val="00F510E2"/>
    <w:rsid w:val="00F515F1"/>
    <w:rsid w:val="00F5194B"/>
    <w:rsid w:val="00F52269"/>
    <w:rsid w:val="00F5273A"/>
    <w:rsid w:val="00F52D6B"/>
    <w:rsid w:val="00F546FB"/>
    <w:rsid w:val="00F55335"/>
    <w:rsid w:val="00F571F4"/>
    <w:rsid w:val="00F57D1C"/>
    <w:rsid w:val="00F6086A"/>
    <w:rsid w:val="00F62824"/>
    <w:rsid w:val="00F62D7C"/>
    <w:rsid w:val="00F634C8"/>
    <w:rsid w:val="00F67155"/>
    <w:rsid w:val="00F7058F"/>
    <w:rsid w:val="00F70D21"/>
    <w:rsid w:val="00F70FEF"/>
    <w:rsid w:val="00F7365E"/>
    <w:rsid w:val="00F74F3A"/>
    <w:rsid w:val="00F75C02"/>
    <w:rsid w:val="00F77ECB"/>
    <w:rsid w:val="00F81E47"/>
    <w:rsid w:val="00F824EF"/>
    <w:rsid w:val="00F85FED"/>
    <w:rsid w:val="00F86474"/>
    <w:rsid w:val="00F868B4"/>
    <w:rsid w:val="00F8730A"/>
    <w:rsid w:val="00F90601"/>
    <w:rsid w:val="00F94D2F"/>
    <w:rsid w:val="00F961BB"/>
    <w:rsid w:val="00F97406"/>
    <w:rsid w:val="00FA072C"/>
    <w:rsid w:val="00FB11BE"/>
    <w:rsid w:val="00FB1357"/>
    <w:rsid w:val="00FB13FA"/>
    <w:rsid w:val="00FB1B56"/>
    <w:rsid w:val="00FB4C6F"/>
    <w:rsid w:val="00FB6181"/>
    <w:rsid w:val="00FB72F3"/>
    <w:rsid w:val="00FC04FC"/>
    <w:rsid w:val="00FC5E76"/>
    <w:rsid w:val="00FC69CF"/>
    <w:rsid w:val="00FC7214"/>
    <w:rsid w:val="00FC76B8"/>
    <w:rsid w:val="00FD0B70"/>
    <w:rsid w:val="00FD11B8"/>
    <w:rsid w:val="00FD1440"/>
    <w:rsid w:val="00FD1489"/>
    <w:rsid w:val="00FD1495"/>
    <w:rsid w:val="00FD2AC6"/>
    <w:rsid w:val="00FD2DA9"/>
    <w:rsid w:val="00FD3099"/>
    <w:rsid w:val="00FD34F4"/>
    <w:rsid w:val="00FD3E97"/>
    <w:rsid w:val="00FD48D3"/>
    <w:rsid w:val="00FD59F1"/>
    <w:rsid w:val="00FD6FE2"/>
    <w:rsid w:val="00FD7383"/>
    <w:rsid w:val="00FD74CB"/>
    <w:rsid w:val="00FD7543"/>
    <w:rsid w:val="00FD7BF5"/>
    <w:rsid w:val="00FE0DC0"/>
    <w:rsid w:val="00FE185C"/>
    <w:rsid w:val="00FE3B36"/>
    <w:rsid w:val="00FE3C5F"/>
    <w:rsid w:val="00FE4705"/>
    <w:rsid w:val="00FE557C"/>
    <w:rsid w:val="00FE6D45"/>
    <w:rsid w:val="00FF0AEC"/>
    <w:rsid w:val="00FF47A7"/>
    <w:rsid w:val="00FF4C3A"/>
    <w:rsid w:val="00FF521E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7591C6"/>
  <w15:docId w15:val="{B88C6581-02B1-4DC5-AB33-92D071DB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1BD8"/>
    <w:pPr>
      <w:tabs>
        <w:tab w:val="left" w:pos="567"/>
      </w:tabs>
      <w:spacing w:line="260" w:lineRule="exact"/>
    </w:pPr>
    <w:rPr>
      <w:snapToGrid w:val="0"/>
      <w:sz w:val="22"/>
      <w:lang w:eastAsia="zh-CN"/>
    </w:rPr>
  </w:style>
  <w:style w:type="paragraph" w:styleId="Cmsor1">
    <w:name w:val="heading 1"/>
    <w:basedOn w:val="Norml"/>
    <w:next w:val="Norml"/>
    <w:link w:val="Cmsor1Char"/>
    <w:qFormat/>
    <w:rsid w:val="00A21BD8"/>
    <w:pPr>
      <w:numPr>
        <w:numId w:val="10"/>
      </w:numPr>
      <w:tabs>
        <w:tab w:val="clear" w:pos="567"/>
      </w:tabs>
      <w:suppressAutoHyphens/>
      <w:spacing w:before="240" w:after="120"/>
      <w:outlineLvl w:val="0"/>
    </w:pPr>
    <w:rPr>
      <w:rFonts w:eastAsia="Times New Roman"/>
      <w:b/>
      <w:caps/>
      <w:snapToGrid/>
      <w:sz w:val="26"/>
      <w:lang w:val="en-US"/>
    </w:rPr>
  </w:style>
  <w:style w:type="paragraph" w:styleId="Cmsor2">
    <w:name w:val="heading 2"/>
    <w:basedOn w:val="Norml"/>
    <w:next w:val="Norml"/>
    <w:link w:val="Cmsor2Char"/>
    <w:qFormat/>
    <w:rsid w:val="00A21BD8"/>
    <w:pPr>
      <w:keepNext/>
      <w:numPr>
        <w:ilvl w:val="1"/>
        <w:numId w:val="10"/>
      </w:numPr>
      <w:tabs>
        <w:tab w:val="clear" w:pos="567"/>
      </w:tabs>
      <w:suppressAutoHyphens/>
      <w:spacing w:before="240" w:after="60"/>
      <w:outlineLvl w:val="1"/>
    </w:pPr>
    <w:rPr>
      <w:rFonts w:ascii="Helvetica" w:eastAsia="Times New Roman" w:hAnsi="Helvetica"/>
      <w:b/>
      <w:i/>
      <w:snapToGrid/>
      <w:sz w:val="24"/>
      <w:lang w:val="hu-HU"/>
    </w:rPr>
  </w:style>
  <w:style w:type="paragraph" w:styleId="Cmsor3">
    <w:name w:val="heading 3"/>
    <w:basedOn w:val="Norml"/>
    <w:next w:val="Norml"/>
    <w:link w:val="Cmsor3Char"/>
    <w:qFormat/>
    <w:rsid w:val="00A21BD8"/>
    <w:pPr>
      <w:keepNext/>
      <w:keepLines/>
      <w:numPr>
        <w:ilvl w:val="2"/>
        <w:numId w:val="10"/>
      </w:numPr>
      <w:tabs>
        <w:tab w:val="clear" w:pos="567"/>
      </w:tabs>
      <w:suppressAutoHyphens/>
      <w:spacing w:before="120" w:after="80"/>
      <w:outlineLvl w:val="2"/>
    </w:pPr>
    <w:rPr>
      <w:rFonts w:eastAsia="Times New Roman"/>
      <w:b/>
      <w:snapToGrid/>
      <w:kern w:val="1"/>
      <w:sz w:val="24"/>
      <w:lang w:val="en-US"/>
    </w:rPr>
  </w:style>
  <w:style w:type="paragraph" w:styleId="Cmsor4">
    <w:name w:val="heading 4"/>
    <w:basedOn w:val="Norml"/>
    <w:next w:val="Norml"/>
    <w:link w:val="Cmsor4Char"/>
    <w:qFormat/>
    <w:rsid w:val="00A21BD8"/>
    <w:pPr>
      <w:keepNext/>
      <w:numPr>
        <w:ilvl w:val="3"/>
        <w:numId w:val="10"/>
      </w:numPr>
      <w:tabs>
        <w:tab w:val="clear" w:pos="567"/>
      </w:tabs>
      <w:suppressAutoHyphens/>
      <w:jc w:val="both"/>
      <w:outlineLvl w:val="3"/>
    </w:pPr>
    <w:rPr>
      <w:rFonts w:eastAsia="Times New Roman"/>
      <w:b/>
      <w:snapToGrid/>
    </w:rPr>
  </w:style>
  <w:style w:type="paragraph" w:styleId="Cmsor5">
    <w:name w:val="heading 5"/>
    <w:basedOn w:val="Norml"/>
    <w:next w:val="Norml"/>
    <w:link w:val="Cmsor5Char"/>
    <w:qFormat/>
    <w:rsid w:val="00A21BD8"/>
    <w:pPr>
      <w:keepNext/>
      <w:numPr>
        <w:ilvl w:val="4"/>
        <w:numId w:val="10"/>
      </w:numPr>
      <w:tabs>
        <w:tab w:val="clear" w:pos="567"/>
      </w:tabs>
      <w:suppressAutoHyphens/>
      <w:jc w:val="both"/>
      <w:outlineLvl w:val="4"/>
    </w:pPr>
    <w:rPr>
      <w:rFonts w:eastAsia="Times New Roman"/>
      <w:snapToGrid/>
    </w:rPr>
  </w:style>
  <w:style w:type="paragraph" w:styleId="Cmsor6">
    <w:name w:val="heading 6"/>
    <w:basedOn w:val="Norml"/>
    <w:next w:val="Norml"/>
    <w:link w:val="Cmsor6Char"/>
    <w:qFormat/>
    <w:rsid w:val="00A21BD8"/>
    <w:pPr>
      <w:keepNext/>
      <w:numPr>
        <w:ilvl w:val="5"/>
        <w:numId w:val="10"/>
      </w:numPr>
      <w:tabs>
        <w:tab w:val="left" w:pos="4536"/>
      </w:tabs>
      <w:suppressAutoHyphens/>
      <w:outlineLvl w:val="5"/>
    </w:pPr>
    <w:rPr>
      <w:rFonts w:eastAsia="Times New Roman"/>
      <w:i/>
      <w:snapToGrid/>
      <w:lang w:val="hu-HU"/>
    </w:rPr>
  </w:style>
  <w:style w:type="paragraph" w:styleId="Cmsor7">
    <w:name w:val="heading 7"/>
    <w:basedOn w:val="Norml"/>
    <w:next w:val="Norml"/>
    <w:link w:val="Cmsor7Char"/>
    <w:qFormat/>
    <w:rsid w:val="00A21BD8"/>
    <w:pPr>
      <w:keepNext/>
      <w:numPr>
        <w:ilvl w:val="6"/>
        <w:numId w:val="10"/>
      </w:numPr>
      <w:tabs>
        <w:tab w:val="left" w:pos="4536"/>
      </w:tabs>
      <w:suppressAutoHyphens/>
      <w:jc w:val="both"/>
      <w:outlineLvl w:val="6"/>
    </w:pPr>
    <w:rPr>
      <w:rFonts w:eastAsia="Times New Roman"/>
      <w:i/>
      <w:snapToGrid/>
      <w:lang w:val="hu-HU"/>
    </w:rPr>
  </w:style>
  <w:style w:type="paragraph" w:styleId="Cmsor8">
    <w:name w:val="heading 8"/>
    <w:basedOn w:val="Norml"/>
    <w:next w:val="Norml"/>
    <w:link w:val="Cmsor8Char"/>
    <w:qFormat/>
    <w:rsid w:val="00A21BD8"/>
    <w:pPr>
      <w:keepNext/>
      <w:numPr>
        <w:ilvl w:val="7"/>
        <w:numId w:val="10"/>
      </w:numPr>
      <w:tabs>
        <w:tab w:val="clear" w:pos="567"/>
      </w:tabs>
      <w:suppressAutoHyphens/>
      <w:jc w:val="both"/>
      <w:outlineLvl w:val="7"/>
    </w:pPr>
    <w:rPr>
      <w:rFonts w:eastAsia="Times New Roman"/>
      <w:b/>
      <w:i/>
      <w:snapToGrid/>
      <w:lang w:val="hu-HU"/>
    </w:rPr>
  </w:style>
  <w:style w:type="paragraph" w:styleId="Cmsor9">
    <w:name w:val="heading 9"/>
    <w:basedOn w:val="Norml"/>
    <w:next w:val="Norml"/>
    <w:link w:val="Cmsor9Char"/>
    <w:qFormat/>
    <w:rsid w:val="00A21BD8"/>
    <w:pPr>
      <w:keepNext/>
      <w:numPr>
        <w:ilvl w:val="8"/>
        <w:numId w:val="10"/>
      </w:numPr>
      <w:tabs>
        <w:tab w:val="clear" w:pos="567"/>
      </w:tabs>
      <w:suppressAutoHyphens/>
      <w:jc w:val="both"/>
      <w:outlineLvl w:val="8"/>
    </w:pPr>
    <w:rPr>
      <w:rFonts w:eastAsia="Times New Roman"/>
      <w:b/>
      <w:i/>
      <w:snapToGrid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21BD8"/>
    <w:pPr>
      <w:tabs>
        <w:tab w:val="center" w:pos="4536"/>
        <w:tab w:val="right" w:pos="8306"/>
      </w:tabs>
    </w:pPr>
    <w:rPr>
      <w:rFonts w:ascii="Arial" w:hAnsi="Arial"/>
      <w:noProof/>
      <w:sz w:val="16"/>
      <w:lang w:val="en-US"/>
    </w:rPr>
  </w:style>
  <w:style w:type="character" w:customStyle="1" w:styleId="llbChar">
    <w:name w:val="Élőláb Char"/>
    <w:link w:val="llb"/>
    <w:rPr>
      <w:rFonts w:ascii="Arial" w:hAnsi="Arial"/>
      <w:noProof/>
      <w:snapToGrid w:val="0"/>
      <w:sz w:val="16"/>
    </w:rPr>
  </w:style>
  <w:style w:type="character" w:styleId="Oldalszm">
    <w:name w:val="page number"/>
    <w:rPr>
      <w:rFonts w:cs="Times New Roman"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uborkszveg">
    <w:name w:val="Balloon Text"/>
    <w:basedOn w:val="Norml"/>
    <w:link w:val="BuborkszvegChar"/>
    <w:rsid w:val="00A21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145CD"/>
    <w:rPr>
      <w:rFonts w:ascii="Tahoma" w:hAnsi="Tahoma" w:cs="Tahoma"/>
      <w:snapToGrid w:val="0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rsid w:val="00A21BD8"/>
    <w:pPr>
      <w:tabs>
        <w:tab w:val="clear" w:pos="567"/>
        <w:tab w:val="center" w:pos="4320"/>
        <w:tab w:val="right" w:pos="8640"/>
      </w:tabs>
    </w:pPr>
  </w:style>
  <w:style w:type="character" w:styleId="Jegyzethivatkozs">
    <w:name w:val="annotation reference"/>
    <w:semiHidden/>
    <w:rsid w:val="0029347B"/>
    <w:rPr>
      <w:sz w:val="16"/>
      <w:szCs w:val="16"/>
    </w:rPr>
  </w:style>
  <w:style w:type="paragraph" w:styleId="Jegyzetszveg">
    <w:name w:val="annotation text"/>
    <w:basedOn w:val="Norml"/>
    <w:semiHidden/>
    <w:rsid w:val="00A21BD8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9347B"/>
    <w:rPr>
      <w:b/>
      <w:bCs/>
    </w:rPr>
  </w:style>
  <w:style w:type="paragraph" w:customStyle="1" w:styleId="EMEAEnBodyText">
    <w:name w:val="EMEA En Body Text"/>
    <w:basedOn w:val="Norml"/>
    <w:rsid w:val="00704070"/>
    <w:pPr>
      <w:tabs>
        <w:tab w:val="clear" w:pos="567"/>
      </w:tabs>
      <w:spacing w:before="120" w:after="120" w:line="240" w:lineRule="auto"/>
      <w:jc w:val="both"/>
    </w:pPr>
    <w:rPr>
      <w:rFonts w:eastAsia="Times New Roman"/>
      <w:snapToGrid/>
      <w:lang w:val="en-US" w:eastAsia="en-US"/>
    </w:rPr>
  </w:style>
  <w:style w:type="character" w:customStyle="1" w:styleId="Cmsor1Char">
    <w:name w:val="Címsor 1 Char"/>
    <w:link w:val="Cmsor1"/>
    <w:rsid w:val="00A21BD8"/>
    <w:rPr>
      <w:rFonts w:eastAsia="Times New Roman"/>
      <w:b/>
      <w:caps/>
      <w:sz w:val="26"/>
    </w:rPr>
  </w:style>
  <w:style w:type="character" w:customStyle="1" w:styleId="Cmsor2Char">
    <w:name w:val="Címsor 2 Char"/>
    <w:link w:val="Cmsor2"/>
    <w:rsid w:val="00A21BD8"/>
    <w:rPr>
      <w:rFonts w:ascii="Helvetica" w:eastAsia="Times New Roman" w:hAnsi="Helvetica"/>
      <w:b/>
      <w:i/>
      <w:sz w:val="24"/>
      <w:lang w:val="hu-HU"/>
    </w:rPr>
  </w:style>
  <w:style w:type="character" w:customStyle="1" w:styleId="Cmsor3Char">
    <w:name w:val="Címsor 3 Char"/>
    <w:link w:val="Cmsor3"/>
    <w:rsid w:val="00A21BD8"/>
    <w:rPr>
      <w:rFonts w:eastAsia="Times New Roman"/>
      <w:b/>
      <w:kern w:val="1"/>
      <w:sz w:val="24"/>
    </w:rPr>
  </w:style>
  <w:style w:type="character" w:customStyle="1" w:styleId="Cmsor4Char">
    <w:name w:val="Címsor 4 Char"/>
    <w:link w:val="Cmsor4"/>
    <w:rsid w:val="00A21BD8"/>
    <w:rPr>
      <w:rFonts w:eastAsia="Times New Roman"/>
      <w:b/>
      <w:sz w:val="22"/>
    </w:rPr>
  </w:style>
  <w:style w:type="character" w:customStyle="1" w:styleId="Cmsor5Char">
    <w:name w:val="Címsor 5 Char"/>
    <w:link w:val="Cmsor5"/>
    <w:rsid w:val="00A21BD8"/>
    <w:rPr>
      <w:rFonts w:eastAsia="Times New Roman"/>
      <w:sz w:val="22"/>
    </w:rPr>
  </w:style>
  <w:style w:type="character" w:customStyle="1" w:styleId="Cmsor6Char">
    <w:name w:val="Címsor 6 Char"/>
    <w:link w:val="Cmsor6"/>
    <w:rsid w:val="00A21BD8"/>
    <w:rPr>
      <w:rFonts w:eastAsia="Times New Roman"/>
      <w:i/>
      <w:sz w:val="22"/>
      <w:lang w:val="hu-HU"/>
    </w:rPr>
  </w:style>
  <w:style w:type="character" w:customStyle="1" w:styleId="Cmsor7Char">
    <w:name w:val="Címsor 7 Char"/>
    <w:link w:val="Cmsor7"/>
    <w:rsid w:val="00A21BD8"/>
    <w:rPr>
      <w:rFonts w:eastAsia="Times New Roman"/>
      <w:i/>
      <w:sz w:val="22"/>
      <w:lang w:val="hu-HU"/>
    </w:rPr>
  </w:style>
  <w:style w:type="character" w:customStyle="1" w:styleId="Cmsor8Char">
    <w:name w:val="Címsor 8 Char"/>
    <w:link w:val="Cmsor8"/>
    <w:rsid w:val="00A21BD8"/>
    <w:rPr>
      <w:rFonts w:eastAsia="Times New Roman"/>
      <w:b/>
      <w:i/>
      <w:sz w:val="22"/>
      <w:lang w:val="hu-HU"/>
    </w:rPr>
  </w:style>
  <w:style w:type="character" w:customStyle="1" w:styleId="Cmsor9Char">
    <w:name w:val="Címsor 9 Char"/>
    <w:link w:val="Cmsor9"/>
    <w:rsid w:val="00A21BD8"/>
    <w:rPr>
      <w:rFonts w:eastAsia="Times New Roman"/>
      <w:b/>
      <w:i/>
      <w:sz w:val="22"/>
      <w:lang w:val="hu-HU"/>
    </w:rPr>
  </w:style>
  <w:style w:type="character" w:styleId="Mrltotthiperhivatkozs">
    <w:name w:val="FollowedHyperlink"/>
    <w:rsid w:val="00A21BD8"/>
    <w:rPr>
      <w:color w:val="800080"/>
      <w:u w:val="single"/>
    </w:rPr>
  </w:style>
  <w:style w:type="paragraph" w:styleId="Szvegtrzs">
    <w:name w:val="Body Text"/>
    <w:basedOn w:val="Norml"/>
    <w:link w:val="SzvegtrzsChar"/>
    <w:rsid w:val="00A21BD8"/>
    <w:pPr>
      <w:tabs>
        <w:tab w:val="clear" w:pos="567"/>
      </w:tabs>
      <w:suppressAutoHyphens/>
    </w:pPr>
    <w:rPr>
      <w:rFonts w:eastAsia="Times New Roman"/>
      <w:b/>
      <w:i/>
      <w:snapToGrid/>
      <w:lang w:val="hu-HU"/>
    </w:rPr>
  </w:style>
  <w:style w:type="character" w:customStyle="1" w:styleId="SzvegtrzsChar">
    <w:name w:val="Szövegtörzs Char"/>
    <w:link w:val="Szvegtrzs"/>
    <w:rsid w:val="00A21BD8"/>
    <w:rPr>
      <w:rFonts w:eastAsia="Times New Roman"/>
      <w:b/>
      <w:i/>
      <w:sz w:val="22"/>
      <w:lang w:val="hu-HU"/>
    </w:rPr>
  </w:style>
  <w:style w:type="paragraph" w:styleId="Lista">
    <w:name w:val="List"/>
    <w:basedOn w:val="Szvegtrzs"/>
    <w:rsid w:val="00A21BD8"/>
    <w:rPr>
      <w:rFonts w:cs="Tahoma"/>
    </w:rPr>
  </w:style>
  <w:style w:type="paragraph" w:styleId="Szvegtrzsbehzssal">
    <w:name w:val="Body Text Indent"/>
    <w:basedOn w:val="Norml"/>
    <w:link w:val="SzvegtrzsbehzssalChar"/>
    <w:rsid w:val="00A21BD8"/>
    <w:pPr>
      <w:tabs>
        <w:tab w:val="clear" w:pos="567"/>
      </w:tabs>
      <w:suppressAutoHyphens/>
      <w:spacing w:line="260" w:lineRule="atLeast"/>
      <w:ind w:left="567" w:hanging="567"/>
    </w:pPr>
    <w:rPr>
      <w:rFonts w:eastAsia="Times New Roman"/>
      <w:b/>
      <w:snapToGrid/>
      <w:color w:val="808080"/>
      <w:lang w:val="hu-HU"/>
    </w:rPr>
  </w:style>
  <w:style w:type="character" w:customStyle="1" w:styleId="SzvegtrzsbehzssalChar">
    <w:name w:val="Szövegtörzs behúzással Char"/>
    <w:link w:val="Szvegtrzsbehzssal"/>
    <w:rsid w:val="00A21BD8"/>
    <w:rPr>
      <w:rFonts w:eastAsia="Times New Roman"/>
      <w:b/>
      <w:color w:val="808080"/>
      <w:sz w:val="22"/>
      <w:lang w:val="hu-HU"/>
    </w:rPr>
  </w:style>
  <w:style w:type="paragraph" w:styleId="Bortkcm">
    <w:name w:val="envelope address"/>
    <w:basedOn w:val="Norml"/>
    <w:next w:val="Szvegtrzs"/>
    <w:rsid w:val="00A21BD8"/>
    <w:pPr>
      <w:keepNext/>
      <w:tabs>
        <w:tab w:val="clear" w:pos="567"/>
      </w:tabs>
      <w:suppressAutoHyphens/>
      <w:spacing w:before="240" w:after="120"/>
    </w:pPr>
    <w:rPr>
      <w:rFonts w:ascii="Albany" w:eastAsia="HG Mincho Light J" w:hAnsi="Albany"/>
      <w:snapToGrid/>
      <w:sz w:val="28"/>
      <w:lang w:val="hu-HU"/>
    </w:rPr>
  </w:style>
  <w:style w:type="paragraph" w:styleId="Lbjegyzetszveg">
    <w:name w:val="footnote text"/>
    <w:basedOn w:val="Norml"/>
    <w:link w:val="LbjegyzetszvegChar"/>
    <w:rsid w:val="00A21BD8"/>
    <w:pPr>
      <w:tabs>
        <w:tab w:val="clear" w:pos="567"/>
      </w:tabs>
      <w:suppressAutoHyphens/>
    </w:pPr>
    <w:rPr>
      <w:rFonts w:eastAsia="Times New Roman"/>
      <w:snapToGrid/>
      <w:sz w:val="20"/>
      <w:lang w:val="hu-HU"/>
    </w:rPr>
  </w:style>
  <w:style w:type="character" w:customStyle="1" w:styleId="LbjegyzetszvegChar">
    <w:name w:val="Lábjegyzetszöveg Char"/>
    <w:link w:val="Lbjegyzetszveg"/>
    <w:rsid w:val="00A21BD8"/>
    <w:rPr>
      <w:rFonts w:eastAsia="Times New Roman"/>
      <w:lang w:val="hu-HU"/>
    </w:rPr>
  </w:style>
  <w:style w:type="paragraph" w:styleId="Vgjegyzetszvege">
    <w:name w:val="endnote text"/>
    <w:basedOn w:val="Norml"/>
    <w:next w:val="Norml"/>
    <w:link w:val="VgjegyzetszvegeChar"/>
    <w:rsid w:val="00A21BD8"/>
    <w:pPr>
      <w:tabs>
        <w:tab w:val="clear" w:pos="567"/>
      </w:tabs>
      <w:suppressAutoHyphens/>
      <w:spacing w:line="260" w:lineRule="atLeast"/>
    </w:pPr>
    <w:rPr>
      <w:rFonts w:eastAsia="Times New Roman"/>
      <w:snapToGrid/>
      <w:lang w:val="hu-HU"/>
    </w:rPr>
  </w:style>
  <w:style w:type="character" w:customStyle="1" w:styleId="VgjegyzetszvegeChar">
    <w:name w:val="Végjegyzet szövege Char"/>
    <w:link w:val="Vgjegyzetszvege"/>
    <w:rsid w:val="00A21BD8"/>
    <w:rPr>
      <w:rFonts w:eastAsia="Times New Roman"/>
      <w:sz w:val="22"/>
      <w:lang w:val="hu-HU"/>
    </w:rPr>
  </w:style>
  <w:style w:type="paragraph" w:styleId="Szvegblokk">
    <w:name w:val="Block Text"/>
    <w:basedOn w:val="Norml"/>
    <w:rsid w:val="00A21BD8"/>
    <w:pPr>
      <w:tabs>
        <w:tab w:val="clear" w:pos="567"/>
      </w:tabs>
      <w:suppressAutoHyphens/>
      <w:spacing w:line="260" w:lineRule="atLeast"/>
      <w:ind w:left="567" w:right="-2" w:hanging="567"/>
    </w:pPr>
    <w:rPr>
      <w:rFonts w:eastAsia="Times New Roman"/>
      <w:b/>
      <w:snapToGrid/>
      <w:lang w:val="hu-HU"/>
    </w:rPr>
  </w:style>
  <w:style w:type="paragraph" w:customStyle="1" w:styleId="Buborkszveg1">
    <w:name w:val="Buborékszöveg1"/>
    <w:basedOn w:val="Norml"/>
    <w:semiHidden/>
    <w:rsid w:val="00A21BD8"/>
    <w:pPr>
      <w:tabs>
        <w:tab w:val="clear" w:pos="567"/>
      </w:tabs>
      <w:suppressAutoHyphens/>
    </w:pPr>
    <w:rPr>
      <w:rFonts w:ascii="Tahoma" w:eastAsia="Times New Roman" w:hAnsi="Tahoma" w:cs="Tahoma"/>
      <w:snapToGrid/>
      <w:sz w:val="16"/>
      <w:szCs w:val="16"/>
      <w:lang w:val="hu-HU"/>
    </w:rPr>
  </w:style>
  <w:style w:type="character" w:customStyle="1" w:styleId="StyleOutline">
    <w:name w:val="Style Outline"/>
    <w:rsid w:val="00EB339E"/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DF7425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822A06"/>
    <w:rPr>
      <w:snapToGrid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7295-8B62-40E1-873E-F1AED7E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1606</Words>
  <Characters>11086</Characters>
  <Application>Microsoft Office Word</Application>
  <DocSecurity>0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Hreferralspcclean_hu</vt:lpstr>
      <vt:lpstr>Hreferralspcclean_hu</vt:lpstr>
    </vt:vector>
  </TitlesOfParts>
  <Company>Translation Centre</Company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Hreferralspcclean_hu</dc:title>
  <dc:creator>European Medicines Agency</dc:creator>
  <cp:lastModifiedBy>HU_OGYEI_16.1.1</cp:lastModifiedBy>
  <cp:revision>8</cp:revision>
  <dcterms:created xsi:type="dcterms:W3CDTF">2022-06-26T21:35:00Z</dcterms:created>
  <dcterms:modified xsi:type="dcterms:W3CDTF">2022-06-26T22:43:00Z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03/02/2020 10:27:31</vt:lpwstr>
  </property>
  <property fmtid="{D5CDD505-2E9C-101B-9397-08002B2CF9AE}" pid="7" name="DM_Creator_Name">
    <vt:lpwstr>Akhtar Timea</vt:lpwstr>
  </property>
  <property fmtid="{D5CDD505-2E9C-101B-9397-08002B2CF9AE}" pid="8" name="DM_DocRefId">
    <vt:lpwstr>EMA/58083/2020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423415</vt:lpwstr>
  </property>
  <property fmtid="{D5CDD505-2E9C-101B-9397-08002B2CF9AE}" pid="14" name="DM_emea_doc_ref_id">
    <vt:lpwstr>EMA/58083/2020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17/02/2020 15:04:18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17/02/2020 15:04:18</vt:lpwstr>
  </property>
  <property fmtid="{D5CDD505-2E9C-101B-9397-08002B2CF9AE}" pid="37" name="DM_Name">
    <vt:lpwstr>Hreferralspcclean_hu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templates/2019-06 H Referral template v 4.1 Dec 19/Publication February 2020/Final CLEAN templates f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30d1419a-b734-4e3b-9ae9-07c1948efd4c</vt:lpwstr>
  </property>
  <property fmtid="{D5CDD505-2E9C-101B-9397-08002B2CF9AE}" pid="46" name="MSIP_Label_0eea11ca-d417-4147-80ed-01a58412c458_Application">
    <vt:lpwstr>Microsoft Azure Information Protection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Extended_MSFT_Method">
    <vt:lpwstr>Automatic</vt:lpwstr>
  </property>
  <property fmtid="{D5CDD505-2E9C-101B-9397-08002B2CF9AE}" pid="49" name="MSIP_Label_0eea11ca-d417-4147-80ed-01a58412c458_Name">
    <vt:lpwstr>All EMA Staff and Contractors</vt:lpwstr>
  </property>
  <property fmtid="{D5CDD505-2E9C-101B-9397-08002B2CF9AE}" pid="50" name="MSIP_Label_0eea11ca-d417-4147-80ed-01a58412c458_Owner">
    <vt:lpwstr>Tia.Akhtar@ema.europa.eu</vt:lpwstr>
  </property>
  <property fmtid="{D5CDD505-2E9C-101B-9397-08002B2CF9AE}" pid="51" name="MSIP_Label_0eea11ca-d417-4147-80ed-01a58412c458_Parent">
    <vt:lpwstr>afe1b31d-cec0-4074-b4bd-f07689e43d84</vt:lpwstr>
  </property>
  <property fmtid="{D5CDD505-2E9C-101B-9397-08002B2CF9AE}" pid="52" name="MSIP_Label_0eea11ca-d417-4147-80ed-01a58412c458_SetDate">
    <vt:lpwstr>2020-02-03T09:06:09.6925906Z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MSIP_Label_afe1b31d-cec0-4074-b4bd-f07689e43d84_ActionId">
    <vt:lpwstr>30d1419a-b734-4e3b-9ae9-07c1948efd4c</vt:lpwstr>
  </property>
  <property fmtid="{D5CDD505-2E9C-101B-9397-08002B2CF9AE}" pid="55" name="MSIP_Label_afe1b31d-cec0-4074-b4bd-f07689e43d84_Application">
    <vt:lpwstr>Microsoft Azure Information Protection</vt:lpwstr>
  </property>
  <property fmtid="{D5CDD505-2E9C-101B-9397-08002B2CF9AE}" pid="56" name="MSIP_Label_afe1b31d-cec0-4074-b4bd-f07689e43d84_Enabled">
    <vt:lpwstr>True</vt:lpwstr>
  </property>
  <property fmtid="{D5CDD505-2E9C-101B-9397-08002B2CF9AE}" pid="57" name="MSIP_Label_afe1b31d-cec0-4074-b4bd-f07689e43d84_Extended_MSFT_Method">
    <vt:lpwstr>Automatic</vt:lpwstr>
  </property>
  <property fmtid="{D5CDD505-2E9C-101B-9397-08002B2CF9AE}" pid="58" name="MSIP_Label_afe1b31d-cec0-4074-b4bd-f07689e43d84_Name">
    <vt:lpwstr>Internal</vt:lpwstr>
  </property>
  <property fmtid="{D5CDD505-2E9C-101B-9397-08002B2CF9AE}" pid="59" name="MSIP_Label_afe1b31d-cec0-4074-b4bd-f07689e43d84_Owner">
    <vt:lpwstr>Tia.Akhtar@ema.europa.eu</vt:lpwstr>
  </property>
  <property fmtid="{D5CDD505-2E9C-101B-9397-08002B2CF9AE}" pid="60" name="MSIP_Label_afe1b31d-cec0-4074-b4bd-f07689e43d84_SetDate">
    <vt:lpwstr>2020-02-03T09:06:09.6925906Z</vt:lpwstr>
  </property>
  <property fmtid="{D5CDD505-2E9C-101B-9397-08002B2CF9AE}" pid="61" name="MSIP_Label_afe1b31d-cec0-4074-b4bd-f07689e43d84_SiteId">
    <vt:lpwstr>bc9dc15c-61bc-4f03-b60b-e5b6d8922839</vt:lpwstr>
  </property>
</Properties>
</file>