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D93" w:rsidRDefault="00E10747">
      <w:pPr>
        <w:jc w:val="center"/>
        <w:outlineLvl w:val="0"/>
        <w:rPr>
          <w:b/>
          <w:szCs w:val="22"/>
          <w:lang w:val="hu-HU" w:eastAsia="en-US"/>
        </w:rPr>
      </w:pPr>
      <w:bookmarkStart w:id="0" w:name="_GoBack"/>
      <w:bookmarkEnd w:id="0"/>
      <w:r>
        <w:rPr>
          <w:b/>
          <w:szCs w:val="24"/>
          <w:lang w:val="hu-HU"/>
        </w:rPr>
        <w:t>Betegtájékoztató: Információk a beteg számára</w:t>
      </w:r>
    </w:p>
    <w:p w:rsidR="00716D93" w:rsidRDefault="00716D93">
      <w:pPr>
        <w:jc w:val="center"/>
        <w:outlineLvl w:val="0"/>
        <w:rPr>
          <w:b/>
          <w:szCs w:val="22"/>
          <w:lang w:val="hu-HU" w:eastAsia="en-US"/>
        </w:rPr>
      </w:pPr>
    </w:p>
    <w:p w:rsidR="00716D93" w:rsidRDefault="00E10747">
      <w:pPr>
        <w:tabs>
          <w:tab w:val="left" w:pos="567"/>
        </w:tabs>
        <w:jc w:val="center"/>
        <w:rPr>
          <w:b/>
          <w:bCs/>
          <w:szCs w:val="22"/>
          <w:lang w:val="hu-HU" w:eastAsia="en-US"/>
        </w:rPr>
      </w:pPr>
      <w:r>
        <w:rPr>
          <w:b/>
          <w:szCs w:val="22"/>
          <w:lang w:val="hu-HU" w:eastAsia="en-US"/>
        </w:rPr>
        <w:t xml:space="preserve">Elicea Q-Tab </w:t>
      </w:r>
      <w:r>
        <w:rPr>
          <w:b/>
          <w:bCs/>
          <w:szCs w:val="22"/>
          <w:lang w:val="hu-HU" w:eastAsia="en-US"/>
        </w:rPr>
        <w:t>5 mg szájban diszpergálódó tabletta</w:t>
      </w:r>
    </w:p>
    <w:p w:rsidR="00716D93" w:rsidRDefault="00E10747">
      <w:pPr>
        <w:tabs>
          <w:tab w:val="left" w:pos="567"/>
        </w:tabs>
        <w:jc w:val="center"/>
        <w:rPr>
          <w:b/>
          <w:bCs/>
          <w:szCs w:val="22"/>
          <w:lang w:val="hu-HU" w:eastAsia="en-US"/>
        </w:rPr>
      </w:pPr>
      <w:r>
        <w:rPr>
          <w:b/>
          <w:szCs w:val="22"/>
          <w:lang w:val="hu-HU" w:eastAsia="en-US"/>
        </w:rPr>
        <w:t xml:space="preserve">Elicea Q-Tab </w:t>
      </w:r>
      <w:r>
        <w:rPr>
          <w:b/>
          <w:bCs/>
          <w:szCs w:val="22"/>
          <w:lang w:val="hu-HU" w:eastAsia="en-US"/>
        </w:rPr>
        <w:t>10 mg szájban diszpergálódó tabletta</w:t>
      </w:r>
    </w:p>
    <w:p w:rsidR="00716D93" w:rsidRDefault="00E10747">
      <w:pPr>
        <w:tabs>
          <w:tab w:val="left" w:pos="567"/>
        </w:tabs>
        <w:jc w:val="center"/>
        <w:rPr>
          <w:b/>
          <w:bCs/>
          <w:szCs w:val="22"/>
          <w:lang w:val="hu-HU" w:eastAsia="en-US"/>
        </w:rPr>
      </w:pPr>
      <w:r>
        <w:rPr>
          <w:b/>
          <w:szCs w:val="22"/>
          <w:lang w:val="hu-HU" w:eastAsia="en-US"/>
        </w:rPr>
        <w:t xml:space="preserve">Elicea Q-Tab </w:t>
      </w:r>
      <w:r>
        <w:rPr>
          <w:b/>
          <w:bCs/>
          <w:szCs w:val="22"/>
          <w:lang w:val="hu-HU" w:eastAsia="en-US"/>
        </w:rPr>
        <w:t>15 mg szájban diszpergálódó tabletta</w:t>
      </w:r>
    </w:p>
    <w:p w:rsidR="00716D93" w:rsidRDefault="00E10747">
      <w:pPr>
        <w:tabs>
          <w:tab w:val="left" w:pos="567"/>
        </w:tabs>
        <w:jc w:val="center"/>
        <w:rPr>
          <w:b/>
          <w:bCs/>
          <w:szCs w:val="22"/>
          <w:lang w:val="hu-HU" w:eastAsia="en-US"/>
        </w:rPr>
      </w:pPr>
      <w:r>
        <w:rPr>
          <w:b/>
          <w:szCs w:val="22"/>
          <w:lang w:val="hu-HU" w:eastAsia="en-US"/>
        </w:rPr>
        <w:t xml:space="preserve">Elicea Q-Tab </w:t>
      </w:r>
      <w:r>
        <w:rPr>
          <w:b/>
          <w:bCs/>
          <w:szCs w:val="22"/>
          <w:lang w:val="hu-HU" w:eastAsia="en-US"/>
        </w:rPr>
        <w:t>20 mg szájban diszpergálódó tabletta</w:t>
      </w:r>
    </w:p>
    <w:p w:rsidR="00716D93" w:rsidRDefault="00E10747">
      <w:pPr>
        <w:tabs>
          <w:tab w:val="left" w:pos="567"/>
        </w:tabs>
        <w:jc w:val="center"/>
        <w:rPr>
          <w:szCs w:val="22"/>
          <w:lang w:val="hu-HU" w:eastAsia="en-US"/>
        </w:rPr>
      </w:pPr>
      <w:r>
        <w:rPr>
          <w:szCs w:val="22"/>
          <w:lang w:val="hu-HU" w:eastAsia="en-US"/>
        </w:rPr>
        <w:t>eszcitaloprám</w:t>
      </w:r>
    </w:p>
    <w:p w:rsidR="00716D93" w:rsidRDefault="00716D93">
      <w:pPr>
        <w:tabs>
          <w:tab w:val="left" w:pos="567"/>
        </w:tabs>
        <w:jc w:val="center"/>
        <w:rPr>
          <w:szCs w:val="22"/>
          <w:lang w:val="hu-HU" w:eastAsia="en-US"/>
        </w:rPr>
      </w:pPr>
    </w:p>
    <w:p w:rsidR="00716D93" w:rsidRDefault="00E10747">
      <w:pPr>
        <w:autoSpaceDE w:val="0"/>
        <w:autoSpaceDN w:val="0"/>
        <w:adjustRightInd w:val="0"/>
        <w:rPr>
          <w:b/>
          <w:bCs/>
          <w:szCs w:val="22"/>
          <w:lang w:val="hu-HU"/>
        </w:rPr>
      </w:pPr>
      <w:r>
        <w:rPr>
          <w:b/>
          <w:bCs/>
          <w:szCs w:val="22"/>
          <w:lang w:val="hu-HU"/>
        </w:rPr>
        <w:t>Mielőtt elkezdi szedni ezt a gyógyszert, olvassa el figyelmesen az alábbi betegtájékoztatót</w:t>
      </w:r>
      <w:r>
        <w:rPr>
          <w:b/>
          <w:szCs w:val="22"/>
          <w:lang w:val="hu-HU"/>
        </w:rPr>
        <w:t>, mert az Ön számára fontos információkat tartalmaz</w:t>
      </w:r>
      <w:r>
        <w:rPr>
          <w:b/>
          <w:bCs/>
          <w:szCs w:val="22"/>
          <w:lang w:val="hu-HU"/>
        </w:rPr>
        <w:t>.</w:t>
      </w:r>
    </w:p>
    <w:p w:rsidR="00716D93" w:rsidRDefault="00E10747">
      <w:pPr>
        <w:tabs>
          <w:tab w:val="left" w:pos="360"/>
          <w:tab w:val="left" w:pos="2292"/>
        </w:tabs>
        <w:autoSpaceDE w:val="0"/>
        <w:autoSpaceDN w:val="0"/>
        <w:adjustRightInd w:val="0"/>
        <w:ind w:left="360" w:hanging="360"/>
        <w:rPr>
          <w:szCs w:val="22"/>
          <w:lang w:val="hu-HU"/>
        </w:rPr>
      </w:pPr>
      <w:r>
        <w:rPr>
          <w:szCs w:val="22"/>
          <w:lang w:val="hu-HU"/>
        </w:rPr>
        <w:t>-</w:t>
      </w:r>
      <w:r>
        <w:rPr>
          <w:szCs w:val="22"/>
          <w:lang w:val="hu-HU"/>
        </w:rPr>
        <w:tab/>
        <w:t>Tartsa meg a betegtájékoztatót, mert a benne szereplő információkra a későbbiekben is szüksége lehet.</w:t>
      </w:r>
    </w:p>
    <w:p w:rsidR="00716D93" w:rsidRDefault="00E10747">
      <w:pPr>
        <w:tabs>
          <w:tab w:val="left" w:pos="360"/>
          <w:tab w:val="left" w:pos="2292"/>
        </w:tabs>
        <w:autoSpaceDE w:val="0"/>
        <w:autoSpaceDN w:val="0"/>
        <w:adjustRightInd w:val="0"/>
        <w:ind w:left="360" w:hanging="360"/>
        <w:rPr>
          <w:szCs w:val="22"/>
          <w:lang w:val="hu-HU"/>
        </w:rPr>
      </w:pPr>
      <w:r>
        <w:rPr>
          <w:szCs w:val="22"/>
          <w:lang w:val="hu-HU"/>
        </w:rPr>
        <w:t>-</w:t>
      </w:r>
      <w:r>
        <w:rPr>
          <w:szCs w:val="22"/>
          <w:lang w:val="hu-HU"/>
        </w:rPr>
        <w:tab/>
        <w:t>További kérdéseivel forduljon kezelőorvosához vagy gyógyszerészéhez.</w:t>
      </w:r>
    </w:p>
    <w:p w:rsidR="00716D93" w:rsidRDefault="00E10747">
      <w:pPr>
        <w:tabs>
          <w:tab w:val="left" w:pos="360"/>
          <w:tab w:val="left" w:pos="2292"/>
        </w:tabs>
        <w:autoSpaceDE w:val="0"/>
        <w:autoSpaceDN w:val="0"/>
        <w:adjustRightInd w:val="0"/>
        <w:ind w:left="360" w:hanging="360"/>
        <w:rPr>
          <w:szCs w:val="22"/>
          <w:lang w:val="hu-HU"/>
        </w:rPr>
      </w:pPr>
      <w:r>
        <w:rPr>
          <w:szCs w:val="22"/>
          <w:lang w:val="hu-HU"/>
        </w:rPr>
        <w:t>-</w:t>
      </w:r>
      <w:r>
        <w:rPr>
          <w:szCs w:val="22"/>
          <w:lang w:val="hu-HU"/>
        </w:rPr>
        <w:tab/>
        <w:t>Ezt a gyógyszert az orvos kizárólag Önnek írta fel. Ne adja át a készítményt másnak, mert számára ártalmas lehet még abban az esetben is, ha a betegsége tünetei az Önéhez hasonlóak.</w:t>
      </w:r>
    </w:p>
    <w:p w:rsidR="00716D93" w:rsidRDefault="00E10747">
      <w:pPr>
        <w:tabs>
          <w:tab w:val="left" w:pos="360"/>
          <w:tab w:val="left" w:pos="2292"/>
        </w:tabs>
        <w:autoSpaceDE w:val="0"/>
        <w:autoSpaceDN w:val="0"/>
        <w:adjustRightInd w:val="0"/>
        <w:ind w:left="360" w:hanging="360"/>
        <w:rPr>
          <w:szCs w:val="22"/>
          <w:lang w:val="hu-HU"/>
        </w:rPr>
      </w:pPr>
      <w:r>
        <w:rPr>
          <w:szCs w:val="22"/>
          <w:lang w:val="hu-HU"/>
        </w:rPr>
        <w:t>-</w:t>
      </w:r>
      <w:r>
        <w:rPr>
          <w:szCs w:val="22"/>
          <w:lang w:val="hu-HU"/>
        </w:rPr>
        <w:tab/>
        <w:t>Ha Önnél bármilyen mellékhatás jelentkezik, tájékoztassa erről kezelőorvosát vagy gyógyszerészét. Ez a betegtájékoztatóban fel nem sorolt bármilyen lehetséges mellékhatásra is vonatkozik. Lásd 4. pont.</w:t>
      </w:r>
    </w:p>
    <w:p w:rsidR="00716D93" w:rsidRDefault="00716D93">
      <w:pPr>
        <w:ind w:right="-2"/>
        <w:rPr>
          <w:szCs w:val="22"/>
          <w:lang w:val="hu-HU" w:eastAsia="en-US"/>
        </w:rPr>
      </w:pPr>
    </w:p>
    <w:p w:rsidR="00716D93" w:rsidRDefault="00E10747">
      <w:pPr>
        <w:autoSpaceDE w:val="0"/>
        <w:autoSpaceDN w:val="0"/>
        <w:adjustRightInd w:val="0"/>
        <w:ind w:right="-2"/>
        <w:rPr>
          <w:b/>
          <w:szCs w:val="22"/>
          <w:lang w:val="hu-HU"/>
        </w:rPr>
      </w:pPr>
      <w:r>
        <w:rPr>
          <w:b/>
          <w:szCs w:val="22"/>
          <w:lang w:val="hu-HU"/>
        </w:rPr>
        <w:t>A betegtájékoztató tartalma:</w:t>
      </w:r>
    </w:p>
    <w:p w:rsidR="00716D93" w:rsidRDefault="00E10747">
      <w:pPr>
        <w:autoSpaceDE w:val="0"/>
        <w:autoSpaceDN w:val="0"/>
        <w:adjustRightInd w:val="0"/>
        <w:ind w:left="720" w:hanging="720"/>
        <w:rPr>
          <w:szCs w:val="22"/>
          <w:lang w:val="hu-HU"/>
        </w:rPr>
      </w:pPr>
      <w:r>
        <w:rPr>
          <w:szCs w:val="22"/>
          <w:lang w:val="hu-HU"/>
        </w:rPr>
        <w:t>1.</w:t>
      </w:r>
      <w:r>
        <w:rPr>
          <w:szCs w:val="22"/>
          <w:lang w:val="hu-HU"/>
        </w:rPr>
        <w:tab/>
        <w:t xml:space="preserve">Milyen típusú gyógyszer az </w:t>
      </w:r>
      <w:r>
        <w:rPr>
          <w:szCs w:val="22"/>
          <w:lang w:val="hu-HU" w:eastAsia="en-US"/>
        </w:rPr>
        <w:t xml:space="preserve">Elicea Q-Tab szájban diszpergálódó tabletta (továbbiakban: Elicea Q-Tab) </w:t>
      </w:r>
      <w:r>
        <w:rPr>
          <w:szCs w:val="22"/>
          <w:lang w:val="hu-HU"/>
        </w:rPr>
        <w:t>és milyen betegségek esetén alkalmazható?</w:t>
      </w:r>
    </w:p>
    <w:p w:rsidR="00716D93" w:rsidRDefault="00E10747">
      <w:pPr>
        <w:autoSpaceDE w:val="0"/>
        <w:autoSpaceDN w:val="0"/>
        <w:adjustRightInd w:val="0"/>
        <w:rPr>
          <w:szCs w:val="22"/>
          <w:lang w:val="hu-HU"/>
        </w:rPr>
      </w:pPr>
      <w:r>
        <w:rPr>
          <w:szCs w:val="22"/>
          <w:lang w:val="hu-HU"/>
        </w:rPr>
        <w:t>2.</w:t>
      </w:r>
      <w:r>
        <w:rPr>
          <w:szCs w:val="22"/>
          <w:lang w:val="hu-HU"/>
        </w:rPr>
        <w:tab/>
        <w:t xml:space="preserve">Tudnivalók az </w:t>
      </w:r>
      <w:r>
        <w:rPr>
          <w:szCs w:val="22"/>
          <w:lang w:val="hu-HU" w:eastAsia="en-US"/>
        </w:rPr>
        <w:t xml:space="preserve">Elicea Q-Tab </w:t>
      </w:r>
      <w:r>
        <w:rPr>
          <w:szCs w:val="22"/>
          <w:lang w:val="hu-HU"/>
        </w:rPr>
        <w:t>szedése előtt</w:t>
      </w:r>
    </w:p>
    <w:p w:rsidR="00716D93" w:rsidRDefault="00E10747">
      <w:pPr>
        <w:autoSpaceDE w:val="0"/>
        <w:autoSpaceDN w:val="0"/>
        <w:adjustRightInd w:val="0"/>
        <w:rPr>
          <w:szCs w:val="22"/>
          <w:lang w:val="hu-HU"/>
        </w:rPr>
      </w:pPr>
      <w:r>
        <w:rPr>
          <w:szCs w:val="22"/>
          <w:lang w:val="hu-HU"/>
        </w:rPr>
        <w:t>3.</w:t>
      </w:r>
      <w:r>
        <w:rPr>
          <w:szCs w:val="22"/>
          <w:lang w:val="hu-HU"/>
        </w:rPr>
        <w:tab/>
        <w:t xml:space="preserve">Hogyan kell szedni az </w:t>
      </w:r>
      <w:r>
        <w:rPr>
          <w:szCs w:val="22"/>
          <w:lang w:val="hu-HU" w:eastAsia="en-US"/>
        </w:rPr>
        <w:t>Elicea Q-Tab-ot</w:t>
      </w:r>
      <w:r>
        <w:rPr>
          <w:szCs w:val="22"/>
          <w:lang w:val="hu-HU"/>
        </w:rPr>
        <w:t>?</w:t>
      </w:r>
    </w:p>
    <w:p w:rsidR="00716D93" w:rsidRDefault="00E10747">
      <w:pPr>
        <w:autoSpaceDE w:val="0"/>
        <w:autoSpaceDN w:val="0"/>
        <w:adjustRightInd w:val="0"/>
        <w:rPr>
          <w:szCs w:val="22"/>
          <w:lang w:val="hu-HU"/>
        </w:rPr>
      </w:pPr>
      <w:r>
        <w:rPr>
          <w:szCs w:val="22"/>
          <w:lang w:val="hu-HU"/>
        </w:rPr>
        <w:t>4.</w:t>
      </w:r>
      <w:r>
        <w:rPr>
          <w:szCs w:val="22"/>
          <w:lang w:val="hu-HU"/>
        </w:rPr>
        <w:tab/>
        <w:t>Lehetséges mellékhatások</w:t>
      </w:r>
    </w:p>
    <w:p w:rsidR="00716D93" w:rsidRDefault="00E10747">
      <w:pPr>
        <w:autoSpaceDE w:val="0"/>
        <w:autoSpaceDN w:val="0"/>
        <w:adjustRightInd w:val="0"/>
        <w:rPr>
          <w:szCs w:val="22"/>
          <w:lang w:val="hu-HU"/>
        </w:rPr>
      </w:pPr>
      <w:r>
        <w:rPr>
          <w:szCs w:val="22"/>
          <w:lang w:val="hu-HU"/>
        </w:rPr>
        <w:t>5.</w:t>
      </w:r>
      <w:r>
        <w:rPr>
          <w:szCs w:val="22"/>
          <w:lang w:val="hu-HU"/>
        </w:rPr>
        <w:tab/>
        <w:t xml:space="preserve">Hogyan kell az </w:t>
      </w:r>
      <w:r>
        <w:rPr>
          <w:szCs w:val="22"/>
          <w:lang w:val="hu-HU" w:eastAsia="en-US"/>
        </w:rPr>
        <w:t xml:space="preserve">Elicea Q-Tab-ot </w:t>
      </w:r>
      <w:r>
        <w:rPr>
          <w:szCs w:val="22"/>
          <w:lang w:val="hu-HU"/>
        </w:rPr>
        <w:t>tárolni?</w:t>
      </w:r>
    </w:p>
    <w:p w:rsidR="00716D93" w:rsidRDefault="00E10747">
      <w:pPr>
        <w:autoSpaceDE w:val="0"/>
        <w:autoSpaceDN w:val="0"/>
        <w:adjustRightInd w:val="0"/>
        <w:rPr>
          <w:szCs w:val="22"/>
          <w:lang w:val="hu-HU"/>
        </w:rPr>
      </w:pPr>
      <w:r>
        <w:rPr>
          <w:szCs w:val="22"/>
          <w:lang w:val="hu-HU"/>
        </w:rPr>
        <w:t>6.</w:t>
      </w:r>
      <w:r>
        <w:rPr>
          <w:szCs w:val="22"/>
          <w:lang w:val="hu-HU"/>
        </w:rPr>
        <w:tab/>
        <w:t>A csomagolás tartalma és egyéb információk</w:t>
      </w:r>
    </w:p>
    <w:p w:rsidR="00716D93" w:rsidRDefault="00716D93">
      <w:pPr>
        <w:numPr>
          <w:ilvl w:val="12"/>
          <w:numId w:val="0"/>
        </w:numPr>
        <w:rPr>
          <w:szCs w:val="22"/>
          <w:lang w:val="hu-HU" w:eastAsia="en-US"/>
        </w:rPr>
      </w:pPr>
    </w:p>
    <w:p w:rsidR="00716D93" w:rsidRDefault="00716D93">
      <w:pPr>
        <w:numPr>
          <w:ilvl w:val="12"/>
          <w:numId w:val="0"/>
        </w:numPr>
        <w:rPr>
          <w:szCs w:val="22"/>
          <w:lang w:val="hu-HU" w:eastAsia="en-US"/>
        </w:rPr>
      </w:pPr>
    </w:p>
    <w:p w:rsidR="00716D93" w:rsidRDefault="00E10747">
      <w:pPr>
        <w:autoSpaceDE w:val="0"/>
        <w:autoSpaceDN w:val="0"/>
        <w:adjustRightInd w:val="0"/>
        <w:rPr>
          <w:b/>
          <w:szCs w:val="22"/>
          <w:lang w:val="hu-HU"/>
        </w:rPr>
      </w:pPr>
      <w:r>
        <w:rPr>
          <w:b/>
          <w:szCs w:val="22"/>
          <w:lang w:val="hu-HU"/>
        </w:rPr>
        <w:t>1.</w:t>
      </w:r>
      <w:r>
        <w:rPr>
          <w:b/>
          <w:szCs w:val="22"/>
          <w:lang w:val="hu-HU"/>
        </w:rPr>
        <w:tab/>
        <w:t xml:space="preserve">Milyen típusú gyógyszer az </w:t>
      </w:r>
      <w:r>
        <w:rPr>
          <w:b/>
          <w:szCs w:val="22"/>
          <w:lang w:val="hu-HU" w:eastAsia="en-US"/>
        </w:rPr>
        <w:t xml:space="preserve">Elicea Q-Tab </w:t>
      </w:r>
      <w:r>
        <w:rPr>
          <w:b/>
          <w:szCs w:val="22"/>
          <w:lang w:val="hu-HU"/>
        </w:rPr>
        <w:t>és milyen betegségek esetén alkalmazható?</w:t>
      </w:r>
    </w:p>
    <w:p w:rsidR="00716D93" w:rsidRDefault="00716D93">
      <w:pPr>
        <w:jc w:val="both"/>
        <w:rPr>
          <w:szCs w:val="22"/>
          <w:lang w:val="hu-HU" w:eastAsia="en-US"/>
        </w:rPr>
      </w:pPr>
    </w:p>
    <w:p w:rsidR="00716D93" w:rsidRDefault="00E10747">
      <w:pPr>
        <w:autoSpaceDE w:val="0"/>
        <w:autoSpaceDN w:val="0"/>
        <w:adjustRightInd w:val="0"/>
        <w:rPr>
          <w:szCs w:val="22"/>
          <w:lang w:val="hu-HU"/>
        </w:rPr>
      </w:pPr>
      <w:r>
        <w:rPr>
          <w:szCs w:val="22"/>
          <w:lang w:val="hu-HU"/>
        </w:rPr>
        <w:t xml:space="preserve">Az </w:t>
      </w:r>
      <w:r>
        <w:rPr>
          <w:szCs w:val="22"/>
          <w:lang w:val="hu-HU" w:eastAsia="en-US"/>
        </w:rPr>
        <w:t xml:space="preserve">Elicea Q-Tab </w:t>
      </w:r>
      <w:r>
        <w:rPr>
          <w:szCs w:val="22"/>
          <w:lang w:val="hu-HU"/>
        </w:rPr>
        <w:t>eszcitaloprám hatóanyagot tartalmaz.</w:t>
      </w:r>
      <w:r>
        <w:t xml:space="preserve"> Az </w:t>
      </w:r>
      <w:r>
        <w:rPr>
          <w:szCs w:val="22"/>
          <w:lang w:val="hu-HU"/>
        </w:rPr>
        <w:t>eszcitaloprám az úgynevezett szelektív szerotoninvisszavétel-gátló (SSRI) antidepresszánsok csoportjába tartozik.</w:t>
      </w:r>
    </w:p>
    <w:p w:rsidR="00716D93" w:rsidRDefault="00716D93">
      <w:pPr>
        <w:jc w:val="both"/>
        <w:rPr>
          <w:szCs w:val="22"/>
          <w:lang w:val="hu-HU" w:eastAsia="en-US"/>
        </w:rPr>
      </w:pPr>
    </w:p>
    <w:p w:rsidR="00716D93" w:rsidRDefault="00E10747">
      <w:pPr>
        <w:autoSpaceDE w:val="0"/>
        <w:autoSpaceDN w:val="0"/>
        <w:adjustRightInd w:val="0"/>
        <w:rPr>
          <w:szCs w:val="22"/>
          <w:lang w:val="hu-HU"/>
        </w:rPr>
      </w:pPr>
      <w:r>
        <w:rPr>
          <w:szCs w:val="22"/>
          <w:lang w:val="hu-HU"/>
        </w:rPr>
        <w:t xml:space="preserve">Az </w:t>
      </w:r>
      <w:r>
        <w:rPr>
          <w:szCs w:val="22"/>
          <w:lang w:val="hu-HU" w:eastAsia="en-US"/>
        </w:rPr>
        <w:t xml:space="preserve">Elicea Q-Tab-ot </w:t>
      </w:r>
      <w:r>
        <w:rPr>
          <w:szCs w:val="22"/>
          <w:lang w:val="hu-HU"/>
        </w:rPr>
        <w:t>depresszió (major depressziós epizódok) és szorongásos zavarok (például tériszonnyal járó vagy anélküli pánikzavar, szociális szorongásos zavar (szociális fóbia), generalizált szorongás és kényszeres-rögeszmés zavar) kezelésére alkalmazzák.</w:t>
      </w:r>
    </w:p>
    <w:p w:rsidR="00716D93" w:rsidRDefault="00716D93">
      <w:pPr>
        <w:jc w:val="both"/>
        <w:rPr>
          <w:szCs w:val="22"/>
          <w:lang w:val="hu-HU" w:eastAsia="en-US"/>
        </w:rPr>
      </w:pPr>
    </w:p>
    <w:p w:rsidR="00716D93" w:rsidRDefault="00E10747">
      <w:pPr>
        <w:autoSpaceDE w:val="0"/>
        <w:autoSpaceDN w:val="0"/>
        <w:adjustRightInd w:val="0"/>
        <w:rPr>
          <w:szCs w:val="22"/>
          <w:lang w:val="hu-HU"/>
        </w:rPr>
      </w:pPr>
      <w:r>
        <w:rPr>
          <w:szCs w:val="22"/>
          <w:lang w:val="hu-HU"/>
        </w:rPr>
        <w:t>Néhány hétbe telhet, amíg jobban érzi magát. Akkor is folytassa az Elicea Q-Tab szedését, ha egy ideig semmilyen javulást nem tapasztal.</w:t>
      </w:r>
    </w:p>
    <w:p w:rsidR="00716D93" w:rsidRDefault="00716D93">
      <w:pPr>
        <w:jc w:val="both"/>
        <w:rPr>
          <w:szCs w:val="22"/>
          <w:lang w:val="hu-HU" w:eastAsia="en-US"/>
        </w:rPr>
      </w:pPr>
    </w:p>
    <w:p w:rsidR="00716D93" w:rsidRDefault="00E10747">
      <w:pPr>
        <w:ind w:right="-2"/>
        <w:rPr>
          <w:szCs w:val="22"/>
          <w:lang w:val="hu-HU"/>
        </w:rPr>
      </w:pPr>
      <w:r>
        <w:rPr>
          <w:szCs w:val="22"/>
          <w:lang w:val="hu-HU"/>
        </w:rPr>
        <w:t>Keresse fel kezelőorvosát, ha tünetei nem enyhülnek, vagy éppen súlyosbodnak.</w:t>
      </w:r>
    </w:p>
    <w:p w:rsidR="00716D93" w:rsidRDefault="00716D93">
      <w:pPr>
        <w:numPr>
          <w:ilvl w:val="12"/>
          <w:numId w:val="0"/>
        </w:numPr>
        <w:rPr>
          <w:szCs w:val="22"/>
          <w:lang w:val="hu-HU" w:eastAsia="en-US"/>
        </w:rPr>
      </w:pPr>
    </w:p>
    <w:p w:rsidR="00716D93" w:rsidRDefault="00716D93">
      <w:pPr>
        <w:numPr>
          <w:ilvl w:val="12"/>
          <w:numId w:val="0"/>
        </w:numPr>
        <w:rPr>
          <w:szCs w:val="22"/>
          <w:lang w:val="hu-HU" w:eastAsia="en-US"/>
        </w:rPr>
      </w:pPr>
    </w:p>
    <w:p w:rsidR="00716D93" w:rsidRDefault="00E10747">
      <w:pPr>
        <w:autoSpaceDE w:val="0"/>
        <w:autoSpaceDN w:val="0"/>
        <w:adjustRightInd w:val="0"/>
        <w:ind w:left="567" w:hanging="567"/>
        <w:rPr>
          <w:b/>
          <w:szCs w:val="22"/>
          <w:lang w:val="hu-HU"/>
        </w:rPr>
      </w:pPr>
      <w:r>
        <w:rPr>
          <w:b/>
          <w:szCs w:val="22"/>
          <w:lang w:val="hu-HU"/>
        </w:rPr>
        <w:t>2.</w:t>
      </w:r>
      <w:r>
        <w:rPr>
          <w:b/>
          <w:szCs w:val="22"/>
          <w:lang w:val="hu-HU"/>
        </w:rPr>
        <w:tab/>
        <w:t xml:space="preserve">Tudnivalók az </w:t>
      </w:r>
      <w:r>
        <w:rPr>
          <w:b/>
          <w:szCs w:val="22"/>
          <w:lang w:val="hu-HU" w:eastAsia="en-US"/>
        </w:rPr>
        <w:t xml:space="preserve">Elicea Q-Tab </w:t>
      </w:r>
      <w:r>
        <w:rPr>
          <w:b/>
          <w:szCs w:val="22"/>
          <w:lang w:val="hu-HU"/>
        </w:rPr>
        <w:t>szedése előtt</w:t>
      </w:r>
    </w:p>
    <w:p w:rsidR="00716D93" w:rsidRDefault="00716D93">
      <w:pPr>
        <w:numPr>
          <w:ilvl w:val="12"/>
          <w:numId w:val="0"/>
        </w:numPr>
        <w:ind w:right="-2"/>
        <w:rPr>
          <w:szCs w:val="22"/>
          <w:lang w:val="hu-HU" w:eastAsia="en-US"/>
        </w:rPr>
      </w:pPr>
    </w:p>
    <w:p w:rsidR="00716D93" w:rsidRDefault="00E10747">
      <w:pPr>
        <w:numPr>
          <w:ilvl w:val="12"/>
          <w:numId w:val="0"/>
        </w:numPr>
        <w:tabs>
          <w:tab w:val="left" w:pos="567"/>
        </w:tabs>
        <w:outlineLvl w:val="0"/>
        <w:rPr>
          <w:b/>
          <w:szCs w:val="22"/>
          <w:lang w:val="hu-HU" w:eastAsia="en-US"/>
        </w:rPr>
      </w:pPr>
      <w:r>
        <w:rPr>
          <w:b/>
          <w:szCs w:val="22"/>
          <w:lang w:val="hu-HU" w:eastAsia="en-US"/>
        </w:rPr>
        <w:t>Ne szedje az Elicea Q-Tab-ot:</w:t>
      </w:r>
    </w:p>
    <w:p w:rsidR="00716D93" w:rsidRDefault="00E10747">
      <w:pPr>
        <w:numPr>
          <w:ilvl w:val="0"/>
          <w:numId w:val="20"/>
        </w:numPr>
        <w:tabs>
          <w:tab w:val="left" w:pos="567"/>
        </w:tabs>
        <w:autoSpaceDE w:val="0"/>
        <w:autoSpaceDN w:val="0"/>
        <w:adjustRightInd w:val="0"/>
        <w:ind w:left="567" w:hanging="567"/>
        <w:rPr>
          <w:szCs w:val="22"/>
          <w:lang w:val="hu-HU"/>
        </w:rPr>
      </w:pPr>
      <w:r>
        <w:rPr>
          <w:szCs w:val="22"/>
          <w:lang w:val="hu-HU"/>
        </w:rPr>
        <w:t>ha allergiás az eszcitaloprámra vagy a gyógyszer (6. pontban felsorolt) egyéb összetevőjére.</w:t>
      </w:r>
    </w:p>
    <w:p w:rsidR="00716D93" w:rsidRDefault="00E10747">
      <w:pPr>
        <w:numPr>
          <w:ilvl w:val="0"/>
          <w:numId w:val="20"/>
        </w:numPr>
        <w:tabs>
          <w:tab w:val="left" w:pos="567"/>
        </w:tabs>
        <w:autoSpaceDE w:val="0"/>
        <w:autoSpaceDN w:val="0"/>
        <w:adjustRightInd w:val="0"/>
        <w:ind w:left="567" w:hanging="567"/>
        <w:rPr>
          <w:szCs w:val="22"/>
          <w:lang w:val="hu-HU"/>
        </w:rPr>
      </w:pPr>
      <w:r>
        <w:rPr>
          <w:szCs w:val="22"/>
          <w:lang w:val="hu-HU"/>
        </w:rPr>
        <w:t>ha egyidejűleg az úgynevezett MAO-gátlók csoportjába tartozó gyógyszert, például a Parkinson-kór kezelésére alkalmazott szelegilint, a depresszió kezelésére alkalmazott moklobemidet vagy linezolidot (antibiotikum) szed.</w:t>
      </w:r>
    </w:p>
    <w:p w:rsidR="00716D93" w:rsidRDefault="00E10747">
      <w:pPr>
        <w:numPr>
          <w:ilvl w:val="0"/>
          <w:numId w:val="20"/>
        </w:numPr>
        <w:tabs>
          <w:tab w:val="left" w:pos="567"/>
        </w:tabs>
        <w:autoSpaceDE w:val="0"/>
        <w:autoSpaceDN w:val="0"/>
        <w:adjustRightInd w:val="0"/>
        <w:ind w:left="567" w:hanging="567"/>
        <w:rPr>
          <w:szCs w:val="22"/>
          <w:lang w:val="hu-HU"/>
        </w:rPr>
      </w:pPr>
      <w:r>
        <w:rPr>
          <w:szCs w:val="22"/>
          <w:lang w:val="hu-HU"/>
        </w:rPr>
        <w:t>ha Önnek születése óta szabálytalan a szívritmusa vagy előfordult már Önnél kóros szívritmus (az elektrokardiogramon – az EKG a szívműködés értékelésére szolgáló vizsgálat).</w:t>
      </w:r>
    </w:p>
    <w:p w:rsidR="00716D93" w:rsidRDefault="00E10747">
      <w:pPr>
        <w:numPr>
          <w:ilvl w:val="0"/>
          <w:numId w:val="20"/>
        </w:numPr>
        <w:tabs>
          <w:tab w:val="left" w:pos="567"/>
        </w:tabs>
        <w:autoSpaceDE w:val="0"/>
        <w:autoSpaceDN w:val="0"/>
        <w:adjustRightInd w:val="0"/>
        <w:ind w:left="567" w:hanging="567"/>
        <w:rPr>
          <w:szCs w:val="22"/>
          <w:lang w:val="hu-HU"/>
        </w:rPr>
      </w:pPr>
      <w:r>
        <w:rPr>
          <w:szCs w:val="22"/>
          <w:lang w:val="hu-HU"/>
        </w:rPr>
        <w:t>ha Ön szívritmuszavarra szed gyógyszereket, vagy olyan gyógyszereket alkalmaz, amelyek hatással lehetnek a szívritmusra (lásd 2. pont, „</w:t>
      </w:r>
      <w:r>
        <w:rPr>
          <w:bCs/>
          <w:szCs w:val="22"/>
          <w:lang w:val="hu-HU"/>
        </w:rPr>
        <w:t>Egyéb gyógyszerek és az</w:t>
      </w:r>
      <w:r>
        <w:rPr>
          <w:szCs w:val="22"/>
          <w:lang w:val="hu-HU" w:eastAsia="en-US"/>
        </w:rPr>
        <w:t xml:space="preserve"> Elicea Q-Tab</w:t>
      </w:r>
      <w:r>
        <w:rPr>
          <w:szCs w:val="22"/>
          <w:lang w:val="hu-HU"/>
        </w:rPr>
        <w:t>”).</w:t>
      </w:r>
    </w:p>
    <w:p w:rsidR="00716D93" w:rsidRDefault="00716D93">
      <w:pPr>
        <w:tabs>
          <w:tab w:val="left" w:pos="567"/>
        </w:tabs>
        <w:autoSpaceDE w:val="0"/>
        <w:autoSpaceDN w:val="0"/>
        <w:adjustRightInd w:val="0"/>
        <w:rPr>
          <w:szCs w:val="22"/>
          <w:lang w:val="hu-HU"/>
        </w:rPr>
      </w:pPr>
    </w:p>
    <w:p w:rsidR="00716D93" w:rsidRDefault="00E10747">
      <w:pPr>
        <w:tabs>
          <w:tab w:val="left" w:pos="567"/>
        </w:tabs>
        <w:autoSpaceDE w:val="0"/>
        <w:autoSpaceDN w:val="0"/>
        <w:adjustRightInd w:val="0"/>
        <w:rPr>
          <w:szCs w:val="22"/>
          <w:lang w:val="hu-HU"/>
        </w:rPr>
      </w:pPr>
      <w:r>
        <w:rPr>
          <w:b/>
          <w:bCs/>
          <w:szCs w:val="22"/>
          <w:lang w:val="hu-HU"/>
        </w:rPr>
        <w:t>Figyelmeztetések és óvintézkedések</w:t>
      </w:r>
    </w:p>
    <w:p w:rsidR="00716D93" w:rsidRDefault="00E10747">
      <w:pPr>
        <w:numPr>
          <w:ilvl w:val="12"/>
          <w:numId w:val="0"/>
        </w:numPr>
        <w:tabs>
          <w:tab w:val="left" w:pos="567"/>
        </w:tabs>
        <w:rPr>
          <w:szCs w:val="22"/>
          <w:lang w:val="hu-HU" w:eastAsia="en-US"/>
        </w:rPr>
      </w:pPr>
      <w:r>
        <w:rPr>
          <w:szCs w:val="22"/>
          <w:lang w:val="hu-HU" w:eastAsia="en-US"/>
        </w:rPr>
        <w:t xml:space="preserve">Az Elicea Q-Tab </w:t>
      </w:r>
      <w:r>
        <w:rPr>
          <w:szCs w:val="22"/>
          <w:lang w:val="hu-HU"/>
        </w:rPr>
        <w:t>szedése előtt beszéljen kezelőorvosával vagy gyógyszerészével</w:t>
      </w:r>
      <w:r>
        <w:rPr>
          <w:szCs w:val="22"/>
          <w:lang w:val="hu-HU" w:eastAsia="en-US"/>
        </w:rPr>
        <w:t>.</w:t>
      </w:r>
    </w:p>
    <w:p w:rsidR="00716D93" w:rsidRDefault="00716D93">
      <w:pPr>
        <w:numPr>
          <w:ilvl w:val="12"/>
          <w:numId w:val="0"/>
        </w:numPr>
        <w:rPr>
          <w:szCs w:val="22"/>
          <w:lang w:val="hu-HU" w:eastAsia="en-US"/>
        </w:rPr>
      </w:pPr>
    </w:p>
    <w:p w:rsidR="00716D93" w:rsidRDefault="00E10747">
      <w:pPr>
        <w:autoSpaceDE w:val="0"/>
        <w:autoSpaceDN w:val="0"/>
        <w:adjustRightInd w:val="0"/>
        <w:ind w:right="-2"/>
        <w:rPr>
          <w:szCs w:val="22"/>
          <w:lang w:val="hu-HU"/>
        </w:rPr>
      </w:pPr>
      <w:r>
        <w:rPr>
          <w:szCs w:val="22"/>
          <w:lang w:val="hu-HU"/>
        </w:rPr>
        <w:t>Kérjük, tájékoztassa kezelőorvosát minden egyéb egészségügyi problémájáról vagy betegségéről, mert orvosának ezekre esetleg tekintettel kell lennie. Különösen a következőket fontos megemlítenie orvosának:</w:t>
      </w:r>
    </w:p>
    <w:p w:rsidR="00716D93" w:rsidRDefault="00E10747">
      <w:pPr>
        <w:numPr>
          <w:ilvl w:val="0"/>
          <w:numId w:val="21"/>
        </w:numPr>
        <w:autoSpaceDE w:val="0"/>
        <w:autoSpaceDN w:val="0"/>
        <w:adjustRightInd w:val="0"/>
        <w:ind w:left="567" w:hanging="567"/>
        <w:rPr>
          <w:szCs w:val="22"/>
          <w:lang w:val="hu-HU" w:eastAsia="en-US"/>
        </w:rPr>
      </w:pPr>
      <w:r>
        <w:rPr>
          <w:spacing w:val="-2"/>
          <w:szCs w:val="22"/>
          <w:lang w:val="hu-HU"/>
        </w:rPr>
        <w:t xml:space="preserve">ha epilepsziája van: az Elicea Q-Tab-kezelést le kell állítani, ha első alkalommal lépnek fel, vagy ha a gyakrabban </w:t>
      </w:r>
      <w:r>
        <w:rPr>
          <w:szCs w:val="22"/>
          <w:lang w:val="hu-HU"/>
        </w:rPr>
        <w:t>jelentkeznek görcsrohamok (lásd 4. pont, „Lehetséges mellékhatások”).</w:t>
      </w:r>
    </w:p>
    <w:p w:rsidR="00716D93" w:rsidRDefault="00E10747">
      <w:pPr>
        <w:numPr>
          <w:ilvl w:val="0"/>
          <w:numId w:val="21"/>
        </w:numPr>
        <w:autoSpaceDE w:val="0"/>
        <w:autoSpaceDN w:val="0"/>
        <w:adjustRightInd w:val="0"/>
        <w:ind w:left="567" w:hanging="567"/>
        <w:rPr>
          <w:szCs w:val="22"/>
          <w:lang w:val="hu-HU" w:eastAsia="en-US"/>
        </w:rPr>
      </w:pPr>
      <w:r>
        <w:rPr>
          <w:szCs w:val="22"/>
          <w:lang w:val="hu-HU"/>
        </w:rPr>
        <w:t>ha károsodott a máj- vagy a veseműködése: előfordulhat, hogy kezelőorvosának módosítania kell a gyógyszer adagolását.</w:t>
      </w:r>
    </w:p>
    <w:p w:rsidR="00716D93" w:rsidRDefault="00E10747">
      <w:pPr>
        <w:numPr>
          <w:ilvl w:val="0"/>
          <w:numId w:val="21"/>
        </w:numPr>
        <w:autoSpaceDE w:val="0"/>
        <w:autoSpaceDN w:val="0"/>
        <w:adjustRightInd w:val="0"/>
        <w:ind w:left="567" w:hanging="567"/>
        <w:rPr>
          <w:szCs w:val="22"/>
          <w:lang w:val="hu-HU" w:eastAsia="en-US"/>
        </w:rPr>
      </w:pPr>
      <w:r>
        <w:rPr>
          <w:szCs w:val="22"/>
          <w:lang w:val="hu-HU"/>
        </w:rPr>
        <w:t>ha Ön cukorbeteg: az Elicea Q-Tab-kezelés megváltoztathatja a vércukorszint-beállítást. Az inzulin és/vagy a vércukorszint-csökkentő gyógyszerek adagolásának módosítása válhat szükségessé.</w:t>
      </w:r>
    </w:p>
    <w:p w:rsidR="00716D93" w:rsidRDefault="00E10747">
      <w:pPr>
        <w:numPr>
          <w:ilvl w:val="0"/>
          <w:numId w:val="21"/>
        </w:numPr>
        <w:autoSpaceDE w:val="0"/>
        <w:autoSpaceDN w:val="0"/>
        <w:adjustRightInd w:val="0"/>
        <w:ind w:left="567" w:hanging="567"/>
        <w:rPr>
          <w:szCs w:val="22"/>
          <w:lang w:val="hu-HU" w:eastAsia="en-US"/>
        </w:rPr>
      </w:pPr>
      <w:r>
        <w:rPr>
          <w:szCs w:val="22"/>
          <w:lang w:val="hu-HU" w:eastAsia="en-US"/>
        </w:rPr>
        <w:t>ha alacsony vérének nátriumszintje.</w:t>
      </w:r>
    </w:p>
    <w:p w:rsidR="00716D93" w:rsidRDefault="00E10747">
      <w:pPr>
        <w:numPr>
          <w:ilvl w:val="0"/>
          <w:numId w:val="21"/>
        </w:numPr>
        <w:autoSpaceDE w:val="0"/>
        <w:autoSpaceDN w:val="0"/>
        <w:adjustRightInd w:val="0"/>
        <w:ind w:left="567" w:hanging="567"/>
        <w:rPr>
          <w:szCs w:val="22"/>
          <w:lang w:val="hu-HU" w:eastAsia="en-US"/>
        </w:rPr>
      </w:pPr>
      <w:r>
        <w:rPr>
          <w:szCs w:val="22"/>
          <w:lang w:val="hu-HU" w:eastAsia="en-US"/>
        </w:rPr>
        <w:t>ha hajlamos vérzékenységre vagy bőrbevérzésekre, vagy ha Ön terhes (lásd „Terhesség, szoptatás és termékenység”).</w:t>
      </w:r>
    </w:p>
    <w:p w:rsidR="00716D93" w:rsidRDefault="00E10747">
      <w:pPr>
        <w:numPr>
          <w:ilvl w:val="0"/>
          <w:numId w:val="21"/>
        </w:numPr>
        <w:autoSpaceDE w:val="0"/>
        <w:autoSpaceDN w:val="0"/>
        <w:adjustRightInd w:val="0"/>
        <w:ind w:left="567" w:hanging="567"/>
        <w:rPr>
          <w:szCs w:val="22"/>
          <w:lang w:val="hu-HU" w:eastAsia="en-US"/>
        </w:rPr>
      </w:pPr>
      <w:r>
        <w:rPr>
          <w:szCs w:val="22"/>
          <w:lang w:val="hu-HU" w:eastAsia="en-US"/>
        </w:rPr>
        <w:t>ha elektrosokk-kezelésben részesül.</w:t>
      </w:r>
    </w:p>
    <w:p w:rsidR="00716D93" w:rsidRDefault="00E10747">
      <w:pPr>
        <w:numPr>
          <w:ilvl w:val="0"/>
          <w:numId w:val="21"/>
        </w:numPr>
        <w:autoSpaceDE w:val="0"/>
        <w:autoSpaceDN w:val="0"/>
        <w:adjustRightInd w:val="0"/>
        <w:ind w:left="567" w:hanging="567"/>
        <w:rPr>
          <w:szCs w:val="22"/>
          <w:lang w:val="hu-HU" w:eastAsia="en-US"/>
        </w:rPr>
      </w:pPr>
      <w:r>
        <w:rPr>
          <w:szCs w:val="22"/>
          <w:lang w:val="hu-HU" w:eastAsia="en-US"/>
        </w:rPr>
        <w:t>ha koszorúér-betegsége van.</w:t>
      </w:r>
    </w:p>
    <w:p w:rsidR="00716D93" w:rsidRDefault="00E10747">
      <w:pPr>
        <w:numPr>
          <w:ilvl w:val="0"/>
          <w:numId w:val="21"/>
        </w:numPr>
        <w:autoSpaceDE w:val="0"/>
        <w:autoSpaceDN w:val="0"/>
        <w:adjustRightInd w:val="0"/>
        <w:ind w:left="567" w:hanging="567"/>
        <w:rPr>
          <w:szCs w:val="22"/>
          <w:lang w:val="hu-HU" w:eastAsia="en-US"/>
        </w:rPr>
      </w:pPr>
      <w:r>
        <w:rPr>
          <w:szCs w:val="22"/>
          <w:lang w:val="hu-HU" w:eastAsia="en-US"/>
        </w:rPr>
        <w:t>ha</w:t>
      </w:r>
      <w:r>
        <w:rPr>
          <w:szCs w:val="22"/>
          <w:lang w:val="hu-HU"/>
        </w:rPr>
        <w:t xml:space="preserve"> Önnek szívproblémái vannak vagy voltak, illetve ha a közelmúltban szívrohama volt.</w:t>
      </w:r>
    </w:p>
    <w:p w:rsidR="00716D93" w:rsidRDefault="00E10747">
      <w:pPr>
        <w:numPr>
          <w:ilvl w:val="0"/>
          <w:numId w:val="21"/>
        </w:numPr>
        <w:autoSpaceDE w:val="0"/>
        <w:autoSpaceDN w:val="0"/>
        <w:adjustRightInd w:val="0"/>
        <w:ind w:left="567" w:hanging="567"/>
        <w:rPr>
          <w:szCs w:val="22"/>
          <w:lang w:val="hu-HU" w:eastAsia="en-US"/>
        </w:rPr>
      </w:pPr>
      <w:r>
        <w:rPr>
          <w:szCs w:val="22"/>
          <w:lang w:val="hu-HU"/>
        </w:rPr>
        <w:t>ha Önnek alacsony a nyugalmi szívritmusa és/vagy elhúzódó, súlyos hasmenés és hányás, vagy vízhajtók alkalmazása következtében sóhiánya lehet.</w:t>
      </w:r>
    </w:p>
    <w:p w:rsidR="00716D93" w:rsidRDefault="00E10747">
      <w:pPr>
        <w:numPr>
          <w:ilvl w:val="0"/>
          <w:numId w:val="21"/>
        </w:numPr>
        <w:autoSpaceDE w:val="0"/>
        <w:autoSpaceDN w:val="0"/>
        <w:adjustRightInd w:val="0"/>
        <w:ind w:left="567" w:hanging="567"/>
        <w:rPr>
          <w:szCs w:val="22"/>
          <w:lang w:val="hu-HU"/>
        </w:rPr>
      </w:pPr>
      <w:r>
        <w:rPr>
          <w:szCs w:val="22"/>
          <w:lang w:val="hu-HU"/>
        </w:rPr>
        <w:t>ha Ön felálláskor gyors vagy szabálytalan szívverést, ájulást vagy szédülést tapasztal – ezek a szívritmus rendellenességére utalhatnak.</w:t>
      </w:r>
    </w:p>
    <w:p w:rsidR="00716D93" w:rsidRDefault="00E10747">
      <w:pPr>
        <w:numPr>
          <w:ilvl w:val="0"/>
          <w:numId w:val="21"/>
        </w:numPr>
        <w:autoSpaceDE w:val="0"/>
        <w:autoSpaceDN w:val="0"/>
        <w:adjustRightInd w:val="0"/>
        <w:ind w:left="567" w:hanging="567"/>
        <w:rPr>
          <w:szCs w:val="22"/>
          <w:lang w:val="hu-HU"/>
        </w:rPr>
      </w:pPr>
      <w:r>
        <w:rPr>
          <w:szCs w:val="22"/>
          <w:lang w:val="hu-HU"/>
        </w:rPr>
        <w:t>ha Önnek szembetegsége van vagy volt, mint például a zöldhályog (glaukóma) bizonyos formája (emelkedett szemnyomás).</w:t>
      </w:r>
    </w:p>
    <w:p w:rsidR="00716D93" w:rsidRDefault="00716D93">
      <w:pPr>
        <w:pStyle w:val="AuthenticateHeading"/>
        <w:keepNext w:val="0"/>
        <w:suppressAutoHyphens w:val="0"/>
        <w:overflowPunct w:val="0"/>
        <w:autoSpaceDE w:val="0"/>
        <w:autoSpaceDN w:val="0"/>
        <w:adjustRightInd w:val="0"/>
        <w:spacing w:before="0" w:after="0"/>
        <w:textAlignment w:val="baseline"/>
        <w:rPr>
          <w:bCs/>
          <w:szCs w:val="22"/>
          <w:lang w:val="hu-HU" w:eastAsia="da-DK"/>
        </w:rPr>
      </w:pPr>
    </w:p>
    <w:p w:rsidR="00716D93" w:rsidRDefault="00E10747">
      <w:pPr>
        <w:autoSpaceDE w:val="0"/>
        <w:autoSpaceDN w:val="0"/>
        <w:adjustRightInd w:val="0"/>
        <w:rPr>
          <w:b/>
          <w:bCs/>
          <w:szCs w:val="22"/>
          <w:lang w:val="hu-HU"/>
        </w:rPr>
      </w:pPr>
      <w:r>
        <w:rPr>
          <w:b/>
          <w:bCs/>
          <w:szCs w:val="22"/>
          <w:lang w:val="hu-HU"/>
        </w:rPr>
        <w:t>Kérjük, vegye figyelembe</w:t>
      </w:r>
    </w:p>
    <w:p w:rsidR="00716D93" w:rsidRDefault="00E10747">
      <w:pPr>
        <w:tabs>
          <w:tab w:val="left" w:pos="567"/>
        </w:tabs>
        <w:autoSpaceDE w:val="0"/>
        <w:autoSpaceDN w:val="0"/>
        <w:adjustRightInd w:val="0"/>
        <w:rPr>
          <w:szCs w:val="22"/>
          <w:lang w:val="hu-HU"/>
        </w:rPr>
      </w:pPr>
      <w:r>
        <w:rPr>
          <w:szCs w:val="22"/>
          <w:lang w:val="hu-HU"/>
        </w:rPr>
        <w:t>Egyes, mániás depresszióban szenvedő betegeknél mániás fázis léphet fel, amelyre szokatlan és gyorsan változó gondolatok, indokolatlan jókedv és fokozott fizikai aktivitás jellemző. Ha ezeket tapasztalja, keresse fel orvosát!</w:t>
      </w:r>
    </w:p>
    <w:p w:rsidR="00716D93" w:rsidRDefault="00716D93">
      <w:pPr>
        <w:tabs>
          <w:tab w:val="left" w:pos="567"/>
        </w:tabs>
        <w:autoSpaceDE w:val="0"/>
        <w:autoSpaceDN w:val="0"/>
        <w:adjustRightInd w:val="0"/>
        <w:rPr>
          <w:szCs w:val="22"/>
          <w:lang w:val="hu-HU"/>
        </w:rPr>
      </w:pPr>
    </w:p>
    <w:p w:rsidR="00716D93" w:rsidRDefault="00E10747">
      <w:pPr>
        <w:tabs>
          <w:tab w:val="left" w:pos="567"/>
        </w:tabs>
        <w:autoSpaceDE w:val="0"/>
        <w:autoSpaceDN w:val="0"/>
        <w:adjustRightInd w:val="0"/>
        <w:rPr>
          <w:szCs w:val="22"/>
          <w:lang w:val="hu-HU"/>
        </w:rPr>
      </w:pPr>
      <w:r>
        <w:rPr>
          <w:spacing w:val="-2"/>
          <w:szCs w:val="22"/>
          <w:lang w:val="hu-HU"/>
        </w:rPr>
        <w:t>A kezelés első heteiben előfordulhat nyugtalanság vagy nehezére eshet egyhelyben maradni (ülni/állni).</w:t>
      </w:r>
      <w:r>
        <w:rPr>
          <w:szCs w:val="22"/>
          <w:lang w:val="hu-HU"/>
        </w:rPr>
        <w:t xml:space="preserve"> Azonnal forduljon orvosához, ha ezeket a tüneteket tapasztalja!</w:t>
      </w:r>
    </w:p>
    <w:p w:rsidR="00716D93" w:rsidRDefault="00716D93">
      <w:pPr>
        <w:tabs>
          <w:tab w:val="center" w:pos="4819"/>
          <w:tab w:val="right" w:pos="9638"/>
        </w:tabs>
        <w:autoSpaceDE w:val="0"/>
        <w:autoSpaceDN w:val="0"/>
        <w:adjustRightInd w:val="0"/>
        <w:rPr>
          <w:szCs w:val="22"/>
          <w:lang w:val="hu-HU"/>
        </w:rPr>
      </w:pPr>
    </w:p>
    <w:p w:rsidR="00716D93" w:rsidRDefault="00E10747">
      <w:pPr>
        <w:tabs>
          <w:tab w:val="center" w:pos="4819"/>
          <w:tab w:val="right" w:pos="9638"/>
        </w:tabs>
        <w:autoSpaceDE w:val="0"/>
        <w:autoSpaceDN w:val="0"/>
        <w:adjustRightInd w:val="0"/>
        <w:rPr>
          <w:szCs w:val="22"/>
          <w:lang w:val="hu-HU"/>
        </w:rPr>
      </w:pPr>
      <w:r>
        <w:rPr>
          <w:szCs w:val="22"/>
          <w:lang w:val="hu-HU"/>
        </w:rPr>
        <w:t>Az olyan gyógyszerek, mint az Elicea Q-Tab (az úgynevezett SSRI-k/SNRI-k) szexuális zavar tüneteit okozhatják (lásd 4. pont). Egyes esetekben ezek a tünetek a kezelés leállítása után is fennálltak.</w:t>
      </w:r>
    </w:p>
    <w:p w:rsidR="00716D93" w:rsidRDefault="00716D93">
      <w:pPr>
        <w:rPr>
          <w:szCs w:val="22"/>
          <w:lang w:val="hu-HU" w:eastAsia="en-US"/>
        </w:rPr>
      </w:pPr>
    </w:p>
    <w:p w:rsidR="00716D93" w:rsidRDefault="00E10747">
      <w:pPr>
        <w:autoSpaceDE w:val="0"/>
        <w:autoSpaceDN w:val="0"/>
        <w:adjustRightInd w:val="0"/>
        <w:rPr>
          <w:b/>
          <w:bCs/>
          <w:szCs w:val="22"/>
          <w:lang w:val="hu-HU"/>
        </w:rPr>
      </w:pPr>
      <w:r>
        <w:rPr>
          <w:b/>
          <w:bCs/>
          <w:szCs w:val="22"/>
          <w:lang w:val="hu-HU"/>
        </w:rPr>
        <w:t>Öngyilkossági gondolatok és depressziójának vagy szorongásos betegségének súlyosbodása</w:t>
      </w:r>
    </w:p>
    <w:p w:rsidR="00716D93" w:rsidRDefault="00E10747">
      <w:pPr>
        <w:autoSpaceDE w:val="0"/>
        <w:autoSpaceDN w:val="0"/>
        <w:adjustRightInd w:val="0"/>
        <w:rPr>
          <w:szCs w:val="22"/>
          <w:lang w:val="hu-HU"/>
        </w:rPr>
      </w:pPr>
      <w:r>
        <w:rPr>
          <w:szCs w:val="22"/>
          <w:lang w:val="hu-HU"/>
        </w:rPr>
        <w:t>Ha Ön depressziós és/vagy szorongással járó betegségben szenved, olykor önkárosító vagy öngyilkos gondolatai támadhatnak. Ezek sűrűbben jelentkezhetnek az antidepresszáns kezelés kezdeti szakaszában, mert ezeknek a gyógyszereknek a hatása csak bizonyos idő elteltével, általában kb. 2 hét– néha azonban hosszabb idő – múlva érvényesül.</w:t>
      </w:r>
    </w:p>
    <w:p w:rsidR="00716D93" w:rsidRDefault="00E10747">
      <w:pPr>
        <w:autoSpaceDE w:val="0"/>
        <w:autoSpaceDN w:val="0"/>
        <w:adjustRightInd w:val="0"/>
        <w:rPr>
          <w:szCs w:val="22"/>
          <w:lang w:val="hu-HU"/>
        </w:rPr>
      </w:pPr>
      <w:r>
        <w:rPr>
          <w:szCs w:val="22"/>
          <w:lang w:val="hu-HU"/>
        </w:rPr>
        <w:t>Nagyobb valószínűséggel lehetnek ilyen gondolatai:</w:t>
      </w:r>
    </w:p>
    <w:p w:rsidR="00716D93" w:rsidRDefault="00E10747">
      <w:pPr>
        <w:autoSpaceDE w:val="0"/>
        <w:autoSpaceDN w:val="0"/>
        <w:adjustRightInd w:val="0"/>
        <w:ind w:left="567" w:hanging="567"/>
        <w:rPr>
          <w:szCs w:val="22"/>
          <w:lang w:val="hu-HU"/>
        </w:rPr>
      </w:pPr>
      <w:r>
        <w:rPr>
          <w:szCs w:val="22"/>
          <w:lang w:val="hu-HU"/>
        </w:rPr>
        <w:t>-</w:t>
      </w:r>
      <w:r>
        <w:rPr>
          <w:szCs w:val="22"/>
          <w:lang w:val="hu-HU"/>
        </w:rPr>
        <w:tab/>
        <w:t>ha korábban voltak már öngyilkossági vagy önkárosító gondolatai.</w:t>
      </w:r>
    </w:p>
    <w:p w:rsidR="00716D93" w:rsidRDefault="00E10747">
      <w:pPr>
        <w:tabs>
          <w:tab w:val="left" w:pos="0"/>
        </w:tabs>
        <w:autoSpaceDE w:val="0"/>
        <w:autoSpaceDN w:val="0"/>
        <w:adjustRightInd w:val="0"/>
        <w:ind w:left="567" w:hanging="567"/>
        <w:rPr>
          <w:szCs w:val="22"/>
          <w:lang w:val="hu-HU"/>
        </w:rPr>
      </w:pPr>
      <w:r>
        <w:rPr>
          <w:szCs w:val="22"/>
          <w:lang w:val="hu-HU"/>
        </w:rPr>
        <w:t>-</w:t>
      </w:r>
      <w:r>
        <w:rPr>
          <w:szCs w:val="22"/>
          <w:lang w:val="hu-HU"/>
        </w:rPr>
        <w:tab/>
        <w:t xml:space="preserve">ha Ön </w:t>
      </w:r>
      <w:r>
        <w:rPr>
          <w:b/>
          <w:bCs/>
          <w:szCs w:val="22"/>
          <w:lang w:val="hu-HU"/>
        </w:rPr>
        <w:t>fiatal felnőtt</w:t>
      </w:r>
      <w:r>
        <w:rPr>
          <w:szCs w:val="22"/>
          <w:lang w:val="hu-HU"/>
        </w:rPr>
        <w:t>. Klinikai vizsgálatokból származó információk szerint a pszichiátriai betegségek miatt antidepresszánsokkal kezelt, 25 évnél fiatalabb felnőttek esetében fokozott az öngyilkos magatartás kockázata.</w:t>
      </w:r>
    </w:p>
    <w:p w:rsidR="00716D93" w:rsidRDefault="00E10747">
      <w:pPr>
        <w:autoSpaceDE w:val="0"/>
        <w:autoSpaceDN w:val="0"/>
        <w:adjustRightInd w:val="0"/>
        <w:rPr>
          <w:b/>
          <w:bCs/>
          <w:szCs w:val="22"/>
          <w:lang w:val="hu-HU"/>
        </w:rPr>
      </w:pPr>
      <w:r>
        <w:rPr>
          <w:szCs w:val="22"/>
          <w:lang w:val="hu-HU"/>
        </w:rPr>
        <w:t xml:space="preserve">Ha bármikor önkárosító vagy öngyilkossági gondolatai támadnak, </w:t>
      </w:r>
      <w:r>
        <w:rPr>
          <w:b/>
          <w:bCs/>
          <w:szCs w:val="22"/>
          <w:lang w:val="hu-HU"/>
        </w:rPr>
        <w:t>azonnal keresse fel orvosát, vagy menjen a legközelebbi kórházba.</w:t>
      </w:r>
    </w:p>
    <w:p w:rsidR="00716D93" w:rsidRDefault="00716D93">
      <w:pPr>
        <w:autoSpaceDE w:val="0"/>
        <w:autoSpaceDN w:val="0"/>
        <w:adjustRightInd w:val="0"/>
        <w:rPr>
          <w:szCs w:val="22"/>
          <w:lang w:val="hu-HU"/>
        </w:rPr>
      </w:pPr>
    </w:p>
    <w:p w:rsidR="00716D93" w:rsidRDefault="00E10747">
      <w:pPr>
        <w:tabs>
          <w:tab w:val="center" w:pos="4819"/>
          <w:tab w:val="right" w:pos="9638"/>
        </w:tabs>
        <w:autoSpaceDE w:val="0"/>
        <w:autoSpaceDN w:val="0"/>
        <w:adjustRightInd w:val="0"/>
        <w:rPr>
          <w:szCs w:val="22"/>
          <w:lang w:val="hu-HU"/>
        </w:rPr>
      </w:pPr>
      <w:r>
        <w:rPr>
          <w:b/>
          <w:bCs/>
          <w:szCs w:val="22"/>
          <w:lang w:val="hu-HU"/>
        </w:rPr>
        <w:t>Hasznos lehet, ha beszámol egy rokonának vagy közeli barátjának</w:t>
      </w:r>
      <w:r>
        <w:rPr>
          <w:szCs w:val="22"/>
          <w:lang w:val="hu-HU"/>
        </w:rPr>
        <w:t xml:space="preserve"> a depressziójáról vagy szorongásos betegségéről, és megkéri őket, hogy olvassák el ezt a betegtájékoztatót. Megkérheti őket, hogy közöljék Önnel, ha úgy gondolják, hogy súlyosbodott a depressziója vagy a szorongása, vagy ha aggasztják őket az Ön magatartásában észlelt változások.</w:t>
      </w:r>
    </w:p>
    <w:p w:rsidR="00716D93" w:rsidRDefault="00716D93">
      <w:pPr>
        <w:rPr>
          <w:szCs w:val="22"/>
          <w:lang w:val="hu-HU" w:eastAsia="en-US"/>
        </w:rPr>
      </w:pPr>
    </w:p>
    <w:p w:rsidR="00716D93" w:rsidRDefault="00E10747">
      <w:pPr>
        <w:tabs>
          <w:tab w:val="left" w:pos="567"/>
        </w:tabs>
        <w:autoSpaceDE w:val="0"/>
        <w:autoSpaceDN w:val="0"/>
        <w:adjustRightInd w:val="0"/>
        <w:rPr>
          <w:b/>
          <w:szCs w:val="22"/>
          <w:lang w:val="hu-HU"/>
        </w:rPr>
      </w:pPr>
      <w:r>
        <w:rPr>
          <w:b/>
          <w:szCs w:val="22"/>
          <w:lang w:val="hu-HU"/>
        </w:rPr>
        <w:t>Gyermekek és serdülők</w:t>
      </w:r>
    </w:p>
    <w:p w:rsidR="00716D93" w:rsidRDefault="00E10747">
      <w:pPr>
        <w:autoSpaceDE w:val="0"/>
        <w:autoSpaceDN w:val="0"/>
        <w:adjustRightInd w:val="0"/>
        <w:rPr>
          <w:szCs w:val="22"/>
          <w:lang w:val="hu-HU" w:eastAsia="hu-HU" w:bidi="hi-IN"/>
        </w:rPr>
      </w:pPr>
      <w:r>
        <w:rPr>
          <w:szCs w:val="22"/>
          <w:lang w:val="hu-HU"/>
        </w:rPr>
        <w:lastRenderedPageBreak/>
        <w:t xml:space="preserve">Az Elicea Q-Tab általában nem alkalmazható gyermekek és serdülők kezelésére (18 év alatt). </w:t>
      </w:r>
      <w:r>
        <w:rPr>
          <w:szCs w:val="22"/>
          <w:lang w:val="hu-HU" w:eastAsia="hu-HU" w:bidi="hi-IN"/>
        </w:rPr>
        <w:t xml:space="preserve">Tudnia kell azt is, hogy az ebbe a csoportba tartozó gyógyszerek szedése esetén a 18 évesnél fiatalabb betegeknél fokozott az öngyilkossági kísérlet, az öngyilkossági gondolatok és az ellenséges viselkedés (jellemzően erőszakos magatartás, ellenkezés és düh) kockázata. Az orvos ennek ellenére 18 éves kor </w:t>
      </w:r>
      <w:r>
        <w:rPr>
          <w:spacing w:val="-2"/>
          <w:szCs w:val="22"/>
          <w:lang w:val="hu-HU" w:eastAsia="hu-HU" w:bidi="hi-IN"/>
        </w:rPr>
        <w:t>alatt is felírhatja az Elicea Q-Tab-ot</w:t>
      </w:r>
      <w:r>
        <w:rPr>
          <w:spacing w:val="-2"/>
          <w:szCs w:val="22"/>
          <w:lang w:val="hu-HU"/>
        </w:rPr>
        <w:t>, a</w:t>
      </w:r>
      <w:r>
        <w:rPr>
          <w:spacing w:val="-2"/>
          <w:szCs w:val="22"/>
          <w:lang w:val="hu-HU" w:eastAsia="hu-HU" w:bidi="hi-IN"/>
        </w:rPr>
        <w:t>mennyiben úgy ítéli, hogy ez a beteg érdekében szükséges. Ha kezelőorvosa</w:t>
      </w:r>
      <w:r>
        <w:rPr>
          <w:szCs w:val="22"/>
          <w:lang w:val="hu-HU" w:eastAsia="hu-HU" w:bidi="hi-IN"/>
        </w:rPr>
        <w:t xml:space="preserve"> 18 évesnél fiatalabb betegnek írt fel </w:t>
      </w:r>
      <w:r>
        <w:rPr>
          <w:szCs w:val="22"/>
          <w:lang w:val="hu-HU"/>
        </w:rPr>
        <w:t>Elicea Q-Tab-ot</w:t>
      </w:r>
      <w:r>
        <w:rPr>
          <w:szCs w:val="22"/>
          <w:lang w:val="hu-HU" w:eastAsia="hu-HU" w:bidi="hi-IN"/>
        </w:rPr>
        <w:t xml:space="preserve">, és ezt meg akarja beszélni vele, keresse fel ismét kezelőorvosát. Tájékoztatnia kell a kezelőorvosát arról, ha a fent felsorolt tünetek kialakulását vagy rosszabbodását észleli 18 évesnél fiatalabb, Elicea Q-Tab-ot szedő betegen. </w:t>
      </w:r>
      <w:r>
        <w:rPr>
          <w:szCs w:val="22"/>
          <w:lang w:val="hu-HU"/>
        </w:rPr>
        <w:t>Ezen felül, még nem bizonyított, hogy a hosszú távú kezelés biztonságos-e ebben a korcsoportban a növekedés, a serdülés, illetve a kognitív funkciók és a viselkedés fejlődése szempontjából.</w:t>
      </w:r>
    </w:p>
    <w:p w:rsidR="00716D93" w:rsidRDefault="00716D93">
      <w:pPr>
        <w:numPr>
          <w:ilvl w:val="12"/>
          <w:numId w:val="0"/>
        </w:numPr>
        <w:rPr>
          <w:szCs w:val="22"/>
          <w:lang w:val="hu-HU" w:eastAsia="en-US"/>
        </w:rPr>
      </w:pPr>
    </w:p>
    <w:p w:rsidR="00716D93" w:rsidRDefault="00E10747">
      <w:pPr>
        <w:numPr>
          <w:ilvl w:val="12"/>
          <w:numId w:val="0"/>
        </w:numPr>
        <w:ind w:right="-2"/>
        <w:outlineLvl w:val="0"/>
        <w:rPr>
          <w:b/>
          <w:szCs w:val="22"/>
          <w:lang w:val="hu-HU" w:eastAsia="en-US"/>
        </w:rPr>
      </w:pPr>
      <w:r>
        <w:rPr>
          <w:b/>
          <w:bCs/>
          <w:szCs w:val="22"/>
          <w:lang w:val="hu-HU"/>
        </w:rPr>
        <w:t>Egyéb gyógyszerek és az</w:t>
      </w:r>
      <w:r>
        <w:rPr>
          <w:b/>
          <w:szCs w:val="22"/>
          <w:lang w:val="hu-HU" w:eastAsia="en-US"/>
        </w:rPr>
        <w:t xml:space="preserve"> Elicea Q-Tab</w:t>
      </w:r>
    </w:p>
    <w:p w:rsidR="00716D93" w:rsidRDefault="00E10747">
      <w:pPr>
        <w:autoSpaceDE w:val="0"/>
        <w:autoSpaceDN w:val="0"/>
        <w:adjustRightInd w:val="0"/>
        <w:rPr>
          <w:szCs w:val="22"/>
          <w:lang w:val="hu-HU"/>
        </w:rPr>
      </w:pPr>
      <w:r>
        <w:rPr>
          <w:szCs w:val="22"/>
          <w:lang w:val="hu-HU"/>
        </w:rPr>
        <w:t>Feltétlenül tájékoztassa kezelőorvosát vagy gyógyszerészét a jelenleg vagy nemrégiben szedett valamint szedni tervezett egyéb gyógyszereiről.</w:t>
      </w:r>
    </w:p>
    <w:p w:rsidR="00716D93" w:rsidRDefault="00716D93">
      <w:pPr>
        <w:rPr>
          <w:szCs w:val="22"/>
          <w:lang w:val="hu-HU" w:eastAsia="en-US"/>
        </w:rPr>
      </w:pPr>
    </w:p>
    <w:p w:rsidR="00716D93" w:rsidRDefault="00E10747">
      <w:pPr>
        <w:autoSpaceDE w:val="0"/>
        <w:autoSpaceDN w:val="0"/>
        <w:adjustRightInd w:val="0"/>
        <w:rPr>
          <w:szCs w:val="22"/>
          <w:lang w:val="hu-HU"/>
        </w:rPr>
      </w:pPr>
      <w:r>
        <w:rPr>
          <w:szCs w:val="22"/>
          <w:lang w:val="hu-HU"/>
        </w:rPr>
        <w:t>Tájékoztassa kezelőorvosát, ha az alábbi gyógyszerek közül bármelyiket szedi:</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úgynevezett „nem-szelektív monoaminoxidáz-gátlókat” (MAOI-k), amelyek hatóanyagként fenelzint, iproniazidot, izokarboxazidot, nialamidot vagy tranilcipromint tartalmaznak. Ha ezek bármelyikét szedte, a kezelés befejezése után 14 napot kell várnia, mielőtt elkezdi szedni az Elicea Q</w:t>
      </w:r>
      <w:r>
        <w:rPr>
          <w:szCs w:val="22"/>
          <w:lang w:val="hu-HU"/>
        </w:rPr>
        <w:noBreakHyphen/>
        <w:t>Tab-ot. Az Elicea Q-Tab-kezelés befejezése után 7 napnak kell eltelnie, mielőtt e gyógyszerek bármelyikét bevenné.</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úgynevezett „reverzibilis, szelektív MAO-A-gátlókat”, hatóanyagként moklobemidet tartalmaznak és depresszió kezelésére szolgálnak.</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úgynevezett „irreverzibilis, szelektív MAO-B-gátlókat”, amelyek szelegilint tartalmaznak (a Parkinson-kór kezelésére szolgálnak). Ezek a növelik mellékhatások kockázatát.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a linezolid nevű antibiotikumot.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lítiumot (mániás-depresszió kezelésére) vagy triptofánt.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eastAsia="en-US"/>
        </w:rPr>
        <w:t>imipramint és dezipramint (mindkettő depresszió kezelésére szolgál).</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eastAsia="en-US"/>
        </w:rPr>
        <w:t xml:space="preserve">szumatriptánt és hasonló gyógyszereket (migrén kezelésére), továbbá tramadolt és hasonló gyógyszereket (opioidok, erős fájdalom csillapítására). </w:t>
      </w:r>
      <w:r>
        <w:rPr>
          <w:szCs w:val="22"/>
          <w:lang w:val="hu-HU"/>
        </w:rPr>
        <w:t>A mellékhatások előfordulásának kockázatát növelik.</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eastAsia="en-US"/>
        </w:rPr>
        <w:t>cimetidint, lanzoprazolt és omeprazolt (gyomorfekély kezelésére), flukonazolt (gombás fertőzések</w:t>
      </w:r>
      <w:r>
        <w:rPr>
          <w:spacing w:val="-2"/>
          <w:szCs w:val="22"/>
          <w:lang w:val="hu-HU" w:eastAsia="en-US"/>
        </w:rPr>
        <w:t xml:space="preserve"> kezelésére alkalmazott gyógyszer), fluvoxamint (antidepresszáns) és tiklopidint</w:t>
      </w:r>
      <w:r>
        <w:rPr>
          <w:szCs w:val="22"/>
          <w:lang w:val="hu-HU" w:eastAsia="en-US"/>
        </w:rPr>
        <w:t xml:space="preserve"> (agyi érkatasztrófa [sztrók] kockázatának csökkentésére). Ezek megnövelhetik az Elicea Q-Tab vérszintjét.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közönséges orbáncfüvet</w:t>
      </w:r>
      <w:r>
        <w:rPr>
          <w:i/>
          <w:iCs/>
          <w:szCs w:val="22"/>
          <w:lang w:val="hu-HU"/>
        </w:rPr>
        <w:t xml:space="preserve"> </w:t>
      </w:r>
      <w:r>
        <w:rPr>
          <w:szCs w:val="22"/>
          <w:lang w:val="hu-HU"/>
        </w:rPr>
        <w:t>(</w:t>
      </w:r>
      <w:r>
        <w:rPr>
          <w:i/>
          <w:szCs w:val="22"/>
          <w:lang w:val="hu-HU"/>
        </w:rPr>
        <w:t>Hypericum perforatum</w:t>
      </w:r>
      <w:r>
        <w:rPr>
          <w:szCs w:val="22"/>
          <w:lang w:val="hu-HU"/>
        </w:rPr>
        <w:t xml:space="preserve"> – depresszió kezelésére alkalmazott gyógynövény készítmény).</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acetilszalicilsavat és nem-szteroid gyulladásgátlókat (fájdalomcsillapítóként vagy vérhígítóként, véralvadásgátlóként). Ezek növelhetik a vérzési hajlamot.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warfarint, dipiridamolt vagy fenprokumont (véralvadásgátlók). Annak eldöntése érdekében, hogy véralvadásgátló gyógyszereinek adagja megfelelő-e, az Elicea Q-Tab-kezelés megkezdésekor és befejezésekor orvosa valószínűleg ellenőrizni fogja az Ön vérének alvadási idejét.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meflokint (malária kezelésére) vagy bupropiont (antidepresszáns)– ezek szedése a görcsküszöb csökkenésének kockázatával járhat.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neuroleptikumokat (skizofrénia és pszichózisok kezelésére) és antidepresszánsokat (triciklusos antidepresszánsok és SSRI-k) – ezek szedése a görcsküszöb csökkenésének kockázatával járhat.</w:t>
      </w:r>
    </w:p>
    <w:p w:rsidR="00716D93" w:rsidRDefault="00E10747">
      <w:pPr>
        <w:numPr>
          <w:ilvl w:val="0"/>
          <w:numId w:val="23"/>
        </w:numPr>
        <w:tabs>
          <w:tab w:val="clear" w:pos="774"/>
          <w:tab w:val="num" w:pos="567"/>
        </w:tabs>
        <w:autoSpaceDE w:val="0"/>
        <w:autoSpaceDN w:val="0"/>
        <w:adjustRightInd w:val="0"/>
        <w:ind w:left="567" w:hanging="567"/>
        <w:rPr>
          <w:szCs w:val="22"/>
          <w:lang w:val="hu-HU" w:eastAsia="en-US"/>
        </w:rPr>
      </w:pPr>
      <w:r>
        <w:rPr>
          <w:szCs w:val="22"/>
          <w:lang w:val="hu-HU"/>
        </w:rPr>
        <w:t>flekainidet, propafenont vagy metoprololt (szív- és érrendszeri betegségekre), klomipramint és nortriptilint (antidepresszánsok), valamint riszperidont, tioridazint és haloperidolt (antipszichotikumok). Az Elicea Q-Tab adagolásának módosítása válhat szükségessé.</w:t>
      </w:r>
    </w:p>
    <w:p w:rsidR="00716D93" w:rsidRPr="00790BF7" w:rsidRDefault="00E10747" w:rsidP="00790BF7">
      <w:pPr>
        <w:numPr>
          <w:ilvl w:val="0"/>
          <w:numId w:val="23"/>
        </w:numPr>
        <w:tabs>
          <w:tab w:val="clear" w:pos="774"/>
          <w:tab w:val="num" w:pos="567"/>
        </w:tabs>
        <w:autoSpaceDE w:val="0"/>
        <w:autoSpaceDN w:val="0"/>
        <w:adjustRightInd w:val="0"/>
        <w:ind w:left="567" w:hanging="567"/>
        <w:rPr>
          <w:szCs w:val="22"/>
          <w:lang w:val="hu-HU"/>
        </w:rPr>
      </w:pPr>
      <w:r>
        <w:rPr>
          <w:szCs w:val="22"/>
          <w:lang w:val="hu-HU"/>
        </w:rPr>
        <w:t>a vér kálium- és magnéziumszintjét csökkentő gyógyszerek, mivel ezek az állapotok növelik az életet veszélyeztető szívritmuszavarok kockázatát.</w:t>
      </w:r>
    </w:p>
    <w:p w:rsidR="00716D93" w:rsidRDefault="00716D93">
      <w:pPr>
        <w:pStyle w:val="llb"/>
        <w:rPr>
          <w:szCs w:val="22"/>
          <w:lang w:val="hu-HU" w:eastAsia="en-US"/>
        </w:rPr>
      </w:pPr>
    </w:p>
    <w:p w:rsidR="00716D93" w:rsidRDefault="00830B86">
      <w:pPr>
        <w:pStyle w:val="llb"/>
        <w:rPr>
          <w:szCs w:val="22"/>
          <w:lang w:val="hu-HU" w:eastAsia="en-US"/>
        </w:rPr>
      </w:pPr>
      <w:r w:rsidRPr="00830B86">
        <w:rPr>
          <w:b/>
          <w:spacing w:val="-2"/>
          <w:szCs w:val="22"/>
          <w:lang w:val="hu-HU" w:eastAsia="en-US"/>
        </w:rPr>
        <w:t xml:space="preserve">NE VEGYEN BE </w:t>
      </w:r>
      <w:r w:rsidR="00E10747" w:rsidRPr="00790BF7">
        <w:rPr>
          <w:b/>
          <w:spacing w:val="-2"/>
          <w:szCs w:val="22"/>
          <w:lang w:val="hu-HU" w:eastAsia="en-US"/>
        </w:rPr>
        <w:t>Elicea Q-Tab-ot</w:t>
      </w:r>
      <w:r w:rsidR="00E10747">
        <w:rPr>
          <w:spacing w:val="-2"/>
          <w:szCs w:val="22"/>
          <w:lang w:val="hu-HU" w:eastAsia="en-US"/>
        </w:rPr>
        <w:t>, ha Ön szívritmuszavar kezelésére szolgáló, vagy a szívritmust esetleg befolyásoló</w:t>
      </w:r>
      <w:r w:rsidR="00E10747">
        <w:rPr>
          <w:szCs w:val="22"/>
          <w:lang w:val="hu-HU" w:eastAsia="en-US"/>
        </w:rPr>
        <w:t xml:space="preserve"> gyógyszereket szed, például IA és III osztályú</w:t>
      </w:r>
      <w:r w:rsidR="00E10747">
        <w:rPr>
          <w:szCs w:val="22"/>
          <w:lang w:val="hu-HU"/>
        </w:rPr>
        <w:t xml:space="preserve"> szívritmuszavar elleni szereket, antipszichotikumokat (például fenotiazin származékokat, pimozidot, haloperidolt), triciklusos antidepresszánsokat, bizonyos antimikrobás szereket (például sparfloxacint, moxifloxacint, intravénásan alkal</w:t>
      </w:r>
      <w:r w:rsidR="00E10747">
        <w:rPr>
          <w:szCs w:val="22"/>
          <w:lang w:val="hu-HU"/>
        </w:rPr>
        <w:lastRenderedPageBreak/>
        <w:t>mazott eritromicint, pentamidint, antimaláriás szereket, főként halofantrint), bizonyos antihisztaminokat (asztemizolt, hidroxizint, mizolasztint). Ha bármilyen további kérdése van ezzel kapcsolatban, forduljon kezelőorvosához.</w:t>
      </w:r>
    </w:p>
    <w:p w:rsidR="00716D93" w:rsidRDefault="00716D93">
      <w:pPr>
        <w:numPr>
          <w:ilvl w:val="12"/>
          <w:numId w:val="0"/>
        </w:numPr>
        <w:ind w:right="-2"/>
        <w:outlineLvl w:val="0"/>
        <w:rPr>
          <w:b/>
          <w:szCs w:val="22"/>
          <w:highlight w:val="yellow"/>
          <w:lang w:val="hu-HU" w:eastAsia="en-US"/>
        </w:rPr>
      </w:pPr>
    </w:p>
    <w:p w:rsidR="00716D93" w:rsidRDefault="00E10747">
      <w:pPr>
        <w:numPr>
          <w:ilvl w:val="12"/>
          <w:numId w:val="0"/>
        </w:numPr>
        <w:ind w:right="-2"/>
        <w:rPr>
          <w:szCs w:val="22"/>
          <w:lang w:val="hu-HU"/>
        </w:rPr>
      </w:pPr>
      <w:r>
        <w:rPr>
          <w:b/>
          <w:szCs w:val="22"/>
          <w:lang w:val="hu-HU" w:eastAsia="en-US"/>
        </w:rPr>
        <w:t xml:space="preserve">Elicea Q-Tab </w:t>
      </w:r>
      <w:r>
        <w:rPr>
          <w:b/>
          <w:bCs/>
          <w:szCs w:val="22"/>
          <w:lang w:val="hu-HU"/>
        </w:rPr>
        <w:t>egyidejű bevétele étellel, itallal és alkohollal</w:t>
      </w:r>
    </w:p>
    <w:p w:rsidR="00716D93" w:rsidRDefault="00E10747">
      <w:pPr>
        <w:rPr>
          <w:szCs w:val="22"/>
          <w:lang w:val="hu-HU" w:eastAsia="en-US"/>
        </w:rPr>
      </w:pPr>
      <w:r>
        <w:rPr>
          <w:szCs w:val="22"/>
          <w:lang w:val="hu-HU" w:eastAsia="en-US"/>
        </w:rPr>
        <w:t>Az Elicea Q-Tab</w:t>
      </w:r>
      <w:r w:rsidR="00DA34F0">
        <w:rPr>
          <w:szCs w:val="22"/>
          <w:lang w:val="hu-HU" w:eastAsia="en-US"/>
        </w:rPr>
        <w:t>-ot étel nélkül kell bevenni</w:t>
      </w:r>
      <w:r>
        <w:rPr>
          <w:szCs w:val="22"/>
          <w:lang w:val="hu-HU" w:eastAsia="en-US"/>
        </w:rPr>
        <w:t xml:space="preserve"> (lásd 3. pont </w:t>
      </w:r>
      <w:r>
        <w:rPr>
          <w:szCs w:val="22"/>
          <w:lang w:val="hu-HU"/>
        </w:rPr>
        <w:t xml:space="preserve">„Hogyan kell szedni az </w:t>
      </w:r>
      <w:r>
        <w:rPr>
          <w:szCs w:val="22"/>
          <w:lang w:val="hu-HU" w:eastAsia="en-US"/>
        </w:rPr>
        <w:t>Elicea Q-Tab-ot”).</w:t>
      </w:r>
    </w:p>
    <w:p w:rsidR="00716D93" w:rsidRDefault="00716D93">
      <w:pPr>
        <w:rPr>
          <w:szCs w:val="22"/>
          <w:lang w:val="hu-HU" w:eastAsia="en-US"/>
        </w:rPr>
      </w:pPr>
    </w:p>
    <w:p w:rsidR="00716D93" w:rsidRDefault="00E10747">
      <w:pPr>
        <w:autoSpaceDE w:val="0"/>
        <w:autoSpaceDN w:val="0"/>
        <w:adjustRightInd w:val="0"/>
        <w:rPr>
          <w:szCs w:val="22"/>
          <w:lang w:val="hu-HU"/>
        </w:rPr>
      </w:pPr>
      <w:r>
        <w:rPr>
          <w:szCs w:val="22"/>
          <w:lang w:val="hu-HU"/>
        </w:rPr>
        <w:t xml:space="preserve">Számos gyógyszerhez hasonlóan nem tanácsos az </w:t>
      </w:r>
      <w:r>
        <w:rPr>
          <w:szCs w:val="22"/>
          <w:lang w:val="hu-HU" w:eastAsia="en-US"/>
        </w:rPr>
        <w:t xml:space="preserve">Elicea Q-Tab </w:t>
      </w:r>
      <w:r>
        <w:rPr>
          <w:szCs w:val="22"/>
          <w:lang w:val="hu-HU"/>
        </w:rPr>
        <w:t xml:space="preserve">szedése alatt alkoholt fogyasztani – jóllehet nem várható, hogy az </w:t>
      </w:r>
      <w:r>
        <w:rPr>
          <w:szCs w:val="22"/>
          <w:lang w:val="hu-HU" w:eastAsia="en-US"/>
        </w:rPr>
        <w:t xml:space="preserve">Elicea Q-Tab </w:t>
      </w:r>
      <w:r>
        <w:rPr>
          <w:szCs w:val="22"/>
          <w:lang w:val="hu-HU"/>
        </w:rPr>
        <w:t>kölcsönhatásba lép az alkohollal.</w:t>
      </w:r>
    </w:p>
    <w:p w:rsidR="00716D93" w:rsidRDefault="00716D93">
      <w:pPr>
        <w:autoSpaceDE w:val="0"/>
        <w:autoSpaceDN w:val="0"/>
        <w:adjustRightInd w:val="0"/>
        <w:rPr>
          <w:szCs w:val="22"/>
          <w:lang w:val="hu-HU"/>
        </w:rPr>
      </w:pPr>
    </w:p>
    <w:p w:rsidR="00716D93" w:rsidRDefault="00E10747">
      <w:pPr>
        <w:autoSpaceDE w:val="0"/>
        <w:autoSpaceDN w:val="0"/>
        <w:adjustRightInd w:val="0"/>
        <w:rPr>
          <w:szCs w:val="22"/>
          <w:lang w:val="hu-HU"/>
        </w:rPr>
      </w:pPr>
      <w:r>
        <w:rPr>
          <w:b/>
          <w:bCs/>
          <w:szCs w:val="22"/>
          <w:lang w:val="hu-HU"/>
        </w:rPr>
        <w:t>Terhesség, szoptatás és termékenység</w:t>
      </w:r>
    </w:p>
    <w:p w:rsidR="00716D93" w:rsidRDefault="00E10747" w:rsidP="00790BF7">
      <w:pPr>
        <w:autoSpaceDE w:val="0"/>
        <w:autoSpaceDN w:val="0"/>
        <w:adjustRightInd w:val="0"/>
        <w:rPr>
          <w:szCs w:val="22"/>
          <w:lang w:val="hu-HU"/>
        </w:rPr>
      </w:pPr>
      <w:r>
        <w:rPr>
          <w:szCs w:val="22"/>
          <w:lang w:val="hu-HU"/>
        </w:rPr>
        <w:t>Ha Ön terhes vagy szoptat, illetve ha gyanítja, hogy terhes lehet, vagy ha gyermeket szeretne, a gyógyszer szedése előtt beszéljen kezelőorvosával vagy gyógyszerészével. Amennyiben terhes vagy szoptat, ne szedjen Elicea Q-Tab-ot, kivéve, ha az orvosával megbeszélték az ezzel járó előnyöket és kockázatokat.</w:t>
      </w:r>
    </w:p>
    <w:p w:rsidR="00716D93" w:rsidRDefault="00716D93">
      <w:pPr>
        <w:numPr>
          <w:ilvl w:val="12"/>
          <w:numId w:val="0"/>
        </w:numPr>
        <w:ind w:right="-2"/>
        <w:outlineLvl w:val="0"/>
        <w:rPr>
          <w:szCs w:val="22"/>
          <w:highlight w:val="yellow"/>
          <w:lang w:val="hu-HU" w:eastAsia="en-US"/>
        </w:rPr>
      </w:pPr>
    </w:p>
    <w:p w:rsidR="00716D93" w:rsidRDefault="00E10747">
      <w:pPr>
        <w:tabs>
          <w:tab w:val="left" w:pos="567"/>
        </w:tabs>
        <w:autoSpaceDE w:val="0"/>
        <w:autoSpaceDN w:val="0"/>
        <w:adjustRightInd w:val="0"/>
        <w:rPr>
          <w:szCs w:val="22"/>
          <w:lang w:val="hu-HU"/>
        </w:rPr>
      </w:pPr>
      <w:r>
        <w:rPr>
          <w:szCs w:val="22"/>
          <w:lang w:val="hu-HU"/>
        </w:rPr>
        <w:t xml:space="preserve">Tudnia kell, hogy ha a terhessége utolsó 3 hónapjában szedi az Elicea Q-Tab-ot, újszülöttjén a következő tünetek jelentkezhetnek: légzészavar, a bőr kékes elszíneződése, görcsrohamok, testhőmérséklet-változások, táplálkozási nehézség, hányás, alacsony vércukorszint, izommerevség vagy izomrenyheség, élénk reflexek, reszketés, kis amplitúdójú, de nagy frekvenciájú remegés, ingerlékenység, levertség </w:t>
      </w:r>
      <w:r>
        <w:rPr>
          <w:spacing w:val="-2"/>
          <w:szCs w:val="22"/>
          <w:lang w:val="hu-HU"/>
        </w:rPr>
        <w:t>(letargia), állandó sírás, aluszékonyság és alvászavarok. Azonnal forduljon orvosához, ha újszülöttjén</w:t>
      </w:r>
      <w:r>
        <w:rPr>
          <w:szCs w:val="22"/>
          <w:lang w:val="hu-HU"/>
        </w:rPr>
        <w:t xml:space="preserve"> a fenti tünetek közül bármelyiket észleli!</w:t>
      </w:r>
    </w:p>
    <w:p w:rsidR="00716D93" w:rsidRDefault="00716D93">
      <w:pPr>
        <w:rPr>
          <w:szCs w:val="22"/>
          <w:lang w:val="hu-HU" w:eastAsia="en-US"/>
        </w:rPr>
      </w:pPr>
    </w:p>
    <w:p w:rsidR="00716D93" w:rsidRDefault="00E10747">
      <w:pPr>
        <w:autoSpaceDE w:val="0"/>
        <w:autoSpaceDN w:val="0"/>
        <w:adjustRightInd w:val="0"/>
        <w:rPr>
          <w:szCs w:val="22"/>
          <w:lang w:val="hu-HU"/>
        </w:rPr>
      </w:pPr>
      <w:r>
        <w:rPr>
          <w:spacing w:val="-2"/>
          <w:szCs w:val="22"/>
          <w:lang w:val="hu-HU"/>
        </w:rPr>
        <w:t>Tudassa a szülésznővel és/vagy a szülészorvossal, hogy Ön jelenleg Elicea Q-Tab-kezelés alatt áll. Amennyiben</w:t>
      </w:r>
      <w:r>
        <w:rPr>
          <w:szCs w:val="22"/>
          <w:lang w:val="hu-HU"/>
        </w:rPr>
        <w:t xml:space="preserve"> a terhessége alatt, különösen annak utolsó 3 hónapjában szed Elicea Q-Tab-ot, fokozódhat a csecsemőnél egy bizonyos súlyos állapot, az úgynevezett „újszülöttkori perzisztáló pulmonális hipertónia (PPHN)” kialakulásának a kockázata; a csecsemő légzése ilyenkor szapora és bőre kékessé válik.</w:t>
      </w:r>
    </w:p>
    <w:p w:rsidR="00716D93" w:rsidRDefault="00E10747" w:rsidP="00790BF7">
      <w:pPr>
        <w:autoSpaceDE w:val="0"/>
        <w:autoSpaceDN w:val="0"/>
        <w:adjustRightInd w:val="0"/>
        <w:rPr>
          <w:szCs w:val="22"/>
          <w:lang w:val="hu-HU" w:eastAsia="en-US"/>
        </w:rPr>
      </w:pPr>
      <w:r>
        <w:rPr>
          <w:szCs w:val="22"/>
          <w:lang w:val="hu-HU"/>
        </w:rPr>
        <w:t>Ezek a tünetek általában a születést követő első 24 órában jelentkeznek. Amennyiben ez az Ön csecsemőjénél alakul ki, azonnal vegye fel a kapcsolatot a szülésznővel és/vagy a szülészorvossal.</w:t>
      </w:r>
    </w:p>
    <w:p w:rsidR="00716D93" w:rsidRDefault="00716D93">
      <w:pPr>
        <w:numPr>
          <w:ilvl w:val="12"/>
          <w:numId w:val="0"/>
        </w:numPr>
        <w:ind w:right="-2"/>
        <w:outlineLvl w:val="0"/>
        <w:rPr>
          <w:szCs w:val="22"/>
          <w:lang w:val="hu-HU" w:eastAsia="en-US"/>
        </w:rPr>
      </w:pPr>
    </w:p>
    <w:p w:rsidR="00716D93" w:rsidRDefault="00E10747">
      <w:pPr>
        <w:numPr>
          <w:ilvl w:val="12"/>
          <w:numId w:val="0"/>
        </w:numPr>
        <w:ind w:right="-2"/>
        <w:outlineLvl w:val="0"/>
        <w:rPr>
          <w:szCs w:val="22"/>
          <w:lang w:val="hu-HU" w:eastAsia="en-US"/>
        </w:rPr>
      </w:pPr>
      <w:r>
        <w:rPr>
          <w:szCs w:val="22"/>
          <w:lang w:val="hu-HU" w:eastAsia="en-US"/>
        </w:rPr>
        <w:t>Ha Ön a terhességének vége felé veszi be az Elicea Q-Tab-ot, röviddel a szülés után megnövekedhet az erős hüvelyi vérzés kockázata, különösen, ha az Ön kórelőzményében előfordult vérzési zavar. Kezelőorvosának vagy a szülésznőjének tudnia kell, hogy Ön Elicea Q-Tab-ot is szed, hogy tanácsot tudjon adni Önnek.</w:t>
      </w:r>
    </w:p>
    <w:p w:rsidR="00716D93" w:rsidRDefault="00716D93">
      <w:pPr>
        <w:numPr>
          <w:ilvl w:val="12"/>
          <w:numId w:val="0"/>
        </w:numPr>
        <w:ind w:right="-2"/>
        <w:outlineLvl w:val="0"/>
        <w:rPr>
          <w:szCs w:val="22"/>
          <w:lang w:val="hu-HU" w:eastAsia="en-US"/>
        </w:rPr>
      </w:pPr>
    </w:p>
    <w:p w:rsidR="00716D93" w:rsidRDefault="00E10747">
      <w:pPr>
        <w:rPr>
          <w:szCs w:val="22"/>
          <w:lang w:val="hu-HU" w:eastAsia="en-US"/>
        </w:rPr>
      </w:pPr>
      <w:r>
        <w:rPr>
          <w:szCs w:val="22"/>
          <w:lang w:val="hu-HU" w:eastAsia="en-US"/>
        </w:rPr>
        <w:t>Ha a terhesség során Elicea Q-Tab-ot szedett, sohasem szabad hirtelen abbahagyni.</w:t>
      </w:r>
    </w:p>
    <w:p w:rsidR="00716D93" w:rsidRDefault="00E10747">
      <w:pPr>
        <w:tabs>
          <w:tab w:val="left" w:pos="567"/>
        </w:tabs>
        <w:autoSpaceDE w:val="0"/>
        <w:autoSpaceDN w:val="0"/>
        <w:adjustRightInd w:val="0"/>
        <w:rPr>
          <w:szCs w:val="22"/>
          <w:lang w:val="hu-HU"/>
        </w:rPr>
      </w:pPr>
      <w:r>
        <w:rPr>
          <w:szCs w:val="22"/>
          <w:lang w:val="hu-HU"/>
        </w:rPr>
        <w:t>Az eszcitaloprám valószínűleg átjut az anyatejbe.</w:t>
      </w:r>
    </w:p>
    <w:p w:rsidR="00716D93" w:rsidRDefault="00716D93">
      <w:pPr>
        <w:numPr>
          <w:ilvl w:val="12"/>
          <w:numId w:val="0"/>
        </w:numPr>
        <w:ind w:right="-2"/>
        <w:outlineLvl w:val="0"/>
        <w:rPr>
          <w:szCs w:val="22"/>
          <w:lang w:val="hu-HU" w:eastAsia="en-US"/>
        </w:rPr>
      </w:pPr>
    </w:p>
    <w:p w:rsidR="00716D93" w:rsidRDefault="00E10747">
      <w:pPr>
        <w:autoSpaceDE w:val="0"/>
        <w:autoSpaceDN w:val="0"/>
        <w:adjustRightInd w:val="0"/>
        <w:rPr>
          <w:szCs w:val="22"/>
          <w:lang w:val="hu-HU" w:eastAsia="en-US"/>
        </w:rPr>
      </w:pPr>
      <w:r>
        <w:rPr>
          <w:szCs w:val="22"/>
          <w:lang w:val="hu-HU" w:eastAsia="en-US"/>
        </w:rPr>
        <w:t>A citaloprám, amely az eszcitaloprámhoz hasonló gyógyszer, állatkísérletekben rontotta az ondó minőségét. Bár ez elméletileg befolyásolhatja a termékenységet, emberben ilyen, termékenységre kifejtett hatást mindeddig nem figyeltek meg.</w:t>
      </w:r>
    </w:p>
    <w:p w:rsidR="00716D93" w:rsidRDefault="00716D93">
      <w:pPr>
        <w:numPr>
          <w:ilvl w:val="12"/>
          <w:numId w:val="0"/>
        </w:numPr>
        <w:ind w:right="-2"/>
        <w:outlineLvl w:val="0"/>
        <w:rPr>
          <w:szCs w:val="22"/>
          <w:lang w:val="hu-HU" w:eastAsia="en-US"/>
        </w:rPr>
      </w:pPr>
    </w:p>
    <w:p w:rsidR="00716D93" w:rsidRDefault="00E10747">
      <w:pPr>
        <w:autoSpaceDE w:val="0"/>
        <w:autoSpaceDN w:val="0"/>
        <w:adjustRightInd w:val="0"/>
        <w:ind w:right="-29"/>
        <w:rPr>
          <w:b/>
          <w:bCs/>
          <w:szCs w:val="22"/>
          <w:lang w:val="hu-HU"/>
        </w:rPr>
      </w:pPr>
      <w:r>
        <w:rPr>
          <w:b/>
          <w:bCs/>
          <w:szCs w:val="22"/>
          <w:lang w:val="hu-HU"/>
        </w:rPr>
        <w:t>A készítmény hatásai a gépjárművezetéshez és a gépek kezeléséhez szükséges képességekre</w:t>
      </w:r>
    </w:p>
    <w:p w:rsidR="00716D93" w:rsidRDefault="00E10747">
      <w:pPr>
        <w:autoSpaceDE w:val="0"/>
        <w:autoSpaceDN w:val="0"/>
        <w:adjustRightInd w:val="0"/>
        <w:rPr>
          <w:szCs w:val="22"/>
          <w:lang w:val="hu-HU"/>
        </w:rPr>
      </w:pPr>
      <w:r>
        <w:rPr>
          <w:szCs w:val="22"/>
          <w:lang w:val="hu-HU"/>
        </w:rPr>
        <w:t>Nem ajánlott gépjárművet vezetni, illetve gépeket kezelni mindaddig, amíg nem tisztázódik, hogy miként hat Önre az Elicea Q-Tab.</w:t>
      </w:r>
    </w:p>
    <w:p w:rsidR="00716D93" w:rsidRDefault="00716D93">
      <w:pPr>
        <w:numPr>
          <w:ilvl w:val="12"/>
          <w:numId w:val="0"/>
        </w:numPr>
        <w:ind w:right="-2"/>
        <w:outlineLvl w:val="0"/>
        <w:rPr>
          <w:b/>
          <w:szCs w:val="22"/>
          <w:highlight w:val="yellow"/>
          <w:lang w:val="hu-HU" w:eastAsia="en-US"/>
        </w:rPr>
      </w:pPr>
    </w:p>
    <w:p w:rsidR="00716D93" w:rsidRDefault="00E10747">
      <w:pPr>
        <w:autoSpaceDE w:val="0"/>
        <w:autoSpaceDN w:val="0"/>
        <w:adjustRightInd w:val="0"/>
        <w:rPr>
          <w:b/>
          <w:szCs w:val="22"/>
          <w:lang w:val="hu-HU"/>
        </w:rPr>
      </w:pPr>
      <w:r>
        <w:rPr>
          <w:b/>
          <w:szCs w:val="22"/>
          <w:lang w:val="hu-HU"/>
        </w:rPr>
        <w:t>Az Elicea Q-Tab laktózt és nátriumot tartalmaz.</w:t>
      </w:r>
    </w:p>
    <w:p w:rsidR="00716D93" w:rsidRDefault="00E10747">
      <w:pPr>
        <w:autoSpaceDE w:val="0"/>
        <w:autoSpaceDN w:val="0"/>
        <w:adjustRightInd w:val="0"/>
        <w:rPr>
          <w:b/>
          <w:szCs w:val="22"/>
          <w:lang w:val="hu-HU"/>
        </w:rPr>
      </w:pPr>
      <w:r>
        <w:rPr>
          <w:szCs w:val="22"/>
          <w:lang w:val="hu-HU"/>
        </w:rPr>
        <w:t>Amennyiben kezelőorvosa korábban már figyelmeztette Önt, hogy bizonyos cukrokra érzékeny, keresse fel orvosát, mielőtt elkezdi szedni ezt a gyógyszert.</w:t>
      </w:r>
    </w:p>
    <w:p w:rsidR="00716D93" w:rsidRDefault="00E10747">
      <w:pPr>
        <w:numPr>
          <w:ilvl w:val="12"/>
          <w:numId w:val="0"/>
        </w:numPr>
        <w:ind w:right="-2"/>
        <w:outlineLvl w:val="0"/>
        <w:rPr>
          <w:rFonts w:eastAsia="Calibri"/>
          <w:color w:val="000000"/>
          <w:szCs w:val="22"/>
          <w:lang w:val="hu-HU" w:eastAsia="hu-HU"/>
        </w:rPr>
      </w:pPr>
      <w:r>
        <w:rPr>
          <w:rFonts w:eastAsia="Calibri"/>
          <w:color w:val="000000"/>
          <w:szCs w:val="22"/>
          <w:lang w:val="hu-HU" w:eastAsia="hu-HU"/>
        </w:rPr>
        <w:t>A készítmény kevesebb mint 1 mmol (23 mg) nátriumot tartalmaz szájban diszpergálódó tablettánként, azaz gyakorlatilag „nátriummentes”.</w:t>
      </w:r>
    </w:p>
    <w:p w:rsidR="00716D93" w:rsidRDefault="00716D93">
      <w:pPr>
        <w:rPr>
          <w:szCs w:val="22"/>
          <w:lang w:val="hu-HU"/>
        </w:rPr>
      </w:pPr>
    </w:p>
    <w:p w:rsidR="00716D93" w:rsidRDefault="00716D93">
      <w:pPr>
        <w:numPr>
          <w:ilvl w:val="12"/>
          <w:numId w:val="0"/>
        </w:numPr>
        <w:ind w:right="-2"/>
        <w:rPr>
          <w:szCs w:val="22"/>
          <w:lang w:val="hu-HU" w:eastAsia="en-US"/>
        </w:rPr>
      </w:pPr>
    </w:p>
    <w:p w:rsidR="00716D93" w:rsidRDefault="00E10747">
      <w:pPr>
        <w:tabs>
          <w:tab w:val="left" w:pos="567"/>
        </w:tabs>
        <w:rPr>
          <w:b/>
          <w:szCs w:val="22"/>
          <w:lang w:val="hu-HU" w:eastAsia="en-US"/>
        </w:rPr>
      </w:pPr>
      <w:r>
        <w:rPr>
          <w:b/>
          <w:szCs w:val="22"/>
          <w:lang w:val="hu-HU" w:eastAsia="en-US"/>
        </w:rPr>
        <w:t>3.</w:t>
      </w:r>
      <w:r>
        <w:rPr>
          <w:b/>
          <w:szCs w:val="22"/>
          <w:lang w:val="hu-HU" w:eastAsia="en-US"/>
        </w:rPr>
        <w:tab/>
        <w:t>Hogyan kell szedni az Elicea Q-Tab-ot?</w:t>
      </w:r>
    </w:p>
    <w:p w:rsidR="00716D93" w:rsidRDefault="00716D93">
      <w:pPr>
        <w:tabs>
          <w:tab w:val="left" w:pos="567"/>
        </w:tabs>
        <w:rPr>
          <w:szCs w:val="22"/>
          <w:lang w:val="hu-HU"/>
        </w:rPr>
      </w:pPr>
    </w:p>
    <w:p w:rsidR="00716D93" w:rsidRDefault="00E10747">
      <w:pPr>
        <w:tabs>
          <w:tab w:val="left" w:pos="567"/>
        </w:tabs>
        <w:rPr>
          <w:b/>
          <w:szCs w:val="22"/>
          <w:lang w:val="hu-HU" w:eastAsia="en-US"/>
        </w:rPr>
      </w:pPr>
      <w:r>
        <w:rPr>
          <w:szCs w:val="22"/>
          <w:lang w:val="hu-HU"/>
        </w:rPr>
        <w:lastRenderedPageBreak/>
        <w:t>A gyógyszert mindig a kezelőorvosa vagy gyógyszerésze által elmondottaknak megfelelően szedje. Amennyiben nem biztos az adagolást illetően, kérdezze meg kezelőorvosát vagy gyógyszerészét.</w:t>
      </w:r>
    </w:p>
    <w:p w:rsidR="00716D93" w:rsidRDefault="00716D93">
      <w:pPr>
        <w:numPr>
          <w:ilvl w:val="12"/>
          <w:numId w:val="0"/>
        </w:numPr>
        <w:tabs>
          <w:tab w:val="left" w:pos="567"/>
        </w:tabs>
        <w:ind w:right="-2"/>
        <w:rPr>
          <w:szCs w:val="22"/>
          <w:lang w:val="hu-HU" w:eastAsia="en-US"/>
        </w:rPr>
      </w:pPr>
    </w:p>
    <w:p w:rsidR="00716D93" w:rsidRDefault="00E10747">
      <w:pPr>
        <w:autoSpaceDE w:val="0"/>
        <w:autoSpaceDN w:val="0"/>
        <w:adjustRightInd w:val="0"/>
        <w:rPr>
          <w:szCs w:val="22"/>
          <w:u w:val="single"/>
          <w:lang w:val="hu-HU"/>
        </w:rPr>
      </w:pPr>
      <w:r>
        <w:rPr>
          <w:szCs w:val="22"/>
          <w:u w:val="single"/>
          <w:lang w:val="hu-HU"/>
        </w:rPr>
        <w:t>Felnőttek</w:t>
      </w:r>
    </w:p>
    <w:p w:rsidR="00716D93" w:rsidRDefault="00E10747">
      <w:pPr>
        <w:tabs>
          <w:tab w:val="left" w:pos="0"/>
        </w:tabs>
        <w:autoSpaceDE w:val="0"/>
        <w:autoSpaceDN w:val="0"/>
        <w:adjustRightInd w:val="0"/>
        <w:rPr>
          <w:i/>
          <w:iCs/>
          <w:szCs w:val="22"/>
          <w:lang w:val="hu-HU"/>
        </w:rPr>
      </w:pPr>
      <w:r>
        <w:rPr>
          <w:i/>
          <w:iCs/>
          <w:szCs w:val="22"/>
          <w:lang w:val="hu-HU"/>
        </w:rPr>
        <w:t>Depresszió</w:t>
      </w:r>
    </w:p>
    <w:p w:rsidR="00716D93" w:rsidRDefault="00E10747">
      <w:pPr>
        <w:tabs>
          <w:tab w:val="left" w:pos="0"/>
        </w:tabs>
        <w:autoSpaceDE w:val="0"/>
        <w:autoSpaceDN w:val="0"/>
        <w:adjustRightInd w:val="0"/>
        <w:rPr>
          <w:szCs w:val="22"/>
          <w:lang w:val="hu-HU"/>
        </w:rPr>
      </w:pPr>
      <w:r>
        <w:rPr>
          <w:szCs w:val="22"/>
          <w:lang w:val="hu-HU"/>
        </w:rPr>
        <w:t>Az Elicea Q-Tab szokásosan ajánlott adagja 10 mg naponta, egy adagban bevéve. Ezt az adagot kezelőorvosa legfeljebb napi 20 mg-ra növelheti.</w:t>
      </w:r>
    </w:p>
    <w:p w:rsidR="00716D93" w:rsidRDefault="00716D93">
      <w:pPr>
        <w:numPr>
          <w:ilvl w:val="12"/>
          <w:numId w:val="0"/>
        </w:numPr>
        <w:tabs>
          <w:tab w:val="left" w:pos="567"/>
        </w:tabs>
        <w:ind w:right="-2"/>
        <w:rPr>
          <w:szCs w:val="22"/>
          <w:lang w:val="hu-HU" w:eastAsia="en-US"/>
        </w:rPr>
      </w:pPr>
    </w:p>
    <w:p w:rsidR="00716D93" w:rsidRDefault="00E10747">
      <w:pPr>
        <w:tabs>
          <w:tab w:val="left" w:pos="0"/>
        </w:tabs>
        <w:autoSpaceDE w:val="0"/>
        <w:autoSpaceDN w:val="0"/>
        <w:adjustRightInd w:val="0"/>
        <w:rPr>
          <w:i/>
          <w:iCs/>
          <w:szCs w:val="22"/>
          <w:lang w:val="hu-HU"/>
        </w:rPr>
      </w:pPr>
      <w:r>
        <w:rPr>
          <w:i/>
          <w:iCs/>
          <w:szCs w:val="22"/>
          <w:lang w:val="hu-HU"/>
        </w:rPr>
        <w:t>Pánikzavar</w:t>
      </w:r>
    </w:p>
    <w:p w:rsidR="00716D93" w:rsidRDefault="00E10747">
      <w:pPr>
        <w:tabs>
          <w:tab w:val="left" w:pos="0"/>
        </w:tabs>
        <w:autoSpaceDE w:val="0"/>
        <w:autoSpaceDN w:val="0"/>
        <w:adjustRightInd w:val="0"/>
        <w:rPr>
          <w:szCs w:val="22"/>
          <w:lang w:val="hu-HU"/>
        </w:rPr>
      </w:pPr>
      <w:r>
        <w:rPr>
          <w:szCs w:val="22"/>
          <w:lang w:val="hu-HU"/>
        </w:rPr>
        <w:t>A kezdő adag 5 mg naponta egyszer az első héten, mielőtt az adagot napi 10 mg-ra növelnék. Az adagot orvosa tovább növelheti, legfeljebb napi 20 mg-ra.</w:t>
      </w:r>
    </w:p>
    <w:p w:rsidR="00716D93" w:rsidRDefault="00716D93">
      <w:pPr>
        <w:tabs>
          <w:tab w:val="left" w:pos="0"/>
        </w:tabs>
        <w:autoSpaceDE w:val="0"/>
        <w:autoSpaceDN w:val="0"/>
        <w:adjustRightInd w:val="0"/>
        <w:rPr>
          <w:szCs w:val="22"/>
          <w:lang w:val="hu-HU"/>
        </w:rPr>
      </w:pPr>
    </w:p>
    <w:p w:rsidR="00716D93" w:rsidRDefault="00E10747">
      <w:pPr>
        <w:tabs>
          <w:tab w:val="left" w:pos="0"/>
        </w:tabs>
        <w:autoSpaceDE w:val="0"/>
        <w:autoSpaceDN w:val="0"/>
        <w:adjustRightInd w:val="0"/>
        <w:rPr>
          <w:szCs w:val="22"/>
          <w:lang w:val="hu-HU"/>
        </w:rPr>
      </w:pPr>
      <w:r>
        <w:rPr>
          <w:i/>
          <w:iCs/>
          <w:szCs w:val="22"/>
          <w:lang w:val="hu-HU"/>
        </w:rPr>
        <w:t>Szociális szorongásos zavar</w:t>
      </w:r>
    </w:p>
    <w:p w:rsidR="00716D93" w:rsidRDefault="00E10747">
      <w:pPr>
        <w:tabs>
          <w:tab w:val="left" w:pos="0"/>
        </w:tabs>
        <w:autoSpaceDE w:val="0"/>
        <w:autoSpaceDN w:val="0"/>
        <w:adjustRightInd w:val="0"/>
        <w:rPr>
          <w:szCs w:val="22"/>
          <w:lang w:val="hu-HU"/>
        </w:rPr>
      </w:pPr>
      <w:r>
        <w:rPr>
          <w:szCs w:val="22"/>
          <w:lang w:val="hu-HU"/>
        </w:rPr>
        <w:t>A szokásosan ajánlott adag 10 mg Elicea Q-Tab naponta, egy adagban bevéve. Attól függően, hogy Ön miként reagál a gyógyszerre, orvosa napi 5 mg-ra csökkentheti, vagy legfeljebb napi 20 mg-ra növelheti az adagot.</w:t>
      </w:r>
    </w:p>
    <w:p w:rsidR="00716D93" w:rsidRDefault="00716D93">
      <w:pPr>
        <w:tabs>
          <w:tab w:val="left" w:pos="0"/>
        </w:tabs>
        <w:autoSpaceDE w:val="0"/>
        <w:autoSpaceDN w:val="0"/>
        <w:adjustRightInd w:val="0"/>
        <w:rPr>
          <w:szCs w:val="22"/>
          <w:lang w:val="hu-HU"/>
        </w:rPr>
      </w:pPr>
    </w:p>
    <w:p w:rsidR="00716D93" w:rsidRDefault="00E10747">
      <w:pPr>
        <w:tabs>
          <w:tab w:val="left" w:pos="0"/>
        </w:tabs>
        <w:autoSpaceDE w:val="0"/>
        <w:autoSpaceDN w:val="0"/>
        <w:adjustRightInd w:val="0"/>
        <w:rPr>
          <w:szCs w:val="22"/>
          <w:lang w:val="hu-HU"/>
        </w:rPr>
      </w:pPr>
      <w:r>
        <w:rPr>
          <w:i/>
          <w:iCs/>
          <w:szCs w:val="22"/>
          <w:lang w:val="hu-HU"/>
        </w:rPr>
        <w:t>Általános (generalizált) szorongás</w:t>
      </w:r>
    </w:p>
    <w:p w:rsidR="00716D93" w:rsidRDefault="00E10747">
      <w:pPr>
        <w:tabs>
          <w:tab w:val="left" w:pos="0"/>
        </w:tabs>
        <w:autoSpaceDE w:val="0"/>
        <w:autoSpaceDN w:val="0"/>
        <w:adjustRightInd w:val="0"/>
        <w:rPr>
          <w:szCs w:val="22"/>
          <w:lang w:val="hu-HU"/>
        </w:rPr>
      </w:pPr>
      <w:r>
        <w:rPr>
          <w:szCs w:val="22"/>
          <w:lang w:val="hu-HU"/>
        </w:rPr>
        <w:t>A szokásosan ajánlott adag 10 mg Elicea Q-Tab naponta, egy adagban bevéve. Ezt az adagot kezelőorvosa legfeljebb napi 20 mg-ra növelheti.</w:t>
      </w:r>
    </w:p>
    <w:p w:rsidR="00716D93" w:rsidRDefault="00716D93">
      <w:pPr>
        <w:rPr>
          <w:szCs w:val="22"/>
          <w:lang w:val="hu-HU" w:eastAsia="en-US"/>
        </w:rPr>
      </w:pPr>
    </w:p>
    <w:p w:rsidR="00716D93" w:rsidRDefault="00E10747">
      <w:pPr>
        <w:tabs>
          <w:tab w:val="left" w:pos="0"/>
        </w:tabs>
        <w:autoSpaceDE w:val="0"/>
        <w:autoSpaceDN w:val="0"/>
        <w:adjustRightInd w:val="0"/>
        <w:rPr>
          <w:i/>
          <w:iCs/>
          <w:szCs w:val="22"/>
          <w:lang w:val="hu-HU"/>
        </w:rPr>
      </w:pPr>
      <w:r>
        <w:rPr>
          <w:i/>
          <w:iCs/>
          <w:szCs w:val="22"/>
          <w:lang w:val="hu-HU"/>
        </w:rPr>
        <w:t>Kényszeres-rögeszmés zavar</w:t>
      </w:r>
    </w:p>
    <w:p w:rsidR="00716D93" w:rsidRDefault="00E10747">
      <w:pPr>
        <w:autoSpaceDE w:val="0"/>
        <w:autoSpaceDN w:val="0"/>
        <w:adjustRightInd w:val="0"/>
        <w:rPr>
          <w:iCs/>
          <w:szCs w:val="22"/>
          <w:u w:val="single"/>
          <w:lang w:val="hu-HU"/>
        </w:rPr>
      </w:pPr>
      <w:r>
        <w:rPr>
          <w:szCs w:val="22"/>
          <w:lang w:val="hu-HU"/>
        </w:rPr>
        <w:t>A szokásosan ajánlott adag 10 mg Elicea Q-Tab naponta, egy adagban bevéve. Ezt az adagot kezelőorvosa legfeljebb napi 20 mg-ig növelheti.</w:t>
      </w:r>
    </w:p>
    <w:p w:rsidR="00716D93" w:rsidRDefault="00716D93">
      <w:pPr>
        <w:rPr>
          <w:i/>
          <w:iCs/>
          <w:szCs w:val="22"/>
          <w:lang w:val="hu-HU" w:eastAsia="en-US"/>
        </w:rPr>
      </w:pPr>
    </w:p>
    <w:p w:rsidR="00716D93" w:rsidRDefault="00E10747">
      <w:pPr>
        <w:autoSpaceDE w:val="0"/>
        <w:autoSpaceDN w:val="0"/>
        <w:adjustRightInd w:val="0"/>
        <w:rPr>
          <w:szCs w:val="22"/>
          <w:lang w:val="hu-HU"/>
        </w:rPr>
      </w:pPr>
      <w:r>
        <w:rPr>
          <w:iCs/>
          <w:szCs w:val="22"/>
          <w:u w:val="single"/>
          <w:lang w:val="hu-HU"/>
        </w:rPr>
        <w:t>Idősek (65 év felett)</w:t>
      </w:r>
    </w:p>
    <w:p w:rsidR="00716D93" w:rsidRDefault="00E10747">
      <w:pPr>
        <w:autoSpaceDE w:val="0"/>
        <w:autoSpaceDN w:val="0"/>
        <w:adjustRightInd w:val="0"/>
        <w:rPr>
          <w:szCs w:val="22"/>
          <w:lang w:val="hu-HU"/>
        </w:rPr>
      </w:pPr>
      <w:r>
        <w:rPr>
          <w:szCs w:val="22"/>
          <w:lang w:val="hu-HU"/>
        </w:rPr>
        <w:t>Az Elicea Q-Tab ajánlott kezdő dózisa 5 mg naponta, egy adagban bevéve. A dózist orvosa napi 10 mg-ra növelheti.</w:t>
      </w:r>
    </w:p>
    <w:p w:rsidR="00716D93" w:rsidRDefault="00716D93">
      <w:pPr>
        <w:rPr>
          <w:szCs w:val="22"/>
          <w:lang w:val="hu-HU" w:eastAsia="en-US"/>
        </w:rPr>
      </w:pPr>
    </w:p>
    <w:p w:rsidR="00716D93" w:rsidRDefault="00E10747">
      <w:pPr>
        <w:autoSpaceDE w:val="0"/>
        <w:autoSpaceDN w:val="0"/>
        <w:adjustRightInd w:val="0"/>
        <w:rPr>
          <w:iCs/>
          <w:szCs w:val="22"/>
          <w:u w:val="single"/>
          <w:lang w:val="hu-HU"/>
        </w:rPr>
      </w:pPr>
      <w:r>
        <w:rPr>
          <w:iCs/>
          <w:szCs w:val="22"/>
          <w:u w:val="single"/>
          <w:lang w:val="hu-HU"/>
        </w:rPr>
        <w:t>Alkalmazása gyermekeknél és serdülőknél</w:t>
      </w:r>
    </w:p>
    <w:p w:rsidR="00716D93" w:rsidRDefault="00E10747" w:rsidP="00790BF7">
      <w:pPr>
        <w:autoSpaceDE w:val="0"/>
        <w:autoSpaceDN w:val="0"/>
        <w:adjustRightInd w:val="0"/>
        <w:rPr>
          <w:szCs w:val="22"/>
          <w:lang w:val="hu-HU" w:eastAsia="en-US"/>
        </w:rPr>
      </w:pPr>
      <w:r>
        <w:rPr>
          <w:szCs w:val="22"/>
          <w:lang w:val="hu-HU"/>
        </w:rPr>
        <w:t>Az Elicea Q-Tab általában nem adható gyermekeknek és serdülőknek. További információért lásd a 2. pontot „Figyelmeztetések és óvintézkedések”.</w:t>
      </w:r>
    </w:p>
    <w:p w:rsidR="00716D93" w:rsidRDefault="00716D93">
      <w:pPr>
        <w:autoSpaceDE w:val="0"/>
        <w:autoSpaceDN w:val="0"/>
        <w:adjustRightInd w:val="0"/>
        <w:rPr>
          <w:szCs w:val="22"/>
          <w:lang w:val="hu-HU"/>
        </w:rPr>
      </w:pPr>
    </w:p>
    <w:p w:rsidR="00716D93" w:rsidRDefault="00E10747">
      <w:pPr>
        <w:rPr>
          <w:spacing w:val="-3"/>
          <w:szCs w:val="22"/>
          <w:lang w:val="hu-HU"/>
        </w:rPr>
      </w:pPr>
      <w:r>
        <w:rPr>
          <w:spacing w:val="-3"/>
          <w:szCs w:val="22"/>
          <w:u w:val="single"/>
          <w:lang w:val="hu-HU"/>
        </w:rPr>
        <w:t>Vesekárosodás</w:t>
      </w:r>
    </w:p>
    <w:p w:rsidR="00716D93" w:rsidRDefault="00E10747">
      <w:pPr>
        <w:rPr>
          <w:spacing w:val="-3"/>
          <w:szCs w:val="22"/>
          <w:lang w:val="hu-HU"/>
        </w:rPr>
      </w:pPr>
      <w:r>
        <w:rPr>
          <w:spacing w:val="-3"/>
          <w:szCs w:val="22"/>
          <w:lang w:val="hu-HU"/>
        </w:rPr>
        <w:t>Súlyos vesekárosodásban szenvedő betegeknél fokozott óvatosság javasolt</w:t>
      </w:r>
      <w:r>
        <w:rPr>
          <w:szCs w:val="22"/>
          <w:lang w:val="hu-HU"/>
        </w:rPr>
        <w:t>. Alkalmazza a kezelőorvos előírásának megfelelően.</w:t>
      </w:r>
    </w:p>
    <w:p w:rsidR="00716D93" w:rsidRDefault="00716D93">
      <w:pPr>
        <w:rPr>
          <w:szCs w:val="22"/>
          <w:lang w:val="hu-HU"/>
        </w:rPr>
      </w:pPr>
    </w:p>
    <w:p w:rsidR="00716D93" w:rsidRDefault="00E10747">
      <w:pPr>
        <w:rPr>
          <w:spacing w:val="-3"/>
          <w:szCs w:val="22"/>
          <w:u w:val="single"/>
          <w:lang w:val="hu-HU"/>
        </w:rPr>
      </w:pPr>
      <w:r>
        <w:rPr>
          <w:spacing w:val="-3"/>
          <w:szCs w:val="22"/>
          <w:u w:val="single"/>
          <w:lang w:val="hu-HU"/>
        </w:rPr>
        <w:t>Májkárosodás</w:t>
      </w:r>
    </w:p>
    <w:p w:rsidR="00716D93" w:rsidRDefault="00E10747">
      <w:pPr>
        <w:rPr>
          <w:szCs w:val="22"/>
          <w:lang w:val="hu-HU"/>
        </w:rPr>
      </w:pPr>
      <w:r>
        <w:rPr>
          <w:szCs w:val="22"/>
          <w:lang w:val="hu-HU"/>
        </w:rPr>
        <w:t>Májbetegségben szenvedő betegeknél legfeljebb napi 10 mg adag alkalmazható. Alkalmazza a kezelőorvos előírásának megfelelően.</w:t>
      </w:r>
    </w:p>
    <w:p w:rsidR="00716D93" w:rsidRDefault="00716D93">
      <w:pPr>
        <w:rPr>
          <w:spacing w:val="-3"/>
          <w:szCs w:val="22"/>
          <w:lang w:val="hu-HU"/>
        </w:rPr>
      </w:pPr>
    </w:p>
    <w:p w:rsidR="00716D93" w:rsidRDefault="00E10747">
      <w:pPr>
        <w:rPr>
          <w:szCs w:val="22"/>
          <w:u w:val="single"/>
          <w:lang w:val="hu-HU"/>
        </w:rPr>
      </w:pPr>
      <w:r>
        <w:rPr>
          <w:szCs w:val="22"/>
          <w:u w:val="single"/>
          <w:lang w:val="hu-HU"/>
        </w:rPr>
        <w:t>Ismerten gyenge CYP2C19 enzim metabolizáló betegek</w:t>
      </w:r>
    </w:p>
    <w:p w:rsidR="00716D93" w:rsidRDefault="00E10747">
      <w:pPr>
        <w:rPr>
          <w:spacing w:val="-3"/>
          <w:szCs w:val="22"/>
          <w:lang w:val="hu-HU"/>
        </w:rPr>
      </w:pPr>
      <w:r>
        <w:rPr>
          <w:szCs w:val="22"/>
          <w:lang w:val="hu-HU"/>
        </w:rPr>
        <w:t>Az ismerten ezzel az úgynevezett genotípussal rendelkező betegeknél legfeljebb napi 10 mg adag alkalmazható. Alkalmazza a kezelőorvos előírásának megfelelően.</w:t>
      </w:r>
    </w:p>
    <w:p w:rsidR="00716D93" w:rsidRDefault="00716D93">
      <w:pPr>
        <w:rPr>
          <w:szCs w:val="22"/>
          <w:lang w:val="hu-HU" w:eastAsia="en-US"/>
        </w:rPr>
      </w:pPr>
    </w:p>
    <w:p w:rsidR="00716D93" w:rsidRDefault="00E10747">
      <w:pPr>
        <w:autoSpaceDE w:val="0"/>
        <w:autoSpaceDN w:val="0"/>
        <w:adjustRightInd w:val="0"/>
        <w:ind w:right="-2"/>
        <w:rPr>
          <w:b/>
          <w:bCs/>
          <w:szCs w:val="22"/>
          <w:lang w:val="hu-HU"/>
        </w:rPr>
      </w:pPr>
      <w:r>
        <w:rPr>
          <w:b/>
          <w:bCs/>
          <w:szCs w:val="22"/>
          <w:lang w:val="hu-HU"/>
        </w:rPr>
        <w:t>A kezelés időtartama</w:t>
      </w:r>
    </w:p>
    <w:p w:rsidR="00716D93" w:rsidRDefault="00E10747">
      <w:pPr>
        <w:tabs>
          <w:tab w:val="left" w:pos="0"/>
        </w:tabs>
        <w:autoSpaceDE w:val="0"/>
        <w:autoSpaceDN w:val="0"/>
        <w:adjustRightInd w:val="0"/>
        <w:rPr>
          <w:szCs w:val="22"/>
          <w:lang w:val="hu-HU"/>
        </w:rPr>
      </w:pPr>
      <w:r>
        <w:rPr>
          <w:szCs w:val="22"/>
          <w:lang w:val="hu-HU"/>
        </w:rPr>
        <w:t>Néhány hét is eltelhet, amíg kezdi jobban érezni magát. Folytassa az Elicea Q-Tab szedését, még akkor is, ha némi időbe telik, amíg bármiféle javulást érez az állapotában.</w:t>
      </w:r>
    </w:p>
    <w:p w:rsidR="00716D93" w:rsidRDefault="00716D93">
      <w:pPr>
        <w:tabs>
          <w:tab w:val="left" w:pos="0"/>
        </w:tabs>
        <w:autoSpaceDE w:val="0"/>
        <w:autoSpaceDN w:val="0"/>
        <w:adjustRightInd w:val="0"/>
        <w:rPr>
          <w:szCs w:val="22"/>
          <w:lang w:val="hu-HU"/>
        </w:rPr>
      </w:pPr>
    </w:p>
    <w:p w:rsidR="00716D93" w:rsidRDefault="00E10747">
      <w:pPr>
        <w:tabs>
          <w:tab w:val="left" w:pos="0"/>
        </w:tabs>
        <w:autoSpaceDE w:val="0"/>
        <w:autoSpaceDN w:val="0"/>
        <w:adjustRightInd w:val="0"/>
        <w:rPr>
          <w:szCs w:val="22"/>
          <w:lang w:val="hu-HU"/>
        </w:rPr>
      </w:pPr>
      <w:r>
        <w:rPr>
          <w:szCs w:val="22"/>
          <w:lang w:val="hu-HU"/>
        </w:rPr>
        <w:t>Soha ne változtassa meg gyógyszere adagját anélkül, hogy ezt előbb a kezelőorvosával megbeszélte volna.</w:t>
      </w:r>
    </w:p>
    <w:p w:rsidR="00716D93" w:rsidRDefault="00716D93">
      <w:pPr>
        <w:tabs>
          <w:tab w:val="left" w:pos="0"/>
        </w:tabs>
        <w:autoSpaceDE w:val="0"/>
        <w:autoSpaceDN w:val="0"/>
        <w:adjustRightInd w:val="0"/>
        <w:rPr>
          <w:szCs w:val="22"/>
          <w:lang w:val="hu-HU"/>
        </w:rPr>
      </w:pPr>
    </w:p>
    <w:p w:rsidR="00716D93" w:rsidRDefault="00E10747">
      <w:pPr>
        <w:tabs>
          <w:tab w:val="left" w:pos="0"/>
        </w:tabs>
        <w:autoSpaceDE w:val="0"/>
        <w:autoSpaceDN w:val="0"/>
        <w:adjustRightInd w:val="0"/>
        <w:rPr>
          <w:szCs w:val="22"/>
          <w:lang w:val="hu-HU"/>
        </w:rPr>
      </w:pPr>
      <w:r>
        <w:rPr>
          <w:szCs w:val="22"/>
          <w:lang w:val="hu-HU"/>
        </w:rPr>
        <w:t>Mindaddig folytassa az Elicea Q-Tab szedését, amíg ezt a kezelőorvosa javasolja. Ha túl korán hagyja abba a kezelést, tünetei kiújulhatnak. A kezelést még legalább 6 hónapig ajánlott folytatni azt követően, hogy Ön már ismét jól érzi magát.</w:t>
      </w:r>
    </w:p>
    <w:p w:rsidR="00716D93" w:rsidRDefault="00716D93">
      <w:pPr>
        <w:numPr>
          <w:ilvl w:val="12"/>
          <w:numId w:val="0"/>
        </w:numPr>
        <w:tabs>
          <w:tab w:val="left" w:pos="567"/>
        </w:tabs>
        <w:ind w:right="-2"/>
        <w:rPr>
          <w:szCs w:val="22"/>
          <w:lang w:val="hu-HU" w:eastAsia="en-US"/>
        </w:rPr>
      </w:pPr>
    </w:p>
    <w:p w:rsidR="00716D93" w:rsidRDefault="00E10747">
      <w:pPr>
        <w:numPr>
          <w:ilvl w:val="12"/>
          <w:numId w:val="0"/>
        </w:numPr>
        <w:tabs>
          <w:tab w:val="left" w:pos="567"/>
        </w:tabs>
        <w:ind w:right="-2"/>
        <w:rPr>
          <w:b/>
          <w:szCs w:val="22"/>
          <w:lang w:val="hu-HU"/>
        </w:rPr>
      </w:pPr>
      <w:r>
        <w:rPr>
          <w:b/>
          <w:szCs w:val="22"/>
          <w:lang w:val="hu-HU"/>
        </w:rPr>
        <w:t>Az alkalmazás módja</w:t>
      </w:r>
    </w:p>
    <w:p w:rsidR="00716D93" w:rsidRDefault="00E10747">
      <w:pPr>
        <w:numPr>
          <w:ilvl w:val="0"/>
          <w:numId w:val="24"/>
        </w:numPr>
        <w:ind w:left="567" w:hanging="567"/>
        <w:rPr>
          <w:szCs w:val="22"/>
          <w:lang w:val="hu-HU"/>
        </w:rPr>
      </w:pPr>
      <w:r>
        <w:rPr>
          <w:szCs w:val="22"/>
          <w:lang w:val="hu-HU"/>
        </w:rPr>
        <w:lastRenderedPageBreak/>
        <w:t>Elicea Q-Tab szájban diszpergálódó tablettát mindennap egyszeri napi adagban kell szedni.</w:t>
      </w:r>
    </w:p>
    <w:p w:rsidR="00716D93" w:rsidRDefault="00E10747">
      <w:pPr>
        <w:numPr>
          <w:ilvl w:val="0"/>
          <w:numId w:val="24"/>
        </w:numPr>
        <w:ind w:left="567" w:hanging="567"/>
        <w:rPr>
          <w:szCs w:val="22"/>
          <w:lang w:val="hu-HU"/>
        </w:rPr>
      </w:pPr>
      <w:r>
        <w:rPr>
          <w:szCs w:val="22"/>
          <w:lang w:val="hu-HU"/>
        </w:rPr>
        <w:t>Az Elicea Q-Tab-ot étel nélkül kell bevennie.</w:t>
      </w:r>
    </w:p>
    <w:p w:rsidR="00716D93" w:rsidRDefault="00716D93">
      <w:pPr>
        <w:numPr>
          <w:ilvl w:val="12"/>
          <w:numId w:val="0"/>
        </w:numPr>
        <w:tabs>
          <w:tab w:val="left" w:pos="567"/>
        </w:tabs>
        <w:ind w:right="-2"/>
        <w:rPr>
          <w:szCs w:val="22"/>
          <w:lang w:val="hu-HU"/>
        </w:rPr>
      </w:pPr>
    </w:p>
    <w:p w:rsidR="00716D93" w:rsidRDefault="00E10747">
      <w:pPr>
        <w:rPr>
          <w:szCs w:val="22"/>
          <w:lang w:val="hu-HU"/>
        </w:rPr>
      </w:pPr>
      <w:r>
        <w:rPr>
          <w:szCs w:val="22"/>
          <w:lang w:val="hu-HU"/>
        </w:rPr>
        <w:t>Az Elicea Q-Tab szájban diszpergálódó tabletta törékeny. Nem szabad kipréselni a buborékcsomagolásból, mert ezzel megrongálja tablettát. Ne fogja meg a tablettát nedves kézzel, mert az széteshet. A tablettán nincs törővonal, nem osztható egyenlő adagokra. A következőképpen vegye ki a tablettát a csomagolásból:</w:t>
      </w:r>
    </w:p>
    <w:p w:rsidR="00716D93" w:rsidRDefault="00E10747">
      <w:pPr>
        <w:numPr>
          <w:ilvl w:val="0"/>
          <w:numId w:val="48"/>
        </w:numPr>
        <w:tabs>
          <w:tab w:val="left" w:pos="540"/>
        </w:tabs>
        <w:autoSpaceDE w:val="0"/>
        <w:autoSpaceDN w:val="0"/>
        <w:adjustRightInd w:val="0"/>
        <w:ind w:left="540" w:hanging="540"/>
        <w:rPr>
          <w:szCs w:val="22"/>
          <w:lang w:val="hu-HU"/>
        </w:rPr>
      </w:pPr>
      <w:r>
        <w:rPr>
          <w:szCs w:val="22"/>
          <w:lang w:val="hu-HU"/>
        </w:rPr>
        <w:t>A buborékcsomagolás csíkot a szélénél megfogva óvatosan tépjen le egy buborékcellát a perforáció mentén.</w:t>
      </w:r>
    </w:p>
    <w:p w:rsidR="00716D93" w:rsidRDefault="00E10747">
      <w:pPr>
        <w:numPr>
          <w:ilvl w:val="0"/>
          <w:numId w:val="48"/>
        </w:numPr>
        <w:tabs>
          <w:tab w:val="left" w:pos="540"/>
        </w:tabs>
        <w:autoSpaceDE w:val="0"/>
        <w:autoSpaceDN w:val="0"/>
        <w:adjustRightInd w:val="0"/>
        <w:ind w:left="540" w:hanging="540"/>
        <w:rPr>
          <w:szCs w:val="22"/>
          <w:lang w:val="hu-HU"/>
        </w:rPr>
      </w:pPr>
      <w:r>
        <w:rPr>
          <w:szCs w:val="22"/>
          <w:lang w:val="hu-HU"/>
        </w:rPr>
        <w:t>Emelje fel a szélét, majd húzza le teljesen a fóliát.</w:t>
      </w:r>
    </w:p>
    <w:p w:rsidR="00716D93" w:rsidRDefault="00E10747">
      <w:pPr>
        <w:numPr>
          <w:ilvl w:val="0"/>
          <w:numId w:val="48"/>
        </w:numPr>
        <w:tabs>
          <w:tab w:val="left" w:pos="540"/>
        </w:tabs>
        <w:autoSpaceDE w:val="0"/>
        <w:autoSpaceDN w:val="0"/>
        <w:adjustRightInd w:val="0"/>
        <w:ind w:left="540" w:hanging="540"/>
        <w:rPr>
          <w:szCs w:val="22"/>
          <w:lang w:val="hu-HU"/>
        </w:rPr>
      </w:pPr>
      <w:r>
        <w:rPr>
          <w:szCs w:val="22"/>
          <w:lang w:val="hu-HU"/>
        </w:rPr>
        <w:t>Billentse a tablettát a tenyerébe.</w:t>
      </w:r>
    </w:p>
    <w:p w:rsidR="00716D93" w:rsidRDefault="00E10747">
      <w:pPr>
        <w:numPr>
          <w:ilvl w:val="0"/>
          <w:numId w:val="48"/>
        </w:numPr>
        <w:tabs>
          <w:tab w:val="left" w:pos="540"/>
        </w:tabs>
        <w:autoSpaceDE w:val="0"/>
        <w:autoSpaceDN w:val="0"/>
        <w:adjustRightInd w:val="0"/>
        <w:ind w:left="540" w:hanging="540"/>
        <w:rPr>
          <w:szCs w:val="22"/>
          <w:lang w:val="hu-HU"/>
        </w:rPr>
      </w:pPr>
      <w:r>
        <w:rPr>
          <w:szCs w:val="22"/>
          <w:lang w:val="hu-HU"/>
        </w:rPr>
        <w:t>Amint kivette a csomagolásából, azonnal helyezze a nyelvére a tablettát.</w:t>
      </w:r>
    </w:p>
    <w:p w:rsidR="00716D93" w:rsidRDefault="00716D93">
      <w:pPr>
        <w:tabs>
          <w:tab w:val="left" w:pos="567"/>
        </w:tabs>
        <w:autoSpaceDE w:val="0"/>
        <w:autoSpaceDN w:val="0"/>
        <w:adjustRightInd w:val="0"/>
        <w:ind w:left="207"/>
        <w:rPr>
          <w:szCs w:val="22"/>
          <w:lang w:val="hu-HU"/>
        </w:rPr>
      </w:pPr>
    </w:p>
    <w:p w:rsidR="00716D93" w:rsidRDefault="00E10747">
      <w:pPr>
        <w:pStyle w:val="Odstavekseznama1"/>
        <w:ind w:left="0" w:right="-2"/>
        <w:rPr>
          <w:szCs w:val="22"/>
          <w:lang w:val="hu-HU"/>
        </w:rPr>
      </w:pPr>
      <w:r>
        <w:rPr>
          <w:noProof/>
          <w:szCs w:val="22"/>
          <w:lang w:val="hu-HU" w:eastAsia="hu-HU"/>
        </w:rPr>
        <w:drawing>
          <wp:inline distT="0" distB="0" distL="0" distR="0">
            <wp:extent cx="3162300" cy="933450"/>
            <wp:effectExtent l="0" t="0" r="0" b="0"/>
            <wp:docPr id="1" name="Slika 1" descr="PIKTOGR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PIKTOGRAM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2300" cy="933450"/>
                    </a:xfrm>
                    <a:prstGeom prst="rect">
                      <a:avLst/>
                    </a:prstGeom>
                    <a:noFill/>
                    <a:ln>
                      <a:noFill/>
                    </a:ln>
                  </pic:spPr>
                </pic:pic>
              </a:graphicData>
            </a:graphic>
          </wp:inline>
        </w:drawing>
      </w:r>
    </w:p>
    <w:p w:rsidR="00716D93" w:rsidRDefault="00E10747">
      <w:pPr>
        <w:tabs>
          <w:tab w:val="left" w:pos="567"/>
        </w:tabs>
        <w:rPr>
          <w:szCs w:val="22"/>
          <w:lang w:val="hu-HU"/>
        </w:rPr>
      </w:pPr>
      <w:r>
        <w:rPr>
          <w:szCs w:val="22"/>
          <w:lang w:val="hu-HU"/>
        </w:rPr>
        <w:t>A tabletta másodperceken belül elkezd szétesni a szájban, ezt követően vízzel vagy víz nélkül is lenyelhető. A s</w:t>
      </w:r>
      <w:r>
        <w:rPr>
          <w:bCs/>
          <w:szCs w:val="22"/>
          <w:lang w:val="hu-HU"/>
        </w:rPr>
        <w:t>zájának üresnek kell lennie, amikor beveszi a tablettát.</w:t>
      </w:r>
    </w:p>
    <w:p w:rsidR="00716D93" w:rsidRDefault="00716D93">
      <w:pPr>
        <w:autoSpaceDE w:val="0"/>
        <w:autoSpaceDN w:val="0"/>
        <w:adjustRightInd w:val="0"/>
        <w:rPr>
          <w:szCs w:val="22"/>
          <w:lang w:val="hu-HU"/>
        </w:rPr>
      </w:pPr>
    </w:p>
    <w:p w:rsidR="00716D93" w:rsidRDefault="00E10747">
      <w:pPr>
        <w:numPr>
          <w:ilvl w:val="12"/>
          <w:numId w:val="0"/>
        </w:numPr>
        <w:tabs>
          <w:tab w:val="left" w:pos="567"/>
        </w:tabs>
        <w:ind w:right="-2"/>
        <w:outlineLvl w:val="0"/>
        <w:rPr>
          <w:b/>
          <w:szCs w:val="22"/>
          <w:lang w:val="hu-HU" w:eastAsia="en-US"/>
        </w:rPr>
      </w:pPr>
      <w:r>
        <w:rPr>
          <w:b/>
          <w:bCs/>
          <w:szCs w:val="22"/>
          <w:lang w:val="hu-HU"/>
        </w:rPr>
        <w:t xml:space="preserve">Ha az előírtnál több </w:t>
      </w:r>
      <w:r>
        <w:rPr>
          <w:b/>
          <w:szCs w:val="22"/>
          <w:lang w:val="hu-HU" w:eastAsia="en-US"/>
        </w:rPr>
        <w:t>Elicea Q-Tab-ot vett be</w:t>
      </w:r>
    </w:p>
    <w:p w:rsidR="00716D93" w:rsidRDefault="00E10747">
      <w:pPr>
        <w:tabs>
          <w:tab w:val="left" w:pos="0"/>
        </w:tabs>
        <w:autoSpaceDE w:val="0"/>
        <w:autoSpaceDN w:val="0"/>
        <w:adjustRightInd w:val="0"/>
        <w:rPr>
          <w:szCs w:val="22"/>
          <w:lang w:val="hu-HU"/>
        </w:rPr>
      </w:pPr>
      <w:r>
        <w:rPr>
          <w:szCs w:val="22"/>
          <w:lang w:val="hu-HU"/>
        </w:rPr>
        <w:t>Ha az előírtnál több Elicea Q-Tab-ot vett be, haladéktalanul forduljon kezelőorvosához vagy a legközelebbi kórház sürgősségi osztályához! Még abban az esetben is tegye ezt meg, ha nem mutatkoznak a rosszullét jelei. A túladagolás néhány lehetséges tünete: szédülés, remegés, izgatottság, görcsroham, kóma, hányinger, hányás, a szívritmus megváltozása, vérnyomáscsökkenés és a folyadék-, illetve a sóháztartás zavara. Vigye magával az Elicea Q-Tab dobozát az orvoshoz vagy a kórházba!</w:t>
      </w:r>
    </w:p>
    <w:p w:rsidR="00716D93" w:rsidRDefault="00716D93">
      <w:pPr>
        <w:rPr>
          <w:szCs w:val="22"/>
          <w:lang w:val="hu-HU" w:eastAsia="en-US"/>
        </w:rPr>
      </w:pPr>
    </w:p>
    <w:p w:rsidR="00716D93" w:rsidRDefault="00E10747">
      <w:pPr>
        <w:autoSpaceDE w:val="0"/>
        <w:autoSpaceDN w:val="0"/>
        <w:adjustRightInd w:val="0"/>
        <w:ind w:right="-2"/>
        <w:rPr>
          <w:b/>
          <w:bCs/>
          <w:szCs w:val="22"/>
          <w:lang w:val="hu-HU"/>
        </w:rPr>
      </w:pPr>
      <w:r>
        <w:rPr>
          <w:b/>
          <w:bCs/>
          <w:szCs w:val="22"/>
          <w:lang w:val="hu-HU"/>
        </w:rPr>
        <w:t>Ha elfelejtette bevenni az Elicea Q-Tab-ot</w:t>
      </w:r>
    </w:p>
    <w:p w:rsidR="00716D93" w:rsidRDefault="00E10747">
      <w:pPr>
        <w:tabs>
          <w:tab w:val="left" w:pos="0"/>
        </w:tabs>
        <w:autoSpaceDE w:val="0"/>
        <w:autoSpaceDN w:val="0"/>
        <w:adjustRightInd w:val="0"/>
        <w:ind w:right="-2"/>
        <w:rPr>
          <w:szCs w:val="22"/>
          <w:lang w:val="hu-HU"/>
        </w:rPr>
      </w:pPr>
      <w:r>
        <w:rPr>
          <w:szCs w:val="22"/>
          <w:lang w:val="hu-HU"/>
        </w:rPr>
        <w:t>Ne vegyen be kétszeres adagot a kihagyott adag pótlására.</w:t>
      </w:r>
    </w:p>
    <w:p w:rsidR="00716D93" w:rsidRDefault="00E10747">
      <w:pPr>
        <w:tabs>
          <w:tab w:val="left" w:pos="0"/>
        </w:tabs>
        <w:autoSpaceDE w:val="0"/>
        <w:autoSpaceDN w:val="0"/>
        <w:adjustRightInd w:val="0"/>
        <w:ind w:right="-2"/>
        <w:rPr>
          <w:szCs w:val="22"/>
          <w:lang w:val="hu-HU"/>
        </w:rPr>
      </w:pPr>
      <w:r>
        <w:rPr>
          <w:szCs w:val="22"/>
          <w:lang w:val="hu-HU"/>
        </w:rPr>
        <w:t>Ha megfeledkezett egy adag bevételéről, azonban ez még az aznap esti lefekvés előtt eszébe jut, akkor vegye be nyomban. Másnap folytassa a kezelést a megszokott módon. Amennyiben már csak éjszaka vagy másnap jut eszébe, hogy kihagyott egy adagot, akkor azt már ne pótolja, hanem folytassa a kezelést a megszokott módon.</w:t>
      </w:r>
    </w:p>
    <w:p w:rsidR="00716D93" w:rsidRDefault="00716D93">
      <w:pPr>
        <w:rPr>
          <w:szCs w:val="22"/>
          <w:lang w:val="hu-HU" w:eastAsia="en-US"/>
        </w:rPr>
      </w:pPr>
    </w:p>
    <w:p w:rsidR="00716D93" w:rsidRDefault="00E10747">
      <w:pPr>
        <w:autoSpaceDE w:val="0"/>
        <w:autoSpaceDN w:val="0"/>
        <w:adjustRightInd w:val="0"/>
        <w:ind w:right="-2"/>
        <w:rPr>
          <w:b/>
          <w:bCs/>
          <w:szCs w:val="22"/>
          <w:lang w:val="hu-HU"/>
        </w:rPr>
      </w:pPr>
      <w:r>
        <w:rPr>
          <w:b/>
          <w:bCs/>
          <w:szCs w:val="22"/>
          <w:lang w:val="hu-HU"/>
        </w:rPr>
        <w:t>Ha idő előtt abbahagyja az Elicea Q-Tab szedését</w:t>
      </w:r>
    </w:p>
    <w:p w:rsidR="00716D93" w:rsidRDefault="00E10747">
      <w:pPr>
        <w:tabs>
          <w:tab w:val="left" w:pos="567"/>
        </w:tabs>
        <w:autoSpaceDE w:val="0"/>
        <w:autoSpaceDN w:val="0"/>
        <w:adjustRightInd w:val="0"/>
        <w:rPr>
          <w:szCs w:val="22"/>
          <w:lang w:val="hu-HU"/>
        </w:rPr>
      </w:pPr>
      <w:r>
        <w:rPr>
          <w:szCs w:val="22"/>
          <w:lang w:val="hu-HU"/>
        </w:rPr>
        <w:t>Ne hagyja abba az Elicea Q-Tab szedését, amíg ezt orvosa nem javasolja. Amikor az Ön kezelése befejeződik, általában tanácsos az Elicea Q-Tab adagját fokozatosan, néhány hét alatt csökkenteni.</w:t>
      </w:r>
    </w:p>
    <w:p w:rsidR="00716D93" w:rsidRDefault="00716D93">
      <w:pPr>
        <w:numPr>
          <w:ilvl w:val="12"/>
          <w:numId w:val="0"/>
        </w:numPr>
        <w:tabs>
          <w:tab w:val="left" w:pos="567"/>
        </w:tabs>
        <w:ind w:right="-2"/>
        <w:rPr>
          <w:szCs w:val="22"/>
          <w:lang w:val="hu-HU" w:eastAsia="en-US"/>
        </w:rPr>
      </w:pPr>
    </w:p>
    <w:p w:rsidR="00716D93" w:rsidRDefault="00E10747">
      <w:pPr>
        <w:tabs>
          <w:tab w:val="left" w:pos="567"/>
        </w:tabs>
        <w:autoSpaceDE w:val="0"/>
        <w:autoSpaceDN w:val="0"/>
        <w:adjustRightInd w:val="0"/>
        <w:rPr>
          <w:szCs w:val="22"/>
          <w:lang w:val="hu-HU"/>
        </w:rPr>
      </w:pPr>
      <w:r>
        <w:rPr>
          <w:spacing w:val="-2"/>
          <w:szCs w:val="22"/>
          <w:lang w:val="hu-HU"/>
        </w:rPr>
        <w:t>Ha abbahagyja az Elicea Q-Tab szedését – különösen, ha ezt hirtelen teszi – megvonási tünetek jelentkezhetnek.</w:t>
      </w:r>
      <w:r>
        <w:rPr>
          <w:szCs w:val="22"/>
          <w:lang w:val="hu-HU"/>
        </w:rPr>
        <w:t xml:space="preserve"> Ezek a tünetek gyakoriak az Elicea Q-Tab-kezelés leállításakor. Jelentkezésük kockázata nagyobb, ha az Elicea Q-Tab-ot hosszú ideig, nagy adagban alkalmazták, vagy ha hirtelen hagyják abba az adagolását. A legtöbb embernél ezek a tünetek enyhék, és beavatkozás nélkül két héten belül megszűnnek. Vannak azonban betegek, akiknél ezek a tünetek súlyosak, vagy hosszú ideig (2</w:t>
      </w:r>
      <w:r>
        <w:rPr>
          <w:szCs w:val="22"/>
          <w:lang w:val="hu-HU"/>
        </w:rPr>
        <w:noBreakHyphen/>
        <w:t>3 hónapig vagy tovább) fennállnak. Ha súlyos megvonási tüneteket észlel az Elicea Q-Tab leállításakor, forduljon kezelőorvosához. Előfordulhat, hogy arra kéri Önt, kezdje újra, majd fokozatosabban hagyja abba a tabletta szedését.</w:t>
      </w:r>
    </w:p>
    <w:p w:rsidR="00716D93" w:rsidRDefault="00716D93">
      <w:pPr>
        <w:numPr>
          <w:ilvl w:val="12"/>
          <w:numId w:val="0"/>
        </w:numPr>
        <w:tabs>
          <w:tab w:val="left" w:pos="567"/>
        </w:tabs>
        <w:ind w:right="-2"/>
        <w:rPr>
          <w:szCs w:val="22"/>
          <w:lang w:val="hu-HU" w:eastAsia="en-US"/>
        </w:rPr>
      </w:pPr>
    </w:p>
    <w:p w:rsidR="00716D93" w:rsidRDefault="00E10747">
      <w:pPr>
        <w:autoSpaceDE w:val="0"/>
        <w:autoSpaceDN w:val="0"/>
        <w:adjustRightInd w:val="0"/>
        <w:ind w:right="-2"/>
        <w:rPr>
          <w:szCs w:val="22"/>
          <w:lang w:val="hu-HU"/>
        </w:rPr>
      </w:pPr>
      <w:r>
        <w:rPr>
          <w:szCs w:val="22"/>
          <w:lang w:val="hu-HU"/>
        </w:rPr>
        <w:t>Megvonási tünetek: szédülés (bizonytalanság vagy egyensúlyvesztés), fonákérzések, égő érzés (és kevésbé gyakran) áramütésszerű érzés, ami a fejet is érintheti, alvászavarok (élénk álmok, rémálmok vagy álmatlanság), szorongás, fejfájás, hányinger, izzadás (éjszakai izzadás is), nyugtalanság vagy izgatottság, remegés, zavarodottság vagy tájékozódási zavar, érzelmi labilitás vagy ingerlékenység, hasmenés, látászavarok, szívdobogásérzés.</w:t>
      </w:r>
    </w:p>
    <w:p w:rsidR="00716D93" w:rsidRDefault="00716D93">
      <w:pPr>
        <w:numPr>
          <w:ilvl w:val="12"/>
          <w:numId w:val="0"/>
        </w:numPr>
        <w:tabs>
          <w:tab w:val="left" w:pos="567"/>
        </w:tabs>
        <w:ind w:right="-2"/>
        <w:rPr>
          <w:szCs w:val="22"/>
          <w:lang w:val="hu-HU" w:eastAsia="en-US"/>
        </w:rPr>
      </w:pPr>
    </w:p>
    <w:p w:rsidR="00716D93" w:rsidRDefault="00E10747">
      <w:pPr>
        <w:autoSpaceDE w:val="0"/>
        <w:autoSpaceDN w:val="0"/>
        <w:adjustRightInd w:val="0"/>
        <w:ind w:right="-2"/>
        <w:rPr>
          <w:szCs w:val="22"/>
          <w:lang w:val="hu-HU"/>
        </w:rPr>
      </w:pPr>
      <w:r>
        <w:rPr>
          <w:szCs w:val="22"/>
          <w:lang w:val="hu-HU"/>
        </w:rPr>
        <w:t>Ha bármilyen további kérdése van a gyógyszer alkalmazásával kapcsolatban, kérdezze meg kezelőorvosát vagy gyógyszerészét.</w:t>
      </w:r>
    </w:p>
    <w:p w:rsidR="00716D93" w:rsidRDefault="00716D93">
      <w:pPr>
        <w:numPr>
          <w:ilvl w:val="12"/>
          <w:numId w:val="0"/>
        </w:numPr>
        <w:tabs>
          <w:tab w:val="left" w:pos="567"/>
        </w:tabs>
        <w:ind w:right="-2"/>
        <w:rPr>
          <w:szCs w:val="22"/>
          <w:lang w:val="hu-HU" w:eastAsia="en-US"/>
        </w:rPr>
      </w:pPr>
    </w:p>
    <w:p w:rsidR="00716D93" w:rsidRDefault="00716D93">
      <w:pPr>
        <w:numPr>
          <w:ilvl w:val="12"/>
          <w:numId w:val="0"/>
        </w:numPr>
        <w:ind w:right="-2"/>
        <w:rPr>
          <w:szCs w:val="22"/>
          <w:lang w:val="hu-HU" w:eastAsia="en-US"/>
        </w:rPr>
      </w:pPr>
    </w:p>
    <w:p w:rsidR="00716D93" w:rsidRDefault="00E10747">
      <w:pPr>
        <w:suppressAutoHyphens/>
        <w:ind w:left="567" w:right="-2" w:hanging="567"/>
        <w:rPr>
          <w:b/>
          <w:szCs w:val="22"/>
          <w:lang w:val="hu-HU"/>
        </w:rPr>
      </w:pPr>
      <w:r>
        <w:rPr>
          <w:b/>
          <w:szCs w:val="22"/>
          <w:lang w:val="hu-HU"/>
        </w:rPr>
        <w:t>4.</w:t>
      </w:r>
      <w:r>
        <w:rPr>
          <w:b/>
          <w:szCs w:val="22"/>
          <w:lang w:val="hu-HU"/>
        </w:rPr>
        <w:tab/>
        <w:t>Lehetséges mellékhatások</w:t>
      </w:r>
    </w:p>
    <w:p w:rsidR="00716D93" w:rsidRDefault="00716D93">
      <w:pPr>
        <w:suppressAutoHyphens/>
        <w:ind w:left="567" w:right="-2" w:hanging="567"/>
        <w:rPr>
          <w:szCs w:val="22"/>
          <w:lang w:val="hu-HU"/>
        </w:rPr>
      </w:pPr>
    </w:p>
    <w:p w:rsidR="00716D93" w:rsidRDefault="00E10747">
      <w:pPr>
        <w:autoSpaceDE w:val="0"/>
        <w:autoSpaceDN w:val="0"/>
        <w:adjustRightInd w:val="0"/>
        <w:ind w:right="-29"/>
        <w:rPr>
          <w:szCs w:val="22"/>
          <w:lang w:val="hu-HU"/>
        </w:rPr>
      </w:pPr>
      <w:r>
        <w:rPr>
          <w:szCs w:val="22"/>
          <w:lang w:val="hu-HU"/>
        </w:rPr>
        <w:t>Mint minden gyógyszer, így ez a gyógyszer is okozhat mellékhatásokat, amelyek azonban nem mindenkinél jelentkeznek.</w:t>
      </w:r>
    </w:p>
    <w:p w:rsidR="00716D93" w:rsidRDefault="00716D93">
      <w:pPr>
        <w:autoSpaceDE w:val="0"/>
        <w:autoSpaceDN w:val="0"/>
        <w:adjustRightInd w:val="0"/>
        <w:ind w:right="-29"/>
        <w:rPr>
          <w:szCs w:val="22"/>
          <w:lang w:val="hu-HU"/>
        </w:rPr>
      </w:pPr>
    </w:p>
    <w:p w:rsidR="00716D93" w:rsidRDefault="00E10747">
      <w:pPr>
        <w:tabs>
          <w:tab w:val="left" w:pos="0"/>
        </w:tabs>
        <w:autoSpaceDE w:val="0"/>
        <w:autoSpaceDN w:val="0"/>
        <w:adjustRightInd w:val="0"/>
        <w:rPr>
          <w:szCs w:val="22"/>
          <w:lang w:val="hu-HU"/>
        </w:rPr>
      </w:pPr>
      <w:r>
        <w:rPr>
          <w:szCs w:val="22"/>
          <w:lang w:val="hu-HU"/>
        </w:rPr>
        <w:t>Ezek a mellékhatások néhány hetes kezelést követően általában megszűnnek. Ne feledje, hogy a panaszok közül több a betegségének a tünete is lehet, amely az állapotának javulásával enyhül majd.</w:t>
      </w:r>
    </w:p>
    <w:p w:rsidR="00716D93" w:rsidRDefault="00716D93">
      <w:pPr>
        <w:numPr>
          <w:ilvl w:val="12"/>
          <w:numId w:val="0"/>
        </w:numPr>
        <w:ind w:right="-2"/>
        <w:rPr>
          <w:szCs w:val="22"/>
          <w:lang w:val="hu-HU" w:eastAsia="en-US"/>
        </w:rPr>
      </w:pPr>
    </w:p>
    <w:p w:rsidR="00716D93" w:rsidRDefault="00E10747">
      <w:pPr>
        <w:tabs>
          <w:tab w:val="left" w:pos="0"/>
        </w:tabs>
        <w:rPr>
          <w:b/>
          <w:bCs/>
          <w:szCs w:val="22"/>
          <w:lang w:val="hu-HU"/>
        </w:rPr>
      </w:pPr>
      <w:r>
        <w:rPr>
          <w:b/>
          <w:bCs/>
          <w:szCs w:val="22"/>
          <w:lang w:val="hu-HU"/>
        </w:rPr>
        <w:t>Azonnal forduljon kezelőorvosához, vagy keresse fel a legközelebbi kórházat, amennyiben az alábbi tünetek bármelyikét észleli a kezelés során:</w:t>
      </w:r>
    </w:p>
    <w:p w:rsidR="00716D93" w:rsidRDefault="00716D93">
      <w:pPr>
        <w:rPr>
          <w:b/>
          <w:bCs/>
          <w:szCs w:val="22"/>
          <w:lang w:val="hu-HU" w:eastAsia="en-US"/>
        </w:rPr>
      </w:pPr>
    </w:p>
    <w:p w:rsidR="00716D93" w:rsidRDefault="00E10747">
      <w:pPr>
        <w:autoSpaceDE w:val="0"/>
        <w:autoSpaceDN w:val="0"/>
        <w:adjustRightInd w:val="0"/>
        <w:rPr>
          <w:szCs w:val="22"/>
          <w:lang w:val="hu-HU"/>
        </w:rPr>
      </w:pPr>
      <w:r>
        <w:rPr>
          <w:i/>
          <w:szCs w:val="22"/>
          <w:lang w:val="hu-HU"/>
        </w:rPr>
        <w:t xml:space="preserve">Nem gyakori </w:t>
      </w:r>
      <w:r>
        <w:rPr>
          <w:szCs w:val="22"/>
          <w:lang w:val="hu-HU"/>
        </w:rPr>
        <w:t>(100 betegből legfeljebb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 xml:space="preserve">rendellenes vérzések, például </w:t>
      </w:r>
      <w:bookmarkStart w:id="1" w:name="_Hlk177366401"/>
      <w:r>
        <w:rPr>
          <w:szCs w:val="22"/>
          <w:lang w:val="hu-HU" w:eastAsia="en-US"/>
        </w:rPr>
        <w:t>gyomor-bélvérzések.</w:t>
      </w:r>
    </w:p>
    <w:bookmarkEnd w:id="1"/>
    <w:p w:rsidR="00716D93" w:rsidRDefault="00716D93">
      <w:pPr>
        <w:rPr>
          <w:b/>
          <w:bCs/>
          <w:szCs w:val="22"/>
          <w:lang w:val="hu-HU" w:eastAsia="en-US"/>
        </w:rPr>
      </w:pPr>
    </w:p>
    <w:p w:rsidR="00716D93" w:rsidRDefault="00E10747">
      <w:pPr>
        <w:tabs>
          <w:tab w:val="left" w:pos="0"/>
          <w:tab w:val="left" w:pos="720"/>
        </w:tabs>
        <w:autoSpaceDE w:val="0"/>
        <w:autoSpaceDN w:val="0"/>
        <w:adjustRightInd w:val="0"/>
        <w:rPr>
          <w:i/>
          <w:szCs w:val="22"/>
          <w:lang w:val="hu-HU"/>
        </w:rPr>
      </w:pPr>
      <w:r>
        <w:rPr>
          <w:i/>
          <w:szCs w:val="22"/>
          <w:lang w:val="hu-HU"/>
        </w:rPr>
        <w:t xml:space="preserve">Ritka </w:t>
      </w:r>
      <w:r>
        <w:rPr>
          <w:szCs w:val="22"/>
          <w:lang w:val="hu-HU"/>
        </w:rPr>
        <w:t>(1000 betegből legfeljebb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 xml:space="preserve">bőr-, nyelv-, ajak-, gége- vagy arcduzzanat, csalánkiütés vagy </w:t>
      </w:r>
      <w:r>
        <w:rPr>
          <w:szCs w:val="22"/>
          <w:lang w:val="hu-HU"/>
        </w:rPr>
        <w:t>légzési vagy nyelési nehézség</w:t>
      </w:r>
      <w:r>
        <w:rPr>
          <w:szCs w:val="22"/>
          <w:lang w:val="hu-HU" w:eastAsia="en-US"/>
        </w:rPr>
        <w:t xml:space="preserve"> (súlyos allergiás reakció);</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pacing w:val="-2"/>
          <w:szCs w:val="22"/>
          <w:lang w:val="hu-HU" w:eastAsia="en-US"/>
        </w:rPr>
        <w:t>magas láz, nyugtalanság, zavarodottság, remegés és hirtelen izomrángások a ritkán előforduló,</w:t>
      </w:r>
      <w:r>
        <w:rPr>
          <w:szCs w:val="22"/>
          <w:lang w:val="hu-HU" w:eastAsia="en-US"/>
        </w:rPr>
        <w:t xml:space="preserve"> úgynevezett szerotonin szindróma jelei lehetnek.</w:t>
      </w:r>
    </w:p>
    <w:p w:rsidR="00716D93" w:rsidRDefault="00716D93">
      <w:pPr>
        <w:rPr>
          <w:szCs w:val="22"/>
          <w:lang w:val="hu-HU" w:eastAsia="en-US"/>
        </w:rPr>
      </w:pPr>
    </w:p>
    <w:p w:rsidR="00716D93" w:rsidRPr="00790BF7" w:rsidRDefault="00E10747" w:rsidP="00790BF7">
      <w:pPr>
        <w:widowControl w:val="0"/>
        <w:autoSpaceDE w:val="0"/>
        <w:autoSpaceDN w:val="0"/>
        <w:adjustRightInd w:val="0"/>
        <w:rPr>
          <w:bCs/>
          <w:i/>
          <w:szCs w:val="22"/>
          <w:lang w:val="hu-HU"/>
        </w:rPr>
      </w:pPr>
      <w:r>
        <w:rPr>
          <w:bCs/>
          <w:i/>
          <w:szCs w:val="22"/>
          <w:lang w:val="hu-HU"/>
        </w:rPr>
        <w:t xml:space="preserve">Nem ismert </w:t>
      </w:r>
      <w:r>
        <w:rPr>
          <w:bCs/>
          <w:szCs w:val="22"/>
          <w:lang w:val="hu-HU"/>
        </w:rPr>
        <w:t>(a gyakoriság a rendelkezésre álló adatokból nem állapítható meg):</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vizelési nehézség;</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görcsrohamok (rángógörcsök) (lásd még „</w:t>
      </w:r>
      <w:r>
        <w:rPr>
          <w:bCs/>
          <w:szCs w:val="22"/>
          <w:lang w:val="hu-HU"/>
        </w:rPr>
        <w:t>Figyelmeztetések és óvintézkedések</w:t>
      </w:r>
      <w:r>
        <w:rPr>
          <w:szCs w:val="22"/>
          <w:lang w:val="hu-HU" w:eastAsia="en-US"/>
        </w:rPr>
        <w:t>” címmel);</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 bőr és a szemfehérje sárgára színeződése – ezek a májműködési zavar/májgyulladás tünetei;</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 xml:space="preserve">szapora, szabálytalan szívverés, ájulás, melyek a </w:t>
      </w:r>
      <w:r w:rsidRPr="00790BF7">
        <w:rPr>
          <w:i/>
          <w:iCs/>
          <w:szCs w:val="22"/>
          <w:lang w:val="hu-HU" w:eastAsia="en-US"/>
        </w:rPr>
        <w:t>torsades de pointes</w:t>
      </w:r>
      <w:r>
        <w:rPr>
          <w:szCs w:val="22"/>
          <w:lang w:val="hu-HU" w:eastAsia="en-US"/>
        </w:rPr>
        <w:t xml:space="preserve"> néven ismert, életveszélyes állapot lehetséges tünetei.</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rPr>
        <w:t>önkárosító vagy öngyilkos gondolatok, lásd szintén a „Figyelmeztetések és óvintézkedések” pontot.</w:t>
      </w:r>
    </w:p>
    <w:p w:rsidR="00716D93" w:rsidRDefault="00E10747" w:rsidP="00790BF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hirtelen kialakuló bőr- vagy nyálkahártya-duzzzanat (angioödéma).</w:t>
      </w:r>
    </w:p>
    <w:p w:rsidR="00716D93" w:rsidRDefault="00716D93">
      <w:pPr>
        <w:autoSpaceDE w:val="0"/>
        <w:autoSpaceDN w:val="0"/>
        <w:adjustRightInd w:val="0"/>
        <w:rPr>
          <w:szCs w:val="22"/>
          <w:lang w:val="hu-HU" w:eastAsia="en-US"/>
        </w:rPr>
      </w:pPr>
    </w:p>
    <w:p w:rsidR="00716D93" w:rsidRDefault="00E10747">
      <w:pPr>
        <w:rPr>
          <w:b/>
          <w:szCs w:val="22"/>
          <w:lang w:val="hu-HU" w:eastAsia="en-US"/>
        </w:rPr>
      </w:pPr>
      <w:r>
        <w:rPr>
          <w:b/>
          <w:szCs w:val="22"/>
          <w:lang w:val="hu-HU" w:eastAsia="en-US"/>
        </w:rPr>
        <w:t>Az előbbiek mellett a következő mellékhatásokról is beszámoltak:</w:t>
      </w:r>
    </w:p>
    <w:p w:rsidR="00716D93" w:rsidRDefault="00716D93">
      <w:pPr>
        <w:rPr>
          <w:b/>
          <w:bCs/>
          <w:szCs w:val="22"/>
          <w:lang w:val="hu-HU" w:eastAsia="en-US"/>
        </w:rPr>
      </w:pPr>
    </w:p>
    <w:p w:rsidR="00716D93" w:rsidRDefault="00E10747">
      <w:pPr>
        <w:autoSpaceDE w:val="0"/>
        <w:autoSpaceDN w:val="0"/>
        <w:adjustRightInd w:val="0"/>
        <w:rPr>
          <w:szCs w:val="22"/>
          <w:lang w:val="hu-HU"/>
        </w:rPr>
      </w:pPr>
      <w:r>
        <w:rPr>
          <w:i/>
          <w:szCs w:val="22"/>
          <w:lang w:val="hu-HU"/>
        </w:rPr>
        <w:t>Nagyon gyakori</w:t>
      </w:r>
      <w:r>
        <w:rPr>
          <w:szCs w:val="22"/>
          <w:lang w:val="hu-HU"/>
        </w:rPr>
        <w:t xml:space="preserve"> (10 betegből több mint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hányinger;</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fejfájás.</w:t>
      </w:r>
    </w:p>
    <w:p w:rsidR="00716D93" w:rsidRDefault="00716D93">
      <w:pPr>
        <w:rPr>
          <w:szCs w:val="22"/>
          <w:lang w:val="hu-HU" w:eastAsia="en-US"/>
        </w:rPr>
      </w:pPr>
    </w:p>
    <w:p w:rsidR="00716D93" w:rsidRDefault="00E10747">
      <w:pPr>
        <w:tabs>
          <w:tab w:val="center" w:pos="4819"/>
          <w:tab w:val="right" w:pos="9638"/>
        </w:tabs>
        <w:autoSpaceDE w:val="0"/>
        <w:autoSpaceDN w:val="0"/>
        <w:adjustRightInd w:val="0"/>
        <w:rPr>
          <w:szCs w:val="22"/>
          <w:lang w:val="hu-HU"/>
        </w:rPr>
      </w:pPr>
      <w:r>
        <w:rPr>
          <w:i/>
          <w:szCs w:val="22"/>
          <w:lang w:val="hu-HU"/>
        </w:rPr>
        <w:t>Gyakori</w:t>
      </w:r>
      <w:r>
        <w:rPr>
          <w:szCs w:val="22"/>
          <w:lang w:val="hu-HU"/>
        </w:rPr>
        <w:t xml:space="preserve"> (10 betegből legfeljebb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orrdugulás vagy orrfolyás (melléküreg-gyulladás);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csökkent vagy fokozott étvágy;</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szorongás, nyugtalanság, kóros álmok, elalvási nehézség, álmosság-érzés, szédülékenység, ásítozás, remegés, a bőr bizsergése;</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hasmenés, székrekedés, hányás, szájszárazság;</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fokozott izzadás;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izom- és ízületi fájdalom;</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nemi működések zavarai (késleltetett magömlés, hímvessző-merevedési zavarok, csökkent szexuális érdeklődés, nőknél orgazmus zavar fordulhat elő);</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kimerültség, láz;</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testsúlygyarapodás.</w:t>
      </w:r>
    </w:p>
    <w:p w:rsidR="00716D93" w:rsidRDefault="00716D93">
      <w:pPr>
        <w:rPr>
          <w:szCs w:val="22"/>
          <w:lang w:val="hu-HU" w:eastAsia="en-US"/>
        </w:rPr>
      </w:pPr>
    </w:p>
    <w:p w:rsidR="00716D93" w:rsidRDefault="00E10747">
      <w:pPr>
        <w:autoSpaceDE w:val="0"/>
        <w:autoSpaceDN w:val="0"/>
        <w:adjustRightInd w:val="0"/>
        <w:rPr>
          <w:szCs w:val="22"/>
          <w:lang w:val="hu-HU"/>
        </w:rPr>
      </w:pPr>
      <w:r>
        <w:rPr>
          <w:i/>
          <w:szCs w:val="22"/>
          <w:lang w:val="hu-HU"/>
        </w:rPr>
        <w:t>Nem gyakori</w:t>
      </w:r>
      <w:r>
        <w:rPr>
          <w:szCs w:val="22"/>
          <w:lang w:val="hu-HU"/>
        </w:rPr>
        <w:t xml:space="preserve"> (100 betegből legfeljebb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csalánkiütés, bőrkiütés, bőrviszketés;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fogcsikorgatás, izgatottság, idegesség, pánikroham, zavarodott állapot;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nyugtalan alvás, ízérzékelési zavar, ájulás;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pupillatágulat, látászavar, fülcsengés;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hajhullás;</w:t>
      </w:r>
    </w:p>
    <w:p w:rsidR="00716D93" w:rsidRDefault="00E10747" w:rsidP="00790BF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lastRenderedPageBreak/>
        <w:t>bő menstruációs vérzés;</w:t>
      </w:r>
    </w:p>
    <w:p w:rsidR="00716D93" w:rsidRDefault="00E10747" w:rsidP="00790BF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szabálytalan menstruációs ciklus;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testsúlycsökkenés;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szapora szívverés;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kar- és lábduzzanat;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orrvérzés.</w:t>
      </w:r>
    </w:p>
    <w:p w:rsidR="00716D93" w:rsidRDefault="00716D93">
      <w:pPr>
        <w:tabs>
          <w:tab w:val="num" w:pos="567"/>
        </w:tabs>
        <w:ind w:left="567" w:hanging="567"/>
        <w:rPr>
          <w:szCs w:val="22"/>
          <w:lang w:val="hu-HU" w:eastAsia="en-US"/>
        </w:rPr>
      </w:pPr>
    </w:p>
    <w:p w:rsidR="00716D93" w:rsidRDefault="00E10747">
      <w:pPr>
        <w:autoSpaceDE w:val="0"/>
        <w:autoSpaceDN w:val="0"/>
        <w:adjustRightInd w:val="0"/>
        <w:rPr>
          <w:szCs w:val="22"/>
          <w:lang w:val="hu-HU"/>
        </w:rPr>
      </w:pPr>
      <w:r>
        <w:rPr>
          <w:i/>
          <w:szCs w:val="22"/>
          <w:lang w:val="hu-HU"/>
        </w:rPr>
        <w:t>Ritka</w:t>
      </w:r>
      <w:r>
        <w:rPr>
          <w:szCs w:val="22"/>
          <w:lang w:val="hu-HU"/>
        </w:rPr>
        <w:t xml:space="preserve"> (1000 betegből legfeljebb 1 beteget érinthet):</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agresszió, deperszonalizáció (a saját testi/szellemi működésektől való elkülönültség érzése), hallucinációk (nem létező dolgok érzékelése);</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lassú szívverés.</w:t>
      </w:r>
    </w:p>
    <w:p w:rsidR="00716D93" w:rsidRDefault="00716D93">
      <w:pPr>
        <w:rPr>
          <w:szCs w:val="22"/>
          <w:lang w:val="hu-HU" w:eastAsia="en-US"/>
        </w:rPr>
      </w:pPr>
    </w:p>
    <w:p w:rsidR="00716D93" w:rsidRDefault="00E10747">
      <w:pPr>
        <w:autoSpaceDE w:val="0"/>
        <w:autoSpaceDN w:val="0"/>
        <w:adjustRightInd w:val="0"/>
        <w:rPr>
          <w:szCs w:val="22"/>
          <w:lang w:val="hu-HU"/>
        </w:rPr>
      </w:pPr>
      <w:r>
        <w:rPr>
          <w:szCs w:val="22"/>
          <w:lang w:val="hu-HU"/>
        </w:rPr>
        <w:t>Nem ismert (a gyakoriság a rendelkezésre álló adatokból nem állapítható meg):</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 vér nátrium szintjének csökkenése (ennek tünete a hányinger és rosszullét, izomgyengeséggel és zavarodottsággal);</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felálláskor jelentkező szédülés (az alacsony vérnyomás következtében – ortosztatikus hipotónia);</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kóros májfunkciós értékek (fokozott májenzim-aktivitás a vérben);</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mozgászavarok (akaratlan izommozgások);</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 hímvessző fájdalmas merevedése (priapizmus);</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vérzési rendellenességek tünetei, beleértve a bőr- és nyálkahártyák bevérzését (ekkimózis) és az alacsony vérlemezkeszámot (trombocitopénia);</w:t>
      </w:r>
    </w:p>
    <w:p w:rsidR="00716D93" w:rsidRDefault="00E10747" w:rsidP="00790BF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az ADH nevű hormon fokozott kiválasztása, amely a szervezetben víz-visszatartást okoz és hígítja a vért, csökkenti a nátrium mennyiségét (nem megfelelő ADH kiválasztás)</w:t>
      </w:r>
    </w:p>
    <w:p w:rsidR="00716D93" w:rsidRDefault="00E10747" w:rsidP="00790BF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 prolaktin nevű hormon emelkedett szintje a vérben;</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tejcsorgás férfiaknál és nem szoptató nőknél;</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mánia;</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csonttörések fokozott kockázatát figyelték meg a gyógyszereknek ezt a fajtáját szedő betegeknél;</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a szívritmus megváltozása (úgynevezett „QT</w:t>
      </w:r>
      <w:r>
        <w:rPr>
          <w:szCs w:val="22"/>
          <w:lang w:val="hu-HU" w:eastAsia="en-US"/>
        </w:rPr>
        <w:noBreakHyphen/>
        <w:t>intervallum-megnyúlás”, amely az EKG vizsgálat során a szív elektromos aktivitásában mutatkozik);</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erős hüvelyi vérzés röviddel a szülés után (poszt partum vérzés); további információkért lásd a Terhesség, szoptatás és termékenység részt a 2. pont alatt.</w:t>
      </w:r>
    </w:p>
    <w:p w:rsidR="00716D93" w:rsidRDefault="00716D93">
      <w:pPr>
        <w:rPr>
          <w:szCs w:val="22"/>
          <w:lang w:val="hu-HU" w:eastAsia="en-US"/>
        </w:rPr>
      </w:pPr>
    </w:p>
    <w:p w:rsidR="00716D93" w:rsidRDefault="00E10747">
      <w:pPr>
        <w:autoSpaceDE w:val="0"/>
        <w:autoSpaceDN w:val="0"/>
        <w:adjustRightInd w:val="0"/>
        <w:rPr>
          <w:szCs w:val="22"/>
          <w:lang w:val="hu-HU"/>
        </w:rPr>
      </w:pPr>
      <w:r>
        <w:rPr>
          <w:szCs w:val="22"/>
          <w:lang w:val="hu-HU"/>
        </w:rPr>
        <w:t>Ezen felül számos mellékhatás az eszcitaloprámhoz (az Elicea Q-Tab hatóanyagához) hasonló módon ható gyógyszerek alkalmazásakor lép fel. Ezek a következők:</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motoros nyugtalanság (akatízia);</w:t>
      </w:r>
    </w:p>
    <w:p w:rsidR="00716D93" w:rsidRDefault="00E10747">
      <w:pPr>
        <w:numPr>
          <w:ilvl w:val="0"/>
          <w:numId w:val="25"/>
        </w:numPr>
        <w:tabs>
          <w:tab w:val="clear" w:pos="720"/>
          <w:tab w:val="num" w:pos="567"/>
        </w:tabs>
        <w:autoSpaceDE w:val="0"/>
        <w:autoSpaceDN w:val="0"/>
        <w:adjustRightInd w:val="0"/>
        <w:ind w:left="567" w:hanging="567"/>
        <w:rPr>
          <w:szCs w:val="22"/>
          <w:lang w:val="hu-HU" w:eastAsia="en-US"/>
        </w:rPr>
      </w:pPr>
      <w:r>
        <w:rPr>
          <w:szCs w:val="22"/>
          <w:lang w:val="hu-HU" w:eastAsia="en-US"/>
        </w:rPr>
        <w:t>étvágytalanság.</w:t>
      </w:r>
    </w:p>
    <w:p w:rsidR="00716D93" w:rsidRDefault="00716D93">
      <w:pPr>
        <w:rPr>
          <w:szCs w:val="22"/>
          <w:lang w:val="hu-HU" w:eastAsia="en-US"/>
        </w:rPr>
      </w:pPr>
    </w:p>
    <w:p w:rsidR="00716D93" w:rsidRDefault="00E10747">
      <w:pPr>
        <w:autoSpaceDE w:val="0"/>
        <w:autoSpaceDN w:val="0"/>
        <w:adjustRightInd w:val="0"/>
        <w:ind w:right="-2"/>
        <w:rPr>
          <w:szCs w:val="22"/>
          <w:lang w:val="hu-HU"/>
        </w:rPr>
      </w:pPr>
      <w:r>
        <w:rPr>
          <w:b/>
          <w:bCs/>
          <w:szCs w:val="22"/>
          <w:lang w:val="hu-HU"/>
        </w:rPr>
        <w:t>Mellékhatások bejelentése</w:t>
      </w:r>
      <w:r>
        <w:rPr>
          <w:szCs w:val="22"/>
          <w:lang w:val="hu-HU"/>
        </w:rPr>
        <w:t xml:space="preserve"> </w:t>
      </w:r>
    </w:p>
    <w:p w:rsidR="00716D93" w:rsidRDefault="00E10747">
      <w:pPr>
        <w:ind w:right="-2"/>
        <w:rPr>
          <w:color w:val="008000"/>
          <w:szCs w:val="22"/>
          <w:lang w:val="hu-HU"/>
        </w:rPr>
      </w:pPr>
      <w:r>
        <w:rPr>
          <w:szCs w:val="22"/>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8" w:history="1">
        <w:r>
          <w:rPr>
            <w:rStyle w:val="Hiperhivatkozs"/>
            <w:sz w:val="22"/>
            <w:szCs w:val="22"/>
            <w:highlight w:val="lightGray"/>
            <w:lang w:val="hu-HU"/>
          </w:rPr>
          <w:t>V. függelékben</w:t>
        </w:r>
      </w:hyperlink>
      <w:r>
        <w:rPr>
          <w:szCs w:val="22"/>
          <w:highlight w:val="lightGray"/>
          <w:lang w:val="hu-HU"/>
        </w:rPr>
        <w:t xml:space="preserve"> található elérhetőségeken keresztül</w:t>
      </w:r>
      <w:r>
        <w:rPr>
          <w:color w:val="008000"/>
          <w:szCs w:val="22"/>
          <w:lang w:val="hu-HU"/>
        </w:rPr>
        <w:t>.</w:t>
      </w:r>
    </w:p>
    <w:p w:rsidR="00716D93" w:rsidRDefault="00E10747">
      <w:pPr>
        <w:ind w:right="-2"/>
        <w:rPr>
          <w:szCs w:val="22"/>
          <w:lang w:val="hu-HU"/>
        </w:rPr>
      </w:pPr>
      <w:r>
        <w:rPr>
          <w:szCs w:val="22"/>
          <w:lang w:val="hu-HU"/>
        </w:rPr>
        <w:t>A mellékhatások bejelentésével Ön is hozzájárulhat ahhoz, hogy minél több információ álljon rendelkezésre a gyógyszer biztonságos alkalmazásával kapcsolatban.</w:t>
      </w:r>
    </w:p>
    <w:p w:rsidR="00716D93" w:rsidRDefault="00716D93">
      <w:pPr>
        <w:numPr>
          <w:ilvl w:val="12"/>
          <w:numId w:val="0"/>
        </w:numPr>
        <w:ind w:right="-2"/>
        <w:rPr>
          <w:szCs w:val="22"/>
          <w:lang w:val="hu-HU" w:eastAsia="en-US"/>
        </w:rPr>
      </w:pPr>
    </w:p>
    <w:p w:rsidR="00716D93" w:rsidRDefault="00716D93">
      <w:pPr>
        <w:numPr>
          <w:ilvl w:val="12"/>
          <w:numId w:val="0"/>
        </w:numPr>
        <w:ind w:right="-2"/>
        <w:rPr>
          <w:szCs w:val="22"/>
          <w:lang w:val="hu-HU" w:eastAsia="en-US"/>
        </w:rPr>
      </w:pPr>
    </w:p>
    <w:p w:rsidR="00716D93" w:rsidRDefault="00E10747">
      <w:pPr>
        <w:numPr>
          <w:ilvl w:val="12"/>
          <w:numId w:val="0"/>
        </w:numPr>
        <w:tabs>
          <w:tab w:val="left" w:pos="567"/>
        </w:tabs>
        <w:rPr>
          <w:szCs w:val="22"/>
          <w:lang w:val="hu-HU" w:eastAsia="en-US"/>
        </w:rPr>
      </w:pPr>
      <w:r>
        <w:rPr>
          <w:b/>
          <w:szCs w:val="22"/>
          <w:lang w:val="hu-HU" w:eastAsia="en-US"/>
        </w:rPr>
        <w:t>5.</w:t>
      </w:r>
      <w:r>
        <w:rPr>
          <w:b/>
          <w:szCs w:val="22"/>
          <w:lang w:val="hu-HU" w:eastAsia="en-US"/>
        </w:rPr>
        <w:tab/>
      </w:r>
      <w:r>
        <w:rPr>
          <w:b/>
          <w:szCs w:val="22"/>
          <w:lang w:val="hu-HU"/>
        </w:rPr>
        <w:t xml:space="preserve">Hogyan kell az </w:t>
      </w:r>
      <w:r>
        <w:rPr>
          <w:b/>
          <w:szCs w:val="22"/>
          <w:lang w:val="hu-HU" w:eastAsia="en-US"/>
        </w:rPr>
        <w:t>Elicea Q-Tab-ot tárolni?</w:t>
      </w:r>
    </w:p>
    <w:p w:rsidR="00716D93" w:rsidRDefault="00716D93">
      <w:pPr>
        <w:numPr>
          <w:ilvl w:val="12"/>
          <w:numId w:val="0"/>
        </w:numPr>
        <w:ind w:right="-2"/>
        <w:rPr>
          <w:szCs w:val="22"/>
          <w:lang w:val="hu-HU" w:eastAsia="en-US"/>
        </w:rPr>
      </w:pPr>
    </w:p>
    <w:p w:rsidR="00716D93" w:rsidRDefault="00E10747">
      <w:pPr>
        <w:autoSpaceDE w:val="0"/>
        <w:autoSpaceDN w:val="0"/>
        <w:adjustRightInd w:val="0"/>
        <w:ind w:right="-2"/>
        <w:rPr>
          <w:szCs w:val="22"/>
          <w:lang w:val="hu-HU"/>
        </w:rPr>
      </w:pPr>
      <w:r>
        <w:rPr>
          <w:szCs w:val="22"/>
          <w:lang w:val="hu-HU"/>
        </w:rPr>
        <w:t>A gyógyszer gyermekektől elzárva tartandó!</w:t>
      </w:r>
    </w:p>
    <w:p w:rsidR="00716D93" w:rsidRDefault="00716D93">
      <w:pPr>
        <w:autoSpaceDE w:val="0"/>
        <w:autoSpaceDN w:val="0"/>
        <w:adjustRightInd w:val="0"/>
        <w:ind w:right="-2"/>
        <w:rPr>
          <w:szCs w:val="22"/>
          <w:lang w:val="hu-HU"/>
        </w:rPr>
      </w:pPr>
    </w:p>
    <w:p w:rsidR="00716D93" w:rsidRDefault="00E10747">
      <w:pPr>
        <w:autoSpaceDE w:val="0"/>
        <w:autoSpaceDN w:val="0"/>
        <w:adjustRightInd w:val="0"/>
        <w:ind w:right="-2"/>
        <w:rPr>
          <w:szCs w:val="22"/>
          <w:lang w:val="hu-HU"/>
        </w:rPr>
      </w:pPr>
      <w:r>
        <w:rPr>
          <w:szCs w:val="22"/>
          <w:lang w:val="hu-HU"/>
        </w:rPr>
        <w:t>A dobozon feltüntetett lejárati idő után (EXP) ne szedje ezt a gyógyszert. A lejárati idő az adott hónap utolsó napjára vonatkozik.</w:t>
      </w:r>
    </w:p>
    <w:p w:rsidR="00716D93" w:rsidRDefault="00716D93">
      <w:pPr>
        <w:autoSpaceDE w:val="0"/>
        <w:autoSpaceDN w:val="0"/>
        <w:adjustRightInd w:val="0"/>
        <w:ind w:right="-2"/>
        <w:rPr>
          <w:szCs w:val="22"/>
          <w:lang w:val="hu-HU"/>
        </w:rPr>
      </w:pPr>
    </w:p>
    <w:p w:rsidR="00716D93" w:rsidRDefault="00E10747">
      <w:pPr>
        <w:autoSpaceDE w:val="0"/>
        <w:autoSpaceDN w:val="0"/>
        <w:adjustRightInd w:val="0"/>
        <w:ind w:right="-2"/>
        <w:rPr>
          <w:szCs w:val="22"/>
          <w:lang w:val="hu-HU"/>
        </w:rPr>
      </w:pPr>
      <w:r>
        <w:rPr>
          <w:szCs w:val="22"/>
          <w:lang w:val="hu-HU"/>
        </w:rPr>
        <w:t>Ez a gyógyszer nem igényel különleges tárolási hőmérsékletet.</w:t>
      </w:r>
    </w:p>
    <w:p w:rsidR="00716D93" w:rsidRDefault="00E10747">
      <w:pPr>
        <w:autoSpaceDE w:val="0"/>
        <w:autoSpaceDN w:val="0"/>
        <w:adjustRightInd w:val="0"/>
        <w:rPr>
          <w:szCs w:val="22"/>
          <w:lang w:val="hu-HU"/>
        </w:rPr>
      </w:pPr>
      <w:r>
        <w:rPr>
          <w:szCs w:val="22"/>
          <w:lang w:val="hu-HU"/>
        </w:rPr>
        <w:t>A fénytől és nedvességtől való védelem érdekében az eredeti csomagolásban tárolandó.</w:t>
      </w:r>
    </w:p>
    <w:p w:rsidR="00716D93" w:rsidRDefault="00716D93">
      <w:pPr>
        <w:tabs>
          <w:tab w:val="left" w:pos="567"/>
        </w:tabs>
        <w:rPr>
          <w:szCs w:val="22"/>
          <w:highlight w:val="yellow"/>
          <w:lang w:val="hu-HU" w:eastAsia="en-US"/>
        </w:rPr>
      </w:pPr>
    </w:p>
    <w:p w:rsidR="00716D93" w:rsidRDefault="00E10747">
      <w:pPr>
        <w:autoSpaceDE w:val="0"/>
        <w:autoSpaceDN w:val="0"/>
        <w:adjustRightInd w:val="0"/>
        <w:ind w:right="-2"/>
        <w:rPr>
          <w:szCs w:val="22"/>
          <w:lang w:val="hu-HU"/>
        </w:rPr>
      </w:pPr>
      <w:r>
        <w:rPr>
          <w:szCs w:val="22"/>
          <w:lang w:val="hu-HU"/>
        </w:rPr>
        <w:lastRenderedPageBreak/>
        <w:t>Semmilyen gyógyszert ne dobjon a szennyvízbe vagy a háztartási hulladékba. Kérdezze meg gyógyszerészét, hogy mit tegyen a már nem használt gyógyszereivel. Ezek az intézkedések elősegítik a környezet védelmét.</w:t>
      </w:r>
    </w:p>
    <w:p w:rsidR="00716D93" w:rsidRDefault="00716D93">
      <w:pPr>
        <w:numPr>
          <w:ilvl w:val="12"/>
          <w:numId w:val="0"/>
        </w:numPr>
        <w:ind w:right="-2"/>
        <w:rPr>
          <w:szCs w:val="22"/>
          <w:lang w:val="hu-HU" w:eastAsia="en-US"/>
        </w:rPr>
      </w:pPr>
    </w:p>
    <w:p w:rsidR="00716D93" w:rsidRDefault="00716D93">
      <w:pPr>
        <w:numPr>
          <w:ilvl w:val="12"/>
          <w:numId w:val="0"/>
        </w:numPr>
        <w:ind w:right="-2"/>
        <w:rPr>
          <w:szCs w:val="22"/>
          <w:lang w:val="hu-HU" w:eastAsia="en-US"/>
        </w:rPr>
      </w:pPr>
    </w:p>
    <w:p w:rsidR="00716D93" w:rsidRDefault="00E10747">
      <w:pPr>
        <w:suppressAutoHyphens/>
        <w:ind w:left="567" w:right="-2" w:hanging="567"/>
        <w:rPr>
          <w:b/>
          <w:szCs w:val="22"/>
          <w:lang w:val="hu-HU"/>
        </w:rPr>
      </w:pPr>
      <w:r>
        <w:rPr>
          <w:b/>
          <w:szCs w:val="22"/>
          <w:lang w:val="hu-HU"/>
        </w:rPr>
        <w:t>6.</w:t>
      </w:r>
      <w:r>
        <w:rPr>
          <w:b/>
          <w:szCs w:val="22"/>
          <w:lang w:val="hu-HU"/>
        </w:rPr>
        <w:tab/>
        <w:t>A csomagolás tartalma és egyéb információk</w:t>
      </w:r>
    </w:p>
    <w:p w:rsidR="00716D93" w:rsidRDefault="00716D93">
      <w:pPr>
        <w:numPr>
          <w:ilvl w:val="12"/>
          <w:numId w:val="0"/>
        </w:numPr>
        <w:ind w:right="-2"/>
        <w:rPr>
          <w:szCs w:val="22"/>
          <w:lang w:val="hu-HU" w:eastAsia="en-US"/>
        </w:rPr>
      </w:pPr>
    </w:p>
    <w:p w:rsidR="00716D93" w:rsidRDefault="00E10747">
      <w:pPr>
        <w:numPr>
          <w:ilvl w:val="12"/>
          <w:numId w:val="0"/>
        </w:numPr>
        <w:ind w:right="-2"/>
        <w:rPr>
          <w:b/>
          <w:bCs/>
          <w:szCs w:val="22"/>
          <w:lang w:val="hu-HU" w:eastAsia="en-US"/>
        </w:rPr>
      </w:pPr>
      <w:r>
        <w:rPr>
          <w:b/>
          <w:bCs/>
          <w:szCs w:val="22"/>
          <w:lang w:val="hu-HU" w:eastAsia="en-US"/>
        </w:rPr>
        <w:t>Mit tartalmaz az Elicea Q-Tab?</w:t>
      </w:r>
    </w:p>
    <w:p w:rsidR="00716D93" w:rsidRDefault="00E10747">
      <w:pPr>
        <w:numPr>
          <w:ilvl w:val="0"/>
          <w:numId w:val="26"/>
        </w:numPr>
        <w:tabs>
          <w:tab w:val="left" w:pos="567"/>
        </w:tabs>
        <w:autoSpaceDE w:val="0"/>
        <w:autoSpaceDN w:val="0"/>
        <w:adjustRightInd w:val="0"/>
        <w:ind w:left="567" w:hanging="567"/>
        <w:rPr>
          <w:szCs w:val="22"/>
          <w:lang w:val="hu-HU" w:eastAsia="en-US"/>
        </w:rPr>
      </w:pPr>
      <w:r>
        <w:rPr>
          <w:iCs/>
          <w:szCs w:val="22"/>
          <w:lang w:val="hu-HU"/>
        </w:rPr>
        <w:t>A készítmény hatóanyaga az eszcitaloprám</w:t>
      </w:r>
      <w:r>
        <w:rPr>
          <w:szCs w:val="22"/>
          <w:lang w:val="hu-HU" w:eastAsia="en-US"/>
        </w:rPr>
        <w:t>.</w:t>
      </w:r>
    </w:p>
    <w:p w:rsidR="00716D93" w:rsidRDefault="00E10747">
      <w:pPr>
        <w:autoSpaceDE w:val="0"/>
        <w:autoSpaceDN w:val="0"/>
        <w:adjustRightInd w:val="0"/>
        <w:ind w:left="567"/>
        <w:jc w:val="both"/>
        <w:rPr>
          <w:i/>
          <w:szCs w:val="22"/>
          <w:lang w:val="hu-HU" w:eastAsia="en-US"/>
        </w:rPr>
      </w:pPr>
      <w:r>
        <w:rPr>
          <w:i/>
          <w:szCs w:val="22"/>
          <w:lang w:val="hu-HU" w:eastAsia="en-US"/>
        </w:rPr>
        <w:t xml:space="preserve">Elicea Q-Tab </w:t>
      </w:r>
      <w:r>
        <w:rPr>
          <w:bCs/>
          <w:i/>
          <w:szCs w:val="22"/>
          <w:lang w:val="hu-HU" w:eastAsia="en-US"/>
        </w:rPr>
        <w:t>5 mg szájban diszpergálódó tabletta:</w:t>
      </w:r>
    </w:p>
    <w:p w:rsidR="00716D93" w:rsidRDefault="00E10747">
      <w:pPr>
        <w:autoSpaceDE w:val="0"/>
        <w:autoSpaceDN w:val="0"/>
        <w:adjustRightInd w:val="0"/>
        <w:ind w:left="567"/>
        <w:jc w:val="both"/>
        <w:rPr>
          <w:szCs w:val="22"/>
          <w:lang w:val="hu-HU" w:eastAsia="en-US"/>
        </w:rPr>
      </w:pPr>
      <w:r>
        <w:rPr>
          <w:szCs w:val="22"/>
          <w:lang w:val="hu-HU" w:eastAsia="en-US"/>
        </w:rPr>
        <w:t>5 mg eszcitaloprámot tartalmaz (eszcitaloprám-oxalát formájában) szájban diszpergálódó tablettánként.</w:t>
      </w:r>
    </w:p>
    <w:p w:rsidR="00716D93" w:rsidRDefault="00E10747">
      <w:pPr>
        <w:tabs>
          <w:tab w:val="left" w:pos="567"/>
        </w:tabs>
        <w:ind w:left="567"/>
        <w:rPr>
          <w:bCs/>
          <w:i/>
          <w:szCs w:val="22"/>
          <w:lang w:val="hu-HU" w:eastAsia="en-US"/>
        </w:rPr>
      </w:pPr>
      <w:r>
        <w:rPr>
          <w:i/>
          <w:szCs w:val="22"/>
          <w:lang w:val="hu-HU" w:eastAsia="en-US"/>
        </w:rPr>
        <w:t xml:space="preserve">Elicea Q-Tab </w:t>
      </w:r>
      <w:r>
        <w:rPr>
          <w:bCs/>
          <w:i/>
          <w:szCs w:val="22"/>
          <w:lang w:val="hu-HU" w:eastAsia="en-US"/>
        </w:rPr>
        <w:t>10 mg szájban diszpergálódó tabletta:</w:t>
      </w:r>
    </w:p>
    <w:p w:rsidR="00716D93" w:rsidRDefault="00E10747">
      <w:pPr>
        <w:autoSpaceDE w:val="0"/>
        <w:autoSpaceDN w:val="0"/>
        <w:adjustRightInd w:val="0"/>
        <w:ind w:left="567"/>
        <w:jc w:val="both"/>
        <w:rPr>
          <w:szCs w:val="22"/>
          <w:lang w:val="hu-HU" w:eastAsia="en-US"/>
        </w:rPr>
      </w:pPr>
      <w:r>
        <w:rPr>
          <w:szCs w:val="22"/>
          <w:lang w:val="hu-HU" w:eastAsia="en-US"/>
        </w:rPr>
        <w:t>10 mg eszcitaloprámot tartalmaz (eszcitaloprám-oxalát formájában) szájban diszpergálódó tablettánként.</w:t>
      </w:r>
    </w:p>
    <w:p w:rsidR="00716D93" w:rsidRDefault="00E10747">
      <w:pPr>
        <w:tabs>
          <w:tab w:val="left" w:pos="567"/>
        </w:tabs>
        <w:ind w:left="567"/>
        <w:rPr>
          <w:bCs/>
          <w:i/>
          <w:szCs w:val="22"/>
          <w:lang w:val="hu-HU" w:eastAsia="en-US"/>
        </w:rPr>
      </w:pPr>
      <w:r>
        <w:rPr>
          <w:i/>
          <w:szCs w:val="22"/>
          <w:lang w:val="hu-HU" w:eastAsia="en-US"/>
        </w:rPr>
        <w:t xml:space="preserve">Elicea Q-Tab </w:t>
      </w:r>
      <w:r>
        <w:rPr>
          <w:bCs/>
          <w:i/>
          <w:szCs w:val="22"/>
          <w:lang w:val="hu-HU" w:eastAsia="en-US"/>
        </w:rPr>
        <w:t>15 mg szájban diszpergálódó tabletta:</w:t>
      </w:r>
    </w:p>
    <w:p w:rsidR="00716D93" w:rsidRDefault="00E10747">
      <w:pPr>
        <w:autoSpaceDE w:val="0"/>
        <w:autoSpaceDN w:val="0"/>
        <w:adjustRightInd w:val="0"/>
        <w:ind w:left="567"/>
        <w:jc w:val="both"/>
        <w:rPr>
          <w:szCs w:val="22"/>
          <w:lang w:val="hu-HU" w:eastAsia="en-US"/>
        </w:rPr>
      </w:pPr>
      <w:r>
        <w:rPr>
          <w:szCs w:val="22"/>
          <w:lang w:val="hu-HU" w:eastAsia="en-US"/>
        </w:rPr>
        <w:t>15 mg eszcitaloprámot tartalmaz (eszcitaloprám-oxalát formájában) szájban diszpergálódó tablettánként.</w:t>
      </w:r>
    </w:p>
    <w:p w:rsidR="00716D93" w:rsidRDefault="00E10747">
      <w:pPr>
        <w:tabs>
          <w:tab w:val="left" w:pos="567"/>
        </w:tabs>
        <w:ind w:left="567"/>
        <w:rPr>
          <w:bCs/>
          <w:i/>
          <w:szCs w:val="22"/>
          <w:lang w:val="hu-HU" w:eastAsia="en-US"/>
        </w:rPr>
      </w:pPr>
      <w:r>
        <w:rPr>
          <w:i/>
          <w:szCs w:val="22"/>
          <w:lang w:val="hu-HU" w:eastAsia="en-US"/>
        </w:rPr>
        <w:t xml:space="preserve">Elicea Q-Tab </w:t>
      </w:r>
      <w:r>
        <w:rPr>
          <w:bCs/>
          <w:i/>
          <w:szCs w:val="22"/>
          <w:lang w:val="hu-HU" w:eastAsia="en-US"/>
        </w:rPr>
        <w:t>20 mg szájban diszpergálódó tabletta:</w:t>
      </w:r>
    </w:p>
    <w:p w:rsidR="00716D93" w:rsidRDefault="00E10747">
      <w:pPr>
        <w:autoSpaceDE w:val="0"/>
        <w:autoSpaceDN w:val="0"/>
        <w:adjustRightInd w:val="0"/>
        <w:ind w:left="567"/>
        <w:jc w:val="both"/>
        <w:rPr>
          <w:szCs w:val="22"/>
          <w:lang w:val="hu-HU" w:eastAsia="en-US"/>
        </w:rPr>
      </w:pPr>
      <w:r>
        <w:rPr>
          <w:szCs w:val="22"/>
          <w:lang w:val="hu-HU" w:eastAsia="en-US"/>
        </w:rPr>
        <w:t>20 mg eszcitaloprámot tartalmaz (eszcitaloprám-oxalát formájában) szájban diszpergálódó tablettánként.</w:t>
      </w:r>
    </w:p>
    <w:p w:rsidR="00716D93" w:rsidRDefault="00716D93">
      <w:pPr>
        <w:tabs>
          <w:tab w:val="left" w:pos="567"/>
        </w:tabs>
        <w:autoSpaceDE w:val="0"/>
        <w:autoSpaceDN w:val="0"/>
        <w:adjustRightInd w:val="0"/>
        <w:ind w:left="567"/>
        <w:rPr>
          <w:szCs w:val="22"/>
          <w:lang w:val="hu-HU" w:eastAsia="en-US"/>
        </w:rPr>
      </w:pPr>
    </w:p>
    <w:p w:rsidR="00716D93" w:rsidRDefault="00E10747">
      <w:pPr>
        <w:numPr>
          <w:ilvl w:val="0"/>
          <w:numId w:val="26"/>
        </w:numPr>
        <w:tabs>
          <w:tab w:val="left" w:pos="567"/>
        </w:tabs>
        <w:autoSpaceDE w:val="0"/>
        <w:autoSpaceDN w:val="0"/>
        <w:adjustRightInd w:val="0"/>
        <w:ind w:left="567" w:hanging="567"/>
        <w:rPr>
          <w:szCs w:val="22"/>
          <w:lang w:val="hu-HU" w:eastAsia="en-US"/>
        </w:rPr>
      </w:pPr>
      <w:r>
        <w:rPr>
          <w:i/>
          <w:iCs/>
          <w:spacing w:val="-2"/>
          <w:szCs w:val="22"/>
          <w:lang w:val="hu-HU"/>
        </w:rPr>
        <w:t>Egyéb összetevők:</w:t>
      </w:r>
      <w:r>
        <w:rPr>
          <w:spacing w:val="-2"/>
          <w:szCs w:val="22"/>
          <w:lang w:val="hu-HU" w:eastAsia="en-US"/>
        </w:rPr>
        <w:t xml:space="preserve"> polakrillin-kálium, tömény sósav, laktóz-monohidrát, mikrokristályos cellulóz,</w:t>
      </w:r>
      <w:r>
        <w:rPr>
          <w:szCs w:val="22"/>
          <w:lang w:val="hu-HU" w:eastAsia="en-US"/>
        </w:rPr>
        <w:t xml:space="preserve"> kroszkarmellóz-nátrium, aceszulfám-kálium, neoheszperidin-dihidro</w:t>
      </w:r>
      <w:r>
        <w:rPr>
          <w:szCs w:val="22"/>
          <w:lang w:val="hu-HU" w:eastAsia="en-US"/>
        </w:rPr>
        <w:noBreakHyphen/>
        <w:t xml:space="preserve">kalkon, borsmenta aroma (maltodextrin [kukorica], módosított keményítő </w:t>
      </w:r>
      <w:r>
        <w:rPr>
          <w:szCs w:val="24"/>
        </w:rPr>
        <w:t>(Waxy maize)</w:t>
      </w:r>
      <w:r>
        <w:rPr>
          <w:szCs w:val="22"/>
          <w:lang w:val="hu-HU" w:eastAsia="en-US"/>
        </w:rPr>
        <w:t xml:space="preserve"> [E1450] és borsosmentaolaj [</w:t>
      </w:r>
      <w:r>
        <w:rPr>
          <w:i/>
          <w:szCs w:val="22"/>
          <w:lang w:val="hu-HU" w:eastAsia="en-US"/>
        </w:rPr>
        <w:t>Mentha arvensis</w:t>
      </w:r>
      <w:r>
        <w:rPr>
          <w:szCs w:val="22"/>
          <w:lang w:val="hu-HU" w:eastAsia="en-US"/>
        </w:rPr>
        <w:t>]), magnézium-sztearát. Lásd 2. pont „Az Elicea Q-Tab laktózt és nátriumot tartalmaz”.</w:t>
      </w:r>
    </w:p>
    <w:p w:rsidR="00716D93" w:rsidRDefault="00716D93">
      <w:pPr>
        <w:autoSpaceDE w:val="0"/>
        <w:autoSpaceDN w:val="0"/>
        <w:adjustRightInd w:val="0"/>
        <w:rPr>
          <w:szCs w:val="22"/>
          <w:lang w:val="hu-HU" w:eastAsia="en-US"/>
        </w:rPr>
      </w:pPr>
    </w:p>
    <w:p w:rsidR="00716D93" w:rsidRDefault="00E10747">
      <w:pPr>
        <w:autoSpaceDE w:val="0"/>
        <w:autoSpaceDN w:val="0"/>
        <w:adjustRightInd w:val="0"/>
        <w:rPr>
          <w:b/>
          <w:bCs/>
          <w:szCs w:val="22"/>
          <w:lang w:val="hu-HU"/>
        </w:rPr>
      </w:pPr>
      <w:r>
        <w:rPr>
          <w:b/>
          <w:bCs/>
          <w:szCs w:val="22"/>
          <w:lang w:val="hu-HU"/>
        </w:rPr>
        <w:t>Milyen a készítmény külleme és mit tartalmaz a csomagolás?</w:t>
      </w:r>
    </w:p>
    <w:p w:rsidR="00716D93" w:rsidRDefault="00E10747">
      <w:pPr>
        <w:tabs>
          <w:tab w:val="left" w:pos="567"/>
        </w:tabs>
        <w:rPr>
          <w:i/>
          <w:szCs w:val="22"/>
          <w:lang w:val="hu-HU" w:eastAsia="en-US"/>
        </w:rPr>
      </w:pPr>
      <w:r>
        <w:rPr>
          <w:i/>
          <w:szCs w:val="22"/>
          <w:lang w:val="hu-HU" w:eastAsia="en-US"/>
        </w:rPr>
        <w:t xml:space="preserve">Elicea Q-Tab 5 mg </w:t>
      </w:r>
      <w:r>
        <w:rPr>
          <w:bCs/>
          <w:i/>
          <w:szCs w:val="22"/>
          <w:lang w:val="hu-HU" w:eastAsia="en-US"/>
        </w:rPr>
        <w:t>szájban diszpergálódó tabletta:</w:t>
      </w:r>
    </w:p>
    <w:p w:rsidR="00716D93" w:rsidRDefault="00E10747">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7ﾠmm"/>
        </w:smartTagPr>
        <w:r>
          <w:rPr>
            <w:b w:val="0"/>
            <w:sz w:val="22"/>
            <w:szCs w:val="22"/>
          </w:rPr>
          <w:t>7 mm</w:t>
        </w:r>
      </w:smartTag>
      <w:r>
        <w:rPr>
          <w:b w:val="0"/>
          <w:sz w:val="22"/>
          <w:szCs w:val="22"/>
        </w:rPr>
        <w:t xml:space="preserve"> átmérőjű, szájban diszpergálódó tabletta, egyik oldalán „5” jelzéssel ellátva.</w:t>
      </w:r>
    </w:p>
    <w:p w:rsidR="00716D93" w:rsidRDefault="00E10747">
      <w:pPr>
        <w:tabs>
          <w:tab w:val="left" w:pos="567"/>
        </w:tabs>
        <w:rPr>
          <w:i/>
          <w:szCs w:val="22"/>
          <w:lang w:val="hu-HU" w:eastAsia="en-US"/>
        </w:rPr>
      </w:pPr>
      <w:r>
        <w:rPr>
          <w:i/>
          <w:szCs w:val="22"/>
          <w:lang w:val="hu-HU" w:eastAsia="en-US"/>
        </w:rPr>
        <w:t>Elicea Q-Tab 10 mg</w:t>
      </w:r>
      <w:r>
        <w:rPr>
          <w:bCs/>
          <w:i/>
          <w:szCs w:val="22"/>
          <w:lang w:val="hu-HU" w:eastAsia="en-US"/>
        </w:rPr>
        <w:t xml:space="preserve"> szájban diszpergálódó tabletta</w:t>
      </w:r>
      <w:r>
        <w:rPr>
          <w:i/>
          <w:szCs w:val="22"/>
          <w:lang w:val="hu-HU" w:eastAsia="en-US"/>
        </w:rPr>
        <w:t>:</w:t>
      </w:r>
    </w:p>
    <w:p w:rsidR="00716D93" w:rsidRDefault="00E10747">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9ﾠmm"/>
        </w:smartTagPr>
        <w:r>
          <w:rPr>
            <w:b w:val="0"/>
            <w:sz w:val="22"/>
            <w:szCs w:val="22"/>
          </w:rPr>
          <w:t>9 mm</w:t>
        </w:r>
      </w:smartTag>
      <w:r>
        <w:rPr>
          <w:b w:val="0"/>
          <w:sz w:val="22"/>
          <w:szCs w:val="22"/>
        </w:rPr>
        <w:t xml:space="preserve"> átmérőjű, szájban diszpergálódó tabletta, egyik oldalán „10” jelzéssel ellátva.</w:t>
      </w:r>
    </w:p>
    <w:p w:rsidR="00716D93" w:rsidRDefault="00E10747">
      <w:pPr>
        <w:tabs>
          <w:tab w:val="left" w:pos="567"/>
        </w:tabs>
        <w:rPr>
          <w:i/>
          <w:szCs w:val="22"/>
          <w:lang w:val="hu-HU" w:eastAsia="en-US"/>
        </w:rPr>
      </w:pPr>
      <w:r>
        <w:rPr>
          <w:i/>
          <w:szCs w:val="22"/>
          <w:lang w:val="hu-HU" w:eastAsia="en-US"/>
        </w:rPr>
        <w:t>Elicea Q-Tab 15 mg</w:t>
      </w:r>
      <w:r>
        <w:rPr>
          <w:bCs/>
          <w:i/>
          <w:szCs w:val="22"/>
          <w:lang w:val="hu-HU" w:eastAsia="en-US"/>
        </w:rPr>
        <w:t xml:space="preserve"> szájban diszpergálódó tabletta</w:t>
      </w:r>
      <w:r>
        <w:rPr>
          <w:i/>
          <w:szCs w:val="22"/>
          <w:lang w:val="hu-HU" w:eastAsia="en-US"/>
        </w:rPr>
        <w:t>:</w:t>
      </w:r>
    </w:p>
    <w:p w:rsidR="00716D93" w:rsidRDefault="00E10747">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11ﾠmm"/>
        </w:smartTagPr>
        <w:r>
          <w:rPr>
            <w:b w:val="0"/>
            <w:sz w:val="22"/>
            <w:szCs w:val="22"/>
          </w:rPr>
          <w:t>11 mm</w:t>
        </w:r>
      </w:smartTag>
      <w:r>
        <w:rPr>
          <w:b w:val="0"/>
          <w:sz w:val="22"/>
          <w:szCs w:val="22"/>
        </w:rPr>
        <w:t xml:space="preserve"> átmérőjű, szájban diszpergálódó tabletta, egyik oldalán „15” jelzéssel ellátva.</w:t>
      </w:r>
    </w:p>
    <w:p w:rsidR="00716D93" w:rsidRDefault="00E10747">
      <w:pPr>
        <w:tabs>
          <w:tab w:val="left" w:pos="567"/>
        </w:tabs>
        <w:rPr>
          <w:i/>
          <w:szCs w:val="22"/>
          <w:lang w:val="hu-HU"/>
        </w:rPr>
      </w:pPr>
      <w:r>
        <w:rPr>
          <w:i/>
          <w:szCs w:val="22"/>
          <w:lang w:val="hu-HU" w:eastAsia="en-US"/>
        </w:rPr>
        <w:t>Elicea Q-Tab 20 mg</w:t>
      </w:r>
      <w:r>
        <w:rPr>
          <w:bCs/>
          <w:i/>
          <w:szCs w:val="22"/>
          <w:lang w:val="hu-HU" w:eastAsia="en-US"/>
        </w:rPr>
        <w:t xml:space="preserve"> szájban diszpergálódó tabletta</w:t>
      </w:r>
      <w:r>
        <w:rPr>
          <w:i/>
          <w:szCs w:val="22"/>
          <w:lang w:val="hu-HU" w:eastAsia="en-US"/>
        </w:rPr>
        <w:t>:</w:t>
      </w:r>
    </w:p>
    <w:p w:rsidR="00716D93" w:rsidRDefault="00E10747">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12ﾠmm"/>
        </w:smartTagPr>
        <w:r>
          <w:rPr>
            <w:b w:val="0"/>
            <w:sz w:val="22"/>
            <w:szCs w:val="22"/>
          </w:rPr>
          <w:t>12 mm</w:t>
        </w:r>
      </w:smartTag>
      <w:r>
        <w:rPr>
          <w:b w:val="0"/>
          <w:sz w:val="22"/>
          <w:szCs w:val="22"/>
        </w:rPr>
        <w:t xml:space="preserve"> átmérőjű, szájban diszpergálódó tabletta, egyik oldalán „20” jelzéssel ellátva.</w:t>
      </w:r>
    </w:p>
    <w:p w:rsidR="00716D93" w:rsidRDefault="00716D93">
      <w:pPr>
        <w:numPr>
          <w:ilvl w:val="12"/>
          <w:numId w:val="0"/>
        </w:numPr>
        <w:ind w:right="-2"/>
        <w:rPr>
          <w:szCs w:val="22"/>
          <w:highlight w:val="yellow"/>
          <w:lang w:val="hu-HU" w:eastAsia="en-US"/>
        </w:rPr>
      </w:pPr>
    </w:p>
    <w:p w:rsidR="00716D93" w:rsidRDefault="00E10747">
      <w:pPr>
        <w:numPr>
          <w:ilvl w:val="12"/>
          <w:numId w:val="0"/>
        </w:numPr>
        <w:ind w:right="-2"/>
        <w:rPr>
          <w:b/>
          <w:bCs/>
          <w:szCs w:val="22"/>
          <w:lang w:val="hu-HU" w:eastAsia="en-US"/>
        </w:rPr>
      </w:pPr>
      <w:r>
        <w:rPr>
          <w:szCs w:val="22"/>
          <w:lang w:val="hu-HU" w:eastAsia="en-US"/>
        </w:rPr>
        <w:t xml:space="preserve">Az Elicea Q-Tab kiszerelése: 28, 30, 56, 60, 84 vagy 90 db </w:t>
      </w:r>
      <w:r>
        <w:rPr>
          <w:bCs/>
          <w:szCs w:val="22"/>
          <w:lang w:val="hu-HU" w:eastAsia="en-US"/>
        </w:rPr>
        <w:t>szájban diszpergálódó tabletta</w:t>
      </w:r>
      <w:r>
        <w:rPr>
          <w:color w:val="000000"/>
          <w:szCs w:val="22"/>
          <w:lang w:val="hu-HU"/>
        </w:rPr>
        <w:t xml:space="preserve"> buborékcsomagolásban és dobozban</w:t>
      </w:r>
    </w:p>
    <w:p w:rsidR="00716D93" w:rsidRDefault="00716D93">
      <w:pPr>
        <w:numPr>
          <w:ilvl w:val="12"/>
          <w:numId w:val="0"/>
        </w:numPr>
        <w:ind w:right="-2"/>
        <w:rPr>
          <w:szCs w:val="22"/>
          <w:highlight w:val="yellow"/>
          <w:lang w:val="hu-HU" w:eastAsia="en-US"/>
        </w:rPr>
      </w:pPr>
    </w:p>
    <w:p w:rsidR="00716D93" w:rsidRDefault="00E10747">
      <w:pPr>
        <w:autoSpaceDE w:val="0"/>
        <w:autoSpaceDN w:val="0"/>
        <w:adjustRightInd w:val="0"/>
        <w:rPr>
          <w:szCs w:val="22"/>
          <w:lang w:val="hu-HU"/>
        </w:rPr>
      </w:pPr>
      <w:r>
        <w:rPr>
          <w:szCs w:val="22"/>
          <w:lang w:val="hu-HU"/>
        </w:rPr>
        <w:t>Nem feltétlenül mindegyik kiszerelés kerül kereskedelmi forgalomba.</w:t>
      </w:r>
    </w:p>
    <w:p w:rsidR="00716D93" w:rsidRDefault="00716D93">
      <w:pPr>
        <w:numPr>
          <w:ilvl w:val="12"/>
          <w:numId w:val="0"/>
        </w:numPr>
        <w:ind w:right="-2"/>
        <w:rPr>
          <w:szCs w:val="22"/>
          <w:highlight w:val="yellow"/>
          <w:lang w:val="hu-HU" w:eastAsia="en-US"/>
        </w:rPr>
      </w:pPr>
    </w:p>
    <w:p w:rsidR="00716D93" w:rsidRDefault="00E10747">
      <w:pPr>
        <w:tabs>
          <w:tab w:val="left" w:pos="567"/>
        </w:tabs>
        <w:rPr>
          <w:b/>
          <w:bCs/>
          <w:szCs w:val="22"/>
          <w:lang w:val="hu-HU"/>
        </w:rPr>
      </w:pPr>
      <w:r>
        <w:rPr>
          <w:b/>
          <w:bCs/>
          <w:szCs w:val="22"/>
          <w:lang w:val="hu-HU"/>
        </w:rPr>
        <w:t xml:space="preserve">A forgalomba hozatali engedély jogosultja </w:t>
      </w:r>
    </w:p>
    <w:p w:rsidR="00716D93" w:rsidRDefault="00E10747">
      <w:pPr>
        <w:tabs>
          <w:tab w:val="left" w:pos="567"/>
        </w:tabs>
        <w:rPr>
          <w:szCs w:val="22"/>
          <w:lang w:val="hu-HU" w:eastAsia="en-US"/>
        </w:rPr>
      </w:pPr>
      <w:r>
        <w:rPr>
          <w:szCs w:val="22"/>
          <w:lang w:val="hu-HU" w:eastAsia="en-US"/>
        </w:rPr>
        <w:t>KRKA, d.d., Novo mesto, Šmarješka cesta 6, 8501 Novo mesto, Szlovénia</w:t>
      </w:r>
    </w:p>
    <w:p w:rsidR="00716D93" w:rsidRDefault="00716D93">
      <w:pPr>
        <w:numPr>
          <w:ilvl w:val="12"/>
          <w:numId w:val="0"/>
        </w:numPr>
        <w:ind w:right="-2"/>
        <w:rPr>
          <w:b/>
          <w:bCs/>
          <w:szCs w:val="22"/>
          <w:lang w:val="hu-HU" w:eastAsia="en-US"/>
        </w:rPr>
      </w:pPr>
    </w:p>
    <w:p w:rsidR="00716D93" w:rsidRDefault="00E10747">
      <w:pPr>
        <w:numPr>
          <w:ilvl w:val="12"/>
          <w:numId w:val="0"/>
        </w:numPr>
        <w:ind w:right="-2"/>
        <w:rPr>
          <w:b/>
          <w:bCs/>
          <w:szCs w:val="22"/>
          <w:lang w:val="hu-HU" w:eastAsia="en-US"/>
        </w:rPr>
      </w:pPr>
      <w:r>
        <w:rPr>
          <w:b/>
          <w:bCs/>
          <w:szCs w:val="22"/>
          <w:lang w:val="hu-HU" w:eastAsia="en-US"/>
        </w:rPr>
        <w:t>Gyártó</w:t>
      </w:r>
    </w:p>
    <w:p w:rsidR="00716D93" w:rsidRDefault="00E10747">
      <w:pPr>
        <w:tabs>
          <w:tab w:val="left" w:pos="567"/>
        </w:tabs>
        <w:rPr>
          <w:szCs w:val="22"/>
          <w:lang w:val="hu-HU" w:eastAsia="en-US"/>
        </w:rPr>
      </w:pPr>
      <w:r>
        <w:rPr>
          <w:szCs w:val="22"/>
          <w:lang w:val="hu-HU" w:eastAsia="en-US"/>
        </w:rPr>
        <w:t>KRKA, d.d., Novo mesto, Šmarješka cesta 6, 8501 Novo mesto, Szlovénia</w:t>
      </w:r>
    </w:p>
    <w:p w:rsidR="00716D93" w:rsidRDefault="00E10747">
      <w:pPr>
        <w:tabs>
          <w:tab w:val="left" w:pos="567"/>
        </w:tabs>
        <w:rPr>
          <w:szCs w:val="22"/>
          <w:lang w:val="hu-HU" w:eastAsia="en-US"/>
        </w:rPr>
      </w:pPr>
      <w:r>
        <w:rPr>
          <w:szCs w:val="22"/>
          <w:lang w:val="hu-HU" w:eastAsia="en-US"/>
        </w:rPr>
        <w:t xml:space="preserve">Genepharm S.A., </w:t>
      </w:r>
      <w:smartTag w:uri="urn:schemas-microsoft-com:office:smarttags" w:element="metricconverter">
        <w:smartTagPr>
          <w:attr w:name="ProductID" w:val="18 km"/>
        </w:smartTagPr>
        <w:r>
          <w:rPr>
            <w:szCs w:val="22"/>
            <w:lang w:val="hu-HU" w:eastAsia="en-US"/>
          </w:rPr>
          <w:t>18 km</w:t>
        </w:r>
      </w:smartTag>
      <w:r>
        <w:rPr>
          <w:szCs w:val="22"/>
          <w:lang w:val="hu-HU" w:eastAsia="en-US"/>
        </w:rPr>
        <w:t xml:space="preserve"> Marathon Avenue, 153 51 Pallini Attikis, Görögország</w:t>
      </w:r>
    </w:p>
    <w:p w:rsidR="00716D93" w:rsidRDefault="00716D93">
      <w:pPr>
        <w:tabs>
          <w:tab w:val="left" w:pos="567"/>
        </w:tabs>
        <w:rPr>
          <w:szCs w:val="22"/>
          <w:highlight w:val="yellow"/>
          <w:lang w:val="hu-HU" w:eastAsia="en-US"/>
        </w:rPr>
      </w:pPr>
    </w:p>
    <w:p w:rsidR="00716D93" w:rsidRDefault="00E10747">
      <w:pPr>
        <w:autoSpaceDE w:val="0"/>
        <w:autoSpaceDN w:val="0"/>
        <w:adjustRightInd w:val="0"/>
        <w:rPr>
          <w:szCs w:val="22"/>
          <w:lang w:val="hu-HU" w:eastAsia="en-US"/>
        </w:rPr>
      </w:pPr>
      <w:r>
        <w:rPr>
          <w:b/>
          <w:bCs/>
          <w:szCs w:val="22"/>
          <w:lang w:val="hu-HU"/>
        </w:rPr>
        <w:t>Ezt a gyógyszert az Európai Gazdasági Térség tagállamaiban az alábbi neveken engedélyezték: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4860"/>
      </w:tblGrid>
      <w:tr w:rsidR="00716D93">
        <w:tc>
          <w:tcPr>
            <w:tcW w:w="1998" w:type="dxa"/>
          </w:tcPr>
          <w:p w:rsidR="00716D93" w:rsidRDefault="00E10747">
            <w:pPr>
              <w:numPr>
                <w:ilvl w:val="12"/>
                <w:numId w:val="0"/>
              </w:numPr>
              <w:ind w:right="-2"/>
              <w:outlineLvl w:val="0"/>
              <w:rPr>
                <w:szCs w:val="22"/>
                <w:lang w:val="hu-HU" w:eastAsia="en-US"/>
              </w:rPr>
            </w:pPr>
            <w:r>
              <w:rPr>
                <w:szCs w:val="22"/>
                <w:lang w:val="hu-HU" w:eastAsia="en-US"/>
              </w:rPr>
              <w:t>Csehország</w:t>
            </w:r>
          </w:p>
        </w:tc>
        <w:tc>
          <w:tcPr>
            <w:tcW w:w="4860" w:type="dxa"/>
          </w:tcPr>
          <w:p w:rsidR="00716D93" w:rsidRDefault="00E10747">
            <w:pPr>
              <w:numPr>
                <w:ilvl w:val="12"/>
                <w:numId w:val="0"/>
              </w:numPr>
              <w:ind w:right="-2"/>
              <w:outlineLvl w:val="0"/>
              <w:rPr>
                <w:szCs w:val="22"/>
                <w:lang w:val="hu-HU" w:eastAsia="en-US"/>
              </w:rPr>
            </w:pPr>
            <w:r>
              <w:rPr>
                <w:szCs w:val="22"/>
                <w:lang w:val="hu-HU" w:eastAsia="en-US"/>
              </w:rPr>
              <w:t>Elicea Oro Tab 5 mg</w:t>
            </w:r>
          </w:p>
          <w:p w:rsidR="00716D93" w:rsidRDefault="00E10747">
            <w:pPr>
              <w:numPr>
                <w:ilvl w:val="12"/>
                <w:numId w:val="0"/>
              </w:numPr>
              <w:ind w:right="-2"/>
              <w:outlineLvl w:val="0"/>
              <w:rPr>
                <w:szCs w:val="22"/>
                <w:lang w:val="hu-HU" w:eastAsia="en-US"/>
              </w:rPr>
            </w:pPr>
            <w:r>
              <w:rPr>
                <w:szCs w:val="22"/>
                <w:lang w:val="hu-HU" w:eastAsia="en-US"/>
              </w:rPr>
              <w:t>Elicea Oro Tab 10 mg</w:t>
            </w:r>
          </w:p>
          <w:p w:rsidR="00716D93" w:rsidRDefault="00E10747">
            <w:pPr>
              <w:numPr>
                <w:ilvl w:val="12"/>
                <w:numId w:val="0"/>
              </w:numPr>
              <w:ind w:right="-2"/>
              <w:outlineLvl w:val="0"/>
              <w:rPr>
                <w:szCs w:val="22"/>
                <w:lang w:val="hu-HU" w:eastAsia="en-US"/>
              </w:rPr>
            </w:pPr>
            <w:r>
              <w:rPr>
                <w:szCs w:val="22"/>
                <w:lang w:val="hu-HU" w:eastAsia="en-US"/>
              </w:rPr>
              <w:lastRenderedPageBreak/>
              <w:t>Elicea Oro Tab 15 mg</w:t>
            </w:r>
          </w:p>
          <w:p w:rsidR="00716D93" w:rsidRDefault="00E10747">
            <w:pPr>
              <w:numPr>
                <w:ilvl w:val="12"/>
                <w:numId w:val="0"/>
              </w:numPr>
              <w:ind w:right="-2"/>
              <w:outlineLvl w:val="0"/>
              <w:rPr>
                <w:szCs w:val="22"/>
                <w:lang w:val="hu-HU" w:eastAsia="en-US"/>
              </w:rPr>
            </w:pPr>
            <w:r>
              <w:rPr>
                <w:szCs w:val="22"/>
                <w:lang w:val="hu-HU" w:eastAsia="en-US"/>
              </w:rPr>
              <w:t>Elicea Oro Tab 20 mg</w:t>
            </w:r>
          </w:p>
        </w:tc>
      </w:tr>
      <w:tr w:rsidR="00716D93">
        <w:trPr>
          <w:trHeight w:val="261"/>
        </w:trPr>
        <w:tc>
          <w:tcPr>
            <w:tcW w:w="1998" w:type="dxa"/>
          </w:tcPr>
          <w:p w:rsidR="00716D93" w:rsidRDefault="00E10747">
            <w:pPr>
              <w:numPr>
                <w:ilvl w:val="12"/>
                <w:numId w:val="0"/>
              </w:numPr>
              <w:ind w:right="-2"/>
              <w:outlineLvl w:val="0"/>
              <w:rPr>
                <w:szCs w:val="22"/>
                <w:lang w:val="hu-HU" w:eastAsia="en-US"/>
              </w:rPr>
            </w:pPr>
            <w:r>
              <w:rPr>
                <w:szCs w:val="22"/>
                <w:lang w:val="hu-HU" w:eastAsia="en-US"/>
              </w:rPr>
              <w:lastRenderedPageBreak/>
              <w:t>Észtország</w:t>
            </w:r>
          </w:p>
        </w:tc>
        <w:tc>
          <w:tcPr>
            <w:tcW w:w="4860" w:type="dxa"/>
          </w:tcPr>
          <w:p w:rsidR="00716D93" w:rsidRDefault="00E10747">
            <w:pPr>
              <w:numPr>
                <w:ilvl w:val="12"/>
                <w:numId w:val="0"/>
              </w:numPr>
              <w:ind w:right="-2"/>
              <w:outlineLvl w:val="0"/>
              <w:rPr>
                <w:szCs w:val="22"/>
                <w:lang w:val="en-GB"/>
              </w:rPr>
            </w:pPr>
            <w:r>
              <w:rPr>
                <w:szCs w:val="22"/>
                <w:lang w:val="en-GB"/>
              </w:rPr>
              <w:t>Elicea Q-Tab 5 mg</w:t>
            </w:r>
          </w:p>
          <w:p w:rsidR="00716D93" w:rsidRDefault="00E10747">
            <w:pPr>
              <w:numPr>
                <w:ilvl w:val="12"/>
                <w:numId w:val="0"/>
              </w:numPr>
              <w:ind w:right="-2"/>
              <w:outlineLvl w:val="0"/>
              <w:rPr>
                <w:szCs w:val="22"/>
                <w:lang w:val="en-GB"/>
              </w:rPr>
            </w:pPr>
            <w:r>
              <w:rPr>
                <w:szCs w:val="22"/>
                <w:lang w:val="en-GB"/>
              </w:rPr>
              <w:t>Elicea Q-Tab 10 mg</w:t>
            </w:r>
          </w:p>
          <w:p w:rsidR="00716D93" w:rsidRDefault="00E10747">
            <w:pPr>
              <w:numPr>
                <w:ilvl w:val="12"/>
                <w:numId w:val="0"/>
              </w:numPr>
              <w:ind w:right="-2"/>
              <w:outlineLvl w:val="0"/>
              <w:rPr>
                <w:szCs w:val="22"/>
                <w:lang w:val="en-GB"/>
              </w:rPr>
            </w:pPr>
            <w:r>
              <w:rPr>
                <w:szCs w:val="22"/>
                <w:lang w:val="en-GB"/>
              </w:rPr>
              <w:t>Elicea Q-Tab 15 mg</w:t>
            </w:r>
          </w:p>
          <w:p w:rsidR="00716D93" w:rsidRDefault="00E10747">
            <w:pPr>
              <w:numPr>
                <w:ilvl w:val="12"/>
                <w:numId w:val="0"/>
              </w:numPr>
              <w:ind w:right="-2"/>
              <w:outlineLvl w:val="0"/>
              <w:rPr>
                <w:b/>
                <w:szCs w:val="22"/>
                <w:lang w:val="hu-HU" w:eastAsia="en-US"/>
              </w:rPr>
            </w:pPr>
            <w:r>
              <w:rPr>
                <w:szCs w:val="22"/>
                <w:lang w:val="en-GB"/>
              </w:rPr>
              <w:t>Elicea Q-Tab 20 mg</w:t>
            </w:r>
          </w:p>
        </w:tc>
      </w:tr>
      <w:tr w:rsidR="00716D93">
        <w:trPr>
          <w:trHeight w:val="261"/>
        </w:trPr>
        <w:tc>
          <w:tcPr>
            <w:tcW w:w="1998" w:type="dxa"/>
          </w:tcPr>
          <w:p w:rsidR="00716D93" w:rsidRDefault="00E10747">
            <w:pPr>
              <w:numPr>
                <w:ilvl w:val="12"/>
                <w:numId w:val="0"/>
              </w:numPr>
              <w:ind w:right="-2"/>
              <w:outlineLvl w:val="0"/>
              <w:rPr>
                <w:szCs w:val="22"/>
                <w:lang w:val="hu-HU" w:eastAsia="en-US"/>
              </w:rPr>
            </w:pPr>
            <w:r>
              <w:rPr>
                <w:szCs w:val="22"/>
                <w:lang w:val="hu-HU" w:eastAsia="en-US"/>
              </w:rPr>
              <w:t>Magyarország</w:t>
            </w:r>
          </w:p>
        </w:tc>
        <w:tc>
          <w:tcPr>
            <w:tcW w:w="4860" w:type="dxa"/>
          </w:tcPr>
          <w:p w:rsidR="00716D93" w:rsidRDefault="00E10747">
            <w:pPr>
              <w:numPr>
                <w:ilvl w:val="12"/>
                <w:numId w:val="0"/>
              </w:numPr>
              <w:ind w:right="-2"/>
              <w:outlineLvl w:val="0"/>
              <w:rPr>
                <w:szCs w:val="22"/>
                <w:lang w:val="en-GB"/>
              </w:rPr>
            </w:pPr>
            <w:r>
              <w:rPr>
                <w:szCs w:val="22"/>
                <w:lang w:val="en-GB"/>
              </w:rPr>
              <w:t>Elicea Q-Tab 5 mg</w:t>
            </w:r>
          </w:p>
          <w:p w:rsidR="00716D93" w:rsidRDefault="00E10747">
            <w:pPr>
              <w:numPr>
                <w:ilvl w:val="12"/>
                <w:numId w:val="0"/>
              </w:numPr>
              <w:ind w:right="-2"/>
              <w:outlineLvl w:val="0"/>
              <w:rPr>
                <w:szCs w:val="22"/>
                <w:lang w:val="en-GB"/>
              </w:rPr>
            </w:pPr>
            <w:r>
              <w:rPr>
                <w:szCs w:val="22"/>
                <w:lang w:val="en-GB"/>
              </w:rPr>
              <w:t>Elicea Q-Tab 10 mg</w:t>
            </w:r>
          </w:p>
          <w:p w:rsidR="00716D93" w:rsidRDefault="00E10747">
            <w:pPr>
              <w:numPr>
                <w:ilvl w:val="12"/>
                <w:numId w:val="0"/>
              </w:numPr>
              <w:ind w:right="-2"/>
              <w:outlineLvl w:val="0"/>
              <w:rPr>
                <w:szCs w:val="22"/>
                <w:lang w:val="en-GB"/>
              </w:rPr>
            </w:pPr>
            <w:r>
              <w:rPr>
                <w:szCs w:val="22"/>
                <w:lang w:val="en-GB"/>
              </w:rPr>
              <w:t>Elicea Q-Tab 15 mg</w:t>
            </w:r>
          </w:p>
          <w:p w:rsidR="00716D93" w:rsidRDefault="00E10747">
            <w:pPr>
              <w:numPr>
                <w:ilvl w:val="12"/>
                <w:numId w:val="0"/>
              </w:numPr>
              <w:ind w:right="-2"/>
              <w:outlineLvl w:val="0"/>
              <w:rPr>
                <w:szCs w:val="22"/>
                <w:lang w:val="hu-HU" w:eastAsia="en-US"/>
              </w:rPr>
            </w:pPr>
            <w:r>
              <w:rPr>
                <w:szCs w:val="22"/>
                <w:lang w:val="en-GB"/>
              </w:rPr>
              <w:t>Elicea Q-Tab 20 mg</w:t>
            </w:r>
          </w:p>
        </w:tc>
      </w:tr>
      <w:tr w:rsidR="00716D93">
        <w:trPr>
          <w:trHeight w:val="261"/>
        </w:trPr>
        <w:tc>
          <w:tcPr>
            <w:tcW w:w="1998" w:type="dxa"/>
          </w:tcPr>
          <w:p w:rsidR="00716D93" w:rsidRDefault="00E10747">
            <w:pPr>
              <w:numPr>
                <w:ilvl w:val="12"/>
                <w:numId w:val="0"/>
              </w:numPr>
              <w:ind w:right="-2"/>
              <w:outlineLvl w:val="0"/>
              <w:rPr>
                <w:szCs w:val="22"/>
                <w:lang w:val="hu-HU" w:eastAsia="en-US"/>
              </w:rPr>
            </w:pPr>
            <w:r>
              <w:rPr>
                <w:szCs w:val="22"/>
                <w:lang w:val="hu-HU" w:eastAsia="en-US"/>
              </w:rPr>
              <w:t>Lengyelország</w:t>
            </w:r>
          </w:p>
        </w:tc>
        <w:tc>
          <w:tcPr>
            <w:tcW w:w="4860" w:type="dxa"/>
          </w:tcPr>
          <w:p w:rsidR="00716D93" w:rsidRDefault="00E10747">
            <w:pPr>
              <w:numPr>
                <w:ilvl w:val="12"/>
                <w:numId w:val="0"/>
              </w:numPr>
              <w:ind w:right="-2"/>
              <w:outlineLvl w:val="0"/>
              <w:rPr>
                <w:szCs w:val="22"/>
                <w:lang w:val="hu-HU" w:eastAsia="en-US"/>
              </w:rPr>
            </w:pPr>
            <w:r>
              <w:rPr>
                <w:szCs w:val="22"/>
                <w:lang w:val="en-GB"/>
              </w:rPr>
              <w:t xml:space="preserve">Elicea Q-Tab </w:t>
            </w:r>
          </w:p>
        </w:tc>
      </w:tr>
      <w:tr w:rsidR="00716D93">
        <w:trPr>
          <w:trHeight w:val="261"/>
        </w:trPr>
        <w:tc>
          <w:tcPr>
            <w:tcW w:w="1998" w:type="dxa"/>
          </w:tcPr>
          <w:p w:rsidR="00716D93" w:rsidRDefault="00E10747">
            <w:pPr>
              <w:numPr>
                <w:ilvl w:val="12"/>
                <w:numId w:val="0"/>
              </w:numPr>
              <w:ind w:right="-2"/>
              <w:outlineLvl w:val="0"/>
              <w:rPr>
                <w:szCs w:val="22"/>
                <w:lang w:val="hu-HU" w:eastAsia="en-US"/>
              </w:rPr>
            </w:pPr>
            <w:r>
              <w:rPr>
                <w:szCs w:val="22"/>
                <w:lang w:val="hu-HU" w:eastAsia="en-US"/>
              </w:rPr>
              <w:t>Litvánia</w:t>
            </w:r>
          </w:p>
        </w:tc>
        <w:tc>
          <w:tcPr>
            <w:tcW w:w="4860" w:type="dxa"/>
          </w:tcPr>
          <w:p w:rsidR="00716D93" w:rsidRDefault="00E10747">
            <w:pPr>
              <w:rPr>
                <w:szCs w:val="22"/>
                <w:lang w:val="en-GB"/>
              </w:rPr>
            </w:pPr>
            <w:r>
              <w:rPr>
                <w:szCs w:val="22"/>
                <w:lang w:val="en-GB"/>
              </w:rPr>
              <w:t xml:space="preserve">Elicea Q-Tab 5 mg </w:t>
            </w:r>
            <w:r>
              <w:rPr>
                <w:szCs w:val="22"/>
              </w:rPr>
              <w:t>burnoje disperguojamosios tabletés</w:t>
            </w:r>
          </w:p>
          <w:p w:rsidR="00716D93" w:rsidRDefault="00E10747">
            <w:pPr>
              <w:rPr>
                <w:szCs w:val="22"/>
              </w:rPr>
            </w:pPr>
            <w:r>
              <w:rPr>
                <w:szCs w:val="22"/>
                <w:lang w:val="en-GB"/>
              </w:rPr>
              <w:t xml:space="preserve">Elicea Q-Tab 10 mg </w:t>
            </w:r>
            <w:r>
              <w:rPr>
                <w:szCs w:val="22"/>
              </w:rPr>
              <w:t>burnoje disperguojamosios tabletés</w:t>
            </w:r>
          </w:p>
          <w:p w:rsidR="00716D93" w:rsidRDefault="00E10747">
            <w:pPr>
              <w:rPr>
                <w:bCs/>
                <w:szCs w:val="22"/>
                <w:lang w:val="sk-SK"/>
              </w:rPr>
            </w:pPr>
            <w:r>
              <w:rPr>
                <w:szCs w:val="22"/>
                <w:lang w:val="en-GB"/>
              </w:rPr>
              <w:t xml:space="preserve">Elicea Q-Tab 15 mg </w:t>
            </w:r>
            <w:r>
              <w:rPr>
                <w:szCs w:val="22"/>
              </w:rPr>
              <w:t>burnoje disperguojamosios tabletés</w:t>
            </w:r>
          </w:p>
          <w:p w:rsidR="00716D93" w:rsidRDefault="00E10747">
            <w:pPr>
              <w:numPr>
                <w:ilvl w:val="12"/>
                <w:numId w:val="0"/>
              </w:numPr>
              <w:ind w:right="-2"/>
              <w:outlineLvl w:val="0"/>
              <w:rPr>
                <w:szCs w:val="22"/>
                <w:lang w:val="hu-HU" w:eastAsia="en-US"/>
              </w:rPr>
            </w:pPr>
            <w:r>
              <w:rPr>
                <w:szCs w:val="22"/>
                <w:lang w:val="en-GB"/>
              </w:rPr>
              <w:t xml:space="preserve">Elicea Q-Tab 20 mg </w:t>
            </w:r>
            <w:r>
              <w:rPr>
                <w:szCs w:val="22"/>
              </w:rPr>
              <w:t>burnoje disperguojamosios tabletés</w:t>
            </w:r>
          </w:p>
        </w:tc>
      </w:tr>
      <w:tr w:rsidR="00716D93">
        <w:trPr>
          <w:trHeight w:val="261"/>
        </w:trPr>
        <w:tc>
          <w:tcPr>
            <w:tcW w:w="1998" w:type="dxa"/>
          </w:tcPr>
          <w:p w:rsidR="00716D93" w:rsidRDefault="00E10747">
            <w:pPr>
              <w:numPr>
                <w:ilvl w:val="12"/>
                <w:numId w:val="0"/>
              </w:numPr>
              <w:ind w:right="-2"/>
              <w:outlineLvl w:val="0"/>
              <w:rPr>
                <w:szCs w:val="22"/>
                <w:lang w:val="hu-HU" w:eastAsia="en-US"/>
              </w:rPr>
            </w:pPr>
            <w:r>
              <w:rPr>
                <w:szCs w:val="22"/>
                <w:lang w:val="hu-HU" w:eastAsia="en-US"/>
              </w:rPr>
              <w:t>Szlovákia</w:t>
            </w:r>
          </w:p>
        </w:tc>
        <w:tc>
          <w:tcPr>
            <w:tcW w:w="4860" w:type="dxa"/>
          </w:tcPr>
          <w:p w:rsidR="00716D93" w:rsidRDefault="00E10747">
            <w:pPr>
              <w:rPr>
                <w:szCs w:val="22"/>
                <w:lang w:val="en-GB"/>
              </w:rPr>
            </w:pPr>
            <w:r>
              <w:rPr>
                <w:szCs w:val="22"/>
                <w:lang w:val="en-GB"/>
              </w:rPr>
              <w:t xml:space="preserve">Elicea Q-Tab 5 mg </w:t>
            </w:r>
            <w:r>
              <w:rPr>
                <w:bCs/>
                <w:szCs w:val="22"/>
                <w:lang w:val="sk-SK"/>
              </w:rPr>
              <w:t>orodispergovateľné tablety</w:t>
            </w:r>
          </w:p>
          <w:p w:rsidR="00716D93" w:rsidRDefault="00E10747">
            <w:pPr>
              <w:rPr>
                <w:szCs w:val="22"/>
                <w:lang w:val="en-GB"/>
              </w:rPr>
            </w:pPr>
            <w:r>
              <w:rPr>
                <w:szCs w:val="22"/>
                <w:lang w:val="en-GB"/>
              </w:rPr>
              <w:t xml:space="preserve">Elicea Q-Tab 10 mg </w:t>
            </w:r>
            <w:r>
              <w:rPr>
                <w:bCs/>
                <w:szCs w:val="22"/>
                <w:lang w:val="sk-SK"/>
              </w:rPr>
              <w:t>orodispergovateľné tablety</w:t>
            </w:r>
            <w:r>
              <w:rPr>
                <w:szCs w:val="22"/>
                <w:lang w:val="en-GB"/>
              </w:rPr>
              <w:t xml:space="preserve"> </w:t>
            </w:r>
          </w:p>
          <w:p w:rsidR="00716D93" w:rsidRDefault="00E10747">
            <w:pPr>
              <w:rPr>
                <w:bCs/>
                <w:szCs w:val="22"/>
                <w:lang w:val="sk-SK"/>
              </w:rPr>
            </w:pPr>
            <w:r>
              <w:rPr>
                <w:szCs w:val="22"/>
                <w:lang w:val="en-GB"/>
              </w:rPr>
              <w:t xml:space="preserve">Elicea Q-Tab 15 mg </w:t>
            </w:r>
            <w:r>
              <w:rPr>
                <w:bCs/>
                <w:szCs w:val="22"/>
                <w:lang w:val="sk-SK"/>
              </w:rPr>
              <w:t>orodispergovateľné tablety</w:t>
            </w:r>
          </w:p>
          <w:p w:rsidR="00716D93" w:rsidRDefault="00E10747">
            <w:pPr>
              <w:rPr>
                <w:szCs w:val="22"/>
                <w:lang w:val="hu-HU" w:eastAsia="en-US"/>
              </w:rPr>
            </w:pPr>
            <w:r>
              <w:rPr>
                <w:szCs w:val="22"/>
                <w:lang w:val="en-GB"/>
              </w:rPr>
              <w:t xml:space="preserve">Elicea Q-Tab 20 mg </w:t>
            </w:r>
            <w:r>
              <w:rPr>
                <w:bCs/>
                <w:szCs w:val="22"/>
                <w:lang w:val="sk-SK"/>
              </w:rPr>
              <w:t>orodispergovateľné tablety</w:t>
            </w:r>
          </w:p>
        </w:tc>
      </w:tr>
    </w:tbl>
    <w:p w:rsidR="00716D93" w:rsidRDefault="00716D93">
      <w:pPr>
        <w:numPr>
          <w:ilvl w:val="12"/>
          <w:numId w:val="0"/>
        </w:numPr>
        <w:ind w:right="-2"/>
        <w:outlineLvl w:val="0"/>
        <w:rPr>
          <w:szCs w:val="22"/>
          <w:lang w:val="hu-HU" w:eastAsia="en-US"/>
        </w:rPr>
      </w:pPr>
    </w:p>
    <w:p w:rsidR="00716D93" w:rsidRDefault="00E10747">
      <w:pPr>
        <w:autoSpaceDE w:val="0"/>
        <w:autoSpaceDN w:val="0"/>
        <w:adjustRightInd w:val="0"/>
        <w:jc w:val="both"/>
        <w:rPr>
          <w:bCs/>
          <w:color w:val="000000"/>
          <w:szCs w:val="22"/>
          <w:u w:val="single"/>
          <w:lang w:val="hu-HU" w:eastAsia="hu-HU"/>
        </w:rPr>
      </w:pPr>
      <w:r>
        <w:rPr>
          <w:bCs/>
          <w:color w:val="000000"/>
          <w:szCs w:val="22"/>
          <w:u w:val="single"/>
          <w:lang w:val="hu-HU" w:eastAsia="hu-HU"/>
        </w:rPr>
        <w:t>Elicea Q-Tab 5 mg szájban diszpergálódó tabletta</w:t>
      </w:r>
    </w:p>
    <w:p w:rsidR="00716D93" w:rsidRDefault="00E10747">
      <w:pPr>
        <w:tabs>
          <w:tab w:val="left" w:pos="720"/>
          <w:tab w:val="left" w:pos="1440"/>
          <w:tab w:val="left" w:pos="2160"/>
          <w:tab w:val="left" w:pos="2268"/>
          <w:tab w:val="left" w:pos="3119"/>
          <w:tab w:val="left" w:pos="3600"/>
          <w:tab w:val="left" w:pos="6600"/>
        </w:tabs>
        <w:autoSpaceDE w:val="0"/>
        <w:autoSpaceDN w:val="0"/>
        <w:adjustRightInd w:val="0"/>
        <w:jc w:val="both"/>
        <w:rPr>
          <w:bCs/>
          <w:color w:val="000000"/>
          <w:szCs w:val="22"/>
          <w:lang w:val="hu-HU" w:eastAsia="hu-HU"/>
        </w:rPr>
      </w:pPr>
      <w:r>
        <w:rPr>
          <w:bCs/>
          <w:color w:val="000000"/>
          <w:szCs w:val="22"/>
          <w:lang w:val="hu-HU" w:eastAsia="hu-HU"/>
        </w:rPr>
        <w:t>OGYI-T-21108/13</w:t>
      </w:r>
      <w:r>
        <w:rPr>
          <w:bCs/>
          <w:color w:val="000000"/>
          <w:szCs w:val="22"/>
          <w:lang w:val="hu-HU" w:eastAsia="hu-HU"/>
        </w:rPr>
        <w:tab/>
        <w:t>28×</w:t>
      </w:r>
      <w:r>
        <w:rPr>
          <w:bCs/>
          <w:color w:val="000000"/>
          <w:szCs w:val="22"/>
          <w:lang w:val="hu-HU" w:eastAsia="hu-HU"/>
        </w:rPr>
        <w:tab/>
        <w:t>OPA/Al/PVC//papír/PET/Al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OGYI-T-21108/14</w:t>
      </w:r>
      <w:r>
        <w:rPr>
          <w:bCs/>
          <w:color w:val="000000"/>
          <w:szCs w:val="22"/>
          <w:lang w:val="hu-HU" w:eastAsia="hu-HU"/>
        </w:rPr>
        <w:tab/>
        <w:t>28×</w:t>
      </w:r>
      <w:r>
        <w:rPr>
          <w:bCs/>
          <w:color w:val="000000"/>
          <w:szCs w:val="22"/>
          <w:lang w:val="hu-HU" w:eastAsia="hu-HU"/>
        </w:rPr>
        <w:tab/>
        <w:t>OPA/Al/PVC//PET/Al buborékcsomagolás</w:t>
      </w:r>
    </w:p>
    <w:p w:rsidR="00716D93" w:rsidRDefault="00E10747">
      <w:pPr>
        <w:tabs>
          <w:tab w:val="left" w:pos="720"/>
          <w:tab w:val="left" w:pos="144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OGYI-T-21108/15</w:t>
      </w:r>
      <w:r>
        <w:rPr>
          <w:bCs/>
          <w:color w:val="000000"/>
          <w:szCs w:val="22"/>
          <w:lang w:val="hu-HU" w:eastAsia="hu-HU"/>
        </w:rPr>
        <w:tab/>
        <w:t>30×</w:t>
      </w:r>
      <w:r>
        <w:rPr>
          <w:bCs/>
          <w:color w:val="000000"/>
          <w:szCs w:val="22"/>
          <w:lang w:val="hu-HU" w:eastAsia="hu-HU"/>
        </w:rPr>
        <w:tab/>
        <w:t>OPA/Al/PVC//papír/PET/Al buborékcsomagolás</w:t>
      </w:r>
    </w:p>
    <w:p w:rsidR="00716D93" w:rsidRDefault="00E10747">
      <w:pPr>
        <w:tabs>
          <w:tab w:val="left" w:pos="720"/>
          <w:tab w:val="left" w:pos="144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OGYI-T-21108/16</w:t>
      </w:r>
      <w:r>
        <w:rPr>
          <w:bCs/>
          <w:color w:val="000000"/>
          <w:szCs w:val="22"/>
          <w:lang w:val="hu-HU" w:eastAsia="hu-HU"/>
        </w:rPr>
        <w:tab/>
        <w:t>30×</w:t>
      </w:r>
      <w:r>
        <w:rPr>
          <w:bCs/>
          <w:color w:val="000000"/>
          <w:szCs w:val="22"/>
          <w:lang w:val="hu-HU" w:eastAsia="hu-HU"/>
        </w:rPr>
        <w:tab/>
        <w:t>OPA/Al/PVC//PET/Al buborékcsomagolás</w:t>
      </w:r>
    </w:p>
    <w:p w:rsidR="00716D93" w:rsidRDefault="00E10747">
      <w:pPr>
        <w:tabs>
          <w:tab w:val="left" w:pos="720"/>
          <w:tab w:val="left" w:pos="144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OGYI-T-21108/17</w:t>
      </w:r>
      <w:r>
        <w:rPr>
          <w:bCs/>
          <w:color w:val="000000"/>
          <w:szCs w:val="22"/>
          <w:lang w:val="hu-HU" w:eastAsia="hu-HU"/>
        </w:rPr>
        <w:tab/>
        <w:t>56×</w:t>
      </w:r>
      <w:r>
        <w:rPr>
          <w:bCs/>
          <w:color w:val="000000"/>
          <w:szCs w:val="22"/>
          <w:lang w:val="hu-HU" w:eastAsia="hu-HU"/>
        </w:rPr>
        <w:tab/>
        <w:t>OPA/Al/PVC//papír/PET/Al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OGYI-T-21108/18</w:t>
      </w:r>
      <w:r>
        <w:rPr>
          <w:bCs/>
          <w:color w:val="000000"/>
          <w:szCs w:val="22"/>
          <w:lang w:val="hu-HU" w:eastAsia="hu-HU"/>
        </w:rPr>
        <w:tab/>
        <w:t>56×</w:t>
      </w:r>
      <w:r>
        <w:rPr>
          <w:bCs/>
          <w:color w:val="000000"/>
          <w:szCs w:val="22"/>
          <w:lang w:val="hu-HU" w:eastAsia="hu-HU"/>
        </w:rPr>
        <w:tab/>
        <w:t>OPA/Al/PVC//PET/Al buborékcsomagolás</w:t>
      </w:r>
    </w:p>
    <w:p w:rsidR="00716D93" w:rsidRDefault="00E10747">
      <w:pPr>
        <w:tabs>
          <w:tab w:val="left" w:pos="720"/>
          <w:tab w:val="left" w:pos="144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OGYI-T-21108/19</w:t>
      </w:r>
      <w:r>
        <w:rPr>
          <w:bCs/>
          <w:color w:val="000000"/>
          <w:szCs w:val="22"/>
          <w:lang w:val="hu-HU" w:eastAsia="hu-HU"/>
        </w:rPr>
        <w:tab/>
        <w:t>60×</w:t>
      </w:r>
      <w:r>
        <w:rPr>
          <w:bCs/>
          <w:color w:val="000000"/>
          <w:szCs w:val="22"/>
          <w:lang w:val="hu-HU" w:eastAsia="hu-HU"/>
        </w:rPr>
        <w:tab/>
        <w:t>OPA/Al/PVC//papír/PET/Al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OGYI-T-21108/20</w:t>
      </w:r>
      <w:r>
        <w:rPr>
          <w:bCs/>
          <w:color w:val="000000"/>
          <w:szCs w:val="22"/>
          <w:lang w:val="hu-HU" w:eastAsia="hu-HU"/>
        </w:rPr>
        <w:tab/>
        <w:t>60×</w:t>
      </w:r>
      <w:r>
        <w:rPr>
          <w:bCs/>
          <w:color w:val="000000"/>
          <w:szCs w:val="22"/>
          <w:lang w:val="hu-HU" w:eastAsia="hu-HU"/>
        </w:rPr>
        <w:tab/>
        <w:t>OPA/Al/PVC//PET/Al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OGYI-T-21108/21</w:t>
      </w:r>
      <w:r>
        <w:rPr>
          <w:bCs/>
          <w:color w:val="000000"/>
          <w:szCs w:val="22"/>
          <w:lang w:val="hu-HU" w:eastAsia="hu-HU"/>
        </w:rPr>
        <w:tab/>
        <w:t>84×</w:t>
      </w:r>
      <w:r>
        <w:rPr>
          <w:bCs/>
          <w:color w:val="000000"/>
          <w:szCs w:val="22"/>
          <w:lang w:val="hu-HU" w:eastAsia="hu-HU"/>
        </w:rPr>
        <w:tab/>
        <w:t>OPA/Al/PVC//papír/PET/Al buborékcsomagolás</w:t>
      </w:r>
    </w:p>
    <w:p w:rsidR="00716D93" w:rsidRDefault="00E10747">
      <w:pPr>
        <w:tabs>
          <w:tab w:val="left" w:pos="720"/>
          <w:tab w:val="left" w:pos="144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OGYI-T-21108/22</w:t>
      </w:r>
      <w:r>
        <w:rPr>
          <w:bCs/>
          <w:color w:val="000000"/>
          <w:szCs w:val="22"/>
          <w:lang w:val="hu-HU" w:eastAsia="hu-HU"/>
        </w:rPr>
        <w:tab/>
        <w:t>84×</w:t>
      </w:r>
      <w:r>
        <w:rPr>
          <w:bCs/>
          <w:color w:val="000000"/>
          <w:szCs w:val="22"/>
          <w:lang w:val="hu-HU" w:eastAsia="hu-HU"/>
        </w:rPr>
        <w:tab/>
        <w:t>OPA/Al/PVC//PET/Al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OGYI-T-21108/23</w:t>
      </w:r>
      <w:r>
        <w:rPr>
          <w:bCs/>
          <w:color w:val="000000"/>
          <w:szCs w:val="22"/>
          <w:lang w:val="hu-HU" w:eastAsia="hu-HU"/>
        </w:rPr>
        <w:tab/>
        <w:t>90×</w:t>
      </w:r>
      <w:r>
        <w:rPr>
          <w:bCs/>
          <w:color w:val="000000"/>
          <w:szCs w:val="22"/>
          <w:lang w:val="hu-HU" w:eastAsia="hu-HU"/>
        </w:rPr>
        <w:tab/>
        <w:t>OPA/Al/PVC//papír/PET/Al buborékcsomagolás</w:t>
      </w:r>
    </w:p>
    <w:p w:rsidR="00716D93" w:rsidRDefault="00E10747">
      <w:pPr>
        <w:tabs>
          <w:tab w:val="left" w:pos="720"/>
          <w:tab w:val="left" w:pos="2160"/>
          <w:tab w:val="left" w:pos="2268"/>
          <w:tab w:val="left" w:pos="3119"/>
          <w:tab w:val="left" w:pos="3600"/>
          <w:tab w:val="left" w:pos="4560"/>
          <w:tab w:val="left" w:pos="6600"/>
        </w:tabs>
        <w:autoSpaceDE w:val="0"/>
        <w:autoSpaceDN w:val="0"/>
        <w:adjustRightInd w:val="0"/>
        <w:jc w:val="both"/>
        <w:rPr>
          <w:bCs/>
          <w:color w:val="000000"/>
          <w:szCs w:val="22"/>
          <w:lang w:val="hu-HU" w:eastAsia="hu-HU"/>
        </w:rPr>
      </w:pPr>
      <w:r>
        <w:rPr>
          <w:bCs/>
          <w:color w:val="000000"/>
          <w:szCs w:val="22"/>
          <w:lang w:val="hu-HU" w:eastAsia="hu-HU"/>
        </w:rPr>
        <w:t>OGYI-T-21108/24</w:t>
      </w:r>
      <w:r>
        <w:rPr>
          <w:bCs/>
          <w:color w:val="000000"/>
          <w:szCs w:val="22"/>
          <w:lang w:val="hu-HU" w:eastAsia="hu-HU"/>
        </w:rPr>
        <w:tab/>
        <w:t>90×</w:t>
      </w:r>
      <w:r>
        <w:rPr>
          <w:bCs/>
          <w:color w:val="000000"/>
          <w:szCs w:val="22"/>
          <w:lang w:val="hu-HU" w:eastAsia="hu-HU"/>
        </w:rPr>
        <w:tab/>
        <w:t>OPA/Al/PVC//PET/Al buborékcsomagolás</w:t>
      </w:r>
    </w:p>
    <w:p w:rsidR="00716D93" w:rsidRDefault="00716D93">
      <w:pPr>
        <w:tabs>
          <w:tab w:val="left" w:pos="1440"/>
          <w:tab w:val="left" w:pos="4560"/>
          <w:tab w:val="left" w:pos="6600"/>
        </w:tabs>
        <w:autoSpaceDE w:val="0"/>
        <w:autoSpaceDN w:val="0"/>
        <w:adjustRightInd w:val="0"/>
        <w:jc w:val="both"/>
        <w:rPr>
          <w:b/>
          <w:bCs/>
          <w:color w:val="000000"/>
          <w:szCs w:val="22"/>
          <w:lang w:val="hu-HU" w:eastAsia="hu-HU"/>
        </w:rPr>
      </w:pPr>
    </w:p>
    <w:p w:rsidR="00716D93" w:rsidRDefault="00E10747">
      <w:pPr>
        <w:autoSpaceDE w:val="0"/>
        <w:autoSpaceDN w:val="0"/>
        <w:adjustRightInd w:val="0"/>
        <w:jc w:val="both"/>
        <w:rPr>
          <w:bCs/>
          <w:color w:val="000000"/>
          <w:szCs w:val="22"/>
          <w:u w:val="single"/>
          <w:lang w:val="hu-HU" w:eastAsia="hu-HU"/>
        </w:rPr>
      </w:pPr>
      <w:r>
        <w:rPr>
          <w:bCs/>
          <w:color w:val="000000"/>
          <w:szCs w:val="22"/>
          <w:u w:val="single"/>
          <w:lang w:val="hu-HU" w:eastAsia="hu-HU"/>
        </w:rPr>
        <w:t>Elicea Q-Tab 10 mg szájban diszpergálódó tabletta</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OGYI-T-21108/25</w:t>
      </w:r>
      <w:r>
        <w:rPr>
          <w:bCs/>
          <w:color w:val="000000"/>
          <w:szCs w:val="22"/>
          <w:lang w:val="hu-HU" w:eastAsia="hu-HU"/>
        </w:rPr>
        <w:tab/>
        <w:t>28×</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OGYI-T-21108/26</w:t>
      </w:r>
      <w:r>
        <w:rPr>
          <w:bCs/>
          <w:color w:val="000000"/>
          <w:szCs w:val="22"/>
          <w:lang w:val="hu-HU" w:eastAsia="hu-HU"/>
        </w:rPr>
        <w:tab/>
        <w:t>28×</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OGYI-T-21108/27</w:t>
      </w:r>
      <w:r>
        <w:rPr>
          <w:bCs/>
          <w:color w:val="000000"/>
          <w:szCs w:val="22"/>
          <w:lang w:val="hu-HU" w:eastAsia="hu-HU"/>
        </w:rPr>
        <w:tab/>
        <w:t>30×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OGYI-T-21108/28</w:t>
      </w:r>
      <w:r>
        <w:rPr>
          <w:bCs/>
          <w:color w:val="000000"/>
          <w:szCs w:val="22"/>
          <w:lang w:val="hu-HU" w:eastAsia="hu-HU"/>
        </w:rPr>
        <w:tab/>
        <w:t>30×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OGYI-T-21108/29</w:t>
      </w:r>
      <w:r>
        <w:rPr>
          <w:bCs/>
          <w:color w:val="000000"/>
          <w:szCs w:val="22"/>
          <w:lang w:val="hu-HU" w:eastAsia="hu-HU"/>
        </w:rPr>
        <w:tab/>
        <w:t>56×</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OGYI-T-21108/30</w:t>
      </w:r>
      <w:r>
        <w:rPr>
          <w:bCs/>
          <w:color w:val="000000"/>
          <w:szCs w:val="22"/>
          <w:lang w:val="hu-HU" w:eastAsia="hu-HU"/>
        </w:rPr>
        <w:tab/>
        <w:t>56×</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OGYI-T-21108/31</w:t>
      </w:r>
      <w:r>
        <w:rPr>
          <w:bCs/>
          <w:color w:val="000000"/>
          <w:szCs w:val="22"/>
          <w:lang w:val="hu-HU" w:eastAsia="hu-HU"/>
        </w:rPr>
        <w:tab/>
        <w:t>60×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OGYI-T-21108/32</w:t>
      </w:r>
      <w:r>
        <w:rPr>
          <w:bCs/>
          <w:color w:val="000000"/>
          <w:szCs w:val="22"/>
          <w:lang w:val="hu-HU" w:eastAsia="hu-HU"/>
        </w:rPr>
        <w:tab/>
        <w:t>60×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OGYI-T-21108/33</w:t>
      </w:r>
      <w:r>
        <w:rPr>
          <w:bCs/>
          <w:color w:val="000000"/>
          <w:szCs w:val="22"/>
          <w:lang w:val="hu-HU" w:eastAsia="hu-HU"/>
        </w:rPr>
        <w:tab/>
        <w:t>84×</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OGYI-T-21108/34</w:t>
      </w:r>
      <w:r>
        <w:rPr>
          <w:bCs/>
          <w:color w:val="000000"/>
          <w:szCs w:val="22"/>
          <w:lang w:val="hu-HU" w:eastAsia="hu-HU"/>
        </w:rPr>
        <w:tab/>
        <w:t>84×</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OGYI-T-21108/35</w:t>
      </w:r>
      <w:r>
        <w:rPr>
          <w:bCs/>
          <w:color w:val="000000"/>
          <w:szCs w:val="22"/>
          <w:lang w:val="hu-HU" w:eastAsia="hu-HU"/>
        </w:rPr>
        <w:tab/>
        <w:t>90×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OGYI-T-21108/36</w:t>
      </w:r>
      <w:r>
        <w:rPr>
          <w:bCs/>
          <w:color w:val="000000"/>
          <w:szCs w:val="22"/>
          <w:lang w:val="hu-HU" w:eastAsia="hu-HU"/>
        </w:rPr>
        <w:tab/>
        <w:t>90×</w:t>
      </w:r>
      <w:r>
        <w:rPr>
          <w:bCs/>
          <w:color w:val="000000"/>
          <w:szCs w:val="22"/>
          <w:lang w:val="hu-HU" w:eastAsia="hu-HU"/>
        </w:rPr>
        <w:tab/>
        <w:t>OPA/Al/PVC//PET/Al buborékcsomagolás</w:t>
      </w:r>
    </w:p>
    <w:p w:rsidR="00716D93" w:rsidRDefault="00716D93">
      <w:pPr>
        <w:tabs>
          <w:tab w:val="left" w:pos="1440"/>
          <w:tab w:val="left" w:pos="4560"/>
          <w:tab w:val="left" w:pos="6600"/>
        </w:tabs>
        <w:autoSpaceDE w:val="0"/>
        <w:autoSpaceDN w:val="0"/>
        <w:adjustRightInd w:val="0"/>
        <w:jc w:val="both"/>
        <w:rPr>
          <w:b/>
          <w:bCs/>
          <w:color w:val="000000"/>
          <w:szCs w:val="22"/>
          <w:lang w:val="hu-HU" w:eastAsia="hu-HU"/>
        </w:rPr>
      </w:pPr>
    </w:p>
    <w:p w:rsidR="00716D93" w:rsidRDefault="00E10747">
      <w:pPr>
        <w:autoSpaceDE w:val="0"/>
        <w:autoSpaceDN w:val="0"/>
        <w:adjustRightInd w:val="0"/>
        <w:jc w:val="both"/>
        <w:rPr>
          <w:bCs/>
          <w:color w:val="000000"/>
          <w:szCs w:val="22"/>
          <w:u w:val="single"/>
          <w:lang w:val="hu-HU" w:eastAsia="hu-HU"/>
        </w:rPr>
      </w:pPr>
      <w:r>
        <w:rPr>
          <w:bCs/>
          <w:color w:val="000000"/>
          <w:szCs w:val="22"/>
          <w:u w:val="single"/>
          <w:lang w:val="hu-HU" w:eastAsia="hu-HU"/>
        </w:rPr>
        <w:t>Elicea Q-Tab 15 mg szájban diszpergálódó tabletta</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OGYI-T-21108/37</w:t>
      </w:r>
      <w:r>
        <w:rPr>
          <w:bCs/>
          <w:color w:val="000000"/>
          <w:szCs w:val="22"/>
          <w:lang w:val="hu-HU" w:eastAsia="hu-HU"/>
        </w:rPr>
        <w:tab/>
        <w:t>28×</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OGYI-T-21108/38</w:t>
      </w:r>
      <w:r>
        <w:rPr>
          <w:bCs/>
          <w:color w:val="000000"/>
          <w:szCs w:val="22"/>
          <w:lang w:val="hu-HU" w:eastAsia="hu-HU"/>
        </w:rPr>
        <w:tab/>
        <w:t>28×</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OGYI-T-21108/39</w:t>
      </w:r>
      <w:r>
        <w:rPr>
          <w:bCs/>
          <w:color w:val="000000"/>
          <w:szCs w:val="22"/>
          <w:lang w:val="hu-HU" w:eastAsia="hu-HU"/>
        </w:rPr>
        <w:tab/>
        <w:t>30×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OGYI-T-21108/40</w:t>
      </w:r>
      <w:r>
        <w:rPr>
          <w:bCs/>
          <w:color w:val="000000"/>
          <w:szCs w:val="22"/>
          <w:lang w:val="hu-HU" w:eastAsia="hu-HU"/>
        </w:rPr>
        <w:tab/>
        <w:t>30×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lastRenderedPageBreak/>
        <w:t>OGYI-T-21108/41</w:t>
      </w:r>
      <w:r>
        <w:rPr>
          <w:bCs/>
          <w:color w:val="000000"/>
          <w:szCs w:val="22"/>
          <w:lang w:val="hu-HU" w:eastAsia="hu-HU"/>
        </w:rPr>
        <w:tab/>
        <w:t>56×</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OGYI-T-21108/42</w:t>
      </w:r>
      <w:r>
        <w:rPr>
          <w:bCs/>
          <w:color w:val="000000"/>
          <w:szCs w:val="22"/>
          <w:lang w:val="hu-HU" w:eastAsia="hu-HU"/>
        </w:rPr>
        <w:tab/>
        <w:t>56×</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OGYI-T-21108/43</w:t>
      </w:r>
      <w:r>
        <w:rPr>
          <w:bCs/>
          <w:color w:val="000000"/>
          <w:szCs w:val="22"/>
          <w:lang w:val="hu-HU" w:eastAsia="hu-HU"/>
        </w:rPr>
        <w:tab/>
        <w:t>60×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OGYI-T-21108/44</w:t>
      </w:r>
      <w:r>
        <w:rPr>
          <w:bCs/>
          <w:color w:val="000000"/>
          <w:szCs w:val="22"/>
          <w:lang w:val="hu-HU" w:eastAsia="hu-HU"/>
        </w:rPr>
        <w:tab/>
        <w:t>60×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OGYI-T-21108/45</w:t>
      </w:r>
      <w:r>
        <w:rPr>
          <w:bCs/>
          <w:color w:val="000000"/>
          <w:szCs w:val="22"/>
          <w:lang w:val="hu-HU" w:eastAsia="hu-HU"/>
        </w:rPr>
        <w:tab/>
        <w:t>84×</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OGYI-T-21108/46</w:t>
      </w:r>
      <w:r>
        <w:rPr>
          <w:bCs/>
          <w:color w:val="000000"/>
          <w:szCs w:val="22"/>
          <w:lang w:val="hu-HU" w:eastAsia="hu-HU"/>
        </w:rPr>
        <w:tab/>
        <w:t>84×</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OGYI-T-21108/47</w:t>
      </w:r>
      <w:r>
        <w:rPr>
          <w:bCs/>
          <w:color w:val="000000"/>
          <w:szCs w:val="22"/>
          <w:lang w:val="hu-HU" w:eastAsia="hu-HU"/>
        </w:rPr>
        <w:tab/>
        <w:t>90×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OGYI-T-21108/48</w:t>
      </w:r>
      <w:r>
        <w:rPr>
          <w:bCs/>
          <w:color w:val="000000"/>
          <w:szCs w:val="22"/>
          <w:lang w:val="hu-HU" w:eastAsia="hu-HU"/>
        </w:rPr>
        <w:tab/>
        <w:t>90×</w:t>
      </w:r>
      <w:r>
        <w:rPr>
          <w:bCs/>
          <w:color w:val="000000"/>
          <w:szCs w:val="22"/>
          <w:lang w:val="hu-HU" w:eastAsia="hu-HU"/>
        </w:rPr>
        <w:tab/>
        <w:t>OPA/Al/PVC//PET/Al buborékcsomagolás</w:t>
      </w:r>
    </w:p>
    <w:p w:rsidR="00716D93" w:rsidRDefault="00716D93">
      <w:pPr>
        <w:tabs>
          <w:tab w:val="left" w:pos="1440"/>
          <w:tab w:val="left" w:pos="2268"/>
          <w:tab w:val="left" w:pos="3119"/>
        </w:tabs>
        <w:autoSpaceDE w:val="0"/>
        <w:autoSpaceDN w:val="0"/>
        <w:adjustRightInd w:val="0"/>
        <w:jc w:val="both"/>
        <w:rPr>
          <w:b/>
          <w:bCs/>
          <w:color w:val="000000"/>
          <w:szCs w:val="22"/>
          <w:lang w:val="hu-HU" w:eastAsia="hu-HU"/>
        </w:rPr>
      </w:pPr>
    </w:p>
    <w:p w:rsidR="00716D93" w:rsidRDefault="00E10747">
      <w:pPr>
        <w:autoSpaceDE w:val="0"/>
        <w:autoSpaceDN w:val="0"/>
        <w:adjustRightInd w:val="0"/>
        <w:jc w:val="both"/>
        <w:rPr>
          <w:bCs/>
          <w:color w:val="000000"/>
          <w:szCs w:val="22"/>
          <w:u w:val="single"/>
          <w:lang w:val="hu-HU" w:eastAsia="hu-HU"/>
        </w:rPr>
      </w:pPr>
      <w:r>
        <w:rPr>
          <w:bCs/>
          <w:color w:val="000000"/>
          <w:szCs w:val="22"/>
          <w:u w:val="single"/>
          <w:lang w:val="hu-HU" w:eastAsia="hu-HU"/>
        </w:rPr>
        <w:t>Elicea Q-Tab 20 mg szájban diszpergálódó tabletta</w:t>
      </w:r>
    </w:p>
    <w:p w:rsidR="00716D93" w:rsidRDefault="00E10747">
      <w:pPr>
        <w:autoSpaceDE w:val="0"/>
        <w:autoSpaceDN w:val="0"/>
        <w:adjustRightInd w:val="0"/>
        <w:jc w:val="both"/>
        <w:rPr>
          <w:bCs/>
          <w:color w:val="000000"/>
          <w:szCs w:val="22"/>
          <w:lang w:val="hu-HU" w:eastAsia="hu-HU"/>
        </w:rPr>
      </w:pPr>
      <w:r>
        <w:rPr>
          <w:bCs/>
          <w:color w:val="000000"/>
          <w:szCs w:val="22"/>
          <w:lang w:val="hu-HU" w:eastAsia="hu-HU"/>
        </w:rPr>
        <w:t>OGYI-T-21108/49</w:t>
      </w:r>
      <w:r>
        <w:rPr>
          <w:bCs/>
          <w:color w:val="000000"/>
          <w:szCs w:val="22"/>
          <w:lang w:val="hu-HU" w:eastAsia="hu-HU"/>
        </w:rPr>
        <w:tab/>
        <w:t>28×</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OGYI-T-21108/50</w:t>
      </w:r>
      <w:r>
        <w:rPr>
          <w:bCs/>
          <w:color w:val="000000"/>
          <w:szCs w:val="22"/>
          <w:lang w:val="hu-HU" w:eastAsia="hu-HU"/>
        </w:rPr>
        <w:tab/>
        <w:t>28×</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OGYI-T-21108/51</w:t>
      </w:r>
      <w:r>
        <w:rPr>
          <w:bCs/>
          <w:color w:val="000000"/>
          <w:szCs w:val="22"/>
          <w:lang w:val="hu-HU" w:eastAsia="hu-HU"/>
        </w:rPr>
        <w:tab/>
        <w:t>30×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OGYI-T-21108/52</w:t>
      </w:r>
      <w:r>
        <w:rPr>
          <w:bCs/>
          <w:color w:val="000000"/>
          <w:szCs w:val="22"/>
          <w:lang w:val="hu-HU" w:eastAsia="hu-HU"/>
        </w:rPr>
        <w:tab/>
        <w:t>30×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OGYI-T-21108/53</w:t>
      </w:r>
      <w:r>
        <w:rPr>
          <w:bCs/>
          <w:color w:val="000000"/>
          <w:szCs w:val="22"/>
          <w:lang w:val="hu-HU" w:eastAsia="hu-HU"/>
        </w:rPr>
        <w:tab/>
        <w:t>56×</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OGYI-T-21108/54</w:t>
      </w:r>
      <w:r>
        <w:rPr>
          <w:bCs/>
          <w:color w:val="000000"/>
          <w:szCs w:val="22"/>
          <w:lang w:val="hu-HU" w:eastAsia="hu-HU"/>
        </w:rPr>
        <w:tab/>
        <w:t>56×</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OGYI-T-21108/55</w:t>
      </w:r>
      <w:r>
        <w:rPr>
          <w:bCs/>
          <w:color w:val="000000"/>
          <w:szCs w:val="22"/>
          <w:lang w:val="hu-HU" w:eastAsia="hu-HU"/>
        </w:rPr>
        <w:tab/>
        <w:t>60×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OGYI-T-21108/56</w:t>
      </w:r>
      <w:r>
        <w:rPr>
          <w:bCs/>
          <w:color w:val="000000"/>
          <w:szCs w:val="22"/>
          <w:lang w:val="hu-HU" w:eastAsia="hu-HU"/>
        </w:rPr>
        <w:tab/>
        <w:t>60×</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OGYI-T-21108/57</w:t>
      </w:r>
      <w:r>
        <w:rPr>
          <w:bCs/>
          <w:color w:val="000000"/>
          <w:szCs w:val="22"/>
          <w:lang w:val="hu-HU" w:eastAsia="hu-HU"/>
        </w:rPr>
        <w:tab/>
        <w:t>84×</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OGYI-T-21108/58</w:t>
      </w:r>
      <w:r>
        <w:rPr>
          <w:bCs/>
          <w:color w:val="000000"/>
          <w:szCs w:val="22"/>
          <w:lang w:val="hu-HU" w:eastAsia="hu-HU"/>
        </w:rPr>
        <w:tab/>
        <w:t>84×</w:t>
      </w:r>
      <w:r>
        <w:rPr>
          <w:bCs/>
          <w:color w:val="000000"/>
          <w:szCs w:val="22"/>
          <w:lang w:val="hu-HU" w:eastAsia="hu-HU"/>
        </w:rPr>
        <w:tab/>
        <w:t>OPA/Al/PVC//PET/Al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OGYI-T-21108/59</w:t>
      </w:r>
      <w:r>
        <w:rPr>
          <w:bCs/>
          <w:color w:val="000000"/>
          <w:szCs w:val="22"/>
          <w:lang w:val="hu-HU" w:eastAsia="hu-HU"/>
        </w:rPr>
        <w:tab/>
        <w:t>90×</w:t>
      </w:r>
      <w:r>
        <w:rPr>
          <w:bCs/>
          <w:color w:val="000000"/>
          <w:szCs w:val="22"/>
          <w:lang w:val="hu-HU" w:eastAsia="hu-HU"/>
        </w:rPr>
        <w:tab/>
        <w:t>OPA/Al/PVC//papír/PET/Al buborékcsomagolás</w:t>
      </w:r>
    </w:p>
    <w:p w:rsidR="00716D93" w:rsidRDefault="00E10747">
      <w:pPr>
        <w:tabs>
          <w:tab w:val="left" w:pos="1440"/>
          <w:tab w:val="left" w:pos="2268"/>
          <w:tab w:val="left" w:pos="3119"/>
        </w:tabs>
        <w:autoSpaceDE w:val="0"/>
        <w:autoSpaceDN w:val="0"/>
        <w:adjustRightInd w:val="0"/>
        <w:jc w:val="both"/>
        <w:rPr>
          <w:bCs/>
          <w:color w:val="000000"/>
          <w:szCs w:val="22"/>
          <w:lang w:val="hu-HU" w:eastAsia="hu-HU"/>
        </w:rPr>
      </w:pPr>
      <w:r>
        <w:rPr>
          <w:bCs/>
          <w:color w:val="000000"/>
          <w:szCs w:val="22"/>
          <w:lang w:val="hu-HU" w:eastAsia="hu-HU"/>
        </w:rPr>
        <w:t>OGYI-T-21108/60</w:t>
      </w:r>
      <w:r>
        <w:rPr>
          <w:bCs/>
          <w:color w:val="000000"/>
          <w:szCs w:val="22"/>
          <w:lang w:val="hu-HU" w:eastAsia="hu-HU"/>
        </w:rPr>
        <w:tab/>
        <w:t>90×</w:t>
      </w:r>
      <w:r>
        <w:rPr>
          <w:bCs/>
          <w:color w:val="000000"/>
          <w:szCs w:val="22"/>
          <w:lang w:val="hu-HU" w:eastAsia="hu-HU"/>
        </w:rPr>
        <w:tab/>
        <w:t>OPA/Al/PVC//PET/Al buborékcsomagolás</w:t>
      </w:r>
    </w:p>
    <w:p w:rsidR="00716D93" w:rsidRDefault="00716D93">
      <w:pPr>
        <w:numPr>
          <w:ilvl w:val="12"/>
          <w:numId w:val="0"/>
        </w:numPr>
        <w:ind w:right="-2"/>
        <w:outlineLvl w:val="0"/>
        <w:rPr>
          <w:szCs w:val="22"/>
          <w:lang w:val="hu-HU" w:eastAsia="en-US"/>
        </w:rPr>
      </w:pPr>
    </w:p>
    <w:p w:rsidR="00716D93" w:rsidRDefault="00E10747">
      <w:pPr>
        <w:numPr>
          <w:ilvl w:val="12"/>
          <w:numId w:val="0"/>
        </w:numPr>
        <w:ind w:right="-2"/>
        <w:outlineLvl w:val="0"/>
        <w:rPr>
          <w:color w:val="000000"/>
          <w:szCs w:val="22"/>
          <w:highlight w:val="yellow"/>
          <w:lang w:val="hu-HU"/>
        </w:rPr>
      </w:pPr>
      <w:r>
        <w:rPr>
          <w:b/>
          <w:bCs/>
          <w:szCs w:val="22"/>
          <w:lang w:val="hu-HU"/>
        </w:rPr>
        <w:t xml:space="preserve">A betegtájékoztató </w:t>
      </w:r>
      <w:r>
        <w:rPr>
          <w:b/>
          <w:szCs w:val="22"/>
          <w:lang w:val="hu-HU"/>
        </w:rPr>
        <w:t xml:space="preserve">legutóbbi felülvizsgálatának </w:t>
      </w:r>
      <w:r>
        <w:rPr>
          <w:b/>
          <w:bCs/>
          <w:szCs w:val="22"/>
          <w:lang w:val="hu-HU"/>
        </w:rPr>
        <w:t>dátuma:</w:t>
      </w:r>
      <w:r>
        <w:rPr>
          <w:bCs/>
          <w:szCs w:val="22"/>
          <w:lang w:val="hu-HU"/>
        </w:rPr>
        <w:t xml:space="preserve"> 2024. </w:t>
      </w:r>
      <w:r w:rsidR="00DA34F0">
        <w:rPr>
          <w:bCs/>
          <w:szCs w:val="22"/>
          <w:lang w:val="hu-HU"/>
        </w:rPr>
        <w:t>december</w:t>
      </w:r>
      <w:r>
        <w:rPr>
          <w:bCs/>
          <w:szCs w:val="22"/>
          <w:lang w:val="hu-HU"/>
        </w:rPr>
        <w:t>.</w:t>
      </w:r>
    </w:p>
    <w:sectPr w:rsidR="00716D93">
      <w:headerReference w:type="default" r:id="rId9"/>
      <w:footerReference w:type="even" r:id="rId10"/>
      <w:headerReference w:type="first" r:id="rId11"/>
      <w:footerReference w:type="first" r:id="rId12"/>
      <w:type w:val="continuous"/>
      <w:pgSz w:w="11907" w:h="16840" w:code="9"/>
      <w:pgMar w:top="1134" w:right="1418" w:bottom="1134" w:left="1418" w:header="737" w:footer="73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D93" w:rsidRDefault="00E10747">
      <w:r>
        <w:separator/>
      </w:r>
    </w:p>
  </w:endnote>
  <w:endnote w:type="continuationSeparator" w:id="0">
    <w:p w:rsidR="00716D93" w:rsidRDefault="00E1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D93" w:rsidRDefault="00E10747">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716D93" w:rsidRDefault="00716D93">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747" w:rsidRPr="00E10747" w:rsidRDefault="00E10747" w:rsidP="00E10747">
    <w:pPr>
      <w:pStyle w:val="llb"/>
      <w:rPr>
        <w:sz w:val="18"/>
        <w:szCs w:val="18"/>
        <w:lang w:val="hu-HU"/>
      </w:rPr>
    </w:pPr>
    <w:r w:rsidRPr="00E10747">
      <w:rPr>
        <w:sz w:val="18"/>
        <w:szCs w:val="18"/>
        <w:lang w:val="hu-HU"/>
      </w:rPr>
      <w:t>NNGYK/GYSZ/50339/2024</w:t>
    </w:r>
  </w:p>
  <w:p w:rsidR="00E10747" w:rsidRPr="00E10747" w:rsidRDefault="00E10747" w:rsidP="00E10747">
    <w:pPr>
      <w:pStyle w:val="llb"/>
      <w:rPr>
        <w:sz w:val="18"/>
        <w:szCs w:val="18"/>
        <w:lang w:val="hu-HU"/>
      </w:rPr>
    </w:pPr>
    <w:r w:rsidRPr="00E10747">
      <w:rPr>
        <w:sz w:val="18"/>
        <w:szCs w:val="18"/>
        <w:lang w:val="hu-HU"/>
      </w:rPr>
      <w:t>NNGYK/GYSZ/50340/2024</w:t>
    </w:r>
  </w:p>
  <w:p w:rsidR="00E10747" w:rsidRPr="00E10747" w:rsidRDefault="00E10747" w:rsidP="00E10747">
    <w:pPr>
      <w:pStyle w:val="llb"/>
      <w:rPr>
        <w:sz w:val="18"/>
        <w:szCs w:val="18"/>
        <w:lang w:val="hu-HU"/>
      </w:rPr>
    </w:pPr>
    <w:r w:rsidRPr="00E10747">
      <w:rPr>
        <w:sz w:val="18"/>
        <w:szCs w:val="18"/>
        <w:lang w:val="hu-HU"/>
      </w:rPr>
      <w:t>NNGYK/GYSZ/50342/2024</w:t>
    </w:r>
  </w:p>
  <w:p w:rsidR="00716D93" w:rsidRDefault="00E10747">
    <w:pPr>
      <w:pStyle w:val="llb"/>
    </w:pPr>
    <w:r w:rsidRPr="00E10747">
      <w:rPr>
        <w:sz w:val="18"/>
        <w:szCs w:val="18"/>
        <w:lang w:val="hu-HU"/>
      </w:rPr>
      <w:t>NNGYK/GYSZ/50343/2024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D93" w:rsidRDefault="00E10747">
      <w:r>
        <w:separator/>
      </w:r>
    </w:p>
  </w:footnote>
  <w:footnote w:type="continuationSeparator" w:id="0">
    <w:p w:rsidR="00716D93" w:rsidRDefault="00E10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TableTag1"/>
  <w:bookmarkEnd w:id="2"/>
  <w:p w:rsidR="00716D93" w:rsidRDefault="00E10747">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790BF7" w:rsidRPr="00790BF7">
      <w:rPr>
        <w:noProof/>
        <w:sz w:val="18"/>
        <w:szCs w:val="18"/>
        <w:lang w:val="hu-HU"/>
      </w:rPr>
      <w:t>4</w:t>
    </w:r>
    <w:r>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D93" w:rsidRDefault="00E10747">
    <w:pPr>
      <w:pStyle w:val="lfej"/>
      <w:rPr>
        <w:sz w:val="18"/>
        <w:szCs w:val="18"/>
        <w:lang w:val="hu-HU"/>
      </w:rPr>
    </w:pPr>
    <w:r>
      <w:rPr>
        <w:sz w:val="18"/>
        <w:szCs w:val="18"/>
        <w:lang w:val="hu-HU"/>
      </w:rPr>
      <w:t>Egynyelvű vagy többnyelvű (HU+PL)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F18D5"/>
    <w:multiLevelType w:val="hybridMultilevel"/>
    <w:tmpl w:val="CC125756"/>
    <w:lvl w:ilvl="0" w:tplc="512C57C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A44D85"/>
    <w:multiLevelType w:val="hybridMultilevel"/>
    <w:tmpl w:val="5F90A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667BAF"/>
    <w:multiLevelType w:val="hybridMultilevel"/>
    <w:tmpl w:val="542CA9B2"/>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5BE0836"/>
    <w:multiLevelType w:val="hybridMultilevel"/>
    <w:tmpl w:val="4FF84D4E"/>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5B5637"/>
    <w:multiLevelType w:val="hybridMultilevel"/>
    <w:tmpl w:val="6E9CC23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07627922"/>
    <w:multiLevelType w:val="hybridMultilevel"/>
    <w:tmpl w:val="CE3C5C6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934CDC"/>
    <w:multiLevelType w:val="hybridMultilevel"/>
    <w:tmpl w:val="A3A450AA"/>
    <w:lvl w:ilvl="0" w:tplc="D450914A">
      <w:start w:val="1"/>
      <w:numFmt w:val="bullet"/>
      <w:lvlText w:val="-"/>
      <w:lvlJc w:val="left"/>
      <w:pPr>
        <w:ind w:left="720"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0A575667"/>
    <w:multiLevelType w:val="hybridMultilevel"/>
    <w:tmpl w:val="CE2E6D52"/>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FB95D2C"/>
    <w:multiLevelType w:val="hybridMultilevel"/>
    <w:tmpl w:val="311A0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1229B2"/>
    <w:multiLevelType w:val="hybridMultilevel"/>
    <w:tmpl w:val="8A6E0602"/>
    <w:lvl w:ilvl="0" w:tplc="4CE2EC6C">
      <w:numFmt w:val="bullet"/>
      <w:lvlText w:val="-"/>
      <w:lvlJc w:val="left"/>
      <w:pPr>
        <w:tabs>
          <w:tab w:val="num" w:pos="644"/>
        </w:tabs>
        <w:ind w:left="644" w:hanging="284"/>
      </w:pPr>
      <w:rPr>
        <w:rFonts w:ascii="Times New Roman" w:eastAsia="PMingLiU"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315314F"/>
    <w:multiLevelType w:val="hybridMultilevel"/>
    <w:tmpl w:val="B98A57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507774"/>
    <w:multiLevelType w:val="multilevel"/>
    <w:tmpl w:val="877AB210"/>
    <w:numStyleLink w:val="StyleNumbered11ptLeft0cmHanging1cm"/>
  </w:abstractNum>
  <w:abstractNum w:abstractNumId="13" w15:restartNumberingAfterBreak="0">
    <w:nsid w:val="19B204FE"/>
    <w:multiLevelType w:val="hybridMultilevel"/>
    <w:tmpl w:val="66B21E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4F0045"/>
    <w:multiLevelType w:val="hybridMultilevel"/>
    <w:tmpl w:val="050E2A5E"/>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09226BF"/>
    <w:multiLevelType w:val="hybridMultilevel"/>
    <w:tmpl w:val="3984D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4478A7"/>
    <w:multiLevelType w:val="hybridMultilevel"/>
    <w:tmpl w:val="EAE03734"/>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21B2B55"/>
    <w:multiLevelType w:val="hybridMultilevel"/>
    <w:tmpl w:val="2B3E6A5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24A63AA0"/>
    <w:multiLevelType w:val="multilevel"/>
    <w:tmpl w:val="877AB210"/>
    <w:styleLink w:val="StyleNumbered11ptLeft0cmHanging1cm"/>
    <w:lvl w:ilvl="0">
      <w:start w:val="1"/>
      <w:numFmt w:val="decimal"/>
      <w:lvlText w:val="%1."/>
      <w:lvlJc w:val="left"/>
      <w:pPr>
        <w:ind w:left="720" w:hanging="360"/>
      </w:pPr>
      <w:rPr>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28C07A72"/>
    <w:multiLevelType w:val="hybridMultilevel"/>
    <w:tmpl w:val="68AC1E96"/>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DED0E95"/>
    <w:multiLevelType w:val="hybridMultilevel"/>
    <w:tmpl w:val="363610F2"/>
    <w:lvl w:ilvl="0" w:tplc="4CE2EC6C">
      <w:numFmt w:val="bullet"/>
      <w:lvlText w:val="-"/>
      <w:lvlJc w:val="left"/>
      <w:pPr>
        <w:tabs>
          <w:tab w:val="num" w:pos="284"/>
        </w:tabs>
        <w:ind w:left="284" w:hanging="284"/>
      </w:pPr>
      <w:rPr>
        <w:rFonts w:ascii="Times New Roman" w:eastAsia="PMingLiU"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E32D41"/>
    <w:multiLevelType w:val="hybridMultilevel"/>
    <w:tmpl w:val="91F85504"/>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29B258D"/>
    <w:multiLevelType w:val="hybridMultilevel"/>
    <w:tmpl w:val="8CDE9DAE"/>
    <w:lvl w:ilvl="0" w:tplc="512C57C0">
      <w:start w:val="1"/>
      <w:numFmt w:val="bullet"/>
      <w:lvlText w:val="-"/>
      <w:lvlJc w:val="left"/>
      <w:pPr>
        <w:tabs>
          <w:tab w:val="num" w:pos="774"/>
        </w:tabs>
        <w:ind w:left="774" w:hanging="360"/>
      </w:pPr>
      <w:rPr>
        <w:rFonts w:ascii="Times New Roman" w:hAnsi="Times New Roman" w:cs="Times New Roman"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23" w15:restartNumberingAfterBreak="0">
    <w:nsid w:val="33FA31A1"/>
    <w:multiLevelType w:val="hybridMultilevel"/>
    <w:tmpl w:val="4314B316"/>
    <w:lvl w:ilvl="0" w:tplc="040E0001">
      <w:start w:val="1"/>
      <w:numFmt w:val="bullet"/>
      <w:lvlText w:val=""/>
      <w:lvlJc w:val="left"/>
      <w:pPr>
        <w:ind w:left="726" w:hanging="360"/>
      </w:pPr>
      <w:rPr>
        <w:rFonts w:ascii="Symbol" w:hAnsi="Symbol" w:hint="default"/>
      </w:rPr>
    </w:lvl>
    <w:lvl w:ilvl="1" w:tplc="040E0003" w:tentative="1">
      <w:start w:val="1"/>
      <w:numFmt w:val="bullet"/>
      <w:lvlText w:val="o"/>
      <w:lvlJc w:val="left"/>
      <w:pPr>
        <w:ind w:left="1446" w:hanging="360"/>
      </w:pPr>
      <w:rPr>
        <w:rFonts w:ascii="Courier New" w:hAnsi="Courier New" w:cs="Courier New" w:hint="default"/>
      </w:rPr>
    </w:lvl>
    <w:lvl w:ilvl="2" w:tplc="040E0005" w:tentative="1">
      <w:start w:val="1"/>
      <w:numFmt w:val="bullet"/>
      <w:lvlText w:val=""/>
      <w:lvlJc w:val="left"/>
      <w:pPr>
        <w:ind w:left="2166" w:hanging="360"/>
      </w:pPr>
      <w:rPr>
        <w:rFonts w:ascii="Wingdings" w:hAnsi="Wingdings" w:hint="default"/>
      </w:rPr>
    </w:lvl>
    <w:lvl w:ilvl="3" w:tplc="040E0001" w:tentative="1">
      <w:start w:val="1"/>
      <w:numFmt w:val="bullet"/>
      <w:lvlText w:val=""/>
      <w:lvlJc w:val="left"/>
      <w:pPr>
        <w:ind w:left="2886" w:hanging="360"/>
      </w:pPr>
      <w:rPr>
        <w:rFonts w:ascii="Symbol" w:hAnsi="Symbol" w:hint="default"/>
      </w:rPr>
    </w:lvl>
    <w:lvl w:ilvl="4" w:tplc="040E0003" w:tentative="1">
      <w:start w:val="1"/>
      <w:numFmt w:val="bullet"/>
      <w:lvlText w:val="o"/>
      <w:lvlJc w:val="left"/>
      <w:pPr>
        <w:ind w:left="3606" w:hanging="360"/>
      </w:pPr>
      <w:rPr>
        <w:rFonts w:ascii="Courier New" w:hAnsi="Courier New" w:cs="Courier New" w:hint="default"/>
      </w:rPr>
    </w:lvl>
    <w:lvl w:ilvl="5" w:tplc="040E0005" w:tentative="1">
      <w:start w:val="1"/>
      <w:numFmt w:val="bullet"/>
      <w:lvlText w:val=""/>
      <w:lvlJc w:val="left"/>
      <w:pPr>
        <w:ind w:left="4326" w:hanging="360"/>
      </w:pPr>
      <w:rPr>
        <w:rFonts w:ascii="Wingdings" w:hAnsi="Wingdings" w:hint="default"/>
      </w:rPr>
    </w:lvl>
    <w:lvl w:ilvl="6" w:tplc="040E0001" w:tentative="1">
      <w:start w:val="1"/>
      <w:numFmt w:val="bullet"/>
      <w:lvlText w:val=""/>
      <w:lvlJc w:val="left"/>
      <w:pPr>
        <w:ind w:left="5046" w:hanging="360"/>
      </w:pPr>
      <w:rPr>
        <w:rFonts w:ascii="Symbol" w:hAnsi="Symbol" w:hint="default"/>
      </w:rPr>
    </w:lvl>
    <w:lvl w:ilvl="7" w:tplc="040E0003" w:tentative="1">
      <w:start w:val="1"/>
      <w:numFmt w:val="bullet"/>
      <w:lvlText w:val="o"/>
      <w:lvlJc w:val="left"/>
      <w:pPr>
        <w:ind w:left="5766" w:hanging="360"/>
      </w:pPr>
      <w:rPr>
        <w:rFonts w:ascii="Courier New" w:hAnsi="Courier New" w:cs="Courier New" w:hint="default"/>
      </w:rPr>
    </w:lvl>
    <w:lvl w:ilvl="8" w:tplc="040E0005" w:tentative="1">
      <w:start w:val="1"/>
      <w:numFmt w:val="bullet"/>
      <w:lvlText w:val=""/>
      <w:lvlJc w:val="left"/>
      <w:pPr>
        <w:ind w:left="6486" w:hanging="360"/>
      </w:pPr>
      <w:rPr>
        <w:rFonts w:ascii="Wingdings" w:hAnsi="Wingdings" w:hint="default"/>
      </w:rPr>
    </w:lvl>
  </w:abstractNum>
  <w:abstractNum w:abstractNumId="24" w15:restartNumberingAfterBreak="0">
    <w:nsid w:val="35194E7D"/>
    <w:multiLevelType w:val="multilevel"/>
    <w:tmpl w:val="877AB210"/>
    <w:numStyleLink w:val="StyleNumbered11ptLeft0cmHanging1cm"/>
  </w:abstractNum>
  <w:abstractNum w:abstractNumId="25" w15:restartNumberingAfterBreak="0">
    <w:nsid w:val="372D6E59"/>
    <w:multiLevelType w:val="hybridMultilevel"/>
    <w:tmpl w:val="2688BA04"/>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37586B85"/>
    <w:multiLevelType w:val="multilevel"/>
    <w:tmpl w:val="877AB210"/>
    <w:numStyleLink w:val="StyleNumbered11ptLeft0cmHanging1cm"/>
  </w:abstractNum>
  <w:abstractNum w:abstractNumId="27" w15:restartNumberingAfterBreak="0">
    <w:nsid w:val="3C1E7FA6"/>
    <w:multiLevelType w:val="hybridMultilevel"/>
    <w:tmpl w:val="98DEF34E"/>
    <w:lvl w:ilvl="0" w:tplc="FFFFFFFF">
      <w:start w:val="1"/>
      <w:numFmt w:val="bullet"/>
      <w:lvlText w:val="-"/>
      <w:lvlJc w:val="left"/>
      <w:pPr>
        <w:ind w:left="720" w:hanging="360"/>
      </w:p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8" w15:restartNumberingAfterBreak="0">
    <w:nsid w:val="3EA3295B"/>
    <w:multiLevelType w:val="hybridMultilevel"/>
    <w:tmpl w:val="877AB210"/>
    <w:lvl w:ilvl="0" w:tplc="F040717A">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29" w15:restartNumberingAfterBreak="0">
    <w:nsid w:val="3FA55309"/>
    <w:multiLevelType w:val="multilevel"/>
    <w:tmpl w:val="877AB210"/>
    <w:numStyleLink w:val="StyleNumbered11ptLeft0cmHanging1cm"/>
  </w:abstractNum>
  <w:abstractNum w:abstractNumId="30" w15:restartNumberingAfterBreak="0">
    <w:nsid w:val="40815204"/>
    <w:multiLevelType w:val="multilevel"/>
    <w:tmpl w:val="00000005"/>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1" w15:restartNumberingAfterBreak="0">
    <w:nsid w:val="45D40C9F"/>
    <w:multiLevelType w:val="hybridMultilevel"/>
    <w:tmpl w:val="D16A6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1317B4"/>
    <w:multiLevelType w:val="hybridMultilevel"/>
    <w:tmpl w:val="EFD8F08E"/>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469C0A82"/>
    <w:multiLevelType w:val="hybridMultilevel"/>
    <w:tmpl w:val="7ED40ED6"/>
    <w:lvl w:ilvl="0" w:tplc="D450914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7694D2B"/>
    <w:multiLevelType w:val="multilevel"/>
    <w:tmpl w:val="877AB210"/>
    <w:numStyleLink w:val="StyleNumbered11ptLeft0cmHanging1cm"/>
  </w:abstractNum>
  <w:abstractNum w:abstractNumId="35" w15:restartNumberingAfterBreak="0">
    <w:nsid w:val="49D9424F"/>
    <w:multiLevelType w:val="hybridMultilevel"/>
    <w:tmpl w:val="2E2A5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B8B6A1F"/>
    <w:multiLevelType w:val="hybridMultilevel"/>
    <w:tmpl w:val="C61825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04708FD"/>
    <w:multiLevelType w:val="hybridMultilevel"/>
    <w:tmpl w:val="09F6A2A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51015EA0"/>
    <w:multiLevelType w:val="multilevel"/>
    <w:tmpl w:val="877AB210"/>
    <w:numStyleLink w:val="StyleNumbered11ptLeft0cmHanging1cm"/>
  </w:abstractNum>
  <w:abstractNum w:abstractNumId="39" w15:restartNumberingAfterBreak="0">
    <w:nsid w:val="52652EF6"/>
    <w:multiLevelType w:val="multilevel"/>
    <w:tmpl w:val="877AB210"/>
    <w:numStyleLink w:val="StyleNumbered11ptLeft0cmHanging1cm"/>
  </w:abstractNum>
  <w:abstractNum w:abstractNumId="40" w15:restartNumberingAfterBreak="0">
    <w:nsid w:val="56B515E3"/>
    <w:multiLevelType w:val="hybridMultilevel"/>
    <w:tmpl w:val="C12403F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59303EAC"/>
    <w:multiLevelType w:val="hybridMultilevel"/>
    <w:tmpl w:val="305CA0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7090E2F"/>
    <w:multiLevelType w:val="hybridMultilevel"/>
    <w:tmpl w:val="BC96444E"/>
    <w:lvl w:ilvl="0" w:tplc="4CE2EC6C">
      <w:numFmt w:val="bullet"/>
      <w:lvlText w:val="-"/>
      <w:lvlJc w:val="left"/>
      <w:pPr>
        <w:tabs>
          <w:tab w:val="num" w:pos="644"/>
        </w:tabs>
        <w:ind w:left="644" w:hanging="284"/>
      </w:pPr>
      <w:rPr>
        <w:rFonts w:ascii="Times New Roman" w:eastAsia="PMingLiU"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673D6D3B"/>
    <w:multiLevelType w:val="multilevel"/>
    <w:tmpl w:val="877AB210"/>
    <w:numStyleLink w:val="StyleNumbered11ptLeft0cmHanging1cm"/>
  </w:abstractNum>
  <w:abstractNum w:abstractNumId="44"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DE2543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E9462E8"/>
    <w:multiLevelType w:val="multilevel"/>
    <w:tmpl w:val="877AB210"/>
    <w:numStyleLink w:val="StyleNumbered11ptLeft0cmHanging1cm"/>
  </w:abstractNum>
  <w:abstractNum w:abstractNumId="47" w15:restartNumberingAfterBreak="0">
    <w:nsid w:val="73514E1D"/>
    <w:multiLevelType w:val="hybridMultilevel"/>
    <w:tmpl w:val="FD58AC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3D036CE"/>
    <w:multiLevelType w:val="hybridMultilevel"/>
    <w:tmpl w:val="85044CA8"/>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74BE73A1"/>
    <w:multiLevelType w:val="hybridMultilevel"/>
    <w:tmpl w:val="877AB210"/>
    <w:lvl w:ilvl="0" w:tplc="F040717A">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50" w15:restartNumberingAfterBreak="0">
    <w:nsid w:val="74CD26AF"/>
    <w:multiLevelType w:val="multilevel"/>
    <w:tmpl w:val="877AB210"/>
    <w:numStyleLink w:val="StyleNumbered11ptLeft0cmHanging1cm"/>
  </w:abstractNum>
  <w:abstractNum w:abstractNumId="51" w15:restartNumberingAfterBreak="0">
    <w:nsid w:val="7769415B"/>
    <w:multiLevelType w:val="hybridMultilevel"/>
    <w:tmpl w:val="E1AAEA06"/>
    <w:lvl w:ilvl="0" w:tplc="7EB44DF8">
      <w:start w:val="2"/>
      <w:numFmt w:val="bullet"/>
      <w:lvlText w:val="-"/>
      <w:lvlJc w:val="left"/>
      <w:pPr>
        <w:tabs>
          <w:tab w:val="num" w:pos="720"/>
        </w:tabs>
        <w:ind w:left="720" w:hanging="360"/>
      </w:pPr>
      <w:rPr>
        <w:rFonts w:ascii="Times New Roman" w:hAnsi="Times New Roman" w:cs="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EF204F"/>
    <w:multiLevelType w:val="hybridMultilevel"/>
    <w:tmpl w:val="32DCB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8E671C"/>
    <w:multiLevelType w:val="hybridMultilevel"/>
    <w:tmpl w:val="F1C0EE94"/>
    <w:lvl w:ilvl="0" w:tplc="04090001">
      <w:start w:val="1"/>
      <w:numFmt w:val="bullet"/>
      <w:lvlText w:val=""/>
      <w:lvlJc w:val="left"/>
      <w:pPr>
        <w:tabs>
          <w:tab w:val="num" w:pos="774"/>
        </w:tabs>
        <w:ind w:left="774" w:hanging="360"/>
      </w:pPr>
      <w:rPr>
        <w:rFonts w:ascii="Symbol" w:hAnsi="Symbol"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num w:numId="1">
    <w:abstractNumId w:val="44"/>
  </w:num>
  <w:num w:numId="2">
    <w:abstractNumId w:val="0"/>
    <w:lvlOverride w:ilvl="0">
      <w:lvl w:ilvl="0">
        <w:start w:val="1"/>
        <w:numFmt w:val="bullet"/>
        <w:lvlText w:val="-"/>
        <w:legacy w:legacy="1" w:legacySpace="0" w:legacyIndent="360"/>
        <w:lvlJc w:val="left"/>
        <w:pPr>
          <w:ind w:left="360" w:hanging="360"/>
        </w:pPr>
      </w:lvl>
    </w:lvlOverride>
  </w:num>
  <w:num w:numId="3">
    <w:abstractNumId w:val="40"/>
  </w:num>
  <w:num w:numId="4">
    <w:abstractNumId w:val="37"/>
  </w:num>
  <w:num w:numId="5">
    <w:abstractNumId w:val="17"/>
  </w:num>
  <w:num w:numId="6">
    <w:abstractNumId w:val="51"/>
  </w:num>
  <w:num w:numId="7">
    <w:abstractNumId w:val="36"/>
  </w:num>
  <w:num w:numId="8">
    <w:abstractNumId w:val="9"/>
  </w:num>
  <w:num w:numId="9">
    <w:abstractNumId w:val="53"/>
  </w:num>
  <w:num w:numId="10">
    <w:abstractNumId w:val="5"/>
  </w:num>
  <w:num w:numId="11">
    <w:abstractNumId w:val="49"/>
  </w:num>
  <w:num w:numId="12">
    <w:abstractNumId w:val="41"/>
  </w:num>
  <w:num w:numId="13">
    <w:abstractNumId w:val="13"/>
  </w:num>
  <w:num w:numId="14">
    <w:abstractNumId w:val="31"/>
  </w:num>
  <w:num w:numId="15">
    <w:abstractNumId w:val="35"/>
  </w:num>
  <w:num w:numId="16">
    <w:abstractNumId w:val="2"/>
  </w:num>
  <w:num w:numId="17">
    <w:abstractNumId w:val="52"/>
  </w:num>
  <w:num w:numId="18">
    <w:abstractNumId w:val="47"/>
  </w:num>
  <w:num w:numId="19">
    <w:abstractNumId w:val="28"/>
  </w:num>
  <w:num w:numId="20">
    <w:abstractNumId w:val="32"/>
  </w:num>
  <w:num w:numId="21">
    <w:abstractNumId w:val="7"/>
  </w:num>
  <w:num w:numId="22">
    <w:abstractNumId w:val="33"/>
  </w:num>
  <w:num w:numId="23">
    <w:abstractNumId w:val="22"/>
  </w:num>
  <w:num w:numId="24">
    <w:abstractNumId w:val="25"/>
  </w:num>
  <w:num w:numId="25">
    <w:abstractNumId w:val="1"/>
  </w:num>
  <w:num w:numId="26">
    <w:abstractNumId w:val="3"/>
  </w:num>
  <w:num w:numId="27">
    <w:abstractNumId w:val="18"/>
  </w:num>
  <w:num w:numId="28">
    <w:abstractNumId w:val="50"/>
  </w:num>
  <w:num w:numId="29">
    <w:abstractNumId w:val="39"/>
  </w:num>
  <w:num w:numId="30">
    <w:abstractNumId w:val="34"/>
  </w:num>
  <w:num w:numId="31">
    <w:abstractNumId w:val="29"/>
  </w:num>
  <w:num w:numId="32">
    <w:abstractNumId w:val="38"/>
  </w:num>
  <w:num w:numId="33">
    <w:abstractNumId w:val="46"/>
  </w:num>
  <w:num w:numId="34">
    <w:abstractNumId w:val="26"/>
  </w:num>
  <w:num w:numId="35">
    <w:abstractNumId w:val="12"/>
  </w:num>
  <w:num w:numId="36">
    <w:abstractNumId w:val="43"/>
  </w:num>
  <w:num w:numId="37">
    <w:abstractNumId w:val="24"/>
  </w:num>
  <w:num w:numId="38">
    <w:abstractNumId w:val="45"/>
  </w:num>
  <w:num w:numId="39">
    <w:abstractNumId w:val="4"/>
  </w:num>
  <w:num w:numId="40">
    <w:abstractNumId w:val="15"/>
  </w:num>
  <w:num w:numId="41">
    <w:abstractNumId w:val="14"/>
  </w:num>
  <w:num w:numId="42">
    <w:abstractNumId w:val="16"/>
  </w:num>
  <w:num w:numId="43">
    <w:abstractNumId w:val="19"/>
  </w:num>
  <w:num w:numId="44">
    <w:abstractNumId w:val="48"/>
  </w:num>
  <w:num w:numId="45">
    <w:abstractNumId w:val="23"/>
  </w:num>
  <w:num w:numId="46">
    <w:abstractNumId w:val="21"/>
  </w:num>
  <w:num w:numId="47">
    <w:abstractNumId w:val="8"/>
  </w:num>
  <w:num w:numId="48">
    <w:abstractNumId w:val="6"/>
  </w:num>
  <w:num w:numId="49">
    <w:abstractNumId w:val="20"/>
  </w:num>
  <w:num w:numId="50">
    <w:abstractNumId w:val="11"/>
  </w:num>
  <w:num w:numId="51">
    <w:abstractNumId w:val="10"/>
  </w:num>
  <w:num w:numId="52">
    <w:abstractNumId w:val="27"/>
  </w:num>
  <w:num w:numId="53">
    <w:abstractNumId w:val="42"/>
  </w:num>
  <w:num w:numId="5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autoHyphenation/>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D93"/>
    <w:rsid w:val="00716D93"/>
    <w:rsid w:val="00790BF7"/>
    <w:rsid w:val="00830B86"/>
    <w:rsid w:val="00DA34F0"/>
    <w:rsid w:val="00E1074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15:chartTrackingRefBased/>
  <w15:docId w15:val="{7CAE9F38-5E47-4C62-9682-5AD8D183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2"/>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lang w:val="x-none" w:eastAsia="x-none"/>
    </w:rPr>
  </w:style>
  <w:style w:type="paragraph" w:styleId="llb">
    <w:name w:val="footer"/>
    <w:basedOn w:val="Norml"/>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4"/>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character" w:styleId="Lbjegyzet-hivatkozs">
    <w:name w:val="footnote reference"/>
    <w:rPr>
      <w:color w:val="0000FF"/>
      <w:vertAlign w:val="superscript"/>
    </w:rPr>
  </w:style>
  <w:style w:type="paragraph" w:customStyle="1" w:styleId="AuthenticateHeading">
    <w:name w:val="Authenticate Heading"/>
    <w:basedOn w:val="Norml"/>
    <w:next w:val="Norml"/>
    <w:pPr>
      <w:keepNext/>
      <w:suppressAutoHyphens/>
      <w:spacing w:before="600" w:after="200"/>
    </w:pPr>
    <w:rPr>
      <w:b/>
      <w:lang w:val="en-GB" w:eastAsia="en-US"/>
    </w:rPr>
  </w:style>
  <w:style w:type="paragraph" w:customStyle="1" w:styleId="Odstavekseznama1">
    <w:name w:val="Odstavek seznama1"/>
    <w:basedOn w:val="Norml"/>
    <w:pPr>
      <w:ind w:left="708"/>
    </w:pPr>
    <w:rPr>
      <w:szCs w:val="24"/>
      <w:lang w:val="en-US" w:eastAsia="en-US"/>
    </w:rPr>
  </w:style>
  <w:style w:type="paragraph" w:styleId="Szvegtrzsbehzssal">
    <w:name w:val="Body Text Indent"/>
    <w:basedOn w:val="Norml"/>
    <w:link w:val="SzvegtrzsbehzssalChar"/>
    <w:pPr>
      <w:spacing w:after="120"/>
      <w:ind w:left="283"/>
    </w:pPr>
    <w:rPr>
      <w:sz w:val="24"/>
      <w:lang w:val="x-none" w:eastAsia="x-none"/>
    </w:rPr>
  </w:style>
  <w:style w:type="character" w:customStyle="1" w:styleId="SzvegtrzsbehzssalChar">
    <w:name w:val="Szövegtörzs behúzással Char"/>
    <w:link w:val="Szvegtrzsbehzssal"/>
    <w:rPr>
      <w:sz w:val="24"/>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sz w:val="16"/>
      <w:szCs w:val="16"/>
      <w:lang w:val="x-none" w:eastAsia="x-none"/>
    </w:rPr>
  </w:style>
  <w:style w:type="character" w:customStyle="1" w:styleId="BuborkszvegChar">
    <w:name w:val="Buborékszöveg Char"/>
    <w:link w:val="Buborkszveg"/>
    <w:rPr>
      <w:rFonts w:ascii="Tahoma" w:hAnsi="Tahoma" w:cs="Tahoma"/>
      <w:sz w:val="16"/>
      <w:szCs w:val="16"/>
    </w:rPr>
  </w:style>
  <w:style w:type="numbering" w:customStyle="1" w:styleId="StyleNumbered11ptLeft0cmHanging1cm">
    <w:name w:val="Style Numbered 11 pt Left:  0 cm Hanging:  1 cm"/>
    <w:basedOn w:val="Nemlista"/>
    <w:pPr>
      <w:numPr>
        <w:numId w:val="27"/>
      </w:numPr>
    </w:pPr>
  </w:style>
  <w:style w:type="paragraph" w:styleId="Alcm">
    <w:name w:val="Subtitle"/>
    <w:basedOn w:val="Norml"/>
    <w:next w:val="Szvegtrzs"/>
    <w:qFormat/>
    <w:pPr>
      <w:suppressAutoHyphens/>
      <w:jc w:val="center"/>
    </w:pPr>
    <w:rPr>
      <w:b/>
      <w:sz w:val="28"/>
      <w:lang w:val="hu-HU" w:eastAsia="hu-HU" w:bidi="hu-HU"/>
    </w:rPr>
  </w:style>
  <w:style w:type="character" w:styleId="Jegyzethivatkozs">
    <w:name w:val="annotation reference"/>
    <w:rPr>
      <w:sz w:val="16"/>
      <w:szCs w:val="16"/>
    </w:rPr>
  </w:style>
  <w:style w:type="paragraph" w:styleId="Jegyzetszveg">
    <w:name w:val="annotation text"/>
    <w:basedOn w:val="Norml"/>
    <w:link w:val="JegyzetszvegChar"/>
    <w:rPr>
      <w:sz w:val="20"/>
    </w:rPr>
  </w:style>
  <w:style w:type="character" w:customStyle="1" w:styleId="JegyzetszvegChar">
    <w:name w:val="Jegyzetszöveg Char"/>
    <w:link w:val="Jegyzetszveg"/>
    <w:rPr>
      <w:lang w:val="sl-SI" w:eastAsia="sl-SI"/>
    </w:rPr>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427">
      <w:bodyDiv w:val="1"/>
      <w:marLeft w:val="0"/>
      <w:marRight w:val="0"/>
      <w:marTop w:val="0"/>
      <w:marBottom w:val="0"/>
      <w:divBdr>
        <w:top w:val="none" w:sz="0" w:space="0" w:color="auto"/>
        <w:left w:val="none" w:sz="0" w:space="0" w:color="auto"/>
        <w:bottom w:val="none" w:sz="0" w:space="0" w:color="auto"/>
        <w:right w:val="none" w:sz="0" w:space="0" w:color="auto"/>
      </w:divBdr>
    </w:div>
    <w:div w:id="54208021">
      <w:bodyDiv w:val="1"/>
      <w:marLeft w:val="0"/>
      <w:marRight w:val="0"/>
      <w:marTop w:val="0"/>
      <w:marBottom w:val="0"/>
      <w:divBdr>
        <w:top w:val="none" w:sz="0" w:space="0" w:color="auto"/>
        <w:left w:val="none" w:sz="0" w:space="0" w:color="auto"/>
        <w:bottom w:val="none" w:sz="0" w:space="0" w:color="auto"/>
        <w:right w:val="none" w:sz="0" w:space="0" w:color="auto"/>
      </w:divBdr>
    </w:div>
    <w:div w:id="139228378">
      <w:bodyDiv w:val="1"/>
      <w:marLeft w:val="0"/>
      <w:marRight w:val="0"/>
      <w:marTop w:val="0"/>
      <w:marBottom w:val="0"/>
      <w:divBdr>
        <w:top w:val="none" w:sz="0" w:space="0" w:color="auto"/>
        <w:left w:val="none" w:sz="0" w:space="0" w:color="auto"/>
        <w:bottom w:val="none" w:sz="0" w:space="0" w:color="auto"/>
        <w:right w:val="none" w:sz="0" w:space="0" w:color="auto"/>
      </w:divBdr>
    </w:div>
    <w:div w:id="151457291">
      <w:bodyDiv w:val="1"/>
      <w:marLeft w:val="0"/>
      <w:marRight w:val="0"/>
      <w:marTop w:val="0"/>
      <w:marBottom w:val="0"/>
      <w:divBdr>
        <w:top w:val="none" w:sz="0" w:space="0" w:color="auto"/>
        <w:left w:val="none" w:sz="0" w:space="0" w:color="auto"/>
        <w:bottom w:val="none" w:sz="0" w:space="0" w:color="auto"/>
        <w:right w:val="none" w:sz="0" w:space="0" w:color="auto"/>
      </w:divBdr>
    </w:div>
    <w:div w:id="190069922">
      <w:bodyDiv w:val="1"/>
      <w:marLeft w:val="0"/>
      <w:marRight w:val="0"/>
      <w:marTop w:val="0"/>
      <w:marBottom w:val="0"/>
      <w:divBdr>
        <w:top w:val="none" w:sz="0" w:space="0" w:color="auto"/>
        <w:left w:val="none" w:sz="0" w:space="0" w:color="auto"/>
        <w:bottom w:val="none" w:sz="0" w:space="0" w:color="auto"/>
        <w:right w:val="none" w:sz="0" w:space="0" w:color="auto"/>
      </w:divBdr>
    </w:div>
    <w:div w:id="368994759">
      <w:bodyDiv w:val="1"/>
      <w:marLeft w:val="0"/>
      <w:marRight w:val="0"/>
      <w:marTop w:val="0"/>
      <w:marBottom w:val="0"/>
      <w:divBdr>
        <w:top w:val="none" w:sz="0" w:space="0" w:color="auto"/>
        <w:left w:val="none" w:sz="0" w:space="0" w:color="auto"/>
        <w:bottom w:val="none" w:sz="0" w:space="0" w:color="auto"/>
        <w:right w:val="none" w:sz="0" w:space="0" w:color="auto"/>
      </w:divBdr>
    </w:div>
    <w:div w:id="369573413">
      <w:bodyDiv w:val="1"/>
      <w:marLeft w:val="0"/>
      <w:marRight w:val="0"/>
      <w:marTop w:val="0"/>
      <w:marBottom w:val="0"/>
      <w:divBdr>
        <w:top w:val="none" w:sz="0" w:space="0" w:color="auto"/>
        <w:left w:val="none" w:sz="0" w:space="0" w:color="auto"/>
        <w:bottom w:val="none" w:sz="0" w:space="0" w:color="auto"/>
        <w:right w:val="none" w:sz="0" w:space="0" w:color="auto"/>
      </w:divBdr>
    </w:div>
    <w:div w:id="398485353">
      <w:bodyDiv w:val="1"/>
      <w:marLeft w:val="0"/>
      <w:marRight w:val="0"/>
      <w:marTop w:val="0"/>
      <w:marBottom w:val="0"/>
      <w:divBdr>
        <w:top w:val="none" w:sz="0" w:space="0" w:color="auto"/>
        <w:left w:val="none" w:sz="0" w:space="0" w:color="auto"/>
        <w:bottom w:val="none" w:sz="0" w:space="0" w:color="auto"/>
        <w:right w:val="none" w:sz="0" w:space="0" w:color="auto"/>
      </w:divBdr>
    </w:div>
    <w:div w:id="568157416">
      <w:bodyDiv w:val="1"/>
      <w:marLeft w:val="0"/>
      <w:marRight w:val="0"/>
      <w:marTop w:val="0"/>
      <w:marBottom w:val="0"/>
      <w:divBdr>
        <w:top w:val="none" w:sz="0" w:space="0" w:color="auto"/>
        <w:left w:val="none" w:sz="0" w:space="0" w:color="auto"/>
        <w:bottom w:val="none" w:sz="0" w:space="0" w:color="auto"/>
        <w:right w:val="none" w:sz="0" w:space="0" w:color="auto"/>
      </w:divBdr>
    </w:div>
    <w:div w:id="591861431">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717782947">
      <w:bodyDiv w:val="1"/>
      <w:marLeft w:val="0"/>
      <w:marRight w:val="0"/>
      <w:marTop w:val="0"/>
      <w:marBottom w:val="0"/>
      <w:divBdr>
        <w:top w:val="none" w:sz="0" w:space="0" w:color="auto"/>
        <w:left w:val="none" w:sz="0" w:space="0" w:color="auto"/>
        <w:bottom w:val="none" w:sz="0" w:space="0" w:color="auto"/>
        <w:right w:val="none" w:sz="0" w:space="0" w:color="auto"/>
      </w:divBdr>
    </w:div>
    <w:div w:id="761604756">
      <w:bodyDiv w:val="1"/>
      <w:marLeft w:val="0"/>
      <w:marRight w:val="0"/>
      <w:marTop w:val="0"/>
      <w:marBottom w:val="0"/>
      <w:divBdr>
        <w:top w:val="none" w:sz="0" w:space="0" w:color="auto"/>
        <w:left w:val="none" w:sz="0" w:space="0" w:color="auto"/>
        <w:bottom w:val="none" w:sz="0" w:space="0" w:color="auto"/>
        <w:right w:val="none" w:sz="0" w:space="0" w:color="auto"/>
      </w:divBdr>
    </w:div>
    <w:div w:id="827861207">
      <w:bodyDiv w:val="1"/>
      <w:marLeft w:val="0"/>
      <w:marRight w:val="0"/>
      <w:marTop w:val="0"/>
      <w:marBottom w:val="0"/>
      <w:divBdr>
        <w:top w:val="none" w:sz="0" w:space="0" w:color="auto"/>
        <w:left w:val="none" w:sz="0" w:space="0" w:color="auto"/>
        <w:bottom w:val="none" w:sz="0" w:space="0" w:color="auto"/>
        <w:right w:val="none" w:sz="0" w:space="0" w:color="auto"/>
      </w:divBdr>
    </w:div>
    <w:div w:id="920794092">
      <w:bodyDiv w:val="1"/>
      <w:marLeft w:val="0"/>
      <w:marRight w:val="0"/>
      <w:marTop w:val="0"/>
      <w:marBottom w:val="0"/>
      <w:divBdr>
        <w:top w:val="none" w:sz="0" w:space="0" w:color="auto"/>
        <w:left w:val="none" w:sz="0" w:space="0" w:color="auto"/>
        <w:bottom w:val="none" w:sz="0" w:space="0" w:color="auto"/>
        <w:right w:val="none" w:sz="0" w:space="0" w:color="auto"/>
      </w:divBdr>
    </w:div>
    <w:div w:id="931663948">
      <w:bodyDiv w:val="1"/>
      <w:marLeft w:val="0"/>
      <w:marRight w:val="0"/>
      <w:marTop w:val="0"/>
      <w:marBottom w:val="0"/>
      <w:divBdr>
        <w:top w:val="none" w:sz="0" w:space="0" w:color="auto"/>
        <w:left w:val="none" w:sz="0" w:space="0" w:color="auto"/>
        <w:bottom w:val="none" w:sz="0" w:space="0" w:color="auto"/>
        <w:right w:val="none" w:sz="0" w:space="0" w:color="auto"/>
      </w:divBdr>
    </w:div>
    <w:div w:id="931861911">
      <w:bodyDiv w:val="1"/>
      <w:marLeft w:val="0"/>
      <w:marRight w:val="0"/>
      <w:marTop w:val="0"/>
      <w:marBottom w:val="0"/>
      <w:divBdr>
        <w:top w:val="none" w:sz="0" w:space="0" w:color="auto"/>
        <w:left w:val="none" w:sz="0" w:space="0" w:color="auto"/>
        <w:bottom w:val="none" w:sz="0" w:space="0" w:color="auto"/>
        <w:right w:val="none" w:sz="0" w:space="0" w:color="auto"/>
      </w:divBdr>
    </w:div>
    <w:div w:id="959341689">
      <w:bodyDiv w:val="1"/>
      <w:marLeft w:val="0"/>
      <w:marRight w:val="0"/>
      <w:marTop w:val="0"/>
      <w:marBottom w:val="0"/>
      <w:divBdr>
        <w:top w:val="none" w:sz="0" w:space="0" w:color="auto"/>
        <w:left w:val="none" w:sz="0" w:space="0" w:color="auto"/>
        <w:bottom w:val="none" w:sz="0" w:space="0" w:color="auto"/>
        <w:right w:val="none" w:sz="0" w:space="0" w:color="auto"/>
      </w:divBdr>
    </w:div>
    <w:div w:id="1001352132">
      <w:bodyDiv w:val="1"/>
      <w:marLeft w:val="0"/>
      <w:marRight w:val="0"/>
      <w:marTop w:val="0"/>
      <w:marBottom w:val="0"/>
      <w:divBdr>
        <w:top w:val="none" w:sz="0" w:space="0" w:color="auto"/>
        <w:left w:val="none" w:sz="0" w:space="0" w:color="auto"/>
        <w:bottom w:val="none" w:sz="0" w:space="0" w:color="auto"/>
        <w:right w:val="none" w:sz="0" w:space="0" w:color="auto"/>
      </w:divBdr>
    </w:div>
    <w:div w:id="1005203770">
      <w:bodyDiv w:val="1"/>
      <w:marLeft w:val="0"/>
      <w:marRight w:val="0"/>
      <w:marTop w:val="0"/>
      <w:marBottom w:val="0"/>
      <w:divBdr>
        <w:top w:val="none" w:sz="0" w:space="0" w:color="auto"/>
        <w:left w:val="none" w:sz="0" w:space="0" w:color="auto"/>
        <w:bottom w:val="none" w:sz="0" w:space="0" w:color="auto"/>
        <w:right w:val="none" w:sz="0" w:space="0" w:color="auto"/>
      </w:divBdr>
    </w:div>
    <w:div w:id="1010987990">
      <w:bodyDiv w:val="1"/>
      <w:marLeft w:val="0"/>
      <w:marRight w:val="0"/>
      <w:marTop w:val="0"/>
      <w:marBottom w:val="0"/>
      <w:divBdr>
        <w:top w:val="none" w:sz="0" w:space="0" w:color="auto"/>
        <w:left w:val="none" w:sz="0" w:space="0" w:color="auto"/>
        <w:bottom w:val="none" w:sz="0" w:space="0" w:color="auto"/>
        <w:right w:val="none" w:sz="0" w:space="0" w:color="auto"/>
      </w:divBdr>
    </w:div>
    <w:div w:id="1034041473">
      <w:bodyDiv w:val="1"/>
      <w:marLeft w:val="0"/>
      <w:marRight w:val="0"/>
      <w:marTop w:val="0"/>
      <w:marBottom w:val="0"/>
      <w:divBdr>
        <w:top w:val="none" w:sz="0" w:space="0" w:color="auto"/>
        <w:left w:val="none" w:sz="0" w:space="0" w:color="auto"/>
        <w:bottom w:val="none" w:sz="0" w:space="0" w:color="auto"/>
        <w:right w:val="none" w:sz="0" w:space="0" w:color="auto"/>
      </w:divBdr>
    </w:div>
    <w:div w:id="1048342318">
      <w:bodyDiv w:val="1"/>
      <w:marLeft w:val="0"/>
      <w:marRight w:val="0"/>
      <w:marTop w:val="0"/>
      <w:marBottom w:val="0"/>
      <w:divBdr>
        <w:top w:val="none" w:sz="0" w:space="0" w:color="auto"/>
        <w:left w:val="none" w:sz="0" w:space="0" w:color="auto"/>
        <w:bottom w:val="none" w:sz="0" w:space="0" w:color="auto"/>
        <w:right w:val="none" w:sz="0" w:space="0" w:color="auto"/>
      </w:divBdr>
    </w:div>
    <w:div w:id="1230921377">
      <w:bodyDiv w:val="1"/>
      <w:marLeft w:val="0"/>
      <w:marRight w:val="0"/>
      <w:marTop w:val="0"/>
      <w:marBottom w:val="0"/>
      <w:divBdr>
        <w:top w:val="none" w:sz="0" w:space="0" w:color="auto"/>
        <w:left w:val="none" w:sz="0" w:space="0" w:color="auto"/>
        <w:bottom w:val="none" w:sz="0" w:space="0" w:color="auto"/>
        <w:right w:val="none" w:sz="0" w:space="0" w:color="auto"/>
      </w:divBdr>
    </w:div>
    <w:div w:id="1579485470">
      <w:bodyDiv w:val="1"/>
      <w:marLeft w:val="0"/>
      <w:marRight w:val="0"/>
      <w:marTop w:val="0"/>
      <w:marBottom w:val="0"/>
      <w:divBdr>
        <w:top w:val="none" w:sz="0" w:space="0" w:color="auto"/>
        <w:left w:val="none" w:sz="0" w:space="0" w:color="auto"/>
        <w:bottom w:val="none" w:sz="0" w:space="0" w:color="auto"/>
        <w:right w:val="none" w:sz="0" w:space="0" w:color="auto"/>
      </w:divBdr>
    </w:div>
    <w:div w:id="1587642225">
      <w:bodyDiv w:val="1"/>
      <w:marLeft w:val="0"/>
      <w:marRight w:val="0"/>
      <w:marTop w:val="0"/>
      <w:marBottom w:val="0"/>
      <w:divBdr>
        <w:top w:val="none" w:sz="0" w:space="0" w:color="auto"/>
        <w:left w:val="none" w:sz="0" w:space="0" w:color="auto"/>
        <w:bottom w:val="none" w:sz="0" w:space="0" w:color="auto"/>
        <w:right w:val="none" w:sz="0" w:space="0" w:color="auto"/>
      </w:divBdr>
    </w:div>
    <w:div w:id="1605966232">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726181581">
      <w:bodyDiv w:val="1"/>
      <w:marLeft w:val="0"/>
      <w:marRight w:val="0"/>
      <w:marTop w:val="0"/>
      <w:marBottom w:val="0"/>
      <w:divBdr>
        <w:top w:val="none" w:sz="0" w:space="0" w:color="auto"/>
        <w:left w:val="none" w:sz="0" w:space="0" w:color="auto"/>
        <w:bottom w:val="none" w:sz="0" w:space="0" w:color="auto"/>
        <w:right w:val="none" w:sz="0" w:space="0" w:color="auto"/>
      </w:divBdr>
    </w:div>
    <w:div w:id="1758399994">
      <w:bodyDiv w:val="1"/>
      <w:marLeft w:val="0"/>
      <w:marRight w:val="0"/>
      <w:marTop w:val="0"/>
      <w:marBottom w:val="0"/>
      <w:divBdr>
        <w:top w:val="none" w:sz="0" w:space="0" w:color="auto"/>
        <w:left w:val="none" w:sz="0" w:space="0" w:color="auto"/>
        <w:bottom w:val="none" w:sz="0" w:space="0" w:color="auto"/>
        <w:right w:val="none" w:sz="0" w:space="0" w:color="auto"/>
      </w:divBdr>
    </w:div>
    <w:div w:id="1780907432">
      <w:bodyDiv w:val="1"/>
      <w:marLeft w:val="0"/>
      <w:marRight w:val="0"/>
      <w:marTop w:val="0"/>
      <w:marBottom w:val="0"/>
      <w:divBdr>
        <w:top w:val="none" w:sz="0" w:space="0" w:color="auto"/>
        <w:left w:val="none" w:sz="0" w:space="0" w:color="auto"/>
        <w:bottom w:val="none" w:sz="0" w:space="0" w:color="auto"/>
        <w:right w:val="none" w:sz="0" w:space="0" w:color="auto"/>
      </w:divBdr>
    </w:div>
    <w:div w:id="1800880210">
      <w:bodyDiv w:val="1"/>
      <w:marLeft w:val="0"/>
      <w:marRight w:val="0"/>
      <w:marTop w:val="0"/>
      <w:marBottom w:val="0"/>
      <w:divBdr>
        <w:top w:val="none" w:sz="0" w:space="0" w:color="auto"/>
        <w:left w:val="none" w:sz="0" w:space="0" w:color="auto"/>
        <w:bottom w:val="none" w:sz="0" w:space="0" w:color="auto"/>
        <w:right w:val="none" w:sz="0" w:space="0" w:color="auto"/>
      </w:divBdr>
    </w:div>
    <w:div w:id="1812555292">
      <w:bodyDiv w:val="1"/>
      <w:marLeft w:val="0"/>
      <w:marRight w:val="0"/>
      <w:marTop w:val="0"/>
      <w:marBottom w:val="0"/>
      <w:divBdr>
        <w:top w:val="none" w:sz="0" w:space="0" w:color="auto"/>
        <w:left w:val="none" w:sz="0" w:space="0" w:color="auto"/>
        <w:bottom w:val="none" w:sz="0" w:space="0" w:color="auto"/>
        <w:right w:val="none" w:sz="0" w:space="0" w:color="auto"/>
      </w:divBdr>
    </w:div>
    <w:div w:id="1857306990">
      <w:bodyDiv w:val="1"/>
      <w:marLeft w:val="0"/>
      <w:marRight w:val="0"/>
      <w:marTop w:val="0"/>
      <w:marBottom w:val="0"/>
      <w:divBdr>
        <w:top w:val="none" w:sz="0" w:space="0" w:color="auto"/>
        <w:left w:val="none" w:sz="0" w:space="0" w:color="auto"/>
        <w:bottom w:val="none" w:sz="0" w:space="0" w:color="auto"/>
        <w:right w:val="none" w:sz="0" w:space="0" w:color="auto"/>
      </w:divBdr>
    </w:div>
    <w:div w:id="1910379215">
      <w:bodyDiv w:val="1"/>
      <w:marLeft w:val="0"/>
      <w:marRight w:val="0"/>
      <w:marTop w:val="0"/>
      <w:marBottom w:val="0"/>
      <w:divBdr>
        <w:top w:val="none" w:sz="0" w:space="0" w:color="auto"/>
        <w:left w:val="none" w:sz="0" w:space="0" w:color="auto"/>
        <w:bottom w:val="none" w:sz="0" w:space="0" w:color="auto"/>
        <w:right w:val="none" w:sz="0" w:space="0" w:color="auto"/>
      </w:divBdr>
    </w:div>
    <w:div w:id="1917591829">
      <w:bodyDiv w:val="1"/>
      <w:marLeft w:val="0"/>
      <w:marRight w:val="0"/>
      <w:marTop w:val="0"/>
      <w:marBottom w:val="0"/>
      <w:divBdr>
        <w:top w:val="none" w:sz="0" w:space="0" w:color="auto"/>
        <w:left w:val="none" w:sz="0" w:space="0" w:color="auto"/>
        <w:bottom w:val="none" w:sz="0" w:space="0" w:color="auto"/>
        <w:right w:val="none" w:sz="0" w:space="0" w:color="auto"/>
      </w:divBdr>
    </w:div>
    <w:div w:id="1943563026">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3813</Words>
  <Characters>27562</Characters>
  <Application>Microsoft Office Word</Application>
  <DocSecurity>0</DocSecurity>
  <Lines>229</Lines>
  <Paragraphs>62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PARTICULARS TO APPEAR ON &lt;THE OUTER PACKAGING&gt; &lt;AND&gt; &lt;THE IMMEDIATE PACKAGING&gt;</vt:lpstr>
      <vt:lpstr>PARTICULARS TO APPEAR ON &lt;THE OUTER PACKAGING&gt; &lt;AND&gt; &lt;THE IMMEDIATE PACKAGING&gt;</vt:lpstr>
    </vt:vector>
  </TitlesOfParts>
  <Company>Grizli777</Company>
  <LinksUpToDate>false</LinksUpToDate>
  <CharactersWithSpaces>31313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cp:lastModifiedBy>HU_OGYI_50.1</cp:lastModifiedBy>
  <cp:revision>2</cp:revision>
  <dcterms:created xsi:type="dcterms:W3CDTF">2025-01-09T10:15:00Z</dcterms:created>
  <dcterms:modified xsi:type="dcterms:W3CDTF">2025-01-09T10:15:00Z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PI_Text079328_1</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