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ABF" w:rsidRDefault="00F8255D">
      <w:pPr>
        <w:jc w:val="center"/>
        <w:outlineLvl w:val="0"/>
        <w:rPr>
          <w:noProof/>
          <w:sz w:val="22"/>
          <w:szCs w:val="22"/>
          <w:lang w:val="en-US"/>
        </w:rPr>
      </w:pPr>
      <w:r>
        <w:rPr>
          <w:b/>
          <w:noProof/>
          <w:sz w:val="22"/>
          <w:szCs w:val="22"/>
          <w:lang w:val="en-US"/>
        </w:rPr>
        <w:t>Betegtájékoztató: Információk a felhasználó számára</w:t>
      </w:r>
    </w:p>
    <w:p w:rsidR="003E0ABF" w:rsidRDefault="003E0ABF">
      <w:pPr>
        <w:jc w:val="center"/>
        <w:rPr>
          <w:b/>
          <w:noProof/>
          <w:sz w:val="22"/>
          <w:szCs w:val="22"/>
        </w:rPr>
      </w:pPr>
    </w:p>
    <w:p w:rsidR="003E0ABF" w:rsidRDefault="00F8255D">
      <w:pPr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Lavestra 25 mg filmtabletta</w:t>
      </w:r>
    </w:p>
    <w:p w:rsidR="003E0ABF" w:rsidRDefault="00F8255D">
      <w:pPr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Lavestra 50 mg filmtabletta</w:t>
      </w:r>
    </w:p>
    <w:p w:rsidR="003E0ABF" w:rsidRDefault="00F8255D">
      <w:pPr>
        <w:jc w:val="center"/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Lavestra 100 mg filmtabletta</w:t>
      </w:r>
    </w:p>
    <w:p w:rsidR="003E0ABF" w:rsidRDefault="003E0ABF">
      <w:pPr>
        <w:jc w:val="center"/>
        <w:rPr>
          <w:noProof/>
          <w:sz w:val="22"/>
          <w:szCs w:val="22"/>
        </w:rPr>
      </w:pPr>
    </w:p>
    <w:p w:rsidR="003E0ABF" w:rsidRDefault="00F8255D">
      <w:pPr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t>lozartán-kálium</w:t>
      </w:r>
    </w:p>
    <w:p w:rsidR="003E0ABF" w:rsidRDefault="003E0ABF">
      <w:pPr>
        <w:jc w:val="center"/>
        <w:rPr>
          <w:b/>
          <w:noProof/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Mielőtt elkezdi szedni ezt a gyógyszert, olvassa el figyelmesen az alábbi betegtájékoztatót, mert az Ön számára fontos információkat tartalmaz.</w:t>
      </w:r>
    </w:p>
    <w:p w:rsidR="003E0ABF" w:rsidRDefault="00F8255D">
      <w:pPr>
        <w:numPr>
          <w:ilvl w:val="0"/>
          <w:numId w:val="15"/>
        </w:numPr>
        <w:tabs>
          <w:tab w:val="clear" w:pos="720"/>
          <w:tab w:val="num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Tartsa meg a betegtájékoztatót, mert a benne szereplő információkra a későbbiekben is szüksége lehet.</w:t>
      </w:r>
    </w:p>
    <w:p w:rsidR="003E0ABF" w:rsidRDefault="00F8255D">
      <w:pPr>
        <w:numPr>
          <w:ilvl w:val="0"/>
          <w:numId w:val="15"/>
        </w:numPr>
        <w:tabs>
          <w:tab w:val="clear" w:pos="720"/>
          <w:tab w:val="num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További kérdéseivel forduljon kezelőorvosához vagy gyógyszerészéhez.</w:t>
      </w:r>
    </w:p>
    <w:p w:rsidR="003E0ABF" w:rsidRDefault="00F8255D">
      <w:pPr>
        <w:numPr>
          <w:ilvl w:val="0"/>
          <w:numId w:val="15"/>
        </w:numPr>
        <w:tabs>
          <w:tab w:val="clear" w:pos="720"/>
          <w:tab w:val="num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Ezt a gyógyszert az orvos kizárólag Önnek írta fel. Ne adja át a készítményt másnak, mert számára ártalmas lehet még abban az esetben is, ha a betegsége</w:t>
      </w:r>
      <w:r>
        <w:rPr>
          <w:noProof/>
          <w:sz w:val="22"/>
        </w:rPr>
        <w:t xml:space="preserve"> </w:t>
      </w:r>
      <w:r>
        <w:rPr>
          <w:noProof/>
          <w:sz w:val="22"/>
          <w:szCs w:val="22"/>
        </w:rPr>
        <w:t>tünetei az Önéhez hasonlóak.</w:t>
      </w:r>
    </w:p>
    <w:p w:rsidR="003E0ABF" w:rsidRDefault="00F8255D">
      <w:pPr>
        <w:numPr>
          <w:ilvl w:val="0"/>
          <w:numId w:val="33"/>
        </w:numPr>
        <w:tabs>
          <w:tab w:val="clear" w:pos="360"/>
          <w:tab w:val="num" w:pos="567"/>
        </w:tabs>
        <w:suppressAutoHyphens/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Önnél bármilyen</w:t>
      </w:r>
      <w:r>
        <w:rPr>
          <w:sz w:val="22"/>
          <w:szCs w:val="22"/>
        </w:rPr>
        <w:t xml:space="preserve"> mellékhatás </w:t>
      </w:r>
      <w:r>
        <w:rPr>
          <w:noProof/>
          <w:sz w:val="22"/>
          <w:szCs w:val="22"/>
        </w:rPr>
        <w:t>jelentkezik, tájékoztassa erről kezelőorvosát vagy gyógyszerészét. Ez a betegtájékozt</w:t>
      </w:r>
      <w:proofErr w:type="spellStart"/>
      <w:r>
        <w:rPr>
          <w:sz w:val="22"/>
          <w:szCs w:val="22"/>
        </w:rPr>
        <w:t>atóban</w:t>
      </w:r>
      <w:proofErr w:type="spellEnd"/>
      <w:r>
        <w:rPr>
          <w:sz w:val="22"/>
          <w:szCs w:val="22"/>
        </w:rPr>
        <w:t xml:space="preserve"> </w:t>
      </w:r>
      <w:r>
        <w:rPr>
          <w:noProof/>
          <w:sz w:val="22"/>
          <w:szCs w:val="22"/>
        </w:rPr>
        <w:t>fel nem sorolt bármilyen lehetséges mellékhatásra is vonatkozik. Lásd 4. po</w:t>
      </w:r>
      <w:proofErr w:type="spellStart"/>
      <w:r>
        <w:rPr>
          <w:sz w:val="22"/>
          <w:szCs w:val="22"/>
        </w:rPr>
        <w:t>nt</w:t>
      </w:r>
      <w:proofErr w:type="spellEnd"/>
      <w:r>
        <w:rPr>
          <w:sz w:val="22"/>
          <w:szCs w:val="22"/>
        </w:rPr>
        <w:t>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betegtájékoztató tartalma:</w:t>
      </w:r>
    </w:p>
    <w:p w:rsidR="003E0ABF" w:rsidRDefault="00F8255D">
      <w:pPr>
        <w:numPr>
          <w:ilvl w:val="1"/>
          <w:numId w:val="15"/>
        </w:numPr>
        <w:tabs>
          <w:tab w:val="clear" w:pos="1440"/>
        </w:tabs>
        <w:ind w:left="720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Milyen típusú gyógyszer a Lavestra és milyen betegségek esetén alkalmazható?</w:t>
      </w:r>
    </w:p>
    <w:p w:rsidR="003E0ABF" w:rsidRDefault="00F8255D">
      <w:pPr>
        <w:numPr>
          <w:ilvl w:val="1"/>
          <w:numId w:val="15"/>
        </w:numPr>
        <w:tabs>
          <w:tab w:val="clear" w:pos="1440"/>
        </w:tabs>
        <w:ind w:left="720" w:hanging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Tudnivalók a Lavestra szedése előtt</w:t>
      </w: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3.</w:t>
      </w:r>
      <w:r>
        <w:rPr>
          <w:noProof/>
          <w:sz w:val="22"/>
          <w:szCs w:val="22"/>
        </w:rPr>
        <w:tab/>
        <w:t>Hogyan kell szedni a Lavestra-t?</w:t>
      </w: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4.</w:t>
      </w:r>
      <w:r>
        <w:rPr>
          <w:noProof/>
          <w:sz w:val="22"/>
          <w:szCs w:val="22"/>
        </w:rPr>
        <w:tab/>
        <w:t>Lehetséges mellékhatások</w:t>
      </w: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5.</w:t>
      </w:r>
      <w:r>
        <w:rPr>
          <w:noProof/>
          <w:sz w:val="22"/>
          <w:szCs w:val="22"/>
        </w:rPr>
        <w:tab/>
        <w:t>Hogyan kell a Lavestra-t tárolni?</w:t>
      </w: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6.</w:t>
      </w:r>
      <w:r>
        <w:rPr>
          <w:noProof/>
          <w:sz w:val="22"/>
          <w:szCs w:val="22"/>
        </w:rPr>
        <w:tab/>
        <w:t xml:space="preserve">A csomagolás tartalma és egyéb </w:t>
      </w:r>
      <w:r>
        <w:rPr>
          <w:sz w:val="22"/>
          <w:szCs w:val="22"/>
        </w:rPr>
        <w:t>információk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ind w:left="567" w:hanging="567"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1.</w:t>
      </w:r>
      <w:r>
        <w:rPr>
          <w:b/>
          <w:noProof/>
          <w:sz w:val="22"/>
          <w:szCs w:val="22"/>
        </w:rPr>
        <w:tab/>
        <w:t>Milyen típusú gyógyszer a Lavestra és milyen betegségek esetén alkalmazható?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> II-receptor gátlók gyógyszercsoportjába tartozik.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 II a szervezet által termelt anyag, mely a </w:t>
      </w:r>
      <w:proofErr w:type="spellStart"/>
      <w:r>
        <w:rPr>
          <w:sz w:val="22"/>
          <w:szCs w:val="22"/>
          <w:lang w:eastAsia="en-US"/>
        </w:rPr>
        <w:t>vérerekben</w:t>
      </w:r>
      <w:proofErr w:type="spellEnd"/>
      <w:r>
        <w:rPr>
          <w:sz w:val="22"/>
          <w:szCs w:val="22"/>
          <w:lang w:eastAsia="en-US"/>
        </w:rPr>
        <w:t xml:space="preserve"> található receptorokhoz kötődve szűkíti az </w:t>
      </w:r>
      <w:proofErr w:type="spellStart"/>
      <w:r>
        <w:rPr>
          <w:sz w:val="22"/>
          <w:szCs w:val="22"/>
          <w:lang w:eastAsia="en-US"/>
        </w:rPr>
        <w:t>ereket</w:t>
      </w:r>
      <w:proofErr w:type="spellEnd"/>
      <w:r>
        <w:rPr>
          <w:sz w:val="22"/>
          <w:szCs w:val="22"/>
          <w:lang w:eastAsia="en-US"/>
        </w:rPr>
        <w:t xml:space="preserve">. Ez a vérnyomás emelkedését eredményezi.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meggátolja az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 II kötődését a receptorokhoz, így a </w:t>
      </w:r>
      <w:proofErr w:type="spellStart"/>
      <w:r>
        <w:rPr>
          <w:sz w:val="22"/>
          <w:szCs w:val="22"/>
          <w:lang w:eastAsia="en-US"/>
        </w:rPr>
        <w:t>vérerek</w:t>
      </w:r>
      <w:proofErr w:type="spellEnd"/>
      <w:r>
        <w:rPr>
          <w:sz w:val="22"/>
          <w:szCs w:val="22"/>
          <w:lang w:eastAsia="en-US"/>
        </w:rPr>
        <w:t xml:space="preserve"> ellazulnak, mely következésképpen a vérnyomás csökkenéséhez vezet.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lelassítja a vesefunkció romlását a magas vérnyomásban és 2-es típusú cukorbetegségben szenvedő betegeknél.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alkalmazható:</w:t>
      </w:r>
    </w:p>
    <w:p w:rsidR="003E0ABF" w:rsidRDefault="00F8255D">
      <w:pPr>
        <w:numPr>
          <w:ilvl w:val="0"/>
          <w:numId w:val="28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magas vérnyomásban (hipertóniában) szenvedő </w:t>
      </w:r>
      <w:r>
        <w:rPr>
          <w:color w:val="000000"/>
          <w:sz w:val="22"/>
          <w:szCs w:val="22"/>
        </w:rPr>
        <w:t>felnőttek, valamint 6–18 éves gyermekek és serdülő</w:t>
      </w:r>
      <w:r>
        <w:rPr>
          <w:sz w:val="22"/>
          <w:szCs w:val="22"/>
          <w:lang w:eastAsia="en-US"/>
        </w:rPr>
        <w:t>k kezelésére,</w:t>
      </w:r>
    </w:p>
    <w:p w:rsidR="003E0ABF" w:rsidRDefault="00F8255D">
      <w:pPr>
        <w:numPr>
          <w:ilvl w:val="0"/>
          <w:numId w:val="28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vesevédelemre magas vérnyomásban és 2-es típusú cukorbetegségben szenvedő betegeknél, akik laboratóriumi eredményeik alapján károsodott vesefunkcióval rendelkeznek és napi ≥ 0,5 g szintet meghaladó fehérjevizelésben (olyan állapot, amelyben a vizelet rendellenes mennyiségű fehérjét tartalmaz) szenvednek,</w:t>
      </w:r>
    </w:p>
    <w:p w:rsidR="003E0ABF" w:rsidRDefault="00F8255D">
      <w:pPr>
        <w:numPr>
          <w:ilvl w:val="0"/>
          <w:numId w:val="28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krónikus szívelégtelenségben szenvedő betegek kezelésére, akiknél egy bizonyos gyógyszerfajta, az úgynevezett </w:t>
      </w:r>
      <w:proofErr w:type="spellStart"/>
      <w:r>
        <w:rPr>
          <w:sz w:val="22"/>
          <w:szCs w:val="22"/>
          <w:lang w:eastAsia="en-US"/>
        </w:rPr>
        <w:t>angiotenzin</w:t>
      </w:r>
      <w:proofErr w:type="spellEnd"/>
      <w:r>
        <w:rPr>
          <w:sz w:val="22"/>
          <w:szCs w:val="22"/>
          <w:lang w:eastAsia="en-US"/>
        </w:rPr>
        <w:t xml:space="preserve">-konvertáló-enzim-gátlók (ACE-gátlók, a magas vérnyomás csökkentésére szolgáló gyógyszerek) az orvos megítélése szerint nem alkalmazható. Ha szívelégtelenségét ACE-gátlóval stabilizálták, Ön nem szedhet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>.</w:t>
      </w:r>
    </w:p>
    <w:p w:rsidR="003E0ABF" w:rsidRDefault="00F8255D">
      <w:pPr>
        <w:numPr>
          <w:ilvl w:val="0"/>
          <w:numId w:val="28"/>
        </w:numPr>
        <w:tabs>
          <w:tab w:val="clear" w:pos="720"/>
          <w:tab w:val="num" w:pos="567"/>
        </w:tabs>
        <w:autoSpaceDE w:val="0"/>
        <w:autoSpaceDN w:val="0"/>
        <w:adjustRightInd w:val="0"/>
        <w:ind w:left="567" w:hanging="567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magas vérnyomásban és balkamra-megvastagodásban szenvedő betegeknél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bizonyítottan csökkenti a </w:t>
      </w:r>
      <w:proofErr w:type="spellStart"/>
      <w:r>
        <w:rPr>
          <w:sz w:val="22"/>
          <w:szCs w:val="22"/>
          <w:lang w:eastAsia="en-US"/>
        </w:rPr>
        <w:t>sztrók</w:t>
      </w:r>
      <w:proofErr w:type="spellEnd"/>
      <w:r>
        <w:rPr>
          <w:sz w:val="22"/>
          <w:szCs w:val="22"/>
          <w:lang w:eastAsia="en-US"/>
        </w:rPr>
        <w:t xml:space="preserve"> kockázatát („LIFE” vizsgálat indikációja).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keepNext/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lastRenderedPageBreak/>
        <w:t>2.</w:t>
      </w:r>
      <w:r>
        <w:rPr>
          <w:b/>
          <w:noProof/>
          <w:sz w:val="22"/>
          <w:szCs w:val="22"/>
        </w:rPr>
        <w:tab/>
        <w:t>Tudnivalók a Lavestra szedése előtt</w:t>
      </w:r>
    </w:p>
    <w:p w:rsidR="003E0ABF" w:rsidRDefault="003E0ABF">
      <w:pPr>
        <w:keepNext/>
        <w:rPr>
          <w:noProof/>
          <w:sz w:val="22"/>
          <w:szCs w:val="22"/>
        </w:rPr>
      </w:pPr>
    </w:p>
    <w:p w:rsidR="003E0ABF" w:rsidRDefault="00F8255D">
      <w:pPr>
        <w:keepNext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Ne szedje a Lavestra-t</w:t>
      </w:r>
    </w:p>
    <w:p w:rsidR="003E0ABF" w:rsidRDefault="00F8255D">
      <w:pPr>
        <w:keepNext/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allergiás a lozartánra vagy a gyógyszer (6. pontban felsorolt) egyéb összetevőjére;</w:t>
      </w:r>
    </w:p>
    <w:p w:rsidR="003E0ABF" w:rsidRDefault="00F8255D">
      <w:pPr>
        <w:keepNext/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súlyos májkárosodásban szenved;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több mint 3 hónapja terhes. (Azonban a terhesség korai szakaszában sem ajánlott szedni a Lavestra filmtablettát. Lásd a “Terhesség” című részt.)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ha cukorbetegségben szenved vagy károsodott a veseműködése és </w:t>
      </w:r>
      <w:proofErr w:type="spellStart"/>
      <w:r>
        <w:rPr>
          <w:sz w:val="22"/>
          <w:szCs w:val="22"/>
        </w:rPr>
        <w:t>aliszkirén</w:t>
      </w:r>
      <w:proofErr w:type="spellEnd"/>
      <w:r>
        <w:rPr>
          <w:sz w:val="22"/>
          <w:szCs w:val="22"/>
        </w:rPr>
        <w:t xml:space="preserve"> hatóanyag-tartalmú vérnyomáscsökkentő gyógyszert kap.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ind w:right="-2"/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Figyelmeztetések és óvintézkedések</w:t>
      </w:r>
    </w:p>
    <w:p w:rsidR="003E0ABF" w:rsidRDefault="00F8255D">
      <w:pPr>
        <w:ind w:right="-2"/>
        <w:rPr>
          <w:noProof/>
          <w:sz w:val="22"/>
          <w:szCs w:val="22"/>
        </w:rPr>
      </w:pPr>
      <w:r>
        <w:rPr>
          <w:noProof/>
          <w:sz w:val="22"/>
          <w:szCs w:val="22"/>
        </w:rPr>
        <w:t>A Lavestra szedése előtt beszéljen kezelőorvosával vagy gyógyszerészével.</w:t>
      </w: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Feltétlenül közölje kezelőorvosával, ha úgy gondolja, hogy terhes (</w:t>
      </w:r>
      <w:r>
        <w:rPr>
          <w:noProof/>
          <w:sz w:val="22"/>
          <w:szCs w:val="22"/>
          <w:u w:val="single"/>
        </w:rPr>
        <w:t>vagy teherbe eshet</w:t>
      </w:r>
      <w:r>
        <w:rPr>
          <w:noProof/>
          <w:sz w:val="22"/>
          <w:szCs w:val="22"/>
        </w:rPr>
        <w:t>). A Lavestra szedése a korai terhesség időszakában nem ajánlott. Nem szabad szedni a gyógyszert, ha több mint 3 hónapja terhes, minthogy súlyos károkat okozhat a magzatnak, ha a terhességnek ebben a szakaszában szedi (lásd a „Terhesség” című részt).</w:t>
      </w:r>
    </w:p>
    <w:p w:rsidR="003E0ABF" w:rsidRDefault="003E0ABF">
      <w:pPr>
        <w:rPr>
          <w:b/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Fontos, hogy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b/>
          <w:bCs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>szedésének megkezdése előtt tájékoztassa kezelőorvosát: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sz w:val="22"/>
          <w:szCs w:val="22"/>
          <w:lang w:eastAsia="en-US"/>
        </w:rPr>
      </w:pPr>
      <w:r>
        <w:rPr>
          <w:noProof/>
          <w:sz w:val="22"/>
          <w:szCs w:val="22"/>
        </w:rPr>
        <w:t>ha kórtörténetében angioödéma (arc, ajkak, torok</w:t>
      </w:r>
      <w:r>
        <w:t xml:space="preserve"> </w:t>
      </w:r>
      <w:r>
        <w:rPr>
          <w:noProof/>
          <w:sz w:val="22"/>
          <w:szCs w:val="22"/>
        </w:rPr>
        <w:t>és/vagy nyelv duzzanata) szerepel (lásd még 4. </w:t>
      </w:r>
      <w:r>
        <w:rPr>
          <w:sz w:val="22"/>
          <w:szCs w:val="22"/>
          <w:lang w:eastAsia="en-US"/>
        </w:rPr>
        <w:t>pont, „Lehetséges mellékhatások”);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nagymértékű hányás vagy hasmenés lép fel Önnél, mely a szervezet jelentős vízvesztéssel  és sóvesztéssel jár;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vízhajtót (diuretikumokat) szed vagy sószegény diétát tart, mely a szervezet jelentős vízvesztésével és sóvesztésével jár (lásd 3. pont, „Adagolás különleges betegcsoportokban”);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tudomása van róla, hogy szűkület vagy elzáródás van a vesékhez vezető vérereiben, vagy nemrég veseátültetésen esett át;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májkárosodásban szenved (lásd 2. pont „Ne szedje a Lavestra-t” és 3. „Adagolás különleges betegcsoportokban”);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vesekárosodással együtt vagy anélkül fennálló szívelégtelenségben szenved, illetve egyidejűleg életveszélyes szívritmuszavara van. Különleges elővigyázatosság szükséges, ha egyidejűleg béta-blokkoló-kezelés alatt áll;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szívbillentyű vagy szívizom problémái vannak;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szívkoszorúér-betegségben szenved (melyet a véráramlás csökkenése okoz a szívkoszorúerekben) vagy cerebrovaszkuláris betegségben szenved (melyet a véráramlás csökkenése okoz az agyi erekben);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 primér hiperaldoszteronizmusban szenved (az aldoszteron hormon túlzott termelődése a mellékvesében, amelyet a mellékvesében levő rendellenesség okoz);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bCs/>
          <w:sz w:val="22"/>
          <w:szCs w:val="22"/>
        </w:rPr>
        <w:t xml:space="preserve">ha olyan egyéb gyógyszereket szed, amelyek emelhetik a szérum káliumszintet </w:t>
      </w:r>
      <w:r>
        <w:rPr>
          <w:color w:val="000000"/>
          <w:sz w:val="22"/>
          <w:szCs w:val="22"/>
        </w:rPr>
        <w:t xml:space="preserve">(lásd 2. pont – „Egyéb gyógyszerek és a </w:t>
      </w:r>
      <w:proofErr w:type="spellStart"/>
      <w:r>
        <w:rPr>
          <w:color w:val="000000"/>
          <w:sz w:val="22"/>
          <w:szCs w:val="22"/>
        </w:rPr>
        <w:t>Lavestra</w:t>
      </w:r>
      <w:proofErr w:type="spellEnd"/>
      <w:r>
        <w:rPr>
          <w:color w:val="000000"/>
          <w:sz w:val="22"/>
          <w:szCs w:val="22"/>
        </w:rPr>
        <w:t>”);</w:t>
      </w:r>
    </w:p>
    <w:p w:rsidR="003E0ABF" w:rsidRDefault="00F8255D">
      <w:pPr>
        <w:numPr>
          <w:ilvl w:val="0"/>
          <w:numId w:val="34"/>
        </w:numPr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a következő, magas vérnyomás kezelésére szolgáló gyógyszerek bármelyikét szedi:</w:t>
      </w:r>
    </w:p>
    <w:p w:rsidR="003E0ABF" w:rsidRDefault="00F8255D">
      <w:pPr>
        <w:ind w:left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- ACE-gátlók (például enalapril, lizinopril, ramipril), különösen akkor, ha cukorbetegséggel összefüggő vesebetegségben szenved,</w:t>
      </w:r>
    </w:p>
    <w:p w:rsidR="003E0ABF" w:rsidRDefault="00F8255D">
      <w:pPr>
        <w:ind w:left="720"/>
        <w:rPr>
          <w:noProof/>
          <w:sz w:val="22"/>
          <w:szCs w:val="22"/>
        </w:rPr>
      </w:pPr>
      <w:r>
        <w:rPr>
          <w:noProof/>
          <w:sz w:val="22"/>
          <w:szCs w:val="22"/>
        </w:rPr>
        <w:t>- aliszkirén.</w:t>
      </w:r>
    </w:p>
    <w:p w:rsidR="003E0ABF" w:rsidRDefault="003E0ABF">
      <w:pPr>
        <w:ind w:left="709"/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Kezelőorvosa rendszeresen ellenőrizheti az Ön veseműködését, vérnyomását és az elektrolitszinteket (például kálium) a vérében.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Lásd még a „Ne szedje a Lavestra-t” pontban szereplő információkat.</w:t>
      </w:r>
    </w:p>
    <w:p w:rsidR="003E0ABF" w:rsidRPr="00E3125A" w:rsidRDefault="003E0ABF">
      <w:pPr>
        <w:ind w:right="-2"/>
        <w:rPr>
          <w:noProof/>
          <w:sz w:val="22"/>
          <w:szCs w:val="22"/>
        </w:rPr>
      </w:pPr>
    </w:p>
    <w:p w:rsidR="003E0ABF" w:rsidRPr="00E3125A" w:rsidRDefault="00F8255D">
      <w:pPr>
        <w:tabs>
          <w:tab w:val="left" w:pos="540"/>
        </w:tabs>
        <w:rPr>
          <w:sz w:val="22"/>
          <w:szCs w:val="22"/>
          <w:lang w:eastAsia="en-US"/>
        </w:rPr>
      </w:pPr>
      <w:r w:rsidRPr="00E3125A">
        <w:rPr>
          <w:sz w:val="22"/>
          <w:szCs w:val="22"/>
        </w:rPr>
        <w:t xml:space="preserve">Beszéljen kezelőorvosával, ha a </w:t>
      </w:r>
      <w:proofErr w:type="spellStart"/>
      <w:r w:rsidRPr="00E3125A">
        <w:rPr>
          <w:sz w:val="22"/>
          <w:szCs w:val="22"/>
        </w:rPr>
        <w:t>Lavestra</w:t>
      </w:r>
      <w:proofErr w:type="spellEnd"/>
      <w:r w:rsidRPr="00E3125A">
        <w:rPr>
          <w:sz w:val="22"/>
          <w:szCs w:val="22"/>
        </w:rPr>
        <w:t xml:space="preserve"> alkalmazását követően hasi fájdalmat, hányingert, hányást vagy hasmenést tapasztal. A további kezelésről kezelőorvosa fog dönteni. Saját elgondolásból ne hagyja abba a </w:t>
      </w:r>
      <w:proofErr w:type="spellStart"/>
      <w:r w:rsidRPr="00E3125A">
        <w:rPr>
          <w:sz w:val="22"/>
          <w:szCs w:val="22"/>
        </w:rPr>
        <w:t>Lavestra</w:t>
      </w:r>
      <w:proofErr w:type="spellEnd"/>
      <w:r w:rsidRPr="00E3125A">
        <w:rPr>
          <w:sz w:val="22"/>
          <w:szCs w:val="22"/>
        </w:rPr>
        <w:t xml:space="preserve"> alkalmazását.</w:t>
      </w:r>
    </w:p>
    <w:p w:rsidR="003E0ABF" w:rsidRPr="00F8255D" w:rsidRDefault="003E0ABF">
      <w:pPr>
        <w:rPr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Gyermekek és serdülők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vizsgálták gyermekek esetén. További információért forduljon kezelőorvosához.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veseproblémákban vagy májproblémákban szenvedő gyermekeknél nem ajánlott, mivel ezen betegcsoportokban csak korlátozottan állnak rendelkezésre adatok.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lastRenderedPageBreak/>
        <w:t>6 évesnél fiatalabb gyermekek számára nem javasolt, mivel nem mutatkozott megfelelő hatása ebben a korcsoportban.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keepNext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t>Egyéb</w:t>
      </w:r>
      <w:r>
        <w:rPr>
          <w:b/>
          <w:sz w:val="22"/>
          <w:szCs w:val="22"/>
        </w:rPr>
        <w:t xml:space="preserve"> gyógyszerek</w:t>
      </w:r>
      <w:r>
        <w:rPr>
          <w:b/>
          <w:noProof/>
          <w:sz w:val="22"/>
          <w:szCs w:val="22"/>
        </w:rPr>
        <w:t xml:space="preserve"> és a Lavestra</w:t>
      </w: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Tájékoztassa kezelőorvosát, ha Ön káliumpótlókat, káliumot tartalmazó sópótlókat, káliummegtakarító gyógyszereket, mint például bizonyos vízhajtókat (például amilorid, triamteren, spironolakton) vagy egyéb olyan gyógyszereket alkalmaz, melyek emelhetik a szérum káliumszintjét (például heparin, trimetoprim tartalmú készítmények), mivel a Lavestra-val történő együttes alkalmazásuk nem javasolt.</w:t>
      </w:r>
    </w:p>
    <w:p w:rsidR="003E0ABF" w:rsidRDefault="003E0ABF">
      <w:pPr>
        <w:rPr>
          <w:bCs/>
          <w:sz w:val="22"/>
          <w:szCs w:val="22"/>
        </w:rPr>
      </w:pPr>
    </w:p>
    <w:p w:rsidR="003E0ABF" w:rsidRDefault="00F8255D">
      <w:pPr>
        <w:keepNext/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Különleges elővigyázatosság szükséges, ha Ön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>-kezeléssel egyidejűleg a következő gyógyszereket is szedi: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egyéb vérnyomáscsökkentő gyógyszerek, mivel ezek tovább csökkenthetik vérnyomását. A vérnyomást az alábbi gyógyszercsoportok/gyógyszerek is csökkenthetik: triciklusos antidepresszánsok, antipszichotikus készítmények, baklofén, amifosztin,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nem-szteroid gyulladásgátló gyógyszerek, például: indometacin, ide értve a COX-2-gátlókat (fájdalomcsillapításra használt gyulladáscsökkentő gyógyszerek), mivel ezek csökkenthetik a lozartán vérnyomáscsökkentő hatását.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Ha az Ön vesefunkciója károsodott, ezen gyógyszerek együttes alkalmazása a vesefunkció további romlásához vezethet.</w:t>
      </w:r>
    </w:p>
    <w:p w:rsidR="003E0ABF" w:rsidRDefault="003E0ABF">
      <w:pPr>
        <w:rPr>
          <w:sz w:val="22"/>
          <w:szCs w:val="22"/>
          <w:lang w:eastAsia="en-US"/>
        </w:rPr>
      </w:pP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Lítiumot tartalmazó készítmények nem szedhetők együtt </w:t>
      </w:r>
      <w:proofErr w:type="spellStart"/>
      <w:r>
        <w:rPr>
          <w:sz w:val="22"/>
          <w:szCs w:val="22"/>
          <w:lang w:eastAsia="en-US"/>
        </w:rPr>
        <w:t>lozartánnal</w:t>
      </w:r>
      <w:proofErr w:type="spellEnd"/>
      <w:r>
        <w:rPr>
          <w:sz w:val="22"/>
          <w:szCs w:val="22"/>
          <w:lang w:eastAsia="en-US"/>
        </w:rPr>
        <w:t xml:space="preserve"> szigorú orvosi felügyelet nélkül. Ez esetben különleges elővigyázatossági óvintézkedésekre (például: vérvizsgálatok) lehet szükség.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Lehet, hogy kezelőorvosának meg kell változtatnia a gyógyszerek adagját, és/vagy egyéb óvintézkedéseket tehet:</w:t>
      </w:r>
    </w:p>
    <w:p w:rsidR="003E0ABF" w:rsidRDefault="00F8255D" w:rsidP="00F8255D">
      <w:pPr>
        <w:numPr>
          <w:ilvl w:val="0"/>
          <w:numId w:val="18"/>
        </w:numPr>
        <w:tabs>
          <w:tab w:val="clear" w:pos="720"/>
          <w:tab w:val="num" w:pos="567"/>
        </w:tabs>
        <w:ind w:left="567" w:hanging="567"/>
        <w:rPr>
          <w:noProof/>
          <w:sz w:val="22"/>
          <w:szCs w:val="22"/>
        </w:rPr>
      </w:pPr>
      <w:r>
        <w:rPr>
          <w:noProof/>
          <w:sz w:val="22"/>
          <w:szCs w:val="22"/>
        </w:rPr>
        <w:t>ha Ön ACE-gátlót vagy aliszkirént szed (lásd még a „Ne szedje a Lavestra-t” és a „Figyelmeztetések és óvintézkedések” pontok alatti információt).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Lavestra egyidejű bevétele étellel és itallal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tabletta étkezés közben vagy attól függetlenül is bevehető.</w:t>
      </w:r>
    </w:p>
    <w:p w:rsidR="003E0ABF" w:rsidRDefault="003E0ABF">
      <w:pPr>
        <w:rPr>
          <w:sz w:val="22"/>
          <w:szCs w:val="22"/>
          <w:lang w:eastAsia="en-US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tabletta szedése alatt kerülni kell a grépfrútlé fogyasztását.</w:t>
      </w:r>
    </w:p>
    <w:p w:rsidR="003E0ABF" w:rsidRDefault="003E0ABF">
      <w:pPr>
        <w:rPr>
          <w:b/>
          <w:noProof/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Terhesség és szoptatás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 xml:space="preserve">Mielőtt bármilyen gyógyszert </w:t>
      </w:r>
      <w:proofErr w:type="spellStart"/>
      <w:r>
        <w:rPr>
          <w:sz w:val="22"/>
          <w:szCs w:val="22"/>
        </w:rPr>
        <w:t>elkezdene</w:t>
      </w:r>
      <w:proofErr w:type="spellEnd"/>
      <w:r>
        <w:rPr>
          <w:sz w:val="22"/>
          <w:szCs w:val="22"/>
        </w:rPr>
        <w:t xml:space="preserve"> szedni, beszélje meg kezelőorvosával vagy gyógyszerészével.</w:t>
      </w:r>
    </w:p>
    <w:p w:rsidR="003E0ABF" w:rsidRDefault="003E0ABF">
      <w:pPr>
        <w:rPr>
          <w:sz w:val="22"/>
          <w:szCs w:val="22"/>
        </w:rPr>
      </w:pPr>
    </w:p>
    <w:p w:rsidR="003E0ABF" w:rsidRDefault="00F8255D">
      <w:pPr>
        <w:rPr>
          <w:i/>
          <w:sz w:val="22"/>
          <w:szCs w:val="22"/>
        </w:rPr>
      </w:pPr>
      <w:r>
        <w:rPr>
          <w:i/>
          <w:sz w:val="22"/>
          <w:szCs w:val="22"/>
        </w:rPr>
        <w:t>Terhesség</w:t>
      </w:r>
    </w:p>
    <w:p w:rsidR="003E0ABF" w:rsidRDefault="00F8255D">
      <w:pPr>
        <w:pStyle w:val="Szvegtrzs"/>
        <w:rPr>
          <w:szCs w:val="22"/>
          <w:lang w:val="hu-HU"/>
        </w:rPr>
      </w:pPr>
      <w:r>
        <w:rPr>
          <w:szCs w:val="22"/>
          <w:lang w:val="hu-HU"/>
        </w:rPr>
        <w:t>Feltétlenül közölje kezelőorvosával, ha úgy gondolja, hogy terhes (</w:t>
      </w:r>
      <w:r>
        <w:rPr>
          <w:szCs w:val="22"/>
          <w:u w:val="single"/>
          <w:lang w:val="hu-HU"/>
        </w:rPr>
        <w:t>vagy teherbe eshet</w:t>
      </w:r>
      <w:r>
        <w:rPr>
          <w:szCs w:val="22"/>
          <w:lang w:val="hu-HU"/>
        </w:rPr>
        <w:t xml:space="preserve">). Kezelőorvosa általában azt fogja tanácsolni Önnek, hogy hagyja abba a </w:t>
      </w:r>
      <w:proofErr w:type="spellStart"/>
      <w:r>
        <w:rPr>
          <w:szCs w:val="22"/>
          <w:lang w:val="hu-HU"/>
        </w:rPr>
        <w:t>Lavestra</w:t>
      </w:r>
      <w:proofErr w:type="spellEnd"/>
      <w:r>
        <w:rPr>
          <w:szCs w:val="22"/>
          <w:lang w:val="hu-HU"/>
        </w:rPr>
        <w:t xml:space="preserve"> szedését, mielőtt teherbe esik, vagy amint megtudja, hogy terhes és hogy a </w:t>
      </w:r>
      <w:proofErr w:type="spellStart"/>
      <w:r>
        <w:rPr>
          <w:szCs w:val="22"/>
          <w:lang w:val="hu-HU"/>
        </w:rPr>
        <w:t>Lavestra</w:t>
      </w:r>
      <w:proofErr w:type="spellEnd"/>
      <w:r>
        <w:rPr>
          <w:szCs w:val="22"/>
          <w:lang w:val="hu-HU"/>
        </w:rPr>
        <w:t xml:space="preserve"> helyett egy másik gyógyszert kezdjen el szedni. A </w:t>
      </w:r>
      <w:proofErr w:type="spellStart"/>
      <w:r>
        <w:rPr>
          <w:szCs w:val="22"/>
          <w:lang w:val="hu-HU"/>
        </w:rPr>
        <w:t>Lavestra</w:t>
      </w:r>
      <w:proofErr w:type="spellEnd"/>
      <w:r>
        <w:rPr>
          <w:szCs w:val="22"/>
          <w:lang w:val="hu-HU"/>
        </w:rPr>
        <w:t xml:space="preserve"> szedése nem ajánlott a korai terhesség időszakában és nem szabad szedni a </w:t>
      </w:r>
      <w:proofErr w:type="spellStart"/>
      <w:r>
        <w:rPr>
          <w:szCs w:val="22"/>
          <w:lang w:val="hu-HU"/>
        </w:rPr>
        <w:t>Lavestrát</w:t>
      </w:r>
      <w:proofErr w:type="spellEnd"/>
      <w:r>
        <w:rPr>
          <w:szCs w:val="22"/>
          <w:lang w:val="hu-HU"/>
        </w:rPr>
        <w:t xml:space="preserve"> a 3. terhességi hónap után sem, mert súlyos károkat okozhat a magzatnak.</w:t>
      </w:r>
    </w:p>
    <w:p w:rsidR="003E0ABF" w:rsidRDefault="003E0ABF">
      <w:pPr>
        <w:pStyle w:val="Szvegtrzs"/>
        <w:rPr>
          <w:b/>
          <w:szCs w:val="22"/>
          <w:lang w:val="hu-HU"/>
        </w:rPr>
      </w:pPr>
    </w:p>
    <w:p w:rsidR="003E0ABF" w:rsidRDefault="00F8255D">
      <w:pPr>
        <w:pStyle w:val="Szvegtrzs"/>
        <w:rPr>
          <w:i/>
          <w:szCs w:val="22"/>
          <w:lang w:val="hu-HU"/>
        </w:rPr>
      </w:pPr>
      <w:r>
        <w:rPr>
          <w:i/>
          <w:szCs w:val="22"/>
          <w:lang w:val="hu-HU"/>
        </w:rPr>
        <w:t>Szoptatás</w:t>
      </w:r>
    </w:p>
    <w:p w:rsidR="003E0ABF" w:rsidRDefault="00F8255D">
      <w:pPr>
        <w:pStyle w:val="Szvegtrzs"/>
        <w:rPr>
          <w:lang w:val="hu-HU"/>
        </w:rPr>
      </w:pPr>
      <w:r>
        <w:rPr>
          <w:szCs w:val="22"/>
          <w:lang w:val="hu-HU"/>
        </w:rPr>
        <w:t xml:space="preserve">Közölje kezelőorvosával, amennyiben szoptat, vagy el szeretné kezdeni a szoptatást. A </w:t>
      </w:r>
      <w:proofErr w:type="spellStart"/>
      <w:r>
        <w:rPr>
          <w:szCs w:val="22"/>
          <w:lang w:val="hu-HU"/>
        </w:rPr>
        <w:t>Lavestra</w:t>
      </w:r>
      <w:proofErr w:type="spellEnd"/>
      <w:r>
        <w:rPr>
          <w:szCs w:val="22"/>
          <w:lang w:val="hu-HU"/>
        </w:rPr>
        <w:t xml:space="preserve"> alkalmazása nem javasolt szoptató anyáknak. Amennyiben szoptatni szeretne, kezelőorvosa másik készítményt választhat az Ön számára, különösen abban az esetben, ha gyermeke újszülött vagy koraszülött.</w:t>
      </w:r>
    </w:p>
    <w:p w:rsidR="003E0ABF" w:rsidRDefault="003E0ABF">
      <w:pPr>
        <w:numPr>
          <w:ilvl w:val="12"/>
          <w:numId w:val="0"/>
        </w:numPr>
        <w:ind w:right="-2"/>
        <w:rPr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készítmény hatásai a gépjárművezetéshez és a gépek kezeléséhez szükséges képességekre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készítménynek a gépjárművezetéshez és a gépek kezeléséhez szükséges képességeket befolyásoló hatásait nem vizsgálták.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várhatóan nem befolyásolja a gépjárművezetői vagy gépek kezeléséhez szükséges képességeket. Az egyéb vérnyomáscsökkentő készítményekhez hasonlóan </w:t>
      </w:r>
      <w:r>
        <w:rPr>
          <w:sz w:val="22"/>
          <w:szCs w:val="22"/>
          <w:lang w:eastAsia="en-US"/>
        </w:rPr>
        <w:lastRenderedPageBreak/>
        <w:t xml:space="preserve">azonban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szédülést vagy álmosságot okozhat néhány embernél. Ha szédülést vagy álmosságot tapasztal, gépjárművezetés vagy gépek kezelése előtt forduljon kezelőorvosához.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A Lavestra laktózt tartalmaz</w:t>
      </w:r>
    </w:p>
    <w:p w:rsidR="003E0ABF" w:rsidRDefault="00F8255D">
      <w:pPr>
        <w:rPr>
          <w:i/>
          <w:iCs/>
          <w:sz w:val="22"/>
          <w:szCs w:val="22"/>
        </w:rPr>
      </w:pPr>
      <w:r>
        <w:rPr>
          <w:sz w:val="22"/>
          <w:szCs w:val="22"/>
        </w:rPr>
        <w:t>Amennyiben kezelőorvosa korábban már figyelmeztette Önt, hogy bizonyos cukrokra érzékeny, keresse fel kezelőorvosát, mielőtt elkezdi szedni ezt a gyógyszert.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keepNext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3.</w:t>
      </w:r>
      <w:r>
        <w:rPr>
          <w:b/>
          <w:noProof/>
          <w:sz w:val="22"/>
          <w:szCs w:val="22"/>
        </w:rPr>
        <w:tab/>
        <w:t>Hogyan kell szedni a Lavestra-t?</w:t>
      </w:r>
    </w:p>
    <w:p w:rsidR="003E0ABF" w:rsidRDefault="003E0ABF">
      <w:pPr>
        <w:keepNext/>
        <w:rPr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gyógyszert mindig a kezelőorvosa vagy gyógyszerésze által elmondottaknak megfelelően szedje. Amennyiben nem biztos az adagolást illetően, kérdezze meg kezelőorvosát vagy gyógyszerészét. Kezelőorvosa az Ön állapota és az alapján állapítja meg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megfelelő adagját, hogy Ön szed-e más készítményeket. Fontos, hogy addig szedje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>-t, amíg azt orvosa felírta, annak érdekében, hogy vérnyomását folyamatosan kontroll alatt tartsa.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Lavestra a következő hatáserősségekben kapható: 25 mg, 50 mg és 100 mg lozartán-kálium.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Magas vérnyomásban szenvedő felnőtt betegek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szokásos adagja magas vérnyomásban szenvedő betegeknek napi egyszer 50 mg (1 tabletta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50 mg) tabletta. A maximális vérnyomáscsökkentő hatás a kezelés megkezdését követő 3</w:t>
      </w:r>
      <w:r>
        <w:rPr>
          <w:sz w:val="22"/>
          <w:szCs w:val="22"/>
          <w:lang w:eastAsia="en-US"/>
        </w:rPr>
        <w:noBreakHyphen/>
        <w:t xml:space="preserve">6. héten érhető el. Néhány beteg esetében az adag a későbbiekben megemelhető napi egyszer 100 mg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(napi két tabletta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50 mg vagy 1 db 100 mg-</w:t>
      </w:r>
      <w:proofErr w:type="spellStart"/>
      <w:r>
        <w:rPr>
          <w:sz w:val="22"/>
          <w:szCs w:val="22"/>
          <w:lang w:eastAsia="en-US"/>
        </w:rPr>
        <w:t>os</w:t>
      </w:r>
      <w:proofErr w:type="spellEnd"/>
      <w:r>
        <w:rPr>
          <w:sz w:val="22"/>
          <w:szCs w:val="22"/>
          <w:lang w:eastAsia="en-US"/>
        </w:rPr>
        <w:t xml:space="preserve">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tabletta).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Ha úgy érzi, hogy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hatása túl erős vagy túl gyenge, kérjük, forduljon kezelőorvosához vagy gyógyszerészéhez.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b/>
          <w:sz w:val="22"/>
          <w:szCs w:val="22"/>
          <w:lang w:eastAsia="en-US"/>
        </w:rPr>
      </w:pPr>
      <w:r>
        <w:rPr>
          <w:b/>
          <w:sz w:val="22"/>
          <w:szCs w:val="22"/>
          <w:lang w:eastAsia="en-US"/>
        </w:rPr>
        <w:t>Alkalmazása gyermekeknél és serdülőknél</w:t>
      </w:r>
    </w:p>
    <w:p w:rsidR="003E0ABF" w:rsidRDefault="003E0ABF">
      <w:pPr>
        <w:autoSpaceDE w:val="0"/>
        <w:autoSpaceDN w:val="0"/>
        <w:adjustRightInd w:val="0"/>
        <w:rPr>
          <w:b/>
          <w:sz w:val="22"/>
          <w:szCs w:val="22"/>
          <w:lang w:eastAsia="en-US"/>
        </w:rPr>
      </w:pP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6 évesnél fiatalabb gyermekek</w:t>
      </w: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 </w:t>
      </w:r>
      <w:proofErr w:type="spellStart"/>
      <w:r>
        <w:rPr>
          <w:color w:val="000000"/>
          <w:sz w:val="22"/>
          <w:szCs w:val="22"/>
        </w:rPr>
        <w:t>Lavestra</w:t>
      </w:r>
      <w:proofErr w:type="spellEnd"/>
      <w:r>
        <w:rPr>
          <w:color w:val="000000"/>
          <w:sz w:val="22"/>
          <w:szCs w:val="22"/>
        </w:rPr>
        <w:t xml:space="preserve"> 6 évesnél fiatalabb gyermekek számára nem javasolt, mivel nem mutatkozott megfelelő hatása ebben a korcsoportban.</w:t>
      </w:r>
    </w:p>
    <w:p w:rsidR="003E0ABF" w:rsidRDefault="003E0ABF">
      <w:pPr>
        <w:tabs>
          <w:tab w:val="left" w:pos="567"/>
        </w:tabs>
        <w:contextualSpacing/>
        <w:rPr>
          <w:color w:val="000000"/>
          <w:sz w:val="22"/>
          <w:szCs w:val="22"/>
          <w:u w:val="single"/>
        </w:rPr>
      </w:pP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  <w:u w:val="single"/>
        </w:rPr>
      </w:pPr>
      <w:r>
        <w:rPr>
          <w:color w:val="000000"/>
          <w:sz w:val="22"/>
          <w:szCs w:val="22"/>
          <w:u w:val="single"/>
        </w:rPr>
        <w:t>6–18 éves gyermekek és serdülők</w:t>
      </w: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Az ajánlott kezdő adag 20–50 kg testsúlyú betegek esetében 0,7 mg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>/</w:t>
      </w:r>
      <w:proofErr w:type="spellStart"/>
      <w:r>
        <w:rPr>
          <w:color w:val="000000"/>
          <w:sz w:val="22"/>
          <w:szCs w:val="22"/>
        </w:rPr>
        <w:t>ttkg</w:t>
      </w:r>
      <w:proofErr w:type="spellEnd"/>
      <w:r>
        <w:rPr>
          <w:color w:val="000000"/>
          <w:sz w:val="22"/>
          <w:szCs w:val="22"/>
        </w:rPr>
        <w:t xml:space="preserve"> naponta egyszer (legfeljebb </w:t>
      </w:r>
      <w:proofErr w:type="spellStart"/>
      <w:r>
        <w:rPr>
          <w:color w:val="000000"/>
          <w:sz w:val="22"/>
          <w:szCs w:val="22"/>
        </w:rPr>
        <w:t>Lavestra</w:t>
      </w:r>
      <w:proofErr w:type="spellEnd"/>
      <w:r>
        <w:rPr>
          <w:color w:val="000000"/>
          <w:sz w:val="22"/>
          <w:szCs w:val="22"/>
        </w:rPr>
        <w:t xml:space="preserve"> 25 mg). A kezelőorvos emelheti az adagot, amennyiben a vérnyomás nem kontrollált.</w:t>
      </w:r>
    </w:p>
    <w:p w:rsidR="003E0ABF" w:rsidRDefault="003E0ABF">
      <w:pPr>
        <w:tabs>
          <w:tab w:val="left" w:pos="567"/>
        </w:tabs>
        <w:contextualSpacing/>
        <w:rPr>
          <w:color w:val="000000"/>
          <w:sz w:val="22"/>
          <w:szCs w:val="22"/>
        </w:rPr>
      </w:pP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Gyermekeknél történő alkalmazás során más </w:t>
      </w:r>
      <w:r>
        <w:rPr>
          <w:sz w:val="22"/>
          <w:szCs w:val="22"/>
        </w:rPr>
        <w:t>gyógyszerforma</w:t>
      </w:r>
      <w:r>
        <w:rPr>
          <w:color w:val="000000"/>
          <w:sz w:val="22"/>
          <w:szCs w:val="22"/>
        </w:rPr>
        <w:t xml:space="preserve"> megfelelőbb lehet, kérdezze meg kezelőorvosát vagy gyógyszerészét.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Magas vérnyomásban és 2-es típusú cukorbetegségben szenvedő felnőtt betegek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kezdő adag általában napi egyszer 50 mg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(1 db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50 mg tabletta). Az adag a vérnyomáscsökkentésre adott válasz függvényében a későbbiekben felemelhető napi egyszer 100 mg </w:t>
      </w:r>
      <w:proofErr w:type="spellStart"/>
      <w:r>
        <w:rPr>
          <w:sz w:val="22"/>
          <w:szCs w:val="22"/>
          <w:lang w:eastAsia="en-US"/>
        </w:rPr>
        <w:t>lozartánra</w:t>
      </w:r>
      <w:proofErr w:type="spellEnd"/>
      <w:r>
        <w:rPr>
          <w:sz w:val="22"/>
          <w:szCs w:val="22"/>
          <w:lang w:eastAsia="en-US"/>
        </w:rPr>
        <w:t xml:space="preserve"> (2 db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50 mg tabletta vagy 1 db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100 mg tabletta).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tabletták együttesen alkalmazhatók egyéb vérnyomáscsökkentő készítményekkel (például: vízhajtókkal, kalciumcsatorna-blokkolókkal, alfa-blokkolókkal vagy béta-blokkolókkal és központilag ható szerekkel), valamint inzulinnal és a vér glükózszintjének csökkentésére általánosan alkalmazott gyógyszerekkel (például: </w:t>
      </w:r>
      <w:proofErr w:type="spellStart"/>
      <w:r>
        <w:rPr>
          <w:sz w:val="22"/>
          <w:szCs w:val="22"/>
          <w:lang w:eastAsia="en-US"/>
        </w:rPr>
        <w:t>szulfonilureák</w:t>
      </w:r>
      <w:proofErr w:type="spellEnd"/>
      <w:r>
        <w:rPr>
          <w:sz w:val="22"/>
          <w:szCs w:val="22"/>
          <w:lang w:eastAsia="en-US"/>
        </w:rPr>
        <w:t xml:space="preserve">, </w:t>
      </w:r>
      <w:proofErr w:type="spellStart"/>
      <w:r>
        <w:rPr>
          <w:sz w:val="22"/>
          <w:szCs w:val="22"/>
          <w:lang w:eastAsia="en-US"/>
        </w:rPr>
        <w:t>glitazonok</w:t>
      </w:r>
      <w:proofErr w:type="spellEnd"/>
      <w:r>
        <w:rPr>
          <w:sz w:val="22"/>
          <w:szCs w:val="22"/>
          <w:lang w:eastAsia="en-US"/>
        </w:rPr>
        <w:t xml:space="preserve"> és </w:t>
      </w:r>
      <w:proofErr w:type="spellStart"/>
      <w:r>
        <w:rPr>
          <w:sz w:val="22"/>
          <w:szCs w:val="22"/>
          <w:lang w:eastAsia="en-US"/>
        </w:rPr>
        <w:t>glükozidázgátlók</w:t>
      </w:r>
      <w:proofErr w:type="spellEnd"/>
      <w:r>
        <w:rPr>
          <w:sz w:val="22"/>
          <w:szCs w:val="22"/>
          <w:lang w:eastAsia="en-US"/>
        </w:rPr>
        <w:t>).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u w:val="single"/>
          <w:lang w:eastAsia="en-US"/>
        </w:rPr>
      </w:pPr>
      <w:r>
        <w:rPr>
          <w:sz w:val="22"/>
          <w:szCs w:val="22"/>
          <w:u w:val="single"/>
          <w:lang w:eastAsia="en-US"/>
        </w:rPr>
        <w:t>Szívelégtelenségben szenvedő felnőtt betegek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kezdő adag általában napi egyszer 12,5 mg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(fél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 xml:space="preserve"> 25 mg tabletta). Általánosságban véve, az adagot fokozatosan, hetente kell emelni (napi 12,5 mg az első héten, napi 25 mg a második héten és napi 50 mg a harmadik héten, napi 100 mg a negyedik héten, napi 150 mg az ötödik héten), míg az adag el nem éri az orvos által meghatározott fenntartó adagot. </w:t>
      </w:r>
      <w:r>
        <w:rPr>
          <w:sz w:val="22"/>
          <w:szCs w:val="22"/>
        </w:rPr>
        <w:t xml:space="preserve">Maximum naponta egyszer 150 mg </w:t>
      </w:r>
      <w:proofErr w:type="spellStart"/>
      <w:r>
        <w:rPr>
          <w:sz w:val="22"/>
          <w:szCs w:val="22"/>
        </w:rPr>
        <w:t>lozartán</w:t>
      </w:r>
      <w:proofErr w:type="spellEnd"/>
      <w:r>
        <w:rPr>
          <w:sz w:val="22"/>
          <w:szCs w:val="22"/>
        </w:rPr>
        <w:t xml:space="preserve"> (például: három db </w:t>
      </w: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50 mg tabletta vagy egy </w:t>
      </w: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100 mg tabletta és egy </w:t>
      </w: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50 mg tabletta) alkalmazható.</w:t>
      </w:r>
    </w:p>
    <w:p w:rsidR="003E0ABF" w:rsidRDefault="003E0ABF">
      <w:pPr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Szívelégtelenség kezelése során a </w:t>
      </w:r>
      <w:proofErr w:type="spellStart"/>
      <w:r>
        <w:rPr>
          <w:sz w:val="22"/>
          <w:szCs w:val="22"/>
          <w:lang w:eastAsia="en-US"/>
        </w:rPr>
        <w:t>lozartánt</w:t>
      </w:r>
      <w:proofErr w:type="spellEnd"/>
      <w:r>
        <w:rPr>
          <w:sz w:val="22"/>
          <w:szCs w:val="22"/>
          <w:lang w:eastAsia="en-US"/>
        </w:rPr>
        <w:t xml:space="preserve"> gyakran vízhajtóval (</w:t>
      </w:r>
      <w:proofErr w:type="spellStart"/>
      <w:r>
        <w:rPr>
          <w:sz w:val="22"/>
          <w:szCs w:val="22"/>
          <w:lang w:eastAsia="en-US"/>
        </w:rPr>
        <w:t>diuretikummal</w:t>
      </w:r>
      <w:proofErr w:type="spellEnd"/>
      <w:r>
        <w:rPr>
          <w:sz w:val="22"/>
          <w:szCs w:val="22"/>
          <w:lang w:eastAsia="en-US"/>
        </w:rPr>
        <w:t xml:space="preserve">) és/vagy </w:t>
      </w:r>
      <w:proofErr w:type="spellStart"/>
      <w:r>
        <w:rPr>
          <w:sz w:val="22"/>
          <w:szCs w:val="22"/>
          <w:lang w:eastAsia="en-US"/>
        </w:rPr>
        <w:t>digitálisszal</w:t>
      </w:r>
      <w:proofErr w:type="spellEnd"/>
      <w:r>
        <w:rPr>
          <w:sz w:val="22"/>
          <w:szCs w:val="22"/>
          <w:lang w:eastAsia="en-US"/>
        </w:rPr>
        <w:t xml:space="preserve"> (a szívet és a szívmunkát erősítő gyógyszer) és/vagy béta-blokkolóval együtt alkalmazzák.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Adagolás különleges betegcsoportokban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Kezelőorvosa kisebb adagot írhat fel, főként, ha Ön nagy adag vízhajtót szed, májkárosodása van, vagy elmúlt 75 éves. 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súlyos májkárosodásban szenvedő betegeknek nem javasolt (lásd „Ne szedje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>-t”).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Alkalmazás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tablettákat egy pohár vízzel kell lenyelni. A napi adagot lehetőleg minden nap azonos időben kell bevenni. Fontos, hogy a </w:t>
      </w:r>
      <w:proofErr w:type="spellStart"/>
      <w:r>
        <w:rPr>
          <w:sz w:val="22"/>
          <w:szCs w:val="22"/>
          <w:lang w:eastAsia="en-US"/>
        </w:rPr>
        <w:t>Lavestra</w:t>
      </w:r>
      <w:proofErr w:type="spellEnd"/>
      <w:r>
        <w:rPr>
          <w:sz w:val="22"/>
          <w:szCs w:val="22"/>
          <w:lang w:eastAsia="en-US"/>
        </w:rPr>
        <w:t>-t mindaddig szedje, amíg kezelőorvosa azt Önnek előírja.</w:t>
      </w:r>
    </w:p>
    <w:p w:rsidR="003E0ABF" w:rsidRDefault="003E0ABF">
      <w:pPr>
        <w:rPr>
          <w:b/>
          <w:bCs/>
          <w:sz w:val="22"/>
          <w:szCs w:val="22"/>
        </w:rPr>
      </w:pPr>
    </w:p>
    <w:p w:rsidR="003E0ABF" w:rsidRDefault="00F8255D">
      <w:pPr>
        <w:keepNext/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Ha az előírtnál több </w:t>
      </w:r>
      <w:proofErr w:type="spellStart"/>
      <w:r>
        <w:rPr>
          <w:b/>
          <w:bCs/>
          <w:sz w:val="22"/>
          <w:szCs w:val="22"/>
          <w:lang w:eastAsia="en-US"/>
        </w:rPr>
        <w:t>Lavestra</w:t>
      </w:r>
      <w:proofErr w:type="spellEnd"/>
      <w:r>
        <w:rPr>
          <w:b/>
          <w:bCs/>
          <w:sz w:val="22"/>
          <w:szCs w:val="22"/>
          <w:lang w:eastAsia="en-US"/>
        </w:rPr>
        <w:t>-t vett be</w:t>
      </w: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Ha véletlenül túl sok tablettát vett be, vagy gyermeke lenyelt valamennyit a tablettákból, sürgősen keresse fel kezelőorvosát. A túladagolás tünetei a vérnyomásesés, a szívdobogásérzés és lassú pulzus is kialakulhat.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 xml:space="preserve">Ha elfelejtette bevenni a </w:t>
      </w:r>
      <w:proofErr w:type="spellStart"/>
      <w:r>
        <w:rPr>
          <w:b/>
          <w:bCs/>
          <w:sz w:val="22"/>
          <w:szCs w:val="22"/>
          <w:lang w:eastAsia="en-US"/>
        </w:rPr>
        <w:t>Lavestra</w:t>
      </w:r>
      <w:proofErr w:type="spellEnd"/>
      <w:r>
        <w:rPr>
          <w:b/>
          <w:bCs/>
          <w:sz w:val="22"/>
          <w:szCs w:val="22"/>
          <w:lang w:eastAsia="en-US"/>
        </w:rPr>
        <w:t>-t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Ne vegyen be kétszeres adagot a kihagyott adag pótlására.</w:t>
      </w: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Amennyiben kihagy egy adagot, csak folytassa a kezelést az előírtak szerint. </w:t>
      </w:r>
    </w:p>
    <w:p w:rsidR="003E0ABF" w:rsidRDefault="003E0ABF">
      <w:pPr>
        <w:rPr>
          <w:sz w:val="22"/>
          <w:szCs w:val="22"/>
          <w:lang w:eastAsia="en-US"/>
        </w:rPr>
      </w:pPr>
    </w:p>
    <w:p w:rsidR="003E0ABF" w:rsidRDefault="00F8255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Ha bármilyen további kérdése van a gyógyszer alkalmazásával kapcsolatban, kérdezze meg kezelőorvosát vagy gyógyszerészét.</w:t>
      </w:r>
    </w:p>
    <w:p w:rsidR="003E0ABF" w:rsidRDefault="003E0ABF">
      <w:pPr>
        <w:rPr>
          <w:sz w:val="22"/>
          <w:szCs w:val="22"/>
          <w:lang w:eastAsia="en-US"/>
        </w:rPr>
      </w:pP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keepNext/>
        <w:tabs>
          <w:tab w:val="left" w:pos="567"/>
        </w:tabs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4.</w:t>
      </w:r>
      <w:r>
        <w:rPr>
          <w:b/>
          <w:noProof/>
          <w:sz w:val="22"/>
          <w:szCs w:val="22"/>
        </w:rPr>
        <w:tab/>
        <w:t>Lehetséges mellékhatások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Mint minden gyógyszer, így ez a gyógyszer is okozhat mellékhatásokat, amelyek azonban nem mindenkinél jelentkeznek.</w:t>
      </w:r>
    </w:p>
    <w:p w:rsidR="003E0ABF" w:rsidRDefault="003E0ABF">
      <w:pPr>
        <w:tabs>
          <w:tab w:val="left" w:pos="567"/>
        </w:tabs>
        <w:contextualSpacing/>
        <w:rPr>
          <w:color w:val="000000"/>
          <w:sz w:val="22"/>
          <w:szCs w:val="22"/>
        </w:rPr>
      </w:pP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Ha az alábbi tünetek közül bármelyiket tapasztalja, hagyja abba a </w:t>
      </w:r>
      <w:proofErr w:type="spellStart"/>
      <w:r>
        <w:rPr>
          <w:color w:val="000000"/>
          <w:sz w:val="22"/>
          <w:szCs w:val="22"/>
        </w:rPr>
        <w:t>lozartán</w:t>
      </w:r>
      <w:proofErr w:type="spellEnd"/>
      <w:r>
        <w:rPr>
          <w:color w:val="000000"/>
          <w:sz w:val="22"/>
          <w:szCs w:val="22"/>
        </w:rPr>
        <w:t xml:space="preserve"> tabletták szedését, és azonnal tájékoztassa kezelőorvosát vagy menjen be a legközelebbi kórház sürgősségi osztályára:</w:t>
      </w:r>
    </w:p>
    <w:p w:rsidR="003E0ABF" w:rsidRDefault="003E0ABF">
      <w:pPr>
        <w:tabs>
          <w:tab w:val="left" w:pos="567"/>
        </w:tabs>
        <w:contextualSpacing/>
        <w:rPr>
          <w:color w:val="000000"/>
          <w:sz w:val="22"/>
          <w:szCs w:val="22"/>
        </w:rPr>
      </w:pPr>
    </w:p>
    <w:p w:rsidR="003E0ABF" w:rsidRDefault="00F8255D">
      <w:pPr>
        <w:tabs>
          <w:tab w:val="left" w:pos="567"/>
        </w:tabs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Súlyos allergiás reakciók (kiütések, arc, ajkak, torok és/vagy nyelv duzzanata, amelyek légzési vagy nyelési nehézséget okozhatnak).</w:t>
      </w:r>
    </w:p>
    <w:p w:rsidR="003E0ABF" w:rsidRDefault="003E0ABF">
      <w:pPr>
        <w:tabs>
          <w:tab w:val="left" w:pos="567"/>
        </w:tabs>
        <w:contextualSpacing/>
        <w:rPr>
          <w:color w:val="000000"/>
          <w:sz w:val="22"/>
          <w:szCs w:val="22"/>
        </w:rPr>
      </w:pPr>
    </w:p>
    <w:p w:rsidR="003E0ABF" w:rsidRDefault="00F8255D">
      <w:pPr>
        <w:tabs>
          <w:tab w:val="left" w:pos="567"/>
        </w:tabs>
        <w:contextualSpacing/>
        <w:rPr>
          <w:noProof/>
          <w:sz w:val="22"/>
          <w:szCs w:val="22"/>
        </w:rPr>
      </w:pPr>
      <w:r>
        <w:rPr>
          <w:color w:val="000000"/>
          <w:sz w:val="22"/>
          <w:szCs w:val="22"/>
        </w:rPr>
        <w:t>Ez egy súlyos, de ritka mellékhatás, amely 1000 betegből legfeljebb 1 beteget érinthet. Sürgős orvosi beavatkozásra vagy kórházi ellátásra lehet szüksége.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</w:t>
      </w:r>
      <w:proofErr w:type="spellStart"/>
      <w:r>
        <w:rPr>
          <w:sz w:val="22"/>
          <w:szCs w:val="22"/>
          <w:lang w:eastAsia="en-US"/>
        </w:rPr>
        <w:t>lozartán</w:t>
      </w:r>
      <w:proofErr w:type="spellEnd"/>
      <w:r>
        <w:rPr>
          <w:sz w:val="22"/>
          <w:szCs w:val="22"/>
          <w:lang w:eastAsia="en-US"/>
        </w:rPr>
        <w:t xml:space="preserve"> alkalmazása mellett az alábbi mellékhatásokat jelentették:</w:t>
      </w:r>
    </w:p>
    <w:p w:rsidR="003E0ABF" w:rsidRDefault="003E0ABF">
      <w:pPr>
        <w:autoSpaceDE w:val="0"/>
        <w:autoSpaceDN w:val="0"/>
        <w:adjustRightInd w:val="0"/>
        <w:rPr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i/>
          <w:sz w:val="22"/>
          <w:szCs w:val="22"/>
          <w:lang w:eastAsia="en-US"/>
        </w:rPr>
      </w:pPr>
      <w:r>
        <w:rPr>
          <w:i/>
          <w:sz w:val="22"/>
          <w:szCs w:val="22"/>
          <w:lang w:eastAsia="en-US"/>
        </w:rPr>
        <w:t>Gyakori (10 beteg közül legfeljebb 1 beteget érinthet):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szédülés;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alacsony vérnyomás (főként a test vérerekből történő nagyfokú vízveszteségét követően, például: súlyos szívelégtelenségben szenvedő betegeknél vagy nagy adag vízhajtóval történő kezelés ideje alatt);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adagtól függő úgynevezett ortosztatikus hatások, mint például: fekvő vagy ülő testhelyzetből történő felálláskor fellépő vérnyomáscsökkenés;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gyengeség;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fáradtság;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túl alacsony vércukorszint (hipoglikémia);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túl magas káliumszint a vérben (hiperkalémia);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vesefunkciós értékek megváltozása, beleértve a veseelégtelenséget is;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csökkent vörösvérsejtszám (vérszegénység);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emelkedett a vér karbamidszintje, a szérum kreatininszintje és káliumszintje szívelégtelenségben szenvedő betegeknél.</w:t>
      </w:r>
    </w:p>
    <w:p w:rsidR="003E0ABF" w:rsidRDefault="003E0ABF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</w:p>
    <w:p w:rsidR="003E0ABF" w:rsidRDefault="00F8255D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Nem gyakori (100 beteg közül legfeljebb 1 beteget érinthet):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aluszékonyság;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fejfájás;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alvászavarok;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felgyorsult szívritmus érzete (szívdobogásérzés);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súlyos mellkasi fájdalom (angina pektórisz);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légszomj (diszpnoé);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hasi fájdalom;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székrekedés;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hasmenés;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hányinger;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hányás;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csalánkiütés;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viszketés (pruritusz);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kiütések;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helyi duzzanat (ödéma);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köhögés.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Ritka (1 000 beteg közül legfeljebb 1 beteget érinthet):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túlérzékenység;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angioödéma;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vérerek gyulladása (vaszkulitisz, beleértve a Henoch–Schönlein purpurát);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bizsergés vagy zsibbadás érzete (paresztézia);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ájulás;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nagyon gyors és szabálytalan szívverés (pitvarfibrilláció);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agyi katasztrófa (sztrók);</w:t>
      </w:r>
    </w:p>
    <w:p w:rsidR="003E0ABF" w:rsidRPr="00F8255D" w:rsidRDefault="00F8255D" w:rsidP="00E3125A">
      <w:pPr>
        <w:numPr>
          <w:ilvl w:val="0"/>
          <w:numId w:val="18"/>
        </w:numPr>
        <w:tabs>
          <w:tab w:val="clear" w:pos="720"/>
          <w:tab w:val="num" w:pos="540"/>
        </w:tabs>
        <w:spacing w:line="240" w:lineRule="exact"/>
        <w:ind w:left="540" w:hanging="540"/>
        <w:rPr>
          <w:noProof/>
          <w:sz w:val="22"/>
          <w:szCs w:val="22"/>
        </w:rPr>
      </w:pPr>
      <w:r w:rsidRPr="00E3125A">
        <w:rPr>
          <w:sz w:val="22"/>
          <w:szCs w:val="22"/>
        </w:rPr>
        <w:t>a bélfal megduzzadása (</w:t>
      </w:r>
      <w:proofErr w:type="spellStart"/>
      <w:r w:rsidRPr="00E3125A">
        <w:rPr>
          <w:sz w:val="22"/>
          <w:szCs w:val="22"/>
        </w:rPr>
        <w:t>intesztinális</w:t>
      </w:r>
      <w:proofErr w:type="spellEnd"/>
      <w:r w:rsidRPr="00E3125A">
        <w:rPr>
          <w:sz w:val="22"/>
          <w:szCs w:val="22"/>
        </w:rPr>
        <w:t xml:space="preserve"> </w:t>
      </w:r>
      <w:proofErr w:type="spellStart"/>
      <w:r w:rsidRPr="00E3125A">
        <w:rPr>
          <w:sz w:val="22"/>
          <w:szCs w:val="22"/>
        </w:rPr>
        <w:t>angioödéma</w:t>
      </w:r>
      <w:proofErr w:type="spellEnd"/>
      <w:r w:rsidRPr="00E3125A">
        <w:rPr>
          <w:sz w:val="22"/>
          <w:szCs w:val="22"/>
        </w:rPr>
        <w:t>), amely olyan tünetekkel jár, mint a hasi fájdalom, a hányinger, a hányás és a hasmenés;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májgyulladás (hepatitisz);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emelkedett glutamát-piruvát-transzamináz (GPT) szintek a vérben, mely a kezelés abbahagyásakor általában visszaáll az eredeti értékre.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autoSpaceDE w:val="0"/>
        <w:autoSpaceDN w:val="0"/>
        <w:adjustRightInd w:val="0"/>
        <w:rPr>
          <w:i/>
          <w:iCs/>
          <w:sz w:val="22"/>
          <w:szCs w:val="22"/>
          <w:lang w:eastAsia="en-US"/>
        </w:rPr>
      </w:pPr>
      <w:r>
        <w:rPr>
          <w:i/>
          <w:iCs/>
          <w:sz w:val="22"/>
          <w:szCs w:val="22"/>
          <w:lang w:eastAsia="en-US"/>
        </w:rPr>
        <w:t>Nem ismert (az előfordulási gyakoriság a rendelkezésre álló adatokból nem állapítható meg):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vérlemezkék csökkent száma;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migrén;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májfunkciós rendellenességek;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izomfájdalom és ízületi fájdalom;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influenzaszerű tünetek;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hátfájás és húgyúti fertőzés;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fokozott érzékenység a napfénnyel szemben (fotoszenzitivitás);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megmagyarázhatatlan izomfájdalom, sötét (teaszínű) vizelettel (rabdomiolízis);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impotencia;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 hasnyálmirigy gyulladása (pankreatitisz);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alacsony nátriumszint a vérben (hiponatrémia);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depresszió;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rossz közérzet;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csengő, zúgó, harsogó vagy kattogó hangok a fülben (tinnitusz);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ízérzészavar </w:t>
      </w: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diszgeuzia</w:t>
      </w:r>
      <w:proofErr w:type="spellEnd"/>
      <w:r>
        <w:rPr>
          <w:sz w:val="22"/>
          <w:szCs w:val="22"/>
        </w:rPr>
        <w:t>).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contextualSpacing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 mellékhatások hasonlóak a felnőttek és a gyermekek esetében.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ind w:right="-29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Mellékhatások bejelentése</w:t>
      </w:r>
    </w:p>
    <w:p w:rsidR="003E0ABF" w:rsidRDefault="003E0ABF">
      <w:pPr>
        <w:ind w:right="-29"/>
        <w:rPr>
          <w:noProof/>
          <w:sz w:val="22"/>
          <w:szCs w:val="22"/>
        </w:rPr>
      </w:pPr>
    </w:p>
    <w:p w:rsidR="003E0ABF" w:rsidRDefault="00F8255D">
      <w:pPr>
        <w:ind w:right="-2"/>
        <w:rPr>
          <w:noProof/>
          <w:sz w:val="22"/>
          <w:szCs w:val="22"/>
        </w:rPr>
      </w:pPr>
      <w:r>
        <w:rPr>
          <w:sz w:val="22"/>
          <w:szCs w:val="22"/>
        </w:rPr>
        <w:t xml:space="preserve">Ha </w:t>
      </w:r>
      <w:r>
        <w:rPr>
          <w:noProof/>
          <w:sz w:val="22"/>
          <w:szCs w:val="22"/>
        </w:rPr>
        <w:t>Önnél bármilyen</w:t>
      </w:r>
      <w:r>
        <w:rPr>
          <w:sz w:val="22"/>
          <w:szCs w:val="22"/>
        </w:rPr>
        <w:t xml:space="preserve"> mellékhatás </w:t>
      </w:r>
      <w:r>
        <w:rPr>
          <w:noProof/>
          <w:sz w:val="22"/>
          <w:szCs w:val="22"/>
        </w:rPr>
        <w:t xml:space="preserve">jelentkezik, tájékoztassa kezelőorvosát </w:t>
      </w:r>
      <w:r>
        <w:rPr>
          <w:sz w:val="22"/>
          <w:szCs w:val="22"/>
        </w:rPr>
        <w:t>vagy</w:t>
      </w:r>
      <w:r>
        <w:rPr>
          <w:noProof/>
          <w:sz w:val="22"/>
          <w:szCs w:val="22"/>
        </w:rPr>
        <w:t xml:space="preserve"> gyógyszerészét. Ez</w:t>
      </w:r>
      <w:r>
        <w:rPr>
          <w:sz w:val="22"/>
          <w:szCs w:val="22"/>
        </w:rPr>
        <w:t xml:space="preserve"> a betegtájékoztatóban </w:t>
      </w:r>
      <w:r>
        <w:rPr>
          <w:noProof/>
          <w:sz w:val="22"/>
          <w:szCs w:val="22"/>
        </w:rPr>
        <w:t xml:space="preserve">fel nem sorolt bármilyen lehetséges mellékhatásra is vonatkozik. </w:t>
      </w:r>
      <w:r>
        <w:rPr>
          <w:sz w:val="22"/>
          <w:szCs w:val="22"/>
        </w:rPr>
        <w:t xml:space="preserve">A </w:t>
      </w:r>
      <w:r>
        <w:rPr>
          <w:sz w:val="22"/>
          <w:szCs w:val="22"/>
        </w:rPr>
        <w:lastRenderedPageBreak/>
        <w:t xml:space="preserve">mellékhatásokat közvetlenül a hatóság részére is bejelentheti az </w:t>
      </w:r>
      <w:hyperlink r:id="rId8" w:history="1">
        <w:r>
          <w:rPr>
            <w:rStyle w:val="Hiperhivatkozs"/>
            <w:sz w:val="22"/>
            <w:szCs w:val="22"/>
            <w:highlight w:val="lightGray"/>
          </w:rPr>
          <w:t>V. függelékben</w:t>
        </w:r>
      </w:hyperlink>
      <w:r>
        <w:rPr>
          <w:sz w:val="22"/>
          <w:szCs w:val="22"/>
          <w:highlight w:val="lightGray"/>
        </w:rPr>
        <w:t xml:space="preserve"> található elérhetőségeken keresztül.</w:t>
      </w:r>
    </w:p>
    <w:p w:rsidR="003E0ABF" w:rsidRDefault="00F8255D">
      <w:pPr>
        <w:ind w:right="-2"/>
        <w:rPr>
          <w:sz w:val="22"/>
          <w:szCs w:val="22"/>
        </w:rPr>
      </w:pPr>
      <w:r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5.</w:t>
      </w:r>
      <w:r>
        <w:rPr>
          <w:b/>
          <w:noProof/>
          <w:sz w:val="22"/>
          <w:szCs w:val="22"/>
        </w:rPr>
        <w:tab/>
        <w:t>Hogyan kell a Lavestra-t tárolni?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gyógyszer gyermekektől elzárva tartandó!</w:t>
      </w:r>
    </w:p>
    <w:p w:rsidR="003E0ABF" w:rsidRDefault="003E0ABF">
      <w:pPr>
        <w:tabs>
          <w:tab w:val="left" w:pos="600"/>
        </w:tabs>
        <w:rPr>
          <w:noProof/>
          <w:sz w:val="22"/>
          <w:szCs w:val="22"/>
        </w:rPr>
      </w:pPr>
    </w:p>
    <w:p w:rsidR="003E0ABF" w:rsidRDefault="00F8255D">
      <w:pPr>
        <w:tabs>
          <w:tab w:val="left" w:pos="600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A dobozon feltüntetett lejárati idő (EXP) után ne szedje ezt a gyógyszert. A lejárati idő az adott hónap utolsó napjára vonatkozik.</w:t>
      </w:r>
    </w:p>
    <w:p w:rsidR="003E0ABF" w:rsidRDefault="003E0ABF">
      <w:pPr>
        <w:tabs>
          <w:tab w:val="left" w:pos="600"/>
        </w:tabs>
        <w:rPr>
          <w:noProof/>
          <w:sz w:val="22"/>
          <w:szCs w:val="22"/>
        </w:rPr>
      </w:pPr>
    </w:p>
    <w:p w:rsidR="003E0ABF" w:rsidRDefault="00F8255D">
      <w:pPr>
        <w:tabs>
          <w:tab w:val="left" w:pos="600"/>
        </w:tabs>
        <w:rPr>
          <w:sz w:val="22"/>
          <w:szCs w:val="22"/>
        </w:rPr>
      </w:pPr>
      <w:r>
        <w:rPr>
          <w:noProof/>
          <w:sz w:val="22"/>
          <w:szCs w:val="22"/>
        </w:rPr>
        <w:t>Ez a gyógyszer nem igényel különleges tárolást.</w:t>
      </w:r>
    </w:p>
    <w:p w:rsidR="003E0ABF" w:rsidRDefault="003E0ABF">
      <w:pPr>
        <w:tabs>
          <w:tab w:val="left" w:pos="600"/>
        </w:tabs>
        <w:rPr>
          <w:noProof/>
          <w:sz w:val="22"/>
          <w:szCs w:val="22"/>
        </w:rPr>
      </w:pPr>
    </w:p>
    <w:p w:rsidR="003E0ABF" w:rsidRDefault="00F8255D">
      <w:pPr>
        <w:tabs>
          <w:tab w:val="left" w:pos="600"/>
        </w:tabs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Polietilén (HDPE) tartályban, garanciazáras polipropilén (PP) kupakkal lezárva:</w:t>
      </w:r>
    </w:p>
    <w:p w:rsidR="003E0ABF" w:rsidRDefault="00F8255D">
      <w:pPr>
        <w:tabs>
          <w:tab w:val="left" w:pos="600"/>
        </w:tabs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Lavestra 100 mg filmtabletta</w:t>
      </w:r>
      <w:r>
        <w:rPr>
          <w:noProof/>
          <w:sz w:val="22"/>
          <w:szCs w:val="22"/>
        </w:rPr>
        <w:t>: A tartály első kinyitása után a készítményt 100 napon belül fel kell használni.</w:t>
      </w:r>
    </w:p>
    <w:p w:rsidR="003E0ABF" w:rsidRDefault="003E0ABF">
      <w:pPr>
        <w:tabs>
          <w:tab w:val="left" w:pos="600"/>
        </w:tabs>
        <w:rPr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b/>
          <w:noProof/>
          <w:sz w:val="22"/>
          <w:szCs w:val="22"/>
        </w:rPr>
      </w:pPr>
      <w:r>
        <w:rPr>
          <w:b/>
          <w:noProof/>
          <w:sz w:val="22"/>
          <w:szCs w:val="22"/>
        </w:rPr>
        <w:t>6.</w:t>
      </w:r>
      <w:r>
        <w:rPr>
          <w:b/>
          <w:noProof/>
          <w:sz w:val="22"/>
          <w:szCs w:val="22"/>
        </w:rPr>
        <w:tab/>
        <w:t xml:space="preserve">A csomagolás tartalma és egyéb </w:t>
      </w:r>
      <w:r>
        <w:rPr>
          <w:b/>
          <w:sz w:val="22"/>
          <w:szCs w:val="22"/>
        </w:rPr>
        <w:t>információk</w:t>
      </w:r>
    </w:p>
    <w:p w:rsidR="003E0ABF" w:rsidRDefault="003E0ABF">
      <w:pPr>
        <w:tabs>
          <w:tab w:val="left" w:pos="567"/>
        </w:tabs>
        <w:rPr>
          <w:b/>
          <w:noProof/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Mit tartalmaz a Lavestra?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 xml:space="preserve">A készítmény hatóanyaga a lozartán-kálium. 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Lavestra 25 mg filmtabletta</w:t>
      </w:r>
      <w:r>
        <w:rPr>
          <w:noProof/>
          <w:sz w:val="22"/>
          <w:szCs w:val="22"/>
        </w:rPr>
        <w:t>: 25 mg lozartán-káliumot tartalmaz tablettánként, ami 22,</w:t>
      </w:r>
      <w:r>
        <w:t>9</w:t>
      </w:r>
      <w:r>
        <w:rPr>
          <w:noProof/>
          <w:sz w:val="22"/>
          <w:szCs w:val="22"/>
        </w:rPr>
        <w:t> </w:t>
      </w:r>
      <w:r>
        <w:t>mg</w:t>
      </w:r>
      <w:r>
        <w:rPr>
          <w:noProof/>
          <w:sz w:val="22"/>
          <w:szCs w:val="22"/>
        </w:rPr>
        <w:t xml:space="preserve"> lozartánnak felel meg.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Lavestra 50 mg filmtabletta</w:t>
      </w:r>
      <w:r>
        <w:rPr>
          <w:noProof/>
          <w:sz w:val="22"/>
          <w:szCs w:val="22"/>
        </w:rPr>
        <w:t>: 50</w:t>
      </w:r>
      <w:r>
        <w:rPr>
          <w:noProof/>
          <w:sz w:val="22"/>
          <w:szCs w:val="22"/>
          <w:u w:val="single"/>
        </w:rPr>
        <w:t> </w:t>
      </w:r>
      <w:r>
        <w:rPr>
          <w:noProof/>
          <w:sz w:val="22"/>
          <w:szCs w:val="22"/>
        </w:rPr>
        <w:t>mg lozartán-káliumot tartalmaz tablettánként, ami 45,8</w:t>
      </w:r>
      <w:r>
        <w:rPr>
          <w:noProof/>
          <w:sz w:val="22"/>
          <w:szCs w:val="22"/>
          <w:u w:val="single"/>
        </w:rPr>
        <w:t> </w:t>
      </w:r>
      <w:r>
        <w:rPr>
          <w:noProof/>
          <w:sz w:val="22"/>
          <w:szCs w:val="22"/>
        </w:rPr>
        <w:t>mg lozartánnak felel meg.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Lavestra 100 mg filmtabletta</w:t>
      </w:r>
      <w:r>
        <w:rPr>
          <w:noProof/>
          <w:sz w:val="22"/>
          <w:szCs w:val="22"/>
        </w:rPr>
        <w:t>: 100</w:t>
      </w:r>
      <w:r>
        <w:rPr>
          <w:noProof/>
          <w:sz w:val="22"/>
          <w:szCs w:val="22"/>
          <w:u w:val="single"/>
        </w:rPr>
        <w:t> </w:t>
      </w:r>
      <w:r>
        <w:rPr>
          <w:noProof/>
          <w:sz w:val="22"/>
          <w:szCs w:val="22"/>
        </w:rPr>
        <w:t>mg lozartán-káliumot tartalmaz tablettánként, ami 91,5</w:t>
      </w:r>
      <w:r>
        <w:rPr>
          <w:noProof/>
          <w:sz w:val="22"/>
          <w:szCs w:val="22"/>
          <w:u w:val="single"/>
        </w:rPr>
        <w:t> </w:t>
      </w:r>
      <w:r>
        <w:rPr>
          <w:noProof/>
          <w:sz w:val="22"/>
          <w:szCs w:val="22"/>
        </w:rPr>
        <w:t>mg lozartánnak felel meg.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  <w:u w:val="single"/>
        </w:rPr>
        <w:t>Lavestra 25 mg filmtabletta</w:t>
      </w:r>
      <w:r>
        <w:rPr>
          <w:noProof/>
          <w:sz w:val="22"/>
          <w:szCs w:val="22"/>
        </w:rPr>
        <w:t>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noProof/>
          <w:sz w:val="22"/>
          <w:szCs w:val="22"/>
        </w:rPr>
      </w:pPr>
      <w:r>
        <w:rPr>
          <w:noProof/>
          <w:sz w:val="22"/>
          <w:szCs w:val="22"/>
        </w:rPr>
        <w:t>egyéb összetevői a következők: kukoricakeményítő, hidegen duzzadó kukoricakeményítő, mikrokristályos cellulóz, vízmentes kolloid szilícium-dioxid, magnézium</w:t>
      </w:r>
      <w:r>
        <w:rPr>
          <w:noProof/>
          <w:sz w:val="22"/>
          <w:szCs w:val="22"/>
        </w:rPr>
        <w:noBreakHyphen/>
        <w:t>sztearát, cellaktóz (laktóz</w:t>
      </w:r>
      <w:r>
        <w:rPr>
          <w:noProof/>
          <w:sz w:val="22"/>
          <w:szCs w:val="22"/>
        </w:rPr>
        <w:noBreakHyphen/>
        <w:t>monohidrát és cellulóz por) a tabletta magjában, valamint hipromellóz, talkum, propilénglikol, titán</w:t>
      </w:r>
      <w:r>
        <w:rPr>
          <w:noProof/>
          <w:sz w:val="22"/>
          <w:szCs w:val="22"/>
        </w:rPr>
        <w:noBreakHyphen/>
        <w:t>dioxid (E 171) és kinolinsárga színezék (E 104) a filmbevonatban.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sz w:val="22"/>
          <w:szCs w:val="22"/>
        </w:rPr>
      </w:pPr>
      <w:r>
        <w:rPr>
          <w:noProof/>
          <w:sz w:val="22"/>
          <w:szCs w:val="22"/>
          <w:u w:val="single"/>
        </w:rPr>
        <w:t>Lavestra 50</w:t>
      </w:r>
      <w:r>
        <w:rPr>
          <w:sz w:val="22"/>
          <w:szCs w:val="22"/>
          <w:u w:val="single"/>
        </w:rPr>
        <w:t> </w:t>
      </w:r>
      <w:r>
        <w:rPr>
          <w:noProof/>
          <w:sz w:val="22"/>
          <w:szCs w:val="22"/>
          <w:u w:val="single"/>
        </w:rPr>
        <w:t>mg filmtabletta</w:t>
      </w:r>
      <w:r>
        <w:rPr>
          <w:noProof/>
          <w:sz w:val="22"/>
          <w:szCs w:val="22"/>
        </w:rPr>
        <w:t>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sz w:val="22"/>
          <w:szCs w:val="22"/>
        </w:rPr>
      </w:pPr>
      <w:r>
        <w:rPr>
          <w:noProof/>
          <w:sz w:val="22"/>
          <w:szCs w:val="22"/>
          <w:u w:val="single"/>
        </w:rPr>
        <w:t>Lavestra 100</w:t>
      </w:r>
      <w:r>
        <w:rPr>
          <w:sz w:val="22"/>
          <w:szCs w:val="22"/>
          <w:u w:val="single"/>
        </w:rPr>
        <w:t> </w:t>
      </w:r>
      <w:r>
        <w:rPr>
          <w:noProof/>
          <w:sz w:val="22"/>
          <w:szCs w:val="22"/>
          <w:u w:val="single"/>
        </w:rPr>
        <w:t>mg filmtabletta</w:t>
      </w:r>
      <w:r>
        <w:rPr>
          <w:noProof/>
          <w:sz w:val="22"/>
          <w:szCs w:val="22"/>
        </w:rPr>
        <w:t>:</w:t>
      </w:r>
    </w:p>
    <w:p w:rsidR="003E0ABF" w:rsidRDefault="00F8255D">
      <w:pPr>
        <w:numPr>
          <w:ilvl w:val="0"/>
          <w:numId w:val="18"/>
        </w:numPr>
        <w:tabs>
          <w:tab w:val="clear" w:pos="720"/>
          <w:tab w:val="num" w:pos="540"/>
        </w:tabs>
        <w:ind w:left="540" w:hanging="540"/>
        <w:rPr>
          <w:sz w:val="22"/>
          <w:szCs w:val="22"/>
        </w:rPr>
      </w:pPr>
      <w:r>
        <w:rPr>
          <w:noProof/>
          <w:sz w:val="22"/>
          <w:szCs w:val="22"/>
        </w:rPr>
        <w:t>egyéb összetevői a következők: kukoricakeményítő,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>hidegen duzzadó kukoricakeményítő, mikrokristályos cellulóz, vízmentes kolloid szilícium-dioxid, magnézium</w:t>
      </w:r>
      <w:r>
        <w:rPr>
          <w:sz w:val="22"/>
          <w:szCs w:val="22"/>
        </w:rPr>
        <w:noBreakHyphen/>
      </w:r>
      <w:proofErr w:type="spellStart"/>
      <w:r>
        <w:rPr>
          <w:sz w:val="22"/>
          <w:szCs w:val="22"/>
        </w:rPr>
        <w:t>sztearát</w:t>
      </w:r>
      <w:proofErr w:type="spellEnd"/>
      <w:r>
        <w:rPr>
          <w:sz w:val="22"/>
          <w:szCs w:val="22"/>
        </w:rPr>
        <w:t>,</w:t>
      </w:r>
      <w:r>
        <w:rPr>
          <w:i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cellaktóz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laktóz</w:t>
      </w:r>
      <w:r>
        <w:rPr>
          <w:sz w:val="22"/>
          <w:szCs w:val="22"/>
        </w:rPr>
        <w:noBreakHyphen/>
        <w:t>monohidrát</w:t>
      </w:r>
      <w:proofErr w:type="spellEnd"/>
      <w:r>
        <w:rPr>
          <w:sz w:val="22"/>
          <w:szCs w:val="22"/>
        </w:rPr>
        <w:t xml:space="preserve"> és cellulóz por) a tabletta magjában, valamint</w:t>
      </w:r>
      <w:r>
        <w:rPr>
          <w:i/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 xml:space="preserve">, talkum, </w:t>
      </w:r>
      <w:proofErr w:type="spellStart"/>
      <w:r>
        <w:rPr>
          <w:sz w:val="22"/>
          <w:szCs w:val="22"/>
        </w:rPr>
        <w:t>propilénglikol</w:t>
      </w:r>
      <w:proofErr w:type="spellEnd"/>
      <w:r>
        <w:rPr>
          <w:sz w:val="22"/>
          <w:szCs w:val="22"/>
        </w:rPr>
        <w:t xml:space="preserve"> és titán</w:t>
      </w:r>
      <w:r>
        <w:rPr>
          <w:sz w:val="22"/>
          <w:szCs w:val="22"/>
        </w:rPr>
        <w:noBreakHyphen/>
        <w:t>dioxid (E 171) a filmbevonatban.</w:t>
      </w:r>
    </w:p>
    <w:p w:rsidR="003E0ABF" w:rsidRDefault="003E0ABF">
      <w:pPr>
        <w:rPr>
          <w:sz w:val="22"/>
          <w:szCs w:val="22"/>
        </w:rPr>
      </w:pPr>
    </w:p>
    <w:p w:rsidR="003E0ABF" w:rsidRDefault="00F8255D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 xml:space="preserve">Lásd 2. pont „A </w:t>
      </w:r>
      <w:proofErr w:type="spellStart"/>
      <w:r>
        <w:rPr>
          <w:sz w:val="22"/>
          <w:szCs w:val="22"/>
        </w:rPr>
        <w:t>Lavestra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laktózt</w:t>
      </w:r>
      <w:proofErr w:type="spellEnd"/>
      <w:r>
        <w:rPr>
          <w:sz w:val="22"/>
          <w:szCs w:val="22"/>
        </w:rPr>
        <w:t xml:space="preserve"> tartalmaz”.</w:t>
      </w:r>
    </w:p>
    <w:p w:rsidR="003E0ABF" w:rsidRDefault="003E0ABF">
      <w:pPr>
        <w:tabs>
          <w:tab w:val="left" w:pos="0"/>
        </w:tabs>
        <w:rPr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Milyen a Lavestra külleme és mit tartalmaz a csomagolás?</w:t>
      </w:r>
    </w:p>
    <w:p w:rsidR="003E0ABF" w:rsidRDefault="00F8255D">
      <w:pPr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 mg filmtabletta: 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Sárga színű, ovális, domború, egyik oldalon bemetszéssel ellátott filmtabletták.</w:t>
      </w:r>
    </w:p>
    <w:p w:rsidR="003E0ABF" w:rsidRDefault="00F8255D">
      <w:pPr>
        <w:rPr>
          <w:sz w:val="22"/>
          <w:szCs w:val="22"/>
        </w:rPr>
      </w:pPr>
      <w:r>
        <w:rPr>
          <w:noProof/>
          <w:sz w:val="22"/>
          <w:szCs w:val="22"/>
        </w:rPr>
        <w:t>A tabletta egyenlő adagokra osztható.</w:t>
      </w:r>
    </w:p>
    <w:p w:rsidR="003E0ABF" w:rsidRDefault="00F8255D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 xml:space="preserve">: 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 xml:space="preserve">Fehér, kerek, metszett élű, domború, egyik oldalon bemetszéssel ellátott filmtabletták. </w:t>
      </w:r>
      <w:r>
        <w:rPr>
          <w:noProof/>
          <w:sz w:val="22"/>
          <w:szCs w:val="22"/>
          <w:lang w:eastAsia="en-US"/>
        </w:rPr>
        <w:t>A tablettán lévő bemetszés nem a tabletta széttörésére szolgál.</w:t>
      </w:r>
    </w:p>
    <w:p w:rsidR="003E0ABF" w:rsidRDefault="00F8255D">
      <w:pPr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 xml:space="preserve">: 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Fehér színű, ovális, domború filmtabletták.</w:t>
      </w:r>
    </w:p>
    <w:p w:rsidR="003E0ABF" w:rsidRDefault="003E0ABF">
      <w:pPr>
        <w:pStyle w:val="Szvegtrzs"/>
        <w:rPr>
          <w:szCs w:val="22"/>
          <w:lang w:val="hu-HU"/>
        </w:rPr>
      </w:pPr>
    </w:p>
    <w:p w:rsidR="003E0ABF" w:rsidRDefault="00F8255D">
      <w:pPr>
        <w:pStyle w:val="Szvegtrzs"/>
        <w:rPr>
          <w:b/>
          <w:szCs w:val="22"/>
          <w:lang w:val="hu-HU"/>
        </w:rPr>
      </w:pPr>
      <w:r>
        <w:rPr>
          <w:b/>
          <w:szCs w:val="22"/>
          <w:lang w:val="hu-HU"/>
        </w:rPr>
        <w:t>Buborékcsomagolás (PVC/PVDC//Alu)</w:t>
      </w:r>
    </w:p>
    <w:p w:rsidR="003E0ABF" w:rsidRDefault="00F8255D">
      <w:pPr>
        <w:pStyle w:val="Szvegtrzs"/>
        <w:rPr>
          <w:szCs w:val="22"/>
          <w:lang w:val="hu-HU"/>
        </w:rPr>
      </w:pPr>
      <w:proofErr w:type="spellStart"/>
      <w:r>
        <w:rPr>
          <w:szCs w:val="22"/>
          <w:u w:val="single"/>
          <w:lang w:val="hu-HU"/>
        </w:rPr>
        <w:t>Lavestra</w:t>
      </w:r>
      <w:proofErr w:type="spellEnd"/>
      <w:r>
        <w:rPr>
          <w:szCs w:val="22"/>
          <w:u w:val="single"/>
          <w:lang w:val="hu-HU"/>
        </w:rPr>
        <w:t xml:space="preserve"> 25 mg filmtabletta</w:t>
      </w:r>
      <w:r>
        <w:rPr>
          <w:szCs w:val="22"/>
          <w:lang w:val="hu-HU"/>
        </w:rPr>
        <w:t>: 10, 14, 15, 20, 28, 30, 50, 56, 60, 84, 90, 98, 100 vagy 112 db filmtabletta, dobozban.</w:t>
      </w:r>
    </w:p>
    <w:p w:rsidR="003E0ABF" w:rsidRDefault="00F8255D">
      <w:pPr>
        <w:pStyle w:val="Szvegtrzs"/>
        <w:rPr>
          <w:szCs w:val="22"/>
          <w:lang w:val="hu-HU"/>
        </w:rPr>
      </w:pPr>
      <w:proofErr w:type="spellStart"/>
      <w:r>
        <w:rPr>
          <w:szCs w:val="22"/>
          <w:u w:val="single"/>
          <w:lang w:val="hu-HU"/>
        </w:rPr>
        <w:t>Lavestra</w:t>
      </w:r>
      <w:proofErr w:type="spellEnd"/>
      <w:r>
        <w:rPr>
          <w:szCs w:val="22"/>
          <w:u w:val="single"/>
          <w:lang w:val="hu-HU"/>
        </w:rPr>
        <w:t xml:space="preserve"> 50 mg filmtabletta</w:t>
      </w:r>
      <w:r>
        <w:rPr>
          <w:szCs w:val="22"/>
          <w:lang w:val="hu-HU"/>
        </w:rPr>
        <w:t>: 10, 14, 15, 20, 28, 30, 50, 56, 60, 84, 90, 98, 100 vagy 112 db filmtabletta, dobozban.</w:t>
      </w:r>
    </w:p>
    <w:p w:rsidR="003E0ABF" w:rsidRDefault="00F8255D">
      <w:pPr>
        <w:rPr>
          <w:noProof/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7, 10, 14, 15, 20, 28, 30, 50, 56, 60, 84, 90, 98, 100 vagy 112 db filmtabletta, dobozban.</w:t>
      </w:r>
    </w:p>
    <w:p w:rsidR="003E0ABF" w:rsidRDefault="003E0ABF">
      <w:pPr>
        <w:ind w:right="-2"/>
        <w:rPr>
          <w:b/>
          <w:sz w:val="22"/>
          <w:szCs w:val="22"/>
        </w:rPr>
      </w:pPr>
    </w:p>
    <w:p w:rsidR="003E0ABF" w:rsidRDefault="00F8255D">
      <w:pPr>
        <w:tabs>
          <w:tab w:val="left" w:pos="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HDPE tartály, mely PP kupakkal lezárva, mely </w:t>
      </w:r>
      <w:proofErr w:type="spellStart"/>
      <w:r>
        <w:rPr>
          <w:b/>
          <w:sz w:val="22"/>
          <w:szCs w:val="22"/>
        </w:rPr>
        <w:t>szilikagéllel</w:t>
      </w:r>
      <w:proofErr w:type="spellEnd"/>
      <w:r>
        <w:rPr>
          <w:b/>
          <w:sz w:val="22"/>
          <w:szCs w:val="22"/>
        </w:rPr>
        <w:t xml:space="preserve"> töltött PE nedvességmegkötő betétet tartalmaz</w:t>
      </w:r>
    </w:p>
    <w:p w:rsidR="003E0ABF" w:rsidRDefault="003E0ABF">
      <w:pPr>
        <w:tabs>
          <w:tab w:val="left" w:pos="600"/>
        </w:tabs>
        <w:ind w:left="600" w:hanging="600"/>
        <w:rPr>
          <w:i/>
          <w:sz w:val="22"/>
          <w:szCs w:val="22"/>
        </w:rPr>
      </w:pPr>
    </w:p>
    <w:p w:rsidR="003E0ABF" w:rsidRDefault="00F8255D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 mg filmtabletta</w:t>
      </w:r>
      <w:r>
        <w:rPr>
          <w:sz w:val="22"/>
          <w:szCs w:val="22"/>
        </w:rPr>
        <w:t>: 250 db filmtabletta, dobozban.</w:t>
      </w:r>
    </w:p>
    <w:p w:rsidR="003E0ABF" w:rsidRDefault="003E0ABF">
      <w:pPr>
        <w:tabs>
          <w:tab w:val="left" w:pos="567"/>
        </w:tabs>
        <w:rPr>
          <w:sz w:val="22"/>
          <w:szCs w:val="22"/>
        </w:rPr>
      </w:pPr>
    </w:p>
    <w:p w:rsidR="003E0ABF" w:rsidRDefault="00F8255D">
      <w:pPr>
        <w:tabs>
          <w:tab w:val="left" w:pos="567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Polietilén (HDPE) tartály, </w:t>
      </w:r>
      <w:proofErr w:type="spellStart"/>
      <w:r>
        <w:rPr>
          <w:b/>
          <w:sz w:val="22"/>
          <w:szCs w:val="22"/>
        </w:rPr>
        <w:t>garanciazáras</w:t>
      </w:r>
      <w:proofErr w:type="spellEnd"/>
      <w:r>
        <w:rPr>
          <w:b/>
          <w:sz w:val="22"/>
          <w:szCs w:val="22"/>
        </w:rPr>
        <w:t xml:space="preserve"> polipropilén (PP) kupakkal lezárva</w:t>
      </w:r>
    </w:p>
    <w:p w:rsidR="003E0ABF" w:rsidRDefault="00F8255D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 mg filmtabletta</w:t>
      </w:r>
      <w:r>
        <w:rPr>
          <w:sz w:val="22"/>
          <w:szCs w:val="22"/>
        </w:rPr>
        <w:t>: 100 db filmtabletta, dobozban.</w:t>
      </w:r>
    </w:p>
    <w:p w:rsidR="003E0ABF" w:rsidRDefault="003E0ABF">
      <w:pPr>
        <w:ind w:right="-2"/>
        <w:rPr>
          <w:b/>
          <w:sz w:val="22"/>
          <w:szCs w:val="22"/>
        </w:rPr>
      </w:pP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Nem feltétlenül mindegyik kiszerelés kerül kereskedelmi forgalomba.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A forgalomba hozatali engedély jogosultja</w:t>
      </w:r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KRKA, </w:t>
      </w:r>
      <w:proofErr w:type="spellStart"/>
      <w:r>
        <w:rPr>
          <w:sz w:val="22"/>
          <w:szCs w:val="22"/>
        </w:rPr>
        <w:t>d.d</w:t>
      </w:r>
      <w:proofErr w:type="spellEnd"/>
      <w:r>
        <w:rPr>
          <w:sz w:val="22"/>
          <w:szCs w:val="22"/>
        </w:rPr>
        <w:t xml:space="preserve">., Novo </w:t>
      </w:r>
      <w:proofErr w:type="spellStart"/>
      <w:r>
        <w:rPr>
          <w:sz w:val="22"/>
          <w:szCs w:val="22"/>
        </w:rPr>
        <w:t>mesto</w:t>
      </w:r>
      <w:proofErr w:type="spellEnd"/>
    </w:p>
    <w:p w:rsidR="003E0ABF" w:rsidRDefault="00F8255D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Šmarješka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cesta</w:t>
      </w:r>
      <w:proofErr w:type="spellEnd"/>
      <w:r>
        <w:rPr>
          <w:sz w:val="22"/>
          <w:szCs w:val="22"/>
        </w:rPr>
        <w:t xml:space="preserve"> 6</w:t>
      </w:r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8501 Novo </w:t>
      </w:r>
      <w:proofErr w:type="spellStart"/>
      <w:r>
        <w:rPr>
          <w:sz w:val="22"/>
          <w:szCs w:val="22"/>
        </w:rPr>
        <w:t>mesto</w:t>
      </w:r>
      <w:proofErr w:type="spellEnd"/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Szlovénia</w:t>
      </w:r>
    </w:p>
    <w:p w:rsidR="003E0ABF" w:rsidRDefault="003E0ABF">
      <w:pPr>
        <w:rPr>
          <w:b/>
          <w:bCs/>
          <w:noProof/>
          <w:sz w:val="22"/>
          <w:szCs w:val="22"/>
        </w:rPr>
      </w:pPr>
    </w:p>
    <w:p w:rsidR="003E0ABF" w:rsidRDefault="00F8255D">
      <w:pPr>
        <w:rPr>
          <w:b/>
          <w:bCs/>
          <w:noProof/>
          <w:sz w:val="22"/>
          <w:szCs w:val="22"/>
        </w:rPr>
      </w:pPr>
      <w:r>
        <w:rPr>
          <w:b/>
          <w:bCs/>
          <w:noProof/>
          <w:sz w:val="22"/>
          <w:szCs w:val="22"/>
        </w:rPr>
        <w:t>Gyártók</w:t>
      </w:r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KRKA, </w:t>
      </w:r>
      <w:proofErr w:type="spellStart"/>
      <w:r>
        <w:rPr>
          <w:sz w:val="22"/>
          <w:szCs w:val="22"/>
        </w:rPr>
        <w:t>d.d</w:t>
      </w:r>
      <w:proofErr w:type="spellEnd"/>
      <w:r>
        <w:rPr>
          <w:sz w:val="22"/>
          <w:szCs w:val="22"/>
        </w:rPr>
        <w:t xml:space="preserve">., Novo </w:t>
      </w:r>
      <w:proofErr w:type="spellStart"/>
      <w:r>
        <w:rPr>
          <w:sz w:val="22"/>
          <w:szCs w:val="22"/>
        </w:rPr>
        <w:t>mesto</w:t>
      </w:r>
      <w:proofErr w:type="spellEnd"/>
    </w:p>
    <w:p w:rsidR="003E0ABF" w:rsidRDefault="00F8255D">
      <w:pPr>
        <w:tabs>
          <w:tab w:val="left" w:pos="567"/>
        </w:tabs>
        <w:rPr>
          <w:sz w:val="22"/>
          <w:szCs w:val="22"/>
        </w:rPr>
      </w:pPr>
      <w:proofErr w:type="spellStart"/>
      <w:r>
        <w:rPr>
          <w:sz w:val="22"/>
          <w:szCs w:val="22"/>
        </w:rPr>
        <w:t>Šmarješka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cesta</w:t>
      </w:r>
      <w:proofErr w:type="spellEnd"/>
      <w:r>
        <w:rPr>
          <w:sz w:val="22"/>
          <w:szCs w:val="22"/>
        </w:rPr>
        <w:t xml:space="preserve"> 6</w:t>
      </w:r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8501 Novo </w:t>
      </w:r>
      <w:proofErr w:type="spellStart"/>
      <w:r>
        <w:rPr>
          <w:sz w:val="22"/>
          <w:szCs w:val="22"/>
        </w:rPr>
        <w:t>mesto</w:t>
      </w:r>
      <w:proofErr w:type="spellEnd"/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Szlovénia</w:t>
      </w:r>
    </w:p>
    <w:p w:rsidR="003E0ABF" w:rsidRDefault="003E0ABF">
      <w:pPr>
        <w:tabs>
          <w:tab w:val="left" w:pos="567"/>
        </w:tabs>
        <w:rPr>
          <w:sz w:val="22"/>
          <w:szCs w:val="22"/>
        </w:rPr>
      </w:pPr>
    </w:p>
    <w:p w:rsidR="003E0ABF" w:rsidRDefault="00F8255D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TAD Pharma GmbH</w:t>
      </w:r>
    </w:p>
    <w:p w:rsidR="003E0ABF" w:rsidRDefault="00F8255D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Heinz-</w:t>
      </w:r>
      <w:proofErr w:type="spellStart"/>
      <w:r>
        <w:rPr>
          <w:sz w:val="22"/>
          <w:szCs w:val="22"/>
        </w:rPr>
        <w:t>Lohmann</w:t>
      </w:r>
      <w:proofErr w:type="spellEnd"/>
      <w:r>
        <w:rPr>
          <w:sz w:val="22"/>
          <w:szCs w:val="22"/>
        </w:rPr>
        <w:t>-</w:t>
      </w:r>
      <w:proofErr w:type="spellStart"/>
      <w:r>
        <w:rPr>
          <w:sz w:val="22"/>
          <w:szCs w:val="22"/>
        </w:rPr>
        <w:t>Straße</w:t>
      </w:r>
      <w:proofErr w:type="spellEnd"/>
      <w:r>
        <w:rPr>
          <w:sz w:val="22"/>
          <w:szCs w:val="22"/>
        </w:rPr>
        <w:t xml:space="preserve"> 5.</w:t>
      </w:r>
    </w:p>
    <w:p w:rsidR="003E0ABF" w:rsidRDefault="00F8255D">
      <w:pPr>
        <w:keepNext/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27472 </w:t>
      </w:r>
      <w:proofErr w:type="spellStart"/>
      <w:r>
        <w:rPr>
          <w:sz w:val="22"/>
          <w:szCs w:val="22"/>
        </w:rPr>
        <w:t>Cuxhaven</w:t>
      </w:r>
      <w:proofErr w:type="spellEnd"/>
    </w:p>
    <w:p w:rsidR="003E0ABF" w:rsidRDefault="00F8255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Németország</w:t>
      </w:r>
    </w:p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b/>
          <w:bCs/>
          <w:sz w:val="22"/>
          <w:szCs w:val="22"/>
          <w:lang w:eastAsia="en-US"/>
        </w:rPr>
      </w:pPr>
      <w:r>
        <w:rPr>
          <w:b/>
          <w:bCs/>
          <w:sz w:val="22"/>
          <w:szCs w:val="22"/>
          <w:lang w:eastAsia="en-US"/>
        </w:rPr>
        <w:t>Ezt a gyógyszert az Európai Gazdasági Térség tagállamaiban és az Egyesült Királyságban (Észak-Írországban) az alábbi neveken engedélyezték:</w:t>
      </w:r>
    </w:p>
    <w:p w:rsidR="003E0ABF" w:rsidRDefault="003E0ABF">
      <w:pPr>
        <w:rPr>
          <w:noProof/>
          <w:sz w:val="22"/>
          <w:szCs w:val="22"/>
        </w:rPr>
      </w:pPr>
    </w:p>
    <w:tbl>
      <w:tblPr>
        <w:tblW w:w="66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15"/>
        <w:gridCol w:w="2976"/>
      </w:tblGrid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Tagállam megnevezése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Gyógyszer neve</w:t>
            </w:r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Csehország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Lorista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Ausztria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Belgium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Bulgária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Lorista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Ciprus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Németország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Losartan-</w:t>
            </w:r>
            <w:proofErr w:type="spellStart"/>
            <w:r>
              <w:rPr>
                <w:sz w:val="22"/>
                <w:szCs w:val="22"/>
              </w:rPr>
              <w:t>Kalium</w:t>
            </w:r>
            <w:proofErr w:type="spellEnd"/>
            <w:r>
              <w:rPr>
                <w:sz w:val="22"/>
                <w:szCs w:val="22"/>
              </w:rPr>
              <w:t xml:space="preserve"> TAD</w:t>
            </w:r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Dánia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Losartankalium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Észtország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Lorista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Spanyolország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Losartán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Finnország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Franciaország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Magyarország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Lavestra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Izland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GB" w:eastAsia="sl-SI"/>
              </w:rPr>
              <w:t>Losartankalium</w:t>
            </w:r>
            <w:proofErr w:type="spellEnd"/>
            <w:r>
              <w:rPr>
                <w:sz w:val="22"/>
                <w:szCs w:val="22"/>
                <w:lang w:val="en-GB" w:eastAsia="sl-SI"/>
              </w:rPr>
              <w:t xml:space="preserve"> Krka</w:t>
            </w:r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Olaszország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Litvánia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Lorista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Lettország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Lorista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Norvégia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Portugália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Románia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Lorista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Svédország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Krka</w:t>
            </w:r>
            <w:proofErr w:type="spellEnd"/>
          </w:p>
        </w:tc>
      </w:tr>
      <w:tr w:rsidR="003E0ABF" w:rsidTr="00E3125A">
        <w:tc>
          <w:tcPr>
            <w:tcW w:w="3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Egyesült Királyság (Észak-Írország)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0ABF" w:rsidRDefault="00F8255D">
            <w:pPr>
              <w:numPr>
                <w:ilvl w:val="12"/>
                <w:numId w:val="0"/>
              </w:numPr>
              <w:ind w:right="-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Losartan </w:t>
            </w:r>
            <w:proofErr w:type="spellStart"/>
            <w:r>
              <w:rPr>
                <w:sz w:val="22"/>
                <w:szCs w:val="22"/>
              </w:rPr>
              <w:t>Potassium</w:t>
            </w:r>
            <w:proofErr w:type="spellEnd"/>
          </w:p>
        </w:tc>
      </w:tr>
    </w:tbl>
    <w:p w:rsidR="003E0ABF" w:rsidRDefault="003E0ABF">
      <w:pPr>
        <w:rPr>
          <w:noProof/>
          <w:sz w:val="22"/>
          <w:szCs w:val="22"/>
        </w:rPr>
      </w:pPr>
    </w:p>
    <w:p w:rsidR="003E0ABF" w:rsidRDefault="00F8255D">
      <w:pPr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25 mg filmtabletta 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OGYI-T-10304/07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OGYI-T-10304/08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OGYI-T-10304/09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:rsidR="003E0ABF" w:rsidRDefault="003E0ABF">
      <w:pPr>
        <w:rPr>
          <w:sz w:val="22"/>
          <w:szCs w:val="22"/>
        </w:rPr>
      </w:pPr>
    </w:p>
    <w:p w:rsidR="003E0ABF" w:rsidRDefault="00F8255D">
      <w:pPr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50 mg filmtabletta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OGYI-T-10304/01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OGYI-T-10304/02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56×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OGYI-T-10304/03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84×</w:t>
      </w:r>
    </w:p>
    <w:p w:rsidR="003E0ABF" w:rsidRDefault="003E0ABF">
      <w:pPr>
        <w:rPr>
          <w:sz w:val="22"/>
          <w:szCs w:val="22"/>
        </w:rPr>
      </w:pPr>
    </w:p>
    <w:p w:rsidR="003E0ABF" w:rsidRDefault="00F8255D">
      <w:pPr>
        <w:rPr>
          <w:sz w:val="22"/>
          <w:szCs w:val="22"/>
          <w:u w:val="single"/>
        </w:rPr>
      </w:pPr>
      <w:proofErr w:type="spellStart"/>
      <w:r>
        <w:rPr>
          <w:sz w:val="22"/>
          <w:szCs w:val="22"/>
          <w:u w:val="single"/>
        </w:rPr>
        <w:t>Lavestra</w:t>
      </w:r>
      <w:proofErr w:type="spellEnd"/>
      <w:r>
        <w:rPr>
          <w:sz w:val="22"/>
          <w:szCs w:val="22"/>
          <w:u w:val="single"/>
        </w:rPr>
        <w:t xml:space="preserve"> 100 mg filmtabletta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OGYI-T-10304/10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28×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OGYI-T-10304/11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30×</w:t>
      </w:r>
    </w:p>
    <w:p w:rsidR="003E0ABF" w:rsidRDefault="00F8255D">
      <w:pPr>
        <w:rPr>
          <w:sz w:val="22"/>
          <w:szCs w:val="22"/>
        </w:rPr>
      </w:pPr>
      <w:r>
        <w:rPr>
          <w:sz w:val="22"/>
          <w:szCs w:val="22"/>
        </w:rPr>
        <w:t>OGYI-T-10304/12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60×</w:t>
      </w:r>
    </w:p>
    <w:p w:rsidR="003E0ABF" w:rsidRDefault="003E0ABF">
      <w:pPr>
        <w:rPr>
          <w:sz w:val="22"/>
          <w:szCs w:val="22"/>
        </w:rPr>
      </w:pPr>
    </w:p>
    <w:p w:rsidR="003E0ABF" w:rsidRDefault="00F8255D">
      <w:pPr>
        <w:rPr>
          <w:noProof/>
          <w:sz w:val="22"/>
          <w:szCs w:val="22"/>
        </w:rPr>
      </w:pPr>
      <w:r>
        <w:rPr>
          <w:b/>
          <w:noProof/>
          <w:sz w:val="22"/>
          <w:szCs w:val="22"/>
        </w:rPr>
        <w:t>A betegtájékoztató legutóbbi felülvizsgálatának dátuma: 202</w:t>
      </w:r>
      <w:r w:rsidR="00EA1FD8">
        <w:rPr>
          <w:b/>
          <w:noProof/>
          <w:sz w:val="22"/>
          <w:szCs w:val="22"/>
        </w:rPr>
        <w:t>6</w:t>
      </w:r>
      <w:r>
        <w:rPr>
          <w:b/>
          <w:noProof/>
          <w:sz w:val="22"/>
          <w:szCs w:val="22"/>
        </w:rPr>
        <w:t>. má</w:t>
      </w:r>
      <w:r w:rsidR="00EA1FD8">
        <w:rPr>
          <w:b/>
          <w:noProof/>
          <w:sz w:val="22"/>
          <w:szCs w:val="22"/>
        </w:rPr>
        <w:t>rcius</w:t>
      </w:r>
      <w:bookmarkStart w:id="0" w:name="_GoBack"/>
      <w:bookmarkEnd w:id="0"/>
      <w:r>
        <w:rPr>
          <w:b/>
          <w:noProof/>
          <w:sz w:val="22"/>
          <w:szCs w:val="22"/>
        </w:rPr>
        <w:t>.</w:t>
      </w:r>
    </w:p>
    <w:sectPr w:rsidR="003E0ABF">
      <w:headerReference w:type="even" r:id="rId9"/>
      <w:headerReference w:type="default" r:id="rId10"/>
      <w:footerReference w:type="default" r:id="rId11"/>
      <w:footerReference w:type="first" r:id="rId12"/>
      <w:pgSz w:w="11905" w:h="16837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ABF" w:rsidRDefault="00F8255D">
      <w:r>
        <w:separator/>
      </w:r>
    </w:p>
  </w:endnote>
  <w:endnote w:type="continuationSeparator" w:id="0">
    <w:p w:rsidR="003E0ABF" w:rsidRDefault="00F82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ABF" w:rsidRDefault="003E0ABF">
    <w:pPr>
      <w:pStyle w:val="llb"/>
      <w:tabs>
        <w:tab w:val="clear" w:pos="8930"/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55D" w:rsidRPr="00F8255D" w:rsidRDefault="00F8255D" w:rsidP="00E3125A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F8255D">
      <w:rPr>
        <w:rFonts w:ascii="Times New Roman" w:hAnsi="Times New Roman"/>
        <w:sz w:val="18"/>
        <w:szCs w:val="18"/>
      </w:rPr>
      <w:t>NNGYK/ETGY/5937/2025</w:t>
    </w:r>
  </w:p>
  <w:p w:rsidR="00F8255D" w:rsidRPr="00F8255D" w:rsidRDefault="00F8255D" w:rsidP="00E3125A">
    <w:pPr>
      <w:pStyle w:val="llb"/>
      <w:spacing w:line="240" w:lineRule="auto"/>
      <w:rPr>
        <w:rFonts w:ascii="Times New Roman" w:hAnsi="Times New Roman"/>
        <w:sz w:val="18"/>
        <w:szCs w:val="18"/>
      </w:rPr>
    </w:pPr>
    <w:r w:rsidRPr="00F8255D">
      <w:rPr>
        <w:rFonts w:ascii="Times New Roman" w:hAnsi="Times New Roman"/>
        <w:sz w:val="18"/>
        <w:szCs w:val="18"/>
      </w:rPr>
      <w:t>NNGYK/ETGY/5939/2025</w:t>
    </w:r>
  </w:p>
  <w:p w:rsidR="003E0ABF" w:rsidRDefault="00F8255D" w:rsidP="00EA1FD8">
    <w:pPr>
      <w:pStyle w:val="llb"/>
      <w:spacing w:line="240" w:lineRule="auto"/>
    </w:pPr>
    <w:r w:rsidRPr="00F8255D">
      <w:rPr>
        <w:rFonts w:ascii="Times New Roman" w:hAnsi="Times New Roman"/>
        <w:sz w:val="18"/>
        <w:szCs w:val="18"/>
      </w:rPr>
      <w:t>NNGYK/ETGY/5944/2025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ABF" w:rsidRDefault="00F8255D">
      <w:r>
        <w:separator/>
      </w:r>
    </w:p>
  </w:footnote>
  <w:footnote w:type="continuationSeparator" w:id="0">
    <w:p w:rsidR="003E0ABF" w:rsidRDefault="00F82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ABF" w:rsidRDefault="00F8255D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3E0ABF" w:rsidRDefault="003E0ABF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ABF" w:rsidRDefault="00F8255D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>
      <w:rPr>
        <w:rStyle w:val="Oldalszm"/>
        <w:sz w:val="18"/>
        <w:szCs w:val="18"/>
      </w:rPr>
      <w:fldChar w:fldCharType="begin"/>
    </w:r>
    <w:r>
      <w:rPr>
        <w:rStyle w:val="Oldalszm"/>
        <w:sz w:val="18"/>
        <w:szCs w:val="18"/>
      </w:rPr>
      <w:instrText xml:space="preserve">PAGE  </w:instrText>
    </w:r>
    <w:r>
      <w:rPr>
        <w:rStyle w:val="Oldalszm"/>
        <w:sz w:val="18"/>
        <w:szCs w:val="18"/>
      </w:rPr>
      <w:fldChar w:fldCharType="separate"/>
    </w:r>
    <w:r w:rsidR="00E3125A">
      <w:rPr>
        <w:rStyle w:val="Oldalszm"/>
        <w:noProof/>
        <w:sz w:val="18"/>
        <w:szCs w:val="18"/>
      </w:rPr>
      <w:t>9</w:t>
    </w:r>
    <w:r>
      <w:rPr>
        <w:rStyle w:val="Oldalszm"/>
        <w:sz w:val="18"/>
        <w:szCs w:val="18"/>
      </w:rPr>
      <w:fldChar w:fldCharType="end"/>
    </w:r>
  </w:p>
  <w:p w:rsidR="003E0ABF" w:rsidRDefault="003E0AB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imes New Roman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23D15A0"/>
    <w:multiLevelType w:val="hybridMultilevel"/>
    <w:tmpl w:val="A15008E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103477"/>
    <w:multiLevelType w:val="hybridMultilevel"/>
    <w:tmpl w:val="B2CCA8CC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8154A8A"/>
    <w:multiLevelType w:val="hybridMultilevel"/>
    <w:tmpl w:val="C63C8528"/>
    <w:lvl w:ilvl="0" w:tplc="B5C4948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06071BD"/>
    <w:multiLevelType w:val="hybridMultilevel"/>
    <w:tmpl w:val="539E3622"/>
    <w:lvl w:ilvl="0" w:tplc="77463972">
      <w:start w:val="4"/>
      <w:numFmt w:val="bullet"/>
      <w:lvlText w:val="-"/>
      <w:lvlJc w:val="left"/>
      <w:pPr>
        <w:tabs>
          <w:tab w:val="num" w:pos="363"/>
        </w:tabs>
        <w:ind w:left="0" w:firstLine="3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723"/>
        </w:tabs>
        <w:ind w:left="723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443"/>
        </w:tabs>
        <w:ind w:left="1443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163"/>
        </w:tabs>
        <w:ind w:left="2163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2883"/>
        </w:tabs>
        <w:ind w:left="2883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603"/>
        </w:tabs>
        <w:ind w:left="3603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323"/>
        </w:tabs>
        <w:ind w:left="4323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043"/>
        </w:tabs>
        <w:ind w:left="5043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5763"/>
        </w:tabs>
        <w:ind w:left="5763" w:hanging="180"/>
      </w:pPr>
    </w:lvl>
  </w:abstractNum>
  <w:abstractNum w:abstractNumId="16" w15:restartNumberingAfterBreak="0">
    <w:nsid w:val="108911F1"/>
    <w:multiLevelType w:val="multilevel"/>
    <w:tmpl w:val="B7AE1A60"/>
    <w:lvl w:ilvl="0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16073C04"/>
    <w:multiLevelType w:val="hybridMultilevel"/>
    <w:tmpl w:val="6AB2C6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1B0794"/>
    <w:multiLevelType w:val="hybridMultilevel"/>
    <w:tmpl w:val="B7AE1A6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2ACE569E"/>
    <w:multiLevelType w:val="multilevel"/>
    <w:tmpl w:val="EA9CECCC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2B285DF9"/>
    <w:multiLevelType w:val="hybridMultilevel"/>
    <w:tmpl w:val="EA9CECCC"/>
    <w:lvl w:ilvl="0" w:tplc="B20C0038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30D16F5D"/>
    <w:multiLevelType w:val="hybridMultilevel"/>
    <w:tmpl w:val="49245D34"/>
    <w:lvl w:ilvl="0" w:tplc="77463972">
      <w:start w:val="4"/>
      <w:numFmt w:val="bullet"/>
      <w:lvlText w:val="-"/>
      <w:lvlJc w:val="left"/>
      <w:pPr>
        <w:tabs>
          <w:tab w:val="num" w:pos="1200"/>
        </w:tabs>
        <w:ind w:left="837" w:firstLine="3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22" w15:restartNumberingAfterBreak="0">
    <w:nsid w:val="41D140EB"/>
    <w:multiLevelType w:val="hybridMultilevel"/>
    <w:tmpl w:val="A5CAC232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9F7BC1"/>
    <w:multiLevelType w:val="multilevel"/>
    <w:tmpl w:val="92A2BC9C"/>
    <w:lvl w:ilvl="0">
      <w:start w:val="1"/>
      <w:numFmt w:val="bullet"/>
      <w:lvlText w:val="·"/>
      <w:lvlJc w:val="left"/>
      <w:pPr>
        <w:tabs>
          <w:tab w:val="num" w:pos="360"/>
        </w:tabs>
        <w:ind w:left="357" w:hanging="357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4" w15:restartNumberingAfterBreak="0">
    <w:nsid w:val="47FA09D7"/>
    <w:multiLevelType w:val="multilevel"/>
    <w:tmpl w:val="28686E0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00F0A91"/>
    <w:multiLevelType w:val="hybridMultilevel"/>
    <w:tmpl w:val="2B94116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4405813"/>
    <w:multiLevelType w:val="hybridMultilevel"/>
    <w:tmpl w:val="28686E04"/>
    <w:lvl w:ilvl="0" w:tplc="F9CA61D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90D085D"/>
    <w:multiLevelType w:val="hybridMultilevel"/>
    <w:tmpl w:val="F40CFF90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B13BD7"/>
    <w:multiLevelType w:val="hybridMultilevel"/>
    <w:tmpl w:val="E8CED8CC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AA642D"/>
    <w:multiLevelType w:val="hybridMultilevel"/>
    <w:tmpl w:val="C69A73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6FD175F"/>
    <w:multiLevelType w:val="hybridMultilevel"/>
    <w:tmpl w:val="352C6B6E"/>
    <w:lvl w:ilvl="0" w:tplc="A79484A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53438D"/>
    <w:multiLevelType w:val="hybridMultilevel"/>
    <w:tmpl w:val="37D0AB2A"/>
    <w:lvl w:ilvl="0" w:tplc="040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74260F"/>
    <w:multiLevelType w:val="hybridMultilevel"/>
    <w:tmpl w:val="9D58CE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25"/>
  </w:num>
  <w:num w:numId="12">
    <w:abstractNumId w:val="13"/>
  </w:num>
  <w:num w:numId="1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4">
    <w:abstractNumId w:val="28"/>
  </w:num>
  <w:num w:numId="15">
    <w:abstractNumId w:val="30"/>
  </w:num>
  <w:num w:numId="16">
    <w:abstractNumId w:val="26"/>
  </w:num>
  <w:num w:numId="17">
    <w:abstractNumId w:val="12"/>
  </w:num>
  <w:num w:numId="18">
    <w:abstractNumId w:val="27"/>
  </w:num>
  <w:num w:numId="19">
    <w:abstractNumId w:val="24"/>
  </w:num>
  <w:num w:numId="20">
    <w:abstractNumId w:val="20"/>
  </w:num>
  <w:num w:numId="21">
    <w:abstractNumId w:val="19"/>
  </w:num>
  <w:num w:numId="22">
    <w:abstractNumId w:val="18"/>
  </w:num>
  <w:num w:numId="23">
    <w:abstractNumId w:val="16"/>
  </w:num>
  <w:num w:numId="24">
    <w:abstractNumId w:val="15"/>
  </w:num>
  <w:num w:numId="25">
    <w:abstractNumId w:val="21"/>
  </w:num>
  <w:num w:numId="26">
    <w:abstractNumId w:val="22"/>
  </w:num>
  <w:num w:numId="27">
    <w:abstractNumId w:val="31"/>
  </w:num>
  <w:num w:numId="28">
    <w:abstractNumId w:val="32"/>
  </w:num>
  <w:num w:numId="29">
    <w:abstractNumId w:val="23"/>
  </w:num>
  <w:num w:numId="30">
    <w:abstractNumId w:val="17"/>
  </w:num>
  <w:num w:numId="31">
    <w:abstractNumId w:val="11"/>
  </w:num>
  <w:num w:numId="32">
    <w:abstractNumId w:val="29"/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ABF"/>
    <w:rsid w:val="003E0ABF"/>
    <w:rsid w:val="00E3125A"/>
    <w:rsid w:val="00EA1FD8"/>
    <w:rsid w:val="00F8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553237E"/>
  <w15:docId w15:val="{974FC6DE-1DA8-496C-8595-312B3AED6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  <w:szCs w:val="24"/>
      <w:lang w:val="hu-HU"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pPr>
      <w:spacing w:before="100" w:beforeAutospacing="1" w:after="100" w:afterAutospacing="1"/>
    </w:pPr>
    <w:rPr>
      <w:lang w:val="en-US" w:eastAsia="en-US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Szvegtrzs">
    <w:name w:val="Body Text"/>
    <w:basedOn w:val="Norml"/>
    <w:rPr>
      <w:sz w:val="22"/>
      <w:szCs w:val="20"/>
      <w:lang w:val="en-GB" w:eastAsia="en-US"/>
    </w:rPr>
  </w:style>
  <w:style w:type="character" w:styleId="Oldalszm">
    <w:name w:val="page number"/>
    <w:basedOn w:val="Bekezdsalapbettpusa"/>
  </w:style>
  <w:style w:type="paragraph" w:styleId="llb">
    <w:name w:val="footer"/>
    <w:basedOn w:val="Norml"/>
    <w:link w:val="llbChar"/>
    <w:pPr>
      <w:tabs>
        <w:tab w:val="left" w:pos="567"/>
        <w:tab w:val="center" w:pos="4536"/>
        <w:tab w:val="center" w:pos="8930"/>
      </w:tabs>
      <w:suppressAutoHyphens/>
      <w:spacing w:line="260" w:lineRule="atLeast"/>
    </w:pPr>
    <w:rPr>
      <w:rFonts w:ascii="Helvetica" w:hAnsi="Helvetica"/>
      <w:sz w:val="16"/>
      <w:szCs w:val="20"/>
    </w:rPr>
  </w:style>
  <w:style w:type="paragraph" w:styleId="Jegyzetszveg">
    <w:name w:val="annotation text"/>
    <w:basedOn w:val="Norml"/>
    <w:semiHidden/>
    <w:pPr>
      <w:suppressAutoHyphens/>
      <w:spacing w:line="260" w:lineRule="exact"/>
    </w:pPr>
    <w:rPr>
      <w:sz w:val="20"/>
      <w:szCs w:val="20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pPr>
      <w:suppressAutoHyphens w:val="0"/>
      <w:spacing w:line="240" w:lineRule="auto"/>
    </w:pPr>
    <w:rPr>
      <w:b/>
      <w:bCs/>
    </w:rPr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table" w:styleId="Rcsostblzat">
    <w:name w:val="Table Grid"/>
    <w:basedOn w:val="Normltblzat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Pr>
      <w:sz w:val="24"/>
      <w:szCs w:val="24"/>
      <w:lang w:val="hu-HU" w:eastAsia="hu-HU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llbChar">
    <w:name w:val="Élőláb Char"/>
    <w:link w:val="llb"/>
    <w:rPr>
      <w:rFonts w:ascii="Helvetica" w:hAnsi="Helvetic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04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73F6B-77F0-46B2-9A95-29384C05E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2792</Words>
  <Characters>19238</Characters>
  <Application>Microsoft Office Word</Application>
  <DocSecurity>0</DocSecurity>
  <Lines>160</Lines>
  <Paragraphs>43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3" baseType="lpstr">
      <vt:lpstr>Lorista</vt:lpstr>
      <vt:lpstr>Lorista</vt:lpstr>
      <vt:lpstr>Lorista</vt:lpstr>
    </vt:vector>
  </TitlesOfParts>
  <Company>Pannon Program Kft</Company>
  <LinksUpToDate>false</LinksUpToDate>
  <CharactersWithSpaces>21987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Lorista</dc:title>
  <dc:creator>Windows XP</dc:creator>
  <cp:lastModifiedBy>HU_OGYEI_16.1.2</cp:lastModifiedBy>
  <cp:revision>3</cp:revision>
  <cp:lastPrinted>2014-11-11T08:37:00Z</cp:lastPrinted>
  <dcterms:created xsi:type="dcterms:W3CDTF">2026-04-06T16:55:00Z</dcterms:created>
  <dcterms:modified xsi:type="dcterms:W3CDTF">2026-04-06T16:55:00Z</dcterms:modified>
</cp:coreProperties>
</file>