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33672" w14:textId="77777777" w:rsidR="00120ABE" w:rsidRPr="008238CE" w:rsidRDefault="00866CC1" w:rsidP="008238CE">
      <w:pPr>
        <w:pStyle w:val="Listaszerbekezds"/>
        <w:numPr>
          <w:ilvl w:val="0"/>
          <w:numId w:val="1"/>
        </w:numPr>
        <w:ind w:left="567" w:right="32"/>
        <w:rPr>
          <w:rFonts w:ascii="Times New Roman" w:hAnsi="Times New Roman"/>
          <w:b/>
          <w:bCs/>
          <w:sz w:val="22"/>
          <w:szCs w:val="22"/>
          <w:lang w:val="en-GB"/>
        </w:rPr>
      </w:pPr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>A GYÓGYSZER NEVE</w:t>
      </w:r>
    </w:p>
    <w:p w14:paraId="345C7F78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5B92E014" w14:textId="1AF1F310" w:rsidR="00120ABE" w:rsidRPr="008238CE" w:rsidRDefault="00A05E74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  <w:r>
        <w:rPr>
          <w:rFonts w:ascii="Times New Roman" w:hAnsi="Times New Roman"/>
          <w:b/>
          <w:bCs/>
          <w:sz w:val="22"/>
          <w:szCs w:val="22"/>
          <w:lang w:eastAsia="hu-HU"/>
        </w:rPr>
        <w:t>Cladribine Sandoz</w:t>
      </w:r>
      <w:r w:rsidR="00866CC1" w:rsidRPr="008238CE">
        <w:rPr>
          <w:rFonts w:ascii="Times New Roman" w:hAnsi="Times New Roman"/>
          <w:b/>
          <w:bCs/>
          <w:sz w:val="22"/>
          <w:szCs w:val="22"/>
          <w:lang w:eastAsia="hu-HU"/>
        </w:rPr>
        <w:t xml:space="preserve"> 10 mg tabletta</w:t>
      </w:r>
    </w:p>
    <w:p w14:paraId="2CAB560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410209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9BDFBDF" w14:textId="77777777" w:rsidR="00120ABE" w:rsidRPr="008238CE" w:rsidRDefault="00866CC1">
      <w:pPr>
        <w:pStyle w:val="Cmsor1"/>
        <w:numPr>
          <w:ilvl w:val="0"/>
          <w:numId w:val="1"/>
        </w:numPr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MINŐSÉGI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ÉS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MENNYISÉGI ÖSSZETÉTEL</w:t>
      </w:r>
    </w:p>
    <w:p w14:paraId="48745F6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37C872D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10 mg kladribint tartalmaz tablettánként.</w:t>
      </w:r>
    </w:p>
    <w:p w14:paraId="4B5A88E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B424780" w14:textId="65C04A89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Ismert hatású segédanyag:</w:t>
      </w:r>
    </w:p>
    <w:p w14:paraId="595DF48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64 mg szorbit</w:t>
      </w:r>
      <w:r w:rsidR="00C349C6" w:rsidRPr="008238CE">
        <w:rPr>
          <w:rFonts w:ascii="Times New Roman" w:hAnsi="Times New Roman"/>
          <w:sz w:val="22"/>
          <w:szCs w:val="22"/>
          <w:lang w:val="hu-HU" w:eastAsia="hu-HU"/>
        </w:rPr>
        <w:t>ot tartalmaz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tablettánként.</w:t>
      </w:r>
    </w:p>
    <w:p w14:paraId="047A4E1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3136010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segédanyagok teljes listáját lásd a 6.1 pontban.</w:t>
      </w:r>
    </w:p>
    <w:p w14:paraId="7959221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B7EF71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0D95877" w14:textId="77777777" w:rsidR="00120ABE" w:rsidRPr="008238CE" w:rsidRDefault="00866CC1">
      <w:pPr>
        <w:pStyle w:val="Cmsor1"/>
        <w:numPr>
          <w:ilvl w:val="0"/>
          <w:numId w:val="1"/>
        </w:numPr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GYÓGYSZERFORMA</w:t>
      </w:r>
    </w:p>
    <w:p w14:paraId="2D238880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473863FA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Tabletta.</w:t>
      </w:r>
    </w:p>
    <w:p w14:paraId="59604C1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E54F868" w14:textId="1CF8519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Fehér, kerek, mindkét oldalán domború, 8,5 mm átmérőjű tabletta, egyik oldalán „10” </w:t>
      </w:r>
      <w:r w:rsidR="00C349C6" w:rsidRPr="008238CE">
        <w:rPr>
          <w:rFonts w:ascii="Times New Roman" w:hAnsi="Times New Roman"/>
          <w:sz w:val="22"/>
          <w:szCs w:val="22"/>
          <w:lang w:val="hu-HU" w:eastAsia="hu-HU"/>
        </w:rPr>
        <w:t xml:space="preserve">mélynyomású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jel</w:t>
      </w:r>
      <w:r w:rsidR="00C349C6" w:rsidRPr="008238CE">
        <w:rPr>
          <w:rFonts w:ascii="Times New Roman" w:hAnsi="Times New Roman"/>
          <w:sz w:val="22"/>
          <w:szCs w:val="22"/>
          <w:lang w:val="hu-HU" w:eastAsia="hu-HU"/>
        </w:rPr>
        <w:t>ö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l</w:t>
      </w:r>
      <w:r w:rsidR="00C349C6" w:rsidRPr="008238CE">
        <w:rPr>
          <w:rFonts w:ascii="Times New Roman" w:hAnsi="Times New Roman"/>
          <w:sz w:val="22"/>
          <w:szCs w:val="22"/>
          <w:lang w:val="hu-HU" w:eastAsia="hu-HU"/>
        </w:rPr>
        <w:t>éss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el ellátva.</w:t>
      </w:r>
    </w:p>
    <w:p w14:paraId="7CCAA1F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4B582E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26C0561" w14:textId="77777777" w:rsidR="00120ABE" w:rsidRPr="008238CE" w:rsidRDefault="00866CC1">
      <w:pPr>
        <w:pStyle w:val="Cmsor1"/>
        <w:numPr>
          <w:ilvl w:val="0"/>
          <w:numId w:val="1"/>
        </w:numPr>
        <w:tabs>
          <w:tab w:val="left" w:pos="784"/>
        </w:tabs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KLINIKAI JELLEMZŐK</w:t>
      </w:r>
    </w:p>
    <w:p w14:paraId="451720D2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2352F62D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Terápiás javallatok</w:t>
      </w:r>
    </w:p>
    <w:p w14:paraId="40BAE6AD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5D305BE1" w14:textId="42379AF9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="00A05E74">
        <w:rPr>
          <w:rFonts w:ascii="Times New Roman" w:hAnsi="Times New Roman"/>
          <w:sz w:val="22"/>
          <w:szCs w:val="22"/>
          <w:lang w:val="hu-HU" w:eastAsia="hu-HU"/>
        </w:rPr>
        <w:t>Cladribine Sandoz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</w:t>
      </w:r>
      <w:r w:rsidR="00DB630E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mg tabletta olyan felnőtt betegek kezelésére javallott,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 akik meghatározott klinikai, illetve radiológiai jellemzők alapján magas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aktivitású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relabáló sclerosis multiplex-ben (SM) szenvednek (lásd 5.1 pont).</w:t>
      </w:r>
    </w:p>
    <w:p w14:paraId="2341A93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904B091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Adagolás és alkalmazás</w:t>
      </w:r>
    </w:p>
    <w:p w14:paraId="33F67681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112D05D0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kezelést az SM kezelésében jártas orvosnak kell megkezdenie és felügyelnie.</w:t>
      </w:r>
    </w:p>
    <w:p w14:paraId="0744B2F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71925C42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Adagolás</w:t>
      </w:r>
    </w:p>
    <w:p w14:paraId="34EAB3B4" w14:textId="31CBDDB6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>Az ajánlott kumulatív dózis 3,5</w:t>
      </w:r>
      <w:r w:rsidR="00D67CDC" w:rsidRPr="008238CE">
        <w:t> </w:t>
      </w:r>
      <w:r w:rsidRPr="008238CE">
        <w:rPr>
          <w:rFonts w:ascii="Times New Roman" w:hAnsi="Times New Roman"/>
          <w:sz w:val="22"/>
          <w:szCs w:val="22"/>
          <w:lang w:eastAsia="hu-HU"/>
        </w:rPr>
        <w:t>mg/ttkg 2 éven át, amit évente egy kezelési periódusban kell alkalmazni, 1,75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> 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mg/ttkg dózissal. Minden kezelési periódus 2 kezelési hétből áll,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egyik az adott kezelési év első hónapjának kezdetére, a másik pedig az adott kezelési év második hónapjának kezdetére esik. Ha orvosilag szükséges (pl. hogy a lymphocytaszám rendeződhessen), a kezelési periódus a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2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évben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legfeljebb 6 hónappal elhalasztható. Mindegyik kezelési hét 4 vagy 5 napból áll, melyeken a beteg, testtömegétől függően, 10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> </w:t>
      </w:r>
      <w:r w:rsidRPr="008238CE">
        <w:rPr>
          <w:rFonts w:ascii="Times New Roman" w:hAnsi="Times New Roman"/>
          <w:sz w:val="22"/>
          <w:szCs w:val="22"/>
          <w:lang w:eastAsia="hu-HU"/>
        </w:rPr>
        <w:t>mg-ot vagy 20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> </w:t>
      </w:r>
      <w:r w:rsidRPr="008238CE">
        <w:rPr>
          <w:rFonts w:ascii="Times New Roman" w:hAnsi="Times New Roman"/>
          <w:sz w:val="22"/>
          <w:szCs w:val="22"/>
          <w:lang w:eastAsia="hu-HU"/>
        </w:rPr>
        <w:t>mg-ot (egy vagy két tablett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>át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) kap a készítményből napi egyszeri adag formájában. A részleteket illetően lásd alább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1.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és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2.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táblázatot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>.</w:t>
      </w:r>
    </w:p>
    <w:p w14:paraId="2AFCDC4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</w:p>
    <w:p w14:paraId="419A779D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A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2 kezelési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periódus befejezése után további kladribin-kezelés nem szükséges a 3.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és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a 4.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évben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(lásd 5.1 pont). A terápia 4 év eltelte utáni újrakezdését nem vizsgálták.</w:t>
      </w:r>
    </w:p>
    <w:p w14:paraId="5DEB9F3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3490C3A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 kezelés megkezdésének és folytatásának feltételei</w:t>
      </w:r>
    </w:p>
    <w:p w14:paraId="4B986019" w14:textId="75056701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lymphocytaszámnak</w:t>
      </w:r>
    </w:p>
    <w:p w14:paraId="2FAB8C2E" w14:textId="6B4D9409" w:rsidR="00120ABE" w:rsidRPr="008238CE" w:rsidRDefault="00866CC1">
      <w:pPr>
        <w:pStyle w:val="Szvegtrzs"/>
        <w:numPr>
          <w:ilvl w:val="0"/>
          <w:numId w:val="2"/>
        </w:numPr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kezelés 1. évben történő megkezdése előtt normálisnak kell lennie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>;</w:t>
      </w:r>
    </w:p>
    <w:p w14:paraId="632D862B" w14:textId="1A351515" w:rsidR="00120ABE" w:rsidRPr="008238CE" w:rsidRDefault="00866CC1">
      <w:pPr>
        <w:pStyle w:val="Szvegtrzs"/>
        <w:numPr>
          <w:ilvl w:val="0"/>
          <w:numId w:val="2"/>
        </w:numPr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kezelés 2.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évben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történő megkezdése előtt legalább 800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> </w:t>
      </w:r>
      <w:r w:rsidRPr="008238CE">
        <w:rPr>
          <w:rFonts w:ascii="Times New Roman" w:hAnsi="Times New Roman"/>
          <w:sz w:val="22"/>
          <w:szCs w:val="22"/>
          <w:lang w:eastAsia="hu-HU"/>
        </w:rPr>
        <w:t>sejt/mm³-nek kell lennie.</w:t>
      </w:r>
    </w:p>
    <w:p w14:paraId="64810812" w14:textId="77777777" w:rsidR="00120ABE" w:rsidRPr="008238CE" w:rsidRDefault="00120ABE">
      <w:pPr>
        <w:ind w:right="32"/>
        <w:rPr>
          <w:rFonts w:ascii="Times New Roman" w:hAnsi="Times New Roman"/>
          <w:sz w:val="22"/>
          <w:szCs w:val="22"/>
          <w:lang w:eastAsia="hu-HU"/>
        </w:rPr>
      </w:pPr>
    </w:p>
    <w:p w14:paraId="451F7C52" w14:textId="01768B31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Szükség esetén a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2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évben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legfeljebb 6 hónapra elhalasztható a kezelési periódus, hogy a lymphocytaszám rendeződhessen. Ha a lymphocytaszám rendeződése 6 hónapnál hosszabb időt vesz igénybe, a beteg nem kaphat többé kladribin-tablettát.</w:t>
      </w:r>
    </w:p>
    <w:p w14:paraId="63F13133" w14:textId="77777777" w:rsidR="00120ABE" w:rsidRPr="008238CE" w:rsidRDefault="00120ABE">
      <w:pPr>
        <w:keepNext/>
        <w:keepLines/>
        <w:ind w:right="34"/>
        <w:rPr>
          <w:rFonts w:ascii="Times New Roman" w:hAnsi="Times New Roman"/>
          <w:sz w:val="22"/>
          <w:szCs w:val="22"/>
          <w:lang w:val="hu-HU" w:eastAsia="hu-HU"/>
        </w:rPr>
      </w:pPr>
    </w:p>
    <w:p w14:paraId="36F96272" w14:textId="77777777" w:rsidR="00120ABE" w:rsidRPr="008238CE" w:rsidRDefault="00866CC1">
      <w:pPr>
        <w:keepNext/>
        <w:keepLines/>
        <w:ind w:right="34"/>
        <w:rPr>
          <w:rFonts w:ascii="Times New Roman" w:hAnsi="Times New Roman"/>
          <w:i/>
          <w:sz w:val="22"/>
          <w:szCs w:val="22"/>
          <w:u w:val="single"/>
          <w:lang w:val="hu-HU" w:eastAsia="hu-HU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A </w:t>
      </w:r>
      <w:proofErr w:type="gramStart"/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dózis</w:t>
      </w:r>
      <w:proofErr w:type="gramEnd"/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elosztása</w:t>
      </w:r>
    </w:p>
    <w:p w14:paraId="4A0E8601" w14:textId="451B2FD3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összdózisnak a kezelés 2 éve alatti elosztása az 1.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táblázatban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látható.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egyes testtömegtartományok esetén a tabletták darabszáma változhat egyik kezelési hétről a másikra. A 40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> 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kg-nál kisebb testtömegű betegek esetében a </w:t>
      </w:r>
      <w:r w:rsidR="00D67CDC" w:rsidRPr="00A05E74">
        <w:rPr>
          <w:rFonts w:ascii="Times New Roman" w:hAnsi="Times New Roman"/>
          <w:i/>
          <w:sz w:val="22"/>
          <w:szCs w:val="22"/>
          <w:lang w:eastAsia="hu-HU"/>
        </w:rPr>
        <w:t>per os</w:t>
      </w:r>
      <w:r w:rsidR="00D67CDC" w:rsidRPr="008238CE">
        <w:rPr>
          <w:rFonts w:ascii="Times New Roman" w:hAnsi="Times New Roman"/>
          <w:sz w:val="22"/>
          <w:szCs w:val="22"/>
          <w:lang w:eastAsia="hu-HU"/>
        </w:rPr>
        <w:t xml:space="preserve"> kladribin-készítmény </w:t>
      </w:r>
      <w:r w:rsidRPr="008238CE">
        <w:rPr>
          <w:rFonts w:ascii="Times New Roman" w:hAnsi="Times New Roman"/>
          <w:sz w:val="22"/>
          <w:szCs w:val="22"/>
          <w:lang w:eastAsia="hu-HU"/>
        </w:rPr>
        <w:t>alkalmazását nem vizsgálták.</w:t>
      </w:r>
    </w:p>
    <w:p w14:paraId="2A37A2E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370C617" w14:textId="7639B3F0" w:rsidR="00120ABE" w:rsidRPr="008238CE" w:rsidRDefault="00866CC1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 xml:space="preserve">1. táblázat A kladribin </w:t>
      </w:r>
      <w:proofErr w:type="gramStart"/>
      <w:r w:rsidR="00D67CDC"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>dózisa</w:t>
      </w:r>
      <w:proofErr w:type="gramEnd"/>
      <w:r w:rsidR="00D67CDC"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>kezelési hetenként, a beteg testtömege szerint, az egyes kezelési években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0" w:type="dxa"/>
          <w:left w:w="70" w:type="dxa"/>
          <w:bottom w:w="60" w:type="dxa"/>
          <w:right w:w="70" w:type="dxa"/>
        </w:tblCellMar>
        <w:tblLook w:val="01E0" w:firstRow="1" w:lastRow="1" w:firstColumn="1" w:lastColumn="1" w:noHBand="0" w:noVBand="0"/>
      </w:tblPr>
      <w:tblGrid>
        <w:gridCol w:w="2907"/>
        <w:gridCol w:w="3222"/>
        <w:gridCol w:w="2938"/>
      </w:tblGrid>
      <w:tr w:rsidR="00120ABE" w:rsidRPr="008238CE" w14:paraId="56816A6E" w14:textId="77777777">
        <w:trPr>
          <w:cantSplit/>
          <w:trHeight w:val="359"/>
        </w:trPr>
        <w:tc>
          <w:tcPr>
            <w:tcW w:w="1603" w:type="pct"/>
            <w:vAlign w:val="center"/>
          </w:tcPr>
          <w:p w14:paraId="086C423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Testtömegtartomány</w:t>
            </w:r>
          </w:p>
        </w:tc>
        <w:tc>
          <w:tcPr>
            <w:tcW w:w="3397" w:type="pct"/>
            <w:gridSpan w:val="2"/>
            <w:vAlign w:val="center"/>
          </w:tcPr>
          <w:p w14:paraId="3C34F400" w14:textId="1EB8F720" w:rsidR="00120ABE" w:rsidRPr="008238CE" w:rsidRDefault="00D67CD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Dózis</w:t>
            </w:r>
            <w:proofErr w:type="gramEnd"/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 xml:space="preserve"> </w:t>
            </w:r>
            <w:r w:rsidR="00866CC1"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mg-ban (a tabletták száma) kezelési hetenként</w:t>
            </w:r>
          </w:p>
        </w:tc>
      </w:tr>
      <w:tr w:rsidR="00120ABE" w:rsidRPr="008238CE" w14:paraId="7353A7A7" w14:textId="77777777">
        <w:trPr>
          <w:cantSplit/>
          <w:trHeight w:val="270"/>
        </w:trPr>
        <w:tc>
          <w:tcPr>
            <w:tcW w:w="1603" w:type="pct"/>
            <w:vAlign w:val="center"/>
          </w:tcPr>
          <w:p w14:paraId="3DDCF446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kg</w:t>
            </w:r>
          </w:p>
        </w:tc>
        <w:tc>
          <w:tcPr>
            <w:tcW w:w="1777" w:type="pct"/>
            <w:vAlign w:val="center"/>
          </w:tcPr>
          <w:p w14:paraId="6093F400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1. kezelési hét</w:t>
            </w:r>
          </w:p>
        </w:tc>
        <w:tc>
          <w:tcPr>
            <w:tcW w:w="1620" w:type="pct"/>
            <w:vAlign w:val="center"/>
          </w:tcPr>
          <w:p w14:paraId="27048449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2. kezelési hét</w:t>
            </w:r>
          </w:p>
        </w:tc>
      </w:tr>
      <w:tr w:rsidR="00120ABE" w:rsidRPr="008238CE" w14:paraId="28B41CC4" w14:textId="77777777">
        <w:trPr>
          <w:cantSplit/>
          <w:trHeight w:val="268"/>
        </w:trPr>
        <w:tc>
          <w:tcPr>
            <w:tcW w:w="1603" w:type="pct"/>
            <w:vAlign w:val="center"/>
          </w:tcPr>
          <w:p w14:paraId="6B53A84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40-&lt; 50</w:t>
            </w:r>
          </w:p>
        </w:tc>
        <w:tc>
          <w:tcPr>
            <w:tcW w:w="1777" w:type="pct"/>
            <w:vAlign w:val="center"/>
          </w:tcPr>
          <w:p w14:paraId="036B9A5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 mg (4 tabletta)</w:t>
            </w:r>
          </w:p>
        </w:tc>
        <w:tc>
          <w:tcPr>
            <w:tcW w:w="1620" w:type="pct"/>
            <w:vAlign w:val="center"/>
          </w:tcPr>
          <w:p w14:paraId="520BC5E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 mg (4 tabletta)</w:t>
            </w:r>
          </w:p>
        </w:tc>
      </w:tr>
      <w:tr w:rsidR="00120ABE" w:rsidRPr="008238CE" w14:paraId="5DD6229A" w14:textId="77777777">
        <w:trPr>
          <w:cantSplit/>
          <w:trHeight w:val="270"/>
        </w:trPr>
        <w:tc>
          <w:tcPr>
            <w:tcW w:w="1603" w:type="pct"/>
            <w:vAlign w:val="center"/>
          </w:tcPr>
          <w:p w14:paraId="20C0499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50-&lt; 60</w:t>
            </w:r>
          </w:p>
        </w:tc>
        <w:tc>
          <w:tcPr>
            <w:tcW w:w="1777" w:type="pct"/>
            <w:vAlign w:val="center"/>
          </w:tcPr>
          <w:p w14:paraId="0BD5180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 mg (5 tabletta)</w:t>
            </w:r>
          </w:p>
        </w:tc>
        <w:tc>
          <w:tcPr>
            <w:tcW w:w="1620" w:type="pct"/>
            <w:vAlign w:val="center"/>
          </w:tcPr>
          <w:p w14:paraId="09069D88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 mg (5 tabletta)</w:t>
            </w:r>
          </w:p>
        </w:tc>
      </w:tr>
      <w:tr w:rsidR="00120ABE" w:rsidRPr="008238CE" w14:paraId="60FDA287" w14:textId="77777777">
        <w:trPr>
          <w:cantSplit/>
          <w:trHeight w:val="270"/>
        </w:trPr>
        <w:tc>
          <w:tcPr>
            <w:tcW w:w="1603" w:type="pct"/>
            <w:vAlign w:val="center"/>
          </w:tcPr>
          <w:p w14:paraId="7AFA509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60-&lt; 70</w:t>
            </w:r>
          </w:p>
        </w:tc>
        <w:tc>
          <w:tcPr>
            <w:tcW w:w="1777" w:type="pct"/>
            <w:vAlign w:val="center"/>
          </w:tcPr>
          <w:p w14:paraId="6FF3EC6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60 mg (6 tabletta)</w:t>
            </w:r>
          </w:p>
        </w:tc>
        <w:tc>
          <w:tcPr>
            <w:tcW w:w="1620" w:type="pct"/>
            <w:vAlign w:val="center"/>
          </w:tcPr>
          <w:p w14:paraId="7BC21DC9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60 mg (6 tabletta)</w:t>
            </w:r>
          </w:p>
        </w:tc>
      </w:tr>
      <w:tr w:rsidR="00120ABE" w:rsidRPr="008238CE" w14:paraId="654BB422" w14:textId="77777777">
        <w:trPr>
          <w:cantSplit/>
          <w:trHeight w:val="268"/>
        </w:trPr>
        <w:tc>
          <w:tcPr>
            <w:tcW w:w="1603" w:type="pct"/>
            <w:vAlign w:val="center"/>
          </w:tcPr>
          <w:p w14:paraId="7D50EE4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70-&lt; 80</w:t>
            </w:r>
          </w:p>
        </w:tc>
        <w:tc>
          <w:tcPr>
            <w:tcW w:w="1777" w:type="pct"/>
            <w:vAlign w:val="center"/>
          </w:tcPr>
          <w:p w14:paraId="24D226C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70 mg (7 tabletta)</w:t>
            </w:r>
          </w:p>
        </w:tc>
        <w:tc>
          <w:tcPr>
            <w:tcW w:w="1620" w:type="pct"/>
            <w:vAlign w:val="center"/>
          </w:tcPr>
          <w:p w14:paraId="2D27A758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70 mg (7 tabletta)</w:t>
            </w:r>
          </w:p>
        </w:tc>
      </w:tr>
      <w:tr w:rsidR="00120ABE" w:rsidRPr="008238CE" w14:paraId="769AA25F" w14:textId="77777777">
        <w:trPr>
          <w:cantSplit/>
          <w:trHeight w:val="270"/>
        </w:trPr>
        <w:tc>
          <w:tcPr>
            <w:tcW w:w="1603" w:type="pct"/>
            <w:vAlign w:val="center"/>
          </w:tcPr>
          <w:p w14:paraId="244A5C09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80-&lt; 90</w:t>
            </w:r>
          </w:p>
        </w:tc>
        <w:tc>
          <w:tcPr>
            <w:tcW w:w="1777" w:type="pct"/>
            <w:vAlign w:val="center"/>
          </w:tcPr>
          <w:p w14:paraId="53B99D62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80 mg (8 tabletta)</w:t>
            </w:r>
          </w:p>
        </w:tc>
        <w:tc>
          <w:tcPr>
            <w:tcW w:w="1620" w:type="pct"/>
            <w:vAlign w:val="center"/>
          </w:tcPr>
          <w:p w14:paraId="12D7A9D2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70 mg (7 tabletta)</w:t>
            </w:r>
          </w:p>
        </w:tc>
      </w:tr>
      <w:tr w:rsidR="00120ABE" w:rsidRPr="008238CE" w14:paraId="032F7852" w14:textId="77777777">
        <w:trPr>
          <w:cantSplit/>
          <w:trHeight w:val="270"/>
        </w:trPr>
        <w:tc>
          <w:tcPr>
            <w:tcW w:w="1603" w:type="pct"/>
            <w:vAlign w:val="center"/>
          </w:tcPr>
          <w:p w14:paraId="2554027C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90-&lt; 100</w:t>
            </w:r>
          </w:p>
        </w:tc>
        <w:tc>
          <w:tcPr>
            <w:tcW w:w="1777" w:type="pct"/>
            <w:vAlign w:val="center"/>
          </w:tcPr>
          <w:p w14:paraId="22F01F26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90 mg (9 tabletta)</w:t>
            </w:r>
          </w:p>
        </w:tc>
        <w:tc>
          <w:tcPr>
            <w:tcW w:w="1620" w:type="pct"/>
            <w:vAlign w:val="center"/>
          </w:tcPr>
          <w:p w14:paraId="70E7AEF2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80 mg (8 tabletta)</w:t>
            </w:r>
          </w:p>
        </w:tc>
      </w:tr>
      <w:tr w:rsidR="00120ABE" w:rsidRPr="008238CE" w14:paraId="5EA3AAD5" w14:textId="77777777">
        <w:trPr>
          <w:cantSplit/>
          <w:trHeight w:val="268"/>
        </w:trPr>
        <w:tc>
          <w:tcPr>
            <w:tcW w:w="1603" w:type="pct"/>
            <w:vAlign w:val="center"/>
          </w:tcPr>
          <w:p w14:paraId="4F27A5C0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100-&lt; 110</w:t>
            </w:r>
          </w:p>
        </w:tc>
        <w:tc>
          <w:tcPr>
            <w:tcW w:w="1777" w:type="pct"/>
            <w:vAlign w:val="center"/>
          </w:tcPr>
          <w:p w14:paraId="3F0E86ED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100 mg (10 tabletta)</w:t>
            </w:r>
          </w:p>
        </w:tc>
        <w:tc>
          <w:tcPr>
            <w:tcW w:w="1620" w:type="pct"/>
            <w:vAlign w:val="center"/>
          </w:tcPr>
          <w:p w14:paraId="2B5B0A3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90 mg (9 tabletta)</w:t>
            </w:r>
          </w:p>
        </w:tc>
      </w:tr>
      <w:tr w:rsidR="00120ABE" w:rsidRPr="008238CE" w14:paraId="695A3F58" w14:textId="77777777">
        <w:trPr>
          <w:cantSplit/>
          <w:trHeight w:val="270"/>
        </w:trPr>
        <w:tc>
          <w:tcPr>
            <w:tcW w:w="1603" w:type="pct"/>
            <w:vAlign w:val="center"/>
          </w:tcPr>
          <w:p w14:paraId="47DD98D3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110 és felette</w:t>
            </w:r>
          </w:p>
        </w:tc>
        <w:tc>
          <w:tcPr>
            <w:tcW w:w="1777" w:type="pct"/>
            <w:vAlign w:val="center"/>
          </w:tcPr>
          <w:p w14:paraId="1B3CC2A0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100 mg (10 tabletta)</w:t>
            </w:r>
          </w:p>
        </w:tc>
        <w:tc>
          <w:tcPr>
            <w:tcW w:w="1620" w:type="pct"/>
            <w:vAlign w:val="center"/>
          </w:tcPr>
          <w:p w14:paraId="0503442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100 mg (10 tabletta)</w:t>
            </w:r>
          </w:p>
        </w:tc>
      </w:tr>
    </w:tbl>
    <w:p w14:paraId="463CEF21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2AAEAEDD" w14:textId="05DD3FF5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2. táblázat azt mutatja be, hogyan oszlik meg a kezelési hetenként alkalmazandó tabletták száma az egyes napok között. A napi kladribin-</w:t>
      </w:r>
      <w:r w:rsidR="00D67CDC" w:rsidRPr="008238CE">
        <w:rPr>
          <w:rFonts w:ascii="Times New Roman" w:hAnsi="Times New Roman"/>
          <w:sz w:val="22"/>
          <w:szCs w:val="22"/>
          <w:lang w:val="hu-HU" w:eastAsia="hu-HU"/>
        </w:rPr>
        <w:t xml:space="preserve">dózisokat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minden kezelési héten 24 órás időközönként</w:t>
      </w:r>
      <w:r w:rsidR="00D67CDC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ajánlott bevenni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, minden nap megközelítőleg azonos időpontban. Ha a napi adag két tablettából áll, a két tablettát egyszerre, egy adagként kell bevenni.</w:t>
      </w:r>
    </w:p>
    <w:p w14:paraId="0A77210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73A49EF" w14:textId="13EB47F0" w:rsidR="00120ABE" w:rsidRPr="008238CE" w:rsidRDefault="00866CC1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 xml:space="preserve">2. táblázat </w:t>
      </w:r>
      <w:proofErr w:type="gramStart"/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>A</w:t>
      </w:r>
      <w:proofErr w:type="gramEnd"/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 xml:space="preserve"> hét egyes napjain alkalmazandó tabletták száma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0" w:type="dxa"/>
          <w:left w:w="70" w:type="dxa"/>
          <w:bottom w:w="60" w:type="dxa"/>
          <w:right w:w="70" w:type="dxa"/>
        </w:tblCellMar>
        <w:tblLook w:val="01E0" w:firstRow="1" w:lastRow="1" w:firstColumn="1" w:lastColumn="1" w:noHBand="0" w:noVBand="0"/>
      </w:tblPr>
      <w:tblGrid>
        <w:gridCol w:w="2772"/>
        <w:gridCol w:w="1259"/>
        <w:gridCol w:w="1258"/>
        <w:gridCol w:w="1260"/>
        <w:gridCol w:w="1260"/>
        <w:gridCol w:w="1258"/>
      </w:tblGrid>
      <w:tr w:rsidR="00120ABE" w:rsidRPr="008238CE" w14:paraId="41CF19D2" w14:textId="77777777">
        <w:trPr>
          <w:cantSplit/>
          <w:trHeight w:val="505"/>
        </w:trPr>
        <w:tc>
          <w:tcPr>
            <w:tcW w:w="1528" w:type="pct"/>
            <w:vAlign w:val="center"/>
          </w:tcPr>
          <w:p w14:paraId="32330122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A tabletták teljes száma hetenként</w:t>
            </w:r>
          </w:p>
        </w:tc>
        <w:tc>
          <w:tcPr>
            <w:tcW w:w="694" w:type="pct"/>
            <w:vAlign w:val="center"/>
          </w:tcPr>
          <w:p w14:paraId="69BF4EBD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1. nap</w:t>
            </w:r>
          </w:p>
        </w:tc>
        <w:tc>
          <w:tcPr>
            <w:tcW w:w="694" w:type="pct"/>
            <w:vAlign w:val="center"/>
          </w:tcPr>
          <w:p w14:paraId="6B3C9D3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2. nap</w:t>
            </w:r>
          </w:p>
        </w:tc>
        <w:tc>
          <w:tcPr>
            <w:tcW w:w="695" w:type="pct"/>
            <w:vAlign w:val="center"/>
          </w:tcPr>
          <w:p w14:paraId="0F696C0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3. nap</w:t>
            </w:r>
          </w:p>
        </w:tc>
        <w:tc>
          <w:tcPr>
            <w:tcW w:w="695" w:type="pct"/>
            <w:vAlign w:val="center"/>
          </w:tcPr>
          <w:p w14:paraId="5A612E6A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4. nap</w:t>
            </w:r>
          </w:p>
        </w:tc>
        <w:tc>
          <w:tcPr>
            <w:tcW w:w="694" w:type="pct"/>
            <w:vAlign w:val="center"/>
          </w:tcPr>
          <w:p w14:paraId="5D3E805B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5. nap</w:t>
            </w:r>
          </w:p>
        </w:tc>
      </w:tr>
      <w:tr w:rsidR="00120ABE" w:rsidRPr="008238CE" w14:paraId="1698A298" w14:textId="77777777">
        <w:trPr>
          <w:cantSplit/>
          <w:trHeight w:val="251"/>
        </w:trPr>
        <w:tc>
          <w:tcPr>
            <w:tcW w:w="1528" w:type="pct"/>
            <w:vAlign w:val="center"/>
          </w:tcPr>
          <w:p w14:paraId="411E634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5E74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4</w:t>
            </w:r>
          </w:p>
        </w:tc>
        <w:tc>
          <w:tcPr>
            <w:tcW w:w="694" w:type="pct"/>
            <w:vAlign w:val="center"/>
          </w:tcPr>
          <w:p w14:paraId="45D4954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5E74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4" w:type="pct"/>
            <w:vAlign w:val="center"/>
          </w:tcPr>
          <w:p w14:paraId="076ECA5D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5E74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5" w:type="pct"/>
            <w:vAlign w:val="center"/>
          </w:tcPr>
          <w:p w14:paraId="40560CE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5E74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5" w:type="pct"/>
            <w:vAlign w:val="center"/>
          </w:tcPr>
          <w:p w14:paraId="4039DFD2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5E74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4" w:type="pct"/>
            <w:vAlign w:val="center"/>
          </w:tcPr>
          <w:p w14:paraId="074C5655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5E74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0</w:t>
            </w:r>
          </w:p>
        </w:tc>
      </w:tr>
      <w:tr w:rsidR="00120ABE" w:rsidRPr="008238CE" w14:paraId="0D99FB3E" w14:textId="77777777">
        <w:trPr>
          <w:cantSplit/>
          <w:trHeight w:val="253"/>
        </w:trPr>
        <w:tc>
          <w:tcPr>
            <w:tcW w:w="1528" w:type="pct"/>
            <w:vAlign w:val="center"/>
          </w:tcPr>
          <w:p w14:paraId="78A25F08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5</w:t>
            </w:r>
          </w:p>
        </w:tc>
        <w:tc>
          <w:tcPr>
            <w:tcW w:w="694" w:type="pct"/>
            <w:vAlign w:val="center"/>
          </w:tcPr>
          <w:p w14:paraId="0824B07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4" w:type="pct"/>
            <w:vAlign w:val="center"/>
          </w:tcPr>
          <w:p w14:paraId="02938B8C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5" w:type="pct"/>
            <w:vAlign w:val="center"/>
          </w:tcPr>
          <w:p w14:paraId="715D2F0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5" w:type="pct"/>
            <w:vAlign w:val="center"/>
          </w:tcPr>
          <w:p w14:paraId="1EE32AF2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4" w:type="pct"/>
            <w:vAlign w:val="center"/>
          </w:tcPr>
          <w:p w14:paraId="0BF33DE4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</w:tr>
      <w:tr w:rsidR="00120ABE" w:rsidRPr="008238CE" w14:paraId="6FF8182F" w14:textId="77777777">
        <w:trPr>
          <w:cantSplit/>
          <w:trHeight w:val="254"/>
        </w:trPr>
        <w:tc>
          <w:tcPr>
            <w:tcW w:w="1528" w:type="pct"/>
            <w:vAlign w:val="center"/>
          </w:tcPr>
          <w:p w14:paraId="674841D4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6</w:t>
            </w:r>
          </w:p>
        </w:tc>
        <w:tc>
          <w:tcPr>
            <w:tcW w:w="694" w:type="pct"/>
            <w:vAlign w:val="center"/>
          </w:tcPr>
          <w:p w14:paraId="5A1246B8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4" w:type="pct"/>
            <w:vAlign w:val="center"/>
          </w:tcPr>
          <w:p w14:paraId="0A2FDF7B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5" w:type="pct"/>
            <w:vAlign w:val="center"/>
          </w:tcPr>
          <w:p w14:paraId="699D34F8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5" w:type="pct"/>
            <w:vAlign w:val="center"/>
          </w:tcPr>
          <w:p w14:paraId="4F05EC47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4" w:type="pct"/>
            <w:vAlign w:val="center"/>
          </w:tcPr>
          <w:p w14:paraId="314645F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</w:tr>
      <w:tr w:rsidR="00120ABE" w:rsidRPr="008238CE" w14:paraId="17D455D7" w14:textId="77777777">
        <w:trPr>
          <w:cantSplit/>
          <w:trHeight w:val="251"/>
        </w:trPr>
        <w:tc>
          <w:tcPr>
            <w:tcW w:w="1528" w:type="pct"/>
            <w:vAlign w:val="center"/>
          </w:tcPr>
          <w:p w14:paraId="1BC4A708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7</w:t>
            </w:r>
          </w:p>
        </w:tc>
        <w:tc>
          <w:tcPr>
            <w:tcW w:w="694" w:type="pct"/>
            <w:vAlign w:val="center"/>
          </w:tcPr>
          <w:p w14:paraId="62489D5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4" w:type="pct"/>
            <w:vAlign w:val="center"/>
          </w:tcPr>
          <w:p w14:paraId="16CA1996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5" w:type="pct"/>
            <w:vAlign w:val="center"/>
          </w:tcPr>
          <w:p w14:paraId="62443B53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5" w:type="pct"/>
            <w:vAlign w:val="center"/>
          </w:tcPr>
          <w:p w14:paraId="6EA4C2F4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4" w:type="pct"/>
            <w:vAlign w:val="center"/>
          </w:tcPr>
          <w:p w14:paraId="41D808B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</w:tr>
      <w:tr w:rsidR="00120ABE" w:rsidRPr="008238CE" w14:paraId="2E0E60DA" w14:textId="77777777">
        <w:trPr>
          <w:cantSplit/>
          <w:trHeight w:val="254"/>
        </w:trPr>
        <w:tc>
          <w:tcPr>
            <w:tcW w:w="1528" w:type="pct"/>
            <w:vAlign w:val="center"/>
          </w:tcPr>
          <w:p w14:paraId="47EDD366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8</w:t>
            </w:r>
          </w:p>
        </w:tc>
        <w:tc>
          <w:tcPr>
            <w:tcW w:w="694" w:type="pct"/>
            <w:vAlign w:val="center"/>
          </w:tcPr>
          <w:p w14:paraId="09D3D609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4" w:type="pct"/>
            <w:vAlign w:val="center"/>
          </w:tcPr>
          <w:p w14:paraId="1EC6D2EA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5" w:type="pct"/>
            <w:vAlign w:val="center"/>
          </w:tcPr>
          <w:p w14:paraId="4C9624F6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5" w:type="pct"/>
            <w:vAlign w:val="center"/>
          </w:tcPr>
          <w:p w14:paraId="3714D5EC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  <w:tc>
          <w:tcPr>
            <w:tcW w:w="694" w:type="pct"/>
            <w:vAlign w:val="center"/>
          </w:tcPr>
          <w:p w14:paraId="355F8F6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</w:tr>
      <w:tr w:rsidR="00120ABE" w:rsidRPr="008238CE" w14:paraId="70FCF7C6" w14:textId="77777777">
        <w:trPr>
          <w:cantSplit/>
          <w:trHeight w:val="251"/>
        </w:trPr>
        <w:tc>
          <w:tcPr>
            <w:tcW w:w="1528" w:type="pct"/>
            <w:vAlign w:val="center"/>
          </w:tcPr>
          <w:p w14:paraId="78A668A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9</w:t>
            </w:r>
          </w:p>
        </w:tc>
        <w:tc>
          <w:tcPr>
            <w:tcW w:w="694" w:type="pct"/>
            <w:vAlign w:val="center"/>
          </w:tcPr>
          <w:p w14:paraId="2308D5BC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4" w:type="pct"/>
            <w:vAlign w:val="center"/>
          </w:tcPr>
          <w:p w14:paraId="24FC60D8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5" w:type="pct"/>
            <w:vAlign w:val="center"/>
          </w:tcPr>
          <w:p w14:paraId="011C064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5" w:type="pct"/>
            <w:vAlign w:val="center"/>
          </w:tcPr>
          <w:p w14:paraId="2B289F8A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4" w:type="pct"/>
            <w:vAlign w:val="center"/>
          </w:tcPr>
          <w:p w14:paraId="507D4640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</w:t>
            </w:r>
          </w:p>
        </w:tc>
      </w:tr>
      <w:tr w:rsidR="00120ABE" w:rsidRPr="008238CE" w14:paraId="0D0A8B59" w14:textId="77777777">
        <w:trPr>
          <w:cantSplit/>
          <w:trHeight w:val="122"/>
        </w:trPr>
        <w:tc>
          <w:tcPr>
            <w:tcW w:w="1528" w:type="pct"/>
            <w:vAlign w:val="center"/>
          </w:tcPr>
          <w:p w14:paraId="33BA6C74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</w:t>
            </w:r>
          </w:p>
        </w:tc>
        <w:tc>
          <w:tcPr>
            <w:tcW w:w="694" w:type="pct"/>
            <w:vAlign w:val="center"/>
          </w:tcPr>
          <w:p w14:paraId="11DF6BF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4" w:type="pct"/>
            <w:vAlign w:val="center"/>
          </w:tcPr>
          <w:p w14:paraId="433EBE8C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5" w:type="pct"/>
            <w:vAlign w:val="center"/>
          </w:tcPr>
          <w:p w14:paraId="5920E17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5" w:type="pct"/>
            <w:vAlign w:val="center"/>
          </w:tcPr>
          <w:p w14:paraId="5D758B0F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  <w:tc>
          <w:tcPr>
            <w:tcW w:w="694" w:type="pct"/>
            <w:vAlign w:val="center"/>
          </w:tcPr>
          <w:p w14:paraId="0164A495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2</w:t>
            </w:r>
          </w:p>
        </w:tc>
      </w:tr>
    </w:tbl>
    <w:p w14:paraId="6890970B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0DFF71CE" w14:textId="0732958B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>A kihagyott adagot be kell venni, amint a betegnek eszébe jut, még aznap, a kezelési terv szerint.</w:t>
      </w:r>
    </w:p>
    <w:p w14:paraId="1BBD9DB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</w:p>
    <w:p w14:paraId="54593473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A kihagyott adagot tilos a soron következő adaggal együtt bevenni a következő napon. Egy adag kihagyása esetén a betegnek másnap kell bevennie a kihagyott adagot, és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aktuális kezelési hetet egy nappal meg kell hosszabbítania. Ha két egymást követő adag marad ki, akkor ugyanez a szabály érvényes, és a kezelési hét két nappal lesz hosszabb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D3E02FB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F0543E7" w14:textId="3A9FA800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Egyéb, szájon át alkalmazott gyógyszerek egyidejű </w:t>
      </w:r>
      <w:r w:rsidR="003444C4"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bevétele</w:t>
      </w:r>
    </w:p>
    <w:p w14:paraId="74E694E6" w14:textId="5F1DFED3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</w:rPr>
      </w:pPr>
      <w:r w:rsidRPr="008238CE">
        <w:rPr>
          <w:rFonts w:ascii="Times New Roman" w:hAnsi="Times New Roman"/>
          <w:sz w:val="22"/>
          <w:szCs w:val="22"/>
        </w:rPr>
        <w:t xml:space="preserve">Azon a néhány napon, amikor a kladribint kell </w:t>
      </w:r>
      <w:r w:rsidR="003444C4" w:rsidRPr="008238CE">
        <w:rPr>
          <w:rFonts w:ascii="Times New Roman" w:hAnsi="Times New Roman"/>
          <w:sz w:val="22"/>
          <w:szCs w:val="22"/>
        </w:rPr>
        <w:t>be</w:t>
      </w:r>
      <w:r w:rsidRPr="008238CE">
        <w:rPr>
          <w:rFonts w:ascii="Times New Roman" w:hAnsi="Times New Roman"/>
          <w:sz w:val="22"/>
          <w:szCs w:val="22"/>
        </w:rPr>
        <w:t xml:space="preserve">venni, minden egyéb szájon át alkalmazott gyógyszert legalább 3 órás különbséggel ajánlott bevenni a </w:t>
      </w:r>
      <w:r w:rsidR="00A05E74">
        <w:rPr>
          <w:rFonts w:ascii="Times New Roman" w:hAnsi="Times New Roman"/>
          <w:sz w:val="22"/>
          <w:szCs w:val="22"/>
        </w:rPr>
        <w:t>Cladribine Sandoz</w:t>
      </w:r>
      <w:r w:rsidRPr="008238CE">
        <w:rPr>
          <w:rFonts w:ascii="Times New Roman" w:hAnsi="Times New Roman"/>
          <w:sz w:val="22"/>
          <w:szCs w:val="22"/>
        </w:rPr>
        <w:t xml:space="preserve"> 10</w:t>
      </w:r>
      <w:r w:rsidR="003444C4" w:rsidRPr="008238CE">
        <w:rPr>
          <w:rFonts w:ascii="Times New Roman" w:hAnsi="Times New Roman"/>
          <w:sz w:val="22"/>
          <w:szCs w:val="22"/>
        </w:rPr>
        <w:t> </w:t>
      </w:r>
      <w:r w:rsidRPr="008238CE">
        <w:rPr>
          <w:rFonts w:ascii="Times New Roman" w:hAnsi="Times New Roman"/>
          <w:sz w:val="22"/>
          <w:szCs w:val="22"/>
        </w:rPr>
        <w:t>mg tablettához képest (lásd 4.5 pont).</w:t>
      </w:r>
    </w:p>
    <w:p w14:paraId="4CEB3DB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7AB0FDC" w14:textId="7777777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Különleges betegcsoportok</w:t>
      </w:r>
    </w:p>
    <w:p w14:paraId="788C5338" w14:textId="77777777" w:rsidR="00120ABE" w:rsidRPr="008238CE" w:rsidRDefault="00120ABE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</w:p>
    <w:p w14:paraId="3A61858D" w14:textId="77777777" w:rsidR="00120ABE" w:rsidRPr="008238CE" w:rsidRDefault="00866CC1">
      <w:pPr>
        <w:keepNext/>
        <w:keepLines/>
        <w:ind w:right="34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Vesekárosodás</w:t>
      </w:r>
    </w:p>
    <w:p w14:paraId="13E7426B" w14:textId="7DA8FDD3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Vesekárosodásban szenvedő betegek</w:t>
      </w:r>
      <w:r w:rsidR="003444C4" w:rsidRPr="008238CE">
        <w:rPr>
          <w:rFonts w:ascii="Times New Roman" w:hAnsi="Times New Roman"/>
          <w:sz w:val="22"/>
          <w:szCs w:val="22"/>
          <w:lang w:val="hu-HU" w:eastAsia="hu-HU"/>
        </w:rPr>
        <w:t>né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l nem végeztek célzott vizsgálatokat.</w:t>
      </w:r>
    </w:p>
    <w:p w14:paraId="29EBAF0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1A592AD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Enyhe vesekárosodásban szenvedő betegeknél (kreatinin-clearance: 60-89 ml/perc) a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dózis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módosítása nem tekinthető szükségesnek (lásd 5.2 pont).</w:t>
      </w:r>
    </w:p>
    <w:p w14:paraId="57F8E47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2619F79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biztonságosságot és a hatásosságot közepesen súlyos vagy súlyos vesekárosodásban szenvedő betegeknél nem igazolták. Ezért a kladribin ezeknél a betegeknél ellenjavallt (lásd 4.3 pont).</w:t>
      </w:r>
    </w:p>
    <w:p w14:paraId="762F8A32" w14:textId="77777777" w:rsidR="00120ABE" w:rsidRPr="008238CE" w:rsidRDefault="00120ABE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</w:p>
    <w:p w14:paraId="18D58493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Májkárosodás</w:t>
      </w:r>
    </w:p>
    <w:p w14:paraId="3C80BF69" w14:textId="571E812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Májkárosodásban szenvedő betegek</w:t>
      </w:r>
      <w:r w:rsidR="003444C4" w:rsidRPr="008238CE">
        <w:rPr>
          <w:rFonts w:ascii="Times New Roman" w:hAnsi="Times New Roman"/>
          <w:sz w:val="22"/>
          <w:szCs w:val="22"/>
          <w:lang w:val="hu-HU" w:eastAsia="hu-HU"/>
        </w:rPr>
        <w:t>né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l nem végeztek vizsgálatokat.</w:t>
      </w:r>
    </w:p>
    <w:p w14:paraId="323BF88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81A9B64" w14:textId="586EEC9D" w:rsidR="00120ABE" w:rsidRPr="008238CE" w:rsidRDefault="00866CC1">
      <w:pPr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Enyhe májkárosodásban szenvedő betegek esetében nem szükséges a dózis módosítása, mert a kladribin eliminációja </w:t>
      </w:r>
      <w:r w:rsidR="003444C4" w:rsidRPr="008238CE">
        <w:rPr>
          <w:rFonts w:ascii="Times New Roman" w:hAnsi="Times New Roman"/>
          <w:sz w:val="22"/>
          <w:szCs w:val="22"/>
          <w:lang w:eastAsia="hu-HU"/>
        </w:rPr>
        <w:t xml:space="preserve">szempontjából </w:t>
      </w:r>
      <w:r w:rsidRPr="008238CE">
        <w:rPr>
          <w:rFonts w:ascii="Times New Roman" w:hAnsi="Times New Roman"/>
          <w:sz w:val="22"/>
          <w:szCs w:val="22"/>
          <w:lang w:eastAsia="hu-HU"/>
        </w:rPr>
        <w:t>a májfunkció jelentősége elhanyagolhatónak tekinthető (lásd 5.2 pont).</w:t>
      </w:r>
      <w:r w:rsidR="003444C4" w:rsidRPr="008238CE">
        <w:rPr>
          <w:rFonts w:ascii="Times New Roman" w:hAnsi="Times New Roman"/>
          <w:sz w:val="22"/>
          <w:szCs w:val="22"/>
          <w:lang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eastAsia="hu-HU"/>
        </w:rPr>
        <w:t>Adatok hiányában a kladribin alkalmazása közepesen súlyos vagy súlyos fokú májkárosodásban szenvedő (Child–Pugh-pontszám &gt; 6) betegeknél nem javasolt.</w:t>
      </w:r>
    </w:p>
    <w:p w14:paraId="1FC8174F" w14:textId="77777777" w:rsidR="00120ABE" w:rsidRPr="008238CE" w:rsidRDefault="00120ABE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</w:p>
    <w:p w14:paraId="5A32EC38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Idősek</w:t>
      </w:r>
    </w:p>
    <w:p w14:paraId="166A97EE" w14:textId="5B8CF4B2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>A kladribin idős betegeknél történő alkalmazásakor elővigyázatosság ajánlott, mivel figyelembe kell venni a máj- vagy vese</w:t>
      </w:r>
      <w:r w:rsidR="003444C4" w:rsidRPr="008238CE">
        <w:rPr>
          <w:rFonts w:ascii="Times New Roman" w:hAnsi="Times New Roman"/>
          <w:sz w:val="22"/>
          <w:szCs w:val="22"/>
          <w:lang w:eastAsia="hu-HU"/>
        </w:rPr>
        <w:t>károsodás</w:t>
      </w:r>
      <w:r w:rsidRPr="008238CE">
        <w:rPr>
          <w:rFonts w:ascii="Times New Roman" w:hAnsi="Times New Roman"/>
          <w:sz w:val="22"/>
          <w:szCs w:val="22"/>
          <w:lang w:eastAsia="hu-HU"/>
        </w:rPr>
        <w:t>, a kísérőbetegségek és más gyógyszeres kezelések potenciálisan nagyobb gyakoriságát.</w:t>
      </w:r>
    </w:p>
    <w:p w14:paraId="1253509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14877FF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Gyermekek és serdülők</w:t>
      </w:r>
    </w:p>
    <w:p w14:paraId="764BD85C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biztonságosságát és hatásosságát 18 évesnél fiatalabb gyermekek és serdülők esetében nem igazolták. Nincsenek rendelkezésre álló adatok.</w:t>
      </w:r>
    </w:p>
    <w:p w14:paraId="56B8333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739281B3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Az alkalmazás módja</w:t>
      </w:r>
    </w:p>
    <w:p w14:paraId="06F5C6D7" w14:textId="68DC1CE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="00A05E74">
        <w:rPr>
          <w:rFonts w:ascii="Times New Roman" w:hAnsi="Times New Roman"/>
          <w:sz w:val="22"/>
          <w:szCs w:val="22"/>
          <w:lang w:val="hu-HU" w:eastAsia="hu-HU"/>
        </w:rPr>
        <w:t>Cladribine Sandoz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</w:t>
      </w:r>
      <w:r w:rsidR="003444C4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mg tabletta szájon át történő alkalmazásra szolgál. A tablettákat vízzel kell bevenni, és szétrágás nélkül kell lenyelni. A tabletták étkezéstől függetlenül bevehetők.</w:t>
      </w:r>
    </w:p>
    <w:p w14:paraId="1DD9CB6C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75DB33E" w14:textId="0FA967E6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Mivel a tabletta nem rendelkezik bevonattal, ezért a buborékcsomagolásból történő eltávolítás után azonnal le kell nyelni, és nem szabad különböző felületeken állni hagyni, vagy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adagoláshoz szükséges időnél hosszabban a tablettával érintkezni. Ha a tabletta valamilyen felületen marad, illetve, ha törött vagy </w:t>
      </w:r>
      <w:r w:rsidR="003444C4" w:rsidRPr="008238CE">
        <w:rPr>
          <w:rFonts w:ascii="Times New Roman" w:hAnsi="Times New Roman"/>
          <w:sz w:val="22"/>
          <w:szCs w:val="22"/>
          <w:lang w:eastAsia="hu-HU"/>
        </w:rPr>
        <w:t xml:space="preserve">sérült 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tabletta kerül ki a buborékcsomagolásból, akkor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adott felületet alaposan le kell mosni.</w:t>
      </w:r>
    </w:p>
    <w:p w14:paraId="70B23686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</w:p>
    <w:p w14:paraId="7FE2AD2F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>A beteg csak száraz kézzel nyúlhat a tablettához, és utána alaposan kezet kell mosnia.</w:t>
      </w:r>
    </w:p>
    <w:p w14:paraId="361AE3A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09D4A93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Ellenjavallatok</w:t>
      </w:r>
    </w:p>
    <w:p w14:paraId="6D42C45D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35741142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készítmény hatóanyagával vagy a 6.1 pontban felsorolt bármely segédanyagával szembeni túlérzékenység.</w:t>
      </w:r>
    </w:p>
    <w:p w14:paraId="26990EBA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Humán immundeficiencia vírus (HIV) fertőzés.</w:t>
      </w:r>
    </w:p>
    <w:p w14:paraId="3EFA793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krónikus fertőzés (tuberculosis vagy hepatitis).</w:t>
      </w:r>
    </w:p>
    <w:p w14:paraId="25FBB83F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kladribin-kezelés megkezdése immunkompromittált betegeknél, beleértve azokat a betegeket is, akik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aktuálisan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immunszuppresszív vagy myeloszuppresszív kezelésben részesülnek (lásd 4.5 pont).</w:t>
      </w:r>
    </w:p>
    <w:p w14:paraId="30BF2201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rosszindulatú daganatos betegség.</w:t>
      </w:r>
    </w:p>
    <w:p w14:paraId="1C5E158C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Közepesen súlyos vagy súlyos vesekárosodás (kreatinin-clearance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&lt; 60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 ml/perc) (lásd 5.2 pont).</w:t>
      </w:r>
    </w:p>
    <w:p w14:paraId="6112B3AA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Terhesség és szoptatás (lásd 4.6 pont).</w:t>
      </w:r>
    </w:p>
    <w:p w14:paraId="2583713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E9B8A33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Különleges figyelmeztetések és az alkalmazással kapcsolatos óvintézkedések</w:t>
      </w:r>
    </w:p>
    <w:p w14:paraId="70118EFB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6CA725D2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Hematológiai monitorozás</w:t>
      </w:r>
    </w:p>
    <w:p w14:paraId="6425DE35" w14:textId="5755890B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A kladribin hatásmechanizmusához szorosan kapcsolódik a lymphocytaszám csökkenése. A </w:t>
      </w:r>
      <w:r w:rsidRPr="008238CE">
        <w:rPr>
          <w:rFonts w:ascii="Times New Roman" w:hAnsi="Times New Roman"/>
          <w:sz w:val="22"/>
          <w:szCs w:val="22"/>
          <w:lang w:eastAsia="hu-HU"/>
        </w:rPr>
        <w:lastRenderedPageBreak/>
        <w:t xml:space="preserve">lymphocytaszámra gyakorolt hatás dózisfüggő. A klinikai vizsgálatok során megfigyelték még a kiindulási értékhez képest a neutrofilszám, a vörösvértestszám, a hematokritérték, a hemoglobinszint, illetve a vérlemezkeszám csökkenését is, bár ezek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</w:t>
      </w:r>
      <w:r w:rsidR="003444C4" w:rsidRPr="008238CE">
        <w:rPr>
          <w:rFonts w:ascii="Times New Roman" w:hAnsi="Times New Roman"/>
          <w:sz w:val="22"/>
          <w:szCs w:val="22"/>
          <w:lang w:eastAsia="hu-HU"/>
        </w:rPr>
        <w:t>z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</w:t>
      </w:r>
      <w:r w:rsidR="003444C4" w:rsidRPr="008238CE">
        <w:rPr>
          <w:rFonts w:ascii="Times New Roman" w:hAnsi="Times New Roman"/>
          <w:sz w:val="22"/>
          <w:szCs w:val="22"/>
          <w:lang w:eastAsia="hu-HU"/>
        </w:rPr>
        <w:t xml:space="preserve">értékek 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általában a normális </w:t>
      </w:r>
      <w:r w:rsidR="005014E2" w:rsidRPr="008238CE">
        <w:rPr>
          <w:rFonts w:ascii="Times New Roman" w:hAnsi="Times New Roman"/>
          <w:sz w:val="22"/>
          <w:szCs w:val="22"/>
          <w:lang w:eastAsia="hu-HU"/>
        </w:rPr>
        <w:t xml:space="preserve">tartományon </w:t>
      </w:r>
      <w:r w:rsidRPr="008238CE">
        <w:rPr>
          <w:rFonts w:ascii="Times New Roman" w:hAnsi="Times New Roman"/>
          <w:sz w:val="22"/>
          <w:szCs w:val="22"/>
          <w:lang w:eastAsia="hu-HU"/>
        </w:rPr>
        <w:t>belül maradtak.</w:t>
      </w:r>
    </w:p>
    <w:p w14:paraId="1BCA937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</w:p>
    <w:p w14:paraId="4588DC08" w14:textId="07774810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>Additív hematológiai mellékhatásokra lehet számítani akkor, ha a kladribint a hematológiai profilt befolyásoló egyéb hatóanyagok előtt vagy azokkal egyidejűleg alkalmazzák (lásd 4.5 pont).</w:t>
      </w:r>
    </w:p>
    <w:p w14:paraId="2E6DEC8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</w:p>
    <w:p w14:paraId="4A17FE23" w14:textId="4FC96032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A lymphocytaszámot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meg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kell határozni</w:t>
      </w:r>
      <w:r w:rsidR="005014E2" w:rsidRPr="008238CE">
        <w:rPr>
          <w:rFonts w:ascii="Times New Roman" w:hAnsi="Times New Roman"/>
          <w:sz w:val="22"/>
          <w:szCs w:val="22"/>
          <w:lang w:eastAsia="hu-HU"/>
        </w:rPr>
        <w:t>:</w:t>
      </w:r>
    </w:p>
    <w:p w14:paraId="157D71AA" w14:textId="7B7C3C7F" w:rsidR="00120ABE" w:rsidRPr="008238CE" w:rsidRDefault="00866CC1">
      <w:pPr>
        <w:pStyle w:val="Szvegtrzs"/>
        <w:numPr>
          <w:ilvl w:val="0"/>
          <w:numId w:val="3"/>
        </w:numPr>
        <w:ind w:right="32"/>
        <w:rPr>
          <w:rFonts w:ascii="Times New Roman" w:hAnsi="Times New Roman"/>
          <w:sz w:val="22"/>
          <w:szCs w:val="22"/>
          <w:lang w:eastAsia="hu-HU"/>
        </w:rPr>
      </w:pP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kezelés 1. évben történő megkezdése előtt</w:t>
      </w:r>
      <w:r w:rsidR="005014E2" w:rsidRPr="008238CE">
        <w:rPr>
          <w:rFonts w:ascii="Times New Roman" w:hAnsi="Times New Roman"/>
          <w:sz w:val="22"/>
          <w:szCs w:val="22"/>
          <w:lang w:eastAsia="hu-HU"/>
        </w:rPr>
        <w:t>;</w:t>
      </w:r>
    </w:p>
    <w:p w14:paraId="087E3E49" w14:textId="6829C846" w:rsidR="00120ABE" w:rsidRPr="008238CE" w:rsidRDefault="00866CC1">
      <w:pPr>
        <w:pStyle w:val="Szvegtrzs"/>
        <w:numPr>
          <w:ilvl w:val="0"/>
          <w:numId w:val="3"/>
        </w:numPr>
        <w:ind w:right="32"/>
        <w:rPr>
          <w:rFonts w:ascii="Times New Roman" w:hAnsi="Times New Roman"/>
          <w:sz w:val="22"/>
          <w:szCs w:val="22"/>
          <w:lang w:eastAsia="hu-HU"/>
        </w:rPr>
      </w:pP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kezelés 2. évben történő megkezdése előtt</w:t>
      </w:r>
      <w:r w:rsidR="005014E2" w:rsidRPr="008238CE">
        <w:rPr>
          <w:rFonts w:ascii="Times New Roman" w:hAnsi="Times New Roman"/>
          <w:sz w:val="22"/>
          <w:szCs w:val="22"/>
          <w:lang w:eastAsia="hu-HU"/>
        </w:rPr>
        <w:t>;</w:t>
      </w:r>
    </w:p>
    <w:p w14:paraId="6E281A7C" w14:textId="38BAD8B9" w:rsidR="00120ABE" w:rsidRPr="008238CE" w:rsidRDefault="00866CC1">
      <w:pPr>
        <w:pStyle w:val="Szvegtrzs"/>
        <w:numPr>
          <w:ilvl w:val="0"/>
          <w:numId w:val="3"/>
        </w:numPr>
        <w:ind w:right="32"/>
        <w:rPr>
          <w:rFonts w:ascii="Times New Roman" w:hAnsi="Times New Roman"/>
          <w:sz w:val="22"/>
          <w:szCs w:val="22"/>
          <w:lang w:eastAsia="hu-HU"/>
        </w:rPr>
      </w:pP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minden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kezelési évben a kezelés megkezdése után 2 és 6 hónappal. Ha a lymphocytaszám 500</w:t>
      </w:r>
      <w:r w:rsidR="005014E2" w:rsidRPr="008238CE">
        <w:rPr>
          <w:rFonts w:ascii="Times New Roman" w:hAnsi="Times New Roman"/>
          <w:sz w:val="22"/>
          <w:szCs w:val="22"/>
          <w:lang w:eastAsia="hu-HU"/>
        </w:rPr>
        <w:t> 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sejt/mm³ alatt van, aktívan </w:t>
      </w:r>
      <w:r w:rsidR="005014E2" w:rsidRPr="008238CE">
        <w:rPr>
          <w:rFonts w:ascii="Times New Roman" w:hAnsi="Times New Roman"/>
          <w:sz w:val="22"/>
          <w:szCs w:val="22"/>
          <w:lang w:eastAsia="hu-HU"/>
        </w:rPr>
        <w:t xml:space="preserve">monitorozni 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kell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azt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>, amíg az értékek újra meg nem emelkednek.</w:t>
      </w:r>
    </w:p>
    <w:p w14:paraId="138CE81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</w:p>
    <w:p w14:paraId="1FB029CC" w14:textId="73190859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>A beteg lymphocytaszámán alapuló terápiás döntésekkel kapcsolatban lásd a 4.2 pontot, valamint alább a „Fertőzések” alpontot.</w:t>
      </w:r>
    </w:p>
    <w:p w14:paraId="44404B7B" w14:textId="77777777" w:rsidR="005014E2" w:rsidRPr="008238CE" w:rsidRDefault="005014E2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19C7563" w14:textId="77777777" w:rsidR="00120ABE" w:rsidRPr="00A05E74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A05E74">
        <w:rPr>
          <w:rFonts w:ascii="Times New Roman" w:hAnsi="Times New Roman"/>
          <w:sz w:val="22"/>
          <w:szCs w:val="22"/>
          <w:u w:val="single"/>
          <w:lang w:val="hu-HU" w:eastAsia="hu-HU"/>
        </w:rPr>
        <w:t>Fertőzések</w:t>
      </w:r>
    </w:p>
    <w:p w14:paraId="1632C98C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csökkentheti a szervezet immunvédekezését, és növelheti a fertőzések valószínűségét. Súlyos és opportunista fertőzéseket, beleértve a halálos kimenetelű eseményeket is, figyeltek meg a kladribin-kezelés során. A kladribin-kezelés megkezdése előtt a HIV-fertőzés, az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tuberculosis és az aktív hepatitis lehetőségét ki kell zárni (lásd 4.3 pont).</w:t>
      </w:r>
    </w:p>
    <w:p w14:paraId="356AC026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B5A45CC" w14:textId="73A9EE95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látens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fertőzések, többek között a tuberculosis vagy a hepatitis, aktiválódhatnak. Ezért a kezelés 1. és 2. évben történő megkezdése előtt szűrővizsgálatot kell végezni a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látens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fertőzések, különösen a tuberculosis, valamint a hepatitis B és C kizárására. A </w:t>
      </w:r>
      <w:r w:rsidR="00A05E74">
        <w:rPr>
          <w:rFonts w:ascii="Times New Roman" w:hAnsi="Times New Roman"/>
          <w:sz w:val="22"/>
          <w:szCs w:val="22"/>
          <w:lang w:val="hu-HU" w:eastAsia="hu-HU"/>
        </w:rPr>
        <w:t>Cladribine Sandoz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</w:t>
      </w:r>
      <w:r w:rsidR="005014E2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mg tabletta</w:t>
      </w:r>
      <w:r w:rsidR="005014E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alkalmazásának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megkezdését el kell halasztani mindaddig, amíg a fertőzést megfelelően nem kezelték.</w:t>
      </w:r>
    </w:p>
    <w:p w14:paraId="313494B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9397EF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Akut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fertőzésben szenvedő betegeknél a kladribin-kezelés megkezdésének elhalasztása is megfontolandó mindaddig, amíg a fertőzés teljes mértékben kontroll alá nem kerül.</w:t>
      </w:r>
    </w:p>
    <w:p w14:paraId="3DC82E0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399D4A0" w14:textId="20A6B1F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Különös figyelem javasolt azoknál a betegeknél, akiknek a kórelőzményében nem szerepel </w:t>
      </w:r>
      <w:r w:rsidR="005014E2" w:rsidRPr="00A05E74">
        <w:rPr>
          <w:rFonts w:ascii="Times New Roman" w:hAnsi="Times New Roman"/>
          <w:i/>
          <w:sz w:val="22"/>
          <w:szCs w:val="22"/>
          <w:lang w:val="hu-HU" w:eastAsia="hu-HU"/>
        </w:rPr>
        <w:t>V</w:t>
      </w: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aricella-zoster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vírus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expozíció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. Az antitest-negatív betegek oltása a kladribin-kezelés megkezdése előtt javasolt. A kladribin-kezelés megkezdését 4-6 héttel el kell halasztani, hogy a védőoltás teljes hatása kialakulhasson.</w:t>
      </w:r>
    </w:p>
    <w:p w14:paraId="7F7EC60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D80EF50" w14:textId="79FEFDF8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8238CE">
        <w:rPr>
          <w:rFonts w:ascii="Times New Roman" w:hAnsi="Times New Roman"/>
          <w:i/>
          <w:sz w:val="22"/>
          <w:szCs w:val="22"/>
          <w:lang w:val="hu-HU" w:eastAsia="hu-HU"/>
        </w:rPr>
        <w:t>Herpes zoster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előfordulási gyakorisága </w:t>
      </w:r>
      <w:r w:rsidR="005014E2" w:rsidRPr="008238CE">
        <w:rPr>
          <w:rFonts w:ascii="Times New Roman" w:hAnsi="Times New Roman"/>
          <w:sz w:val="22"/>
          <w:szCs w:val="22"/>
          <w:lang w:val="hu-HU" w:eastAsia="hu-HU"/>
        </w:rPr>
        <w:t xml:space="preserve">nagyobb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volt a kladribinnel kezelt betegeknél. Ha a lymphocytaszám 200</w:t>
      </w:r>
      <w:r w:rsidR="005014E2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sejt/mm³ alá csökken, a 4. súlyossági fokú lymphopenia fennállása alatt a helyi szokásos gyakorlatnak megfelelő herpes elleni profilaxis alkalmazása megfontolandó (lásd 4.8 pont).</w:t>
      </w:r>
    </w:p>
    <w:p w14:paraId="16699D0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CB96AD5" w14:textId="0D2CC92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Az 500</w:t>
      </w:r>
      <w:r w:rsidR="005014E2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sejt/mm³ alatti lymphocytaszámú betegeket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aktívan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014E2" w:rsidRPr="008238CE">
        <w:rPr>
          <w:rFonts w:ascii="Times New Roman" w:hAnsi="Times New Roman"/>
          <w:sz w:val="22"/>
          <w:szCs w:val="22"/>
          <w:lang w:val="hu-HU" w:eastAsia="hu-HU"/>
        </w:rPr>
        <w:t xml:space="preserve">monitorozni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kell a fertőzésre, különösen a </w:t>
      </w:r>
      <w:r w:rsidRPr="008238CE">
        <w:rPr>
          <w:rFonts w:ascii="Times New Roman" w:hAnsi="Times New Roman"/>
          <w:i/>
          <w:sz w:val="22"/>
          <w:szCs w:val="22"/>
          <w:lang w:val="hu-HU" w:eastAsia="hu-HU"/>
        </w:rPr>
        <w:t>Herpes zoster</w:t>
      </w:r>
      <w:r w:rsidR="005014E2" w:rsidRPr="008238CE">
        <w:rPr>
          <w:rFonts w:ascii="Times New Roman" w:hAnsi="Times New Roman"/>
          <w:i/>
          <w:sz w:val="22"/>
          <w:szCs w:val="22"/>
          <w:lang w:val="hu-HU" w:eastAsia="hu-HU"/>
        </w:rPr>
        <w:t>-</w:t>
      </w:r>
      <w:r w:rsidR="005014E2" w:rsidRPr="00A05E74">
        <w:rPr>
          <w:rFonts w:ascii="Times New Roman" w:hAnsi="Times New Roman"/>
          <w:sz w:val="22"/>
          <w:szCs w:val="22"/>
          <w:lang w:val="hu-HU" w:eastAsia="hu-HU"/>
        </w:rPr>
        <w:t>fertőzés</w:t>
      </w:r>
      <w:r w:rsidRPr="00A05E74">
        <w:rPr>
          <w:rFonts w:ascii="Times New Roman" w:hAnsi="Times New Roman"/>
          <w:sz w:val="22"/>
          <w:szCs w:val="22"/>
          <w:lang w:val="hu-HU" w:eastAsia="hu-HU"/>
        </w:rPr>
        <w:t>re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utaló jelek és tünetek </w:t>
      </w:r>
      <w:r w:rsidR="005014E2" w:rsidRPr="008238CE">
        <w:rPr>
          <w:rFonts w:ascii="Times New Roman" w:hAnsi="Times New Roman"/>
          <w:sz w:val="22"/>
          <w:szCs w:val="22"/>
          <w:lang w:val="hu-HU" w:eastAsia="hu-HU"/>
        </w:rPr>
        <w:t>észlelése érdekében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Ilyen jelek és tünetek jelentkezése esetén 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klinikailag indokolt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fertőzésellenes kezelést 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meg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kell kezdeni. A fertőzés megfelelő rendeződéséig megfontolható a </w:t>
      </w:r>
      <w:r w:rsidR="00A05E74">
        <w:rPr>
          <w:rFonts w:ascii="Times New Roman" w:hAnsi="Times New Roman"/>
          <w:sz w:val="22"/>
          <w:szCs w:val="22"/>
          <w:lang w:val="hu-HU" w:eastAsia="hu-HU"/>
        </w:rPr>
        <w:t>Cladribine Sandoz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mg tabletta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alkalmazásának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felfüggesztése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vagy elhalasztása.</w:t>
      </w:r>
    </w:p>
    <w:p w14:paraId="2044590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919224F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>Hajas sejtes leukaemia miatt más</w:t>
      </w:r>
      <w:r w:rsidR="009666D2" w:rsidRPr="008238CE">
        <w:rPr>
          <w:rFonts w:ascii="Times New Roman" w:hAnsi="Times New Roman"/>
          <w:sz w:val="22"/>
          <w:szCs w:val="22"/>
          <w:lang w:eastAsia="hu-HU"/>
        </w:rPr>
        <w:t>ik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 kezelési rend szerint</w:t>
      </w:r>
      <w:r w:rsidR="009666D2" w:rsidRPr="008238CE">
        <w:rPr>
          <w:rFonts w:ascii="Times New Roman" w:hAnsi="Times New Roman"/>
          <w:sz w:val="22"/>
          <w:szCs w:val="22"/>
          <w:lang w:eastAsia="hu-HU"/>
        </w:rPr>
        <w:t>,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 parenteralis</w:t>
      </w:r>
      <w:r w:rsidR="009666D2" w:rsidRPr="008238CE">
        <w:rPr>
          <w:rFonts w:ascii="Times New Roman" w:hAnsi="Times New Roman"/>
          <w:sz w:val="22"/>
          <w:szCs w:val="22"/>
          <w:lang w:eastAsia="hu-HU"/>
        </w:rPr>
        <w:t>an adott</w:t>
      </w:r>
      <w:r w:rsidRPr="008238CE">
        <w:rPr>
          <w:rFonts w:ascii="Times New Roman" w:hAnsi="Times New Roman"/>
          <w:sz w:val="22"/>
          <w:szCs w:val="22"/>
          <w:lang w:eastAsia="hu-HU"/>
        </w:rPr>
        <w:t xml:space="preserve"> kladribinnel kezelt betegeknél progresszív multifocalis leukoencephalopathia (PML) eseteiről számoltak be.</w:t>
      </w:r>
    </w:p>
    <w:p w14:paraId="544621B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18759D8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Bár kladribin-tablettával kapcsolatban PML-esetet nem jelentettek, a kladribin-tablettával végzett kezelés megkezdése előtt kiindulási mágneses rezonanciás képalkotó vizsgálatot (MR) kell végezni (általában 3 hónapon belül).</w:t>
      </w:r>
    </w:p>
    <w:p w14:paraId="608E857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6A20EF3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Rosszindulatú daganatos betegségek</w:t>
      </w:r>
    </w:p>
    <w:p w14:paraId="692BD0DA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eastAsia="hu-HU"/>
        </w:rPr>
      </w:pPr>
      <w:r w:rsidRPr="008238CE">
        <w:rPr>
          <w:rFonts w:ascii="Times New Roman" w:hAnsi="Times New Roman"/>
          <w:sz w:val="22"/>
          <w:szCs w:val="22"/>
          <w:lang w:eastAsia="hu-HU"/>
        </w:rPr>
        <w:t xml:space="preserve">Klinikai vizsgálatokban nagyobb gyakorisággal figyelték </w:t>
      </w:r>
      <w:proofErr w:type="gramStart"/>
      <w:r w:rsidRPr="008238CE">
        <w:rPr>
          <w:rFonts w:ascii="Times New Roman" w:hAnsi="Times New Roman"/>
          <w:sz w:val="22"/>
          <w:szCs w:val="22"/>
          <w:lang w:eastAsia="hu-HU"/>
        </w:rPr>
        <w:t>meg</w:t>
      </w:r>
      <w:proofErr w:type="gramEnd"/>
      <w:r w:rsidRPr="008238CE">
        <w:rPr>
          <w:rFonts w:ascii="Times New Roman" w:hAnsi="Times New Roman"/>
          <w:sz w:val="22"/>
          <w:szCs w:val="22"/>
          <w:lang w:eastAsia="hu-HU"/>
        </w:rPr>
        <w:t xml:space="preserve"> rosszindulatú daganatos betegségek </w:t>
      </w:r>
      <w:r w:rsidRPr="008238CE">
        <w:rPr>
          <w:rFonts w:ascii="Times New Roman" w:hAnsi="Times New Roman"/>
          <w:sz w:val="22"/>
          <w:szCs w:val="22"/>
          <w:lang w:eastAsia="hu-HU"/>
        </w:rPr>
        <w:lastRenderedPageBreak/>
        <w:t>előfordulását a kladribinnel kezelt betegeknél, mint azoknál a betegeknél, akik placebót kaptak (lásd 4.8 pont).</w:t>
      </w:r>
    </w:p>
    <w:p w14:paraId="50F81F7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9DB59F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rosszindulatú daganatos betegségben szenvedő SM-betegeknél ellenjavallt (lásd 4.3 pont). Korábban rosszindulatú daganatos betegségben szenvedő betegeknél a kezelés megkezdése előtt egyéni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előny-kockázat értékelést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kell végezni. A kladribinnel kezelt betegeknek javasolni kell a szokásos daganatszűrési irányelvek követését.</w:t>
      </w:r>
    </w:p>
    <w:p w14:paraId="4F1734B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84F38F6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Májfunkció</w:t>
      </w:r>
    </w:p>
    <w:p w14:paraId="671E5E5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Kladribinnel kezelt betegeknél nem gyakori gyakorisággal májkárosodást, köztük súlyos eseteket is jelentettek.</w:t>
      </w:r>
    </w:p>
    <w:p w14:paraId="1315BB99" w14:textId="3E4A72D2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="00A05E74">
        <w:rPr>
          <w:rFonts w:ascii="Times New Roman" w:hAnsi="Times New Roman"/>
          <w:sz w:val="22"/>
          <w:szCs w:val="22"/>
          <w:lang w:val="hu-HU" w:eastAsia="hu-HU"/>
        </w:rPr>
        <w:t>Cladribine Sandoz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mg tabletta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alkalmazásának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megkezdése előtt részletes 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anamnesist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kell felvenni a más gyógyszerek alkalmazásával összefüggő korábbi májkárosodás epizódokról, illetve a fennálló májbetegségekről. A kezelés 1. és 2. évi megkezdése előtt meg kell határozni a szérum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ban 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transzaminázok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az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alkalikus foszfatáz és összbilirubin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szint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jé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t. A kezelés alatt a klinikai jelek és tünetek alapján kell 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monitorozni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 májenzimek és a bilirubin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szint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jé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t.</w:t>
      </w:r>
    </w:p>
    <w:p w14:paraId="43CA927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D615CFB" w14:textId="663B594A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Ha a betegnél klinikai jelek, megmagyarázhatatlan májenzimszint-emelkedés vagy májműködési zavarra utaló tünetek alakulnak ki (pl. megmagyarázhatatlan hányinger, hányás, hasi fájdalom, fáradtság, anorexia, illetve sárgaság és/vagy sötét vizelet), haladéktalanul meg kell határozni a szérum transzamináz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összbilirubinszint</w:t>
      </w:r>
      <w:r w:rsidR="009666D2" w:rsidRPr="008238CE">
        <w:rPr>
          <w:rFonts w:ascii="Times New Roman" w:hAnsi="Times New Roman"/>
          <w:sz w:val="22"/>
          <w:szCs w:val="22"/>
          <w:lang w:val="hu-HU" w:eastAsia="hu-HU"/>
        </w:rPr>
        <w:t>jé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t. A kladribin-kezelést szükség szerint fel kell függeszteni vagy abba kell hagyni.</w:t>
      </w:r>
    </w:p>
    <w:p w14:paraId="2B38F82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394CA62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Fogamzásgátlás</w:t>
      </w:r>
    </w:p>
    <w:p w14:paraId="27A8B3E6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kezelés 1. és 2. évben történő megkezdése előtt egyaránt tanácsadásban kell részesíteni a fogamzóképes nőket és a gyermeknemzésre képes férfiakat a magzatra nézve fennálló súlyos kockázat lehetőségéről, valamint a hatékony fogamzásgátlás szükségességéről (lásd 4.6 pont).</w:t>
      </w:r>
    </w:p>
    <w:p w14:paraId="0E0A4EA8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C783D2D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fogamzóképes nőknek hatékony fogamzásgátlás alkalmazásával meg kell előzniük a terhességet a kladribin-kezelés alatt, valamint az utolsó adag után még legalább 6 hónapig (lásd 4.5 pont).</w:t>
      </w:r>
    </w:p>
    <w:p w14:paraId="6BCFBF6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BEE233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férfi betegeknek a kladribin-kezelés alatt, valamint az utolsó adag után még legalább 3 hónapig óvintézkedéseket kell tenniük női partnerük teherbe esésének megelőzése érdekében.</w:t>
      </w:r>
    </w:p>
    <w:p w14:paraId="19C9BE5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B97BC69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Vértranszfúzió</w:t>
      </w:r>
    </w:p>
    <w:p w14:paraId="7A33692A" w14:textId="01D621B0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Vértranszfúzióra szoruló betegeknél a transzfúzióval összefüggő graft</w:t>
      </w:r>
      <w:r w:rsidR="00832259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versus</w:t>
      </w:r>
      <w:r w:rsidR="00832259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host betegség megelőzése érdekében a sejtes vérkomponensek beadás előtti besugárzása javasolt. Hematológiai konzílium javasolt.</w:t>
      </w:r>
    </w:p>
    <w:p w14:paraId="215670D6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C338FE5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Váltás kladribin-kezelésre, illetve kladribin-kezelésről</w:t>
      </w:r>
    </w:p>
    <w:p w14:paraId="4E792EEB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Korábban immunmoduláns vagy immunszuppresszív gyógyszerrel kezelt betegeknél a kladribin-kezelés megkezdése előtt figyelembe kell venni a másik gyógyszer hatásmechanizmusát és hatástartamát. Az immunrendszerre gyakorolt lehetséges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additív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hatást akkor is figyelembe kell venni, ha ilyen gyógyszereket a kladribin-kezelést követően alkalmaznak (lásd 4.5 pont).</w:t>
      </w:r>
    </w:p>
    <w:p w14:paraId="1A09CDE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52C08C8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Más SM-gyógyszerről történő átálláskor kiindulási MR-vizsgálatot kell végezni (lásd fent a „Fertőzések” alpontot).</w:t>
      </w:r>
    </w:p>
    <w:p w14:paraId="0559A48C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B0A31B3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Májkárosodás</w:t>
      </w:r>
    </w:p>
    <w:p w14:paraId="6EF64CAB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alkalmazása közepesen súlyos vagy súlyos májkárosodásban (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Child-Pugh-pontszám &gt;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6) nem javasolt (lásd 4.2 pont).</w:t>
      </w:r>
    </w:p>
    <w:p w14:paraId="79E82A4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5AAA4D2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Szorbit</w:t>
      </w:r>
    </w:p>
    <w:p w14:paraId="04F87403" w14:textId="04417985" w:rsidR="00120ABE" w:rsidRPr="008238CE" w:rsidRDefault="008238C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A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z egyidejűleg alkalmazott szorbit (vagy fruktóz) tartalm</w:t>
      </w:r>
      <w:r>
        <w:rPr>
          <w:rFonts w:ascii="Times New Roman" w:hAnsi="Times New Roman"/>
          <w:sz w:val="22"/>
          <w:szCs w:val="22"/>
          <w:lang w:val="hu-HU" w:eastAsia="hu-HU"/>
        </w:rPr>
        <w:t>ú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>
        <w:rPr>
          <w:rFonts w:ascii="Times New Roman" w:hAnsi="Times New Roman"/>
          <w:sz w:val="22"/>
          <w:szCs w:val="22"/>
          <w:lang w:val="hu-HU" w:eastAsia="hu-HU"/>
        </w:rPr>
        <w:t>gyógyszerek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, va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gy 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a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szorbit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A4D0F">
        <w:rPr>
          <w:rFonts w:ascii="Times New Roman" w:hAnsi="Times New Roman"/>
          <w:sz w:val="22"/>
          <w:szCs w:val="22"/>
          <w:lang w:val="hu-HU" w:eastAsia="hu-HU"/>
        </w:rPr>
        <w:t xml:space="preserve">(vagy fruktóz) 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táplálékkal 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történő 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bevit</w:t>
      </w:r>
      <w:r>
        <w:rPr>
          <w:rFonts w:ascii="Times New Roman" w:hAnsi="Times New Roman"/>
          <w:sz w:val="22"/>
          <w:szCs w:val="22"/>
          <w:lang w:val="hu-HU" w:eastAsia="hu-HU"/>
        </w:rPr>
        <w:t>elének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gramStart"/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additív</w:t>
      </w:r>
      <w:proofErr w:type="gramEnd"/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hatását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>
        <w:rPr>
          <w:rFonts w:ascii="Times New Roman" w:hAnsi="Times New Roman"/>
          <w:sz w:val="22"/>
          <w:szCs w:val="22"/>
          <w:lang w:val="hu-HU" w:eastAsia="hu-HU"/>
        </w:rPr>
        <w:t>f</w:t>
      </w:r>
      <w:r w:rsidRPr="0022078D">
        <w:rPr>
          <w:rFonts w:ascii="Times New Roman" w:hAnsi="Times New Roman"/>
          <w:sz w:val="22"/>
          <w:szCs w:val="22"/>
          <w:lang w:val="hu-HU" w:eastAsia="hu-HU"/>
        </w:rPr>
        <w:t>igyelembe kell venni</w:t>
      </w:r>
      <w:r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15BC455" w14:textId="5EDF83D5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szájon át alkalmazott gyógyszerek szorbittartalma befolyásolhatja az egyidejűleg </w:t>
      </w:r>
      <w:r w:rsidR="008238CE" w:rsidRPr="00C2592B">
        <w:rPr>
          <w:rFonts w:ascii="Times New Roman" w:hAnsi="Times New Roman"/>
          <w:sz w:val="22"/>
          <w:szCs w:val="22"/>
          <w:lang w:val="hu-HU" w:eastAsia="hu-HU"/>
        </w:rPr>
        <w:t xml:space="preserve">alkalmazott </w:t>
      </w:r>
      <w:r w:rsidR="008238CE" w:rsidRPr="0043688B">
        <w:rPr>
          <w:rFonts w:ascii="Times New Roman" w:hAnsi="Times New Roman"/>
          <w:sz w:val="22"/>
          <w:szCs w:val="22"/>
          <w:lang w:val="hu-HU" w:eastAsia="hu-HU"/>
        </w:rPr>
        <w:t>egyéb</w:t>
      </w:r>
      <w:r w:rsidR="008238CE">
        <w:rPr>
          <w:rFonts w:ascii="Times New Roman" w:hAnsi="Times New Roman"/>
          <w:sz w:val="22"/>
          <w:szCs w:val="22"/>
          <w:lang w:val="hu-HU" w:eastAsia="hu-HU"/>
        </w:rPr>
        <w:t>,</w:t>
      </w:r>
      <w:r w:rsidR="008238CE" w:rsidRPr="0043688B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szájon át </w:t>
      </w:r>
      <w:r w:rsidR="008238CE">
        <w:rPr>
          <w:rFonts w:ascii="Times New Roman" w:hAnsi="Times New Roman"/>
          <w:sz w:val="22"/>
          <w:szCs w:val="22"/>
          <w:lang w:val="hu-HU" w:eastAsia="hu-HU"/>
        </w:rPr>
        <w:t xml:space="preserve">alkalmazandó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gyógyszerek biohasznosulását.</w:t>
      </w:r>
    </w:p>
    <w:p w14:paraId="7887D44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DE8B5F7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Gyógyszerkölcsönhatások és egyéb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interakciók</w:t>
      </w:r>
      <w:proofErr w:type="gramEnd"/>
    </w:p>
    <w:p w14:paraId="33998180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2309CAE4" w14:textId="7782975C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Ez a gyógyszer hidroxipropilbetadexet tartalmaz, amely más gyógyszerekkel komplexet képezhet, és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ezáltal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potenciálisan növelheti az adott készítmény biohasznosulását (különösen a rosszul oldódó gyógyszerek esetében). Ezért a kladribin </w:t>
      </w:r>
      <w:r w:rsidR="006D3993" w:rsidRPr="008238CE">
        <w:rPr>
          <w:rFonts w:ascii="Times New Roman" w:hAnsi="Times New Roman"/>
          <w:sz w:val="22"/>
          <w:szCs w:val="22"/>
          <w:lang w:val="hu-HU" w:eastAsia="hu-HU"/>
        </w:rPr>
        <w:t xml:space="preserve">bevételének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napj</w:t>
      </w:r>
      <w:r w:rsidR="006D3993" w:rsidRPr="008238CE">
        <w:rPr>
          <w:rFonts w:ascii="Times New Roman" w:hAnsi="Times New Roman"/>
          <w:sz w:val="22"/>
          <w:szCs w:val="22"/>
          <w:lang w:val="hu-HU" w:eastAsia="hu-HU"/>
        </w:rPr>
        <w:t>ai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 minden egyéb, szájon át alkalmazott gyógyszert a</w:t>
      </w:r>
      <w:r w:rsidR="006D3993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05E74">
        <w:rPr>
          <w:rFonts w:ascii="Times New Roman" w:hAnsi="Times New Roman"/>
          <w:sz w:val="22"/>
          <w:szCs w:val="22"/>
          <w:lang w:val="hu-HU" w:eastAsia="hu-HU"/>
        </w:rPr>
        <w:t>Cladribine Sandoz</w:t>
      </w:r>
      <w:r w:rsidR="006D3993"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 mg tabletta bevételéhez képest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legalább 3 órás időközzel ajánlott </w:t>
      </w:r>
      <w:r w:rsidR="006D3993" w:rsidRPr="008238CE">
        <w:rPr>
          <w:rFonts w:ascii="Times New Roman" w:hAnsi="Times New Roman"/>
          <w:sz w:val="22"/>
          <w:szCs w:val="22"/>
          <w:lang w:val="hu-HU" w:eastAsia="hu-HU"/>
        </w:rPr>
        <w:t>bevenni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9B959E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66BBD5C7" w14:textId="7777777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Immunszuppresszív gyógyszerek</w:t>
      </w:r>
    </w:p>
    <w:p w14:paraId="11459279" w14:textId="7777777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kladribin-kezelés megkezdése az immunrendszerre gyakorolt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additív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hatások kockázata miatt ellenjavallt immunkompromittált betegeknél, beleértve azokat is, akik aktuálisan például metotrexáttal, ciklofoszfamiddal, ciklosporinnal vagy azatioprinnel végzett immunszuppresszív vagy myeloszuppresszív kezelésben részesülnek, illetve tartósan kortikoszteroidot alkalmaznak (lásd 4.3 pont).</w:t>
      </w:r>
    </w:p>
    <w:p w14:paraId="3510E89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4B7273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Szisztémás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kortikoszteroidokkal végzett akut, rövid távú kezelés a kladribin-kezelés alatt alkalmazható.</w:t>
      </w:r>
    </w:p>
    <w:p w14:paraId="616864A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CEB8981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Egyéb betegségmódosító gyógyszerek</w:t>
      </w:r>
    </w:p>
    <w:p w14:paraId="6F3E356D" w14:textId="5BD24B83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béta-interferonnal történő együttes alkalmazása növeli a lymphopenia kockázatát. A kladribin biztonságosságát és hatásosságát az SM </w:t>
      </w:r>
      <w:r w:rsidR="00D27193" w:rsidRPr="008238CE">
        <w:rPr>
          <w:rFonts w:ascii="Times New Roman" w:hAnsi="Times New Roman"/>
          <w:sz w:val="22"/>
          <w:szCs w:val="22"/>
          <w:lang w:val="hu-HU" w:eastAsia="hu-HU"/>
        </w:rPr>
        <w:t xml:space="preserve">kezelésére szolgáló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egyéb betegségmódosító </w:t>
      </w:r>
      <w:r w:rsidR="00D27193" w:rsidRPr="008238CE">
        <w:rPr>
          <w:rFonts w:ascii="Times New Roman" w:hAnsi="Times New Roman"/>
          <w:sz w:val="22"/>
          <w:szCs w:val="22"/>
          <w:lang w:val="hu-HU" w:eastAsia="hu-HU"/>
        </w:rPr>
        <w:t xml:space="preserve">gyógyszerekkel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kombinációban nem igazolták. Az egyidejű kezelés nem javasolt.</w:t>
      </w:r>
    </w:p>
    <w:p w14:paraId="40947CE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B8774F8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Hematotoxikus gyógyszerek</w:t>
      </w:r>
    </w:p>
    <w:p w14:paraId="0EFD5957" w14:textId="2DA7C73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okozta lymphocytaszám-csökkenés miatt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additív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hematológiai mellékhatások várhatók, ha a kladribint a hematológiai profilt befolyásoló egyéb </w:t>
      </w:r>
      <w:r w:rsidR="00682E83" w:rsidRPr="008238CE">
        <w:rPr>
          <w:rFonts w:ascii="Times New Roman" w:hAnsi="Times New Roman"/>
          <w:sz w:val="22"/>
          <w:szCs w:val="22"/>
          <w:lang w:val="hu-HU" w:eastAsia="hu-HU"/>
        </w:rPr>
        <w:t>ható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anyagok (pl. karbamazepin) előtt vagy azokkal egyidejűleg alkalmazzák. Ilyen esetekben a hematológiai paraméterek gondos monitorozása javasolt.</w:t>
      </w:r>
    </w:p>
    <w:p w14:paraId="28592198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E6A868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Élő vagy élő, attenuált </w:t>
      </w:r>
      <w:proofErr w:type="gramStart"/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vakcinák</w:t>
      </w:r>
      <w:proofErr w:type="gramEnd"/>
    </w:p>
    <w:p w14:paraId="440ED7FC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kezelést az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vakcinafertőzés kockázata miatt élő vagy élő, attenuált vakcinával végzett oltást követő 4-6 héten belül nem szabad megkezdeni. Élő vagy élő, attenuált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vakcinával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történő oltás kerülendő a kladribin-kezelés alatt és azt követően mindaddig, amíg a beteg fehérvérsejtszáma nem tér vissza a normál tartományba.</w:t>
      </w:r>
    </w:p>
    <w:p w14:paraId="0880AA3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B0F381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Erős ENT1-, CNT3- és BCRP-transzporter-gátlók</w:t>
      </w:r>
    </w:p>
    <w:p w14:paraId="3EFFF736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felszívódásának szintjén az egyetlen elképzelhető, klinikailag releváns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interakciós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útvonalnak az emlőrák-rezisztencia fehérje (BCRP vagy ABCG2) tűnik. A BCRP gastrointestinalis traktusban történő gátlása növelheti a kladribin orális biohasznosulását és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szisztémás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expozícióját. Az ismert BCRP-gátlók közé, amelyek </w:t>
      </w: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vivo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20%-kal módosíthatják a BCRP-szubsztrátok farmakokinetikáját, az eltrombopag tartozik.</w:t>
      </w:r>
    </w:p>
    <w:p w14:paraId="7CBBABC7" w14:textId="77777777" w:rsidR="00120ABE" w:rsidRPr="008238CE" w:rsidRDefault="00120ABE">
      <w:pPr>
        <w:pStyle w:val="Szvegtrzs"/>
        <w:ind w:right="32"/>
        <w:rPr>
          <w:rFonts w:ascii="Times New Roman" w:hAnsi="Times New Roman"/>
          <w:i/>
          <w:sz w:val="22"/>
          <w:szCs w:val="22"/>
          <w:lang w:val="en-GB"/>
        </w:rPr>
      </w:pPr>
    </w:p>
    <w:p w14:paraId="46B9F757" w14:textId="2475A09A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vizsgálatok </w:t>
      </w:r>
      <w:r w:rsidR="00682E83" w:rsidRPr="008238CE">
        <w:rPr>
          <w:rFonts w:ascii="Times New Roman" w:hAnsi="Times New Roman"/>
          <w:sz w:val="22"/>
          <w:szCs w:val="22"/>
          <w:lang w:val="hu-HU" w:eastAsia="hu-HU"/>
        </w:rPr>
        <w:t xml:space="preserve">azt jelzik, hogy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az ekvilibratív nukleozid- (ENT1) és a koncentratív nukleozid- (CNT3) transzportfehérjék szubsztrátja. Ennek megfelelően a kladribin biohasznosulását, intracelluláris eloszlását és renális eliminációját elméletileg </w:t>
      </w:r>
      <w:r w:rsidR="00682E83" w:rsidRPr="008238CE">
        <w:rPr>
          <w:rFonts w:ascii="Times New Roman" w:hAnsi="Times New Roman"/>
          <w:sz w:val="22"/>
          <w:szCs w:val="22"/>
          <w:lang w:val="hu-HU" w:eastAsia="hu-HU"/>
        </w:rPr>
        <w:t xml:space="preserve">befolyásolhatják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az erős ENT1- és CNT3-transzporter-gátlók, például a dilazep, a nifedipin, a nimodipin, a cilosztazol, a szulindak vagy a reszerpin. A kladribin-expozíció esetleges változásá</w:t>
      </w:r>
      <w:r w:rsidR="00682E83" w:rsidRPr="008238CE">
        <w:rPr>
          <w:rFonts w:ascii="Times New Roman" w:hAnsi="Times New Roman"/>
          <w:sz w:val="22"/>
          <w:szCs w:val="22"/>
          <w:lang w:val="hu-HU" w:eastAsia="hu-HU"/>
        </w:rPr>
        <w:t>b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</w:t>
      </w:r>
      <w:r w:rsidR="00682E83" w:rsidRPr="008238CE">
        <w:rPr>
          <w:rFonts w:ascii="Times New Roman" w:hAnsi="Times New Roman"/>
          <w:sz w:val="22"/>
          <w:szCs w:val="22"/>
          <w:lang w:val="hu-HU" w:eastAsia="hu-HU"/>
        </w:rPr>
        <w:t>n megnyilvánuló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nettó hatások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azonban nehezen jelezhetők előre.</w:t>
      </w:r>
    </w:p>
    <w:p w14:paraId="67529CCB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7560FEE" w14:textId="401DE144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Bár ezen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interakciók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klinikai jelentősége nem ismert, a 4-5 napos kladribin-kezelés alatt az erős ENT1-, CNT3- vagy BCRP-gátlók egyidejű alkalmazásá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javasolt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elkerülni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Ha ez nem lehetséges,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mérlegelni kell az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egyidejű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alkalmazáshoz másik olyan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gyógyszer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választását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, amely nem, vagy csak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minimális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mértékben gátolja az ENT1-, CNT3- vagy BCRP-transzportereket. Ha ez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nem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lehetséges,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javasolt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az ilyen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hatóanyagokat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tartalmazó gyógyszerek </w:t>
      </w:r>
      <w:proofErr w:type="gramStart"/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dózisát</w:t>
      </w:r>
      <w:proofErr w:type="gramEnd"/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 minimálisan szükséges dózisra csökkenteni, az alkalmazás időpontját elkülöníteni, és a beteget gondosan monitorozni.</w:t>
      </w:r>
    </w:p>
    <w:p w14:paraId="6BAE04C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DFA7F5F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lastRenderedPageBreak/>
        <w:t>Erős BCRP- és P-gp-transzporter-induktorok</w:t>
      </w:r>
    </w:p>
    <w:p w14:paraId="1BEC5C59" w14:textId="220DC280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BCRP- és P-glikoprotein (P-gp) efflux transzporterek erős induktorainak a kladribin biohasznosulására és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eloszlására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gyakorolt hatását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szakmai szabályoknak megfelelő vizsgálatban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nem vizsgálták. Erős BCRP- (pl. kortikoszteroidok) vagy P-gp-transzporter-induktorok (pl. rifampicin, közönséges orbáncfű) egyidejű alkalmazásakor figyelembe kell venni a kladribin-expozíció esetleges csökkenését.</w:t>
      </w:r>
    </w:p>
    <w:p w14:paraId="559F71C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0DC1EDA" w14:textId="7777777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Hormonális fogamzásgátlók</w:t>
      </w:r>
    </w:p>
    <w:p w14:paraId="31D855B2" w14:textId="7777777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és az orális hormonális fogamzásgátlók (etinilösztradiol és levonorgesztrel) egyidejű alkalmazása nem mutatott klinikailag jelentős farmakokinetikai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interakciót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kladribinnel. Ezért a kladribin egyidejű alkalmazása várhatóan nem csökkenti a hormonális fogamzásgátlók hatásosságát (lásd 4.6 pont).</w:t>
      </w:r>
    </w:p>
    <w:p w14:paraId="535C57EB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8A5AC70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Termékenység, terhesség és szoptatás</w:t>
      </w:r>
    </w:p>
    <w:p w14:paraId="26D504E7" w14:textId="77777777" w:rsidR="00120ABE" w:rsidRPr="008238CE" w:rsidRDefault="00120ABE">
      <w:pPr>
        <w:pStyle w:val="Cmsor2"/>
        <w:tabs>
          <w:tab w:val="left" w:pos="784"/>
        </w:tabs>
        <w:ind w:left="0" w:right="32"/>
        <w:rPr>
          <w:rFonts w:ascii="Times New Roman" w:hAnsi="Times New Roman"/>
          <w:sz w:val="22"/>
          <w:szCs w:val="22"/>
          <w:lang w:val="en-GB"/>
        </w:rPr>
      </w:pPr>
    </w:p>
    <w:p w14:paraId="5529DEF1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Fogamzásgátlás férfiaknál és nőknél</w:t>
      </w:r>
    </w:p>
    <w:p w14:paraId="2D8226E4" w14:textId="55E0E01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kezelés 1. és 2. évben történő megkezdése előtt egyaránt tanácsadás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szükséges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fogamzóképes nők és a gyermeknemzésre képes férfiak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számára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magzat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kapcsolatban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fennálló súlyos kockázat lehetőségéről, valamint a hatékony fogamzásgátlás szükségességéről.</w:t>
      </w:r>
    </w:p>
    <w:p w14:paraId="751AD3B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138F9FC" w14:textId="55888225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Fogamzóképes nőknél a </w:t>
      </w:r>
      <w:r w:rsidR="00A05E74">
        <w:rPr>
          <w:rFonts w:ascii="Times New Roman" w:hAnsi="Times New Roman"/>
          <w:sz w:val="22"/>
          <w:szCs w:val="22"/>
          <w:lang w:val="hu-HU" w:eastAsia="hu-HU"/>
        </w:rPr>
        <w:t>Cladribine Sandoz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mg tabletta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szedésének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1. és 2. évben történő megkezdése előtt ki kell zárni a terhességet, és a kladribin-kezelés alatt, valamint az utolsó adag után még legalább 6 hónapig hatékony fogamzásgátlással meg kell előzni a teherbeesést. A kladribin-kezelés alatt teherbe eső nőknek abba kell hagyniuk a kezelést.</w:t>
      </w:r>
    </w:p>
    <w:p w14:paraId="21DAFE9B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96653C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Mivel a kladribin befolyásolja a DNS-szintézist, a humán gametogenezisre gyakorolt káros hatások várhatók (lásd 5.3 pont). Ezért a férfi betegeknek a kladribin-kezelés alatt, valamint az utolsó adag után még legalább 3 hónapig óvintézkedéseket kell tenniük partnerük teherbe esésének megelőzése érdekében.</w:t>
      </w:r>
    </w:p>
    <w:p w14:paraId="15A8E07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0AB83A02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Terhesség</w:t>
      </w:r>
    </w:p>
    <w:p w14:paraId="0F81AF5C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DNS-szintézist gátló egyéb anyagokkal kapcsolatos humán tapasztalatok alapján a kladribin terhesség alatt alkalmazva veleszületett fejlődési rendellenességeket okozhat. Állatkísérletekben reprodukciós toxicitást igazoltak (lásd 5.3 pont).</w:t>
      </w:r>
    </w:p>
    <w:p w14:paraId="7D311B2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FEAE8D3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terhes nőknél ellenjavallt (lásd 4.3 pont).</w:t>
      </w:r>
    </w:p>
    <w:p w14:paraId="51F2E20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6DD73981" w14:textId="7777777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Szoptatás</w:t>
      </w:r>
    </w:p>
    <w:p w14:paraId="6BB3C8F9" w14:textId="02B47D08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Esetismertetésekből származó, korlátozott 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 xml:space="preserve">mennyiségű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adatok alapján a kladribin kiválasztódik a humán anyatejbe. A kiválasztódó mennyiség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et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még nem határozt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ák meg pon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osan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 A szoptatott csecsemőnél fellépő súlyos mellékhatások lehetősége miatt a szoptatás ellenjavallt a kladribin-kezelés alatt, valamint az utolsó adag után 1 hétig (lásd 4.3 pont).</w:t>
      </w:r>
    </w:p>
    <w:p w14:paraId="6B31ECD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75571192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Termékenység</w:t>
      </w:r>
    </w:p>
    <w:p w14:paraId="3CE5E8B3" w14:textId="210A65AC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Egerekn</w:t>
      </w:r>
      <w:r w:rsidR="00BD0242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nem figyeltek meg a termékenységre vagy az utódok reproduktív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funkciójára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gyakorolt hatást. Ugyanakkor egerekn</w:t>
      </w:r>
      <w:r w:rsidR="00F74149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majmokn</w:t>
      </w:r>
      <w:r w:rsidR="00F74149" w:rsidRPr="008238CE">
        <w:rPr>
          <w:rFonts w:ascii="Times New Roman" w:hAnsi="Times New Roman"/>
          <w:sz w:val="22"/>
          <w:szCs w:val="22"/>
          <w:lang w:val="hu-HU" w:eastAsia="hu-HU"/>
        </w:rPr>
        <w:t>ál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testicularis hatásokat észleltek (lásd 5.3 pont).</w:t>
      </w:r>
    </w:p>
    <w:p w14:paraId="5B1CFD5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22F8BB6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Mivel a kladribin befolyásolja a DNS-szintézist, a humán gametogenezisre gyakorolt káros hatások várhatók. Ezért a férfi betegeknek a kladribin-kezelés alatt, valamint az utolsó adag után még legalább 3 hónapig óvintézkedéseket kell tenniük partnerük teherbe esésének megelőzése érdekében (lásd fent).</w:t>
      </w:r>
    </w:p>
    <w:p w14:paraId="750F72D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CB4DAD9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készítmény hatásai a gépjárművezetéshez és a gépek kezeléséhez szükséges képességekre</w:t>
      </w:r>
    </w:p>
    <w:p w14:paraId="713CB1A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077AF5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nem, vagy csak elhanyagolható mértékben befolyásolja a gépjárművezetéshez és a gépek kezeléséhez szükséges képességeket.</w:t>
      </w:r>
    </w:p>
    <w:p w14:paraId="4A8DFFC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49991F0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>Nemkívánatos hatások, mellékhatások</w:t>
      </w:r>
    </w:p>
    <w:p w14:paraId="52808392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27445AA6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 biztonságossági </w:t>
      </w:r>
      <w:proofErr w:type="gramStart"/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profil</w:t>
      </w:r>
      <w:proofErr w:type="gramEnd"/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összefoglalása</w:t>
      </w:r>
    </w:p>
    <w:p w14:paraId="7CF958BD" w14:textId="5C67C1AB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klinikailag legjelentősebb mellékhatások a lymphopenia (25,6%) és a </w:t>
      </w:r>
      <w:r w:rsidRPr="008238CE">
        <w:rPr>
          <w:rFonts w:ascii="Times New Roman" w:hAnsi="Times New Roman"/>
          <w:i/>
          <w:sz w:val="22"/>
          <w:szCs w:val="22"/>
          <w:lang w:val="hu-HU" w:eastAsia="hu-HU"/>
        </w:rPr>
        <w:t>Herpes zoster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(3,0%). A </w:t>
      </w:r>
      <w:r w:rsidRPr="008238CE">
        <w:rPr>
          <w:rFonts w:ascii="Times New Roman" w:hAnsi="Times New Roman"/>
          <w:i/>
          <w:sz w:val="22"/>
          <w:szCs w:val="22"/>
          <w:lang w:val="hu-HU" w:eastAsia="hu-HU"/>
        </w:rPr>
        <w:t>Herpes zoster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előfordulási gyakorisága 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 xml:space="preserve">nagyobb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volt a 3. vagy 4. súlyossági fokú lymphopenia (&lt;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500-200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sejt/mm³, illetve &lt;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200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sejt/mm³) időszakában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ahhoz képest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, mint amikor a betegeknél nem állt fenn 3. vagy 4. súlyossági fokú lymphopenia (lásd 4.4 pont).</w:t>
      </w:r>
    </w:p>
    <w:p w14:paraId="04CE44B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82F1CA2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Mellékhatások táblázatos felsorolása</w:t>
      </w:r>
    </w:p>
    <w:p w14:paraId="08AD132F" w14:textId="0E09CDE8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Az alábbi felsorolásban szereplő mellékhatások az SM-ben végzett klinikai vizsgálatok összesített adataiból származnak, amelyekben a kladribint 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>monoterápiaként alkalmazták</w:t>
      </w:r>
      <w:r w:rsidR="00D850E1" w:rsidRPr="008238CE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r w:rsidR="00D850E1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3,5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dózisban. E vizsgálatok biztonságossági adatbázisa 923 beteget foglal magában. A forgalomba hozatalt követő megfigyelés során azonosított mellékhatásokat csillag [*] jelöli.</w:t>
      </w:r>
    </w:p>
    <w:p w14:paraId="72C5AC1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466F8A5" w14:textId="3EF4536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 továbbiakban a gyakorisági kategóriákra az alábbi meghatározások vonatkoznak: nagyon gyakori (≥ 1/10), gyakori (≥ 1/100-&lt; 1/10), nem gyakori (≥ 1/1000-&lt; 1/100), ritka (≥ 1/10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000-&lt; 1/1000), nagyon ritka (&lt; 1/10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000), valamint nem ismert gyakoriságú (a rendelkezésre álló adatokból </w:t>
      </w:r>
      <w:r w:rsidR="00D850E1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gyakoriság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nem állapítható meg).</w:t>
      </w:r>
      <w:proofErr w:type="gramEnd"/>
    </w:p>
    <w:p w14:paraId="1D5D9E25" w14:textId="77777777" w:rsidR="00120ABE" w:rsidRPr="008238CE" w:rsidRDefault="00120ABE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</w:p>
    <w:p w14:paraId="2B88C0DE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Fertőző betegségek és parazitafertőzések</w:t>
      </w:r>
    </w:p>
    <w:p w14:paraId="34CCD19B" w14:textId="77777777" w:rsidR="00120ABE" w:rsidRPr="008238CE" w:rsidRDefault="00866CC1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Gyakori: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 xml:space="preserve">Ajakherpesz, dermatomalis </w:t>
      </w:r>
      <w:r w:rsidRPr="008238CE">
        <w:rPr>
          <w:rFonts w:ascii="Times New Roman" w:hAnsi="Times New Roman"/>
          <w:i/>
          <w:sz w:val="22"/>
          <w:szCs w:val="22"/>
          <w:lang w:val="hu-HU" w:eastAsia="hu-HU"/>
        </w:rPr>
        <w:t>Herpes zoster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3091E7D3" w14:textId="77777777" w:rsidR="00120ABE" w:rsidRPr="008238CE" w:rsidRDefault="00866CC1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Nagyon ritka: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Tuberculosis (lásd 4.4 pont).</w:t>
      </w:r>
    </w:p>
    <w:p w14:paraId="68774C30" w14:textId="77777777" w:rsidR="00120ABE" w:rsidRPr="008238CE" w:rsidRDefault="00120ABE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</w:p>
    <w:p w14:paraId="43B2B2AA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Vérképzőszervi és nyirokrendszeri betegségek és tünetek</w:t>
      </w:r>
    </w:p>
    <w:p w14:paraId="0D612E01" w14:textId="77777777" w:rsidR="00120ABE" w:rsidRPr="008238CE" w:rsidRDefault="00866CC1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Nagyon gyakori: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Lymphopenia.</w:t>
      </w:r>
    </w:p>
    <w:p w14:paraId="642E96CE" w14:textId="77777777" w:rsidR="00120ABE" w:rsidRPr="008238CE" w:rsidRDefault="00866CC1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Gyakori: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A neutrofilszám csökkenése.</w:t>
      </w:r>
    </w:p>
    <w:p w14:paraId="6A5C50BF" w14:textId="77777777" w:rsidR="00120ABE" w:rsidRPr="008238CE" w:rsidRDefault="00120ABE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</w:p>
    <w:p w14:paraId="7292AF83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Immunrendszeri betegségek és tünetek</w:t>
      </w:r>
    </w:p>
    <w:p w14:paraId="1D057B9F" w14:textId="77777777" w:rsidR="00120ABE" w:rsidRPr="008238CE" w:rsidRDefault="00866CC1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Gyakori: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Túlérzékenység*, beleértve a pruritust, urticariát, bőrkiütést és ritka esetekben az angiooedemát.</w:t>
      </w:r>
    </w:p>
    <w:p w14:paraId="76643137" w14:textId="77777777" w:rsidR="00120ABE" w:rsidRPr="008238CE" w:rsidRDefault="00120ABE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</w:p>
    <w:p w14:paraId="7CC10AE1" w14:textId="77777777" w:rsidR="00120ABE" w:rsidRPr="008238CE" w:rsidRDefault="00866CC1">
      <w:pPr>
        <w:keepNext/>
        <w:keepLines/>
        <w:ind w:right="34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Máj- és epebetegségek, illetve tünetek</w:t>
      </w:r>
    </w:p>
    <w:p w14:paraId="58A24028" w14:textId="77777777" w:rsidR="00120ABE" w:rsidRPr="008238CE" w:rsidRDefault="00866CC1">
      <w:pPr>
        <w:pStyle w:val="Szvegtrzs"/>
        <w:keepNext/>
        <w:keepLines/>
        <w:ind w:left="1701" w:right="34" w:hanging="1701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Nem gyakori: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Májkárosodás*.</w:t>
      </w:r>
    </w:p>
    <w:p w14:paraId="63843477" w14:textId="77777777" w:rsidR="00120ABE" w:rsidRPr="008238CE" w:rsidRDefault="00120ABE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</w:p>
    <w:p w14:paraId="61DDB5AF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 bőr és a bőr alatti szövet betegségei és tünetei</w:t>
      </w:r>
    </w:p>
    <w:p w14:paraId="59E2697E" w14:textId="77777777" w:rsidR="00120ABE" w:rsidRPr="008238CE" w:rsidRDefault="00866CC1">
      <w:pPr>
        <w:pStyle w:val="Szvegtrzs"/>
        <w:ind w:left="1701" w:right="32" w:hanging="1701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Gyakori: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Bőrkiütés, alopecia.</w:t>
      </w:r>
    </w:p>
    <w:p w14:paraId="5DF5E8A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3DEA4ADF" w14:textId="716BA563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Kiválasztott mellékhatások leírása</w:t>
      </w:r>
    </w:p>
    <w:p w14:paraId="49B4C020" w14:textId="77777777" w:rsidR="00D850E1" w:rsidRPr="008238CE" w:rsidRDefault="00D850E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21C1CC5D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Lymphopenia</w:t>
      </w:r>
    </w:p>
    <w:p w14:paraId="35642958" w14:textId="00EA316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klinikai vizsgálatokban a 2 év alatt 3,5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kladribin-dózissal monoterápiában kezelt betegek 20-25%-ánál 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alakult ki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átmeneti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3. vagy 4. súlyossági fokú lymphopenia. A 4. súlyossági fokú lymphopeni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át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betegek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kevesebb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mint 1%-ánál 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észlelték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 3. vagy 4. súlyossági fokú lymphopeniában szenvedő betegek legnagyobb arányát minden évben az első kladribin-d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ózis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után 2 hónappal figyelték meg (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3. súlyossági fokú lymphopenia az 1. 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évben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betegek 4,0%-ánál, illetve 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2. évben a betegek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11,3%-ánál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állt fenn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;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4. súlyossági fokú lymphopenia az 1.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évben a betegek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0%-nál, illetve 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2. évben a betegek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0,4%-nál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állt fenn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).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Várható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an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betegek többségénél 9 hónapon belül a lymphocytaszám a normál tartományba vagy 1. súlyossági fokú lymphopeniának megfelelő szintre rendeződik.</w:t>
      </w:r>
    </w:p>
    <w:p w14:paraId="5E92D81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279540F" w14:textId="2D34FC1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súlyos lymphopenia kockázatának csökkentése érdekében a lymphocytaszámot a kladribin-kezelés előtt, alatt és után meg kell határozni (lásd 4.4 pont), és be kell tartani a kladribin-kezelés megkezdésére és folytatására vonatkozó 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szigorú </w:t>
      </w:r>
      <w:proofErr w:type="gramStart"/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kritériumokat</w:t>
      </w:r>
      <w:proofErr w:type="gramEnd"/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(lásd 4.2 pont).</w:t>
      </w:r>
    </w:p>
    <w:p w14:paraId="439A8B88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AE7B035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Rosszindulatú daganatos betegségek</w:t>
      </w:r>
    </w:p>
    <w:p w14:paraId="016BDDFE" w14:textId="09FA339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klinikai vizsgálatokban és a 3,5 mg/ttkg-os kumulatív dózisú </w:t>
      </w:r>
      <w:r w:rsidR="00FB6F92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kladribinnel kezelt betegek hosszú távú utánkövetése során rosszindulatú daganato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kialakulását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gyakrabban figyelt</w:t>
      </w:r>
      <w:r w:rsidR="00FB6F92" w:rsidRPr="008238CE">
        <w:rPr>
          <w:rFonts w:ascii="Times New Roman" w:hAnsi="Times New Roman"/>
          <w:sz w:val="22"/>
          <w:szCs w:val="22"/>
          <w:lang w:val="hu-HU" w:eastAsia="hu-HU"/>
        </w:rPr>
        <w:t>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 meg 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>kladribinnel kezelt betegeknél (10 esemény 3414 betegév alatt [0,29 esemény/100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betegév]), mint a placebót kapó betegeknél (3 esemény 2022 betegév alatt [0,15 esemény/100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betegév]) (lásd 4.4 pont).</w:t>
      </w:r>
      <w:proofErr w:type="gramEnd"/>
    </w:p>
    <w:p w14:paraId="22301BA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AA1F9B0" w14:textId="77777777" w:rsidR="00120ABE" w:rsidRPr="008238CE" w:rsidRDefault="00866CC1">
      <w:pPr>
        <w:keepNext/>
        <w:keepLines/>
        <w:ind w:right="34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Túlérzékenység</w:t>
      </w:r>
    </w:p>
    <w:p w14:paraId="1F5F0FDA" w14:textId="495112D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klinikai vizsgálatokban a 3,5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dózisú </w:t>
      </w:r>
      <w:r w:rsidR="009755CB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kladribinnel kezelt betegeknél a túlérzékenységi 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reakciókat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gyakrabban figyelték meg (11,8%), mint a placebót kapó betegeknél (8,4%). Súlyos túlérzékenységi 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reakciókat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kladribinnel kezelt betegek 0,3%-ánál 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>figyeltek meg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, míg a placebót kapó betegeknél ilyen eseményt nem észleltek. A túlérzékenységi 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reakciók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kladribinnel kezelt betegek 0,4%-ánál és a placebót kapó betegek 0,3%-ánál vezettek a kezelés abbahagyásához.</w:t>
      </w:r>
    </w:p>
    <w:p w14:paraId="1CEFE01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974DC43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Májkárosodás</w:t>
      </w:r>
    </w:p>
    <w:p w14:paraId="5E5102F4" w14:textId="6386153B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hu-HU" w:eastAsia="hu-HU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forgalomba hozatalt követő tapasztalatok során nem gyakori 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előfordulással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májkárosodási eseményeket jelentettek, köztük súlyos eseteket és a kezelés abbahagyásához vezető eseteket is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>, a kladribin alkalmazásával időbeli összefüggésben.</w:t>
      </w:r>
    </w:p>
    <w:p w14:paraId="64EB32B7" w14:textId="29E95280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szérum transzaminázszint átmeneti emelkedése 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általában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meghaladta a normálérték felső határának (ULN) ötszörösét. Egyedi esetekben a szérum transzaminázszint átmeneti, az ULN akár 40-szeresét elérő emelkedését és/vagy tünetekkel járó hepatitist figyeltek meg átmeneti bilirubinszint-emelkedéssel és sárgasággal. A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>z ezek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kialakulás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>á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ig eltelt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idő változó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volt; az esetek többsége az első kezelési periódust követő 8 héten belül jelentkezett (lásd 4.4 pont).</w:t>
      </w:r>
    </w:p>
    <w:p w14:paraId="2E057BC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36A97AD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Feltételezett mellékhatások bejelentése</w:t>
      </w:r>
    </w:p>
    <w:p w14:paraId="4B499087" w14:textId="0AD11183" w:rsidR="00120ABE" w:rsidRPr="00FD43F8" w:rsidRDefault="00866CC1">
      <w:pPr>
        <w:rPr>
          <w:rFonts w:ascii="Times New Roman" w:hAnsi="Times New Roman"/>
          <w:sz w:val="22"/>
          <w:szCs w:val="22"/>
          <w:lang w:val="hu-HU"/>
        </w:rPr>
      </w:pPr>
      <w:r w:rsidRPr="008238CE">
        <w:rPr>
          <w:rFonts w:ascii="Times New Roman" w:hAnsi="Times New Roman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8238CE">
        <w:rPr>
          <w:rFonts w:ascii="Times New Roman" w:hAnsi="Times New Roman"/>
          <w:sz w:val="22"/>
          <w:szCs w:val="22"/>
          <w:lang w:val="hu-HU"/>
        </w:rPr>
        <w:t>profilját</w:t>
      </w:r>
      <w:proofErr w:type="gramEnd"/>
      <w:r w:rsidRPr="008238CE">
        <w:rPr>
          <w:rFonts w:ascii="Times New Roman" w:hAnsi="Times New Roman"/>
          <w:sz w:val="22"/>
          <w:szCs w:val="22"/>
          <w:lang w:val="hu-HU"/>
        </w:rPr>
        <w:t xml:space="preserve"> folyamatosan figyelemmel lehessen </w:t>
      </w:r>
      <w:r w:rsidRPr="00FD43F8">
        <w:rPr>
          <w:rFonts w:ascii="Times New Roman" w:hAnsi="Times New Roman"/>
          <w:sz w:val="22"/>
          <w:szCs w:val="22"/>
          <w:lang w:val="hu-HU"/>
        </w:rPr>
        <w:t>kísérni</w:t>
      </w:r>
      <w:r w:rsidRPr="00FD43F8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r w:rsidR="00FD43F8" w:rsidRPr="00A05E74">
        <w:rPr>
          <w:rFonts w:ascii="Times New Roman" w:hAnsi="Times New Roman"/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1" w:history="1">
        <w:r w:rsidR="00FD43F8" w:rsidRPr="00A05E74">
          <w:rPr>
            <w:rStyle w:val="Hiperhivatkozs"/>
            <w:rFonts w:ascii="Times New Roman" w:hAnsi="Times New Roman"/>
            <w:sz w:val="22"/>
            <w:szCs w:val="22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="00FD43F8" w:rsidRPr="00A05E74">
          <w:rPr>
            <w:rStyle w:val="Hiperhivatkozs"/>
            <w:rFonts w:ascii="Times New Roman" w:hAnsi="Times New Roman"/>
            <w:sz w:val="22"/>
            <w:szCs w:val="22"/>
            <w:highlight w:val="lightGray"/>
            <w:lang w:val="hu-HU"/>
          </w:rPr>
          <w:t>g</w:t>
        </w:r>
        <w:bookmarkEnd w:id="0"/>
        <w:bookmarkEnd w:id="1"/>
        <w:r w:rsidR="00FD43F8" w:rsidRPr="00A05E74">
          <w:rPr>
            <w:rStyle w:val="Hiperhivatkozs"/>
            <w:rFonts w:ascii="Times New Roman" w:hAnsi="Times New Roman"/>
            <w:sz w:val="22"/>
            <w:szCs w:val="22"/>
            <w:highlight w:val="lightGray"/>
            <w:lang w:val="hu-HU"/>
          </w:rPr>
          <w:t>elékben</w:t>
        </w:r>
      </w:hyperlink>
      <w:r w:rsidR="00FD43F8" w:rsidRPr="00A05E74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található elérhetőségek valamelyikén keresztül</w:t>
      </w:r>
      <w:r w:rsidRPr="00FD43F8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03A6C39" w14:textId="77777777" w:rsidR="00120ABE" w:rsidRPr="00FD43F8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C56B71A" w14:textId="77777777" w:rsidR="00120ABE" w:rsidRPr="008238CE" w:rsidRDefault="00866CC1" w:rsidP="00A05E74">
      <w:pPr>
        <w:pStyle w:val="Cmsor2"/>
        <w:numPr>
          <w:ilvl w:val="1"/>
          <w:numId w:val="1"/>
        </w:numPr>
        <w:tabs>
          <w:tab w:val="left" w:pos="784"/>
        </w:tabs>
        <w:ind w:left="0" w:right="32" w:firstLine="0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Túladagolás</w:t>
      </w:r>
    </w:p>
    <w:p w14:paraId="65BB259A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579E77E2" w14:textId="11997794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szájon át adott kladribin túladagolásával kapcsolatban 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kevés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tapasztalat áll rendelkezésre. Ismert, hogy a lymphopenia dózisfüggő (lásd 4.4 és 4.8 pont).</w:t>
      </w:r>
    </w:p>
    <w:p w14:paraId="756A0B5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042EF11" w14:textId="4E11318B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  hematológiai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paraméterek különösen szoros monitorozása javasolt</w:t>
      </w:r>
      <w:r w:rsidR="009755CB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azoknál a betegeknél, akiknél kladribin-túladagolás történt.</w:t>
      </w:r>
    </w:p>
    <w:p w14:paraId="22DA117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2DC646A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túladagolásának nincs ismert specifikus antidotuma. A kezelés gondos megfigyelésből és megfelelő szupportív intézkedések megkezdéséből áll. Szükség lehet a kladribin-kezelés abbahagyásának mérlegelésére. A gyors és kiterjedt intracelluláris és szöveti megoszlás miatt a hemodialízis várhatóan nem távolítja el klinikailag jelentős mértékben a kladribint.</w:t>
      </w:r>
    </w:p>
    <w:p w14:paraId="7C04ED2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409F4C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D00AF23" w14:textId="77777777" w:rsidR="00120ABE" w:rsidRPr="008238CE" w:rsidRDefault="00866CC1">
      <w:pPr>
        <w:pStyle w:val="Cmsor1"/>
        <w:numPr>
          <w:ilvl w:val="0"/>
          <w:numId w:val="1"/>
        </w:numPr>
        <w:tabs>
          <w:tab w:val="left" w:pos="784"/>
        </w:tabs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FARMAKOLÓGIAI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TULAJDONSÁGOK</w:t>
      </w:r>
    </w:p>
    <w:p w14:paraId="4E4BD60A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4E5F0F14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Farmakodinámiás tulajdonságok</w:t>
      </w:r>
    </w:p>
    <w:p w14:paraId="2FD25D1D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344AFC20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Farmakoterápiás csoport: immunszuppresszív szerek, szelektív immunszuppresszív szerek, ATC kód: L04AA40</w:t>
      </w:r>
    </w:p>
    <w:p w14:paraId="3BB7224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BA9EE2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Hatásmechanizmus</w:t>
      </w:r>
    </w:p>
    <w:p w14:paraId="5AF791E9" w14:textId="035C53FB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a dezoxiadenozin nukleozid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analógja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. A purin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>gyűrűn egy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klórszubsztitúció megvédi a kladribint az adenozin-deamináz általi lebontástól, ezáltal meghosszabbítja a kladribin prodrug intracelluláris tartózkodási idejét. A kladribin ezt követő foszforilációja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trifoszfát formájává, 2-klórdezoxiadenozin-trifoszfáttá (Cd-ATP), különösen hatékonyan megy végbe a lymphocytákban, az ezekben 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állandóan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magas dezoxicitidin-kináz- (DCK-) és viszonylag alacsony 5'-nukleotidáz- (5'-NTáz-) szint miatt. A 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nagy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DCK/5'-NTáz arány elősegíti a Cd-ATP felhalmozódását, ami a lymphocytákat különösen 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hajlamossá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teszi a sejthalálra. A 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kisebb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DCK/5'-NTáz arány 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miatt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csontvelőből származó egyéb sejtek 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lymphocytáknál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kevésbé érintettek. A DCK a kladribin prodrug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trifoszfát formává történő átalakulásának sebességmeghatározó enzime, ami az osztódó és nem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>osztódó T- és B-sejtek szelektív depléciójához vezet.</w:t>
      </w:r>
    </w:p>
    <w:p w14:paraId="66A589A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79FE9F2" w14:textId="4EFBFBC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Cd-ATP elsődleges, apoptózist kiváltó hatásmechanizmusa a DNS-szintézisre és a mitokondriális működésre</w:t>
      </w:r>
      <w:r w:rsidR="00025794" w:rsidRPr="008238CE">
        <w:rPr>
          <w:rFonts w:ascii="Times New Roman" w:hAnsi="Times New Roman"/>
          <w:sz w:val="22"/>
          <w:szCs w:val="22"/>
          <w:lang w:val="hu-HU" w:eastAsia="hu-HU"/>
        </w:rPr>
        <w:t xml:space="preserve"> kifejtett közvetlen és közvetett hatásokat foglal magában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Osztódó sejtekben a Cd-ATP a ribonukleotid-reduktáz gátlása révén zavarja a DNS-szintézist, és a dezoxiadenozin-trifoszfáttal verseng a DNS-polimerázok által a DNS-be történő beépülésért. 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A nyugvó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sejtekben a kladribin DNS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 egyszálú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törése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i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t, gyors nikotinamid-adenin-dinukleotid-felhasználást, ATP-depléciót és sejthalált okoz. Bizonyítékok vannak arra is, hogy a kladribin közvetlen, kaszpázfüggő és kaszpázfüggetlen apoptózist válthat ki a citokróm c és az apoptózist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indukáló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faktor nem osztódó sejtek citoszoljába történő felszabadulása révén.</w:t>
      </w:r>
    </w:p>
    <w:p w14:paraId="4CDECDEB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A8E8485" w14:textId="295866D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Az SM patológiája 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események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összetett sorozat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á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t foglal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ja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magában, amelyben különböző immunsejttípusok, köztük az autoreaktív T- és B-sejtek 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játszanak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kulcsszerepet. Nem teljesen tisztázott, milyen mechanizmussal fejti ki a kladribin terápiás hatását SM-ben, de feltételezhető, hogy a B- és T-lymphocytákra gyakorolt domináns hatása megszakítja az SM szempontjából központi jelentőségű immunológiai események kaszkádját.</w:t>
      </w:r>
    </w:p>
    <w:p w14:paraId="687E951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B2B7F95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DCK és az 5'-NTáz expressziós szintjének immunsejt-altípusok közötti különbségei magyarázhatják a sejtek kladribinnel szembeni eltérő érzékenységét. Ezen expressziós szintek miatt a veleszületett immunrendszer sejtjei kevésbé érintettek, mint az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adaptív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immunrendszer sejtjei.</w:t>
      </w:r>
    </w:p>
    <w:p w14:paraId="2ECA4F3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24EEEBE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Farmakodinámiás hatások</w:t>
      </w:r>
    </w:p>
    <w:p w14:paraId="5FEF5BC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Kimutatták, hogy a kladribin tartós hatást fejt ki azáltal, hogy elsősorban a lymphocytákat és az SM patofiziológiájában szerepet játszó autoimmun folyamatokat célozza.</w:t>
      </w:r>
    </w:p>
    <w:p w14:paraId="7CA0D7A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17F07C0" w14:textId="2971C60B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vizsgálatok összességében a 3. vagy 4. súlyossági fokú lymphopeniában (&lt; 500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200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sejt/mm³, illetve &lt; 200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sejt/mm³) szenvedő betegek legnagyobb arányát minden évben az első kladribin-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dózis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után 2 hónappal figyelték meg, ami időbeli eltérést jelez a kladribin plazma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koncentrációj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án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>k</w:t>
      </w:r>
      <w:proofErr w:type="gramEnd"/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 kialakulása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a maximális hematológiai hatás között.</w:t>
      </w:r>
    </w:p>
    <w:p w14:paraId="41592CF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51FB064" w14:textId="609FF2B2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klinikai vizsgálatokban a javasolt, 3,5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dózissal kapott adatok azt mutatják, hogy a medián lymphocytaszám a kladribin első 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dózisától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számított 84. hétre fokozatosan visszatért a normál tartományba (körülbelül 30 héttel az utolsó kladribin-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dózis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után). A betegek több mint 75%-ánál a lymphocytaszám az első kladribin-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dózistól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számított 144. hétre visszatért a normál tartományba (körülbelül 90 héttel az utolsó kladribin-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dózis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után).</w:t>
      </w:r>
    </w:p>
    <w:p w14:paraId="7BBEB4E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E300F09" w14:textId="59B85E5A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="00016BCC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016BCC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kladribin-kezelés a keringő CD4+ és CD8+ T-sejtek számának gyors csökkenéséhez vezet. A CD8+ T-sejtek száma kevésbé kifejezetten csökken, és gyorsabban rendeződik, mint a CD4+ T-sejteké, ami a CD4/CD8 arány átmeneti csökkenését eredményezi. A kladribin csökkenti a CD19+ B-sejtek, valamint a CD16+/CD56+ természetes ölősejtek számát is; ezek szintén gyorsabban rendeződnek, mint a CD4+ T-sejtek</w:t>
      </w:r>
      <w:r w:rsidR="0004640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száma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4BDC0C8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E99A3CE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Klinikai hatásosság és biztonságosság</w:t>
      </w:r>
    </w:p>
    <w:p w14:paraId="572DE615" w14:textId="77777777" w:rsidR="00120ABE" w:rsidRPr="008238CE" w:rsidRDefault="00120ABE">
      <w:pPr>
        <w:ind w:right="32"/>
        <w:rPr>
          <w:rFonts w:ascii="Times New Roman" w:hAnsi="Times New Roman"/>
          <w:sz w:val="22"/>
          <w:szCs w:val="22"/>
          <w:lang w:val="hu-HU" w:eastAsia="hu-HU"/>
        </w:rPr>
      </w:pPr>
    </w:p>
    <w:p w14:paraId="16E0A213" w14:textId="110878CB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Rela</w:t>
      </w:r>
      <w:r w:rsidR="00046402"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b</w:t>
      </w: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áló-remittáló SM</w:t>
      </w:r>
    </w:p>
    <w:p w14:paraId="6EC0F806" w14:textId="27D0CA84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="00046402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04640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alkalmazott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kladribin hatásosságát és biztonságosságát egy randomizált, kettős vak, placebokontrollos klinikai vizsgálatban (CLARITY) értékelték 1326 rela</w:t>
      </w:r>
      <w:r w:rsidR="00046402" w:rsidRPr="008238CE">
        <w:rPr>
          <w:rFonts w:ascii="Times New Roman" w:hAnsi="Times New Roman"/>
          <w:sz w:val="22"/>
          <w:szCs w:val="22"/>
          <w:lang w:val="hu-HU" w:eastAsia="hu-HU"/>
        </w:rPr>
        <w:t>b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áló-remittáló sclerosis multiplexben szenvedő betegnél. A vizsgálat célja a kladribin placebóhoz viszonyított hatásosságának értékelése volt az éves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ített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relapszus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rá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ny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(ARR) csökkentése (elsődleges végpont), a rokkantság progressziójának lassítása, valamint az MR-rel kimutatott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léziók számának csökkentése tekintetében.</w:t>
      </w:r>
    </w:p>
    <w:p w14:paraId="7BF7E6B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05A7036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betegek a 96 hetes (2 éves) vizsgálati időszakban 2 kezelési periódusban placebót (n = 437), 3,5 mg/ttkg-os (n = 433) vagy 5,25 mg/ttkg-os (n = 456)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kladribin-dózist kaptak. A 3,5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dózisra randomizált betegek az első év 1. és 5. hetében kapták az első kezelési periódust, majd a második év 1. és 5. hetében a második kezelési periódust. Az 5,25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dózisra randomizált betegek az első év 9. és 13. hetében további kezelést kaptak. 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>placebo- (87,0%), a 3,5 mg/ttkg kladribin- (91,9%) és az 5,25 mg/ttkg kladribin-csoportban (89,0%) a betegek többsége teljesítette a vizsgálat teljes 96 hetét.</w:t>
      </w:r>
    </w:p>
    <w:p w14:paraId="588FCC5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F9E0D47" w14:textId="1FA507B9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beválasztás feltétele volt, hogy a betegeknek az előző 12 hónapban legalább 1 relapszusuk legyen. A teljes vizsgálati populáció medián életkora 39 év volt (tartomány: 18-65 év), a nők és férfiak aránya megközelítőleg 2:1 volt. Az SM 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 xml:space="preserve">fennállásának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átlagos időtartama a vizsgálatba történő bevonás előtt 8,7 év volt, a 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 xml:space="preserve">Kurtzke-féle kiterjesztett rokkantsági skála (Expanded Disability Status Scale, EDSS) pontszáma alapján meghatározott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neurológiai rokkantság 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 xml:space="preserve">kiindulási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medián értéke pedig valamennyi kezelési csoportban 3,0 volt (tartomány: 0-6,0). A vizsgálati betegek több mint kétharmada korábban nem kapott SM betegségmódosító gyógyszert (DMD). A többi beteget korábban 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>interferon-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béta-1a-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>val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>interferon-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béta-1b-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>vel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, glatiramer-acetáttal vagy natalizumabbal kezelték.</w:t>
      </w:r>
    </w:p>
    <w:p w14:paraId="0D702C12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35768C3" w14:textId="63B242A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3,5 mg/ttkg kladribint kapó 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>relabáló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-remittáló SM-</w:t>
      </w:r>
      <w:r w:rsidR="003452D6" w:rsidRPr="008238CE">
        <w:rPr>
          <w:rFonts w:ascii="Times New Roman" w:hAnsi="Times New Roman"/>
          <w:sz w:val="22"/>
          <w:szCs w:val="22"/>
          <w:lang w:val="hu-HU" w:eastAsia="hu-HU"/>
        </w:rPr>
        <w:t xml:space="preserve">ben szenvedő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betegeknél a placebót kapó betegekhez képest statisztikailag szignifikáns javulást észleltek az 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éves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ített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 xml:space="preserve"> relapszus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a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rá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ny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, a 96 héten át relapszusmentes betegek aránya, a 96 héten át tartós rokkantságtól mentes betegek aránya, valamint a 3 hónapos EDSS-progresszióig eltelt idő tekintetében (lásd 3. táblázat).</w:t>
      </w:r>
    </w:p>
    <w:p w14:paraId="6B5AB97C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28AB02D" w14:textId="4322480B" w:rsidR="00120ABE" w:rsidRPr="008238CE" w:rsidRDefault="00866CC1">
      <w:pPr>
        <w:pStyle w:val="Szvegtrzs"/>
        <w:keepNext/>
        <w:keepLines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 xml:space="preserve">3. táblázat </w:t>
      </w:r>
      <w:proofErr w:type="gramStart"/>
      <w:r w:rsidR="00C80A55"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>A</w:t>
      </w:r>
      <w:proofErr w:type="gramEnd"/>
      <w:r w:rsidR="00C80A55"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 xml:space="preserve"> CLARITY vizsgálat k</w:t>
      </w:r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>linikai eredménye</w:t>
      </w:r>
      <w:r w:rsidR="00C80A55"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>i</w:t>
      </w:r>
      <w:r w:rsidRPr="008238CE">
        <w:rPr>
          <w:rFonts w:ascii="Times New Roman" w:hAnsi="Times New Roman"/>
          <w:b/>
          <w:bCs/>
          <w:sz w:val="22"/>
          <w:szCs w:val="22"/>
          <w:lang w:val="hu-HU" w:eastAsia="hu-HU"/>
        </w:rPr>
        <w:t xml:space="preserve"> (96 hét)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0" w:type="dxa"/>
          <w:left w:w="70" w:type="dxa"/>
          <w:bottom w:w="60" w:type="dxa"/>
          <w:right w:w="70" w:type="dxa"/>
        </w:tblCellMar>
        <w:tblLook w:val="01E0" w:firstRow="1" w:lastRow="1" w:firstColumn="1" w:lastColumn="1" w:noHBand="0" w:noVBand="0"/>
      </w:tblPr>
      <w:tblGrid>
        <w:gridCol w:w="3467"/>
        <w:gridCol w:w="1821"/>
        <w:gridCol w:w="1819"/>
        <w:gridCol w:w="1960"/>
      </w:tblGrid>
      <w:tr w:rsidR="00120ABE" w:rsidRPr="008238CE" w14:paraId="03B0787C" w14:textId="77777777">
        <w:trPr>
          <w:cantSplit/>
          <w:trHeight w:val="254"/>
        </w:trPr>
        <w:tc>
          <w:tcPr>
            <w:tcW w:w="1912" w:type="pct"/>
            <w:vMerge w:val="restart"/>
            <w:vAlign w:val="center"/>
          </w:tcPr>
          <w:p w14:paraId="6D957800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Paraméter</w:t>
            </w:r>
          </w:p>
        </w:tc>
        <w:tc>
          <w:tcPr>
            <w:tcW w:w="1004" w:type="pct"/>
            <w:vMerge w:val="restart"/>
            <w:vAlign w:val="center"/>
          </w:tcPr>
          <w:p w14:paraId="1A29870C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Placebo (n = 437)</w:t>
            </w:r>
          </w:p>
        </w:tc>
        <w:tc>
          <w:tcPr>
            <w:tcW w:w="2084" w:type="pct"/>
            <w:gridSpan w:val="2"/>
            <w:vAlign w:val="center"/>
          </w:tcPr>
          <w:p w14:paraId="462E9254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 xml:space="preserve">Kladribin </w:t>
            </w:r>
            <w:proofErr w:type="gramStart"/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kumulatív</w:t>
            </w:r>
            <w:proofErr w:type="gramEnd"/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 xml:space="preserve"> dózis</w:t>
            </w:r>
          </w:p>
        </w:tc>
      </w:tr>
      <w:tr w:rsidR="00120ABE" w:rsidRPr="008238CE" w14:paraId="14758698" w14:textId="77777777">
        <w:trPr>
          <w:cantSplit/>
          <w:trHeight w:val="506"/>
        </w:trPr>
        <w:tc>
          <w:tcPr>
            <w:tcW w:w="0" w:type="auto"/>
            <w:vMerge/>
          </w:tcPr>
          <w:p w14:paraId="240AE9F7" w14:textId="77777777" w:rsidR="00120ABE" w:rsidRPr="008238CE" w:rsidRDefault="00120A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51BE760E" w14:textId="77777777" w:rsidR="00120ABE" w:rsidRPr="008238CE" w:rsidRDefault="00120A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3" w:type="pct"/>
            <w:vAlign w:val="center"/>
          </w:tcPr>
          <w:p w14:paraId="12C3E250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3,5 mg/ttkg</w:t>
            </w: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br/>
              <w:t>(n = 433)</w:t>
            </w:r>
          </w:p>
        </w:tc>
        <w:tc>
          <w:tcPr>
            <w:tcW w:w="1081" w:type="pct"/>
            <w:vAlign w:val="center"/>
          </w:tcPr>
          <w:p w14:paraId="7FCDC7C3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5,25 mg/ttkg</w:t>
            </w:r>
            <w:r w:rsidRPr="008238CE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br/>
              <w:t>(n = 456)</w:t>
            </w:r>
          </w:p>
        </w:tc>
      </w:tr>
      <w:tr w:rsidR="00120ABE" w:rsidRPr="008238CE" w14:paraId="49CF0160" w14:textId="77777777">
        <w:trPr>
          <w:cantSplit/>
          <w:trHeight w:val="60"/>
        </w:trPr>
        <w:tc>
          <w:tcPr>
            <w:tcW w:w="1912" w:type="pct"/>
            <w:vAlign w:val="center"/>
          </w:tcPr>
          <w:p w14:paraId="7BB92758" w14:textId="1532A54A" w:rsidR="00120ABE" w:rsidRPr="008238CE" w:rsidRDefault="00FD43F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É</w:t>
            </w:r>
            <w:r w:rsidRPr="003E2CC1">
              <w:rPr>
                <w:rFonts w:ascii="Times New Roman" w:hAnsi="Times New Roman"/>
                <w:sz w:val="22"/>
                <w:szCs w:val="22"/>
                <w:lang w:val="hu-HU" w:eastAsia="hu-HU"/>
              </w:rPr>
              <w:t>ves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ített</w:t>
            </w:r>
            <w:r w:rsidRPr="003E2CC1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relapszus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3E2CC1">
              <w:rPr>
                <w:rFonts w:ascii="Times New Roman" w:hAnsi="Times New Roman"/>
                <w:sz w:val="22"/>
                <w:szCs w:val="22"/>
                <w:lang w:val="hu-HU" w:eastAsia="hu-HU"/>
              </w:rPr>
              <w:t>rá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ny</w:t>
            </w:r>
            <w:r w:rsidRPr="003E2CC1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="00866CC1"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(95%</w:t>
            </w:r>
            <w:r w:rsidR="00C80A55"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-os</w:t>
            </w:r>
            <w:r w:rsidR="00866CC1"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CI)</w:t>
            </w:r>
          </w:p>
        </w:tc>
        <w:tc>
          <w:tcPr>
            <w:tcW w:w="1004" w:type="pct"/>
            <w:vAlign w:val="center"/>
          </w:tcPr>
          <w:p w14:paraId="092748AB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0,33 (0,29; 0,38)</w:t>
            </w:r>
          </w:p>
        </w:tc>
        <w:tc>
          <w:tcPr>
            <w:tcW w:w="1003" w:type="pct"/>
            <w:vAlign w:val="center"/>
          </w:tcPr>
          <w:p w14:paraId="431B789A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0,14* (0,12; 0,17)</w:t>
            </w:r>
          </w:p>
        </w:tc>
        <w:tc>
          <w:tcPr>
            <w:tcW w:w="1081" w:type="pct"/>
            <w:vAlign w:val="center"/>
          </w:tcPr>
          <w:p w14:paraId="0FEE736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0,15* (0,12; 0,17)</w:t>
            </w:r>
          </w:p>
        </w:tc>
      </w:tr>
      <w:tr w:rsidR="00120ABE" w:rsidRPr="008238CE" w14:paraId="69628308" w14:textId="77777777">
        <w:trPr>
          <w:cantSplit/>
          <w:trHeight w:val="506"/>
        </w:trPr>
        <w:tc>
          <w:tcPr>
            <w:tcW w:w="1912" w:type="pct"/>
            <w:vAlign w:val="center"/>
          </w:tcPr>
          <w:p w14:paraId="2574A57B" w14:textId="77777777" w:rsidR="00120ABE" w:rsidRPr="008238CE" w:rsidRDefault="00866CC1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Relatív</w:t>
            </w:r>
            <w:proofErr w:type="gramEnd"/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csökkenés (kladribin vs. placebo)</w:t>
            </w:r>
          </w:p>
        </w:tc>
        <w:tc>
          <w:tcPr>
            <w:tcW w:w="1004" w:type="pct"/>
            <w:vAlign w:val="center"/>
          </w:tcPr>
          <w:p w14:paraId="06FD1EDA" w14:textId="77777777" w:rsidR="00120ABE" w:rsidRPr="008238CE" w:rsidRDefault="00120A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3" w:type="pct"/>
            <w:vAlign w:val="center"/>
          </w:tcPr>
          <w:p w14:paraId="37954964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57,6%</w:t>
            </w:r>
          </w:p>
        </w:tc>
        <w:tc>
          <w:tcPr>
            <w:tcW w:w="1081" w:type="pct"/>
            <w:vAlign w:val="center"/>
          </w:tcPr>
          <w:p w14:paraId="752D6401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54,5%</w:t>
            </w:r>
          </w:p>
        </w:tc>
      </w:tr>
      <w:tr w:rsidR="00120ABE" w:rsidRPr="008238CE" w14:paraId="57ADE9F7" w14:textId="77777777">
        <w:trPr>
          <w:cantSplit/>
          <w:trHeight w:val="503"/>
        </w:trPr>
        <w:tc>
          <w:tcPr>
            <w:tcW w:w="1912" w:type="pct"/>
            <w:vAlign w:val="center"/>
          </w:tcPr>
          <w:p w14:paraId="0349AFBD" w14:textId="77777777" w:rsidR="00120ABE" w:rsidRPr="008238CE" w:rsidRDefault="00866CC1">
            <w:pPr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96 hét alatt relapszusmentes betegek aránya</w:t>
            </w:r>
          </w:p>
        </w:tc>
        <w:tc>
          <w:tcPr>
            <w:tcW w:w="1004" w:type="pct"/>
            <w:vAlign w:val="center"/>
          </w:tcPr>
          <w:p w14:paraId="3CE7935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60,9%</w:t>
            </w:r>
          </w:p>
        </w:tc>
        <w:tc>
          <w:tcPr>
            <w:tcW w:w="1003" w:type="pct"/>
            <w:vAlign w:val="center"/>
          </w:tcPr>
          <w:p w14:paraId="1B0D4F5A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79,7%</w:t>
            </w:r>
          </w:p>
        </w:tc>
        <w:tc>
          <w:tcPr>
            <w:tcW w:w="1081" w:type="pct"/>
            <w:vAlign w:val="center"/>
          </w:tcPr>
          <w:p w14:paraId="68A9DDC6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78,9%</w:t>
            </w:r>
          </w:p>
        </w:tc>
      </w:tr>
      <w:tr w:rsidR="00120ABE" w:rsidRPr="008238CE" w14:paraId="6506CC4A" w14:textId="77777777">
        <w:trPr>
          <w:cantSplit/>
          <w:trHeight w:val="506"/>
        </w:trPr>
        <w:tc>
          <w:tcPr>
            <w:tcW w:w="1912" w:type="pct"/>
            <w:vAlign w:val="center"/>
          </w:tcPr>
          <w:p w14:paraId="45F59E4B" w14:textId="77777777" w:rsidR="00120ABE" w:rsidRPr="008238CE" w:rsidRDefault="00866CC1">
            <w:pPr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3 hónapos EDSS-progresszióig eltelt idő, 10. percentilis (hónap)</w:t>
            </w:r>
          </w:p>
        </w:tc>
        <w:tc>
          <w:tcPr>
            <w:tcW w:w="1004" w:type="pct"/>
            <w:vAlign w:val="center"/>
          </w:tcPr>
          <w:p w14:paraId="7AC67CDB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10,8</w:t>
            </w:r>
          </w:p>
        </w:tc>
        <w:tc>
          <w:tcPr>
            <w:tcW w:w="1003" w:type="pct"/>
            <w:vAlign w:val="center"/>
          </w:tcPr>
          <w:p w14:paraId="2BB0E70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13,6</w:t>
            </w:r>
          </w:p>
        </w:tc>
        <w:tc>
          <w:tcPr>
            <w:tcW w:w="1081" w:type="pct"/>
            <w:vAlign w:val="center"/>
          </w:tcPr>
          <w:p w14:paraId="3C9CC38D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13,6</w:t>
            </w:r>
          </w:p>
        </w:tc>
      </w:tr>
      <w:tr w:rsidR="00120ABE" w:rsidRPr="008238CE" w14:paraId="770E0E05" w14:textId="77777777">
        <w:trPr>
          <w:cantSplit/>
          <w:trHeight w:val="503"/>
        </w:trPr>
        <w:tc>
          <w:tcPr>
            <w:tcW w:w="1912" w:type="pct"/>
            <w:vAlign w:val="center"/>
          </w:tcPr>
          <w:p w14:paraId="50D82B71" w14:textId="1677EEE3" w:rsidR="00120ABE" w:rsidRPr="008238CE" w:rsidRDefault="00866CC1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Relatív</w:t>
            </w:r>
            <w:proofErr w:type="gramEnd"/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hazárd (95%</w:t>
            </w:r>
            <w:r w:rsidR="00C80A55"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-os</w:t>
            </w: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CI)</w:t>
            </w:r>
          </w:p>
        </w:tc>
        <w:tc>
          <w:tcPr>
            <w:tcW w:w="1004" w:type="pct"/>
            <w:vAlign w:val="center"/>
          </w:tcPr>
          <w:p w14:paraId="100771DC" w14:textId="77777777" w:rsidR="00120ABE" w:rsidRPr="008238CE" w:rsidRDefault="00120A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3" w:type="pct"/>
            <w:vAlign w:val="center"/>
          </w:tcPr>
          <w:p w14:paraId="08A7B64E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0,67 (0,48; 0,93)</w:t>
            </w: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br/>
              <w:t>p = 0,018</w:t>
            </w:r>
          </w:p>
        </w:tc>
        <w:tc>
          <w:tcPr>
            <w:tcW w:w="1081" w:type="pct"/>
            <w:vAlign w:val="center"/>
          </w:tcPr>
          <w:p w14:paraId="2509765A" w14:textId="77777777" w:rsidR="00120ABE" w:rsidRPr="008238CE" w:rsidRDefault="00866C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t>0,69 (0,49; 0,96)</w:t>
            </w:r>
            <w:r w:rsidRPr="008238CE">
              <w:rPr>
                <w:rFonts w:ascii="Times New Roman" w:hAnsi="Times New Roman"/>
                <w:sz w:val="22"/>
                <w:szCs w:val="22"/>
                <w:lang w:val="hu-HU" w:eastAsia="hu-HU"/>
              </w:rPr>
              <w:br/>
              <w:t>p = 0,026</w:t>
            </w:r>
          </w:p>
        </w:tc>
      </w:tr>
    </w:tbl>
    <w:p w14:paraId="713CBFEA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* p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&lt; 0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,001 a placebóhoz képest</w:t>
      </w:r>
    </w:p>
    <w:p w14:paraId="429B55A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C314221" w14:textId="71CE04A6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Ezen túlmenően a 3,5 mg/ttkg kladribint kapó kezelési csoport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teljes 96 hét során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statisztikailag szignifikánsan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>jobbnak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mutat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o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>zo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tt a placebóhoz képest a T1 Gd+ léziók, az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T2 léziók és a kombinált egyedi léziók száma és relatív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>méret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csökkenése tekintetében, amint azt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>az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agyi MR-vizsgálatok igazolták.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 kladribint kapó betegeknél a placebocsoporthoz képest a T1 Gd+ léziók átlagos száma 86%-kal csökkent (a korrigált átlagos szám a 3,5 mg/ttkg kladribin-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>csoportban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0,12, illetve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placebocsoportban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0,91 volt), az aktív T2 léziók átlagos száma 73%-kal csökkent (a korrigált átlagos szám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 xml:space="preserve">3,5 mg/ttkg kladribin-csoportban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0,38, illetve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placebocsoportban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1,43 volt),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 xml:space="preserve">valamint 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kombinált egyedi léziók átlagos szám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án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74%-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os relatív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csökken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ésé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t 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tapasztalták </w:t>
      </w:r>
      <w:r w:rsidR="00C80A55" w:rsidRPr="008238CE">
        <w:rPr>
          <w:rFonts w:ascii="Times New Roman" w:hAnsi="Times New Roman"/>
          <w:sz w:val="22"/>
          <w:szCs w:val="22"/>
          <w:lang w:val="hu-HU" w:eastAsia="hu-HU"/>
        </w:rPr>
        <w:t xml:space="preserve">betegenként és vizsgálatonként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(a korrigált átlagos szám 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3,5 mg/ttkg kladribin-csoportban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0,43, illetve 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placebocsoportban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1,72 volt) (mindhárom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MR-végpont esetében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p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&lt; 0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,001).</w:t>
      </w:r>
    </w:p>
    <w:p w14:paraId="68C2C5C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32947D2" w14:textId="03489A0C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 6 hónapos igazolt EDSS-progresszióig eltelt idő post hoc elemzése a rokkantság progresszió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jának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47%-os 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kockázat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csökkenését mutatta a 3,5 mg/ttkg kladribint kapó csoportban a placebóhoz képest (relatív hazárd = 0,53; 95%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-os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CI [0,36; 0,79]; p &lt; 0,05); a placebocsoportban a 10. percentilist a 245. napon érték el, míg a 3,5 mg/ttkg kladribin-csoportban a vizsgálati időszak alatt egyáltalán nem érték el.</w:t>
      </w:r>
      <w:proofErr w:type="gramEnd"/>
    </w:p>
    <w:p w14:paraId="31B4FA7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6F8688B" w14:textId="134A8159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Amint a fenti 3. táblázat mutatja, a nagyobb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dózisok nem biztosítottak klinikailag jelentős többletelőnyt, ugyanakkor a ≥ 3. súlyossági fokú lymphopenia 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nagyobb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előfordulási gyakoriságával jártak (44,9% az 5,25 mg/ttkg-os csoportban, szemben a 3,5 mg/ttkg-os csoport 25,6%-ával).</w:t>
      </w:r>
    </w:p>
    <w:p w14:paraId="02CF456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4A6875D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CLARITY vizsgálatot befejező betegek bevonhatók voltak a CLARITY Extension vizsgálatba.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Ebben a kiterjesztett vizsgálatban 806 beteg kapott placebót vagy 3,5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kumulatív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kladribin-dózist (a CLARITY vizsgálathoz hasonló kezelési rendben) a 96 hetes vizsgálati időszak alatt. A vizsgálat elsődleges célja a biztonságosság értékelése volt, míg a hatásossági végpontokat feltáró jelleggel vizsgálták.</w:t>
      </w:r>
    </w:p>
    <w:p w14:paraId="63A3D9CB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FE73DE1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hu-HU" w:eastAsia="hu-HU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2 éven át 3,5 mg/ttkg-os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dózist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kapó betegeknél a relapszusok gyakoriságának csökkentésében és a rokkantság progressziójának lassításában mutatott hatás nagysága a 3. és 4. évben is fennmaradt (lásd 4.2 pont).</w:t>
      </w:r>
    </w:p>
    <w:p w14:paraId="053DA14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85FFD27" w14:textId="2C50F5A6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Hatásosság magas </w:t>
      </w:r>
      <w:proofErr w:type="gramStart"/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aktivitású</w:t>
      </w:r>
      <w:proofErr w:type="gramEnd"/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</w:t>
      </w:r>
      <w:r w:rsidR="00970009"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betegségben szenvedő </w:t>
      </w: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betegeknél</w:t>
      </w:r>
    </w:p>
    <w:p w14:paraId="075F9BF6" w14:textId="24277A3A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Post hoc 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hatásossági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alcsoportelemzéseket végeztek magas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aktivitású</w:t>
      </w:r>
      <w:proofErr w:type="gramEnd"/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 betegségben szenvedő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betegeknél, akiket a javasolt 3,5 mg/ttkg-os kumulatív dózisú </w:t>
      </w:r>
      <w:r w:rsidR="00970009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adott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kladribinnel kezeltek. Ezek közé tartoztak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:</w:t>
      </w:r>
    </w:p>
    <w:p w14:paraId="79EED2CD" w14:textId="1988C802" w:rsidR="00120ABE" w:rsidRPr="008238CE" w:rsidRDefault="00866CC1">
      <w:pPr>
        <w:pStyle w:val="Listaszerbekezds"/>
        <w:numPr>
          <w:ilvl w:val="0"/>
          <w:numId w:val="4"/>
        </w:numPr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azok a betegek, akiknél az előző évben 1 relapszus jelentkezett, és más DMD-kezelés mellett legalább 1 T1 Gd+ lézió vagy legalább 9 T2 lézió volt jelen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>;</w:t>
      </w:r>
    </w:p>
    <w:p w14:paraId="5A1A09A4" w14:textId="77777777" w:rsidR="00120ABE" w:rsidRPr="008238CE" w:rsidRDefault="00866CC1">
      <w:pPr>
        <w:pStyle w:val="Listaszerbekezds"/>
        <w:numPr>
          <w:ilvl w:val="0"/>
          <w:numId w:val="4"/>
        </w:numPr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azok a betegek, akiknél az előző évben legalább 2 relapszus jelentkezett, függetlenül attól, hogy kaptak-e DMD-kezelést.</w:t>
      </w:r>
    </w:p>
    <w:p w14:paraId="33F0CC7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7E1D78A" w14:textId="2F6DAC66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CLARITY </w:t>
      </w:r>
      <w:r w:rsidR="00970009" w:rsidRPr="008238CE">
        <w:rPr>
          <w:rFonts w:ascii="Times New Roman" w:hAnsi="Times New Roman"/>
          <w:sz w:val="22"/>
          <w:szCs w:val="22"/>
          <w:lang w:val="hu-HU" w:eastAsia="hu-HU"/>
        </w:rPr>
        <w:t xml:space="preserve">vizsgálat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adatainak elemzése során a relapszusokra gyakorolt következetes kezelési hatást figyeltek meg: az 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éves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ített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 xml:space="preserve"> relapszus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a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rá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ny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kladribin-csoportokban 0,16-0,18, a placebocsoportban 0,47-0,50 között volt (p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&lt; 0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,0001). A teljes populációhoz képest nagyobb hatást figyeltek meg a 6 hónapig tartósan fennálló rokkantság kialakulásáig eltelt idő tekintetében; a kladribin 82%-kal csökkentette a rokkantság progressziójának kockázatát (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relatív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hazárd = 0,18; 95%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>-os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CI [0,07; 0,47]). A placebocsoportban a rokkantság progressziójának 10. percentilisét a 16. és 23. hét között érték el, míg a kladribin-csoportokban a teljes vizsgálati idő alatt nem érték el.</w:t>
      </w:r>
    </w:p>
    <w:p w14:paraId="6E1693D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3325640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Relapszusokkal járó szekunder </w:t>
      </w:r>
      <w:proofErr w:type="gramStart"/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progresszív</w:t>
      </w:r>
      <w:proofErr w:type="gramEnd"/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SM</w:t>
      </w:r>
    </w:p>
    <w:p w14:paraId="10F4A995" w14:textId="6B36A9D0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Egy 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 xml:space="preserve">alátámasztó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vizsgálatban, amelyben a béta-interferon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 xml:space="preserve"> mellé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kiegészítésként adott kladribint hasonlították össze a placebo + béta-interferon kombinációval, kis számban szekunder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progresszív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SM-ben szenvedő betegek is részt vettek (26 beteg). Ezeknél a betegeknél a 3,5 mg/ttkg-os kladribin-kezelés a placebóhoz képest csökkentette az éves relapszusrátát (0,03 vs. 0,30;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relatív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kockázat: 0,11; p &lt; 0,05). Az 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éves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ített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 xml:space="preserve"> relapszus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a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rá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ny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nem különbözött a rela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>b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áló-remittáló SM-ben, illetve a relapszusokkal járó szekunder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progresszív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SM-ben szenvedő betegek között. A rokkantság progressziójára gyakorolt hatást egyik alcsoportban sem sikerült kimutatni.</w:t>
      </w:r>
    </w:p>
    <w:p w14:paraId="151A7A6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3D6302F" w14:textId="1EFF785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szekunder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progresszív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SM-ben szenvedő betegeket kizárták a CLARITY vizsgálatból. Ugyanakkor a CLARITY és az ONWARD vizsgálatok betegeiből álló vegyes kohorsz post hoc elemzésében 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amelyben a 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 xml:space="preserve">szekunder </w:t>
      </w:r>
      <w:proofErr w:type="gramStart"/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>progresszív</w:t>
      </w:r>
      <w:proofErr w:type="gramEnd"/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 xml:space="preserve"> SM-et 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kiindulási ≥ 3,5 EDSS-pontszám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 xml:space="preserve"> alapján határozták meg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az 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éves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ített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 xml:space="preserve"> relapszus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a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>rá</w:t>
      </w:r>
      <w:r w:rsidR="00FD43F8">
        <w:rPr>
          <w:rFonts w:ascii="Times New Roman" w:hAnsi="Times New Roman"/>
          <w:sz w:val="22"/>
          <w:szCs w:val="22"/>
          <w:lang w:val="hu-HU" w:eastAsia="hu-HU"/>
        </w:rPr>
        <w:t>ny</w:t>
      </w:r>
      <w:r w:rsidR="00FD43F8" w:rsidRPr="003E2CC1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hasonló csökkenését figyelték meg, mint a 3 alatti EDSS-pontszám</w:t>
      </w:r>
      <w:r w:rsidR="00D920BC" w:rsidRPr="008238CE">
        <w:rPr>
          <w:rFonts w:ascii="Times New Roman" w:hAnsi="Times New Roman"/>
          <w:sz w:val="22"/>
          <w:szCs w:val="22"/>
          <w:lang w:val="hu-HU" w:eastAsia="hu-HU"/>
        </w:rPr>
        <w:t>mal rendelkező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betegeknél.</w:t>
      </w:r>
    </w:p>
    <w:p w14:paraId="3B035D7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B2517F1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Gyermekek és serdülők</w:t>
      </w:r>
    </w:p>
    <w:p w14:paraId="29142223" w14:textId="41066865" w:rsidR="00120ABE" w:rsidRPr="008238CE" w:rsidRDefault="00866CC1">
      <w:pPr>
        <w:rPr>
          <w:rFonts w:ascii="Times New Roman" w:hAnsi="Times New Roman"/>
          <w:sz w:val="22"/>
          <w:szCs w:val="22"/>
          <w:lang w:val="hu-HU"/>
        </w:rPr>
      </w:pPr>
      <w:r w:rsidRPr="008238CE">
        <w:rPr>
          <w:rFonts w:ascii="Times New Roman" w:hAnsi="Times New Roman"/>
          <w:sz w:val="22"/>
          <w:szCs w:val="22"/>
          <w:lang w:val="hu-HU"/>
        </w:rPr>
        <w:t xml:space="preserve">Az Európai Gyógyszerügynökség a gyermekek és serdülők esetén minden korosztálynál eltekint a klabridin-tartalmú referenciakészítmény vizsgálati eredményeinek benyújtási kötelezettségétől </w:t>
      </w:r>
      <w:r w:rsidR="00D920BC" w:rsidRPr="008238CE">
        <w:rPr>
          <w:rFonts w:ascii="Times New Roman" w:hAnsi="Times New Roman"/>
          <w:sz w:val="22"/>
          <w:szCs w:val="22"/>
          <w:lang w:val="hu-HU"/>
        </w:rPr>
        <w:t xml:space="preserve">sclerosis multiplexben </w:t>
      </w:r>
      <w:r w:rsidRPr="008238CE">
        <w:rPr>
          <w:rFonts w:ascii="Times New Roman" w:hAnsi="Times New Roman"/>
          <w:sz w:val="22"/>
          <w:szCs w:val="22"/>
          <w:lang w:val="hu-HU"/>
        </w:rPr>
        <w:t xml:space="preserve">(lásd 4.2 pont, gyermekgyógyászati alkalmazásra vonatkozó </w:t>
      </w:r>
      <w:proofErr w:type="gramStart"/>
      <w:r w:rsidRPr="008238CE">
        <w:rPr>
          <w:rFonts w:ascii="Times New Roman" w:hAnsi="Times New Roman"/>
          <w:sz w:val="22"/>
          <w:szCs w:val="22"/>
          <w:lang w:val="hu-HU"/>
        </w:rPr>
        <w:t>információk</w:t>
      </w:r>
      <w:proofErr w:type="gramEnd"/>
      <w:r w:rsidRPr="008238CE">
        <w:rPr>
          <w:rFonts w:ascii="Times New Roman" w:hAnsi="Times New Roman"/>
          <w:sz w:val="22"/>
          <w:szCs w:val="22"/>
          <w:lang w:val="hu-HU"/>
        </w:rPr>
        <w:t>).</w:t>
      </w:r>
    </w:p>
    <w:p w14:paraId="046E6B4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B16AFCE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Farmakokinetikai tulajdonságok</w:t>
      </w:r>
    </w:p>
    <w:p w14:paraId="506334F9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08F404B5" w14:textId="7B38D5F3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prodrug, amelynek intracellulárisan foszforilálódnia kell ahhoz, hogy biológiailag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aktívvá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váljon. A kladribin farmakokinetikáját szájon át és intravénásan történő alkalmazást követően SM-betegekn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rosszindulatú daganatos betegségben szenvedő betegekn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, valamint </w:t>
      </w: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rendszerekben vizsgálták.</w:t>
      </w:r>
    </w:p>
    <w:p w14:paraId="14655BD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0F80F08B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Felszívódás</w:t>
      </w:r>
    </w:p>
    <w:p w14:paraId="6068DF83" w14:textId="4E74B23A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Szájon át történő alkalmazás után a kladribin gyorsan felszívódik. 10 mg kladribin alkalmazását követően a kladribin átlagos C</w:t>
      </w:r>
      <w:r w:rsidRPr="00A05E74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-értéke 22-29 ng/ml, a megfelelő átlagos AUC-érték pedig 80-101 ng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×óra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/ml tartományban volt (különböző vizsgálatok számtani átlagai).</w:t>
      </w:r>
    </w:p>
    <w:p w14:paraId="32538D5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A6219E6" w14:textId="0892E293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Éhgyomri állapotban </w:t>
      </w:r>
      <w:r w:rsidR="009D44B6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alkalmazott kladribin esetén a medián 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A05E74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0,5 óra volt (tartomány: 0,5-1,5 óra). Magas zsírtartalmú étkezés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 xml:space="preserve"> közben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 xml:space="preserve">bevéve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felszívódása 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elhúzódott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(medián 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="009D44B6" w:rsidRPr="008238CE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1,5 óra; tartomány: 1-3 óra), a C</w:t>
      </w:r>
      <w:r w:rsidRPr="00A05E74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29%-kal csökkent (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 xml:space="preserve">mértani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átlag alapján), miközben az AUC változatlan maradt. A </w:t>
      </w:r>
      <w:r w:rsidR="009D44B6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10 mg-os kladribin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-dózis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biohasznosulása megközelítőleg 40% volt.</w:t>
      </w:r>
    </w:p>
    <w:p w14:paraId="3088577C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990FC19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Eloszlás</w:t>
      </w:r>
    </w:p>
    <w:p w14:paraId="69C2CB5F" w14:textId="4E45B299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Az eloszlási térfogat nagy, ami kiterjedt szöveti eloszlás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intracelluláris felvétel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t j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el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ez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 Vizsgálatokban a kladribin átlagos eloszlási térfogata 480-490 l tartományban volt. A kladribin plazmafehérje-kötődése 20%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-os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, és független a plazma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koncentrációtól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100DF7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989BDE8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biológiai membránokon keresztüli eloszlását különböző transzportfehérjék, köztük az ENT1, a CNT3 és a BCRP segítik.</w:t>
      </w:r>
    </w:p>
    <w:p w14:paraId="444759DA" w14:textId="77777777" w:rsidR="00120ABE" w:rsidRPr="008238CE" w:rsidRDefault="00120ABE">
      <w:pPr>
        <w:pStyle w:val="Szvegtrzs"/>
        <w:ind w:right="32"/>
        <w:rPr>
          <w:rFonts w:ascii="Times New Roman" w:hAnsi="Times New Roman"/>
          <w:i/>
          <w:sz w:val="22"/>
          <w:szCs w:val="22"/>
          <w:lang w:val="en-GB"/>
        </w:rPr>
      </w:pPr>
    </w:p>
    <w:p w14:paraId="004EE19B" w14:textId="43A8A7E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vizsgálatok szerint a kladribin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efflux csak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minimális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mértékben 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P-gp-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függ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>ő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A P-gp-gátlókkal kialakuló klinikailag jelentős kölcsönhatások nem várhatók. A P-gp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indukciójának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kladribin biohasznosulására gyakorolt lehetséges következményeit 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 xml:space="preserve">szakmai szabályoknak megfelelően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nem vizsgálták.</w:t>
      </w:r>
    </w:p>
    <w:p w14:paraId="6D31AFE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63529E7" w14:textId="383F23D6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vizsgálatokban a kladribin transzporter</w:t>
      </w:r>
      <w:r w:rsidR="009D44B6" w:rsidRPr="008238CE">
        <w:rPr>
          <w:rFonts w:ascii="Times New Roman" w:hAnsi="Times New Roman"/>
          <w:sz w:val="22"/>
          <w:szCs w:val="22"/>
          <w:lang w:val="hu-HU" w:eastAsia="hu-HU"/>
        </w:rPr>
        <w:t xml:space="preserve">mediált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felvétele humán hepatocytákba elhanyagolható volt.</w:t>
      </w:r>
    </w:p>
    <w:p w14:paraId="609538A4" w14:textId="77777777" w:rsidR="00120ABE" w:rsidRPr="008238CE" w:rsidRDefault="00120ABE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</w:p>
    <w:p w14:paraId="57AACE7B" w14:textId="77777777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képes átjutni a vér-agy gáton. Egy kis, daganatos betegekkel végzett vizsgálatban a cerebrospinalis folyadék/plazma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koncentráció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arány megközelítőleg 0,25 volt.</w:t>
      </w:r>
    </w:p>
    <w:p w14:paraId="4EC03BE5" w14:textId="77777777" w:rsidR="00120ABE" w:rsidRPr="008238CE" w:rsidRDefault="00120ABE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</w:p>
    <w:p w14:paraId="3FC699A8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és/vagy foszforilált metabolitjai jelentős mértékben felhalmozódnak és visszamaradnak a humán lymphocytákban. </w:t>
      </w: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már 1 órával a kladribin-expozíció után körülbelül 30-40-es intracelluláris/extracelluláris felhalmozódási arányt mértek.</w:t>
      </w:r>
    </w:p>
    <w:p w14:paraId="4101973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51353B3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Biotranszformáció</w:t>
      </w:r>
    </w:p>
    <w:p w14:paraId="7D4D1275" w14:textId="49F1301B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metabolizmusát SM-betegekn</w:t>
      </w:r>
      <w:r w:rsidR="009B6CF6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egy 10 mg-os tabletta és egy 3 mg-os intravénás </w:t>
      </w:r>
      <w:proofErr w:type="gramStart"/>
      <w:r w:rsidR="009B6CF6" w:rsidRPr="008238CE">
        <w:rPr>
          <w:rFonts w:ascii="Times New Roman" w:hAnsi="Times New Roman"/>
          <w:sz w:val="22"/>
          <w:szCs w:val="22"/>
          <w:lang w:val="hu-HU" w:eastAsia="hu-HU"/>
        </w:rPr>
        <w:t>dózis</w:t>
      </w:r>
      <w:proofErr w:type="gramEnd"/>
      <w:r w:rsidR="009B6CF6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alkalmazását követően vizsgálták. Mind szájon át, mind intravénásan történő alkalmazást követően az anyavegyület, a kladribin volt a plazmában és a vizeletben jelen lévő fő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komponens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. A 2-klóradenin metabolit mind a plazmában, mind a vizeletben csak kis mennyiségben volt jelen; például szájon át történő alkalmazást követően az anyavegyület plazmaexpozíciójának legfeljebb 3%-át tette ki. A plazmában és a vizeletben egyéb metabolitoknak csak nyomnyi mennyiségét mutatták ki.</w:t>
      </w:r>
    </w:p>
    <w:p w14:paraId="10C9FFC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06547AF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Máj eredetű </w:t>
      </w: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rendszerekben a kladribin metabolizmusa elhanyagolható volt (legalább 90%-a változatlan kladribin maradt).</w:t>
      </w:r>
    </w:p>
    <w:p w14:paraId="387BE3BC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3DC7100" w14:textId="600D1ED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nem releváns szubsztrátja a citokróm P450 enzimeknek, és nem mutat jelentős gátló potenciált a CYP1A2, CYP2B6, CYP2C8, CYP2C9, CYP2C19, CYP2D6, CYP2E1 és CYP3A4 enzimek </w:t>
      </w:r>
      <w:r w:rsidR="009B6CF6" w:rsidRPr="008238CE">
        <w:rPr>
          <w:rFonts w:ascii="Times New Roman" w:hAnsi="Times New Roman"/>
          <w:sz w:val="22"/>
          <w:szCs w:val="22"/>
          <w:lang w:val="hu-HU" w:eastAsia="hu-HU"/>
        </w:rPr>
        <w:t>tekintetében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Ezen enzimek gátlása vagy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genetikai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polimorfizmusai (pl. CYP2D6, CYP2C9 vagy CYP2C19) várhatóan nem gyakorolnak klinikailag jelentős hatást a kladribin farmakokinetikájára vagy expozíciójára. A kladribinnek nincs klinikailag jelentős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indukáló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hatása a CYP1A2, CYP2B6 és CYP3A4 enzimekre.</w:t>
      </w:r>
    </w:p>
    <w:p w14:paraId="3AE7CE57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9E3A211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célsejtekbe történő bejutást követően a kladribint a DCK (és a mitokondriumokban a dezoxiguanozin-kináz is) kladribin-monofoszfáttá (Cd-AMP) foszforilálja. A Cd-AMP tovább foszforilálódik kladribin-difoszfáttá (Cd-ADP), majd kladribin-trifoszfáttá (Cd-ATP). A Cd-AMP defoszforilációját és inaktiválását a citoplazmatikus 5'-NTáz katalizálja.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Krónikus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myelogen leukaemiában szenvedő betegekkel végzett, a Cd-AMP és Cd-ATP intracelluláris farmakokinetikáját vizsgáló tanulmányban a Cd-ATP szintje megközelítőleg a Cd-AMP szintjének fele volt.</w:t>
      </w:r>
    </w:p>
    <w:p w14:paraId="5CCD446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9C7437F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Cd-AMP intracelluláris felezési ideje 15 óra, a Cd-ATP intracelluláris felezési ideje 10 óra volt.</w:t>
      </w:r>
    </w:p>
    <w:p w14:paraId="7C752B8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361517A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Elimináció</w:t>
      </w:r>
    </w:p>
    <w:p w14:paraId="38AF740F" w14:textId="5988C530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Különböző vizsgálatok összesített populációs farmakokinetikai adatai alapján a renális clearance medián értéke 22,2 l/óra, a nem renális clearance medián értéke 23,4 l/óra volt. A renális clearance meghaladta a glomeruláris filtrációs rátát, ami a kladribin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renális tubularis szekréciójá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jelzi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3E043BA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370D466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nem renális eliminációja (megközelítőleg 50%) az elhanyagolható mértékű hepaticus metabolizmusból, valamint az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aktív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kladribin-komponens (Cd-ATP) kiterjedt intracelluláris eloszlásából és a célzott intracelluláris kompartmentben (azaz a lymphocytákban) történő visszatartásából, majd az intracelluláris Cd-ATP ezen sejtek életciklusának és eliminációs útvonalainak megfelelő eltávolításából áll.</w:t>
      </w:r>
    </w:p>
    <w:p w14:paraId="5A91346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F935996" w14:textId="65723765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populációs farmakokinetikai elemzés alapján egy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tipikus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beteg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nél 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becsült terminális felezési id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ő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megközelítőleg 1 nap. Ez azonban napi egyszeri adagolás mellett nem vezet 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gyógyszer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gramStart"/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akkumulációjához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, mivel ez a felezési idő az AUC-nak csak kis részé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ér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t 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felelős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2E09BFF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DCD4A93" w14:textId="2093F035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Dózis-</w:t>
      </w:r>
      <w:proofErr w:type="gramEnd"/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és időfüggé</w:t>
      </w:r>
      <w:r w:rsidR="002C3892"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s</w:t>
      </w:r>
    </w:p>
    <w:p w14:paraId="4ADA2E2B" w14:textId="5F57B018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3-20 mg-os dózistartományban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szájon át 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történő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alkalmazása után a C</w:t>
      </w:r>
      <w:r w:rsidRPr="00A05E74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az AUC a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dózissal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arányosan növekedett, ami arra utal, hogy 20 mg-os </w:t>
      </w:r>
      <w:r w:rsidR="002C3892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2C3892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dózisig a felszívódást nem korlátozzák sebesség- vagy kapacitásfüggő folyamatok.</w:t>
      </w:r>
    </w:p>
    <w:p w14:paraId="2F2A006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95E9F59" w14:textId="420B72F8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Ismételt adagolás után nem figyelték meg a kladribin plazma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koncentrációjának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jelentős 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akkumulációját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 Nincs arra utaló jel, hogy a kladribin farmakokinetikája ismételt alkalmazást követően időfüggő módon változna.</w:t>
      </w:r>
    </w:p>
    <w:p w14:paraId="3E14060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21391025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Különleges betegcsoportok</w:t>
      </w:r>
    </w:p>
    <w:p w14:paraId="4D34B872" w14:textId="42761835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Nem végeztek vizsgálatokat a kladribin farmakokinetikájának értékelésére idős vagy gyermek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serdülő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SM-betegeknél, illetve vesekárosodásban vagy májkárosodásban szenvedő személyeknél.</w:t>
      </w:r>
    </w:p>
    <w:p w14:paraId="7A94DAC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B9B1888" w14:textId="19F473E8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Egy populációs farmakokinetikai elemzés nem mutatt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ki életkor (18-65 év) vagy 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nem hatás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á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t a kladribin farmakokinetikájára.</w:t>
      </w:r>
    </w:p>
    <w:p w14:paraId="4808F172" w14:textId="77777777" w:rsidR="00120ABE" w:rsidRPr="008238CE" w:rsidRDefault="00120ABE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</w:p>
    <w:p w14:paraId="1A238CAA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Vesekárosodás</w:t>
      </w:r>
    </w:p>
    <w:p w14:paraId="5E28AEF6" w14:textId="5B9F489D" w:rsidR="00120ABE" w:rsidRPr="008238CE" w:rsidRDefault="00500B84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Kimutatták, hogy a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kladribin renális clearance-e a kreatinin-clearance-től függ. Normál vesefunkciójú és enyhe vesekárosodásban szenvedő betegeket is magában foglaló populációs farmakokinetikai elemzés alapján enyhe vesekárosodásban (CL</w:t>
      </w:r>
      <w:r w:rsidR="00866CC1" w:rsidRPr="00A05E74">
        <w:rPr>
          <w:rFonts w:ascii="Times New Roman" w:hAnsi="Times New Roman"/>
          <w:sz w:val="22"/>
          <w:szCs w:val="22"/>
          <w:vertAlign w:val="subscript"/>
          <w:lang w:val="hu-HU" w:eastAsia="hu-HU"/>
        </w:rPr>
        <w:t>CR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= 60 ml/perc) a teljes clearance várhatóan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közepes mértékben 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csökken, ami az </w:t>
      </w:r>
      <w:proofErr w:type="gramStart"/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expozíció</w:t>
      </w:r>
      <w:proofErr w:type="gramEnd"/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25%-os növekedéséhez vezet.</w:t>
      </w:r>
    </w:p>
    <w:p w14:paraId="59CD0D46" w14:textId="77777777" w:rsidR="00120ABE" w:rsidRPr="008238CE" w:rsidRDefault="00120ABE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</w:p>
    <w:p w14:paraId="2A832493" w14:textId="77777777" w:rsidR="00120ABE" w:rsidRPr="008238CE" w:rsidRDefault="00866CC1">
      <w:pPr>
        <w:ind w:right="32"/>
        <w:rPr>
          <w:rFonts w:ascii="Times New Roman" w:hAnsi="Times New Roman"/>
          <w:i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Májkárosodás</w:t>
      </w:r>
    </w:p>
    <w:p w14:paraId="32C45C6C" w14:textId="08B198EA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májfunkció szerepe 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 xml:space="preserve">elhanyagolhatónak tekinthető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eliminációjában.</w:t>
      </w:r>
    </w:p>
    <w:p w14:paraId="321A5BE6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38445707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Farmakokinetikai </w:t>
      </w:r>
      <w:proofErr w:type="gramStart"/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interakciók</w:t>
      </w:r>
      <w:proofErr w:type="gramEnd"/>
    </w:p>
    <w:p w14:paraId="0AA818D8" w14:textId="46FEF35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SM-betegekkel végzett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interakciós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vizsgálatban a 10 mg-os </w:t>
      </w:r>
      <w:r w:rsidR="00500B84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kladribin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-dózis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biohasznosulása 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 xml:space="preserve">nem változott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pantoprazollal történő egyidejű alkalmazás 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esetén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DCDDC39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D867B09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preklinikai biztonságossági vizsgálatok eredményei</w:t>
      </w:r>
    </w:p>
    <w:p w14:paraId="7B2AB35A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302F6E8B" w14:textId="62B5B59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biztonságosságának értékelése szempontjából releváns állatmodellekben végzett nem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klinikai biztonságossági farmakológiai és toxikológiai értékelések a kladribin farmakológiai hatásmechanizmusa alapján várható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kon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kívül nem tártak fel jelentős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leletet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>. Egerekn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és majmokn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ál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legfeljebb 1 éves időtartamú, parenteralis (intravénás vagy subcutan) alkalmazással végzett ismételt 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 xml:space="preserve">adagolású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dózistoxi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citási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vizsgálatokban az elsődleges célszervek a lymphoid és a hematopoeticus rendszer voltak. Majmokn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ál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kladribin hosszabb ideig tartó (14 ciklusos) subcutan alkalmazását követően további célszervek voltak a vesék (a renalis tubularis epithelium karyomegaliája), a mellékvesék (cortexatrophia és csökkent vacuolisatio), a gastrointestinalis traktus (nyálkahártya-atrophia) és a herék. Vesére gyakorolt hatásokat egerekn</w:t>
      </w:r>
      <w:r w:rsidR="00500B8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is megfigyeltek.</w:t>
      </w:r>
    </w:p>
    <w:p w14:paraId="26B0A53C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1BFC75C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Mutagenitás</w:t>
      </w:r>
    </w:p>
    <w:p w14:paraId="3A7963B7" w14:textId="2C375504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beépül a DNS-szálakba, és gátolja a DNS-szintézist és -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javítást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A kladribin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baktériumokban vagy emlőssejtekben nem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indukált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génmutációt, ugyanakkor klasztogén volt, és </w:t>
      </w: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emlőssejtekben a várható klinikai C</w:t>
      </w:r>
      <w:r w:rsidRPr="00A05E74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17-szeresének megfelelő koncentráció mellett kromoszómakárosodást okozott.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A05E74">
        <w:rPr>
          <w:rFonts w:ascii="Times New Roman" w:hAnsi="Times New Roman"/>
          <w:i/>
          <w:sz w:val="22"/>
          <w:szCs w:val="22"/>
          <w:lang w:val="hu-HU" w:eastAsia="hu-HU"/>
        </w:rPr>
        <w:t>in vivo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klasztogenitást 10 mg/ttkg-os </w:t>
      </w:r>
      <w:proofErr w:type="gramStart"/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dózis</w:t>
      </w:r>
      <w:proofErr w:type="gramEnd"/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mellett mutattak ki, amely a leg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kise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bb vizsgált dózis volt.</w:t>
      </w:r>
    </w:p>
    <w:p w14:paraId="5DF32B56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4D26380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Karcinogenitás</w:t>
      </w:r>
    </w:p>
    <w:p w14:paraId="7EE04D89" w14:textId="410B0EDF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 karcinogén potenciálját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egy hosszú távú, 22 hónapos, subcutan alkalmazással végzett vizsgálatban, valamint transzg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n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egy rövid távú, 26 hetes, </w:t>
      </w:r>
      <w:r w:rsidR="00AB4E74" w:rsidRPr="00A05E74">
        <w:rPr>
          <w:rFonts w:ascii="Times New Roman" w:hAnsi="Times New Roman"/>
          <w:i/>
          <w:sz w:val="22"/>
          <w:szCs w:val="22"/>
          <w:lang w:val="hu-HU" w:eastAsia="hu-HU"/>
        </w:rPr>
        <w:t>per os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alkalmazással végzett vizsgálatban értékelték.</w:t>
      </w:r>
    </w:p>
    <w:p w14:paraId="7E0B7415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8713873" w14:textId="1FDEC73C" w:rsidR="00120ABE" w:rsidRPr="008238CE" w:rsidRDefault="00866CC1">
      <w:pPr>
        <w:pStyle w:val="Szvegtrzs"/>
        <w:ind w:left="567" w:right="32" w:hanging="567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•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Az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végzett hosszú távú karcinogenitási vizsgálatban a legnagyobb alkalmazott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dózis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10 mg/ttkg volt, amely az egér micronucleus-vizsgálatban genotoxikusnak bizonyult (ez megközelítőleg a 20 mg-os maximális napi kladribin-dózist kapó betegek várható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AUC-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 xml:space="preserve">ben megadott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expozíciójának 16-szorosának felel meg).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nem figyelték meg lymphoproliferativ betegségek vagy egyéb daganattípusok 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nagyobb incidenciáját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(a Harder-mirigy daganatait, főként adenomákat kivéve). A Harder-mirigy daganatai nem tekinthetők klinikailag relevánsnak, mivel emberben nincs 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 xml:space="preserve">hasonló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anatómiai képlet.</w:t>
      </w:r>
    </w:p>
    <w:p w14:paraId="4A8F6021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967AF59" w14:textId="77C97651" w:rsidR="00120ABE" w:rsidRPr="008238CE" w:rsidRDefault="00866CC1">
      <w:pPr>
        <w:pStyle w:val="Szvegtrzs"/>
        <w:ind w:left="567" w:right="32" w:hanging="567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•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ab/>
        <w:t>A Tg rasH2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végzett rövid távú karcinogenitási vizsgálatban egyetlen vizsgált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dózis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mellett sem figyeltek meg a kladribin 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 xml:space="preserve">okozta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növekedést a lymphoproliferativ betegségek vagy egyéb daganattípusok 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incidenciájában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, napi legfeljebb 30 mg/ttkg-ig (ez megközelítőleg a 20 mg-os maximális napi kladribin-dózist kapó betegek várható AUC-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 xml:space="preserve">ben megadott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expozíciójának 25-szörösének felel meg).</w:t>
      </w:r>
    </w:p>
    <w:p w14:paraId="19BECF9D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82F6B43" w14:textId="06CCE994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kladribint egy 1 éves, majmokn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ál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subcutan alkalmazással végzett vizsgálatban is értékelték. Ebben a vizsgálatban nem figyeltek meg lymphoproliferativ betegségek gyakoribb előfordulását és daganatokat sem.</w:t>
      </w:r>
    </w:p>
    <w:p w14:paraId="5E32D02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E67D702" w14:textId="4E3035AE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Bár a kladribin genotoxikus potenciállal rendelkezhet, az egerek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ől és majmok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ól származó hosszú távú adatok nem szolgáltattak bizonyítékot arra, hogy embern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klinikailag releváns mértékben fokoz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ott lenne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a karcinogenitás kockázat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50B0511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</w:p>
    <w:p w14:paraId="17232E94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u w:val="single"/>
          <w:lang w:val="en-GB"/>
        </w:rPr>
      </w:pPr>
      <w:r w:rsidRPr="008238CE">
        <w:rPr>
          <w:rFonts w:ascii="Times New Roman" w:hAnsi="Times New Roman"/>
          <w:sz w:val="22"/>
          <w:szCs w:val="22"/>
          <w:u w:val="single"/>
          <w:lang w:val="hu-HU" w:eastAsia="hu-HU"/>
        </w:rPr>
        <w:t>Reproduktív toxicitás</w:t>
      </w:r>
    </w:p>
    <w:p w14:paraId="3BBEB417" w14:textId="7C9B1419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Bár a nőstények termékenységére, reproduktív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funkciójára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vagy az utódok általános teljesítményére nem volt hatás, a kladribin vemhes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történő alkalmazáskor embryoletalisnak bizonyult, és egerekn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él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(akkor is, ha csak a hímeket kezelték), valamint nyulakn</w:t>
      </w:r>
      <w:r w:rsidR="00AB4E74" w:rsidRPr="008238CE">
        <w:rPr>
          <w:rFonts w:ascii="Times New Roman" w:hAnsi="Times New Roman"/>
          <w:sz w:val="22"/>
          <w:szCs w:val="22"/>
          <w:lang w:val="hu-HU" w:eastAsia="hu-HU"/>
        </w:rPr>
        <w:t>ál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teratogén volt. A megfigyelt embryoletalis és teratogén hatások összhangban állnak a kladribin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farmakológiai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hatásmechanizmusával. Hím egerek termékenységi vizsgálatában a humerustól és/vagy femurtól distalis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végtagrész(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ek) agenesise miatt malformált magzatokat figyeltek meg. Az érintett egérmagzatok előfordulási gyakorisága ebben a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vizsgálatban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2E3CBC" w:rsidRPr="00A05E74">
        <w:rPr>
          <w:rFonts w:ascii="Times New Roman" w:hAnsi="Times New Roman"/>
          <w:sz w:val="22"/>
          <w:szCs w:val="22"/>
        </w:rPr>
        <w:t>ugyanabban a tartományban mozgott, mint az amelia és phocomelia ezen egértörzsben jellemző spontán előfordulási gyakoriság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. A kladribin genotoxicitását figyelembe véve azonban a differenciálódó </w:t>
      </w:r>
      <w:r w:rsidR="002E3CBC" w:rsidRPr="008238CE">
        <w:rPr>
          <w:rFonts w:ascii="Times New Roman" w:hAnsi="Times New Roman"/>
          <w:sz w:val="22"/>
          <w:szCs w:val="22"/>
          <w:lang w:val="hu-HU" w:eastAsia="hu-HU"/>
        </w:rPr>
        <w:t xml:space="preserve">ondósejtek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lehetséges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genetikai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megváltozásával összefüggő, hím</w:t>
      </w:r>
      <w:r w:rsidR="002E3CBC" w:rsidRPr="008238CE">
        <w:rPr>
          <w:rFonts w:ascii="Times New Roman" w:hAnsi="Times New Roman"/>
          <w:sz w:val="22"/>
          <w:szCs w:val="22"/>
          <w:lang w:val="hu-HU" w:eastAsia="hu-HU"/>
        </w:rPr>
        <w:t>ek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által közvetített hatások nem zárhatók ki.</w:t>
      </w:r>
    </w:p>
    <w:p w14:paraId="1E0FA568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59495275" w14:textId="28F47CF6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A kladribin nem befolyásolta a hím egerek termékenységét, de a megfigyelt testicularis hatások közé tartozott a herék tömegének csökkenése és a </w:t>
      </w:r>
      <w:r w:rsidR="002E3CBC" w:rsidRPr="008238CE">
        <w:rPr>
          <w:rFonts w:ascii="Times New Roman" w:hAnsi="Times New Roman"/>
          <w:sz w:val="22"/>
          <w:szCs w:val="22"/>
          <w:lang w:val="hu-HU" w:eastAsia="hu-HU"/>
        </w:rPr>
        <w:t>mozgásképtelen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spermiumok számának növekedése. Majmokn</w:t>
      </w:r>
      <w:r w:rsidR="002E3CBC" w:rsidRPr="008238CE">
        <w:rPr>
          <w:rFonts w:ascii="Times New Roman" w:hAnsi="Times New Roman"/>
          <w:sz w:val="22"/>
          <w:szCs w:val="22"/>
          <w:lang w:val="hu-HU" w:eastAsia="hu-HU"/>
        </w:rPr>
        <w:t>ál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here-degenerációt és a gyors </w:t>
      </w: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progresszív</w:t>
      </w:r>
      <w:proofErr w:type="gramEnd"/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 motilitású spermatozoák számának reverzibilis csökkenését is észlelték. Szövettanilag </w:t>
      </w:r>
      <w:r w:rsidR="002E3CBC" w:rsidRPr="008238CE">
        <w:rPr>
          <w:rFonts w:ascii="Times New Roman" w:hAnsi="Times New Roman"/>
          <w:sz w:val="22"/>
          <w:szCs w:val="22"/>
          <w:lang w:val="hu-HU" w:eastAsia="hu-HU"/>
        </w:rPr>
        <w:t xml:space="preserve">igazolt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here-degenerációt csak egy hím majomnál figyeltek meg egy 1 éves, subcutan toxicitási vizsgálatban.</w:t>
      </w:r>
    </w:p>
    <w:p w14:paraId="6CED3DE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46B9F6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FCE2063" w14:textId="77777777" w:rsidR="00120ABE" w:rsidRPr="008238CE" w:rsidRDefault="00866CC1">
      <w:pPr>
        <w:pStyle w:val="Cmsor1"/>
        <w:numPr>
          <w:ilvl w:val="0"/>
          <w:numId w:val="1"/>
        </w:numPr>
        <w:tabs>
          <w:tab w:val="left" w:pos="784"/>
        </w:tabs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GYÓGYSZERÉSZETI JELLEMZŐK</w:t>
      </w:r>
    </w:p>
    <w:p w14:paraId="71BD28C3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00D1C6E4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Segédanyagok felsorolása</w:t>
      </w:r>
    </w:p>
    <w:p w14:paraId="0AC7CAA9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2DB660DB" w14:textId="466ABC3D" w:rsidR="00120ABE" w:rsidRPr="008238CE" w:rsidRDefault="00C349C6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h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idroxipropilbetadex</w:t>
      </w:r>
    </w:p>
    <w:p w14:paraId="48AE7E06" w14:textId="07C445F5" w:rsidR="00120ABE" w:rsidRPr="008238CE" w:rsidRDefault="00C349C6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proofErr w:type="gramStart"/>
      <w:r w:rsidRPr="008238CE">
        <w:rPr>
          <w:rFonts w:ascii="Times New Roman" w:hAnsi="Times New Roman"/>
          <w:sz w:val="22"/>
          <w:szCs w:val="22"/>
          <w:lang w:val="hu-HU" w:eastAsia="hu-HU"/>
        </w:rPr>
        <w:t>s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zorbit</w:t>
      </w:r>
      <w:proofErr w:type="gramEnd"/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 xml:space="preserve"> (E420)</w:t>
      </w:r>
    </w:p>
    <w:p w14:paraId="692580CF" w14:textId="0FBC7AA9" w:rsidR="00120ABE" w:rsidRPr="008238CE" w:rsidRDefault="00C349C6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lastRenderedPageBreak/>
        <w:t>m</w:t>
      </w:r>
      <w:r w:rsidR="00866CC1" w:rsidRPr="008238CE">
        <w:rPr>
          <w:rFonts w:ascii="Times New Roman" w:hAnsi="Times New Roman"/>
          <w:sz w:val="22"/>
          <w:szCs w:val="22"/>
          <w:lang w:val="hu-HU" w:eastAsia="hu-HU"/>
        </w:rPr>
        <w:t>agnézium-sztearát (E470b)</w:t>
      </w:r>
    </w:p>
    <w:p w14:paraId="5ECB7870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ED84877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Inkompatibilitások</w:t>
      </w:r>
    </w:p>
    <w:p w14:paraId="0A60C6AA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3DB21B89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Nem értelmezhető.</w:t>
      </w:r>
    </w:p>
    <w:p w14:paraId="74D71DF3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BA4E28B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Felhasználhatósági időtartam</w:t>
      </w:r>
    </w:p>
    <w:p w14:paraId="7F93E4A8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67B7EC1A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3 év.</w:t>
      </w:r>
    </w:p>
    <w:p w14:paraId="15E99104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C6D0BB0" w14:textId="77777777" w:rsidR="00120ABE" w:rsidRPr="008238CE" w:rsidRDefault="00866CC1">
      <w:pPr>
        <w:pStyle w:val="Cmsor2"/>
        <w:numPr>
          <w:ilvl w:val="1"/>
          <w:numId w:val="1"/>
        </w:numPr>
        <w:tabs>
          <w:tab w:val="left" w:pos="784"/>
        </w:tabs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Különleges tárolási előírások</w:t>
      </w:r>
    </w:p>
    <w:p w14:paraId="3E66327C" w14:textId="77777777" w:rsidR="00120ABE" w:rsidRPr="008238CE" w:rsidRDefault="00120ABE">
      <w:pPr>
        <w:pStyle w:val="Cmsor2"/>
        <w:tabs>
          <w:tab w:val="left" w:pos="784"/>
        </w:tabs>
        <w:ind w:left="0" w:right="32"/>
        <w:rPr>
          <w:rFonts w:ascii="Times New Roman" w:hAnsi="Times New Roman"/>
          <w:sz w:val="22"/>
          <w:szCs w:val="22"/>
          <w:lang w:val="en-GB"/>
        </w:rPr>
      </w:pPr>
    </w:p>
    <w:p w14:paraId="71AB86D3" w14:textId="77777777" w:rsidR="00120ABE" w:rsidRPr="008238CE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Ez a gyógyszer nem igényel különleges tárolást.</w:t>
      </w:r>
    </w:p>
    <w:p w14:paraId="5C604D4E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5827E87" w14:textId="77777777" w:rsidR="00120ABE" w:rsidRPr="008238CE" w:rsidRDefault="00866CC1">
      <w:pPr>
        <w:pStyle w:val="Cmsor2"/>
        <w:keepNext/>
        <w:keepLines/>
        <w:numPr>
          <w:ilvl w:val="1"/>
          <w:numId w:val="1"/>
        </w:numPr>
        <w:ind w:left="567"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Csomagolás típusa és kiszerelése</w:t>
      </w:r>
    </w:p>
    <w:p w14:paraId="2A3CEF0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</w:rPr>
      </w:pPr>
    </w:p>
    <w:p w14:paraId="557F214C" w14:textId="3770CC4C" w:rsidR="00A05E74" w:rsidRPr="001D3016" w:rsidRDefault="00A05E74" w:rsidP="00A05E74">
      <w:pPr>
        <w:rPr>
          <w:rFonts w:ascii="Times New Roman" w:hAnsi="Times New Roman"/>
          <w:sz w:val="22"/>
          <w:szCs w:val="22"/>
        </w:rPr>
      </w:pPr>
      <w:r w:rsidRPr="001D3016">
        <w:rPr>
          <w:rFonts w:ascii="Times New Roman" w:hAnsi="Times New Roman"/>
          <w:sz w:val="22"/>
          <w:szCs w:val="22"/>
        </w:rPr>
        <w:t>A Cladribine Sandoz 1, 4, 5, 6, 7, 8, 10, 12 vagy 14 db tablettát tartalmaz</w:t>
      </w:r>
      <w:r w:rsidR="001D3016" w:rsidRPr="001D3016">
        <w:rPr>
          <w:rFonts w:ascii="Times New Roman" w:hAnsi="Times New Roman"/>
          <w:sz w:val="22"/>
          <w:szCs w:val="22"/>
        </w:rPr>
        <w:t xml:space="preserve"> dobozonként,</w:t>
      </w:r>
      <w:r w:rsidRPr="001D3016">
        <w:rPr>
          <w:rFonts w:ascii="Times New Roman" w:hAnsi="Times New Roman"/>
          <w:sz w:val="22"/>
          <w:szCs w:val="22"/>
        </w:rPr>
        <w:t xml:space="preserve"> OPA/Al/PVC//Al buborékcsomagolásban</w:t>
      </w:r>
      <w:r w:rsidR="001D3016" w:rsidRPr="001D3016">
        <w:rPr>
          <w:rFonts w:ascii="Times New Roman" w:hAnsi="Times New Roman"/>
          <w:sz w:val="22"/>
          <w:szCs w:val="22"/>
        </w:rPr>
        <w:t>.</w:t>
      </w:r>
      <w:r w:rsidRPr="001D3016">
        <w:rPr>
          <w:rFonts w:ascii="Times New Roman" w:hAnsi="Times New Roman"/>
          <w:sz w:val="22"/>
          <w:szCs w:val="22"/>
        </w:rPr>
        <w:t xml:space="preserve"> </w:t>
      </w:r>
      <w:r w:rsidR="001D3016" w:rsidRPr="00515A60">
        <w:rPr>
          <w:rFonts w:ascii="Times New Roman" w:hAnsi="Times New Roman"/>
          <w:sz w:val="22"/>
          <w:szCs w:val="22"/>
          <w:lang w:bidi="hu-HU"/>
        </w:rPr>
        <w:t>Buborékcsomagolások gyermekbiztos dobozban rögzített</w:t>
      </w:r>
      <w:r w:rsidR="001D3016">
        <w:rPr>
          <w:rFonts w:ascii="Times New Roman" w:hAnsi="Times New Roman"/>
          <w:sz w:val="22"/>
          <w:szCs w:val="22"/>
          <w:lang w:bidi="hu-HU"/>
        </w:rPr>
        <w:t xml:space="preserve">, </w:t>
      </w:r>
      <w:r w:rsidR="001D3016" w:rsidRPr="00515A60">
        <w:rPr>
          <w:rFonts w:ascii="Times New Roman" w:hAnsi="Times New Roman"/>
          <w:sz w:val="22"/>
          <w:szCs w:val="22"/>
          <w:lang w:bidi="hu-HU"/>
        </w:rPr>
        <w:t>átlátszó tálcában</w:t>
      </w:r>
      <w:r w:rsidRPr="001D3016">
        <w:rPr>
          <w:rFonts w:ascii="Times New Roman" w:hAnsi="Times New Roman"/>
          <w:sz w:val="22"/>
          <w:szCs w:val="22"/>
        </w:rPr>
        <w:t>.</w:t>
      </w:r>
    </w:p>
    <w:p w14:paraId="092D556D" w14:textId="77777777" w:rsidR="00A05E74" w:rsidRPr="001D3016" w:rsidRDefault="00A05E74" w:rsidP="00A05E74">
      <w:pPr>
        <w:rPr>
          <w:rFonts w:ascii="Times New Roman" w:hAnsi="Times New Roman"/>
          <w:sz w:val="22"/>
          <w:szCs w:val="22"/>
        </w:rPr>
      </w:pPr>
    </w:p>
    <w:p w14:paraId="2B32F0E5" w14:textId="15ADDCAC" w:rsidR="00A05E74" w:rsidRPr="00A05E74" w:rsidRDefault="00A05E74" w:rsidP="00A05E74">
      <w:pPr>
        <w:rPr>
          <w:rFonts w:ascii="Times New Roman" w:hAnsi="Times New Roman"/>
          <w:sz w:val="22"/>
          <w:szCs w:val="22"/>
        </w:rPr>
      </w:pPr>
      <w:r w:rsidRPr="00A05E74">
        <w:rPr>
          <w:rFonts w:ascii="Times New Roman" w:hAnsi="Times New Roman"/>
          <w:sz w:val="22"/>
          <w:szCs w:val="22"/>
        </w:rPr>
        <w:t xml:space="preserve">A </w:t>
      </w:r>
      <w:r w:rsidR="001D3016">
        <w:rPr>
          <w:rFonts w:ascii="Times New Roman" w:hAnsi="Times New Roman"/>
          <w:sz w:val="22"/>
          <w:szCs w:val="22"/>
        </w:rPr>
        <w:t>doboz</w:t>
      </w:r>
      <w:r w:rsidR="001D3016" w:rsidRPr="00A05E74">
        <w:rPr>
          <w:rFonts w:ascii="Times New Roman" w:hAnsi="Times New Roman"/>
          <w:sz w:val="22"/>
          <w:szCs w:val="22"/>
        </w:rPr>
        <w:t xml:space="preserve"> </w:t>
      </w:r>
      <w:r w:rsidRPr="00A05E74">
        <w:rPr>
          <w:rFonts w:ascii="Times New Roman" w:hAnsi="Times New Roman"/>
          <w:sz w:val="22"/>
          <w:szCs w:val="22"/>
        </w:rPr>
        <w:t>4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1, 5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1, 6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1, 7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1, 8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1, 10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1, 12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 vagy 14</w:t>
      </w:r>
      <w:r w:rsidRPr="00A05E74">
        <w:rPr>
          <w:rFonts w:ascii="Times New Roman" w:hAnsi="Times New Roman"/>
          <w:position w:val="2"/>
          <w:sz w:val="22"/>
          <w:szCs w:val="22"/>
        </w:rPr>
        <w:t>×</w:t>
      </w:r>
      <w:r w:rsidRPr="00A05E74">
        <w:rPr>
          <w:rFonts w:ascii="Times New Roman" w:hAnsi="Times New Roman"/>
          <w:sz w:val="22"/>
          <w:szCs w:val="22"/>
        </w:rPr>
        <w:t>1 db tablettát tartalmaz OPA/Al/PVC//Al, adagonként perforált buborékcsomagolásban</w:t>
      </w:r>
      <w:r w:rsidR="001D3016">
        <w:rPr>
          <w:rFonts w:ascii="Times New Roman" w:hAnsi="Times New Roman"/>
          <w:sz w:val="22"/>
          <w:szCs w:val="22"/>
        </w:rPr>
        <w:t>.</w:t>
      </w:r>
      <w:r w:rsidRPr="00A05E74">
        <w:rPr>
          <w:rFonts w:ascii="Times New Roman" w:hAnsi="Times New Roman"/>
          <w:sz w:val="22"/>
          <w:szCs w:val="22"/>
        </w:rPr>
        <w:t xml:space="preserve"> </w:t>
      </w:r>
      <w:r w:rsidR="001D3016" w:rsidRPr="00DD23FE">
        <w:rPr>
          <w:rFonts w:ascii="Times New Roman" w:hAnsi="Times New Roman"/>
          <w:sz w:val="22"/>
          <w:szCs w:val="22"/>
          <w:lang w:bidi="hu-HU"/>
        </w:rPr>
        <w:t>Buborékcsomagolások gyermekbiztos dobozban rögzített</w:t>
      </w:r>
      <w:r w:rsidR="001D3016">
        <w:rPr>
          <w:rFonts w:ascii="Times New Roman" w:hAnsi="Times New Roman"/>
          <w:sz w:val="22"/>
          <w:szCs w:val="22"/>
          <w:lang w:bidi="hu-HU"/>
        </w:rPr>
        <w:t xml:space="preserve">, </w:t>
      </w:r>
      <w:r w:rsidR="001D3016" w:rsidRPr="00DD23FE">
        <w:rPr>
          <w:rFonts w:ascii="Times New Roman" w:hAnsi="Times New Roman"/>
          <w:sz w:val="22"/>
          <w:szCs w:val="22"/>
          <w:lang w:bidi="hu-HU"/>
        </w:rPr>
        <w:t>átlátszó tálcában</w:t>
      </w:r>
      <w:r w:rsidRPr="00A05E74">
        <w:rPr>
          <w:rFonts w:ascii="Times New Roman" w:hAnsi="Times New Roman"/>
          <w:sz w:val="22"/>
          <w:szCs w:val="22"/>
        </w:rPr>
        <w:t>.</w:t>
      </w:r>
    </w:p>
    <w:p w14:paraId="05D086E9" w14:textId="77777777" w:rsidR="00120ABE" w:rsidRPr="00A05E74" w:rsidRDefault="00120ABE">
      <w:pPr>
        <w:pStyle w:val="Szvegtrzs"/>
        <w:ind w:right="32"/>
        <w:rPr>
          <w:rFonts w:ascii="Times New Roman" w:hAnsi="Times New Roman"/>
          <w:i/>
          <w:sz w:val="22"/>
          <w:szCs w:val="22"/>
          <w:highlight w:val="lightGray"/>
          <w:lang w:val="en-GB"/>
        </w:rPr>
      </w:pPr>
    </w:p>
    <w:p w14:paraId="2BD458B6" w14:textId="77777777" w:rsidR="00120ABE" w:rsidRPr="00A05E74" w:rsidRDefault="00866CC1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A05E74">
        <w:rPr>
          <w:rFonts w:ascii="Times New Roman" w:hAnsi="Times New Roman"/>
          <w:sz w:val="22"/>
          <w:szCs w:val="22"/>
          <w:lang w:val="hu-HU" w:eastAsia="hu-HU"/>
        </w:rPr>
        <w:t>Nem feltétlenül mindegyik kiszerelés kerül kereskedelmi forgalomba.</w:t>
      </w:r>
    </w:p>
    <w:p w14:paraId="0C5BFD36" w14:textId="77777777" w:rsidR="00120ABE" w:rsidRPr="00A05E74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00DB1D8" w14:textId="77777777" w:rsidR="00120ABE" w:rsidRPr="008238CE" w:rsidRDefault="00866CC1">
      <w:pPr>
        <w:pStyle w:val="Cmsor2"/>
        <w:keepNext/>
        <w:keepLines/>
        <w:numPr>
          <w:ilvl w:val="1"/>
          <w:numId w:val="1"/>
        </w:numPr>
        <w:ind w:left="567"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megsemmisítésre vonatkozó különleges óvintézkedések</w:t>
      </w:r>
      <w:r w:rsidR="008075D5" w:rsidRPr="008238C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075D5" w:rsidRPr="00A05E74">
        <w:rPr>
          <w:rFonts w:ascii="Times New Roman" w:eastAsia="Times New Roman" w:hAnsi="Times New Roman"/>
          <w:noProof/>
          <w:sz w:val="22"/>
          <w:szCs w:val="22"/>
          <w:lang w:val="hu-HU"/>
        </w:rPr>
        <w:t>és egyéb, a készítmény kezelésével kapcsolatos információk</w:t>
      </w:r>
    </w:p>
    <w:p w14:paraId="686C9245" w14:textId="77777777" w:rsidR="00120ABE" w:rsidRPr="008238CE" w:rsidRDefault="00120ABE">
      <w:pPr>
        <w:pStyle w:val="Szvegtrzs"/>
        <w:keepNext/>
        <w:keepLines/>
        <w:ind w:right="34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28344300" w14:textId="3A91C58F" w:rsidR="00120ABE" w:rsidRPr="008238CE" w:rsidRDefault="00866CC1">
      <w:pPr>
        <w:pStyle w:val="Szvegtrzs"/>
        <w:keepNext/>
        <w:keepLines/>
        <w:ind w:right="34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 xml:space="preserve">Bármilyen fel nem használt gyógyszer, illetve hulladékanyag megsemmisítését a </w:t>
      </w:r>
      <w:r w:rsidR="008075D5" w:rsidRPr="00A05E74">
        <w:rPr>
          <w:rFonts w:ascii="Times New Roman" w:eastAsia="Times New Roman" w:hAnsi="Times New Roman"/>
          <w:noProof/>
          <w:sz w:val="22"/>
          <w:szCs w:val="22"/>
          <w:lang w:val="hu-HU"/>
        </w:rPr>
        <w:t>gyógyszerekre vonatkozó</w:t>
      </w:r>
      <w:r w:rsidR="008075D5" w:rsidRPr="008238CE" w:rsidDel="008075D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8238CE">
        <w:rPr>
          <w:rFonts w:ascii="Times New Roman" w:hAnsi="Times New Roman"/>
          <w:sz w:val="22"/>
          <w:szCs w:val="22"/>
          <w:lang w:val="hu-HU" w:eastAsia="hu-HU"/>
        </w:rPr>
        <w:t>előírások szerint kell végrehajtani.</w:t>
      </w:r>
    </w:p>
    <w:p w14:paraId="77FB19FC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720C138" w14:textId="77777777" w:rsidR="00120ABE" w:rsidRPr="008238CE" w:rsidRDefault="008075D5" w:rsidP="00A05E74">
      <w:pPr>
        <w:tabs>
          <w:tab w:val="left" w:pos="567"/>
        </w:tabs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en-GB"/>
        </w:rPr>
        <w:t xml:space="preserve">Megjegyzés: </w:t>
      </w:r>
      <w:r w:rsidRPr="00A05E74">
        <w:rPr>
          <w:rFonts w:ascii="Times New Roman" w:hAnsi="Times New Roman"/>
          <w:b/>
          <w:sz w:val="22"/>
          <w:szCs w:val="22"/>
        </w:rPr>
        <w:sym w:font="Wingdings" w:char="F058"/>
      </w:r>
      <w:r w:rsidRPr="00A05E74">
        <w:rPr>
          <w:rFonts w:ascii="Times New Roman" w:hAnsi="Times New Roman"/>
          <w:sz w:val="22"/>
          <w:szCs w:val="22"/>
        </w:rPr>
        <w:t xml:space="preserve"> (egy keresztes)</w:t>
      </w:r>
    </w:p>
    <w:p w14:paraId="3EA1781B" w14:textId="77777777" w:rsidR="008075D5" w:rsidRPr="00A05E74" w:rsidRDefault="008075D5" w:rsidP="00A05E74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A05E74">
        <w:rPr>
          <w:rFonts w:ascii="Times New Roman" w:hAnsi="Times New Roman"/>
          <w:b/>
          <w:sz w:val="22"/>
          <w:szCs w:val="22"/>
          <w:lang w:val="en-GB"/>
        </w:rPr>
        <w:t>Osztályozás: II</w:t>
      </w:r>
      <w:proofErr w:type="gramStart"/>
      <w:r w:rsidRPr="00A05E74">
        <w:rPr>
          <w:rFonts w:ascii="Times New Roman" w:hAnsi="Times New Roman"/>
          <w:b/>
          <w:sz w:val="22"/>
          <w:szCs w:val="22"/>
          <w:lang w:val="en-GB"/>
        </w:rPr>
        <w:t>./</w:t>
      </w:r>
      <w:proofErr w:type="gramEnd"/>
      <w:r w:rsidRPr="00A05E74">
        <w:rPr>
          <w:rFonts w:ascii="Times New Roman" w:hAnsi="Times New Roman"/>
          <w:b/>
          <w:sz w:val="22"/>
          <w:szCs w:val="22"/>
          <w:lang w:val="en-GB"/>
        </w:rPr>
        <w:t xml:space="preserve">2. </w:t>
      </w:r>
      <w:proofErr w:type="gramStart"/>
      <w:r w:rsidRPr="00A05E74">
        <w:rPr>
          <w:rFonts w:ascii="Times New Roman" w:hAnsi="Times New Roman"/>
          <w:b/>
          <w:sz w:val="22"/>
          <w:szCs w:val="22"/>
          <w:lang w:val="en-GB"/>
        </w:rPr>
        <w:t>csoport</w:t>
      </w:r>
      <w:proofErr w:type="gramEnd"/>
    </w:p>
    <w:p w14:paraId="538979E6" w14:textId="77777777" w:rsidR="008075D5" w:rsidRPr="008238CE" w:rsidRDefault="008075D5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A05E74">
        <w:rPr>
          <w:rFonts w:ascii="Times New Roman" w:hAnsi="Times New Roman"/>
          <w:sz w:val="22"/>
          <w:szCs w:val="22"/>
          <w:lang w:val="en-GB"/>
        </w:rPr>
        <w:t>Korlátozott érvényű orvosi rendelvényhez kötött, szakorvosi/kórházi diagnózist követően folyamatos szakorvosi ellenőrzés mellett alkalmazható gyógyszer (Sz).</w:t>
      </w:r>
    </w:p>
    <w:p w14:paraId="5C166171" w14:textId="77777777" w:rsidR="008075D5" w:rsidRPr="008238CE" w:rsidRDefault="008075D5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1A513AD" w14:textId="77777777" w:rsidR="008075D5" w:rsidRPr="008238CE" w:rsidRDefault="008075D5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14F0B5B5" w14:textId="77777777" w:rsidR="00120ABE" w:rsidRPr="008238CE" w:rsidRDefault="00866CC1">
      <w:pPr>
        <w:pStyle w:val="Cmsor1"/>
        <w:numPr>
          <w:ilvl w:val="0"/>
          <w:numId w:val="1"/>
        </w:numPr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FORGALOMBA HOZATALI ENGEDÉLY JOGOSULTJA</w:t>
      </w:r>
    </w:p>
    <w:p w14:paraId="71779CC5" w14:textId="77777777" w:rsidR="00120ABE" w:rsidRPr="00A05E74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434B801D" w14:textId="77777777" w:rsidR="00A05E74" w:rsidRPr="00A05E74" w:rsidRDefault="00A05E74" w:rsidP="00A05E74">
      <w:pPr>
        <w:snapToGrid w:val="0"/>
        <w:rPr>
          <w:rFonts w:ascii="Times New Roman" w:hAnsi="Times New Roman"/>
          <w:sz w:val="22"/>
          <w:szCs w:val="22"/>
        </w:rPr>
      </w:pPr>
      <w:r w:rsidRPr="00A05E74">
        <w:rPr>
          <w:rFonts w:ascii="Times New Roman" w:hAnsi="Times New Roman"/>
          <w:sz w:val="22"/>
          <w:szCs w:val="22"/>
        </w:rPr>
        <w:t>Sandoz Hungária Kft.</w:t>
      </w:r>
    </w:p>
    <w:p w14:paraId="427EBE5D" w14:textId="77777777" w:rsidR="00A05E74" w:rsidRPr="00A05E74" w:rsidRDefault="00A05E74" w:rsidP="00A05E74">
      <w:pPr>
        <w:snapToGrid w:val="0"/>
        <w:rPr>
          <w:rFonts w:ascii="Times New Roman" w:hAnsi="Times New Roman"/>
          <w:sz w:val="22"/>
          <w:szCs w:val="22"/>
        </w:rPr>
      </w:pPr>
      <w:r w:rsidRPr="00A05E74">
        <w:rPr>
          <w:rFonts w:ascii="Times New Roman" w:hAnsi="Times New Roman"/>
          <w:sz w:val="22"/>
          <w:szCs w:val="22"/>
        </w:rPr>
        <w:t>1114 Budapest</w:t>
      </w:r>
    </w:p>
    <w:p w14:paraId="1359C9DC" w14:textId="77777777" w:rsidR="00A05E74" w:rsidRPr="00A05E74" w:rsidRDefault="00A05E74" w:rsidP="00A05E74">
      <w:pPr>
        <w:snapToGrid w:val="0"/>
        <w:rPr>
          <w:rFonts w:ascii="Times New Roman" w:hAnsi="Times New Roman"/>
          <w:sz w:val="22"/>
          <w:szCs w:val="22"/>
        </w:rPr>
      </w:pPr>
      <w:r w:rsidRPr="00A05E74">
        <w:rPr>
          <w:rFonts w:ascii="Times New Roman" w:hAnsi="Times New Roman"/>
          <w:sz w:val="22"/>
          <w:szCs w:val="22"/>
        </w:rPr>
        <w:t>Bartók Béla út 43-47.</w:t>
      </w:r>
    </w:p>
    <w:p w14:paraId="76A1A8C0" w14:textId="77777777" w:rsidR="00A05E74" w:rsidRPr="00A05E74" w:rsidRDefault="00A05E74" w:rsidP="00A05E74">
      <w:pPr>
        <w:snapToGrid w:val="0"/>
        <w:rPr>
          <w:rFonts w:ascii="Times New Roman" w:hAnsi="Times New Roman"/>
          <w:sz w:val="22"/>
          <w:szCs w:val="22"/>
        </w:rPr>
      </w:pPr>
      <w:r w:rsidRPr="00A05E74">
        <w:rPr>
          <w:rFonts w:ascii="Times New Roman" w:hAnsi="Times New Roman"/>
          <w:sz w:val="22"/>
          <w:szCs w:val="22"/>
        </w:rPr>
        <w:t>Magyarország</w:t>
      </w:r>
    </w:p>
    <w:p w14:paraId="328F4EF6" w14:textId="77777777" w:rsidR="00120ABE" w:rsidRPr="00A05E74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3ED5039E" w14:textId="77777777" w:rsidR="00120ABE" w:rsidRPr="00A05E74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0CF89A1F" w14:textId="77777777" w:rsidR="00120ABE" w:rsidRPr="00A05E74" w:rsidRDefault="00866CC1">
      <w:pPr>
        <w:pStyle w:val="Cmsor1"/>
        <w:numPr>
          <w:ilvl w:val="0"/>
          <w:numId w:val="1"/>
        </w:numPr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A05E74">
        <w:rPr>
          <w:rFonts w:ascii="Times New Roman" w:hAnsi="Times New Roman"/>
          <w:sz w:val="22"/>
          <w:szCs w:val="22"/>
          <w:lang w:val="hu-HU" w:eastAsia="hu-HU"/>
        </w:rPr>
        <w:t xml:space="preserve">A FORGALOMBA HOZATALI ENGEDÉLY </w:t>
      </w:r>
      <w:proofErr w:type="gramStart"/>
      <w:r w:rsidRPr="00A05E74">
        <w:rPr>
          <w:rFonts w:ascii="Times New Roman" w:hAnsi="Times New Roman"/>
          <w:sz w:val="22"/>
          <w:szCs w:val="22"/>
          <w:lang w:val="hu-HU" w:eastAsia="hu-HU"/>
        </w:rPr>
        <w:t>SZÁMA(</w:t>
      </w:r>
      <w:proofErr w:type="gramEnd"/>
      <w:r w:rsidRPr="00A05E74">
        <w:rPr>
          <w:rFonts w:ascii="Times New Roman" w:hAnsi="Times New Roman"/>
          <w:sz w:val="22"/>
          <w:szCs w:val="22"/>
          <w:lang w:val="hu-HU" w:eastAsia="hu-HU"/>
        </w:rPr>
        <w:t>I)</w:t>
      </w:r>
    </w:p>
    <w:p w14:paraId="383D42F2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01F2141C" w14:textId="596B9447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OGYI-T-24810/01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1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3EFA18A4" w14:textId="3FCB729A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OGYI-T-24810/02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4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01690009" w14:textId="5DB3A3AE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OGYI-T-24810/03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4×1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3433161D" w14:textId="24641537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OGYI-T-24810/04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5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183551AD" w14:textId="0410D591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OGYI-T-24810/05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5×1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508B18D3" w14:textId="5888AD39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OGYI-T-24810/06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6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</w:t>
      </w:r>
      <w:r>
        <w:rPr>
          <w:rFonts w:ascii="Times New Roman" w:hAnsi="Times New Roman"/>
          <w:sz w:val="22"/>
          <w:szCs w:val="22"/>
          <w:lang w:val="en-GB"/>
        </w:rPr>
        <w:t>Al/PVC//Al buborékcsomagolásban</w:t>
      </w:r>
    </w:p>
    <w:p w14:paraId="6AFDC838" w14:textId="4E85147D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OGYI-T-24810/07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6×1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24F6FD6A" w14:textId="4B16C6AD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OGYI-T-24810/08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7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5867AD2D" w14:textId="50EC99F2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OGYI-T-24810/09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7×1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1C6B8DD0" w14:textId="722082A9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lastRenderedPageBreak/>
        <w:t>OGYI-T-24810/10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8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68A2DDCB" w14:textId="45B892D8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OGYI-T-24810/11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8×1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4B239EFE" w14:textId="64FBD625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OGYI-T-24810/12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10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3B2AD4B4" w14:textId="79AFF51B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OGYI-T-24810/13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10×1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752ED0EF" w14:textId="298CAD58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OGYI-T-24810/14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12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796C5A87" w14:textId="5F75CAF0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OGYI-T-24810/15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12×1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4CD9F676" w14:textId="77D410B1" w:rsidR="00010839" w:rsidRPr="00010839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OGYI-T-24810/16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010839">
        <w:rPr>
          <w:rFonts w:ascii="Times New Roman" w:hAnsi="Times New Roman"/>
          <w:sz w:val="22"/>
          <w:szCs w:val="22"/>
          <w:lang w:val="en-GB"/>
        </w:rPr>
        <w:t>14</w:t>
      </w:r>
      <w:proofErr w:type="gramEnd"/>
      <w:r w:rsidRPr="00010839">
        <w:rPr>
          <w:rFonts w:ascii="Times New Roman" w:hAnsi="Times New Roman"/>
          <w:sz w:val="22"/>
          <w:szCs w:val="22"/>
          <w:lang w:val="en-GB"/>
        </w:rPr>
        <w:t>×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OPA/Al/PVC//Al buborékcsomagolásban</w:t>
      </w:r>
    </w:p>
    <w:p w14:paraId="6589BFA3" w14:textId="45BCDD50" w:rsidR="00120ABE" w:rsidRDefault="00010839" w:rsidP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010839">
        <w:rPr>
          <w:rFonts w:ascii="Times New Roman" w:hAnsi="Times New Roman"/>
          <w:sz w:val="22"/>
          <w:szCs w:val="22"/>
          <w:lang w:val="en-GB"/>
        </w:rPr>
        <w:t>OGYI-T-24810/17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14×1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Pr="00010839">
        <w:rPr>
          <w:rFonts w:ascii="Times New Roman" w:hAnsi="Times New Roman"/>
          <w:sz w:val="22"/>
          <w:szCs w:val="22"/>
          <w:lang w:val="en-GB"/>
        </w:rPr>
        <w:t>adagonként perforált OPA/Al/PVC//Al</w:t>
      </w:r>
      <w:r>
        <w:rPr>
          <w:rFonts w:ascii="Times New Roman" w:hAnsi="Times New Roman"/>
          <w:sz w:val="22"/>
          <w:szCs w:val="22"/>
          <w:lang w:val="en-GB"/>
        </w:rPr>
        <w:t xml:space="preserve"> </w:t>
      </w:r>
      <w:r w:rsidRPr="00010839">
        <w:rPr>
          <w:rFonts w:ascii="Times New Roman" w:hAnsi="Times New Roman"/>
          <w:sz w:val="22"/>
          <w:szCs w:val="22"/>
          <w:lang w:val="en-GB"/>
        </w:rPr>
        <w:t>buborékcsomagolásban</w:t>
      </w:r>
    </w:p>
    <w:p w14:paraId="6719DB12" w14:textId="2FB95B2F" w:rsidR="00A05E74" w:rsidRDefault="00A05E74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4EBED51" w14:textId="77777777" w:rsidR="00010839" w:rsidRPr="008238CE" w:rsidRDefault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089C434" w14:textId="77777777" w:rsidR="00120ABE" w:rsidRPr="008238CE" w:rsidRDefault="00866CC1">
      <w:pPr>
        <w:pStyle w:val="Cmsor1"/>
        <w:numPr>
          <w:ilvl w:val="0"/>
          <w:numId w:val="1"/>
        </w:numPr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FORGALOMBA HOZATALI ENGEDÉLY ELSŐ KIADÁSÁNAK/MEGÚJÍTÁSÁNAK DÁTUMA</w:t>
      </w:r>
    </w:p>
    <w:p w14:paraId="7038DF9F" w14:textId="77777777" w:rsidR="00120ABE" w:rsidRPr="008238CE" w:rsidRDefault="00120ABE">
      <w:pPr>
        <w:pStyle w:val="Szvegtrzs"/>
        <w:ind w:right="32"/>
        <w:rPr>
          <w:rFonts w:ascii="Times New Roman" w:hAnsi="Times New Roman"/>
          <w:b/>
          <w:bCs/>
          <w:sz w:val="22"/>
          <w:szCs w:val="22"/>
          <w:lang w:val="en-GB"/>
        </w:rPr>
      </w:pPr>
    </w:p>
    <w:p w14:paraId="50E7C3C8" w14:textId="4E118B88" w:rsidR="00120ABE" w:rsidRPr="008238CE" w:rsidRDefault="004E1064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en-GB"/>
        </w:rPr>
        <w:t>A forgalomba hozatali engedély első kiadásának dátuma:</w:t>
      </w:r>
      <w:r w:rsidR="00010839">
        <w:rPr>
          <w:rFonts w:ascii="Times New Roman" w:hAnsi="Times New Roman"/>
          <w:sz w:val="22"/>
          <w:szCs w:val="22"/>
          <w:lang w:val="en-GB"/>
        </w:rPr>
        <w:t xml:space="preserve"> 2026. </w:t>
      </w:r>
      <w:proofErr w:type="gramStart"/>
      <w:r w:rsidR="00010839">
        <w:rPr>
          <w:rFonts w:ascii="Times New Roman" w:hAnsi="Times New Roman"/>
          <w:sz w:val="22"/>
          <w:szCs w:val="22"/>
          <w:lang w:val="en-GB"/>
        </w:rPr>
        <w:t>szeptember</w:t>
      </w:r>
      <w:proofErr w:type="gramEnd"/>
      <w:r w:rsidR="00010839">
        <w:rPr>
          <w:rFonts w:ascii="Times New Roman" w:hAnsi="Times New Roman"/>
          <w:sz w:val="22"/>
          <w:szCs w:val="22"/>
          <w:lang w:val="en-GB"/>
        </w:rPr>
        <w:t xml:space="preserve"> 30.</w:t>
      </w:r>
    </w:p>
    <w:p w14:paraId="664EB495" w14:textId="77777777" w:rsidR="004E1064" w:rsidRPr="008238CE" w:rsidRDefault="004E1064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472ABA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6E309C68" w14:textId="77777777" w:rsidR="00120ABE" w:rsidRPr="008238CE" w:rsidRDefault="00866CC1">
      <w:pPr>
        <w:pStyle w:val="Cmsor1"/>
        <w:numPr>
          <w:ilvl w:val="0"/>
          <w:numId w:val="1"/>
        </w:numPr>
        <w:spacing w:before="0"/>
        <w:ind w:left="567" w:right="32"/>
        <w:rPr>
          <w:rFonts w:ascii="Times New Roman" w:hAnsi="Times New Roman"/>
          <w:sz w:val="22"/>
          <w:szCs w:val="22"/>
          <w:lang w:val="en-GB"/>
        </w:rPr>
      </w:pPr>
      <w:r w:rsidRPr="008238CE">
        <w:rPr>
          <w:rFonts w:ascii="Times New Roman" w:hAnsi="Times New Roman"/>
          <w:sz w:val="22"/>
          <w:szCs w:val="22"/>
          <w:lang w:val="hu-HU" w:eastAsia="hu-HU"/>
        </w:rPr>
        <w:t>A SZÖVEG ELLENŐRZÉSÉNEK DÁTUMA</w:t>
      </w:r>
    </w:p>
    <w:p w14:paraId="59ED212A" w14:textId="77777777" w:rsidR="00120ABE" w:rsidRPr="008238CE" w:rsidRDefault="00120ABE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</w:p>
    <w:p w14:paraId="791E2AEF" w14:textId="0CED6D39" w:rsidR="00120ABE" w:rsidRPr="008238CE" w:rsidRDefault="00010839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2026. szeptember 30.</w:t>
      </w:r>
      <w:bookmarkStart w:id="2" w:name="_GoBack"/>
      <w:bookmarkEnd w:id="2"/>
    </w:p>
    <w:sectPr w:rsidR="00120ABE" w:rsidRPr="008238CE" w:rsidSect="00A05E74">
      <w:headerReference w:type="default" r:id="rId12"/>
      <w:footerReference w:type="default" r:id="rId13"/>
      <w:footerReference w:type="first" r:id="rId14"/>
      <w:pgSz w:w="11913" w:h="16850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DDD2F" w14:textId="77777777" w:rsidR="00A05E74" w:rsidRDefault="00A05E74">
      <w:r>
        <w:separator/>
      </w:r>
    </w:p>
  </w:endnote>
  <w:endnote w:type="continuationSeparator" w:id="0">
    <w:p w14:paraId="576AF94B" w14:textId="77777777" w:rsidR="00A05E74" w:rsidRDefault="00A05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F7537" w14:textId="19F36171" w:rsidR="00A05E74" w:rsidRDefault="00A05E74">
    <w:pPr>
      <w:pStyle w:val="Szvegtrzs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98462" w14:textId="03D714B8" w:rsidR="00A05E74" w:rsidRPr="00515A60" w:rsidRDefault="00A05E74">
    <w:pPr>
      <w:pStyle w:val="llb"/>
      <w:rPr>
        <w:rFonts w:ascii="Times New Roman" w:hAnsi="Times New Roman"/>
        <w:sz w:val="18"/>
        <w:szCs w:val="18"/>
      </w:rPr>
    </w:pPr>
    <w:r w:rsidRPr="00515A60">
      <w:rPr>
        <w:rFonts w:ascii="Times New Roman" w:hAnsi="Times New Roman"/>
        <w:sz w:val="18"/>
        <w:szCs w:val="18"/>
      </w:rPr>
      <w:t>NNGYK/ETGY/24525/2025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738C2" w14:textId="77777777" w:rsidR="00A05E74" w:rsidRDefault="00A05E74">
      <w:r>
        <w:separator/>
      </w:r>
    </w:p>
  </w:footnote>
  <w:footnote w:type="continuationSeparator" w:id="0">
    <w:p w14:paraId="4B0EE529" w14:textId="77777777" w:rsidR="00A05E74" w:rsidRDefault="00A05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92116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D6E32BC" w14:textId="5AF5CEDE" w:rsidR="00A05E74" w:rsidRPr="00A05E74" w:rsidRDefault="00A05E74" w:rsidP="00A05E74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A05E74">
          <w:rPr>
            <w:rFonts w:ascii="Times New Roman" w:hAnsi="Times New Roman"/>
            <w:sz w:val="18"/>
            <w:szCs w:val="18"/>
          </w:rPr>
          <w:fldChar w:fldCharType="begin"/>
        </w:r>
        <w:r w:rsidRPr="00A05E74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05E74">
          <w:rPr>
            <w:rFonts w:ascii="Times New Roman" w:hAnsi="Times New Roman"/>
            <w:sz w:val="18"/>
            <w:szCs w:val="18"/>
          </w:rPr>
          <w:fldChar w:fldCharType="separate"/>
        </w:r>
        <w:r w:rsidR="00010839" w:rsidRPr="00010839">
          <w:rPr>
            <w:rFonts w:ascii="Times New Roman" w:hAnsi="Times New Roman"/>
            <w:noProof/>
            <w:sz w:val="18"/>
            <w:szCs w:val="18"/>
            <w:lang w:val="hu-HU"/>
          </w:rPr>
          <w:t>17</w:t>
        </w:r>
        <w:r w:rsidRPr="00A05E7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8795A"/>
    <w:multiLevelType w:val="hybridMultilevel"/>
    <w:tmpl w:val="68A4E3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536FF"/>
    <w:multiLevelType w:val="hybridMultilevel"/>
    <w:tmpl w:val="37DC61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61760"/>
    <w:multiLevelType w:val="multilevel"/>
    <w:tmpl w:val="D9D8EAAC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403" w:hanging="567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278" w:hanging="567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153" w:hanging="567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27" w:hanging="567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02" w:hanging="567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777" w:hanging="567"/>
      </w:pPr>
      <w:rPr>
        <w:lang w:val="en-US" w:eastAsia="en-US" w:bidi="ar-SA"/>
      </w:rPr>
    </w:lvl>
  </w:abstractNum>
  <w:abstractNum w:abstractNumId="3" w15:restartNumberingAfterBreak="0">
    <w:nsid w:val="4308509F"/>
    <w:multiLevelType w:val="multilevel"/>
    <w:tmpl w:val="357E8D12"/>
    <w:styleLink w:val="NoList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3802F9"/>
    <w:multiLevelType w:val="hybridMultilevel"/>
    <w:tmpl w:val="57D86660"/>
    <w:lvl w:ilvl="0" w:tplc="F7121EB2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spacing w:val="0"/>
        <w:w w:val="100"/>
        <w:sz w:val="22"/>
        <w:szCs w:val="22"/>
        <w:lang w:val="en-US" w:eastAsia="en-US" w:bidi="ar-SA"/>
      </w:rPr>
    </w:lvl>
    <w:lvl w:ilvl="1" w:tplc="D2D4B700">
      <w:numFmt w:val="bullet"/>
      <w:lvlText w:val="•"/>
      <w:lvlJc w:val="left"/>
      <w:pPr>
        <w:ind w:left="1654" w:hanging="567"/>
      </w:pPr>
      <w:rPr>
        <w:lang w:val="en-US" w:eastAsia="en-US" w:bidi="ar-SA"/>
      </w:rPr>
    </w:lvl>
    <w:lvl w:ilvl="2" w:tplc="E842A824">
      <w:numFmt w:val="bullet"/>
      <w:lvlText w:val="•"/>
      <w:lvlJc w:val="left"/>
      <w:pPr>
        <w:ind w:left="2529" w:hanging="567"/>
      </w:pPr>
      <w:rPr>
        <w:lang w:val="en-US" w:eastAsia="en-US" w:bidi="ar-SA"/>
      </w:rPr>
    </w:lvl>
    <w:lvl w:ilvl="3" w:tplc="F0A45B18">
      <w:numFmt w:val="bullet"/>
      <w:lvlText w:val="•"/>
      <w:lvlJc w:val="left"/>
      <w:pPr>
        <w:ind w:left="3403" w:hanging="567"/>
      </w:pPr>
      <w:rPr>
        <w:lang w:val="en-US" w:eastAsia="en-US" w:bidi="ar-SA"/>
      </w:rPr>
    </w:lvl>
    <w:lvl w:ilvl="4" w:tplc="382EADE4">
      <w:numFmt w:val="bullet"/>
      <w:lvlText w:val="•"/>
      <w:lvlJc w:val="left"/>
      <w:pPr>
        <w:ind w:left="4278" w:hanging="567"/>
      </w:pPr>
      <w:rPr>
        <w:lang w:val="en-US" w:eastAsia="en-US" w:bidi="ar-SA"/>
      </w:rPr>
    </w:lvl>
    <w:lvl w:ilvl="5" w:tplc="80A83CE8">
      <w:numFmt w:val="bullet"/>
      <w:lvlText w:val="•"/>
      <w:lvlJc w:val="left"/>
      <w:pPr>
        <w:ind w:left="5153" w:hanging="567"/>
      </w:pPr>
      <w:rPr>
        <w:lang w:val="en-US" w:eastAsia="en-US" w:bidi="ar-SA"/>
      </w:rPr>
    </w:lvl>
    <w:lvl w:ilvl="6" w:tplc="E5A8FD64">
      <w:numFmt w:val="bullet"/>
      <w:lvlText w:val="•"/>
      <w:lvlJc w:val="left"/>
      <w:pPr>
        <w:ind w:left="6027" w:hanging="567"/>
      </w:pPr>
      <w:rPr>
        <w:lang w:val="en-US" w:eastAsia="en-US" w:bidi="ar-SA"/>
      </w:rPr>
    </w:lvl>
    <w:lvl w:ilvl="7" w:tplc="6EB80DF4">
      <w:numFmt w:val="bullet"/>
      <w:lvlText w:val="•"/>
      <w:lvlJc w:val="left"/>
      <w:pPr>
        <w:ind w:left="6902" w:hanging="567"/>
      </w:pPr>
      <w:rPr>
        <w:lang w:val="en-US" w:eastAsia="en-US" w:bidi="ar-SA"/>
      </w:rPr>
    </w:lvl>
    <w:lvl w:ilvl="8" w:tplc="A614BDA6">
      <w:numFmt w:val="bullet"/>
      <w:lvlText w:val="•"/>
      <w:lvlJc w:val="left"/>
      <w:pPr>
        <w:ind w:left="7777" w:hanging="567"/>
      </w:pPr>
      <w:rPr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4"/>
    <w:rsid w:val="0000536B"/>
    <w:rsid w:val="00007BEE"/>
    <w:rsid w:val="00010839"/>
    <w:rsid w:val="00011DDC"/>
    <w:rsid w:val="0001536C"/>
    <w:rsid w:val="0001605C"/>
    <w:rsid w:val="00016BCC"/>
    <w:rsid w:val="00025794"/>
    <w:rsid w:val="00026028"/>
    <w:rsid w:val="00026ED6"/>
    <w:rsid w:val="000337B1"/>
    <w:rsid w:val="00034067"/>
    <w:rsid w:val="00034C04"/>
    <w:rsid w:val="00034CD4"/>
    <w:rsid w:val="00035654"/>
    <w:rsid w:val="00042212"/>
    <w:rsid w:val="00045BE9"/>
    <w:rsid w:val="00046402"/>
    <w:rsid w:val="00047F5A"/>
    <w:rsid w:val="000558D9"/>
    <w:rsid w:val="00061CC4"/>
    <w:rsid w:val="00061F8F"/>
    <w:rsid w:val="00065123"/>
    <w:rsid w:val="00066148"/>
    <w:rsid w:val="00073865"/>
    <w:rsid w:val="00074537"/>
    <w:rsid w:val="000816AB"/>
    <w:rsid w:val="00081B39"/>
    <w:rsid w:val="00084508"/>
    <w:rsid w:val="00084D63"/>
    <w:rsid w:val="00086AC5"/>
    <w:rsid w:val="000A08C3"/>
    <w:rsid w:val="000A329A"/>
    <w:rsid w:val="000A6775"/>
    <w:rsid w:val="000B05C3"/>
    <w:rsid w:val="000B169D"/>
    <w:rsid w:val="000B49B2"/>
    <w:rsid w:val="000C367C"/>
    <w:rsid w:val="000C3B97"/>
    <w:rsid w:val="000C73CA"/>
    <w:rsid w:val="000D0F3B"/>
    <w:rsid w:val="000E0B2B"/>
    <w:rsid w:val="000E3898"/>
    <w:rsid w:val="000E3E18"/>
    <w:rsid w:val="000E6477"/>
    <w:rsid w:val="000F327D"/>
    <w:rsid w:val="001137D2"/>
    <w:rsid w:val="00113852"/>
    <w:rsid w:val="00113F8D"/>
    <w:rsid w:val="001142CF"/>
    <w:rsid w:val="001149E1"/>
    <w:rsid w:val="001167B5"/>
    <w:rsid w:val="00117B3E"/>
    <w:rsid w:val="00120ABE"/>
    <w:rsid w:val="00123AE5"/>
    <w:rsid w:val="001366E8"/>
    <w:rsid w:val="001431DE"/>
    <w:rsid w:val="00143C96"/>
    <w:rsid w:val="00144E39"/>
    <w:rsid w:val="0014650C"/>
    <w:rsid w:val="0015041E"/>
    <w:rsid w:val="00152776"/>
    <w:rsid w:val="00153360"/>
    <w:rsid w:val="00161340"/>
    <w:rsid w:val="0016461C"/>
    <w:rsid w:val="00164DBD"/>
    <w:rsid w:val="00166ACB"/>
    <w:rsid w:val="0016736F"/>
    <w:rsid w:val="00175157"/>
    <w:rsid w:val="001760FB"/>
    <w:rsid w:val="00180AE4"/>
    <w:rsid w:val="001811B0"/>
    <w:rsid w:val="00181497"/>
    <w:rsid w:val="00186EED"/>
    <w:rsid w:val="001907C1"/>
    <w:rsid w:val="00192F24"/>
    <w:rsid w:val="001940FE"/>
    <w:rsid w:val="001942BE"/>
    <w:rsid w:val="001A6282"/>
    <w:rsid w:val="001B6E1C"/>
    <w:rsid w:val="001C4F91"/>
    <w:rsid w:val="001D3016"/>
    <w:rsid w:val="001D65DD"/>
    <w:rsid w:val="001E2A12"/>
    <w:rsid w:val="001E3447"/>
    <w:rsid w:val="001E6E60"/>
    <w:rsid w:val="001E7A46"/>
    <w:rsid w:val="001F6DB5"/>
    <w:rsid w:val="0020560B"/>
    <w:rsid w:val="00205E60"/>
    <w:rsid w:val="0021026E"/>
    <w:rsid w:val="002117E1"/>
    <w:rsid w:val="00212459"/>
    <w:rsid w:val="00221EFD"/>
    <w:rsid w:val="00223744"/>
    <w:rsid w:val="002324BF"/>
    <w:rsid w:val="002345EE"/>
    <w:rsid w:val="00234898"/>
    <w:rsid w:val="00235D83"/>
    <w:rsid w:val="002369A3"/>
    <w:rsid w:val="002507FB"/>
    <w:rsid w:val="002550AF"/>
    <w:rsid w:val="00256981"/>
    <w:rsid w:val="002700DB"/>
    <w:rsid w:val="0027220F"/>
    <w:rsid w:val="00280F16"/>
    <w:rsid w:val="002818A2"/>
    <w:rsid w:val="00285931"/>
    <w:rsid w:val="0028799D"/>
    <w:rsid w:val="00287C1E"/>
    <w:rsid w:val="00293CE2"/>
    <w:rsid w:val="00295126"/>
    <w:rsid w:val="00297DB9"/>
    <w:rsid w:val="002A0B5C"/>
    <w:rsid w:val="002A3170"/>
    <w:rsid w:val="002A425C"/>
    <w:rsid w:val="002A7FE7"/>
    <w:rsid w:val="002B5D48"/>
    <w:rsid w:val="002C3853"/>
    <w:rsid w:val="002C3892"/>
    <w:rsid w:val="002C680E"/>
    <w:rsid w:val="002C6F0F"/>
    <w:rsid w:val="002D15EE"/>
    <w:rsid w:val="002D6BD9"/>
    <w:rsid w:val="002D78FA"/>
    <w:rsid w:val="002D7AB9"/>
    <w:rsid w:val="002E1B3E"/>
    <w:rsid w:val="002E2B17"/>
    <w:rsid w:val="002E3CBC"/>
    <w:rsid w:val="002E3E87"/>
    <w:rsid w:val="002E5014"/>
    <w:rsid w:val="002E766E"/>
    <w:rsid w:val="002E7ED5"/>
    <w:rsid w:val="002F3CDE"/>
    <w:rsid w:val="003054B1"/>
    <w:rsid w:val="00311F15"/>
    <w:rsid w:val="00313CAA"/>
    <w:rsid w:val="00315980"/>
    <w:rsid w:val="003240DD"/>
    <w:rsid w:val="00331562"/>
    <w:rsid w:val="003316E5"/>
    <w:rsid w:val="00331F70"/>
    <w:rsid w:val="0033296C"/>
    <w:rsid w:val="00335EA8"/>
    <w:rsid w:val="003444C4"/>
    <w:rsid w:val="003452D6"/>
    <w:rsid w:val="00347379"/>
    <w:rsid w:val="00350DBC"/>
    <w:rsid w:val="003516C9"/>
    <w:rsid w:val="003548D2"/>
    <w:rsid w:val="00355052"/>
    <w:rsid w:val="0035571F"/>
    <w:rsid w:val="003569C1"/>
    <w:rsid w:val="00361E26"/>
    <w:rsid w:val="00363CA3"/>
    <w:rsid w:val="003655AF"/>
    <w:rsid w:val="00371C3B"/>
    <w:rsid w:val="00373A79"/>
    <w:rsid w:val="00374E84"/>
    <w:rsid w:val="0037656C"/>
    <w:rsid w:val="00377CE0"/>
    <w:rsid w:val="0038183B"/>
    <w:rsid w:val="0038190D"/>
    <w:rsid w:val="00382516"/>
    <w:rsid w:val="00382B65"/>
    <w:rsid w:val="0038563B"/>
    <w:rsid w:val="00386AEB"/>
    <w:rsid w:val="0039253B"/>
    <w:rsid w:val="00395EA5"/>
    <w:rsid w:val="003A18F9"/>
    <w:rsid w:val="003A587E"/>
    <w:rsid w:val="003A6230"/>
    <w:rsid w:val="003A735D"/>
    <w:rsid w:val="003B1956"/>
    <w:rsid w:val="003B1A8C"/>
    <w:rsid w:val="003B409F"/>
    <w:rsid w:val="003B4600"/>
    <w:rsid w:val="003C0072"/>
    <w:rsid w:val="003C2296"/>
    <w:rsid w:val="003C37A1"/>
    <w:rsid w:val="003D00B9"/>
    <w:rsid w:val="003E0DBB"/>
    <w:rsid w:val="003E3E21"/>
    <w:rsid w:val="003E47DC"/>
    <w:rsid w:val="003E7D7D"/>
    <w:rsid w:val="003F0533"/>
    <w:rsid w:val="003F09E8"/>
    <w:rsid w:val="003F310F"/>
    <w:rsid w:val="003F51B8"/>
    <w:rsid w:val="00400408"/>
    <w:rsid w:val="0040116A"/>
    <w:rsid w:val="00407065"/>
    <w:rsid w:val="00410ED3"/>
    <w:rsid w:val="00411D7A"/>
    <w:rsid w:val="0041500D"/>
    <w:rsid w:val="00420C3D"/>
    <w:rsid w:val="00421CE0"/>
    <w:rsid w:val="0042568A"/>
    <w:rsid w:val="004317BB"/>
    <w:rsid w:val="00440A67"/>
    <w:rsid w:val="0044653E"/>
    <w:rsid w:val="00454818"/>
    <w:rsid w:val="00456CCE"/>
    <w:rsid w:val="004613C9"/>
    <w:rsid w:val="00465A23"/>
    <w:rsid w:val="004664D5"/>
    <w:rsid w:val="00467DC0"/>
    <w:rsid w:val="00473D7D"/>
    <w:rsid w:val="00476532"/>
    <w:rsid w:val="00476CE2"/>
    <w:rsid w:val="00487E2E"/>
    <w:rsid w:val="0049125C"/>
    <w:rsid w:val="004A298A"/>
    <w:rsid w:val="004B002D"/>
    <w:rsid w:val="004B15B1"/>
    <w:rsid w:val="004B1C97"/>
    <w:rsid w:val="004B2E70"/>
    <w:rsid w:val="004B4852"/>
    <w:rsid w:val="004B7235"/>
    <w:rsid w:val="004C04C0"/>
    <w:rsid w:val="004C0ED2"/>
    <w:rsid w:val="004C1582"/>
    <w:rsid w:val="004C175D"/>
    <w:rsid w:val="004C7893"/>
    <w:rsid w:val="004E0E23"/>
    <w:rsid w:val="004E1064"/>
    <w:rsid w:val="004E54EF"/>
    <w:rsid w:val="004F2E39"/>
    <w:rsid w:val="004F3255"/>
    <w:rsid w:val="004F5613"/>
    <w:rsid w:val="004F5960"/>
    <w:rsid w:val="00500B84"/>
    <w:rsid w:val="00500FD6"/>
    <w:rsid w:val="0050145F"/>
    <w:rsid w:val="005014E2"/>
    <w:rsid w:val="00505FEB"/>
    <w:rsid w:val="00506488"/>
    <w:rsid w:val="00512522"/>
    <w:rsid w:val="005127CC"/>
    <w:rsid w:val="00515A60"/>
    <w:rsid w:val="005214DC"/>
    <w:rsid w:val="005231D6"/>
    <w:rsid w:val="00524163"/>
    <w:rsid w:val="00526E81"/>
    <w:rsid w:val="00530999"/>
    <w:rsid w:val="0053330A"/>
    <w:rsid w:val="00541213"/>
    <w:rsid w:val="00542637"/>
    <w:rsid w:val="005502A9"/>
    <w:rsid w:val="005504D6"/>
    <w:rsid w:val="00550933"/>
    <w:rsid w:val="00555080"/>
    <w:rsid w:val="005550DA"/>
    <w:rsid w:val="00556474"/>
    <w:rsid w:val="0055797B"/>
    <w:rsid w:val="005628D8"/>
    <w:rsid w:val="00565E55"/>
    <w:rsid w:val="00584280"/>
    <w:rsid w:val="0059121F"/>
    <w:rsid w:val="005A219B"/>
    <w:rsid w:val="005A288B"/>
    <w:rsid w:val="005A5473"/>
    <w:rsid w:val="005B3A7C"/>
    <w:rsid w:val="005B6018"/>
    <w:rsid w:val="005C0BF2"/>
    <w:rsid w:val="005C1D17"/>
    <w:rsid w:val="005C31E1"/>
    <w:rsid w:val="005D32C2"/>
    <w:rsid w:val="005D5C82"/>
    <w:rsid w:val="005E0012"/>
    <w:rsid w:val="005E1E11"/>
    <w:rsid w:val="005E30FC"/>
    <w:rsid w:val="005E358B"/>
    <w:rsid w:val="005F17CC"/>
    <w:rsid w:val="005F6BBB"/>
    <w:rsid w:val="00600E64"/>
    <w:rsid w:val="00603075"/>
    <w:rsid w:val="00606034"/>
    <w:rsid w:val="006113A6"/>
    <w:rsid w:val="00613923"/>
    <w:rsid w:val="006175F1"/>
    <w:rsid w:val="00620A6A"/>
    <w:rsid w:val="0064012C"/>
    <w:rsid w:val="006401D9"/>
    <w:rsid w:val="00641267"/>
    <w:rsid w:val="00643253"/>
    <w:rsid w:val="00643AAF"/>
    <w:rsid w:val="00656CB3"/>
    <w:rsid w:val="00657185"/>
    <w:rsid w:val="00681B44"/>
    <w:rsid w:val="00682E83"/>
    <w:rsid w:val="006834C3"/>
    <w:rsid w:val="00684639"/>
    <w:rsid w:val="006861BD"/>
    <w:rsid w:val="00686B04"/>
    <w:rsid w:val="00690BAF"/>
    <w:rsid w:val="00691BB7"/>
    <w:rsid w:val="006A15D8"/>
    <w:rsid w:val="006A1D03"/>
    <w:rsid w:val="006C0EAC"/>
    <w:rsid w:val="006C1306"/>
    <w:rsid w:val="006D27C7"/>
    <w:rsid w:val="006D3993"/>
    <w:rsid w:val="006D5D82"/>
    <w:rsid w:val="006E1830"/>
    <w:rsid w:val="006F19AF"/>
    <w:rsid w:val="006F374D"/>
    <w:rsid w:val="006F5920"/>
    <w:rsid w:val="006F780F"/>
    <w:rsid w:val="007047E7"/>
    <w:rsid w:val="00705EA3"/>
    <w:rsid w:val="00710106"/>
    <w:rsid w:val="007205AB"/>
    <w:rsid w:val="007240DE"/>
    <w:rsid w:val="00725BA0"/>
    <w:rsid w:val="00740736"/>
    <w:rsid w:val="007420F4"/>
    <w:rsid w:val="00742D4C"/>
    <w:rsid w:val="00745A3A"/>
    <w:rsid w:val="00746F5E"/>
    <w:rsid w:val="00755D37"/>
    <w:rsid w:val="00763BFC"/>
    <w:rsid w:val="00770462"/>
    <w:rsid w:val="007777A4"/>
    <w:rsid w:val="007777C1"/>
    <w:rsid w:val="007825C5"/>
    <w:rsid w:val="00786976"/>
    <w:rsid w:val="0079048A"/>
    <w:rsid w:val="00790CC0"/>
    <w:rsid w:val="00790EF4"/>
    <w:rsid w:val="007944F0"/>
    <w:rsid w:val="00794C65"/>
    <w:rsid w:val="0079710C"/>
    <w:rsid w:val="007978E2"/>
    <w:rsid w:val="007A2433"/>
    <w:rsid w:val="007B02D9"/>
    <w:rsid w:val="007B1F86"/>
    <w:rsid w:val="007B36E3"/>
    <w:rsid w:val="007B4988"/>
    <w:rsid w:val="007C13B1"/>
    <w:rsid w:val="007C3980"/>
    <w:rsid w:val="007C5C2B"/>
    <w:rsid w:val="007C6CD7"/>
    <w:rsid w:val="007C6F4E"/>
    <w:rsid w:val="007D13E6"/>
    <w:rsid w:val="007D2799"/>
    <w:rsid w:val="007D5AD0"/>
    <w:rsid w:val="007E0574"/>
    <w:rsid w:val="007E25DD"/>
    <w:rsid w:val="007E469E"/>
    <w:rsid w:val="007E7778"/>
    <w:rsid w:val="007E7D19"/>
    <w:rsid w:val="007F1985"/>
    <w:rsid w:val="007F3DEF"/>
    <w:rsid w:val="007F6C11"/>
    <w:rsid w:val="00804D25"/>
    <w:rsid w:val="00807007"/>
    <w:rsid w:val="008070DD"/>
    <w:rsid w:val="008075D5"/>
    <w:rsid w:val="00807CC1"/>
    <w:rsid w:val="00821D56"/>
    <w:rsid w:val="008238CE"/>
    <w:rsid w:val="008316C5"/>
    <w:rsid w:val="00832259"/>
    <w:rsid w:val="00842209"/>
    <w:rsid w:val="008425B4"/>
    <w:rsid w:val="0084343F"/>
    <w:rsid w:val="00844361"/>
    <w:rsid w:val="00844F83"/>
    <w:rsid w:val="00845F3C"/>
    <w:rsid w:val="00846A2C"/>
    <w:rsid w:val="00846CB1"/>
    <w:rsid w:val="00853B74"/>
    <w:rsid w:val="00855388"/>
    <w:rsid w:val="00857A33"/>
    <w:rsid w:val="00857AEC"/>
    <w:rsid w:val="00861D91"/>
    <w:rsid w:val="00862CD6"/>
    <w:rsid w:val="008656B5"/>
    <w:rsid w:val="00865E14"/>
    <w:rsid w:val="00866A8F"/>
    <w:rsid w:val="00866CC1"/>
    <w:rsid w:val="00876565"/>
    <w:rsid w:val="00880BEE"/>
    <w:rsid w:val="008814B2"/>
    <w:rsid w:val="008857F0"/>
    <w:rsid w:val="00892F13"/>
    <w:rsid w:val="00894E80"/>
    <w:rsid w:val="0089629C"/>
    <w:rsid w:val="008A3931"/>
    <w:rsid w:val="008A4FD7"/>
    <w:rsid w:val="008B1017"/>
    <w:rsid w:val="008B42BE"/>
    <w:rsid w:val="008B7958"/>
    <w:rsid w:val="008C079C"/>
    <w:rsid w:val="008C3A02"/>
    <w:rsid w:val="008C4FD0"/>
    <w:rsid w:val="008C5826"/>
    <w:rsid w:val="008C66FA"/>
    <w:rsid w:val="008E1867"/>
    <w:rsid w:val="008E2FF5"/>
    <w:rsid w:val="008E3833"/>
    <w:rsid w:val="008E4FBD"/>
    <w:rsid w:val="008F1219"/>
    <w:rsid w:val="008F252F"/>
    <w:rsid w:val="008F3B1A"/>
    <w:rsid w:val="00905746"/>
    <w:rsid w:val="00910AC2"/>
    <w:rsid w:val="009139DC"/>
    <w:rsid w:val="00914350"/>
    <w:rsid w:val="00920F4B"/>
    <w:rsid w:val="00923169"/>
    <w:rsid w:val="009236AD"/>
    <w:rsid w:val="00925C62"/>
    <w:rsid w:val="00936D74"/>
    <w:rsid w:val="00937675"/>
    <w:rsid w:val="00940AF2"/>
    <w:rsid w:val="009506E2"/>
    <w:rsid w:val="00955001"/>
    <w:rsid w:val="0095537F"/>
    <w:rsid w:val="00955E5A"/>
    <w:rsid w:val="009566D3"/>
    <w:rsid w:val="009666D2"/>
    <w:rsid w:val="00970009"/>
    <w:rsid w:val="009713F5"/>
    <w:rsid w:val="00972A54"/>
    <w:rsid w:val="00972B79"/>
    <w:rsid w:val="009755CB"/>
    <w:rsid w:val="00975A74"/>
    <w:rsid w:val="00980F0B"/>
    <w:rsid w:val="0098396F"/>
    <w:rsid w:val="0098508E"/>
    <w:rsid w:val="00995B05"/>
    <w:rsid w:val="00997E1F"/>
    <w:rsid w:val="009A20F2"/>
    <w:rsid w:val="009A6F0C"/>
    <w:rsid w:val="009A7036"/>
    <w:rsid w:val="009B1438"/>
    <w:rsid w:val="009B5784"/>
    <w:rsid w:val="009B6CBE"/>
    <w:rsid w:val="009B6CF6"/>
    <w:rsid w:val="009B7163"/>
    <w:rsid w:val="009C052B"/>
    <w:rsid w:val="009C0FD4"/>
    <w:rsid w:val="009C2862"/>
    <w:rsid w:val="009C30E1"/>
    <w:rsid w:val="009C4128"/>
    <w:rsid w:val="009C74B9"/>
    <w:rsid w:val="009D0548"/>
    <w:rsid w:val="009D11D9"/>
    <w:rsid w:val="009D44B6"/>
    <w:rsid w:val="009D709B"/>
    <w:rsid w:val="009D7C0E"/>
    <w:rsid w:val="009E105E"/>
    <w:rsid w:val="009E2ABC"/>
    <w:rsid w:val="009E2FEA"/>
    <w:rsid w:val="009E36FF"/>
    <w:rsid w:val="009E457D"/>
    <w:rsid w:val="009E52EC"/>
    <w:rsid w:val="009F2074"/>
    <w:rsid w:val="009F5061"/>
    <w:rsid w:val="009F6002"/>
    <w:rsid w:val="00A003BC"/>
    <w:rsid w:val="00A05E74"/>
    <w:rsid w:val="00A077F6"/>
    <w:rsid w:val="00A17D91"/>
    <w:rsid w:val="00A25689"/>
    <w:rsid w:val="00A26971"/>
    <w:rsid w:val="00A27546"/>
    <w:rsid w:val="00A3046F"/>
    <w:rsid w:val="00A31219"/>
    <w:rsid w:val="00A329DC"/>
    <w:rsid w:val="00A41FD2"/>
    <w:rsid w:val="00A43E3E"/>
    <w:rsid w:val="00A5558E"/>
    <w:rsid w:val="00A60C29"/>
    <w:rsid w:val="00A61A58"/>
    <w:rsid w:val="00A722E0"/>
    <w:rsid w:val="00A726F0"/>
    <w:rsid w:val="00A73372"/>
    <w:rsid w:val="00A74293"/>
    <w:rsid w:val="00A75D22"/>
    <w:rsid w:val="00A779DF"/>
    <w:rsid w:val="00A816B1"/>
    <w:rsid w:val="00A834EA"/>
    <w:rsid w:val="00A846AC"/>
    <w:rsid w:val="00A84A07"/>
    <w:rsid w:val="00A91834"/>
    <w:rsid w:val="00A91AED"/>
    <w:rsid w:val="00AB3F5A"/>
    <w:rsid w:val="00AB4999"/>
    <w:rsid w:val="00AB4E74"/>
    <w:rsid w:val="00AC3D15"/>
    <w:rsid w:val="00AC434E"/>
    <w:rsid w:val="00AC541A"/>
    <w:rsid w:val="00AD0E3E"/>
    <w:rsid w:val="00AD1700"/>
    <w:rsid w:val="00AD458B"/>
    <w:rsid w:val="00AE00BE"/>
    <w:rsid w:val="00AE4543"/>
    <w:rsid w:val="00AE53E8"/>
    <w:rsid w:val="00AE664E"/>
    <w:rsid w:val="00AE7218"/>
    <w:rsid w:val="00AF07A3"/>
    <w:rsid w:val="00AF2B0A"/>
    <w:rsid w:val="00AF5502"/>
    <w:rsid w:val="00AF5642"/>
    <w:rsid w:val="00AF6B8A"/>
    <w:rsid w:val="00B001AC"/>
    <w:rsid w:val="00B0669A"/>
    <w:rsid w:val="00B07D63"/>
    <w:rsid w:val="00B1217E"/>
    <w:rsid w:val="00B14DFA"/>
    <w:rsid w:val="00B15AE3"/>
    <w:rsid w:val="00B15F2E"/>
    <w:rsid w:val="00B15FB1"/>
    <w:rsid w:val="00B16437"/>
    <w:rsid w:val="00B2218A"/>
    <w:rsid w:val="00B238F9"/>
    <w:rsid w:val="00B25260"/>
    <w:rsid w:val="00B25564"/>
    <w:rsid w:val="00B26B66"/>
    <w:rsid w:val="00B30E28"/>
    <w:rsid w:val="00B3252D"/>
    <w:rsid w:val="00B407A8"/>
    <w:rsid w:val="00B4490D"/>
    <w:rsid w:val="00B46C35"/>
    <w:rsid w:val="00B471A8"/>
    <w:rsid w:val="00B50526"/>
    <w:rsid w:val="00B52B2A"/>
    <w:rsid w:val="00B5378D"/>
    <w:rsid w:val="00B53FAD"/>
    <w:rsid w:val="00B557A6"/>
    <w:rsid w:val="00B56573"/>
    <w:rsid w:val="00B567B5"/>
    <w:rsid w:val="00B62632"/>
    <w:rsid w:val="00B638BF"/>
    <w:rsid w:val="00B66727"/>
    <w:rsid w:val="00B7042B"/>
    <w:rsid w:val="00B70D3C"/>
    <w:rsid w:val="00B76517"/>
    <w:rsid w:val="00B771A8"/>
    <w:rsid w:val="00B80654"/>
    <w:rsid w:val="00B807FA"/>
    <w:rsid w:val="00B81485"/>
    <w:rsid w:val="00B81BED"/>
    <w:rsid w:val="00B865BD"/>
    <w:rsid w:val="00B90480"/>
    <w:rsid w:val="00B92808"/>
    <w:rsid w:val="00B94597"/>
    <w:rsid w:val="00B97DA6"/>
    <w:rsid w:val="00BA63BE"/>
    <w:rsid w:val="00BB2489"/>
    <w:rsid w:val="00BD0242"/>
    <w:rsid w:val="00BD29CF"/>
    <w:rsid w:val="00BD3C23"/>
    <w:rsid w:val="00BD6751"/>
    <w:rsid w:val="00BD7218"/>
    <w:rsid w:val="00BE220E"/>
    <w:rsid w:val="00BE4460"/>
    <w:rsid w:val="00BE4E61"/>
    <w:rsid w:val="00BF132C"/>
    <w:rsid w:val="00BF1B52"/>
    <w:rsid w:val="00BF51B9"/>
    <w:rsid w:val="00BF6D44"/>
    <w:rsid w:val="00C07995"/>
    <w:rsid w:val="00C105B6"/>
    <w:rsid w:val="00C15096"/>
    <w:rsid w:val="00C2008F"/>
    <w:rsid w:val="00C210BF"/>
    <w:rsid w:val="00C2374F"/>
    <w:rsid w:val="00C278F6"/>
    <w:rsid w:val="00C349C6"/>
    <w:rsid w:val="00C41228"/>
    <w:rsid w:val="00C42E3A"/>
    <w:rsid w:val="00C46B8E"/>
    <w:rsid w:val="00C52D83"/>
    <w:rsid w:val="00C65445"/>
    <w:rsid w:val="00C7070B"/>
    <w:rsid w:val="00C76828"/>
    <w:rsid w:val="00C7699F"/>
    <w:rsid w:val="00C80A55"/>
    <w:rsid w:val="00C811E1"/>
    <w:rsid w:val="00C953CF"/>
    <w:rsid w:val="00C95FA5"/>
    <w:rsid w:val="00C9736A"/>
    <w:rsid w:val="00CA39C6"/>
    <w:rsid w:val="00CA5584"/>
    <w:rsid w:val="00CB033E"/>
    <w:rsid w:val="00CB1CAC"/>
    <w:rsid w:val="00CB5E37"/>
    <w:rsid w:val="00CC1567"/>
    <w:rsid w:val="00CC17C4"/>
    <w:rsid w:val="00CC2159"/>
    <w:rsid w:val="00CC280B"/>
    <w:rsid w:val="00CC35DD"/>
    <w:rsid w:val="00CC67D6"/>
    <w:rsid w:val="00CC7683"/>
    <w:rsid w:val="00CD007F"/>
    <w:rsid w:val="00CD2465"/>
    <w:rsid w:val="00CD2E13"/>
    <w:rsid w:val="00CD4304"/>
    <w:rsid w:val="00CD6800"/>
    <w:rsid w:val="00CE1A3A"/>
    <w:rsid w:val="00CE55CD"/>
    <w:rsid w:val="00CF0167"/>
    <w:rsid w:val="00CF1274"/>
    <w:rsid w:val="00CF2284"/>
    <w:rsid w:val="00CF347B"/>
    <w:rsid w:val="00CF5CEE"/>
    <w:rsid w:val="00CF7DDE"/>
    <w:rsid w:val="00D0064A"/>
    <w:rsid w:val="00D006E8"/>
    <w:rsid w:val="00D012B8"/>
    <w:rsid w:val="00D16F8F"/>
    <w:rsid w:val="00D2157E"/>
    <w:rsid w:val="00D22925"/>
    <w:rsid w:val="00D2496D"/>
    <w:rsid w:val="00D26F71"/>
    <w:rsid w:val="00D27193"/>
    <w:rsid w:val="00D3043C"/>
    <w:rsid w:val="00D32538"/>
    <w:rsid w:val="00D344C9"/>
    <w:rsid w:val="00D3558B"/>
    <w:rsid w:val="00D36AE8"/>
    <w:rsid w:val="00D3715A"/>
    <w:rsid w:val="00D4061F"/>
    <w:rsid w:val="00D407D0"/>
    <w:rsid w:val="00D51976"/>
    <w:rsid w:val="00D51C13"/>
    <w:rsid w:val="00D529C8"/>
    <w:rsid w:val="00D5522A"/>
    <w:rsid w:val="00D552F7"/>
    <w:rsid w:val="00D60C03"/>
    <w:rsid w:val="00D620A7"/>
    <w:rsid w:val="00D67C0E"/>
    <w:rsid w:val="00D67CDC"/>
    <w:rsid w:val="00D71371"/>
    <w:rsid w:val="00D71910"/>
    <w:rsid w:val="00D74D81"/>
    <w:rsid w:val="00D850E1"/>
    <w:rsid w:val="00D91070"/>
    <w:rsid w:val="00D920BC"/>
    <w:rsid w:val="00DB09DE"/>
    <w:rsid w:val="00DB2A0B"/>
    <w:rsid w:val="00DB5F0B"/>
    <w:rsid w:val="00DB630E"/>
    <w:rsid w:val="00DD015D"/>
    <w:rsid w:val="00DD226C"/>
    <w:rsid w:val="00DD2E20"/>
    <w:rsid w:val="00DD3CA2"/>
    <w:rsid w:val="00DD4368"/>
    <w:rsid w:val="00DE4B4F"/>
    <w:rsid w:val="00DE5FD8"/>
    <w:rsid w:val="00DF05A5"/>
    <w:rsid w:val="00DF6A3C"/>
    <w:rsid w:val="00DF6EEB"/>
    <w:rsid w:val="00DF7507"/>
    <w:rsid w:val="00E0302A"/>
    <w:rsid w:val="00E12418"/>
    <w:rsid w:val="00E125D0"/>
    <w:rsid w:val="00E20F50"/>
    <w:rsid w:val="00E25596"/>
    <w:rsid w:val="00E27973"/>
    <w:rsid w:val="00E31CB5"/>
    <w:rsid w:val="00E3409F"/>
    <w:rsid w:val="00E35943"/>
    <w:rsid w:val="00E51341"/>
    <w:rsid w:val="00E60393"/>
    <w:rsid w:val="00E63899"/>
    <w:rsid w:val="00E644CB"/>
    <w:rsid w:val="00E67888"/>
    <w:rsid w:val="00E67D76"/>
    <w:rsid w:val="00E70AA0"/>
    <w:rsid w:val="00E70C6C"/>
    <w:rsid w:val="00E75084"/>
    <w:rsid w:val="00E751C7"/>
    <w:rsid w:val="00E76125"/>
    <w:rsid w:val="00E868BA"/>
    <w:rsid w:val="00E9130A"/>
    <w:rsid w:val="00E9416F"/>
    <w:rsid w:val="00EA3666"/>
    <w:rsid w:val="00EB6880"/>
    <w:rsid w:val="00EB6D92"/>
    <w:rsid w:val="00EC0B9B"/>
    <w:rsid w:val="00EC35F5"/>
    <w:rsid w:val="00EC7B57"/>
    <w:rsid w:val="00ED369D"/>
    <w:rsid w:val="00ED3A60"/>
    <w:rsid w:val="00ED69BC"/>
    <w:rsid w:val="00EE02F7"/>
    <w:rsid w:val="00EE0AD8"/>
    <w:rsid w:val="00EE0F28"/>
    <w:rsid w:val="00EE2BA5"/>
    <w:rsid w:val="00EF104A"/>
    <w:rsid w:val="00EF10A8"/>
    <w:rsid w:val="00EF3A4D"/>
    <w:rsid w:val="00EF61A4"/>
    <w:rsid w:val="00EF6B4E"/>
    <w:rsid w:val="00F03AB1"/>
    <w:rsid w:val="00F0654E"/>
    <w:rsid w:val="00F22FC3"/>
    <w:rsid w:val="00F24BA6"/>
    <w:rsid w:val="00F25AD1"/>
    <w:rsid w:val="00F2789A"/>
    <w:rsid w:val="00F32B26"/>
    <w:rsid w:val="00F3402F"/>
    <w:rsid w:val="00F34BCE"/>
    <w:rsid w:val="00F45C90"/>
    <w:rsid w:val="00F46766"/>
    <w:rsid w:val="00F53265"/>
    <w:rsid w:val="00F5527E"/>
    <w:rsid w:val="00F56784"/>
    <w:rsid w:val="00F61F73"/>
    <w:rsid w:val="00F721D9"/>
    <w:rsid w:val="00F74149"/>
    <w:rsid w:val="00F76194"/>
    <w:rsid w:val="00F762BB"/>
    <w:rsid w:val="00F93C68"/>
    <w:rsid w:val="00F95D00"/>
    <w:rsid w:val="00F97169"/>
    <w:rsid w:val="00FA0F44"/>
    <w:rsid w:val="00FA5EAD"/>
    <w:rsid w:val="00FA623A"/>
    <w:rsid w:val="00FB1E6F"/>
    <w:rsid w:val="00FB53FA"/>
    <w:rsid w:val="00FB6BDD"/>
    <w:rsid w:val="00FB6F92"/>
    <w:rsid w:val="00FB77F3"/>
    <w:rsid w:val="00FC080F"/>
    <w:rsid w:val="00FC1732"/>
    <w:rsid w:val="00FC2629"/>
    <w:rsid w:val="00FC2E84"/>
    <w:rsid w:val="00FC44CF"/>
    <w:rsid w:val="00FD43F8"/>
    <w:rsid w:val="00FD6073"/>
    <w:rsid w:val="00FD60B6"/>
    <w:rsid w:val="00FD6428"/>
    <w:rsid w:val="00FE361D"/>
    <w:rsid w:val="00FE4DEA"/>
    <w:rsid w:val="00FE67AB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63A5E90"/>
  <w15:docId w15:val="{CF5260D4-3546-4C81-AA98-C63C9BD8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eastAsia="Arial" w:hAnsi="Arial"/>
      <w:sz w:val="20"/>
      <w:szCs w:val="20"/>
    </w:rPr>
  </w:style>
  <w:style w:type="paragraph" w:styleId="Cmsor1">
    <w:name w:val="heading 1"/>
    <w:basedOn w:val="Norml"/>
    <w:link w:val="Cmsor1Char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pPr>
      <w:ind w:left="784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="Calibri" w:eastAsia="MS Gothic" w:hAnsi="Calibri"/>
      <w:color w:val="376092"/>
      <w:kern w:val="2"/>
      <w:sz w:val="28"/>
      <w:szCs w:val="28"/>
      <w:lang w:val="el-GR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="Calibri" w:eastAsia="MS Gothic" w:hAnsi="Calibri"/>
      <w:i/>
      <w:color w:val="376092"/>
      <w:kern w:val="2"/>
      <w:lang w:val="el-GR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="Calibri" w:eastAsia="MS Gothic" w:hAnsi="Calibri"/>
      <w:color w:val="376092"/>
      <w:kern w:val="2"/>
      <w:lang w:val="el-GR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pPr>
      <w:keepNext/>
      <w:keepLines/>
      <w:widowControl/>
      <w:autoSpaceDE/>
      <w:autoSpaceDN/>
      <w:spacing w:before="40" w:line="259" w:lineRule="auto"/>
      <w:outlineLvl w:val="5"/>
    </w:pPr>
    <w:rPr>
      <w:rFonts w:ascii="Calibri" w:eastAsia="MS Gothic" w:hAnsi="Calibri"/>
      <w:i/>
      <w:color w:val="595959"/>
      <w:kern w:val="2"/>
      <w:lang w:val="el-GR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pPr>
      <w:keepNext/>
      <w:keepLines/>
      <w:widowControl/>
      <w:autoSpaceDE/>
      <w:autoSpaceDN/>
      <w:spacing w:before="40" w:line="259" w:lineRule="auto"/>
      <w:outlineLvl w:val="6"/>
    </w:pPr>
    <w:rPr>
      <w:rFonts w:ascii="Calibri" w:eastAsia="MS Gothic" w:hAnsi="Calibri"/>
      <w:color w:val="595959"/>
      <w:kern w:val="2"/>
      <w:lang w:val="el-GR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pPr>
      <w:keepNext/>
      <w:keepLines/>
      <w:widowControl/>
      <w:autoSpaceDE/>
      <w:autoSpaceDN/>
      <w:spacing w:line="259" w:lineRule="auto"/>
      <w:outlineLvl w:val="7"/>
    </w:pPr>
    <w:rPr>
      <w:rFonts w:ascii="Calibri" w:eastAsia="MS Gothic" w:hAnsi="Calibri"/>
      <w:i/>
      <w:color w:val="272727"/>
      <w:kern w:val="2"/>
      <w:lang w:val="el-GR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pPr>
      <w:keepNext/>
      <w:keepLines/>
      <w:widowControl/>
      <w:autoSpaceDE/>
      <w:autoSpaceDN/>
      <w:spacing w:line="259" w:lineRule="auto"/>
      <w:outlineLvl w:val="8"/>
    </w:pPr>
    <w:rPr>
      <w:rFonts w:ascii="Calibri" w:eastAsia="MS Gothic" w:hAnsi="Calibri"/>
      <w:color w:val="272727"/>
      <w:kern w:val="2"/>
      <w:lang w:val="el-G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6"/>
    </w:pPr>
  </w:style>
  <w:style w:type="paragraph" w:customStyle="1" w:styleId="TableParagraph">
    <w:name w:val="Table Paragraph"/>
    <w:basedOn w:val="Norml"/>
    <w:uiPriority w:val="1"/>
    <w:qFormat/>
    <w:pPr>
      <w:ind w:left="9"/>
      <w:jc w:val="center"/>
    </w:p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</w:rPr>
  </w:style>
  <w:style w:type="character" w:styleId="Hiperhivatkozs">
    <w:name w:val="Hyperlink"/>
    <w:basedOn w:val="Bekezdsalapbettpusa"/>
    <w:uiPriority w:val="99"/>
    <w:unhideWhenUsed/>
    <w:rPr>
      <w:color w:val="0000FF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</w:style>
  <w:style w:type="character" w:customStyle="1" w:styleId="JegyzetszvegChar">
    <w:name w:val="Jegyzetszöveg Char"/>
    <w:basedOn w:val="Bekezdsalapbettpusa"/>
    <w:link w:val="Jegyzetszveg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1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uiPriority w:val="99"/>
    <w:semiHidden/>
    <w:pPr>
      <w:widowControl/>
      <w:autoSpaceDE/>
      <w:autoSpaceDN/>
    </w:pPr>
    <w:rPr>
      <w:rFonts w:ascii="Times New Roman" w:eastAsia="Times New Roman" w:hAnsi="Times New Roman"/>
    </w:rPr>
  </w:style>
  <w:style w:type="character" w:customStyle="1" w:styleId="Cmsor3Char">
    <w:name w:val="Címsor 3 Char"/>
    <w:basedOn w:val="Bekezdsalapbettpusa"/>
    <w:link w:val="Cmsor3"/>
    <w:uiPriority w:val="9"/>
    <w:rPr>
      <w:rFonts w:eastAsia="MS Gothic"/>
      <w:color w:val="376092"/>
      <w:kern w:val="2"/>
      <w:sz w:val="28"/>
      <w:szCs w:val="28"/>
      <w:lang w:val="el-GR"/>
    </w:rPr>
  </w:style>
  <w:style w:type="character" w:customStyle="1" w:styleId="Cmsor4Char">
    <w:name w:val="Címsor 4 Char"/>
    <w:basedOn w:val="Bekezdsalapbettpusa"/>
    <w:link w:val="Cmsor4"/>
    <w:uiPriority w:val="9"/>
    <w:semiHidden/>
    <w:rPr>
      <w:rFonts w:eastAsia="MS Gothic"/>
      <w:i/>
      <w:color w:val="376092"/>
      <w:kern w:val="2"/>
      <w:lang w:val="el-GR"/>
    </w:rPr>
  </w:style>
  <w:style w:type="character" w:customStyle="1" w:styleId="Cmsor5Char">
    <w:name w:val="Címsor 5 Char"/>
    <w:basedOn w:val="Bekezdsalapbettpusa"/>
    <w:link w:val="Cmsor5"/>
    <w:uiPriority w:val="9"/>
    <w:semiHidden/>
    <w:rPr>
      <w:rFonts w:eastAsia="MS Gothic"/>
      <w:color w:val="376092"/>
      <w:kern w:val="2"/>
      <w:lang w:val="el-GR"/>
    </w:rPr>
  </w:style>
  <w:style w:type="character" w:customStyle="1" w:styleId="Cmsor6Char">
    <w:name w:val="Címsor 6 Char"/>
    <w:basedOn w:val="Bekezdsalapbettpusa"/>
    <w:link w:val="Cmsor6"/>
    <w:uiPriority w:val="9"/>
    <w:semiHidden/>
    <w:rPr>
      <w:rFonts w:eastAsia="MS Gothic"/>
      <w:i/>
      <w:color w:val="595959"/>
      <w:kern w:val="2"/>
      <w:lang w:val="el-GR"/>
    </w:rPr>
  </w:style>
  <w:style w:type="character" w:customStyle="1" w:styleId="Cmsor7Char">
    <w:name w:val="Címsor 7 Char"/>
    <w:basedOn w:val="Bekezdsalapbettpusa"/>
    <w:link w:val="Cmsor7"/>
    <w:uiPriority w:val="9"/>
    <w:semiHidden/>
    <w:rPr>
      <w:rFonts w:eastAsia="MS Gothic"/>
      <w:color w:val="595959"/>
      <w:kern w:val="2"/>
      <w:lang w:val="el-GR"/>
    </w:rPr>
  </w:style>
  <w:style w:type="character" w:customStyle="1" w:styleId="Cmsor8Char">
    <w:name w:val="Címsor 8 Char"/>
    <w:basedOn w:val="Bekezdsalapbettpusa"/>
    <w:link w:val="Cmsor8"/>
    <w:uiPriority w:val="9"/>
    <w:semiHidden/>
    <w:rPr>
      <w:rFonts w:eastAsia="MS Gothic"/>
      <w:i/>
      <w:color w:val="272727"/>
      <w:kern w:val="2"/>
      <w:lang w:val="el-GR"/>
    </w:rPr>
  </w:style>
  <w:style w:type="character" w:customStyle="1" w:styleId="Cmsor9Char">
    <w:name w:val="Címsor 9 Char"/>
    <w:basedOn w:val="Bekezdsalapbettpusa"/>
    <w:link w:val="Cmsor9"/>
    <w:uiPriority w:val="9"/>
    <w:semiHidden/>
    <w:rPr>
      <w:rFonts w:eastAsia="MS Gothic"/>
      <w:color w:val="272727"/>
      <w:kern w:val="2"/>
      <w:lang w:val="el-GR"/>
    </w:rPr>
  </w:style>
  <w:style w:type="character" w:customStyle="1" w:styleId="Cmsor1Char">
    <w:name w:val="Címsor 1 Char"/>
    <w:basedOn w:val="Bekezdsalapbettpusa"/>
    <w:link w:val="Cmsor1"/>
    <w:uiPriority w:val="9"/>
    <w:rPr>
      <w:rFonts w:ascii="Times New Roman" w:eastAsia="Times New Roman" w:hAnsi="Times New Roman" w:cs="Times New Roman"/>
      <w:b/>
      <w:bCs/>
    </w:rPr>
  </w:style>
  <w:style w:type="character" w:customStyle="1" w:styleId="Cmsor2Char">
    <w:name w:val="Címsor 2 Char"/>
    <w:basedOn w:val="Bekezdsalapbettpusa"/>
    <w:link w:val="Cmsor2"/>
    <w:uiPriority w:val="9"/>
    <w:rPr>
      <w:rFonts w:ascii="Times New Roman" w:eastAsia="Times New Roman" w:hAnsi="Times New Roman" w:cs="Times New Roman"/>
      <w:b/>
      <w:bCs/>
    </w:rPr>
  </w:style>
  <w:style w:type="paragraph" w:styleId="Cm">
    <w:name w:val="Title"/>
    <w:basedOn w:val="Norml"/>
    <w:next w:val="Norml"/>
    <w:link w:val="CmChar"/>
    <w:uiPriority w:val="10"/>
    <w:qFormat/>
    <w:pPr>
      <w:widowControl/>
      <w:autoSpaceDE/>
      <w:autoSpaceDN/>
      <w:spacing w:after="80"/>
      <w:contextualSpacing/>
    </w:pPr>
    <w:rPr>
      <w:rFonts w:ascii="Cambria" w:eastAsia="MS Gothic" w:hAnsi="Cambria"/>
      <w:spacing w:val="-10"/>
      <w:kern w:val="28"/>
      <w:sz w:val="56"/>
      <w:szCs w:val="56"/>
      <w:lang w:val="el-GR"/>
    </w:rPr>
  </w:style>
  <w:style w:type="character" w:customStyle="1" w:styleId="CmChar">
    <w:name w:val="Cím Char"/>
    <w:basedOn w:val="Bekezdsalapbettpusa"/>
    <w:link w:val="Cm"/>
    <w:uiPriority w:val="10"/>
    <w:rPr>
      <w:rFonts w:ascii="Cambria" w:eastAsia="MS Gothic" w:hAnsi="Cambria"/>
      <w:spacing w:val="-10"/>
      <w:kern w:val="28"/>
      <w:sz w:val="56"/>
      <w:szCs w:val="56"/>
      <w:lang w:val="el-GR"/>
    </w:rPr>
  </w:style>
  <w:style w:type="paragraph" w:styleId="Alcm">
    <w:name w:val="Subtitle"/>
    <w:basedOn w:val="Norml"/>
    <w:next w:val="Norml"/>
    <w:link w:val="AlcmChar"/>
    <w:uiPriority w:val="11"/>
    <w:qFormat/>
    <w:pPr>
      <w:widowControl/>
      <w:numPr>
        <w:ilvl w:val="1"/>
      </w:numPr>
      <w:autoSpaceDE/>
      <w:autoSpaceDN/>
      <w:spacing w:after="160" w:line="259" w:lineRule="auto"/>
    </w:pPr>
    <w:rPr>
      <w:rFonts w:ascii="Calibri" w:eastAsia="MS Gothic" w:hAnsi="Calibri"/>
      <w:color w:val="595959"/>
      <w:spacing w:val="15"/>
      <w:kern w:val="2"/>
      <w:sz w:val="28"/>
      <w:szCs w:val="28"/>
      <w:lang w:val="el-GR"/>
    </w:rPr>
  </w:style>
  <w:style w:type="character" w:customStyle="1" w:styleId="AlcmChar">
    <w:name w:val="Alcím Char"/>
    <w:basedOn w:val="Bekezdsalapbettpusa"/>
    <w:link w:val="Alcm"/>
    <w:uiPriority w:val="11"/>
    <w:rPr>
      <w:rFonts w:eastAsia="MS Gothic"/>
      <w:color w:val="595959"/>
      <w:spacing w:val="15"/>
      <w:kern w:val="2"/>
      <w:sz w:val="28"/>
      <w:szCs w:val="28"/>
      <w:lang w:val="el-GR"/>
    </w:rPr>
  </w:style>
  <w:style w:type="paragraph" w:styleId="Idzet">
    <w:name w:val="Quote"/>
    <w:basedOn w:val="Norml"/>
    <w:next w:val="Norml"/>
    <w:link w:val="IdzetChar"/>
    <w:uiPriority w:val="29"/>
    <w:qFormat/>
    <w:pPr>
      <w:widowControl/>
      <w:autoSpaceDE/>
      <w:autoSpaceDN/>
      <w:spacing w:before="160" w:after="160" w:line="259" w:lineRule="auto"/>
      <w:jc w:val="center"/>
    </w:pPr>
    <w:rPr>
      <w:rFonts w:ascii="Calibri" w:eastAsia="Calibri" w:hAnsi="Calibri"/>
      <w:i/>
      <w:color w:val="404040"/>
      <w:kern w:val="2"/>
      <w:lang w:val="el-GR"/>
    </w:rPr>
  </w:style>
  <w:style w:type="character" w:customStyle="1" w:styleId="IdzetChar">
    <w:name w:val="Idézet Char"/>
    <w:basedOn w:val="Bekezdsalapbettpusa"/>
    <w:link w:val="Idzet"/>
    <w:uiPriority w:val="29"/>
    <w:rPr>
      <w:i/>
      <w:color w:val="404040"/>
      <w:kern w:val="2"/>
      <w:lang w:val="el-GR"/>
    </w:rPr>
  </w:style>
  <w:style w:type="character" w:styleId="Erskiemels">
    <w:name w:val="Intense Emphasis"/>
    <w:basedOn w:val="Bekezdsalapbettpusa"/>
    <w:uiPriority w:val="21"/>
    <w:qFormat/>
    <w:rPr>
      <w:i/>
      <w:color w:val="376092"/>
    </w:rPr>
  </w:style>
  <w:style w:type="paragraph" w:styleId="Kiemeltidzet">
    <w:name w:val="Intense Quote"/>
    <w:basedOn w:val="Norml"/>
    <w:next w:val="Norml"/>
    <w:link w:val="KiemeltidzetChar"/>
    <w:uiPriority w:val="30"/>
    <w:qFormat/>
    <w:pPr>
      <w:widowControl/>
      <w:pBdr>
        <w:top w:val="single" w:sz="4" w:space="10" w:color="365F91"/>
        <w:bottom w:val="single" w:sz="4" w:space="10" w:color="365F91"/>
      </w:pBdr>
      <w:autoSpaceDE/>
      <w:autoSpaceDN/>
      <w:spacing w:before="360" w:after="360" w:line="259" w:lineRule="auto"/>
      <w:ind w:left="864" w:right="864"/>
      <w:jc w:val="center"/>
    </w:pPr>
    <w:rPr>
      <w:rFonts w:ascii="Calibri" w:eastAsia="Calibri" w:hAnsi="Calibri"/>
      <w:i/>
      <w:color w:val="376092"/>
      <w:kern w:val="2"/>
      <w:lang w:val="el-GR"/>
    </w:rPr>
  </w:style>
  <w:style w:type="character" w:customStyle="1" w:styleId="KiemeltidzetChar">
    <w:name w:val="Kiemelt idézet Char"/>
    <w:basedOn w:val="Bekezdsalapbettpusa"/>
    <w:link w:val="Kiemeltidzet"/>
    <w:uiPriority w:val="30"/>
    <w:rPr>
      <w:i/>
      <w:color w:val="376092"/>
      <w:kern w:val="2"/>
      <w:lang w:val="el-GR"/>
    </w:rPr>
  </w:style>
  <w:style w:type="character" w:styleId="Ershivatkozs">
    <w:name w:val="Intense Reference"/>
    <w:basedOn w:val="Bekezdsalapbettpusa"/>
    <w:uiPriority w:val="32"/>
    <w:qFormat/>
    <w:rPr>
      <w:b/>
      <w:bCs/>
      <w:smallCaps/>
      <w:color w:val="376092"/>
      <w:spacing w:val="5"/>
    </w:rPr>
  </w:style>
  <w:style w:type="numbering" w:customStyle="1" w:styleId="NoList1">
    <w:name w:val="No List1"/>
    <w:next w:val="Nemlista"/>
    <w:uiPriority w:val="99"/>
    <w:semiHidden/>
    <w:unhideWhenUsed/>
    <w:pPr>
      <w:numPr>
        <w:numId w:val="5"/>
      </w:numPr>
    </w:pPr>
  </w:style>
  <w:style w:type="character" w:customStyle="1" w:styleId="Hyperlink1">
    <w:name w:val="Hyperlink1"/>
    <w:basedOn w:val="Bekezdsalapbettpusa"/>
    <w:uiPriority w:val="99"/>
    <w:unhideWhenUsed/>
    <w:rPr>
      <w:color w:val="0000FF"/>
      <w:u w:val="single"/>
    </w:rPr>
  </w:style>
  <w:style w:type="paragraph" w:customStyle="1" w:styleId="Department">
    <w:name w:val="Department"/>
    <w:basedOn w:val="Norml"/>
    <w:pPr>
      <w:keepNext/>
      <w:widowControl/>
      <w:autoSpaceDE/>
      <w:autoSpaceDN/>
      <w:spacing w:before="360"/>
      <w:jc w:val="center"/>
    </w:pPr>
    <w:rPr>
      <w:sz w:val="28"/>
      <w:szCs w:val="28"/>
    </w:rPr>
  </w:style>
  <w:style w:type="paragraph" w:customStyle="1" w:styleId="Default">
    <w:name w:val="Default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character" w:styleId="Mrltotthiperhivatkozs">
    <w:name w:val="FollowedHyperlink"/>
    <w:basedOn w:val="Bekezdsalapbettpusa"/>
    <w:uiPriority w:val="99"/>
    <w:semiHidden/>
    <w:unhideWhenUsed/>
    <w:rPr>
      <w:color w:val="800080"/>
      <w:u w:val="single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738BE6828C9F9A468302AD51E2357EE6" ma:contentTypeVersion="19" ma:contentTypeDescription="Create a new document." ma:contentTypeScope="" ma:versionID="31edc3332a3c15d4c2c5fe36b393a704">
  <xsd:schema xmlns:xsd="http://www.w3.org/2001/XMLSchema" xmlns:xs="http://www.w3.org/2001/XMLSchema" xmlns:p="http://schemas.microsoft.com/office/2006/metadata/properties" xmlns:ns2="457195d8-cbb9-49fb-9814-c734bae6a29e" xmlns:ns3="2c351114-a3c4-4360-988e-0f81ad30c99a" targetNamespace="http://schemas.microsoft.com/office/2006/metadata/properties" ma:root="true" ma:fieldsID="197d691b6863348861f235e02b19e409" ns2:_="" ns3:_="">
    <xsd:import namespace="457195d8-cbb9-49fb-9814-c734bae6a29e"/>
    <xsd:import namespace="2c351114-a3c4-4360-988e-0f81ad30c9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MediaServiceOCR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195d8-cbb9-49fb-9814-c734bae6a2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Ετικέτες εικόνας" ma:readOnly="false" ma:fieldId="{5cf76f15-5ced-4ddc-b409-7134ff3c332f}" ma:taxonomyMulti="true" ma:sspId="ce6ad5a5-2755-4e97-9dfd-8deefe481a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51114-a3c4-4360-988e-0f81ad30c99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88b4526-99dd-483d-8b97-947a3e6d4566}" ma:internalName="TaxCatchAll" ma:showField="CatchAllData" ma:web="2c351114-a3c4-4360-988e-0f81ad30c9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Τύπος περιεχομένου"/>
        <xsd:element ref="dc:title" minOccurs="0" maxOccurs="1" ma:index="3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351114-a3c4-4360-988e-0f81ad30c99a" xsi:nil="true"/>
    <lcf76f155ced4ddcb4097134ff3c332f xmlns="457195d8-cbb9-49fb-9814-c734bae6a29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1DE23-0B76-4A28-B4A7-BA49563DEB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89AA2-4377-468B-A3C1-9E5BD29745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195d8-cbb9-49fb-9814-c734bae6a29e"/>
    <ds:schemaRef ds:uri="2c351114-a3c4-4360-988e-0f81ad30c9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5BAA30-5ABD-4EAE-B6AD-D3AFAA231DFB}">
  <ds:schemaRefs>
    <ds:schemaRef ds:uri="http://schemas.microsoft.com/office/2006/metadata/properties"/>
    <ds:schemaRef ds:uri="http://schemas.microsoft.com/office/infopath/2007/PartnerControls"/>
    <ds:schemaRef ds:uri="2c351114-a3c4-4360-988e-0f81ad30c99a"/>
    <ds:schemaRef ds:uri="457195d8-cbb9-49fb-9814-c734bae6a29e"/>
  </ds:schemaRefs>
</ds:datastoreItem>
</file>

<file path=customXml/itemProps4.xml><?xml version="1.0" encoding="utf-8"?>
<ds:datastoreItem xmlns:ds="http://schemas.openxmlformats.org/officeDocument/2006/customXml" ds:itemID="{33D52DFC-3481-4D7A-BC14-39205B7D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17</Pages>
  <Words>6536</Words>
  <Characters>45099</Characters>
  <Application>Microsoft Office Word</Application>
  <DocSecurity>0</DocSecurity>
  <Lines>375</Lines>
  <Paragraphs>103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EPAR</dc:subject>
  <dc:creator>Zoe Makropoulou</dc:creator>
  <cp:lastModifiedBy>HU OGYI 49.1</cp:lastModifiedBy>
  <cp:revision>23</cp:revision>
  <cp:lastPrinted>2025-08-21T12:27:00Z</cp:lastPrinted>
  <dcterms:created xsi:type="dcterms:W3CDTF">2026-08-27T14:22:00Z</dcterms:created>
  <dcterms:modified xsi:type="dcterms:W3CDTF">2026-09-30T11:13:00Z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0x010100738BE6828C9F9A468302AD51E2357EE6</vt:lpwstr>
  </property>
  <property fmtid="{D5CDD505-2E9C-101B-9397-08002B2CF9AE}" pid="3" name="Created">
    <vt:filetime>2024-08-02T00:00:00Z</vt:filetime>
  </property>
  <property fmtid="{D5CDD505-2E9C-101B-9397-08002B2CF9AE}" pid="4" name="Creator">
    <vt:lpwstr>Acrobat PDFMaker 15 for Word</vt:lpwstr>
  </property>
  <property fmtid="{D5CDD505-2E9C-101B-9397-08002B2CF9AE}" pid="5" name="DM_Author">
    <vt:lpwstr/>
  </property>
  <property fmtid="{D5CDD505-2E9C-101B-9397-08002B2CF9AE}" pid="6" name="DM_Authors">
    <vt:lpwstr/>
  </property>
  <property fmtid="{D5CDD505-2E9C-101B-9397-08002B2CF9AE}" pid="7" name="DM_Category">
    <vt:lpwstr>Product Information</vt:lpwstr>
  </property>
  <property fmtid="{D5CDD505-2E9C-101B-9397-08002B2CF9AE}" pid="8" name="DM_Creation_Date">
    <vt:lpwstr>09/11/2023 15:28:42</vt:lpwstr>
  </property>
  <property fmtid="{D5CDD505-2E9C-101B-9397-08002B2CF9AE}" pid="9" name="DM_Creator_Name">
    <vt:lpwstr>Hernandez Martinez De Lapiscina Elena</vt:lpwstr>
  </property>
  <property fmtid="{D5CDD505-2E9C-101B-9397-08002B2CF9AE}" pid="10" name="DM_DocRefId">
    <vt:lpwstr>EMA/CHMP/PRAC/365903/2023</vt:lpwstr>
  </property>
  <property fmtid="{D5CDD505-2E9C-101B-9397-08002B2CF9AE}" pid="11" name="DM_emea_bcc">
    <vt:lpwstr/>
  </property>
  <property fmtid="{D5CDD505-2E9C-101B-9397-08002B2CF9AE}" pid="12" name="DM_emea_cc">
    <vt:lpwstr/>
  </property>
  <property fmtid="{D5CDD505-2E9C-101B-9397-08002B2CF9AE}" pid="13" name="DM_emea_doc_category">
    <vt:lpwstr>General</vt:lpwstr>
  </property>
  <property fmtid="{D5CDD505-2E9C-101B-9397-08002B2CF9AE}" pid="14" name="DM_emea_doc_lang">
    <vt:lpwstr/>
  </property>
  <property fmtid="{D5CDD505-2E9C-101B-9397-08002B2CF9AE}" pid="15" name="DM_emea_doc_number">
    <vt:lpwstr>248588</vt:lpwstr>
  </property>
  <property fmtid="{D5CDD505-2E9C-101B-9397-08002B2CF9AE}" pid="16" name="DM_emea_doc_ref_id">
    <vt:lpwstr>EMA/CHMP/PRAC/365903/2023</vt:lpwstr>
  </property>
  <property fmtid="{D5CDD505-2E9C-101B-9397-08002B2CF9AE}" pid="17" name="DM_emea_from">
    <vt:lpwstr/>
  </property>
  <property fmtid="{D5CDD505-2E9C-101B-9397-08002B2CF9AE}" pid="18" name="DM_emea_internal_label">
    <vt:lpwstr>EMEA</vt:lpwstr>
  </property>
  <property fmtid="{D5CDD505-2E9C-101B-9397-08002B2CF9AE}" pid="19" name="DM_emea_legal_date">
    <vt:lpwstr>nulldate</vt:lpwstr>
  </property>
  <property fmtid="{D5CDD505-2E9C-101B-9397-08002B2CF9AE}" pid="20" name="DM_emea_message_subject">
    <vt:lpwstr/>
  </property>
  <property fmtid="{D5CDD505-2E9C-101B-9397-08002B2CF9AE}" pid="21" name="DM_emea_received_date">
    <vt:lpwstr>nulldate</vt:lpwstr>
  </property>
  <property fmtid="{D5CDD505-2E9C-101B-9397-08002B2CF9AE}" pid="22" name="DM_emea_resp_body">
    <vt:lpwstr/>
  </property>
  <property fmtid="{D5CDD505-2E9C-101B-9397-08002B2CF9AE}" pid="23" name="DM_emea_revision_label">
    <vt:lpwstr/>
  </property>
  <property fmtid="{D5CDD505-2E9C-101B-9397-08002B2CF9AE}" pid="24" name="DM_emea_sent_date">
    <vt:lpwstr>nulldate</vt:lpwstr>
  </property>
  <property fmtid="{D5CDD505-2E9C-101B-9397-08002B2CF9AE}" pid="25" name="DM_emea_to">
    <vt:lpwstr/>
  </property>
  <property fmtid="{D5CDD505-2E9C-101B-9397-08002B2CF9AE}" pid="26" name="DM_emea_year">
    <vt:lpwstr>2005</vt:lpwstr>
  </property>
  <property fmtid="{D5CDD505-2E9C-101B-9397-08002B2CF9AE}" pid="27" name="DM_Keywords">
    <vt:lpwstr/>
  </property>
  <property fmtid="{D5CDD505-2E9C-101B-9397-08002B2CF9AE}" pid="28" name="DM_Language">
    <vt:lpwstr/>
  </property>
  <property fmtid="{D5CDD505-2E9C-101B-9397-08002B2CF9AE}" pid="29" name="DM_Modifer_Name">
    <vt:lpwstr>Palencia Maria Jose</vt:lpwstr>
  </property>
  <property fmtid="{D5CDD505-2E9C-101B-9397-08002B2CF9AE}" pid="30" name="DM_Modified_Date">
    <vt:lpwstr>09/11/2023 16:04:44</vt:lpwstr>
  </property>
  <property fmtid="{D5CDD505-2E9C-101B-9397-08002B2CF9AE}" pid="31" name="DM_Modifier_Name">
    <vt:lpwstr>Palencia Maria Jose</vt:lpwstr>
  </property>
  <property fmtid="{D5CDD505-2E9C-101B-9397-08002B2CF9AE}" pid="32" name="DM_Modify_Date">
    <vt:lpwstr>09/11/2023 16:04:44</vt:lpwstr>
  </property>
  <property fmtid="{D5CDD505-2E9C-101B-9397-08002B2CF9AE}" pid="33" name="DM_Name">
    <vt:lpwstr>Mavenclad II-27 - EN PI (highlighted) 09.11.2023</vt:lpwstr>
  </property>
  <property fmtid="{D5CDD505-2E9C-101B-9397-08002B2CF9AE}" pid="34" name="DM_Owner">
    <vt:lpwstr>Buch Monica</vt:lpwstr>
  </property>
  <property fmtid="{D5CDD505-2E9C-101B-9397-08002B2CF9AE}" pid="35" name="DM_Path">
    <vt:lpwstr>/01. Evaluation of Medicines/H-C/M-O/Mavenclad - 004230/05 Post Authorisation/Post Activities/2023-xx-xx-4230-II-0027/02. Evaluation</vt:lpwstr>
  </property>
  <property fmtid="{D5CDD505-2E9C-101B-9397-08002B2CF9AE}" pid="36" name="DM_Status">
    <vt:lpwstr/>
  </property>
  <property fmtid="{D5CDD505-2E9C-101B-9397-08002B2CF9AE}" pid="37" name="DM_Subject">
    <vt:lpwstr/>
  </property>
  <property fmtid="{D5CDD505-2E9C-101B-9397-08002B2CF9AE}" pid="38" name="DM_Title">
    <vt:lpwstr/>
  </property>
  <property fmtid="{D5CDD505-2E9C-101B-9397-08002B2CF9AE}" pid="39" name="DM_Type">
    <vt:lpwstr>emea_document</vt:lpwstr>
  </property>
  <property fmtid="{D5CDD505-2E9C-101B-9397-08002B2CF9AE}" pid="40" name="DM_Version">
    <vt:lpwstr>09-11-2023,1.4,CURRENT</vt:lpwstr>
  </property>
  <property fmtid="{D5CDD505-2E9C-101B-9397-08002B2CF9AE}" pid="41" name="LastSaved">
    <vt:filetime>2024-10-09T00:00:00Z</vt:filetime>
  </property>
  <property fmtid="{D5CDD505-2E9C-101B-9397-08002B2CF9AE}" pid="42" name="MediaServiceImageTags">
    <vt:lpwstr/>
  </property>
  <property fmtid="{D5CDD505-2E9C-101B-9397-08002B2CF9AE}" pid="43" name="MSIP_Label_1c5a8c0c-2da9-43c7-aad8-af4b433b766e_ActionId">
    <vt:lpwstr>dba00bee-30c0-4553-b799-80ef9a0029e2</vt:lpwstr>
  </property>
  <property fmtid="{D5CDD505-2E9C-101B-9397-08002B2CF9AE}" pid="44" name="MSIP_Label_1c5a8c0c-2da9-43c7-aad8-af4b433b766e_ContentBits">
    <vt:lpwstr>0</vt:lpwstr>
  </property>
  <property fmtid="{D5CDD505-2E9C-101B-9397-08002B2CF9AE}" pid="45" name="MSIP_Label_1c5a8c0c-2da9-43c7-aad8-af4b433b766e_Enabled">
    <vt:lpwstr>true</vt:lpwstr>
  </property>
  <property fmtid="{D5CDD505-2E9C-101B-9397-08002B2CF9AE}" pid="46" name="MSIP_Label_1c5a8c0c-2da9-43c7-aad8-af4b433b766e_Method">
    <vt:lpwstr>Privileged</vt:lpwstr>
  </property>
  <property fmtid="{D5CDD505-2E9C-101B-9397-08002B2CF9AE}" pid="47" name="MSIP_Label_1c5a8c0c-2da9-43c7-aad8-af4b433b766e_Name">
    <vt:lpwstr>L002S002</vt:lpwstr>
  </property>
  <property fmtid="{D5CDD505-2E9C-101B-9397-08002B2CF9AE}" pid="48" name="MSIP_Label_1c5a8c0c-2da9-43c7-aad8-af4b433b766e_SetDate">
    <vt:lpwstr>2025-08-20T07:58:07Z</vt:lpwstr>
  </property>
  <property fmtid="{D5CDD505-2E9C-101B-9397-08002B2CF9AE}" pid="49" name="MSIP_Label_1c5a8c0c-2da9-43c7-aad8-af4b433b766e_SiteId">
    <vt:lpwstr>2c0d789f-2311-4d29-83c5-395a89052a25</vt:lpwstr>
  </property>
  <property fmtid="{D5CDD505-2E9C-101B-9397-08002B2CF9AE}" pid="50" name="MSIP_Label_1c5a8c0c-2da9-43c7-aad8-af4b433b766e_Tag">
    <vt:lpwstr>10, 0, 1, 1</vt:lpwstr>
  </property>
  <property fmtid="{D5CDD505-2E9C-101B-9397-08002B2CF9AE}" pid="51" name="MSIP_Label_503f6870-8cd0-455e-9544-ac69fe858a10_ActionId">
    <vt:lpwstr>eb9c063c-35d6-4c91-888a-f34e650317fc</vt:lpwstr>
  </property>
  <property fmtid="{D5CDD505-2E9C-101B-9397-08002B2CF9AE}" pid="52" name="MSIP_Label_503f6870-8cd0-455e-9544-ac69fe858a10_ContentBits">
    <vt:lpwstr>0</vt:lpwstr>
  </property>
  <property fmtid="{D5CDD505-2E9C-101B-9397-08002B2CF9AE}" pid="53" name="MSIP_Label_503f6870-8cd0-455e-9544-ac69fe858a10_Enabled">
    <vt:lpwstr>true</vt:lpwstr>
  </property>
  <property fmtid="{D5CDD505-2E9C-101B-9397-08002B2CF9AE}" pid="54" name="MSIP_Label_503f6870-8cd0-455e-9544-ac69fe858a10_Method">
    <vt:lpwstr>Privileged</vt:lpwstr>
  </property>
  <property fmtid="{D5CDD505-2E9C-101B-9397-08002B2CF9AE}" pid="55" name="MSIP_Label_503f6870-8cd0-455e-9544-ac69fe858a10_Name">
    <vt:lpwstr>503f6870-8cd0-455e-9544-ac69fe858a10</vt:lpwstr>
  </property>
  <property fmtid="{D5CDD505-2E9C-101B-9397-08002B2CF9AE}" pid="56" name="MSIP_Label_503f6870-8cd0-455e-9544-ac69fe858a10_SetDate">
    <vt:lpwstr>2023-08-10T11:44:14Z</vt:lpwstr>
  </property>
  <property fmtid="{D5CDD505-2E9C-101B-9397-08002B2CF9AE}" pid="57" name="MSIP_Label_503f6870-8cd0-455e-9544-ac69fe858a10_SiteId">
    <vt:lpwstr>bc9dc15c-61bc-4f03-b60b-e5b6d8922839</vt:lpwstr>
  </property>
  <property fmtid="{D5CDD505-2E9C-101B-9397-08002B2CF9AE}" pid="58" name="Producer">
    <vt:lpwstr>Adobe PDF Library 15.0</vt:lpwstr>
  </property>
  <property fmtid="{D5CDD505-2E9C-101B-9397-08002B2CF9AE}" pid="59" name="SourceModified">
    <vt:lpwstr>D:20240802111217</vt:lpwstr>
  </property>
  <property fmtid="{D5CDD505-2E9C-101B-9397-08002B2CF9AE}" pid="60" name="DMS_Doc_ID">
    <vt:lpwstr>158175750</vt:lpwstr>
  </property>
</Properties>
</file>