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B0ACD" w14:textId="77777777" w:rsidR="00EE208D" w:rsidRPr="001C4E99" w:rsidRDefault="00EE208D" w:rsidP="001C4E99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</w:rPr>
      </w:pPr>
      <w:r w:rsidRPr="001C4E99">
        <w:rPr>
          <w:b/>
        </w:rPr>
        <w:t>A GYÓGYSZER</w:t>
      </w:r>
      <w:r w:rsidRPr="001C4E99">
        <w:rPr>
          <w:b/>
          <w:spacing w:val="-3"/>
        </w:rPr>
        <w:t xml:space="preserve"> </w:t>
      </w:r>
      <w:r w:rsidRPr="001C4E99">
        <w:rPr>
          <w:b/>
        </w:rPr>
        <w:t>NEVE</w:t>
      </w:r>
    </w:p>
    <w:p w14:paraId="46BA2FD1" w14:textId="77777777" w:rsidR="00EE208D" w:rsidRPr="001B0D61" w:rsidRDefault="00EE208D" w:rsidP="00EE208D"/>
    <w:p w14:paraId="6FC93A7E" w14:textId="77777777" w:rsidR="00EE208D" w:rsidRPr="001B0D61" w:rsidRDefault="00EE208D" w:rsidP="00EE208D">
      <w:r w:rsidRPr="001B0D61">
        <w:t>Ivacaftor Teva 150 mg filmtabletta</w:t>
      </w:r>
    </w:p>
    <w:p w14:paraId="15D5DE40" w14:textId="77777777" w:rsidR="00EE208D" w:rsidRPr="001B0D61" w:rsidRDefault="00EE208D" w:rsidP="00EE208D"/>
    <w:p w14:paraId="48BBF512" w14:textId="77777777" w:rsidR="00EE208D" w:rsidRPr="001B0D61" w:rsidRDefault="00EE208D" w:rsidP="00EE208D"/>
    <w:p w14:paraId="6DB599BD" w14:textId="77777777" w:rsidR="00EE208D" w:rsidRPr="001B0D61" w:rsidRDefault="00EE208D" w:rsidP="00EE208D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  <w:bCs/>
        </w:rPr>
      </w:pPr>
      <w:r w:rsidRPr="001B0D61">
        <w:rPr>
          <w:b/>
          <w:bCs/>
        </w:rPr>
        <w:t>MINŐSÉGI ÉS MENNYISÉGI</w:t>
      </w:r>
      <w:r w:rsidRPr="001B0D61">
        <w:rPr>
          <w:b/>
          <w:bCs/>
          <w:spacing w:val="-3"/>
        </w:rPr>
        <w:t xml:space="preserve"> </w:t>
      </w:r>
      <w:r w:rsidRPr="001B0D61">
        <w:rPr>
          <w:b/>
          <w:bCs/>
        </w:rPr>
        <w:t>ÖSSZETÉTEL</w:t>
      </w:r>
    </w:p>
    <w:p w14:paraId="6AD7DE92" w14:textId="77777777" w:rsidR="00EE208D" w:rsidRPr="001B0D61" w:rsidRDefault="00EE208D" w:rsidP="00EE208D"/>
    <w:p w14:paraId="76826B11" w14:textId="77777777" w:rsidR="00EE208D" w:rsidRPr="001B0D61" w:rsidRDefault="00EE208D" w:rsidP="00EE208D">
      <w:r w:rsidRPr="001B0D61">
        <w:t>150 mg ivakaftort tartalmaz filmtablettánként.</w:t>
      </w:r>
    </w:p>
    <w:p w14:paraId="045257E7" w14:textId="77777777" w:rsidR="00EE208D" w:rsidRPr="001B0D61" w:rsidRDefault="00EE208D" w:rsidP="00EE208D"/>
    <w:p w14:paraId="6602DB9C" w14:textId="77777777" w:rsidR="00EE208D" w:rsidRPr="001B0D61" w:rsidRDefault="00EE208D" w:rsidP="00EE208D">
      <w:pPr>
        <w:rPr>
          <w:i/>
          <w:u w:val="single"/>
        </w:rPr>
      </w:pPr>
      <w:r w:rsidRPr="001B0D61">
        <w:rPr>
          <w:i/>
          <w:u w:val="single"/>
        </w:rPr>
        <w:t>Ismert hatású segédanyag</w:t>
      </w:r>
    </w:p>
    <w:p w14:paraId="16AFCD56" w14:textId="77777777" w:rsidR="00EE208D" w:rsidRPr="001B0D61" w:rsidRDefault="00EE208D" w:rsidP="00EE208D">
      <w:r w:rsidRPr="001B0D61">
        <w:t>173,6 mg laktózt tartalmaz (laktóz-monohidrát formájában) filmtablettánként. A segédanyagok teljes listáját lásd a 6.1 pontban.</w:t>
      </w:r>
    </w:p>
    <w:p w14:paraId="716511AA" w14:textId="77777777" w:rsidR="00EE208D" w:rsidRPr="001B0D61" w:rsidRDefault="00EE208D" w:rsidP="00EE208D"/>
    <w:p w14:paraId="4D639427" w14:textId="77777777" w:rsidR="00EE208D" w:rsidRPr="001B0D61" w:rsidRDefault="00EE208D" w:rsidP="00EE208D"/>
    <w:p w14:paraId="00377D81" w14:textId="77777777" w:rsidR="00EE208D" w:rsidRPr="001B0D61" w:rsidRDefault="00EE208D" w:rsidP="00EE208D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  <w:bCs/>
        </w:rPr>
      </w:pPr>
      <w:r w:rsidRPr="001B0D61">
        <w:rPr>
          <w:b/>
          <w:bCs/>
          <w:w w:val="95"/>
        </w:rPr>
        <w:t xml:space="preserve">GYÓGYSZERFORMA </w:t>
      </w:r>
    </w:p>
    <w:p w14:paraId="6BD66F77" w14:textId="77777777" w:rsidR="00EE208D" w:rsidRPr="001B0D61" w:rsidRDefault="00EE208D" w:rsidP="00EE208D"/>
    <w:p w14:paraId="1C7F0B84" w14:textId="77777777" w:rsidR="00EE208D" w:rsidRPr="001B0D61" w:rsidRDefault="00EE208D" w:rsidP="00EE208D">
      <w:pPr>
        <w:rPr>
          <w:u w:val="single"/>
        </w:rPr>
      </w:pPr>
      <w:r w:rsidRPr="001B0D61">
        <w:t>Filmtabletta (tabletta)</w:t>
      </w:r>
    </w:p>
    <w:p w14:paraId="50E97C60" w14:textId="1EF3E335" w:rsidR="00EE208D" w:rsidRPr="001B0D61" w:rsidRDefault="00EE208D" w:rsidP="00EE208D">
      <w:r w:rsidRPr="001B0D61">
        <w:t xml:space="preserve">Kék színű, </w:t>
      </w:r>
      <w:r w:rsidR="0041202D">
        <w:t xml:space="preserve">ovális </w:t>
      </w:r>
      <w:r w:rsidRPr="001B0D61">
        <w:t>(16,7 mm × 8,5 mm), egyik oldalán</w:t>
      </w:r>
      <w:r w:rsidR="0041202D">
        <w:t xml:space="preserve"> mélynyomású</w:t>
      </w:r>
      <w:r w:rsidRPr="001B0D61">
        <w:t xml:space="preserve"> „TV”, a másik oldalán </w:t>
      </w:r>
      <w:r w:rsidRPr="001B0D61">
        <w:rPr>
          <w:spacing w:val="-2"/>
        </w:rPr>
        <w:t>„L15”</w:t>
      </w:r>
      <w:r w:rsidRPr="001B0D61">
        <w:t xml:space="preserve"> mélynyomású jelöléssel ellátott filmtabletta.</w:t>
      </w:r>
    </w:p>
    <w:p w14:paraId="28555C46" w14:textId="77777777" w:rsidR="00EE208D" w:rsidRPr="001B0D61" w:rsidRDefault="00EE208D" w:rsidP="00EE208D"/>
    <w:p w14:paraId="6DC1A465" w14:textId="77777777" w:rsidR="00EE208D" w:rsidRPr="001B0D61" w:rsidRDefault="00EE208D" w:rsidP="00EE208D"/>
    <w:p w14:paraId="38CCB505" w14:textId="77777777" w:rsidR="00EE208D" w:rsidRPr="001B0D61" w:rsidRDefault="00EE208D" w:rsidP="00EE208D">
      <w:pPr>
        <w:pStyle w:val="Listaszerbekezds"/>
        <w:numPr>
          <w:ilvl w:val="0"/>
          <w:numId w:val="1"/>
        </w:numPr>
        <w:ind w:left="567" w:hanging="567"/>
        <w:contextualSpacing w:val="0"/>
        <w:rPr>
          <w:b/>
          <w:bCs/>
        </w:rPr>
      </w:pPr>
      <w:r w:rsidRPr="001B0D61">
        <w:rPr>
          <w:b/>
          <w:bCs/>
        </w:rPr>
        <w:t>KLINIKAI JELLEMZŐK</w:t>
      </w:r>
    </w:p>
    <w:p w14:paraId="20496440" w14:textId="77777777" w:rsidR="00EE208D" w:rsidRPr="001B0D61" w:rsidRDefault="00EE208D" w:rsidP="00EE208D"/>
    <w:p w14:paraId="3A97A026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4.1</w:t>
      </w:r>
      <w:r w:rsidRPr="001B0D61">
        <w:rPr>
          <w:b/>
          <w:bCs/>
        </w:rPr>
        <w:tab/>
        <w:t>Terápiás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javallatok</w:t>
      </w:r>
    </w:p>
    <w:p w14:paraId="65E7B4C8" w14:textId="77777777" w:rsidR="00EE208D" w:rsidRPr="001B0D61" w:rsidRDefault="00EE208D" w:rsidP="00EE208D"/>
    <w:p w14:paraId="050F5AD7" w14:textId="77777777" w:rsidR="00EE208D" w:rsidRPr="001B0D61" w:rsidRDefault="00EE208D" w:rsidP="00EE208D">
      <w:r w:rsidRPr="001B0D61">
        <w:t>Az Ivacaftor Teva tabletta az alábbiak kezelésére javallott:</w:t>
      </w:r>
    </w:p>
    <w:p w14:paraId="391C9916" w14:textId="5DE575BC" w:rsidR="00EE208D" w:rsidRPr="001B0D61" w:rsidRDefault="00EE208D" w:rsidP="00EE208D">
      <w:pPr>
        <w:pStyle w:val="Listaszerbekezds"/>
        <w:numPr>
          <w:ilvl w:val="0"/>
          <w:numId w:val="2"/>
        </w:numPr>
        <w:ind w:left="567" w:hanging="567"/>
        <w:contextualSpacing w:val="0"/>
        <w:rPr>
          <w:rFonts w:ascii="Symbol" w:hAnsi="Symbol"/>
        </w:rPr>
      </w:pPr>
      <w:proofErr w:type="gramStart"/>
      <w:r w:rsidRPr="001B0D61">
        <w:t xml:space="preserve">monoterápiában </w:t>
      </w:r>
      <w:r w:rsidR="00EF00AD">
        <w:t>cysticus fibrosisban (</w:t>
      </w:r>
      <w:r w:rsidRPr="001B0D61">
        <w:t>cisztás fibrózisban CF) szenvedő</w:t>
      </w:r>
      <w:r w:rsidR="00EF00AD">
        <w:t xml:space="preserve"> felnőttek, serdülők és</w:t>
      </w:r>
      <w:r w:rsidRPr="001B0D61">
        <w:t xml:space="preserve"> </w:t>
      </w:r>
      <w:r w:rsidR="008D1E93">
        <w:t xml:space="preserve">legalább </w:t>
      </w:r>
      <w:r w:rsidR="00EF00AD">
        <w:t xml:space="preserve">6 éves, legalább </w:t>
      </w:r>
      <w:r w:rsidRPr="001B0D61">
        <w:t>25 kg</w:t>
      </w:r>
      <w:r w:rsidR="00EF00AD">
        <w:t xml:space="preserve"> testtömegű gyermekek</w:t>
      </w:r>
      <w:r w:rsidRPr="001B0D61">
        <w:t xml:space="preserve"> kezelésére, akik </w:t>
      </w:r>
      <w:r w:rsidRPr="001B0D61">
        <w:rPr>
          <w:i/>
        </w:rPr>
        <w:t xml:space="preserve">R117H CFTR </w:t>
      </w:r>
      <w:r w:rsidRPr="001B0D61">
        <w:t xml:space="preserve">mutációval vagy a következő kapuzási (III. osztályú) mutációk </w:t>
      </w:r>
      <w:r w:rsidR="00140F08">
        <w:t>egyikével rendelkeznek a cysticus fibrosis</w:t>
      </w:r>
      <w:r w:rsidRPr="001B0D61">
        <w:t xml:space="preserve"> transzmembrán konduktancia regulátor (</w:t>
      </w:r>
      <w:r w:rsidRPr="001B0D61">
        <w:rPr>
          <w:i/>
        </w:rPr>
        <w:t>CFTR</w:t>
      </w:r>
      <w:r w:rsidRPr="001B0D61">
        <w:t xml:space="preserve">)-génen: </w:t>
      </w:r>
      <w:r w:rsidRPr="001B0D61">
        <w:rPr>
          <w:i/>
        </w:rPr>
        <w:t xml:space="preserve">G551D, G1244E, G1349D, G178R, G551S, S1251N, S1255P, S549N </w:t>
      </w:r>
      <w:r w:rsidRPr="001B0D61">
        <w:t xml:space="preserve">vagy </w:t>
      </w:r>
      <w:r w:rsidRPr="001B0D61">
        <w:rPr>
          <w:i/>
        </w:rPr>
        <w:t xml:space="preserve">S549R </w:t>
      </w:r>
      <w:r w:rsidRPr="001B0D61">
        <w:t>(lásd a 4.4 és 5.1 pont).</w:t>
      </w:r>
      <w:proofErr w:type="gramEnd"/>
    </w:p>
    <w:p w14:paraId="1929B690" w14:textId="77777777" w:rsidR="00EE208D" w:rsidRPr="001B0D61" w:rsidRDefault="00EE208D" w:rsidP="00EE208D"/>
    <w:p w14:paraId="704D766B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4.2</w:t>
      </w:r>
      <w:r w:rsidRPr="001B0D61">
        <w:rPr>
          <w:b/>
          <w:bCs/>
        </w:rPr>
        <w:tab/>
        <w:t>Adagolás és</w:t>
      </w:r>
      <w:r w:rsidRPr="001B0D61">
        <w:rPr>
          <w:b/>
          <w:bCs/>
          <w:spacing w:val="-3"/>
        </w:rPr>
        <w:t xml:space="preserve"> </w:t>
      </w:r>
      <w:r w:rsidRPr="001B0D61">
        <w:rPr>
          <w:b/>
          <w:bCs/>
        </w:rPr>
        <w:t>alkalmazás</w:t>
      </w:r>
    </w:p>
    <w:p w14:paraId="66C4EB58" w14:textId="77777777" w:rsidR="00EE208D" w:rsidRPr="001B0D61" w:rsidRDefault="00EE208D" w:rsidP="00EE208D"/>
    <w:p w14:paraId="2B856E34" w14:textId="3392B469" w:rsidR="00EE208D" w:rsidRPr="001B0D61" w:rsidRDefault="00EE208D" w:rsidP="00EE208D">
      <w:r w:rsidRPr="001B0D61">
        <w:t>Az Ivac</w:t>
      </w:r>
      <w:r w:rsidR="00140F08">
        <w:t>aftor Teva-t kizárólag a cysticus fibros</w:t>
      </w:r>
      <w:r w:rsidRPr="001B0D61">
        <w:t xml:space="preserve">is kezelésében jártas </w:t>
      </w:r>
      <w:r w:rsidR="005D4FF9">
        <w:t>szak</w:t>
      </w:r>
      <w:r w:rsidRPr="001B0D61">
        <w:t xml:space="preserve">orvosok írhatják fel. Ha a beteg genotípusa nem ismert, akkor a kezelés megkezdése előtt pontos és validált genotipizálási módszerrel igazolni kell a megadott mutációk egyikének jelenlétét a </w:t>
      </w:r>
      <w:r w:rsidRPr="001B0D61">
        <w:rPr>
          <w:i/>
        </w:rPr>
        <w:t>CFTR</w:t>
      </w:r>
      <w:r w:rsidRPr="001B0D61">
        <w:t xml:space="preserve">-génen (lásd 4.1 pont). A helyi klinikai ajánlásoknak megfelelően meg kell határozni az </w:t>
      </w:r>
      <w:r w:rsidRPr="001B0D61">
        <w:rPr>
          <w:i/>
        </w:rPr>
        <w:t>R117H</w:t>
      </w:r>
      <w:r w:rsidRPr="001B0D61">
        <w:t>-mutációval azonosított poli-T-variáns fázisát.</w:t>
      </w:r>
    </w:p>
    <w:p w14:paraId="38E1958F" w14:textId="77777777" w:rsidR="00EE208D" w:rsidRPr="001B0D61" w:rsidRDefault="00EE208D" w:rsidP="00EE208D"/>
    <w:p w14:paraId="15A20DA8" w14:textId="77777777" w:rsidR="000F59E7" w:rsidRPr="001B0D61" w:rsidRDefault="000F59E7" w:rsidP="00EE208D"/>
    <w:p w14:paraId="41337287" w14:textId="77777777" w:rsidR="00EE208D" w:rsidRPr="001B0D61" w:rsidRDefault="00EE208D" w:rsidP="00EE208D">
      <w:r w:rsidRPr="001B0D61">
        <w:rPr>
          <w:u w:val="single"/>
        </w:rPr>
        <w:t>Adagolás</w:t>
      </w:r>
    </w:p>
    <w:p w14:paraId="6DBD8E3D" w14:textId="77777777" w:rsidR="00EE208D" w:rsidRPr="001B0D61" w:rsidRDefault="00EE208D" w:rsidP="00EE208D"/>
    <w:p w14:paraId="1C06BB44" w14:textId="1C1202F9" w:rsidR="00EE208D" w:rsidRPr="001B0D61" w:rsidRDefault="00EE208D" w:rsidP="00EE208D">
      <w:r w:rsidRPr="001B0D61">
        <w:t xml:space="preserve">Felnőttek, serdülők, valamint </w:t>
      </w:r>
      <w:r w:rsidR="006F1841">
        <w:t xml:space="preserve">legalább </w:t>
      </w:r>
      <w:r w:rsidRPr="001B0D61">
        <w:t>6 éves gyermekek számára az adagolást az 1. táblázat szerint kell meghatározni.</w:t>
      </w:r>
    </w:p>
    <w:p w14:paraId="494AD1FB" w14:textId="77777777" w:rsidR="00EE208D" w:rsidRPr="001B0D61" w:rsidRDefault="00EE208D" w:rsidP="00EE208D"/>
    <w:p w14:paraId="2CBF107F" w14:textId="77777777" w:rsidR="0072102F" w:rsidRPr="001B0D61" w:rsidRDefault="0072102F" w:rsidP="0072102F">
      <w:pPr>
        <w:pStyle w:val="Listaszerbekezds"/>
        <w:numPr>
          <w:ilvl w:val="0"/>
          <w:numId w:val="4"/>
        </w:numPr>
        <w:ind w:left="284" w:hanging="284"/>
        <w:contextualSpacing w:val="0"/>
        <w:rPr>
          <w:b/>
          <w:bCs/>
        </w:rPr>
      </w:pPr>
      <w:r w:rsidRPr="001B0D61">
        <w:rPr>
          <w:b/>
          <w:bCs/>
        </w:rPr>
        <w:t>táblázat: Adagolási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ajánlások</w:t>
      </w:r>
    </w:p>
    <w:p w14:paraId="38E8A623" w14:textId="77777777" w:rsidR="0072102F" w:rsidRPr="001B0D61" w:rsidRDefault="0072102F" w:rsidP="0072102F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4110"/>
        <w:gridCol w:w="2268"/>
      </w:tblGrid>
      <w:tr w:rsidR="0072102F" w:rsidRPr="001B0D61" w14:paraId="4AE445A6" w14:textId="77777777" w:rsidTr="008D1E93">
        <w:trPr>
          <w:trHeight w:val="324"/>
        </w:trPr>
        <w:tc>
          <w:tcPr>
            <w:tcW w:w="2694" w:type="dxa"/>
          </w:tcPr>
          <w:p w14:paraId="503A69ED" w14:textId="77777777" w:rsidR="0072102F" w:rsidRPr="001B0D61" w:rsidRDefault="0072102F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Életkor/testtömeg</w:t>
            </w:r>
          </w:p>
        </w:tc>
        <w:tc>
          <w:tcPr>
            <w:tcW w:w="4110" w:type="dxa"/>
          </w:tcPr>
          <w:p w14:paraId="6BFE8170" w14:textId="77777777" w:rsidR="0072102F" w:rsidRPr="001B0D61" w:rsidRDefault="0072102F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Reggeli dózis</w:t>
            </w:r>
          </w:p>
        </w:tc>
        <w:tc>
          <w:tcPr>
            <w:tcW w:w="2268" w:type="dxa"/>
          </w:tcPr>
          <w:p w14:paraId="1DB88573" w14:textId="77777777" w:rsidR="0072102F" w:rsidRPr="001B0D61" w:rsidRDefault="0072102F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Esti dózis</w:t>
            </w:r>
          </w:p>
        </w:tc>
      </w:tr>
      <w:tr w:rsidR="0072102F" w:rsidRPr="001B0D61" w14:paraId="5FC7C509" w14:textId="77777777" w:rsidTr="008D1E93">
        <w:trPr>
          <w:trHeight w:val="305"/>
        </w:trPr>
        <w:tc>
          <w:tcPr>
            <w:tcW w:w="9072" w:type="dxa"/>
            <w:gridSpan w:val="3"/>
          </w:tcPr>
          <w:p w14:paraId="3250C5FA" w14:textId="77777777" w:rsidR="0072102F" w:rsidRPr="001B0D61" w:rsidRDefault="0072102F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Ivakaftor monoterápiában</w:t>
            </w:r>
          </w:p>
        </w:tc>
      </w:tr>
      <w:tr w:rsidR="0072102F" w:rsidRPr="001B0D61" w14:paraId="3BED29B7" w14:textId="77777777" w:rsidTr="008D1E93">
        <w:trPr>
          <w:trHeight w:val="675"/>
        </w:trPr>
        <w:tc>
          <w:tcPr>
            <w:tcW w:w="2694" w:type="dxa"/>
          </w:tcPr>
          <w:p w14:paraId="0DDED379" w14:textId="3BAAB429" w:rsidR="0072102F" w:rsidRPr="001B0D61" w:rsidRDefault="006F1841" w:rsidP="008D1E93">
            <w:pPr>
              <w:rPr>
                <w:lang w:val="hu-HU"/>
              </w:rPr>
            </w:pPr>
            <w:r>
              <w:rPr>
                <w:lang w:val="hu-HU"/>
              </w:rPr>
              <w:t xml:space="preserve">legalább </w:t>
            </w:r>
            <w:r w:rsidR="0072102F" w:rsidRPr="001B0D61">
              <w:rPr>
                <w:lang w:val="hu-HU"/>
              </w:rPr>
              <w:t>6 éves</w:t>
            </w:r>
            <w:r>
              <w:rPr>
                <w:lang w:val="hu-HU"/>
              </w:rPr>
              <w:t>, legalább</w:t>
            </w:r>
            <w:r w:rsidR="0072102F" w:rsidRPr="001B0D61">
              <w:rPr>
                <w:lang w:val="hu-HU"/>
              </w:rPr>
              <w:t xml:space="preserve"> 25 kg testtömeg</w:t>
            </w:r>
          </w:p>
        </w:tc>
        <w:tc>
          <w:tcPr>
            <w:tcW w:w="4110" w:type="dxa"/>
            <w:vAlign w:val="center"/>
          </w:tcPr>
          <w:p w14:paraId="38637D55" w14:textId="77777777" w:rsidR="0072102F" w:rsidRPr="001B0D61" w:rsidRDefault="0072102F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Egy 150 mg-os ivakaftor tabletta</w:t>
            </w:r>
          </w:p>
        </w:tc>
        <w:tc>
          <w:tcPr>
            <w:tcW w:w="2268" w:type="dxa"/>
          </w:tcPr>
          <w:p w14:paraId="5BCBFE71" w14:textId="77777777" w:rsidR="0072102F" w:rsidRPr="001B0D61" w:rsidRDefault="0072102F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Egy 150 mg-os ivakaftor tabletta</w:t>
            </w:r>
          </w:p>
        </w:tc>
      </w:tr>
      <w:tr w:rsidR="0072102F" w:rsidRPr="001B0D61" w14:paraId="2D87A6C0" w14:textId="77777777" w:rsidTr="008D1E93">
        <w:trPr>
          <w:trHeight w:val="303"/>
        </w:trPr>
        <w:tc>
          <w:tcPr>
            <w:tcW w:w="9072" w:type="dxa"/>
            <w:gridSpan w:val="3"/>
          </w:tcPr>
          <w:p w14:paraId="14662434" w14:textId="5107B1D5" w:rsidR="0072102F" w:rsidRPr="001B0D61" w:rsidRDefault="0072102F" w:rsidP="008D1E93">
            <w:pPr>
              <w:rPr>
                <w:b/>
                <w:bCs/>
                <w:lang w:val="hu-HU"/>
              </w:rPr>
            </w:pPr>
          </w:p>
        </w:tc>
      </w:tr>
    </w:tbl>
    <w:p w14:paraId="2A4F3B10" w14:textId="77777777" w:rsidR="0072102F" w:rsidRPr="001B0D61" w:rsidRDefault="0072102F" w:rsidP="0072102F"/>
    <w:p w14:paraId="76BA0154" w14:textId="77777777" w:rsidR="0072102F" w:rsidRPr="001B0D61" w:rsidRDefault="0072102F" w:rsidP="00EE208D"/>
    <w:p w14:paraId="6AE8CD54" w14:textId="395B1824" w:rsidR="00EE208D" w:rsidRPr="001B0D61" w:rsidRDefault="00EE208D" w:rsidP="00EE208D">
      <w:r w:rsidRPr="001B0D61">
        <w:t xml:space="preserve">A reggeli és az esti adagot körülbelül 12 órás különbséggel, zsírtartalmú étellel kell bevenni (lásd: „Az </w:t>
      </w:r>
      <w:r w:rsidRPr="001B0D61">
        <w:lastRenderedPageBreak/>
        <w:t>alkalmazás módja”).</w:t>
      </w:r>
    </w:p>
    <w:p w14:paraId="0019F892" w14:textId="77777777" w:rsidR="00EE208D" w:rsidRPr="001B0D61" w:rsidRDefault="00EE208D" w:rsidP="00EE208D"/>
    <w:p w14:paraId="7F619FA0" w14:textId="77777777" w:rsidR="00EE208D" w:rsidRPr="001B0D61" w:rsidRDefault="00EE208D" w:rsidP="00DD63C3">
      <w:pPr>
        <w:rPr>
          <w:i/>
        </w:rPr>
      </w:pPr>
      <w:r w:rsidRPr="001B0D61">
        <w:rPr>
          <w:i/>
        </w:rPr>
        <w:t>Kihagyott adag</w:t>
      </w:r>
    </w:p>
    <w:p w14:paraId="5F35ABDE" w14:textId="77777777" w:rsidR="00EE208D" w:rsidRPr="001B0D61" w:rsidRDefault="00EE208D" w:rsidP="00DD63C3">
      <w:pPr>
        <w:rPr>
          <w:i/>
        </w:rPr>
      </w:pPr>
    </w:p>
    <w:p w14:paraId="290F5D1C" w14:textId="77777777" w:rsidR="00EE208D" w:rsidRPr="001B0D61" w:rsidRDefault="00EE208D" w:rsidP="00EE208D">
      <w:r w:rsidRPr="001B0D61">
        <w:t>Amennyiben 6 óra vagy kevesebb telt el a kihagyott reggeli adag vagy esti adag szokásos bevételi időpontjához képest, a betegnek azt kell tanácsolni, hogy mihamarabb vegye be az adagot, majd a szokásos előírt időpontban vegye be a következő adagot. Ha több mint 6 óra telt el a szokásos bevételi időpont óta, akkor azt kell tanácsolni a betegnek, hogy várja meg a következő adag esedékes időpontját.</w:t>
      </w:r>
    </w:p>
    <w:p w14:paraId="4D73BF82" w14:textId="77777777" w:rsidR="00EE208D" w:rsidRPr="001B0D61" w:rsidRDefault="00EE208D" w:rsidP="00EE208D"/>
    <w:p w14:paraId="5B4CAB15" w14:textId="77777777" w:rsidR="00FD45B4" w:rsidRPr="001B0D61" w:rsidRDefault="00FD45B4" w:rsidP="00EE208D"/>
    <w:p w14:paraId="6C86AAE0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CYP3A-inhibitorok egyidejű alkalmazása</w:t>
      </w:r>
    </w:p>
    <w:p w14:paraId="05564C9D" w14:textId="77777777" w:rsidR="00EE208D" w:rsidRPr="001B0D61" w:rsidRDefault="00EE208D" w:rsidP="00EE208D"/>
    <w:p w14:paraId="5AC5D29D" w14:textId="77777777" w:rsidR="00EE208D" w:rsidRPr="001B0D61" w:rsidRDefault="00EE208D" w:rsidP="00EE208D">
      <w:r w:rsidRPr="001B0D61">
        <w:t>Közepesen erős vagy erős CYP3A-inhibitorokkal egyidejűleg alkalmazva az ivakaftor dózisát a 2. táblázatban leírtaknak megfelelően kell módosítani. Az adagolási intervallumot a klinikai</w:t>
      </w:r>
      <w:r w:rsidRPr="001B0D61">
        <w:rPr>
          <w:spacing w:val="-22"/>
        </w:rPr>
        <w:t xml:space="preserve"> </w:t>
      </w:r>
      <w:r w:rsidRPr="001B0D61">
        <w:t>választól és a tolerálhatóságtól függően kell módosítani (lásd 4.4 és 4.5 pont).</w:t>
      </w:r>
    </w:p>
    <w:p w14:paraId="722DB7FC" w14:textId="77777777" w:rsidR="00EE208D" w:rsidRPr="001B0D61" w:rsidRDefault="00EE208D" w:rsidP="00EE208D"/>
    <w:p w14:paraId="5EF82E6A" w14:textId="77777777" w:rsidR="00EE208D" w:rsidRPr="001B0D61" w:rsidRDefault="00EE208D" w:rsidP="00430F41">
      <w:pPr>
        <w:pStyle w:val="Listaszerbekezds"/>
        <w:keepNext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rPr>
          <w:b/>
          <w:bCs/>
        </w:rPr>
      </w:pPr>
      <w:r w:rsidRPr="001B0D61">
        <w:rPr>
          <w:b/>
          <w:bCs/>
        </w:rPr>
        <w:t>táblázat: A közepesen erős vagy erős CYP3A-inhibitorokkal együtt történő</w:t>
      </w:r>
      <w:r w:rsidRPr="001B0D61">
        <w:rPr>
          <w:b/>
          <w:bCs/>
          <w:spacing w:val="-15"/>
        </w:rPr>
        <w:t xml:space="preserve"> </w:t>
      </w:r>
      <w:r w:rsidRPr="001B0D61">
        <w:rPr>
          <w:b/>
          <w:bCs/>
        </w:rPr>
        <w:t>alkalmazásra vonatkozó adagolási ajánlások</w:t>
      </w:r>
    </w:p>
    <w:p w14:paraId="50FB6335" w14:textId="77777777" w:rsidR="00D952DA" w:rsidRPr="001B0D61" w:rsidRDefault="00D952DA" w:rsidP="00D952DA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3"/>
        <w:gridCol w:w="3685"/>
        <w:gridCol w:w="3154"/>
      </w:tblGrid>
      <w:tr w:rsidR="00D952DA" w:rsidRPr="001B0D61" w14:paraId="609C5F3B" w14:textId="77777777" w:rsidTr="008D1E93">
        <w:trPr>
          <w:trHeight w:val="252"/>
          <w:tblHeader/>
        </w:trPr>
        <w:tc>
          <w:tcPr>
            <w:tcW w:w="2233" w:type="dxa"/>
          </w:tcPr>
          <w:p w14:paraId="5719D14D" w14:textId="77777777" w:rsidR="00D952DA" w:rsidRPr="001B0D61" w:rsidRDefault="00D952DA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Életkor/testtömeg</w:t>
            </w:r>
          </w:p>
        </w:tc>
        <w:tc>
          <w:tcPr>
            <w:tcW w:w="3685" w:type="dxa"/>
          </w:tcPr>
          <w:p w14:paraId="147F6A24" w14:textId="77777777" w:rsidR="00D952DA" w:rsidRPr="001B0D61" w:rsidRDefault="00D952DA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Közepesen erős CYP3A-inhibitorok</w:t>
            </w:r>
          </w:p>
        </w:tc>
        <w:tc>
          <w:tcPr>
            <w:tcW w:w="3154" w:type="dxa"/>
          </w:tcPr>
          <w:p w14:paraId="7717A185" w14:textId="77777777" w:rsidR="00D952DA" w:rsidRPr="001B0D61" w:rsidRDefault="00D952DA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Erős CYP3A-inhibitorok*</w:t>
            </w:r>
          </w:p>
        </w:tc>
      </w:tr>
      <w:tr w:rsidR="00D952DA" w:rsidRPr="001B0D61" w14:paraId="5828331A" w14:textId="77777777" w:rsidTr="008D1E93">
        <w:trPr>
          <w:trHeight w:val="252"/>
          <w:tblHeader/>
        </w:trPr>
        <w:tc>
          <w:tcPr>
            <w:tcW w:w="9072" w:type="dxa"/>
            <w:gridSpan w:val="3"/>
          </w:tcPr>
          <w:p w14:paraId="69FE3445" w14:textId="77777777" w:rsidR="00D952DA" w:rsidRPr="001B0D61" w:rsidRDefault="00D952DA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Ivakaftor monoterápiában</w:t>
            </w:r>
          </w:p>
        </w:tc>
      </w:tr>
      <w:tr w:rsidR="00D952DA" w:rsidRPr="001B0D61" w14:paraId="560FE036" w14:textId="77777777" w:rsidTr="008D1E93">
        <w:trPr>
          <w:trHeight w:val="1264"/>
        </w:trPr>
        <w:tc>
          <w:tcPr>
            <w:tcW w:w="2233" w:type="dxa"/>
          </w:tcPr>
          <w:p w14:paraId="193D45D6" w14:textId="24F3CBA3" w:rsidR="00D952DA" w:rsidRPr="001B0D61" w:rsidRDefault="00382AE0" w:rsidP="008D1E93">
            <w:pPr>
              <w:rPr>
                <w:lang w:val="hu-HU"/>
              </w:rPr>
            </w:pPr>
            <w:r>
              <w:rPr>
                <w:lang w:val="hu-HU"/>
              </w:rPr>
              <w:t xml:space="preserve">legalább </w:t>
            </w:r>
            <w:r w:rsidR="00D952DA" w:rsidRPr="001B0D61">
              <w:rPr>
                <w:lang w:val="hu-HU"/>
              </w:rPr>
              <w:t xml:space="preserve">6 éves és </w:t>
            </w:r>
            <w:r>
              <w:rPr>
                <w:lang w:val="hu-HU"/>
              </w:rPr>
              <w:t>legalább</w:t>
            </w:r>
            <w:r w:rsidR="00D952DA" w:rsidRPr="001B0D61">
              <w:rPr>
                <w:lang w:val="hu-HU"/>
              </w:rPr>
              <w:t>, 25 kg testtömeg</w:t>
            </w:r>
          </w:p>
        </w:tc>
        <w:tc>
          <w:tcPr>
            <w:tcW w:w="3685" w:type="dxa"/>
          </w:tcPr>
          <w:p w14:paraId="5EACF0F7" w14:textId="77777777" w:rsidR="00D952DA" w:rsidRPr="001B0D61" w:rsidRDefault="00D952DA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Naponta egyszer egy 150 mg-os ivakaftor tabletta, reggel bevéve.</w:t>
            </w:r>
          </w:p>
          <w:p w14:paraId="2BA525D9" w14:textId="77777777" w:rsidR="00D952DA" w:rsidRPr="001B0D61" w:rsidRDefault="00D952DA" w:rsidP="008D1E93">
            <w:pPr>
              <w:rPr>
                <w:lang w:val="hu-HU"/>
              </w:rPr>
            </w:pPr>
          </w:p>
          <w:p w14:paraId="79A9C1CE" w14:textId="77777777" w:rsidR="00D952DA" w:rsidRPr="001B0D61" w:rsidRDefault="00D952DA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Nincs esti ivakaftor adag.</w:t>
            </w:r>
          </w:p>
        </w:tc>
        <w:tc>
          <w:tcPr>
            <w:tcW w:w="3154" w:type="dxa"/>
          </w:tcPr>
          <w:p w14:paraId="007D0316" w14:textId="77777777" w:rsidR="00D952DA" w:rsidRPr="001B0D61" w:rsidRDefault="00D952DA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Hetente kétszer egy 150 mg-os ivakaftor tabletta reggel bevéve, körülbelül 3-4 napos különbséggel.</w:t>
            </w:r>
          </w:p>
          <w:p w14:paraId="56EC1139" w14:textId="77777777" w:rsidR="00D952DA" w:rsidRPr="001B0D61" w:rsidRDefault="00D952DA" w:rsidP="008D1E93">
            <w:pPr>
              <w:rPr>
                <w:lang w:val="hu-HU"/>
              </w:rPr>
            </w:pPr>
          </w:p>
          <w:p w14:paraId="395D9452" w14:textId="77777777" w:rsidR="00D952DA" w:rsidRPr="001B0D61" w:rsidRDefault="00D952DA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Nincs esti ivakaftor adag.</w:t>
            </w:r>
          </w:p>
        </w:tc>
      </w:tr>
    </w:tbl>
    <w:tbl>
      <w:tblPr>
        <w:tblStyle w:val="TableNormal10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2"/>
      </w:tblGrid>
      <w:tr w:rsidR="00D952DA" w:rsidRPr="001B0D61" w14:paraId="7737541B" w14:textId="77777777" w:rsidTr="008D1E93">
        <w:trPr>
          <w:trHeight w:val="252"/>
        </w:trPr>
        <w:tc>
          <w:tcPr>
            <w:tcW w:w="9072" w:type="dxa"/>
          </w:tcPr>
          <w:p w14:paraId="3A1949F7" w14:textId="0D37BA2E" w:rsidR="00D952DA" w:rsidRPr="001B0D61" w:rsidRDefault="00D952DA" w:rsidP="008D1E93">
            <w:pPr>
              <w:rPr>
                <w:b/>
                <w:bCs/>
                <w:lang w:val="hu-HU"/>
              </w:rPr>
            </w:pPr>
          </w:p>
        </w:tc>
      </w:tr>
    </w:tbl>
    <w:p w14:paraId="2876D856" w14:textId="77777777" w:rsidR="00F54C9B" w:rsidRPr="001B0D61" w:rsidRDefault="00F54C9B" w:rsidP="00EE208D"/>
    <w:p w14:paraId="3A49A61B" w14:textId="77777777" w:rsidR="00EE208D" w:rsidRPr="001B0D61" w:rsidRDefault="00EE208D" w:rsidP="00EE208D">
      <w:r w:rsidRPr="001B0D61">
        <w:rPr>
          <w:u w:val="single"/>
        </w:rPr>
        <w:t>Különleges betegcsoportok</w:t>
      </w:r>
    </w:p>
    <w:p w14:paraId="36763140" w14:textId="77777777" w:rsidR="00EE208D" w:rsidRPr="001B0D61" w:rsidRDefault="00EE208D" w:rsidP="00EE208D"/>
    <w:p w14:paraId="6F4C3D1D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Idősek</w:t>
      </w:r>
    </w:p>
    <w:p w14:paraId="5AD16BB5" w14:textId="77777777" w:rsidR="00EE208D" w:rsidRPr="001B0D61" w:rsidRDefault="00EE208D" w:rsidP="00EE208D">
      <w:pPr>
        <w:rPr>
          <w:i/>
        </w:rPr>
      </w:pPr>
    </w:p>
    <w:p w14:paraId="215C95E7" w14:textId="075A7053" w:rsidR="000E2862" w:rsidRPr="001B0D61" w:rsidRDefault="000E2862" w:rsidP="000E2862">
      <w:r w:rsidRPr="001B0D61">
        <w:t>Igen korlátozott mennyiségben állnak rendelkezésre ivakaftorral monoterápiában kezelt idős betegekre vonatkozó adatok. Ebben a betegcsoportban dózismódosítás nem szükséges (lásd 5.2 pont).</w:t>
      </w:r>
    </w:p>
    <w:p w14:paraId="29443749" w14:textId="77777777" w:rsidR="00EE208D" w:rsidRPr="001B0D61" w:rsidRDefault="00EE208D" w:rsidP="00EE208D"/>
    <w:p w14:paraId="3909BA92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Vesekárosodás</w:t>
      </w:r>
    </w:p>
    <w:p w14:paraId="45473EB7" w14:textId="77777777" w:rsidR="00EE208D" w:rsidRPr="001B0D61" w:rsidRDefault="00EE208D" w:rsidP="00EE208D">
      <w:pPr>
        <w:rPr>
          <w:i/>
        </w:rPr>
      </w:pPr>
    </w:p>
    <w:p w14:paraId="593DDDDA" w14:textId="1704EE80" w:rsidR="00EE208D" w:rsidRPr="001B0D61" w:rsidRDefault="00665FFF" w:rsidP="00EE208D">
      <w:r>
        <w:t xml:space="preserve">Enyhe-közepes </w:t>
      </w:r>
      <w:r w:rsidR="00EE208D" w:rsidRPr="001B0D61">
        <w:t>fokú vesekárosodásban szenvedő betegek esetében nem szükséges dózismódosítás. Súlyos fokú vesekárosodásban (a kreatinin-clearance legfeljebb 30 ml/perc) vagy végstádiumú vesebetegségben szenvedő betegeknél óvatosság ajánlott (lásd 4.4 és 5.2 pont).</w:t>
      </w:r>
    </w:p>
    <w:p w14:paraId="3574D933" w14:textId="77777777" w:rsidR="00EE208D" w:rsidRPr="001B0D61" w:rsidRDefault="00EE208D" w:rsidP="00EE208D"/>
    <w:p w14:paraId="5EBD4DAC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Májkárosodás</w:t>
      </w:r>
    </w:p>
    <w:p w14:paraId="1F5998A7" w14:textId="77777777" w:rsidR="00EE208D" w:rsidRPr="001B0D61" w:rsidRDefault="00EE208D" w:rsidP="00EE208D">
      <w:pPr>
        <w:rPr>
          <w:i/>
        </w:rPr>
      </w:pPr>
    </w:p>
    <w:p w14:paraId="4B41F7FD" w14:textId="77777777" w:rsidR="00EE208D" w:rsidRPr="001B0D61" w:rsidRDefault="00EE208D" w:rsidP="00EE208D">
      <w:r w:rsidRPr="001B0D61">
        <w:t>Enyhe májkárosodásban (Child–Pugh A stádium) szenvedő betegeknél nem szükséges az ivakaftor adagjának módosítása.</w:t>
      </w:r>
    </w:p>
    <w:p w14:paraId="3CD37D07" w14:textId="77777777" w:rsidR="00EE208D" w:rsidRPr="001B0D61" w:rsidRDefault="00EE208D" w:rsidP="00EE208D"/>
    <w:p w14:paraId="18704066" w14:textId="77777777" w:rsidR="00EE208D" w:rsidRPr="001B0D61" w:rsidRDefault="00EE208D" w:rsidP="00EE208D">
      <w:r w:rsidRPr="001B0D61">
        <w:t>Közepesen súlyos fokú májkárosodásban (Child–Pugh B stádium) vagy súlyos fokú májkárosodásban (Child–Pugh C stádium) szenvedő betegeknél az ivakaftor dózisát a 3. táblázatban leírtaknak megfelelően módosítani kell (lásd 4.4, 4.8 és 5.2 pont).</w:t>
      </w:r>
    </w:p>
    <w:p w14:paraId="25634E24" w14:textId="77777777" w:rsidR="00EE208D" w:rsidRPr="001B0D61" w:rsidRDefault="00EE208D" w:rsidP="00EE208D"/>
    <w:p w14:paraId="6DB980AF" w14:textId="5740B8A5" w:rsidR="00EE208D" w:rsidRPr="001B0D61" w:rsidRDefault="00EE208D" w:rsidP="00EE208D">
      <w:pPr>
        <w:pStyle w:val="Listaszerbekezds"/>
        <w:keepNext/>
        <w:widowControl/>
        <w:numPr>
          <w:ilvl w:val="0"/>
          <w:numId w:val="4"/>
        </w:numPr>
        <w:tabs>
          <w:tab w:val="left" w:pos="284"/>
        </w:tabs>
        <w:ind w:left="0" w:firstLine="0"/>
        <w:contextualSpacing w:val="0"/>
        <w:rPr>
          <w:b/>
          <w:bCs/>
        </w:rPr>
      </w:pPr>
      <w:r w:rsidRPr="001B0D61">
        <w:rPr>
          <w:b/>
          <w:bCs/>
        </w:rPr>
        <w:lastRenderedPageBreak/>
        <w:t>táblázat: Adagolási ajánlások közepes</w:t>
      </w:r>
      <w:r w:rsidR="00E53B71">
        <w:rPr>
          <w:b/>
          <w:bCs/>
        </w:rPr>
        <w:t xml:space="preserve"> fokú</w:t>
      </w:r>
      <w:r w:rsidRPr="001B0D61">
        <w:rPr>
          <w:b/>
          <w:bCs/>
        </w:rPr>
        <w:t xml:space="preserve"> vagy súlyos fokú</w:t>
      </w:r>
      <w:r w:rsidRPr="001B0D61">
        <w:rPr>
          <w:b/>
          <w:bCs/>
          <w:spacing w:val="-12"/>
        </w:rPr>
        <w:t xml:space="preserve"> </w:t>
      </w:r>
      <w:r w:rsidRPr="001B0D61">
        <w:rPr>
          <w:b/>
          <w:bCs/>
        </w:rPr>
        <w:t>májkárosodásban szenvedő betegek számára</w:t>
      </w:r>
    </w:p>
    <w:p w14:paraId="0D145FF7" w14:textId="77777777" w:rsidR="001B0D61" w:rsidRPr="001B0D61" w:rsidRDefault="001B0D61" w:rsidP="001B0D61">
      <w:pPr>
        <w:keepNext/>
        <w:widowControl/>
      </w:pP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977"/>
        <w:gridCol w:w="3685"/>
      </w:tblGrid>
      <w:tr w:rsidR="001B0D61" w:rsidRPr="001B0D61" w14:paraId="5A1A5D4F" w14:textId="77777777" w:rsidTr="008D1E93">
        <w:trPr>
          <w:trHeight w:val="506"/>
          <w:tblHeader/>
        </w:trPr>
        <w:tc>
          <w:tcPr>
            <w:tcW w:w="2410" w:type="dxa"/>
          </w:tcPr>
          <w:p w14:paraId="61B236C2" w14:textId="77777777" w:rsidR="001B0D61" w:rsidRPr="001B0D61" w:rsidRDefault="001B0D61" w:rsidP="008D1E93">
            <w:pPr>
              <w:keepNext/>
              <w:widowControl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Életkor/testtömeg</w:t>
            </w:r>
          </w:p>
        </w:tc>
        <w:tc>
          <w:tcPr>
            <w:tcW w:w="2977" w:type="dxa"/>
          </w:tcPr>
          <w:p w14:paraId="0CEB9AE1" w14:textId="68F88375" w:rsidR="001B0D61" w:rsidRPr="001B0D61" w:rsidRDefault="001B0D61" w:rsidP="008D1E93">
            <w:pPr>
              <w:keepNext/>
              <w:widowControl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Közepes fokú (Child-Pugh B stádium)</w:t>
            </w:r>
          </w:p>
        </w:tc>
        <w:tc>
          <w:tcPr>
            <w:tcW w:w="3685" w:type="dxa"/>
          </w:tcPr>
          <w:p w14:paraId="45A15A84" w14:textId="77777777" w:rsidR="001B0D61" w:rsidRPr="001B0D61" w:rsidRDefault="001B0D61" w:rsidP="008D1E93">
            <w:pPr>
              <w:keepNext/>
              <w:widowControl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Súlyos fokú (Child–Pugh C stádium)</w:t>
            </w:r>
          </w:p>
        </w:tc>
      </w:tr>
      <w:tr w:rsidR="001B0D61" w:rsidRPr="001B0D61" w14:paraId="34C0BE60" w14:textId="77777777" w:rsidTr="008D1E93">
        <w:trPr>
          <w:trHeight w:val="248"/>
        </w:trPr>
        <w:tc>
          <w:tcPr>
            <w:tcW w:w="9072" w:type="dxa"/>
            <w:gridSpan w:val="3"/>
          </w:tcPr>
          <w:p w14:paraId="407A73FE" w14:textId="77777777" w:rsidR="001B0D61" w:rsidRPr="001B0D61" w:rsidRDefault="001B0D61" w:rsidP="008D1E93">
            <w:pPr>
              <w:keepNext/>
              <w:widowControl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Ivakaftor monoterápiában</w:t>
            </w:r>
          </w:p>
        </w:tc>
      </w:tr>
      <w:tr w:rsidR="001B0D61" w:rsidRPr="001B0D61" w14:paraId="123EDC39" w14:textId="77777777" w:rsidTr="008D1E93">
        <w:trPr>
          <w:trHeight w:val="2782"/>
        </w:trPr>
        <w:tc>
          <w:tcPr>
            <w:tcW w:w="2410" w:type="dxa"/>
          </w:tcPr>
          <w:p w14:paraId="61544051" w14:textId="19968A5B" w:rsidR="001B0D61" w:rsidRPr="001B0D61" w:rsidRDefault="00E53B71" w:rsidP="00E53B71">
            <w:pPr>
              <w:rPr>
                <w:lang w:val="hu-HU"/>
              </w:rPr>
            </w:pPr>
            <w:r>
              <w:rPr>
                <w:lang w:val="hu-HU"/>
              </w:rPr>
              <w:t xml:space="preserve">legalább </w:t>
            </w:r>
            <w:r w:rsidR="001B0D61" w:rsidRPr="001B0D61">
              <w:rPr>
                <w:lang w:val="hu-HU"/>
              </w:rPr>
              <w:t xml:space="preserve">6 éves kor, </w:t>
            </w:r>
            <w:r>
              <w:rPr>
                <w:lang w:val="hu-HU"/>
              </w:rPr>
              <w:t xml:space="preserve">legalább </w:t>
            </w:r>
            <w:r w:rsidR="001B0D61" w:rsidRPr="001B0D61">
              <w:rPr>
                <w:lang w:val="hu-HU"/>
              </w:rPr>
              <w:t>25 kg testtömeg</w:t>
            </w:r>
          </w:p>
        </w:tc>
        <w:tc>
          <w:tcPr>
            <w:tcW w:w="2977" w:type="dxa"/>
          </w:tcPr>
          <w:p w14:paraId="78343C4A" w14:textId="77777777" w:rsidR="001B0D61" w:rsidRPr="001B0D61" w:rsidRDefault="001B0D61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Naponta egyszer egy 150 mg-os ivakaftor tabletta reggel bevéve.</w:t>
            </w:r>
          </w:p>
          <w:p w14:paraId="06F9CD0F" w14:textId="77777777" w:rsidR="001B0D61" w:rsidRPr="001B0D61" w:rsidRDefault="001B0D61" w:rsidP="008D1E93">
            <w:pPr>
              <w:rPr>
                <w:lang w:val="hu-HU"/>
              </w:rPr>
            </w:pPr>
          </w:p>
          <w:p w14:paraId="383C7AC3" w14:textId="77777777" w:rsidR="001B0D61" w:rsidRPr="001B0D61" w:rsidRDefault="001B0D61" w:rsidP="008D1E93">
            <w:pPr>
              <w:keepNext/>
              <w:widowControl/>
              <w:rPr>
                <w:lang w:val="hu-HU"/>
              </w:rPr>
            </w:pPr>
            <w:r w:rsidRPr="001B0D61">
              <w:rPr>
                <w:lang w:val="hu-HU"/>
              </w:rPr>
              <w:t>Nincs esti ivakaftor adag.</w:t>
            </w:r>
          </w:p>
        </w:tc>
        <w:tc>
          <w:tcPr>
            <w:tcW w:w="3685" w:type="dxa"/>
          </w:tcPr>
          <w:p w14:paraId="033E5B2B" w14:textId="77777777" w:rsidR="001B0D61" w:rsidRPr="001B0D61" w:rsidRDefault="001B0D61" w:rsidP="008D1E93">
            <w:pPr>
              <w:rPr>
                <w:lang w:val="hu-HU"/>
              </w:rPr>
            </w:pPr>
            <w:r w:rsidRPr="001B0D61">
              <w:rPr>
                <w:b/>
                <w:bCs/>
                <w:lang w:val="hu-HU"/>
              </w:rPr>
              <w:t>Alkalmazása nem ajánlott</w:t>
            </w:r>
            <w:r w:rsidRPr="001B0D61">
              <w:rPr>
                <w:lang w:val="hu-HU"/>
              </w:rPr>
              <w:t>, kivéve, ha az előnyök várhatóan felülmúlják a kockázatokat.</w:t>
            </w:r>
          </w:p>
          <w:p w14:paraId="0A3C2950" w14:textId="77777777" w:rsidR="001B0D61" w:rsidRPr="001B0D61" w:rsidRDefault="001B0D61" w:rsidP="008D1E93">
            <w:pPr>
              <w:rPr>
                <w:lang w:val="hu-HU"/>
              </w:rPr>
            </w:pPr>
          </w:p>
          <w:p w14:paraId="41098761" w14:textId="77777777" w:rsidR="001B0D61" w:rsidRPr="001B0D61" w:rsidRDefault="001B0D61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Alkalmazása esetén: egy 150 mg-os ivakaftor tablettát kell bevenni reggelenként, másnaponta vagy ritkábban, a klinikai választól és a tolerálhatóságtól függően.</w:t>
            </w:r>
          </w:p>
          <w:p w14:paraId="259B703E" w14:textId="77777777" w:rsidR="001B0D61" w:rsidRPr="001B0D61" w:rsidRDefault="001B0D61" w:rsidP="008D1E93">
            <w:pPr>
              <w:rPr>
                <w:lang w:val="hu-HU"/>
              </w:rPr>
            </w:pPr>
          </w:p>
          <w:p w14:paraId="572DC72D" w14:textId="77777777" w:rsidR="001B0D61" w:rsidRPr="001B0D61" w:rsidRDefault="001B0D61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Nincs esti ivakaftor adag.</w:t>
            </w:r>
          </w:p>
        </w:tc>
      </w:tr>
    </w:tbl>
    <w:p w14:paraId="3819DB03" w14:textId="77777777" w:rsidR="00EE208D" w:rsidRPr="001B0D61" w:rsidRDefault="00EE208D" w:rsidP="00EE208D">
      <w:r w:rsidRPr="001B0D61">
        <w:rPr>
          <w:u w:val="single"/>
        </w:rPr>
        <w:t>Gyermekek és serdülők</w:t>
      </w:r>
    </w:p>
    <w:p w14:paraId="52F3DCAD" w14:textId="77777777" w:rsidR="00EE208D" w:rsidRPr="001B0D61" w:rsidRDefault="00EE208D" w:rsidP="00EE208D"/>
    <w:p w14:paraId="7065C9D6" w14:textId="7A87E5EB" w:rsidR="00EE208D" w:rsidRPr="001B0D61" w:rsidRDefault="00EE208D" w:rsidP="00EE208D">
      <w:r w:rsidRPr="001B0D61">
        <w:t>A monoterápiában alkalmazott ivakaftor biztonságosságát és hatásosságát nem igazolták 1 hónaposnál fiatalabb gyermekek esetében, sem 6 hónaposnál fiatalabb koraszülötteknél (37 hetes terhességi kor alatt</w:t>
      </w:r>
      <w:r w:rsidR="00DD487C" w:rsidRPr="001B0D61">
        <w:t xml:space="preserve">, </w:t>
      </w:r>
      <w:r w:rsidRPr="001B0D61">
        <w:t>Nincsenek rendelkezésre álló adatok.</w:t>
      </w:r>
    </w:p>
    <w:p w14:paraId="0BFD13A7" w14:textId="77777777" w:rsidR="00EE208D" w:rsidRPr="001B0D61" w:rsidRDefault="00EE208D" w:rsidP="00EE208D"/>
    <w:p w14:paraId="06E7995B" w14:textId="77777777" w:rsidR="00EE208D" w:rsidRPr="001B0D61" w:rsidRDefault="00EE208D" w:rsidP="00EE208D">
      <w:r w:rsidRPr="001B0D61">
        <w:t xml:space="preserve">A </w:t>
      </w:r>
      <w:r w:rsidRPr="001B0D61">
        <w:rPr>
          <w:i/>
        </w:rPr>
        <w:t>CFTR</w:t>
      </w:r>
      <w:r w:rsidRPr="001B0D61">
        <w:t xml:space="preserve">-génen </w:t>
      </w:r>
      <w:r w:rsidRPr="001B0D61">
        <w:rPr>
          <w:i/>
        </w:rPr>
        <w:t>R117H</w:t>
      </w:r>
      <w:r w:rsidRPr="001B0D61">
        <w:t>-mutációt hordozó, 6 évesnél fiatalabb betegek esetében korlátozott adatok állnak rendelkezésre. A 6 éves és ennél idősebb betegekkel kapcsolatosan rendelkezésre álló adatok leírása a 4.8, 5.1 és 5.2 pontban található.</w:t>
      </w:r>
    </w:p>
    <w:p w14:paraId="7DF2E78F" w14:textId="77777777" w:rsidR="00EE208D" w:rsidRPr="001B0D61" w:rsidRDefault="00EE208D" w:rsidP="00EE208D"/>
    <w:p w14:paraId="6AAA5F4B" w14:textId="77777777" w:rsidR="00EE208D" w:rsidRPr="001B0D61" w:rsidRDefault="00EE208D" w:rsidP="00EE208D">
      <w:r w:rsidRPr="001B0D61">
        <w:t>Az Ivacaftor Teva csak 150 mg-os filmtabletta formájában kapható. Ezért az Ivacaftor Teva nem adható olyan gyermekgyógyászati betegeknek, akiknek a teljes 150 mg-os adagnál kisebb adagra van szükségük. Ezekben az esetekben más, ilyen kezelésekre alkalmas ivakaftor tartalmú készítményeket kell alkalmazni.</w:t>
      </w:r>
    </w:p>
    <w:p w14:paraId="2516B450" w14:textId="77777777" w:rsidR="00EE208D" w:rsidRPr="001B0D61" w:rsidRDefault="00EE208D" w:rsidP="00EE208D"/>
    <w:p w14:paraId="73102266" w14:textId="77777777" w:rsidR="00EE208D" w:rsidRPr="001B0D61" w:rsidRDefault="00EE208D" w:rsidP="00EE208D">
      <w:r w:rsidRPr="001B0D61">
        <w:rPr>
          <w:u w:val="single"/>
        </w:rPr>
        <w:t>Az alkalmazás módja</w:t>
      </w:r>
    </w:p>
    <w:p w14:paraId="4D048BE1" w14:textId="77777777" w:rsidR="00EE208D" w:rsidRPr="001B0D61" w:rsidRDefault="00EE208D" w:rsidP="00EE208D"/>
    <w:p w14:paraId="42771513" w14:textId="77777777" w:rsidR="00EE208D" w:rsidRPr="001B0D61" w:rsidRDefault="00EE208D" w:rsidP="00EE208D">
      <w:r w:rsidRPr="001B0D61">
        <w:t>Szájon át történő alkalmazásra.</w:t>
      </w:r>
    </w:p>
    <w:p w14:paraId="6D7047AD" w14:textId="77777777" w:rsidR="00EE208D" w:rsidRPr="001B0D61" w:rsidRDefault="00EE208D" w:rsidP="00EE208D"/>
    <w:p w14:paraId="077AA685" w14:textId="77777777" w:rsidR="00EE208D" w:rsidRPr="001B0D61" w:rsidRDefault="00EE208D" w:rsidP="00EE208D">
      <w:r w:rsidRPr="001B0D61">
        <w:t>A betegeket arra kell utasítani, hogy a tablettát egészben nyeljék le. A tablettákat lenyelés előtt nem szabad szétrágni, porrá törni vagy kettétörni, mert jelenleg nem állnak rendelkezésre olyan klinikai adatok, amelyek az egyéb alkalmazási módokat alátámasztanák.</w:t>
      </w:r>
    </w:p>
    <w:p w14:paraId="0752FABC" w14:textId="77777777" w:rsidR="00EE208D" w:rsidRPr="001B0D61" w:rsidRDefault="00EE208D" w:rsidP="00EE208D"/>
    <w:p w14:paraId="1569BD8A" w14:textId="77777777" w:rsidR="00EE208D" w:rsidRPr="001B0D61" w:rsidRDefault="00EE208D" w:rsidP="00EE208D">
      <w:r w:rsidRPr="001B0D61">
        <w:t>Az ivakaftor tablettát zsírtartalmú étellel kell bevenni.</w:t>
      </w:r>
    </w:p>
    <w:p w14:paraId="1499164D" w14:textId="77777777" w:rsidR="00EE208D" w:rsidRPr="001B0D61" w:rsidRDefault="00EE208D" w:rsidP="00EE208D"/>
    <w:p w14:paraId="4FF9402B" w14:textId="77777777" w:rsidR="00EE208D" w:rsidRPr="001B0D61" w:rsidRDefault="00EE208D" w:rsidP="00EE208D">
      <w:r w:rsidRPr="001B0D61">
        <w:t>A grépfrútot tartalmazó ételek, illetve italok kerülendők a kezelés alatt (lásd 4.5 pont).</w:t>
      </w:r>
    </w:p>
    <w:p w14:paraId="281F944E" w14:textId="77777777" w:rsidR="00EE208D" w:rsidRPr="001B0D61" w:rsidRDefault="00EE208D" w:rsidP="00EE208D"/>
    <w:p w14:paraId="5E893047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4.3</w:t>
      </w:r>
      <w:r w:rsidRPr="001B0D61">
        <w:rPr>
          <w:b/>
          <w:bCs/>
        </w:rPr>
        <w:tab/>
        <w:t>Ellenjavallatok</w:t>
      </w:r>
    </w:p>
    <w:p w14:paraId="500DF99F" w14:textId="77777777" w:rsidR="00EE208D" w:rsidRPr="001B0D61" w:rsidRDefault="00EE208D" w:rsidP="00EE208D"/>
    <w:p w14:paraId="432E1CD5" w14:textId="77777777" w:rsidR="00EE208D" w:rsidRPr="001B0D61" w:rsidRDefault="00EE208D" w:rsidP="00EE208D">
      <w:r w:rsidRPr="001B0D61">
        <w:t>A készítmény hatóanyagával vagy a 6.1 pontban felsorolt bármely segédanyagával szembeni túlérzékenység.</w:t>
      </w:r>
    </w:p>
    <w:p w14:paraId="5B14E993" w14:textId="77777777" w:rsidR="00EE208D" w:rsidRPr="001B0D61" w:rsidRDefault="00EE208D" w:rsidP="00EE208D"/>
    <w:p w14:paraId="4C519035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4.4</w:t>
      </w:r>
      <w:r w:rsidRPr="001B0D61">
        <w:rPr>
          <w:b/>
          <w:bCs/>
        </w:rPr>
        <w:tab/>
        <w:t>Különleges figyelmeztetések és az alkalmazással kapcsolatos</w:t>
      </w:r>
      <w:r w:rsidRPr="001B0D61">
        <w:rPr>
          <w:b/>
          <w:bCs/>
          <w:spacing w:val="-9"/>
        </w:rPr>
        <w:t xml:space="preserve"> </w:t>
      </w:r>
      <w:r w:rsidRPr="001B0D61">
        <w:rPr>
          <w:b/>
          <w:bCs/>
        </w:rPr>
        <w:t>óvintézkedések</w:t>
      </w:r>
    </w:p>
    <w:p w14:paraId="701618FE" w14:textId="77777777" w:rsidR="00EE208D" w:rsidRPr="001B0D61" w:rsidRDefault="00EE208D" w:rsidP="00EE208D"/>
    <w:p w14:paraId="1AC9BD04" w14:textId="77777777" w:rsidR="00EE208D" w:rsidRPr="001B0D61" w:rsidRDefault="00EE208D" w:rsidP="00EE208D">
      <w:r w:rsidRPr="001B0D61">
        <w:t xml:space="preserve">A 770-102., 770-103., 770-111. és 770-110. vizsgálatokba (lásd 5.1 pont) csak olyan CF-es betegeket vontak be, akik a </w:t>
      </w:r>
      <w:r w:rsidRPr="001B0D61">
        <w:rPr>
          <w:i/>
        </w:rPr>
        <w:t>CFTR</w:t>
      </w:r>
      <w:r w:rsidRPr="001B0D61">
        <w:t xml:space="preserve">-gén legalább egyik alléljén </w:t>
      </w:r>
      <w:r w:rsidRPr="001B0D61">
        <w:rPr>
          <w:i/>
        </w:rPr>
        <w:t>G551D, G1244E, G1349D, G178R, G551S, S1251N, S1255P, S549N</w:t>
      </w:r>
      <w:r w:rsidRPr="001B0D61">
        <w:t xml:space="preserve">, </w:t>
      </w:r>
      <w:r w:rsidRPr="001B0D61">
        <w:rPr>
          <w:i/>
        </w:rPr>
        <w:t xml:space="preserve">S549R </w:t>
      </w:r>
      <w:r w:rsidRPr="001B0D61">
        <w:t xml:space="preserve">kapuzási (III. osztályú), </w:t>
      </w:r>
      <w:r w:rsidRPr="001B0D61">
        <w:rPr>
          <w:i/>
        </w:rPr>
        <w:t xml:space="preserve">G970R </w:t>
      </w:r>
      <w:r w:rsidRPr="001B0D61">
        <w:t xml:space="preserve">vagy </w:t>
      </w:r>
      <w:r w:rsidRPr="001B0D61">
        <w:rPr>
          <w:i/>
        </w:rPr>
        <w:t>R117H</w:t>
      </w:r>
      <w:r w:rsidRPr="001B0D61">
        <w:t>-mutációval rendelkeztek.</w:t>
      </w:r>
    </w:p>
    <w:p w14:paraId="4864F5EE" w14:textId="77777777" w:rsidR="00EE208D" w:rsidRPr="001B0D61" w:rsidRDefault="00EE208D" w:rsidP="00EE208D"/>
    <w:p w14:paraId="643B7D22" w14:textId="62A93398" w:rsidR="00EE208D" w:rsidRPr="001B0D61" w:rsidRDefault="00EE208D" w:rsidP="00EE208D">
      <w:r w:rsidRPr="001B0D61">
        <w:t xml:space="preserve">A 770-111. vizsgálatba négy, a </w:t>
      </w:r>
      <w:r w:rsidRPr="001B0D61">
        <w:rPr>
          <w:i/>
        </w:rPr>
        <w:t>G970R</w:t>
      </w:r>
      <w:r w:rsidRPr="001B0D61">
        <w:t>-mutációval rendelkező beteget vontak be. A négy beteg közül háromnál kevesebb mint 5 mmol/l volt a verejték kloridteszt</w:t>
      </w:r>
      <w:r w:rsidR="00AF1661">
        <w:t xml:space="preserve"> eredményében</w:t>
      </w:r>
      <w:r w:rsidRPr="001B0D61">
        <w:t xml:space="preserve"> észlelt változás, és ez a csoport nem mutatott klinikailag jelentős javulást a FEV</w:t>
      </w:r>
      <w:r w:rsidRPr="001B0D61">
        <w:rPr>
          <w:vertAlign w:val="subscript"/>
        </w:rPr>
        <w:t>1</w:t>
      </w:r>
      <w:r w:rsidRPr="001B0D61">
        <w:t xml:space="preserve">-értékben a 8 hetes kezelés után. A </w:t>
      </w:r>
      <w:r w:rsidRPr="001B0D61">
        <w:rPr>
          <w:i/>
        </w:rPr>
        <w:t>CFTR</w:t>
      </w:r>
      <w:r w:rsidRPr="001B0D61">
        <w:t xml:space="preserve">-génen a </w:t>
      </w:r>
      <w:r w:rsidRPr="001B0D61">
        <w:rPr>
          <w:i/>
        </w:rPr>
        <w:t xml:space="preserve">G970R </w:t>
      </w:r>
      <w:r w:rsidRPr="001B0D61">
        <w:t>mutációt hordozó betegeknél nem sikerült klinikai hatásosságot igazolni (lásd 5.1 pont).</w:t>
      </w:r>
    </w:p>
    <w:p w14:paraId="593C5ABD" w14:textId="77777777" w:rsidR="00EE208D" w:rsidRPr="001B0D61" w:rsidRDefault="00EE208D" w:rsidP="00EE208D"/>
    <w:p w14:paraId="7B71F93F" w14:textId="7F138C1E" w:rsidR="00EE208D" w:rsidRPr="001B0D61" w:rsidRDefault="00EE208D" w:rsidP="00EE208D">
      <w:r w:rsidRPr="001B0D61">
        <w:t xml:space="preserve">A CF-ben szenvedő és a </w:t>
      </w:r>
      <w:r w:rsidRPr="001B0D61">
        <w:rPr>
          <w:i/>
        </w:rPr>
        <w:t>CFTR</w:t>
      </w:r>
      <w:r w:rsidRPr="001B0D61">
        <w:t xml:space="preserve">-génen az </w:t>
      </w:r>
      <w:r w:rsidRPr="001B0D61">
        <w:rPr>
          <w:i/>
        </w:rPr>
        <w:t>F508del</w:t>
      </w:r>
      <w:r w:rsidRPr="001B0D61">
        <w:t>-mutációra nézve homozigóta betegek bevonásával végzett II. fázisú vizsgálatból származó hatásossági eredmények több mint 16 hetes ivakaftor-kezelés során nem mutattak statisztikailag szignifikáns különbséget a FEV</w:t>
      </w:r>
      <w:r w:rsidRPr="001B0D61">
        <w:rPr>
          <w:vertAlign w:val="subscript"/>
        </w:rPr>
        <w:t>1</w:t>
      </w:r>
      <w:r w:rsidRPr="001B0D61">
        <w:t>-ben placebóhoz képest (lás</w:t>
      </w:r>
      <w:r w:rsidR="00DD63C3">
        <w:t>d 5.1 pont). Ezért az ivakaftor-</w:t>
      </w:r>
      <w:r w:rsidRPr="001B0D61">
        <w:t>monoterápia formájában történő alkalmazása ezeknél a betegeknél nem ajánlott.</w:t>
      </w:r>
    </w:p>
    <w:p w14:paraId="5E73D800" w14:textId="77777777" w:rsidR="00EE208D" w:rsidRPr="001B0D61" w:rsidRDefault="00EE208D" w:rsidP="00EE208D"/>
    <w:p w14:paraId="1D326A6B" w14:textId="102D3F97" w:rsidR="00EE208D" w:rsidRPr="001B0D61" w:rsidRDefault="00EE208D" w:rsidP="00EE208D">
      <w:r w:rsidRPr="001B0D61">
        <w:t xml:space="preserve">A 770-110. vizsgálatban a kevésbé súlyos betegséggel </w:t>
      </w:r>
      <w:r w:rsidR="00AF1661">
        <w:t xml:space="preserve">járó </w:t>
      </w:r>
      <w:r w:rsidRPr="001B0D61">
        <w:rPr>
          <w:i/>
        </w:rPr>
        <w:t>R117H-7T</w:t>
      </w:r>
      <w:r w:rsidRPr="001B0D61">
        <w:t>-mutációt hordozó betegeknél kevesebb bizonyítékot találtak az ivakaftor előnyös hatására (lásd 5.1 pont).</w:t>
      </w:r>
    </w:p>
    <w:p w14:paraId="32294C5C" w14:textId="77777777" w:rsidR="00EE208D" w:rsidRPr="001B0D61" w:rsidRDefault="00EE208D" w:rsidP="00EE208D"/>
    <w:p w14:paraId="756335D1" w14:textId="32521B90" w:rsidR="00EE208D" w:rsidRPr="001B0D61" w:rsidRDefault="00EE208D" w:rsidP="00EE208D">
      <w:r w:rsidRPr="001B0D61">
        <w:t>Az ivakaftor</w:t>
      </w:r>
      <w:r w:rsidR="00AF1661">
        <w:t xml:space="preserve"> a </w:t>
      </w:r>
      <w:r w:rsidRPr="001B0D61">
        <w:t>tezakaftor/ivakaftor-kombináció</w:t>
      </w:r>
      <w:r w:rsidR="00AF1661">
        <w:t>val együtt,</w:t>
      </w:r>
      <w:r w:rsidRPr="001B0D61">
        <w:t xml:space="preserve"> </w:t>
      </w:r>
      <w:r w:rsidR="00AF1661" w:rsidRPr="00AF1661">
        <w:t xml:space="preserve">kombinációs kezelési protokoll </w:t>
      </w:r>
      <w:r w:rsidRPr="001B0D61">
        <w:t xml:space="preserve">részeként nem rendelhető olyan CF-ben szenvedő betegek számára, akik az </w:t>
      </w:r>
      <w:r w:rsidRPr="001B0D61">
        <w:rPr>
          <w:i/>
        </w:rPr>
        <w:t xml:space="preserve">F508del </w:t>
      </w:r>
      <w:r w:rsidRPr="001B0D61">
        <w:t xml:space="preserve">mutáció heterozigóta formáját hordozzák, és olyan másik </w:t>
      </w:r>
      <w:r w:rsidRPr="001B0D61">
        <w:rPr>
          <w:i/>
        </w:rPr>
        <w:t xml:space="preserve">CFTR </w:t>
      </w:r>
      <w:r w:rsidRPr="001B0D61">
        <w:t>mutációval rendelkeznek, amely a 4.1 pontban nincs felsorolva.</w:t>
      </w:r>
    </w:p>
    <w:p w14:paraId="7A148F4E" w14:textId="77777777" w:rsidR="00EE208D" w:rsidRPr="001B0D61" w:rsidRDefault="00EE208D" w:rsidP="00EE208D"/>
    <w:p w14:paraId="01CA9143" w14:textId="77777777" w:rsidR="00EE208D" w:rsidRPr="001B0D61" w:rsidRDefault="00EE208D" w:rsidP="00EE208D">
      <w:r w:rsidRPr="001B0D61">
        <w:rPr>
          <w:u w:val="single"/>
        </w:rPr>
        <w:t>Emelkedett transzaminázszintek és májkárosodás</w:t>
      </w:r>
    </w:p>
    <w:p w14:paraId="5333566F" w14:textId="77777777" w:rsidR="00EE208D" w:rsidRPr="001B0D61" w:rsidRDefault="00EE208D" w:rsidP="00EE208D"/>
    <w:p w14:paraId="7387C8C6" w14:textId="77777777" w:rsidR="00EE208D" w:rsidRPr="001B0D61" w:rsidRDefault="00EE208D" w:rsidP="00EE208D">
      <w:r w:rsidRPr="001B0D61">
        <w:t>Egy cirrhosisban és portalis hypertoniában szenvedő betegnél transzplantációhoz vezető májelégtelenségről számoltak be az ivakaftor és az ivakaftor/tezakaftor/elexakaftor kombináció együttes alkalmazásakor. Eleve fennálló, előrehaladott májbetegségben (például cirrhosis, portalis hypertonia) szenvedő betegeknél ez a gyógyszer óvatosan alkalmazandó, és csak abban az esetben, ha a várt előnyök meghaladják a kockázatokat. Ilyen betegeknél történő alkalmazás esetén a kezelés megkezdése után a beteget szorosan monitorozni kell (lásd 4.2, 4.8 és 5.2 pont).</w:t>
      </w:r>
    </w:p>
    <w:p w14:paraId="3B2E4CB7" w14:textId="57351F83" w:rsidR="00EE208D" w:rsidRPr="001B0D61" w:rsidRDefault="00EE208D" w:rsidP="00EE208D">
      <w:r w:rsidRPr="001B0D61">
        <w:t xml:space="preserve">A transzaminázszintek (glutamát-piruvát transzamináz GPT [ALAT)] vagy glutamát-oxálacetát transzamináz (GOT) [ASAT]) közepes fokú emelkedése gyakori a CF-ben szenvedő betegek esetében. Néhány betegnél, akik monoterápia formájában, illetve tezakaftor/ivakaftor vagy ivakaftor/tezakaftor/elexakaftor mellett, kombinációs kezelés részeként kaptak ivakaftort, a transzaminázszintek megemelkedését figyelték meg. Az ivakaftort ivakaftor/tezakaftor/elexakaftor kombinációs kezelés mellett szedő betegeknél ezek a transzaminázszint-emelkedések néha együtt jártak az összbilirubinszint egyidejű megemelkedésével. Ezért minden betegnél javasolt meghatározni a transzaminázszinteket (GPT [ALAT] és GOT [ASAT]), valamint az összbilirubinszintet az ivakaftor alkalmazásának megkezdése előtt, a kezelés első évében 3 havonta, majd évente. Minden olyan betegnél megfontolandó a májfunkciós </w:t>
      </w:r>
      <w:r w:rsidR="00316274">
        <w:t>értékek</w:t>
      </w:r>
      <w:r w:rsidR="00316274" w:rsidRPr="001B0D61">
        <w:t xml:space="preserve"> </w:t>
      </w:r>
      <w:r w:rsidRPr="001B0D61">
        <w:t>gyakoribb ellenőrzése, akinél előfordult már májbetegség vagy a transzaminázszintek emelkedése. A transzaminázszintek jelentős megemelkedése esetén (például olyan betegek, akiknél a GPT [ALAT] vagy a GOT [ASAT]-szint meghaladja a normálérték felső határának [upper limit of normal, ULN] ötszörösét vagy a GPT [ALAT]- vagy a GOT [ASAT]-szint meghaladja az ULN háromszorosát, emellett a bilirubinszint meghaladja az ULN kétszeresét) az adagolást meg kell szakítani, és a kóros eltérések rendeződéséig gyakran kell laborvizsgálatokat végezni. Az emelkedett transzaminázszintek rendeződése után mérlegelni kell a kezelés újrakezdésének előnyeit és kockázatait (lásd 4.2, 4.8 és 5.2 pont).</w:t>
      </w:r>
    </w:p>
    <w:p w14:paraId="7A41DAD3" w14:textId="77777777" w:rsidR="00EE208D" w:rsidRPr="001B0D61" w:rsidRDefault="00EE208D" w:rsidP="00EE208D"/>
    <w:p w14:paraId="4B74C265" w14:textId="77777777" w:rsidR="00EE208D" w:rsidRPr="001B0D61" w:rsidRDefault="00EE208D" w:rsidP="00EE208D">
      <w:r w:rsidRPr="001B0D61">
        <w:rPr>
          <w:u w:val="single"/>
        </w:rPr>
        <w:t>Májkárosodás</w:t>
      </w:r>
    </w:p>
    <w:p w14:paraId="59526C57" w14:textId="77777777" w:rsidR="00EE208D" w:rsidRPr="001B0D61" w:rsidRDefault="00EE208D" w:rsidP="00EE208D"/>
    <w:p w14:paraId="4A1322AB" w14:textId="2C06D236" w:rsidR="00EE208D" w:rsidRPr="001B0D61" w:rsidRDefault="00EE208D" w:rsidP="00EE208D">
      <w:r w:rsidRPr="001B0D61">
        <w:t>Az ivakaftor alkalmazása – akár monoterápia formájában, akár tezakaftor/ivakaftor kombináció</w:t>
      </w:r>
      <w:r w:rsidR="00316274">
        <w:t>val együtt, kombinációs</w:t>
      </w:r>
      <w:r w:rsidRPr="001B0D61">
        <w:t xml:space="preserve"> kezelés részeként – nem javasolt súlyos fokú májkárosodásban szenvedő, 6 éves és annál idősebb betegeknél, kivéve, ha az előnyök várhatóan felülmúlják a kockázatokat. Ezek a betegek nem kezelhetők ivakaftor/tezakaftor/elexakaftor mellett, kombinációs kezelés részeként adott ivakaftorral (lásd a 3. táblázatot a 4.2 pontban és a 4.8 és az 5.2 pontot).</w:t>
      </w:r>
    </w:p>
    <w:p w14:paraId="5B25C486" w14:textId="77777777" w:rsidR="00EE208D" w:rsidRPr="001B0D61" w:rsidRDefault="00EE208D" w:rsidP="00EE208D"/>
    <w:p w14:paraId="52F130AE" w14:textId="54667A60" w:rsidR="00EE208D" w:rsidRPr="001B0D61" w:rsidRDefault="00EE208D" w:rsidP="00EE208D">
      <w:r w:rsidRPr="001B0D61">
        <w:t>Közepes</w:t>
      </w:r>
      <w:r w:rsidR="00316274">
        <w:t xml:space="preserve"> </w:t>
      </w:r>
      <w:r w:rsidRPr="001B0D61">
        <w:t xml:space="preserve">fokú májkárosodásban szenvedő, 6 éves és annál idősebb betegeknél az ivakaftor alkalmazása ivakaftor/tezakaftor/elexakaftor </w:t>
      </w:r>
      <w:r w:rsidR="00316274">
        <w:t xml:space="preserve">kombinációval együtt, </w:t>
      </w:r>
      <w:r w:rsidRPr="001B0D61">
        <w:t>kombinációs kezelés részeként nem javasolt. A kezelés csak akkor megfontolandó, ha orvosi szempontból egyértelműen szükséges, és az előnyök várhatóan felülmúlják a kockázatokat. Ha mégis alkalmazzák, elővigyázatossággal, csökkentett adagban kell alkalmazni (lásd a 3. táblázatot a 4.2 pontban és a 4.8 és 5.2 pontot).</w:t>
      </w:r>
    </w:p>
    <w:p w14:paraId="09E5618D" w14:textId="77777777" w:rsidR="00EE208D" w:rsidRPr="001B0D61" w:rsidRDefault="00EE208D" w:rsidP="00EE208D"/>
    <w:p w14:paraId="3FDC05A3" w14:textId="77777777" w:rsidR="00EE208D" w:rsidRPr="001B0D61" w:rsidRDefault="00EE208D" w:rsidP="00EE208D">
      <w:r w:rsidRPr="001B0D61">
        <w:rPr>
          <w:u w:val="single"/>
        </w:rPr>
        <w:t>Depresszió</w:t>
      </w:r>
    </w:p>
    <w:p w14:paraId="76D10685" w14:textId="77777777" w:rsidR="00EE208D" w:rsidRPr="001B0D61" w:rsidRDefault="00EE208D" w:rsidP="00EE208D"/>
    <w:p w14:paraId="4BF40105" w14:textId="731221EA" w:rsidR="00EE208D" w:rsidRPr="001B0D61" w:rsidRDefault="00EE208D" w:rsidP="00EE208D">
      <w:r w:rsidRPr="001B0D61">
        <w:t>Ivakaftorral kezelt betegeknél, főként tezakaftor/ivakaftor vagy ivakaftor/tezakaftor/elexakaftor kombináció</w:t>
      </w:r>
      <w:r w:rsidR="00316274">
        <w:t>val együtt</w:t>
      </w:r>
      <w:r w:rsidRPr="001B0D61">
        <w:t xml:space="preserve"> alkalmazva, depresszióról (beleértve a szuicid gondolatokat és az öngyilkossági kísérletet) számoltak be, ami általában a kezelés megkezdését követő három hónapon belül jelentkezett olyan betegeknél, akiknek anamnézisében pszichiátriai rendellenességek szerepeltek. Egyes esetekben a tünetek javulását jelentették az adag csökkentése vagy a kezelés abbahagyása után. A betegeket (és gondozóikat) figyelmeztetni kell arra, hogy figyelniük kell a</w:t>
      </w:r>
      <w:r w:rsidR="00316274">
        <w:t>z állapotukat</w:t>
      </w:r>
      <w:r w:rsidRPr="001B0D61">
        <w:t xml:space="preserve"> depressziós hangulat, az öngyilkossági gondolatok vagy a szokatlan viselkedésbeli változások</w:t>
      </w:r>
      <w:r w:rsidR="00316274">
        <w:t xml:space="preserve"> észlelése érdekében,</w:t>
      </w:r>
      <w:r w:rsidRPr="001B0D61">
        <w:t xml:space="preserve"> és azonnal orvoshoz kell fordulniuk, ha ezek a tünetek jelentkeznek.</w:t>
      </w:r>
    </w:p>
    <w:p w14:paraId="6AD7FB73" w14:textId="77777777" w:rsidR="00EE208D" w:rsidRPr="001B0D61" w:rsidRDefault="00EE208D" w:rsidP="00EE208D"/>
    <w:p w14:paraId="7AD6546C" w14:textId="77777777" w:rsidR="00EE208D" w:rsidRPr="001B0D61" w:rsidRDefault="00EE208D" w:rsidP="00EE208D">
      <w:r w:rsidRPr="001B0D61">
        <w:rPr>
          <w:u w:val="single"/>
        </w:rPr>
        <w:t>Vesekárosodás</w:t>
      </w:r>
    </w:p>
    <w:p w14:paraId="0B71B7F0" w14:textId="77777777" w:rsidR="00EE208D" w:rsidRPr="001B0D61" w:rsidRDefault="00EE208D" w:rsidP="00EE208D"/>
    <w:p w14:paraId="24AA19AD" w14:textId="77777777" w:rsidR="00EE208D" w:rsidRPr="001B0D61" w:rsidRDefault="00EE208D" w:rsidP="00EE208D">
      <w:r w:rsidRPr="001B0D61">
        <w:t>Súlyos fokú vesekárosodásban vagy végstádiumú vesebetegségben szenvedő betegeknél óvatosság ajánlott az ivakaftor alkalmazása során (lásd 4.2 és 5.2 pont).</w:t>
      </w:r>
    </w:p>
    <w:p w14:paraId="2CA7D120" w14:textId="77777777" w:rsidR="00EE208D" w:rsidRPr="001B0D61" w:rsidRDefault="00EE208D" w:rsidP="00EE208D"/>
    <w:p w14:paraId="3D0E72D8" w14:textId="77777777" w:rsidR="00EE208D" w:rsidRPr="001B0D61" w:rsidRDefault="00EE208D" w:rsidP="00EE208D">
      <w:r w:rsidRPr="001B0D61">
        <w:rPr>
          <w:u w:val="single"/>
        </w:rPr>
        <w:t>Modulátor terápiára valószínűleg nem reagáló mutációk</w:t>
      </w:r>
    </w:p>
    <w:p w14:paraId="6E58A77A" w14:textId="77777777" w:rsidR="00EE208D" w:rsidRPr="001B0D61" w:rsidRDefault="00EE208D" w:rsidP="00EE208D"/>
    <w:p w14:paraId="5A1DD972" w14:textId="77777777" w:rsidR="00EE208D" w:rsidRPr="001B0D61" w:rsidRDefault="00EE208D" w:rsidP="00EE208D">
      <w:r w:rsidRPr="001B0D61">
        <w:t xml:space="preserve">Azok a betegek, akiknek a genotípusa két </w:t>
      </w:r>
      <w:r w:rsidRPr="001B0D61">
        <w:rPr>
          <w:i/>
        </w:rPr>
        <w:t>CFTR</w:t>
      </w:r>
      <w:r w:rsidRPr="001B0D61">
        <w:t>-mutációból áll, amelyekről ismert, hogy nem termelnek CFTR-fehérjét (azaz két I. osztályú mutáció), várhatóan nem reagálnak a CFTR-modulátor kezelésre.</w:t>
      </w:r>
    </w:p>
    <w:p w14:paraId="462BDA6F" w14:textId="77777777" w:rsidR="00EE208D" w:rsidRPr="001B0D61" w:rsidRDefault="00EE208D" w:rsidP="00EE208D"/>
    <w:p w14:paraId="1B679D02" w14:textId="77777777" w:rsidR="00EE208D" w:rsidRPr="001B0D61" w:rsidRDefault="00EE208D" w:rsidP="00EE208D">
      <w:r w:rsidRPr="001B0D61">
        <w:rPr>
          <w:u w:val="single"/>
        </w:rPr>
        <w:t>Az ivakaftor/tezakaftor/elexakaftor kezelést tezakaftor/ivakaftor vagy ivakaftor-kezeléssel</w:t>
      </w:r>
      <w:r w:rsidRPr="001B0D61">
        <w:t xml:space="preserve"> </w:t>
      </w:r>
      <w:r w:rsidRPr="001B0D61">
        <w:rPr>
          <w:u w:val="single"/>
        </w:rPr>
        <w:t>összehasonlító klinikai vizsgálatok</w:t>
      </w:r>
    </w:p>
    <w:p w14:paraId="70FF108B" w14:textId="77777777" w:rsidR="00EE208D" w:rsidRPr="001B0D61" w:rsidRDefault="00EE208D" w:rsidP="00EE208D"/>
    <w:p w14:paraId="042A94E4" w14:textId="77777777" w:rsidR="00EE208D" w:rsidRPr="001B0D61" w:rsidRDefault="00EE208D" w:rsidP="00EE208D">
      <w:r w:rsidRPr="001B0D61">
        <w:t xml:space="preserve">Nem végeztek klinikai vizsgálatot az ivakaftor/tezakaftor/elexakaftor és a tezakaftor/ivakaftor vagy ivakaftor közvetlen összehasonlítására </w:t>
      </w:r>
      <w:r w:rsidRPr="001B0D61">
        <w:rPr>
          <w:i/>
        </w:rPr>
        <w:t xml:space="preserve">F508del </w:t>
      </w:r>
      <w:r w:rsidRPr="001B0D61">
        <w:t>variánsokat nem hordozó betegek körében.</w:t>
      </w:r>
    </w:p>
    <w:p w14:paraId="709EB3FC" w14:textId="77777777" w:rsidR="00EE208D" w:rsidRPr="001B0D61" w:rsidRDefault="00EE208D" w:rsidP="00EE208D"/>
    <w:p w14:paraId="136BBD7D" w14:textId="77777777" w:rsidR="00EE208D" w:rsidRPr="001B0D61" w:rsidRDefault="00EE208D" w:rsidP="00EE208D">
      <w:r w:rsidRPr="001B0D61">
        <w:rPr>
          <w:u w:val="single"/>
        </w:rPr>
        <w:t>Szervtranszplantáción átesett betegek</w:t>
      </w:r>
    </w:p>
    <w:p w14:paraId="27513077" w14:textId="77777777" w:rsidR="00EE208D" w:rsidRPr="001B0D61" w:rsidRDefault="00EE208D" w:rsidP="00EE208D"/>
    <w:p w14:paraId="70BD06B7" w14:textId="77777777" w:rsidR="00EE208D" w:rsidRPr="001B0D61" w:rsidRDefault="00EE208D" w:rsidP="00EE208D">
      <w:r w:rsidRPr="001B0D61">
        <w:t>Az ivakaftort nem vizsgálták olyan CF-es betegek esetében, akik szervtranszplantáción estek át. Ezért alkalmazása transzplantált betegek esetében nem javasolt. A ciklosporinnal vagy takrolimusszal mutatott interakciókat lásd a 4.5 pontban.</w:t>
      </w:r>
    </w:p>
    <w:p w14:paraId="1EB7913F" w14:textId="77777777" w:rsidR="00EE208D" w:rsidRPr="001B0D61" w:rsidRDefault="00EE208D" w:rsidP="00EE208D"/>
    <w:p w14:paraId="034BCD9F" w14:textId="77777777" w:rsidR="00EE208D" w:rsidRPr="001B0D61" w:rsidRDefault="00EE208D" w:rsidP="00EE208D">
      <w:r w:rsidRPr="001B0D61">
        <w:rPr>
          <w:u w:val="single"/>
        </w:rPr>
        <w:t>Bőrkiütések</w:t>
      </w:r>
    </w:p>
    <w:p w14:paraId="0E1BF4ED" w14:textId="19AC0838" w:rsidR="00EE208D" w:rsidRPr="001B0D61" w:rsidRDefault="00EE208D" w:rsidP="00EE208D">
      <w:r w:rsidRPr="001B0D61">
        <w:t>Az ivakaftor/tezakaftor/elexakaftor-kombinációval együtt adott ivakaftor-kezelés mellett a bőrkiütések gyakorisága nőknél nagyobb volt, mint férfiaknál, különösen a hormonális fogamzásgátlókat szedő nők esetében. A bőrkiütések előfordulásánál nem zárható ki a hormonális fogamzásgátlók szerepe. Azoknál a hormonális fogamzásgátlót szedő betegeknél, akiknél bőrkiütés lép fel, meg kell fontolni az ivakaftorral kombinációban alkalmazott ivakaftor/tezakaftor/elexakaftor és a hormonális fogamzásgátlók egyidejű adásának felfüggesztését. A bőrkiütések megszűnése után megfontolandó, hogy az ivakaftorral kombinációban alkalmazott ivakaftor/tezakaftor/elexakaftor</w:t>
      </w:r>
      <w:r w:rsidR="00CA74C4">
        <w:t>-</w:t>
      </w:r>
      <w:r w:rsidRPr="001B0D61">
        <w:t>kezelés hormonális fogamzásgátlók nélküli újrakezdése indokolt-e. Ha a bőrkiütés nem tér vissza, a hormonális fogamzásgátlók újrakezdése is megfontolható (lásd 4.8</w:t>
      </w:r>
      <w:r w:rsidRPr="001B0D61">
        <w:rPr>
          <w:spacing w:val="-5"/>
        </w:rPr>
        <w:t> pont</w:t>
      </w:r>
      <w:r w:rsidRPr="001B0D61">
        <w:t>).</w:t>
      </w:r>
    </w:p>
    <w:p w14:paraId="618FE95C" w14:textId="77777777" w:rsidR="00EE208D" w:rsidRPr="001B0D61" w:rsidRDefault="00EE208D" w:rsidP="00EE208D"/>
    <w:p w14:paraId="68F86747" w14:textId="77777777" w:rsidR="00EE208D" w:rsidRPr="001B0D61" w:rsidRDefault="00EE208D" w:rsidP="00EE208D">
      <w:r w:rsidRPr="001B0D61">
        <w:rPr>
          <w:u w:val="single"/>
        </w:rPr>
        <w:t>Kölcsönhatások gyógyszerekkel</w:t>
      </w:r>
    </w:p>
    <w:p w14:paraId="1C9F0E79" w14:textId="77777777" w:rsidR="00EE208D" w:rsidRPr="001B0D61" w:rsidRDefault="00EE208D" w:rsidP="00EE208D"/>
    <w:p w14:paraId="1CFAFF37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CYP3A-induktorok</w:t>
      </w:r>
    </w:p>
    <w:p w14:paraId="641DB0DA" w14:textId="77777777" w:rsidR="00EE208D" w:rsidRPr="001B0D61" w:rsidRDefault="00EE208D" w:rsidP="00EE208D">
      <w:pPr>
        <w:rPr>
          <w:i/>
        </w:rPr>
      </w:pPr>
    </w:p>
    <w:p w14:paraId="62168D29" w14:textId="77777777" w:rsidR="00EE208D" w:rsidRPr="001B0D61" w:rsidRDefault="00EE208D" w:rsidP="00EE208D">
      <w:r w:rsidRPr="001B0D61">
        <w:t>CYP3A-induktorok egyidejű alkalmazása esetén az ivakaftor-expozíció jelentősen csökken, ami az ivakaftor hatásosságának csökkenését eredményezheti, ezért az ivakaftor együttes alkalmazása erős CYP3A-induktorokkal nem javasolt (lásd 4.5 pont).</w:t>
      </w:r>
    </w:p>
    <w:p w14:paraId="1632424D" w14:textId="77777777" w:rsidR="00EE208D" w:rsidRPr="001B0D61" w:rsidRDefault="00EE208D" w:rsidP="00EE208D">
      <w:pPr>
        <w:rPr>
          <w:i/>
        </w:rPr>
      </w:pPr>
    </w:p>
    <w:p w14:paraId="212646BC" w14:textId="77777777" w:rsidR="00EE208D" w:rsidRPr="001B0D61" w:rsidRDefault="00EE208D" w:rsidP="00AC6429">
      <w:pPr>
        <w:rPr>
          <w:i/>
        </w:rPr>
      </w:pPr>
      <w:r w:rsidRPr="001B0D61">
        <w:rPr>
          <w:i/>
        </w:rPr>
        <w:t>CYP3A-inhibitorok</w:t>
      </w:r>
    </w:p>
    <w:p w14:paraId="54746E11" w14:textId="77777777" w:rsidR="00EE208D" w:rsidRPr="001B0D61" w:rsidRDefault="00EE208D" w:rsidP="00AC6429">
      <w:pPr>
        <w:rPr>
          <w:i/>
        </w:rPr>
      </w:pPr>
    </w:p>
    <w:p w14:paraId="11AF5EDD" w14:textId="77777777" w:rsidR="00EE208D" w:rsidRPr="001B0D61" w:rsidRDefault="00EE208D" w:rsidP="00AC6429">
      <w:r w:rsidRPr="001B0D61">
        <w:t>Erős vagy közepesen erős CYP3A-inhibitorokkal egyidejűleg történő alkalmazás esetén az ivakaftor-, a tezakaftor- és az elexakaftor-expozíció megnövekszik. Az ivakaftor adagját módosítani kell, amennyiben erős vagy közepesen erős CYP3A-inhibitorokkal egyidejűleg alkalmazzák (lásd a 2. táblázatot a 4.2 pontban és a 4.5 pontot).</w:t>
      </w:r>
    </w:p>
    <w:p w14:paraId="0FD71237" w14:textId="77777777" w:rsidR="00EE208D" w:rsidRPr="001B0D61" w:rsidRDefault="00EE208D" w:rsidP="00EE208D"/>
    <w:p w14:paraId="48E277DC" w14:textId="77777777" w:rsidR="00EE208D" w:rsidRPr="001B0D61" w:rsidRDefault="00EE208D" w:rsidP="00EE208D">
      <w:r w:rsidRPr="001B0D61">
        <w:rPr>
          <w:u w:val="single"/>
        </w:rPr>
        <w:t>Gyermekek és serdülők</w:t>
      </w:r>
    </w:p>
    <w:p w14:paraId="331D0F62" w14:textId="77777777" w:rsidR="00EE208D" w:rsidRPr="001B0D61" w:rsidRDefault="00EE208D" w:rsidP="00EE208D"/>
    <w:p w14:paraId="7CE401FB" w14:textId="77C409B5" w:rsidR="00EE208D" w:rsidRPr="001B0D61" w:rsidRDefault="00EE208D" w:rsidP="00EE208D">
      <w:r w:rsidRPr="001B0D61">
        <w:t>A látást nem befolyásoló, nem congenitalis lencsehomályok/cataracta eseteiről számoltak be az ivakaftorral és ivakaftor tartalmú terápiákkal kezelt gyermekeknél. Bár néhány esetben egyéb kockázati tényezők is fennálltak (például kortikoszteroidok alkalmazása és sugárexpozíció), az ivakaftor-kezelésnek tulajdonítható potenciális kockázat nem zárható ki. Az ivakaftor-kezelést megkezdő gyermek- és serdülőkorú betegek</w:t>
      </w:r>
      <w:r w:rsidR="00046C0B">
        <w:t>nél</w:t>
      </w:r>
      <w:r w:rsidRPr="001B0D61">
        <w:t xml:space="preserve"> a kezelés megkezdésekor szemészeti vizsgálat, majd szemészeti kontrollvizsgálatok végzése javasolt (lásd 5.3 pont).</w:t>
      </w:r>
    </w:p>
    <w:p w14:paraId="522D0327" w14:textId="77777777" w:rsidR="00EE208D" w:rsidRPr="001B0D61" w:rsidRDefault="00EE208D" w:rsidP="00EE208D"/>
    <w:p w14:paraId="23DECA82" w14:textId="77777777" w:rsidR="00EE208D" w:rsidRPr="001B0D61" w:rsidRDefault="00EE208D" w:rsidP="00EE208D">
      <w:r w:rsidRPr="001B0D61">
        <w:rPr>
          <w:u w:val="single"/>
        </w:rPr>
        <w:t>Ismert hatású segédanyagok</w:t>
      </w:r>
    </w:p>
    <w:p w14:paraId="350BA0D0" w14:textId="77777777" w:rsidR="00EE208D" w:rsidRPr="001B0D61" w:rsidRDefault="00EE208D" w:rsidP="00EE208D"/>
    <w:p w14:paraId="1A251F43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Laktóz</w:t>
      </w:r>
    </w:p>
    <w:p w14:paraId="1D2CFCB2" w14:textId="77777777" w:rsidR="00EE208D" w:rsidRPr="001B0D61" w:rsidRDefault="00EE208D" w:rsidP="00EE208D">
      <w:pPr>
        <w:rPr>
          <w:i/>
        </w:rPr>
      </w:pPr>
    </w:p>
    <w:p w14:paraId="61E70AB5" w14:textId="77777777" w:rsidR="00EE208D" w:rsidRPr="001B0D61" w:rsidRDefault="00EE208D" w:rsidP="00EE208D">
      <w:r w:rsidRPr="001B0D61">
        <w:t>Ez a gyógyszer laktózt tartalmaz. Ritkán előforduló, örökletes galaktózintoleranciában, teljes laktáz-hiányban vagy glükóz-galaktóz malabszorpcióban a készítmény nem szedhető.</w:t>
      </w:r>
    </w:p>
    <w:p w14:paraId="7792BDFB" w14:textId="77777777" w:rsidR="00EE208D" w:rsidRPr="001B0D61" w:rsidRDefault="00EE208D" w:rsidP="00EE208D"/>
    <w:p w14:paraId="538F4C87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Nátrium</w:t>
      </w:r>
    </w:p>
    <w:p w14:paraId="3B77CB1C" w14:textId="77777777" w:rsidR="00EE208D" w:rsidRPr="001B0D61" w:rsidRDefault="00EE208D" w:rsidP="00EE208D">
      <w:pPr>
        <w:rPr>
          <w:i/>
        </w:rPr>
      </w:pPr>
    </w:p>
    <w:p w14:paraId="7DB7B282" w14:textId="77777777" w:rsidR="00EE208D" w:rsidRPr="001B0D61" w:rsidRDefault="00EE208D" w:rsidP="00EE208D">
      <w:r w:rsidRPr="001B0D61">
        <w:t>A készítmény kevesebb mint 1 mmol (23 mg) nátriumot tartalmaz adagonként, azaz gyakorlatilag „nátriummentes”.</w:t>
      </w:r>
    </w:p>
    <w:p w14:paraId="0B480E0E" w14:textId="77777777" w:rsidR="00EE208D" w:rsidRPr="001B0D61" w:rsidRDefault="00EE208D" w:rsidP="00EE208D"/>
    <w:p w14:paraId="664FE70E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4.5</w:t>
      </w:r>
      <w:r w:rsidRPr="001B0D61">
        <w:rPr>
          <w:b/>
          <w:bCs/>
        </w:rPr>
        <w:tab/>
        <w:t>Gyógyszerkölcsönhatások és egyéb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interakciók</w:t>
      </w:r>
    </w:p>
    <w:p w14:paraId="225FF83A" w14:textId="77777777" w:rsidR="00EE208D" w:rsidRPr="001B0D61" w:rsidRDefault="00EE208D" w:rsidP="00EE208D"/>
    <w:p w14:paraId="56C29160" w14:textId="77777777" w:rsidR="00EE208D" w:rsidRPr="001B0D61" w:rsidRDefault="00EE208D" w:rsidP="00EE208D">
      <w:r w:rsidRPr="001B0D61">
        <w:t xml:space="preserve">Az ivakaftor a CYP3A4 és a CYP3A5 szubsztrátja. A CYP3A-nak és a P-glikoproteinnek (P-gp) gyenge inhibitora, a CYP2C9-nek pedig potenciális inhibitora. </w:t>
      </w:r>
      <w:r w:rsidRPr="001B0D61">
        <w:rPr>
          <w:i/>
        </w:rPr>
        <w:t xml:space="preserve">In vitro </w:t>
      </w:r>
      <w:r w:rsidRPr="001B0D61">
        <w:t>vizsgálatok igazolták, hogy az ivakaftor nem szubsztrátja a P-gp-transzportereknek.</w:t>
      </w:r>
    </w:p>
    <w:p w14:paraId="014FF495" w14:textId="77777777" w:rsidR="00EE208D" w:rsidRPr="001B0D61" w:rsidRDefault="00EE208D" w:rsidP="00EE208D"/>
    <w:p w14:paraId="7366B066" w14:textId="77777777" w:rsidR="00EE208D" w:rsidRPr="001B0D61" w:rsidRDefault="00EE208D" w:rsidP="00EE208D">
      <w:r w:rsidRPr="001B0D61">
        <w:rPr>
          <w:u w:val="single"/>
        </w:rPr>
        <w:t>Az ivakaftor farmakokinetikáját befolyásoló gyógyszerek</w:t>
      </w:r>
    </w:p>
    <w:p w14:paraId="458A22B4" w14:textId="77777777" w:rsidR="00EE208D" w:rsidRPr="001B0D61" w:rsidRDefault="00EE208D" w:rsidP="00EE208D"/>
    <w:p w14:paraId="5F623D1D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CYP3A-induktorok</w:t>
      </w:r>
    </w:p>
    <w:p w14:paraId="56CF66B0" w14:textId="77777777" w:rsidR="00EE208D" w:rsidRPr="001B0D61" w:rsidRDefault="00EE208D" w:rsidP="00EE208D">
      <w:pPr>
        <w:rPr>
          <w:i/>
        </w:rPr>
      </w:pPr>
    </w:p>
    <w:p w14:paraId="6DA35004" w14:textId="77777777" w:rsidR="00EE208D" w:rsidRPr="001B0D61" w:rsidRDefault="00EE208D" w:rsidP="00EE208D">
      <w:r w:rsidRPr="001B0D61">
        <w:t>Az ivakaftor és az erős CYP3A-induktor rifampicin együttes alkalmazásakor az ivakaftor-expozíció (AUC) 89%-kal csökkent, a hidroximetil-ivakaftor- (M1) expozíció pedig az ivakaftorénál kisebb mértékben csökkent. Az ivakaftor együttes alkalmazása erős CYP3A-induktorokkal, például rifampicinnel, rifabutinnal, fenobarbitállal, karbamazepinnel, fenitoinnal, illetve közönséges orbáncfűvel (</w:t>
      </w:r>
      <w:r w:rsidRPr="001B0D61">
        <w:rPr>
          <w:i/>
        </w:rPr>
        <w:t>Hypericum perforatum</w:t>
      </w:r>
      <w:r w:rsidRPr="001B0D61">
        <w:t>) nem javasolt (lásd 4.4 pont).</w:t>
      </w:r>
    </w:p>
    <w:p w14:paraId="2D41A0BE" w14:textId="77777777" w:rsidR="00EE208D" w:rsidRPr="001B0D61" w:rsidRDefault="00EE208D" w:rsidP="00EE208D"/>
    <w:p w14:paraId="49C05318" w14:textId="36B55BE4" w:rsidR="00EE208D" w:rsidRPr="001B0D61" w:rsidRDefault="00EE208D" w:rsidP="00EE208D">
      <w:r w:rsidRPr="001B0D61">
        <w:t>Az ivakaftor közepes</w:t>
      </w:r>
      <w:r w:rsidR="00046C0B">
        <w:t xml:space="preserve"> erősségű</w:t>
      </w:r>
      <w:r w:rsidRPr="001B0D61">
        <w:t xml:space="preserve"> vagy gyenge CYP3A-induktorokkal együtt történő alkalmazásakor nincs szükség dózismódosításra.</w:t>
      </w:r>
    </w:p>
    <w:p w14:paraId="724090CA" w14:textId="77777777" w:rsidR="00EE208D" w:rsidRPr="001B0D61" w:rsidRDefault="00EE208D" w:rsidP="00EE208D"/>
    <w:p w14:paraId="31FF83C1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CYP3A-inhibitorok</w:t>
      </w:r>
    </w:p>
    <w:p w14:paraId="326E4C05" w14:textId="77777777" w:rsidR="00EE208D" w:rsidRPr="001B0D61" w:rsidRDefault="00EE208D" w:rsidP="00EE208D">
      <w:pPr>
        <w:rPr>
          <w:i/>
        </w:rPr>
      </w:pPr>
    </w:p>
    <w:p w14:paraId="4C672B8A" w14:textId="53AC1BE3" w:rsidR="00EE208D" w:rsidRPr="001B0D61" w:rsidRDefault="00EE208D" w:rsidP="00EE208D">
      <w:r w:rsidRPr="001B0D61">
        <w:t>Az ivakaftor szenzitív CYP3A-szubsztrát. Az erős CYP3A-inhibitor ketokonazollal együtt történő alkalmazása esetén az ivakaftor-expozíció (a</w:t>
      </w:r>
      <w:r w:rsidR="00046C0B" w:rsidRPr="00046C0B">
        <w:t xml:space="preserve"> plazmakoncentráció-idő</w:t>
      </w:r>
      <w:r w:rsidRPr="001B0D61">
        <w:t xml:space="preserve"> görbe alatti terület [area under the curve, AUC] alapján mérve) 8,5-szeresére emelkedett, az M1-expozíció pedig az ivakaftorénál kisebb mértékben nőtt. Erős CYP3A-inhibitorokkal, például ketokonazollal, itrakonazollal, pozakonazollal, vorikonazollal, telitromicinnel, illetve klaritromicinnel együtt történő alkalmazás esetén ajánlott az ivakaftor dózisát csökkenteni (lásd a 2. táblázatot a 4.2 pontban és a 4.4 pontot).</w:t>
      </w:r>
    </w:p>
    <w:p w14:paraId="2CFE312A" w14:textId="77777777" w:rsidR="00EE208D" w:rsidRPr="001B0D61" w:rsidRDefault="00EE208D" w:rsidP="00EE208D"/>
    <w:p w14:paraId="2EB0DE8B" w14:textId="77777777" w:rsidR="00EE208D" w:rsidRPr="001B0D61" w:rsidRDefault="00EE208D" w:rsidP="00EE208D">
      <w:r w:rsidRPr="001B0D61">
        <w:t>A közepesen erős CYP3A-inhibitor flukonazollal egyidejű alkalmazása mellett az ivakaftor-expozíció háromszorosára emelkedett, az M1-expozíció pedig az ivakaftorénál kisebb mértékben emelkedett. Az egyidejűleg közepesen erős CYP3A-inhibitorokat, például flukonazolt, eritromicint vagy verapamilt szedő betegeknél az ivakaftor dózisának csökkentése ajánlott (lásd a 2. táblázatot a 4.2 pontban és a 4.4 pontot).</w:t>
      </w:r>
    </w:p>
    <w:p w14:paraId="52563C82" w14:textId="77777777" w:rsidR="00EE208D" w:rsidRPr="001B0D61" w:rsidRDefault="00EE208D" w:rsidP="00EE208D"/>
    <w:p w14:paraId="515C220A" w14:textId="66930C79" w:rsidR="00EE208D" w:rsidRPr="001B0D61" w:rsidRDefault="00EE208D" w:rsidP="00EE208D">
      <w:r w:rsidRPr="001B0D61">
        <w:t>Az ivakaftor alkalmazása alatt a CYP3A-t közepes mértékben gátló egy vagy több összetevőt tartalmazó grépfrútlé fogyasztása fokozhatja az ivakaftor-expozíciót. A grépfrútot tartalmazó ételek, illetve italok kerülendők az ivakaftor</w:t>
      </w:r>
      <w:r w:rsidR="00046C0B">
        <w:t>-</w:t>
      </w:r>
      <w:r w:rsidRPr="001B0D61">
        <w:t>kezelés alatt (lásd 4.2 pont).</w:t>
      </w:r>
    </w:p>
    <w:p w14:paraId="5692B92A" w14:textId="77777777" w:rsidR="00EE208D" w:rsidRPr="001B0D61" w:rsidRDefault="00EE208D" w:rsidP="00EE208D"/>
    <w:p w14:paraId="55D670CD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Az ivakaftor és a transzporterek közötti interakció lehetősége</w:t>
      </w:r>
    </w:p>
    <w:p w14:paraId="1EB23B92" w14:textId="77777777" w:rsidR="00EE208D" w:rsidRPr="001B0D61" w:rsidRDefault="00EE208D" w:rsidP="00EE208D">
      <w:pPr>
        <w:rPr>
          <w:i/>
        </w:rPr>
      </w:pPr>
    </w:p>
    <w:p w14:paraId="36A41460" w14:textId="006466FA" w:rsidR="00EE208D" w:rsidRPr="001B0D61" w:rsidRDefault="00EE208D" w:rsidP="00EE208D">
      <w:r w:rsidRPr="001B0D61">
        <w:rPr>
          <w:i/>
        </w:rPr>
        <w:t xml:space="preserve">In vitro </w:t>
      </w:r>
      <w:r w:rsidRPr="001B0D61">
        <w:t xml:space="preserve">vizsgálatokban kimutatták, hogy az ivakaftor nem szubsztrátja az OATP1B1-nek vagy OATP1B3-nak. Az ivakaftor és metabolitjai a BCRP szubsztrátjai </w:t>
      </w:r>
      <w:r w:rsidRPr="001B0D61">
        <w:rPr>
          <w:i/>
        </w:rPr>
        <w:t>in vitro</w:t>
      </w:r>
      <w:r w:rsidRPr="001B0D61">
        <w:t>. Nagy fokú intrinsic permeabilitása miatt, és mivel kicsi a valószínűsége annak, hogy változatlanul ürül ki, a BCRP</w:t>
      </w:r>
      <w:r w:rsidRPr="001B0D61">
        <w:noBreakHyphen/>
        <w:t>inhibitorok együttes alkalmazása várhatóan nem módosítja az ivakaftor és az M1-IVA expozíció</w:t>
      </w:r>
      <w:r w:rsidR="00046C0B">
        <w:t>já</w:t>
      </w:r>
      <w:r w:rsidRPr="001B0D61">
        <w:t>t, ugyanakkor az M6-IVA expozícióban bekövetkezett bármilyen lehetséges változás várhatóan klinikailag nem releváns.</w:t>
      </w:r>
    </w:p>
    <w:p w14:paraId="4FAE7387" w14:textId="77777777" w:rsidR="00EE208D" w:rsidRPr="001B0D61" w:rsidRDefault="00EE208D" w:rsidP="00EE208D"/>
    <w:p w14:paraId="7292D4E9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Ciprofloxacin</w:t>
      </w:r>
    </w:p>
    <w:p w14:paraId="05FEEACE" w14:textId="77777777" w:rsidR="00EE208D" w:rsidRPr="001B0D61" w:rsidRDefault="00EE208D" w:rsidP="00EE208D">
      <w:pPr>
        <w:rPr>
          <w:i/>
        </w:rPr>
      </w:pPr>
    </w:p>
    <w:p w14:paraId="1F829391" w14:textId="77777777" w:rsidR="00EE208D" w:rsidRPr="001B0D61" w:rsidRDefault="00EE208D" w:rsidP="00EE208D">
      <w:r w:rsidRPr="001B0D61">
        <w:t>Ciprofloxacin és ivakaftor együttes alkalmazása nem befolyásolta az ivakaftor expozícióját. Az ivakaftor ciprofloxacinnal együtt történő alkalmazásakor nincs szükség dózismódosításra.</w:t>
      </w:r>
    </w:p>
    <w:p w14:paraId="6F63D406" w14:textId="77777777" w:rsidR="00EE208D" w:rsidRPr="001B0D61" w:rsidRDefault="00EE208D" w:rsidP="00EE208D"/>
    <w:p w14:paraId="63C9ECC7" w14:textId="77777777" w:rsidR="00EE208D" w:rsidRPr="001B0D61" w:rsidRDefault="00EE208D" w:rsidP="00EE208D">
      <w:r w:rsidRPr="001B0D61">
        <w:rPr>
          <w:u w:val="single"/>
        </w:rPr>
        <w:t>Az ivakaftor által befolyásolt gyógyszerek</w:t>
      </w:r>
    </w:p>
    <w:p w14:paraId="548D7F35" w14:textId="77777777" w:rsidR="00EE208D" w:rsidRPr="001B0D61" w:rsidRDefault="00EE208D" w:rsidP="00EE208D"/>
    <w:p w14:paraId="53560A31" w14:textId="77777777" w:rsidR="00EE208D" w:rsidRPr="001B0D61" w:rsidRDefault="00EE208D" w:rsidP="00EE208D">
      <w:r w:rsidRPr="001B0D61">
        <w:t>Az ivakaftor alkalmazása megnövelheti olyan gyógyszerek szisztémás expozícióját, amelyek a CYP2C9 és/vagy a P-gp és/vagy a CYP3A szenzitív szubsztrátjai, ami fokozhatja, illetve megnyújthatja terápiás hatásukat és mellékhatásaik előfordulását.</w:t>
      </w:r>
    </w:p>
    <w:p w14:paraId="26D1CFE5" w14:textId="77777777" w:rsidR="00EE208D" w:rsidRPr="001B0D61" w:rsidRDefault="00EE208D" w:rsidP="00EE208D"/>
    <w:p w14:paraId="5A2152B7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CYP2C9-szubsztrátok</w:t>
      </w:r>
    </w:p>
    <w:p w14:paraId="4B6F1E1B" w14:textId="77777777" w:rsidR="00EE208D" w:rsidRPr="001B0D61" w:rsidRDefault="00EE208D" w:rsidP="00EE208D">
      <w:pPr>
        <w:rPr>
          <w:i/>
        </w:rPr>
      </w:pPr>
    </w:p>
    <w:p w14:paraId="00E2D3AB" w14:textId="77777777" w:rsidR="00EE208D" w:rsidRPr="001B0D61" w:rsidRDefault="00EE208D" w:rsidP="00EE208D">
      <w:r w:rsidRPr="001B0D61">
        <w:t>Az ivakaftor gátolhatja a CYP2C9-et. Ezért warfarin ivakaftorral történő együttadása alatt a nemzetközi normalizált arány (international normalized ratio, INR) értékének monitorozása javasolt. A glimepirid és a glipizid is azok közé az egyéb gyógyszerek közé tartozik, amelyeknek megnőhet az expozíciója, ezért ezek a gyógyszerek óvatosan alkalmazandók.</w:t>
      </w:r>
    </w:p>
    <w:p w14:paraId="18DF0324" w14:textId="77777777" w:rsidR="00EE208D" w:rsidRPr="001B0D61" w:rsidRDefault="00EE208D" w:rsidP="00EE208D"/>
    <w:p w14:paraId="3E884283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Digoxin és más P-gp-szubsztrátok</w:t>
      </w:r>
    </w:p>
    <w:p w14:paraId="0C6C770B" w14:textId="77777777" w:rsidR="00EE208D" w:rsidRPr="001B0D61" w:rsidRDefault="00EE208D" w:rsidP="00EE208D">
      <w:pPr>
        <w:rPr>
          <w:i/>
        </w:rPr>
      </w:pPr>
    </w:p>
    <w:p w14:paraId="381F9BE4" w14:textId="77777777" w:rsidR="00EE208D" w:rsidRPr="001B0D61" w:rsidRDefault="00EE208D" w:rsidP="00EE208D">
      <w:r w:rsidRPr="001B0D61">
        <w:t>Egy szenzitív P-gp szubsztráttal, a digoxinnal együtt alkalmazva a digoxin-expozíció 1,3-szeresére emelkedett, ami megfelel a P-gp ivakaftor általi gyenge gátlásának. Az ivakaftor alkalmazása növelheti a szenzitív P-gp-szubsztrát gyógyszerek szisztémás expozícióját, ami fokozhatja, illetve megnyújthatja terápiás hatásukat és mellékhatásaik előfordulását. Digoxinnal vagy egyéb szűk terápiás indexű P-gp-szubsztrátokkal, például ciklosporinnal, everolimusszal, szirolimusszal vagy takrolimusszal történő együttadása esetén óvatosság és megfelelő monitorozás</w:t>
      </w:r>
      <w:r w:rsidRPr="001B0D61">
        <w:rPr>
          <w:spacing w:val="-11"/>
        </w:rPr>
        <w:t xml:space="preserve"> </w:t>
      </w:r>
      <w:r w:rsidRPr="001B0D61">
        <w:t>szükséges.</w:t>
      </w:r>
    </w:p>
    <w:p w14:paraId="2FAC4AD4" w14:textId="77777777" w:rsidR="00EE208D" w:rsidRPr="001B0D61" w:rsidRDefault="00EE208D" w:rsidP="00EE208D"/>
    <w:p w14:paraId="7FBF680D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CYP3A-szubsztrátok</w:t>
      </w:r>
    </w:p>
    <w:p w14:paraId="6D07AE09" w14:textId="77777777" w:rsidR="00EE208D" w:rsidRPr="001B0D61" w:rsidRDefault="00EE208D" w:rsidP="00EE208D">
      <w:pPr>
        <w:rPr>
          <w:i/>
        </w:rPr>
      </w:pPr>
    </w:p>
    <w:p w14:paraId="5AAC7E16" w14:textId="32526536" w:rsidR="00EE208D" w:rsidRPr="001B0D61" w:rsidRDefault="00EE208D" w:rsidP="00EE208D">
      <w:r w:rsidRPr="001B0D61">
        <w:t xml:space="preserve">Egy szenzitív CYP3A-szubsztráttal, </w:t>
      </w:r>
      <w:r w:rsidRPr="00DD63C3">
        <w:rPr>
          <w:i/>
        </w:rPr>
        <w:t>(</w:t>
      </w:r>
      <w:r w:rsidR="00046C0B" w:rsidRPr="00DD63C3">
        <w:t>szájon át alkalmazott,</w:t>
      </w:r>
      <w:r w:rsidR="00046C0B">
        <w:rPr>
          <w:i/>
        </w:rPr>
        <w:t xml:space="preserve"> </w:t>
      </w:r>
      <w:r w:rsidR="00046C0B" w:rsidRPr="00DD63C3">
        <w:rPr>
          <w:i/>
        </w:rPr>
        <w:t>per os</w:t>
      </w:r>
      <w:r w:rsidRPr="001B0D61">
        <w:t>) midazolámmal együtt alkalmazva a midazolám</w:t>
      </w:r>
      <w:r w:rsidRPr="001B0D61">
        <w:noBreakHyphen/>
        <w:t>expozíció 1,5-szeres emelkedést mutatott, ami összhangban van az ivakaftor által a CYP3A-ra kifejtett gyenge gátló hatással. A CYP3A-szubsztrátok, például a midazolám, alprazolám, diazepám vagy triazolám adagját nem szükséges módosítani az ivakaftorral együtt történő alkalmazásukkor.</w:t>
      </w:r>
    </w:p>
    <w:p w14:paraId="266E04B6" w14:textId="77777777" w:rsidR="00EE208D" w:rsidRPr="001B0D61" w:rsidRDefault="00EE208D" w:rsidP="00EE208D"/>
    <w:p w14:paraId="65B7711D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Hormonális fogamzásgátlók</w:t>
      </w:r>
    </w:p>
    <w:p w14:paraId="497B4BD0" w14:textId="77777777" w:rsidR="00EE208D" w:rsidRPr="001B0D61" w:rsidRDefault="00EE208D" w:rsidP="00EE208D">
      <w:pPr>
        <w:rPr>
          <w:i/>
        </w:rPr>
      </w:pPr>
    </w:p>
    <w:p w14:paraId="1A184215" w14:textId="77777777" w:rsidR="00EE208D" w:rsidRPr="001B0D61" w:rsidRDefault="00EE208D" w:rsidP="00EE208D">
      <w:r w:rsidRPr="001B0D61">
        <w:t>Az ivakaftort vizsgálták egy ösztrogén-/progeszterontartalmú orális fogamzásgátlóval együtt alkalmazva, melynek során nem figyeltek meg az orális fogamzásgátló expozíciójára gyakorolt jelentős hatást. Ezért az orális fogamzásgátlók dózisát nem szükséges módosítani.</w:t>
      </w:r>
    </w:p>
    <w:p w14:paraId="2FABD91A" w14:textId="77777777" w:rsidR="00EE208D" w:rsidRPr="001B0D61" w:rsidRDefault="00EE208D" w:rsidP="00EE208D"/>
    <w:p w14:paraId="6EB47A22" w14:textId="77777777" w:rsidR="00EE208D" w:rsidRPr="001B0D61" w:rsidRDefault="00EE208D" w:rsidP="00EE208D">
      <w:r w:rsidRPr="001B0D61">
        <w:rPr>
          <w:u w:val="single"/>
        </w:rPr>
        <w:t>Gyermekek és serdülők</w:t>
      </w:r>
    </w:p>
    <w:p w14:paraId="1CBE5354" w14:textId="77777777" w:rsidR="00EE208D" w:rsidRPr="001B0D61" w:rsidRDefault="00EE208D" w:rsidP="00EE208D"/>
    <w:p w14:paraId="4C8F836C" w14:textId="77777777" w:rsidR="00EE208D" w:rsidRPr="001B0D61" w:rsidRDefault="00EE208D" w:rsidP="00EE208D">
      <w:r w:rsidRPr="001B0D61">
        <w:t>Interakciós vizsgálatokat csak felnőttek körében végeztek.</w:t>
      </w:r>
    </w:p>
    <w:p w14:paraId="38B1B222" w14:textId="77777777" w:rsidR="00EE208D" w:rsidRPr="001B0D61" w:rsidRDefault="00EE208D" w:rsidP="00EE208D"/>
    <w:p w14:paraId="140B8B69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4.6</w:t>
      </w:r>
      <w:r w:rsidRPr="001B0D61">
        <w:rPr>
          <w:b/>
          <w:bCs/>
        </w:rPr>
        <w:tab/>
        <w:t>Termékenység, terhesség és</w:t>
      </w:r>
      <w:r w:rsidRPr="001B0D61">
        <w:rPr>
          <w:b/>
          <w:bCs/>
          <w:spacing w:val="-1"/>
        </w:rPr>
        <w:t xml:space="preserve"> </w:t>
      </w:r>
      <w:r w:rsidRPr="001B0D61">
        <w:rPr>
          <w:b/>
          <w:bCs/>
        </w:rPr>
        <w:t>szoptatás</w:t>
      </w:r>
    </w:p>
    <w:p w14:paraId="19EFF272" w14:textId="77777777" w:rsidR="00EE208D" w:rsidRPr="001B0D61" w:rsidRDefault="00EE208D" w:rsidP="00EE208D"/>
    <w:p w14:paraId="2534B4D7" w14:textId="77777777" w:rsidR="00EE208D" w:rsidRPr="001B0D61" w:rsidRDefault="00EE208D" w:rsidP="00EE208D">
      <w:r w:rsidRPr="001B0D61">
        <w:rPr>
          <w:u w:val="single"/>
        </w:rPr>
        <w:t>Terhesség</w:t>
      </w:r>
    </w:p>
    <w:p w14:paraId="720A6322" w14:textId="77777777" w:rsidR="00EE208D" w:rsidRPr="001B0D61" w:rsidRDefault="00EE208D" w:rsidP="00EE208D"/>
    <w:p w14:paraId="138A170D" w14:textId="77777777" w:rsidR="00EE208D" w:rsidRPr="001B0D61" w:rsidRDefault="00EE208D" w:rsidP="00EE208D">
      <w:r w:rsidRPr="001B0D61">
        <w:t>Az ivakaftor terhes nőknél történő alkalmazásáról nincsenek adatok, vagy korlátozott mennyiségű adat (300-nál kevesebb terhesség kimenetelének eredménye) áll rendelkezésre. Állatokkal végzett vizsgálatok nem igazoltak közvetlen vagy közvetett káros hatásokat reprodukciós toxicitás tekintetében</w:t>
      </w:r>
      <w:r w:rsidRPr="001B0D61">
        <w:rPr>
          <w:spacing w:val="-4"/>
        </w:rPr>
        <w:t xml:space="preserve"> </w:t>
      </w:r>
      <w:r w:rsidRPr="001B0D61">
        <w:t>(lásd</w:t>
      </w:r>
      <w:r w:rsidRPr="001B0D61">
        <w:rPr>
          <w:spacing w:val="-4"/>
        </w:rPr>
        <w:t xml:space="preserve"> </w:t>
      </w:r>
      <w:r w:rsidRPr="001B0D61">
        <w:t>5.3</w:t>
      </w:r>
      <w:r w:rsidRPr="001B0D61">
        <w:rPr>
          <w:spacing w:val="-4"/>
        </w:rPr>
        <w:t> pont</w:t>
      </w:r>
      <w:r w:rsidRPr="001B0D61">
        <w:t>).</w:t>
      </w:r>
      <w:r w:rsidRPr="001B0D61">
        <w:rPr>
          <w:spacing w:val="-4"/>
        </w:rPr>
        <w:t xml:space="preserve"> </w:t>
      </w:r>
      <w:r w:rsidRPr="001B0D61">
        <w:t>Az</w:t>
      </w:r>
      <w:r w:rsidRPr="001B0D61">
        <w:rPr>
          <w:spacing w:val="-5"/>
        </w:rPr>
        <w:t xml:space="preserve"> </w:t>
      </w:r>
      <w:r w:rsidRPr="001B0D61">
        <w:t>ivakaftor</w:t>
      </w:r>
      <w:r w:rsidRPr="001B0D61">
        <w:rPr>
          <w:spacing w:val="-4"/>
        </w:rPr>
        <w:t xml:space="preserve"> </w:t>
      </w:r>
      <w:r w:rsidRPr="001B0D61">
        <w:t>alkalmazása</w:t>
      </w:r>
      <w:r w:rsidRPr="001B0D61">
        <w:rPr>
          <w:spacing w:val="-4"/>
        </w:rPr>
        <w:t xml:space="preserve"> </w:t>
      </w:r>
      <w:r w:rsidRPr="001B0D61">
        <w:t>elővigyázatosságból</w:t>
      </w:r>
      <w:r w:rsidRPr="001B0D61">
        <w:rPr>
          <w:spacing w:val="-4"/>
        </w:rPr>
        <w:t xml:space="preserve"> </w:t>
      </w:r>
      <w:r w:rsidRPr="001B0D61">
        <w:t>kerülendő</w:t>
      </w:r>
      <w:r w:rsidRPr="001B0D61">
        <w:rPr>
          <w:spacing w:val="-3"/>
        </w:rPr>
        <w:t xml:space="preserve"> </w:t>
      </w:r>
      <w:r w:rsidRPr="001B0D61">
        <w:t>a</w:t>
      </w:r>
      <w:r w:rsidRPr="001B0D61">
        <w:rPr>
          <w:spacing w:val="-4"/>
        </w:rPr>
        <w:t xml:space="preserve"> </w:t>
      </w:r>
      <w:r w:rsidRPr="001B0D61">
        <w:t>terhesség</w:t>
      </w:r>
      <w:r w:rsidRPr="001B0D61">
        <w:rPr>
          <w:spacing w:val="-4"/>
        </w:rPr>
        <w:t xml:space="preserve"> </w:t>
      </w:r>
      <w:r w:rsidRPr="001B0D61">
        <w:t>alatt.</w:t>
      </w:r>
    </w:p>
    <w:p w14:paraId="33A2FF67" w14:textId="77777777" w:rsidR="00EE208D" w:rsidRPr="001B0D61" w:rsidRDefault="00EE208D" w:rsidP="00EE208D"/>
    <w:p w14:paraId="0F2CD64E" w14:textId="77777777" w:rsidR="00EE208D" w:rsidRPr="001B0D61" w:rsidRDefault="00EE208D" w:rsidP="00EE208D">
      <w:r w:rsidRPr="001B0D61">
        <w:rPr>
          <w:u w:val="single"/>
        </w:rPr>
        <w:t>Szoptatás</w:t>
      </w:r>
    </w:p>
    <w:p w14:paraId="4626378A" w14:textId="77777777" w:rsidR="00EE208D" w:rsidRPr="001B0D61" w:rsidRDefault="00EE208D" w:rsidP="00EE208D"/>
    <w:p w14:paraId="432D94BB" w14:textId="1E0187A2" w:rsidR="00EE208D" w:rsidRPr="001B0D61" w:rsidRDefault="00EE208D" w:rsidP="00EE208D">
      <w:r w:rsidRPr="001B0D61">
        <w:t xml:space="preserve">Korlátozott </w:t>
      </w:r>
      <w:r w:rsidR="003C7C9B">
        <w:t xml:space="preserve">mennyiségű </w:t>
      </w:r>
      <w:r w:rsidRPr="001B0D61">
        <w:t xml:space="preserve">adatok </w:t>
      </w:r>
      <w:r w:rsidR="003C7C9B">
        <w:t>alapján</w:t>
      </w:r>
      <w:r w:rsidRPr="001B0D61">
        <w:t xml:space="preserve"> az ivakaftor kiválasztódik a humán anyatejbe. Az anyatejjel táplált csecsemőre nézve a kockázatot nem lehet kizárni. Az ivakaftor alkalmazása előtt el kell dönteni, hogy a szoptatást függesztik fel, vagy megszakítják a kezelést/tartózkodnak a kezeléstől – figyelembe véve a szoptatás előnyét a gyermekre nézve, valamint a terápia előnyét a nőre nézve.</w:t>
      </w:r>
    </w:p>
    <w:p w14:paraId="46AF9D7B" w14:textId="77777777" w:rsidR="00EE208D" w:rsidRPr="001B0D61" w:rsidRDefault="00EE208D" w:rsidP="00EE208D">
      <w:pPr>
        <w:rPr>
          <w:u w:val="single"/>
        </w:rPr>
      </w:pPr>
    </w:p>
    <w:p w14:paraId="5A393F77" w14:textId="77777777" w:rsidR="00EE208D" w:rsidRPr="001B0D61" w:rsidRDefault="00EE208D" w:rsidP="00EE208D">
      <w:r w:rsidRPr="001B0D61">
        <w:rPr>
          <w:u w:val="single"/>
        </w:rPr>
        <w:t>Termékenység</w:t>
      </w:r>
    </w:p>
    <w:p w14:paraId="61449284" w14:textId="77777777" w:rsidR="00EE208D" w:rsidRPr="001B0D61" w:rsidRDefault="00EE208D" w:rsidP="00EE208D"/>
    <w:p w14:paraId="1EB5CD70" w14:textId="38E29FDA" w:rsidR="00EE208D" w:rsidRPr="001B0D61" w:rsidRDefault="00EE208D" w:rsidP="00EE208D">
      <w:r w:rsidRPr="001B0D61">
        <w:t>Az ivakaftor termékenységre gyakorolt hatásáról humán adatok nem állnak rendelkezésr</w:t>
      </w:r>
      <w:r w:rsidR="00A4794D">
        <w:t>e. Az ivakaftor patkányoknál</w:t>
      </w:r>
      <w:r w:rsidRPr="001B0D61">
        <w:t xml:space="preserve"> befolyásolta a termékenységet (lásd 5.3 pont).</w:t>
      </w:r>
    </w:p>
    <w:p w14:paraId="3F97025A" w14:textId="77777777" w:rsidR="00EE208D" w:rsidRPr="001B0D61" w:rsidRDefault="00EE208D" w:rsidP="00EE208D"/>
    <w:p w14:paraId="1F42072C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4.7</w:t>
      </w:r>
      <w:r w:rsidRPr="001B0D61">
        <w:rPr>
          <w:b/>
          <w:bCs/>
        </w:rPr>
        <w:tab/>
        <w:t>A készítmény hatásai a gépjárművezetéshez és a gépek kezeléséhez szükséges</w:t>
      </w:r>
      <w:r w:rsidRPr="001B0D61">
        <w:rPr>
          <w:b/>
          <w:bCs/>
          <w:spacing w:val="-21"/>
        </w:rPr>
        <w:t xml:space="preserve"> </w:t>
      </w:r>
      <w:r w:rsidRPr="001B0D61">
        <w:rPr>
          <w:b/>
          <w:bCs/>
        </w:rPr>
        <w:t>képességekre</w:t>
      </w:r>
    </w:p>
    <w:p w14:paraId="4319D99B" w14:textId="77777777" w:rsidR="00EE208D" w:rsidRPr="001B0D61" w:rsidRDefault="00EE208D" w:rsidP="00EE208D"/>
    <w:p w14:paraId="51BDF91B" w14:textId="3BBD227A" w:rsidR="00EE208D" w:rsidRPr="001B0D61" w:rsidRDefault="00EE208D" w:rsidP="00EE208D">
      <w:r w:rsidRPr="001B0D61">
        <w:t xml:space="preserve">Az ivakaftor kismértékben befolyásolja a gépjárművezetéshez és a gépek kezeléséhez szükséges képességeket. Az ivakaftor szédülést okozhat (lásd 4.8 pont), ezért a szédülést tapasztaló betegek figyelmét fel kell hívni arra, hogy ne vezessenek gépjárművet, és ne kezeljenek gépeket, amíg a tünetek </w:t>
      </w:r>
      <w:r w:rsidR="003C7C9B">
        <w:t>nem enyhülnek</w:t>
      </w:r>
      <w:r w:rsidRPr="001B0D61">
        <w:t>.</w:t>
      </w:r>
    </w:p>
    <w:p w14:paraId="000A6CEF" w14:textId="77777777" w:rsidR="00EE208D" w:rsidRPr="001B0D61" w:rsidRDefault="00EE208D" w:rsidP="00EE208D"/>
    <w:p w14:paraId="2B01C46C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4.8</w:t>
      </w:r>
      <w:r w:rsidRPr="001B0D61">
        <w:rPr>
          <w:b/>
          <w:bCs/>
        </w:rPr>
        <w:tab/>
        <w:t>Nemkívánatos hatások,</w:t>
      </w:r>
      <w:r w:rsidRPr="001B0D61">
        <w:rPr>
          <w:b/>
          <w:bCs/>
          <w:spacing w:val="-3"/>
        </w:rPr>
        <w:t xml:space="preserve"> </w:t>
      </w:r>
      <w:r w:rsidRPr="001B0D61">
        <w:rPr>
          <w:b/>
          <w:bCs/>
        </w:rPr>
        <w:t>mellékhatások</w:t>
      </w:r>
    </w:p>
    <w:p w14:paraId="7DD93488" w14:textId="77777777" w:rsidR="00EE208D" w:rsidRPr="001B0D61" w:rsidRDefault="00EE208D" w:rsidP="00EE208D"/>
    <w:p w14:paraId="10C12FF5" w14:textId="77777777" w:rsidR="00EE208D" w:rsidRPr="001B0D61" w:rsidRDefault="00EE208D" w:rsidP="00EE208D">
      <w:r w:rsidRPr="001B0D61">
        <w:rPr>
          <w:u w:val="single"/>
        </w:rPr>
        <w:t>A biztonságossági profil összefoglalása</w:t>
      </w:r>
    </w:p>
    <w:p w14:paraId="5E5988DE" w14:textId="77777777" w:rsidR="00EE208D" w:rsidRPr="001B0D61" w:rsidRDefault="00EE208D" w:rsidP="00EE208D"/>
    <w:p w14:paraId="2BE495B3" w14:textId="77777777" w:rsidR="00EE208D" w:rsidRPr="001B0D61" w:rsidRDefault="00EE208D" w:rsidP="00EE208D">
      <w:r w:rsidRPr="001B0D61">
        <w:t>Az ivakaftorral kezelt 6 éves és idősebb betegek által leggyakrabban tapasztalt mellékhatások a következők voltak: fejfájás (23,9%), oropharyngealis fájdalom (22,0%), felső légúti fertőzés (22,0%), orrdugulás (20,2%), hasi fájdalom (15,6%), nasopharyngitis (14,7%), hasmenés (12,8%), szédülés (9,2%), bőrkiütés (12,8%), valamint baktériumok a köpetben (12,8%). A transzaminázszintek emelkedése az ivakaftorral kezelt betegek 12,8%-ánál fordult elő, szemben a placebóval kezelt betegek 11,5%-os arányával.</w:t>
      </w:r>
    </w:p>
    <w:p w14:paraId="7B4FC0D3" w14:textId="77777777" w:rsidR="00EE208D" w:rsidRPr="001B0D61" w:rsidRDefault="00EE208D" w:rsidP="00EE208D"/>
    <w:p w14:paraId="3DA565D3" w14:textId="77777777" w:rsidR="00EE208D" w:rsidRPr="001B0D61" w:rsidRDefault="00EE208D" w:rsidP="00EE208D">
      <w:r w:rsidRPr="001B0D61">
        <w:t>A 2 és betöltött 6. életév közötti életkorú betegeknél a leggyakoribb mellékhatások a következők voltak: orrdugulás (26,5%), felső légúti fertőzés (23,5%), a transzaminázszintek emelkedése (14,7%), bőrkiütés (11,8%) valamint baktériumok a köpetben (11,8%).</w:t>
      </w:r>
    </w:p>
    <w:p w14:paraId="0D401D35" w14:textId="77777777" w:rsidR="00EE208D" w:rsidRPr="001B0D61" w:rsidRDefault="00EE208D" w:rsidP="00EE208D"/>
    <w:p w14:paraId="6FAD2DA7" w14:textId="77777777" w:rsidR="00EE208D" w:rsidRPr="001B0D61" w:rsidRDefault="00EE208D" w:rsidP="00EE208D">
      <w:r w:rsidRPr="001B0D61">
        <w:t>Az ivakaftorral kezelt betegeknél tapasztalt súlyos mellékhatások közé tartozott a hasi fájdalom (0,9%) és a transzaminázszintek megemelkedése (1,8%), míg a bőrkiütés formájában jelentkező súlyos mellékhatásokról a 12 éves és idősebb, ivakaftor/tezakaftor/elexakaftor mellett, kombinációs kezelés részeként alkalmazott ivakaftorral kezelt betegek 1,5%-ánál számoltak be (lásd 4.4 pont).</w:t>
      </w:r>
    </w:p>
    <w:p w14:paraId="61BD50BC" w14:textId="77777777" w:rsidR="00EE208D" w:rsidRPr="001B0D61" w:rsidRDefault="00EE208D" w:rsidP="00EE208D"/>
    <w:p w14:paraId="36CF19E2" w14:textId="77777777" w:rsidR="00EE208D" w:rsidRPr="001B0D61" w:rsidRDefault="00EE208D" w:rsidP="00EE208D">
      <w:r w:rsidRPr="001B0D61">
        <w:rPr>
          <w:u w:val="single"/>
        </w:rPr>
        <w:t>A mellékhatások táblázatos felsorolása</w:t>
      </w:r>
    </w:p>
    <w:p w14:paraId="4220C7EC" w14:textId="77777777" w:rsidR="00EE208D" w:rsidRPr="001B0D61" w:rsidRDefault="00EE208D" w:rsidP="00EE208D"/>
    <w:p w14:paraId="7EA273E2" w14:textId="61E066E1" w:rsidR="00EE208D" w:rsidRPr="001B0D61" w:rsidRDefault="00EE208D" w:rsidP="00EE208D">
      <w:r w:rsidRPr="001B0D61">
        <w:t>A 4. táblázat mutatja be azokat a mellékhatásokat, amelyeket az ivakaftor-monoterápia alkalmazása mellett figyeltek meg olyan klinikai vizsgálatok (placebokontrollos és nem kontroll</w:t>
      </w:r>
      <w:r w:rsidR="003C7C9B">
        <w:t>os</w:t>
      </w:r>
      <w:r w:rsidRPr="001B0D61">
        <w:t xml:space="preserve"> vizsgálatok) során, melyekben az ivakaftor-expozíció időtartama 16 hét és 144 hét között mozgott. Az ivakaftor kombinációs kezelés részeként, tezakaftor/ivakaftor és/vagy ivakaftor/tezakaftor/elexakaftor melletti alkalmazásakor megfigyelt további mellékhatások is szerepelnek a 4. táblázatban. A mellékhatások gyakoriságának meghatározása a következő: nagyon gyakori (≥ 1/10), gyakori (≥ 1/100 – &lt; 1/10), nem gyakori (≥ 1/1000 – &lt; 1/100), ritka (≥ 1/10 000 – &lt; 1/1000), nagyon ritka (&lt; 1/10 000); nem ismert (a gyakoriság a rendelkezésre álló adatokból nem állapítható meg. Az egyes gyakorisági kategóriákon belül a mellékhatások csökkenő súlyosság szerint kerülnek megadásra.</w:t>
      </w:r>
    </w:p>
    <w:p w14:paraId="3944AC6C" w14:textId="77777777" w:rsidR="00EE208D" w:rsidRPr="001B0D61" w:rsidRDefault="00EE208D" w:rsidP="00EE208D"/>
    <w:p w14:paraId="1A9786E0" w14:textId="77777777" w:rsidR="00EE208D" w:rsidRPr="001B0D61" w:rsidRDefault="00EE208D" w:rsidP="00EE208D">
      <w:pPr>
        <w:pStyle w:val="Listaszerbekezds"/>
        <w:numPr>
          <w:ilvl w:val="0"/>
          <w:numId w:val="4"/>
        </w:numPr>
        <w:ind w:left="284" w:hanging="284"/>
        <w:contextualSpacing w:val="0"/>
        <w:rPr>
          <w:b/>
          <w:bCs/>
        </w:rPr>
      </w:pPr>
      <w:r w:rsidRPr="001B0D61">
        <w:rPr>
          <w:b/>
          <w:bCs/>
        </w:rPr>
        <w:t>táblázat:</w:t>
      </w:r>
      <w:r w:rsidRPr="001B0D61">
        <w:rPr>
          <w:b/>
          <w:bCs/>
          <w:spacing w:val="25"/>
        </w:rPr>
        <w:t xml:space="preserve"> </w:t>
      </w:r>
      <w:r w:rsidRPr="001B0D61">
        <w:rPr>
          <w:b/>
          <w:bCs/>
        </w:rPr>
        <w:t>Mellékhatások</w:t>
      </w:r>
    </w:p>
    <w:p w14:paraId="278481EF" w14:textId="77777777" w:rsidR="00103504" w:rsidRPr="001B0D61" w:rsidRDefault="00103504" w:rsidP="00103504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835"/>
        <w:gridCol w:w="2409"/>
      </w:tblGrid>
      <w:tr w:rsidR="00103504" w:rsidRPr="001B0D61" w14:paraId="4ABC2414" w14:textId="77777777" w:rsidTr="008D1E93">
        <w:trPr>
          <w:trHeight w:val="252"/>
          <w:tblHeader/>
        </w:trPr>
        <w:tc>
          <w:tcPr>
            <w:tcW w:w="3828" w:type="dxa"/>
          </w:tcPr>
          <w:p w14:paraId="217970D0" w14:textId="2AEA1962" w:rsidR="00103504" w:rsidRPr="00362B51" w:rsidRDefault="00103504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Szervrendszer</w:t>
            </w:r>
            <w:r w:rsidR="003C7C9B">
              <w:rPr>
                <w:b/>
                <w:bCs/>
                <w:lang w:val="hu-HU"/>
              </w:rPr>
              <w:t>i kategória</w:t>
            </w:r>
          </w:p>
        </w:tc>
        <w:tc>
          <w:tcPr>
            <w:tcW w:w="2835" w:type="dxa"/>
          </w:tcPr>
          <w:p w14:paraId="4AE99DE0" w14:textId="77777777" w:rsidR="00103504" w:rsidRPr="00362B51" w:rsidRDefault="00103504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Mellékhatások</w:t>
            </w:r>
          </w:p>
        </w:tc>
        <w:tc>
          <w:tcPr>
            <w:tcW w:w="2409" w:type="dxa"/>
          </w:tcPr>
          <w:p w14:paraId="7F5A6AB2" w14:textId="77777777" w:rsidR="00103504" w:rsidRPr="00362B51" w:rsidRDefault="00103504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Gyakoriság</w:t>
            </w:r>
          </w:p>
        </w:tc>
      </w:tr>
      <w:tr w:rsidR="00103504" w:rsidRPr="001B0D61" w14:paraId="3E650F02" w14:textId="77777777" w:rsidTr="008D1E93">
        <w:trPr>
          <w:trHeight w:val="252"/>
        </w:trPr>
        <w:tc>
          <w:tcPr>
            <w:tcW w:w="3828" w:type="dxa"/>
            <w:vMerge w:val="restart"/>
          </w:tcPr>
          <w:p w14:paraId="2EC0DF05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Fertőző betegségek és parazitafertőzések</w:t>
            </w:r>
          </w:p>
        </w:tc>
        <w:tc>
          <w:tcPr>
            <w:tcW w:w="2835" w:type="dxa"/>
          </w:tcPr>
          <w:p w14:paraId="38388ECB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felső légúti fertőzés</w:t>
            </w:r>
          </w:p>
        </w:tc>
        <w:tc>
          <w:tcPr>
            <w:tcW w:w="2409" w:type="dxa"/>
          </w:tcPr>
          <w:p w14:paraId="6CCAE2A0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103504" w:rsidRPr="001B0D61" w14:paraId="79EBF813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45FD955F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C582897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nasopharyngitis</w:t>
            </w:r>
          </w:p>
        </w:tc>
        <w:tc>
          <w:tcPr>
            <w:tcW w:w="2409" w:type="dxa"/>
          </w:tcPr>
          <w:p w14:paraId="4D1A02D8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103504" w:rsidRPr="001B0D61" w14:paraId="5E7CFB5E" w14:textId="77777777" w:rsidTr="008D1E93">
        <w:trPr>
          <w:trHeight w:val="253"/>
        </w:trPr>
        <w:tc>
          <w:tcPr>
            <w:tcW w:w="3828" w:type="dxa"/>
            <w:vMerge/>
            <w:tcBorders>
              <w:top w:val="nil"/>
            </w:tcBorders>
          </w:tcPr>
          <w:p w14:paraId="6C98E869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4118F98F" w14:textId="77777777" w:rsidR="00103504" w:rsidRPr="00362B51" w:rsidRDefault="00103504" w:rsidP="008D1E93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influenza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762AAEB3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1C6251C0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7BC4262D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EF9952B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rhinitis</w:t>
            </w:r>
          </w:p>
        </w:tc>
        <w:tc>
          <w:tcPr>
            <w:tcW w:w="2409" w:type="dxa"/>
          </w:tcPr>
          <w:p w14:paraId="37DC602C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40C44098" w14:textId="77777777" w:rsidTr="008D1E93">
        <w:trPr>
          <w:trHeight w:val="505"/>
        </w:trPr>
        <w:tc>
          <w:tcPr>
            <w:tcW w:w="3828" w:type="dxa"/>
          </w:tcPr>
          <w:p w14:paraId="02E6FD75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Anyagcsere- és táplálkozási betegségek és tünetek</w:t>
            </w:r>
          </w:p>
        </w:tc>
        <w:tc>
          <w:tcPr>
            <w:tcW w:w="2835" w:type="dxa"/>
          </w:tcPr>
          <w:p w14:paraId="729628A6" w14:textId="77777777" w:rsidR="00103504" w:rsidRPr="00362B51" w:rsidRDefault="00103504" w:rsidP="008D1E93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hypoglykaemia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05A25C86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16CAA29C" w14:textId="77777777" w:rsidTr="008D1E93">
        <w:trPr>
          <w:trHeight w:val="248"/>
        </w:trPr>
        <w:tc>
          <w:tcPr>
            <w:tcW w:w="3828" w:type="dxa"/>
          </w:tcPr>
          <w:p w14:paraId="43EEDEBC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Pszichiátriai kórképek</w:t>
            </w:r>
          </w:p>
        </w:tc>
        <w:tc>
          <w:tcPr>
            <w:tcW w:w="2835" w:type="dxa"/>
          </w:tcPr>
          <w:p w14:paraId="3DE3B221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depresszió</w:t>
            </w:r>
          </w:p>
        </w:tc>
        <w:tc>
          <w:tcPr>
            <w:tcW w:w="2409" w:type="dxa"/>
          </w:tcPr>
          <w:p w14:paraId="6335820A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nem ismert</w:t>
            </w:r>
          </w:p>
        </w:tc>
      </w:tr>
      <w:tr w:rsidR="00103504" w:rsidRPr="001B0D61" w14:paraId="7B9933E3" w14:textId="77777777" w:rsidTr="008D1E93">
        <w:trPr>
          <w:trHeight w:val="252"/>
        </w:trPr>
        <w:tc>
          <w:tcPr>
            <w:tcW w:w="3828" w:type="dxa"/>
            <w:vMerge w:val="restart"/>
          </w:tcPr>
          <w:p w14:paraId="76CD0081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Idegrendszeri betegségek és tünetek</w:t>
            </w:r>
          </w:p>
        </w:tc>
        <w:tc>
          <w:tcPr>
            <w:tcW w:w="2835" w:type="dxa"/>
          </w:tcPr>
          <w:p w14:paraId="319939CB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fejfájás</w:t>
            </w:r>
          </w:p>
        </w:tc>
        <w:tc>
          <w:tcPr>
            <w:tcW w:w="2409" w:type="dxa"/>
          </w:tcPr>
          <w:p w14:paraId="5E4AEDFF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103504" w:rsidRPr="001B0D61" w14:paraId="0BEA9B7C" w14:textId="77777777" w:rsidTr="008D1E93">
        <w:trPr>
          <w:trHeight w:val="254"/>
        </w:trPr>
        <w:tc>
          <w:tcPr>
            <w:tcW w:w="3828" w:type="dxa"/>
            <w:vMerge/>
            <w:tcBorders>
              <w:top w:val="nil"/>
            </w:tcBorders>
          </w:tcPr>
          <w:p w14:paraId="3F688D04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8F6AE8B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szédülés</w:t>
            </w:r>
          </w:p>
        </w:tc>
        <w:tc>
          <w:tcPr>
            <w:tcW w:w="2409" w:type="dxa"/>
          </w:tcPr>
          <w:p w14:paraId="1A92C70A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103504" w:rsidRPr="001B0D61" w14:paraId="4B4C5034" w14:textId="77777777" w:rsidTr="008D1E93">
        <w:trPr>
          <w:trHeight w:val="252"/>
        </w:trPr>
        <w:tc>
          <w:tcPr>
            <w:tcW w:w="3828" w:type="dxa"/>
            <w:vMerge w:val="restart"/>
          </w:tcPr>
          <w:p w14:paraId="425B9726" w14:textId="77777777" w:rsidR="00103504" w:rsidRPr="00362B51" w:rsidRDefault="00103504" w:rsidP="008D1E93">
            <w:pPr>
              <w:keepNext/>
              <w:widowControl/>
              <w:rPr>
                <w:lang w:val="hu-HU"/>
              </w:rPr>
            </w:pPr>
            <w:r w:rsidRPr="001B0D61">
              <w:rPr>
                <w:lang w:val="hu-HU"/>
              </w:rPr>
              <w:t>A fül és az egyensúly-érzékelő szerv betegségei és tünetei</w:t>
            </w:r>
          </w:p>
        </w:tc>
        <w:tc>
          <w:tcPr>
            <w:tcW w:w="2835" w:type="dxa"/>
          </w:tcPr>
          <w:p w14:paraId="4EC261FF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fülfájás</w:t>
            </w:r>
          </w:p>
        </w:tc>
        <w:tc>
          <w:tcPr>
            <w:tcW w:w="2409" w:type="dxa"/>
          </w:tcPr>
          <w:p w14:paraId="123661A2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50E794C8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49ADB840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8825587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diszkomfortérzés a fülben</w:t>
            </w:r>
          </w:p>
        </w:tc>
        <w:tc>
          <w:tcPr>
            <w:tcW w:w="2409" w:type="dxa"/>
          </w:tcPr>
          <w:p w14:paraId="2B17F390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18567522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5F43A2B5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40C5E2BB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tinnitus</w:t>
            </w:r>
          </w:p>
        </w:tc>
        <w:tc>
          <w:tcPr>
            <w:tcW w:w="2409" w:type="dxa"/>
          </w:tcPr>
          <w:p w14:paraId="0297E5C5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25D8CDBA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47D86688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53E23D55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hyperaemiás dobhártya</w:t>
            </w:r>
          </w:p>
        </w:tc>
        <w:tc>
          <w:tcPr>
            <w:tcW w:w="2409" w:type="dxa"/>
          </w:tcPr>
          <w:p w14:paraId="2957BC20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084706D8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09591198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3904B076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vestibularis zavar</w:t>
            </w:r>
          </w:p>
        </w:tc>
        <w:tc>
          <w:tcPr>
            <w:tcW w:w="2409" w:type="dxa"/>
          </w:tcPr>
          <w:p w14:paraId="03F27A35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3D7DDAB3" w14:textId="77777777" w:rsidTr="008D1E93">
        <w:trPr>
          <w:trHeight w:val="253"/>
        </w:trPr>
        <w:tc>
          <w:tcPr>
            <w:tcW w:w="3828" w:type="dxa"/>
            <w:vMerge/>
            <w:tcBorders>
              <w:top w:val="nil"/>
            </w:tcBorders>
          </w:tcPr>
          <w:p w14:paraId="27DE39CD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135C4332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pangó váladék a fülben</w:t>
            </w:r>
          </w:p>
        </w:tc>
        <w:tc>
          <w:tcPr>
            <w:tcW w:w="2409" w:type="dxa"/>
          </w:tcPr>
          <w:p w14:paraId="558A80D9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nem gyakori</w:t>
            </w:r>
          </w:p>
        </w:tc>
      </w:tr>
      <w:tr w:rsidR="00103504" w:rsidRPr="001B0D61" w14:paraId="64E1B690" w14:textId="77777777" w:rsidTr="008D1E93">
        <w:trPr>
          <w:trHeight w:val="252"/>
        </w:trPr>
        <w:tc>
          <w:tcPr>
            <w:tcW w:w="3828" w:type="dxa"/>
            <w:vMerge w:val="restart"/>
          </w:tcPr>
          <w:p w14:paraId="203BE503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Légzőrendszeri, mellkasi és mediastinalis betegségek és tünetek</w:t>
            </w:r>
          </w:p>
        </w:tc>
        <w:tc>
          <w:tcPr>
            <w:tcW w:w="2835" w:type="dxa"/>
          </w:tcPr>
          <w:p w14:paraId="34CD71B7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oropharyngealis fájdalom</w:t>
            </w:r>
          </w:p>
        </w:tc>
        <w:tc>
          <w:tcPr>
            <w:tcW w:w="2409" w:type="dxa"/>
          </w:tcPr>
          <w:p w14:paraId="48905A36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103504" w:rsidRPr="001B0D61" w14:paraId="00A55B51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42259033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3619BEDB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orrdugulás</w:t>
            </w:r>
          </w:p>
        </w:tc>
        <w:tc>
          <w:tcPr>
            <w:tcW w:w="2409" w:type="dxa"/>
          </w:tcPr>
          <w:p w14:paraId="14BBB898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103504" w:rsidRPr="001B0D61" w14:paraId="06CAFBAB" w14:textId="77777777" w:rsidTr="008D1E93">
        <w:trPr>
          <w:trHeight w:val="253"/>
        </w:trPr>
        <w:tc>
          <w:tcPr>
            <w:tcW w:w="3828" w:type="dxa"/>
            <w:vMerge/>
            <w:tcBorders>
              <w:top w:val="nil"/>
            </w:tcBorders>
          </w:tcPr>
          <w:p w14:paraId="62ACD976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1C1F7610" w14:textId="77777777" w:rsidR="00103504" w:rsidRPr="00362B51" w:rsidRDefault="00103504" w:rsidP="008D1E93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kóros légzés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7E00FBDB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5BD17E02" w14:textId="77777777" w:rsidTr="008D1E93">
        <w:trPr>
          <w:trHeight w:val="254"/>
        </w:trPr>
        <w:tc>
          <w:tcPr>
            <w:tcW w:w="3828" w:type="dxa"/>
            <w:vMerge/>
            <w:tcBorders>
              <w:top w:val="nil"/>
            </w:tcBorders>
          </w:tcPr>
          <w:p w14:paraId="34259362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093DC4A" w14:textId="77777777" w:rsidR="00103504" w:rsidRPr="00362B51" w:rsidRDefault="00103504" w:rsidP="008D1E93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orrfolyás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6376B382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2F8869BC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0EDBEF44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676C3B2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pangó váladék az arcüregben</w:t>
            </w:r>
          </w:p>
        </w:tc>
        <w:tc>
          <w:tcPr>
            <w:tcW w:w="2409" w:type="dxa"/>
          </w:tcPr>
          <w:p w14:paraId="353E3BC9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7FAFA587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1F4D115D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6A9FDBDF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pharyngealis hyperaemia</w:t>
            </w:r>
          </w:p>
        </w:tc>
        <w:tc>
          <w:tcPr>
            <w:tcW w:w="2409" w:type="dxa"/>
          </w:tcPr>
          <w:p w14:paraId="11C2F7F8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103504" w:rsidRPr="001B0D61" w14:paraId="794A90C4" w14:textId="77777777" w:rsidTr="008D1E93">
        <w:trPr>
          <w:trHeight w:val="253"/>
        </w:trPr>
        <w:tc>
          <w:tcPr>
            <w:tcW w:w="3828" w:type="dxa"/>
            <w:vMerge/>
            <w:tcBorders>
              <w:top w:val="nil"/>
            </w:tcBorders>
          </w:tcPr>
          <w:p w14:paraId="106E3457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6EDAB0AA" w14:textId="77777777" w:rsidR="00103504" w:rsidRPr="00362B51" w:rsidRDefault="00103504" w:rsidP="008D1E93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sípoló légzés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56B85966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nem gyakori</w:t>
            </w:r>
          </w:p>
        </w:tc>
      </w:tr>
      <w:tr w:rsidR="00103504" w:rsidRPr="001B0D61" w14:paraId="78A17617" w14:textId="77777777" w:rsidTr="008D1E93">
        <w:trPr>
          <w:trHeight w:val="252"/>
        </w:trPr>
        <w:tc>
          <w:tcPr>
            <w:tcW w:w="3828" w:type="dxa"/>
            <w:vMerge w:val="restart"/>
          </w:tcPr>
          <w:p w14:paraId="3CA0B2ED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Emésztőrendszeri betegségek és tünetek</w:t>
            </w:r>
          </w:p>
        </w:tc>
        <w:tc>
          <w:tcPr>
            <w:tcW w:w="2835" w:type="dxa"/>
          </w:tcPr>
          <w:p w14:paraId="7BFD1485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hasi fájdalom</w:t>
            </w:r>
          </w:p>
        </w:tc>
        <w:tc>
          <w:tcPr>
            <w:tcW w:w="2409" w:type="dxa"/>
          </w:tcPr>
          <w:p w14:paraId="37093E22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103504" w:rsidRPr="001B0D61" w14:paraId="6D186B26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653C4518" w14:textId="77777777" w:rsidR="00103504" w:rsidRPr="00362B51" w:rsidRDefault="00103504" w:rsidP="008D1E93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5433838F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hasmenés</w:t>
            </w:r>
          </w:p>
        </w:tc>
        <w:tc>
          <w:tcPr>
            <w:tcW w:w="2409" w:type="dxa"/>
          </w:tcPr>
          <w:p w14:paraId="574AD69F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EA600B" w:rsidRPr="001B0D61" w14:paraId="0D0A1137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5CD38564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39B13F72" w14:textId="2D11DF0A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gyomortáji fájdalom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5FDBC464" w14:textId="21A64CBD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218CFD7E" w14:textId="77777777" w:rsidTr="008D1E93">
        <w:trPr>
          <w:trHeight w:val="253"/>
        </w:trPr>
        <w:tc>
          <w:tcPr>
            <w:tcW w:w="3828" w:type="dxa"/>
            <w:vMerge/>
            <w:tcBorders>
              <w:top w:val="nil"/>
            </w:tcBorders>
          </w:tcPr>
          <w:p w14:paraId="56431923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6728295B" w14:textId="74F31748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flatulencia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0AC77981" w14:textId="2CD10A89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49FED276" w14:textId="77777777" w:rsidTr="00EA600B">
        <w:trPr>
          <w:trHeight w:val="376"/>
        </w:trPr>
        <w:tc>
          <w:tcPr>
            <w:tcW w:w="3828" w:type="dxa"/>
            <w:vMerge/>
            <w:tcBorders>
              <w:top w:val="nil"/>
            </w:tcBorders>
          </w:tcPr>
          <w:p w14:paraId="38E58405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580684F6" w14:textId="69298F88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hányinger</w:t>
            </w:r>
            <w:r w:rsidRPr="001B0D61">
              <w:rPr>
                <w:vertAlign w:val="superscript"/>
                <w:lang w:val="hu-HU"/>
              </w:rPr>
              <w:t>*</w:t>
            </w:r>
          </w:p>
        </w:tc>
        <w:tc>
          <w:tcPr>
            <w:tcW w:w="2409" w:type="dxa"/>
          </w:tcPr>
          <w:p w14:paraId="0D27C6B5" w14:textId="7A745368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20458808" w14:textId="77777777" w:rsidTr="008D1E93">
        <w:trPr>
          <w:trHeight w:val="505"/>
        </w:trPr>
        <w:tc>
          <w:tcPr>
            <w:tcW w:w="3828" w:type="dxa"/>
            <w:vMerge w:val="restart"/>
          </w:tcPr>
          <w:p w14:paraId="5116491B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Máj- és epebetegségek, illetve tünetek</w:t>
            </w:r>
          </w:p>
        </w:tc>
        <w:tc>
          <w:tcPr>
            <w:tcW w:w="2835" w:type="dxa"/>
          </w:tcPr>
          <w:p w14:paraId="5EFF7A88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transzaminázszintek</w:t>
            </w:r>
            <w:r w:rsidRPr="001B0D61">
              <w:rPr>
                <w:w w:val="95"/>
                <w:lang w:val="hu-HU"/>
              </w:rPr>
              <w:t xml:space="preserve"> </w:t>
            </w:r>
            <w:r w:rsidRPr="001B0D61">
              <w:rPr>
                <w:lang w:val="hu-HU"/>
              </w:rPr>
              <w:t>emelkedése</w:t>
            </w:r>
          </w:p>
        </w:tc>
        <w:tc>
          <w:tcPr>
            <w:tcW w:w="2409" w:type="dxa"/>
          </w:tcPr>
          <w:p w14:paraId="0A0C9890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EA600B" w:rsidRPr="001B0D61" w14:paraId="16D87334" w14:textId="77777777" w:rsidTr="008D1E93">
        <w:trPr>
          <w:trHeight w:val="506"/>
        </w:trPr>
        <w:tc>
          <w:tcPr>
            <w:tcW w:w="3828" w:type="dxa"/>
            <w:vMerge/>
          </w:tcPr>
          <w:p w14:paraId="26806BD5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7B58473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emelkedett glutamát-piruvát- transzaminázszint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79A700D9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EA600B" w:rsidRPr="001B0D61" w14:paraId="3C03A06E" w14:textId="77777777" w:rsidTr="008D1E93">
        <w:trPr>
          <w:trHeight w:val="683"/>
        </w:trPr>
        <w:tc>
          <w:tcPr>
            <w:tcW w:w="3828" w:type="dxa"/>
            <w:vMerge/>
          </w:tcPr>
          <w:p w14:paraId="08C85ACD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095013D6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emelkedett glutamát- oxálacetát-transzaminázszint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6015B668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78491032" w14:textId="77777777" w:rsidTr="008D1E93">
        <w:trPr>
          <w:trHeight w:val="254"/>
        </w:trPr>
        <w:tc>
          <w:tcPr>
            <w:tcW w:w="3828" w:type="dxa"/>
            <w:vMerge/>
          </w:tcPr>
          <w:p w14:paraId="722E5DF8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77D7F444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májkárosodás</w:t>
            </w:r>
            <w:r w:rsidRPr="001B0D61">
              <w:rPr>
                <w:spacing w:val="-2"/>
                <w:vertAlign w:val="superscript"/>
                <w:lang w:val="hu-HU"/>
              </w:rPr>
              <w:t>^</w:t>
            </w:r>
          </w:p>
        </w:tc>
        <w:tc>
          <w:tcPr>
            <w:tcW w:w="2409" w:type="dxa"/>
          </w:tcPr>
          <w:p w14:paraId="32C2DA9A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nem ismert</w:t>
            </w:r>
          </w:p>
        </w:tc>
      </w:tr>
      <w:tr w:rsidR="00EA600B" w:rsidRPr="001B0D61" w14:paraId="6F4EF7D3" w14:textId="77777777" w:rsidTr="008D1E93">
        <w:trPr>
          <w:trHeight w:val="505"/>
        </w:trPr>
        <w:tc>
          <w:tcPr>
            <w:tcW w:w="3828" w:type="dxa"/>
            <w:vMerge/>
          </w:tcPr>
          <w:p w14:paraId="25FF4E98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4E76DD95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az összbilirubinszint megemelkedése</w:t>
            </w:r>
            <w:r w:rsidRPr="001B0D61">
              <w:rPr>
                <w:spacing w:val="-2"/>
                <w:vertAlign w:val="superscript"/>
                <w:lang w:val="hu-HU"/>
              </w:rPr>
              <w:t>^</w:t>
            </w:r>
          </w:p>
        </w:tc>
        <w:tc>
          <w:tcPr>
            <w:tcW w:w="2409" w:type="dxa"/>
          </w:tcPr>
          <w:p w14:paraId="411F7818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nem ismert</w:t>
            </w:r>
          </w:p>
        </w:tc>
      </w:tr>
      <w:tr w:rsidR="00EA600B" w:rsidRPr="001B0D61" w14:paraId="55692432" w14:textId="77777777" w:rsidTr="008D1E93">
        <w:trPr>
          <w:trHeight w:val="253"/>
        </w:trPr>
        <w:tc>
          <w:tcPr>
            <w:tcW w:w="3828" w:type="dxa"/>
            <w:vMerge w:val="restart"/>
          </w:tcPr>
          <w:p w14:paraId="438641F4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A bőr és a bőr alatti szövet betegségei és tünetei</w:t>
            </w:r>
          </w:p>
        </w:tc>
        <w:tc>
          <w:tcPr>
            <w:tcW w:w="2835" w:type="dxa"/>
          </w:tcPr>
          <w:p w14:paraId="109D017D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bőrkiütés</w:t>
            </w:r>
          </w:p>
        </w:tc>
        <w:tc>
          <w:tcPr>
            <w:tcW w:w="2409" w:type="dxa"/>
          </w:tcPr>
          <w:p w14:paraId="724ED5B3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EA600B" w:rsidRPr="001B0D61" w14:paraId="54F3F71B" w14:textId="77777777" w:rsidTr="008D1E93">
        <w:trPr>
          <w:trHeight w:val="254"/>
        </w:trPr>
        <w:tc>
          <w:tcPr>
            <w:tcW w:w="3828" w:type="dxa"/>
            <w:vMerge/>
            <w:tcBorders>
              <w:top w:val="nil"/>
            </w:tcBorders>
          </w:tcPr>
          <w:p w14:paraId="3D9E68DB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01297979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acne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2F25B741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159645CA" w14:textId="77777777" w:rsidTr="008D1E93">
        <w:trPr>
          <w:trHeight w:val="253"/>
        </w:trPr>
        <w:tc>
          <w:tcPr>
            <w:tcW w:w="3828" w:type="dxa"/>
            <w:vMerge/>
            <w:tcBorders>
              <w:top w:val="nil"/>
            </w:tcBorders>
          </w:tcPr>
          <w:p w14:paraId="2E5B9885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0AF6F00D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pruritus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3E63CC02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046D2AF3" w14:textId="77777777" w:rsidTr="008D1E93">
        <w:trPr>
          <w:trHeight w:val="252"/>
        </w:trPr>
        <w:tc>
          <w:tcPr>
            <w:tcW w:w="3828" w:type="dxa"/>
            <w:vMerge w:val="restart"/>
          </w:tcPr>
          <w:p w14:paraId="410020C9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A nemi szervekkel és az emlőkkel kapcsolatos betegségek és tünetek</w:t>
            </w:r>
          </w:p>
        </w:tc>
        <w:tc>
          <w:tcPr>
            <w:tcW w:w="2835" w:type="dxa"/>
          </w:tcPr>
          <w:p w14:paraId="3CF6A705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csomó az emlőben</w:t>
            </w:r>
          </w:p>
        </w:tc>
        <w:tc>
          <w:tcPr>
            <w:tcW w:w="2409" w:type="dxa"/>
          </w:tcPr>
          <w:p w14:paraId="5D724926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14B892ED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6B154E38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2B669F0D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az emlő gyulladása</w:t>
            </w:r>
          </w:p>
        </w:tc>
        <w:tc>
          <w:tcPr>
            <w:tcW w:w="2409" w:type="dxa"/>
          </w:tcPr>
          <w:p w14:paraId="1AF06DFF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nem gyakori</w:t>
            </w:r>
          </w:p>
        </w:tc>
      </w:tr>
      <w:tr w:rsidR="00EA600B" w:rsidRPr="001B0D61" w14:paraId="6869873B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07E945EC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1B2C2E93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gynaecomastia</w:t>
            </w:r>
          </w:p>
        </w:tc>
        <w:tc>
          <w:tcPr>
            <w:tcW w:w="2409" w:type="dxa"/>
          </w:tcPr>
          <w:p w14:paraId="09038DF4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nem gyakori</w:t>
            </w:r>
          </w:p>
        </w:tc>
      </w:tr>
      <w:tr w:rsidR="00EA600B" w:rsidRPr="001B0D61" w14:paraId="515C1901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3375C81D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488AC6AB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emlőbimbó rendellenesség</w:t>
            </w:r>
          </w:p>
        </w:tc>
        <w:tc>
          <w:tcPr>
            <w:tcW w:w="2409" w:type="dxa"/>
          </w:tcPr>
          <w:p w14:paraId="0EF46890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nem gyakori</w:t>
            </w:r>
          </w:p>
        </w:tc>
      </w:tr>
      <w:tr w:rsidR="00EA600B" w:rsidRPr="001B0D61" w14:paraId="145EF300" w14:textId="77777777" w:rsidTr="008D1E93">
        <w:trPr>
          <w:trHeight w:val="252"/>
        </w:trPr>
        <w:tc>
          <w:tcPr>
            <w:tcW w:w="3828" w:type="dxa"/>
            <w:vMerge/>
            <w:tcBorders>
              <w:top w:val="nil"/>
            </w:tcBorders>
          </w:tcPr>
          <w:p w14:paraId="55381A26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644FF506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az emlőbimbó fájdalma</w:t>
            </w:r>
          </w:p>
        </w:tc>
        <w:tc>
          <w:tcPr>
            <w:tcW w:w="2409" w:type="dxa"/>
          </w:tcPr>
          <w:p w14:paraId="6A77E37C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nem gyakori</w:t>
            </w:r>
          </w:p>
        </w:tc>
      </w:tr>
      <w:tr w:rsidR="00EA600B" w:rsidRPr="001B0D61" w14:paraId="6E1F8B98" w14:textId="77777777" w:rsidTr="008D1E93">
        <w:trPr>
          <w:trHeight w:val="252"/>
        </w:trPr>
        <w:tc>
          <w:tcPr>
            <w:tcW w:w="3828" w:type="dxa"/>
            <w:vMerge w:val="restart"/>
          </w:tcPr>
          <w:p w14:paraId="199D1082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Laboratóriumi és</w:t>
            </w:r>
            <w:r w:rsidRPr="001B0D61">
              <w:rPr>
                <w:spacing w:val="-11"/>
                <w:lang w:val="hu-HU"/>
              </w:rPr>
              <w:t xml:space="preserve"> </w:t>
            </w:r>
            <w:r w:rsidRPr="001B0D61">
              <w:rPr>
                <w:lang w:val="hu-HU"/>
              </w:rPr>
              <w:t>egyéb vizsgálatok</w:t>
            </w:r>
            <w:r w:rsidRPr="001B0D61">
              <w:rPr>
                <w:spacing w:val="-14"/>
                <w:lang w:val="hu-HU"/>
              </w:rPr>
              <w:t xml:space="preserve"> </w:t>
            </w:r>
            <w:r w:rsidRPr="001B0D61">
              <w:rPr>
                <w:lang w:val="hu-HU"/>
              </w:rPr>
              <w:t>eredményei</w:t>
            </w:r>
          </w:p>
        </w:tc>
        <w:tc>
          <w:tcPr>
            <w:tcW w:w="2835" w:type="dxa"/>
          </w:tcPr>
          <w:p w14:paraId="398F05F9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baktériumok a köpetben</w:t>
            </w:r>
          </w:p>
        </w:tc>
        <w:tc>
          <w:tcPr>
            <w:tcW w:w="2409" w:type="dxa"/>
          </w:tcPr>
          <w:p w14:paraId="3EE4E485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nagyon gyakori</w:t>
            </w:r>
          </w:p>
        </w:tc>
      </w:tr>
      <w:tr w:rsidR="00EA600B" w:rsidRPr="001B0D61" w14:paraId="4E6360B2" w14:textId="77777777" w:rsidTr="008D1E93">
        <w:trPr>
          <w:trHeight w:val="507"/>
        </w:trPr>
        <w:tc>
          <w:tcPr>
            <w:tcW w:w="3828" w:type="dxa"/>
            <w:vMerge/>
            <w:tcBorders>
              <w:top w:val="nil"/>
            </w:tcBorders>
          </w:tcPr>
          <w:p w14:paraId="4B3B38C9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39FE4685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emelkedett kreatin-foszfokináz-szint a vérben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6AE42B70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gyakori</w:t>
            </w:r>
          </w:p>
        </w:tc>
      </w:tr>
      <w:tr w:rsidR="00EA600B" w:rsidRPr="001B0D61" w14:paraId="73C4689D" w14:textId="77777777" w:rsidTr="008D1E93">
        <w:trPr>
          <w:trHeight w:val="253"/>
        </w:trPr>
        <w:tc>
          <w:tcPr>
            <w:tcW w:w="3828" w:type="dxa"/>
            <w:vMerge/>
            <w:tcBorders>
              <w:top w:val="nil"/>
            </w:tcBorders>
          </w:tcPr>
          <w:p w14:paraId="558173FD" w14:textId="77777777" w:rsidR="00EA600B" w:rsidRPr="00362B51" w:rsidRDefault="00EA600B" w:rsidP="00EA600B">
            <w:pPr>
              <w:rPr>
                <w:lang w:val="hu-HU"/>
              </w:rPr>
            </w:pPr>
          </w:p>
        </w:tc>
        <w:tc>
          <w:tcPr>
            <w:tcW w:w="2835" w:type="dxa"/>
          </w:tcPr>
          <w:p w14:paraId="624B9D41" w14:textId="77777777" w:rsidR="00EA600B" w:rsidRPr="00362B51" w:rsidRDefault="00EA600B" w:rsidP="00EA600B">
            <w:pPr>
              <w:rPr>
                <w:rFonts w:ascii="Arial" w:hAnsi="Arial"/>
                <w:lang w:val="hu-HU"/>
              </w:rPr>
            </w:pPr>
            <w:r w:rsidRPr="001B0D61">
              <w:rPr>
                <w:lang w:val="hu-HU"/>
              </w:rPr>
              <w:t>emelkedett vérnyomás</w:t>
            </w:r>
            <w:r w:rsidRPr="001B0D61">
              <w:rPr>
                <w:spacing w:val="-2"/>
                <w:vertAlign w:val="superscript"/>
                <w:lang w:val="hu-HU"/>
              </w:rPr>
              <w:t>†</w:t>
            </w:r>
          </w:p>
        </w:tc>
        <w:tc>
          <w:tcPr>
            <w:tcW w:w="2409" w:type="dxa"/>
          </w:tcPr>
          <w:p w14:paraId="09DCB97B" w14:textId="77777777" w:rsidR="00EA600B" w:rsidRPr="00362B51" w:rsidRDefault="00EA600B" w:rsidP="00EA600B">
            <w:pPr>
              <w:rPr>
                <w:lang w:val="hu-HU"/>
              </w:rPr>
            </w:pPr>
            <w:r w:rsidRPr="001B0D61">
              <w:rPr>
                <w:lang w:val="hu-HU"/>
              </w:rPr>
              <w:t>nem gyakori</w:t>
            </w:r>
          </w:p>
        </w:tc>
      </w:tr>
    </w:tbl>
    <w:p w14:paraId="50EE536F" w14:textId="77777777" w:rsidR="00103504" w:rsidRPr="001B0D61" w:rsidRDefault="00103504" w:rsidP="00103504">
      <w:r w:rsidRPr="001B0D61">
        <w:rPr>
          <w:vertAlign w:val="superscript"/>
        </w:rPr>
        <w:t>*</w:t>
      </w:r>
      <w:r w:rsidRPr="001B0D61">
        <w:t xml:space="preserve"> A tezakaftor/ivakaftor-kombinációval együtt alkalmazott ivakaftorral végzett klinikai vizsgálatok során jelentett mellékhatás és gyakoriság.</w:t>
      </w:r>
    </w:p>
    <w:p w14:paraId="6203A1AA" w14:textId="77777777" w:rsidR="00103504" w:rsidRPr="001B0D61" w:rsidRDefault="00103504" w:rsidP="00103504">
      <w:r w:rsidRPr="001B0D61">
        <w:rPr>
          <w:vertAlign w:val="superscript"/>
        </w:rPr>
        <w:t>†</w:t>
      </w:r>
      <w:r w:rsidRPr="001B0D61">
        <w:t xml:space="preserve"> Az ivakaftor/tezakaftor/elexakaftor-kombinációval együtt alkalmazott ivakaftorral végzett klinikai vizsgálatok során jelentett mellékhatás és gyakoriság.</w:t>
      </w:r>
    </w:p>
    <w:p w14:paraId="405DD684" w14:textId="77777777" w:rsidR="00103504" w:rsidRPr="001B0D61" w:rsidRDefault="00103504" w:rsidP="00103504">
      <w:r w:rsidRPr="00DD63C3">
        <w:rPr>
          <w:sz w:val="20"/>
          <w:vertAlign w:val="superscript"/>
        </w:rPr>
        <w:t>^</w:t>
      </w:r>
      <w:r w:rsidRPr="001B0D61">
        <w:t>A májkárosodást (a GPT [ALAT] és GOT [ASAT], valamint az összbilirubinszint megemelkedése) az ivakaftor/tezakaftor/elexakaftor kombinációval együtt alkalmazott ivakaftorral kapcsolatban a forgalomba hozatalt követően jelentették. Az esetjelentések között szerepelt egy transzplantációhoz vezető májelégtelenség eleve fennálló cirrhosisban és portalis hypertoniában szenvedő betegnél. A gyakoriság a rendelkezésre álló adatokból nem állapítható meg.</w:t>
      </w:r>
    </w:p>
    <w:p w14:paraId="6AFB6509" w14:textId="77777777" w:rsidR="00103504" w:rsidRDefault="00103504" w:rsidP="00103504"/>
    <w:p w14:paraId="044E68BE" w14:textId="77777777" w:rsidR="00EE208D" w:rsidRPr="001B0D61" w:rsidRDefault="00EE208D" w:rsidP="00EE208D">
      <w:r w:rsidRPr="001B0D61">
        <w:rPr>
          <w:u w:val="single"/>
        </w:rPr>
        <w:t>Kiválasztott mellékhatások</w:t>
      </w:r>
      <w:r w:rsidRPr="001B0D61">
        <w:rPr>
          <w:spacing w:val="-19"/>
          <w:u w:val="single"/>
        </w:rPr>
        <w:t xml:space="preserve"> </w:t>
      </w:r>
      <w:r w:rsidRPr="001B0D61">
        <w:rPr>
          <w:u w:val="single"/>
        </w:rPr>
        <w:t>leírása</w:t>
      </w:r>
    </w:p>
    <w:p w14:paraId="4F150535" w14:textId="77777777" w:rsidR="00EE208D" w:rsidRPr="001B0D61" w:rsidRDefault="00EE208D" w:rsidP="00EE208D"/>
    <w:p w14:paraId="7475A754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A transzaminázszintek</w:t>
      </w:r>
      <w:r w:rsidRPr="001B0D61">
        <w:rPr>
          <w:i/>
          <w:spacing w:val="-21"/>
        </w:rPr>
        <w:t xml:space="preserve"> </w:t>
      </w:r>
      <w:r w:rsidRPr="001B0D61">
        <w:rPr>
          <w:i/>
        </w:rPr>
        <w:t>emelkedése</w:t>
      </w:r>
    </w:p>
    <w:p w14:paraId="60A142FD" w14:textId="77777777" w:rsidR="00EE208D" w:rsidRPr="001B0D61" w:rsidRDefault="00EE208D" w:rsidP="00EE208D">
      <w:pPr>
        <w:rPr>
          <w:i/>
        </w:rPr>
      </w:pPr>
    </w:p>
    <w:p w14:paraId="2593DF52" w14:textId="78D7A74B" w:rsidR="00EE208D" w:rsidRPr="001B0D61" w:rsidRDefault="00EE208D" w:rsidP="00EE208D">
      <w:r w:rsidRPr="001B0D61">
        <w:t>A monoterápi</w:t>
      </w:r>
      <w:r w:rsidR="002F7FC5">
        <w:t>ában</w:t>
      </w:r>
      <w:r w:rsidRPr="001B0D61">
        <w:t xml:space="preserve"> alkalmazott ivakaftor 6 éves és idősebb betegek bevonásával végzett, 48 hétig tartó 770-102. és 770-103. placebokontrollos klinikai vizsgálata során az ULN nyolcszorosát, ötszörösét vagy háromszorosát meghaladó maximális transzaminázszintek (GPT [ALAT] vagy GOT [ASAT]) előfordulási gyakorisága az ivakaftorral kezelt betegeknél sorrendben 3,7%, 3,7% és 8,3%, míg placebóval kezelt betegeknél 1,0%, 1,9% és 8,7% volt. Két – egy placebóval kezelt és egy ivakaftorral kezelt – beteg végleg abbahagyta a kezelést emelkedett transzaminázszintek miatt, ami mindkét betegnél meghaladta az ULN nyolcszorosát. Az ivakaftorral kezelt betegek egyike sem tapasztalt az ULN 1,5-szeresét meghaladó összbilirubinszinttel társuló, az ULN háromszorosát meghaladó transzaminázszint-emelkedést. Az ivakaftorral kezelt betegeknél az ULN legfeljebb ötszörösét elérő transzaminázszint-emelkedés a legtöbb esetben a kezelés megszakítása nélkül rendeződött. Az ivakaftor adagolását az ULN ötszörösét meghaladó transzaminázszintekkel rendelkező betegek többségénél megszakították. Az ivakaftor adagolását minden olyan esetben sikeresen újra lehetett kezdeni, amikor a gyógyszer adását emelkedett transzaminázszintek miatt megszakították, majd később újrakezdték (lásd 4.4 pont).</w:t>
      </w:r>
    </w:p>
    <w:p w14:paraId="34EB067C" w14:textId="77777777" w:rsidR="00EE208D" w:rsidRPr="001B0D61" w:rsidRDefault="00EE208D" w:rsidP="00EE208D"/>
    <w:p w14:paraId="376497A4" w14:textId="77777777" w:rsidR="00EE208D" w:rsidRPr="001B0D61" w:rsidRDefault="00EE208D" w:rsidP="00EE208D">
      <w:r w:rsidRPr="001B0D61">
        <w:t>A tezakaftor/ivakaftor-kombináció placebokontrollos III. fázisú (legfeljebb 24 hétig tartó) vizsgálataiban az ULN nyolcszorosát, ötszörösét vagy háromszorosát meghaladó maximális transzamináz (GPT [ALAT] vagy GOT [ASAT]) szintek incidenciája sorrendben 0,2%, 1,0% és 3,4% volt a tezakaftor/ivakaftor-kombinációval, és sorrendben 0,4%, 1,0% és 3,4% a placebóval kezelt betegeknél. Emelkedett transzaminázszintek miatt az aktív kezelésben részesülők közül egy beteg (0,2%), a placebóval kezeltek közül pedig 2 beteg (0,4%) hagyta abba végleg a kezelést. A tezakaftor/ivakaftor-kombinációval kezeltek közül egyetlen betegnél sem tapasztaltak az ULN háromszorosát meghaladó mértékű, az ULN kétszeresét meghaladó összbilirubinszinttel társuló transzaminázszint-emelkedést.</w:t>
      </w:r>
    </w:p>
    <w:p w14:paraId="291A4B31" w14:textId="77777777" w:rsidR="00EE208D" w:rsidRPr="001B0D61" w:rsidRDefault="00EE208D" w:rsidP="00EE208D"/>
    <w:p w14:paraId="70C35DC1" w14:textId="77777777" w:rsidR="00EE208D" w:rsidRPr="001B0D61" w:rsidRDefault="00EE208D" w:rsidP="00EE208D">
      <w:r w:rsidRPr="001B0D61">
        <w:t>Az ivakaftor/tezakaftor/elexakaftor-kombináció 24 hetes, placebokontrollos III. fázisú vizsgálata során a fenti incidenciák a következőképpen alakultak: sorrendben 1,5%, 2,5% és 7,9% az ivakaftor/tezakaftor/elexakaftor-kombinációval, és sorrendben 1,0%, 1,5% és 5,5% a placebóval kezelt betegeknél. A transzaminázszint-emelkedéssel járó mellékhatások incidenciája 10,9% volt az ivakaftor/tezakaftor/elexakaftor-kombinációval együtt adott ivakaftorral, és 4,0% a placebóval kezelt betegeknél.</w:t>
      </w:r>
    </w:p>
    <w:p w14:paraId="11F0B5D8" w14:textId="77777777" w:rsidR="00EE208D" w:rsidRPr="001B0D61" w:rsidRDefault="00EE208D" w:rsidP="00EE208D"/>
    <w:p w14:paraId="5A7CD557" w14:textId="77777777" w:rsidR="00EE208D" w:rsidRPr="001B0D61" w:rsidRDefault="00EE208D" w:rsidP="00EE208D">
      <w:r w:rsidRPr="001B0D61">
        <w:t>A kezelés emelkedett transzaminázszintek miatti leállításának eseteiről számoltak be a forgalomba hozatalt követően (lásd 4.4 pont).</w:t>
      </w:r>
    </w:p>
    <w:p w14:paraId="02115B74" w14:textId="77777777" w:rsidR="00EE208D" w:rsidRPr="001B0D61" w:rsidRDefault="00EE208D" w:rsidP="00EE208D"/>
    <w:p w14:paraId="6EEE1361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Bőrkiütések</w:t>
      </w:r>
    </w:p>
    <w:p w14:paraId="3E6A70D1" w14:textId="77777777" w:rsidR="00EE208D" w:rsidRPr="001B0D61" w:rsidRDefault="00EE208D" w:rsidP="00EE208D">
      <w:pPr>
        <w:rPr>
          <w:i/>
        </w:rPr>
      </w:pPr>
    </w:p>
    <w:p w14:paraId="1476E728" w14:textId="77777777" w:rsidR="00EE208D" w:rsidRPr="001B0D61" w:rsidRDefault="00EE208D" w:rsidP="00EE208D">
      <w:r w:rsidRPr="001B0D61">
        <w:t>A 445-102. vizsgálatban a bőrkiütéses események (pl. bőrkiütés, viszkető bőrkiütés) előfordulási gyakorisága 10,9% volt az ivakaftor/tezakaftor/elexakaftor kombinációval kezelt betegeknél és 6,5% a placebóval kezelt betegeknél. A bőrkiütések általában enyhék vagy közepesen súlyosak voltak. A bőrkiütéses események előfordulási gyakorisága a betegek neme szerint 5,8% volt férfiaknál és 16,3% nőknél az ivakaftor/tezakaftor/elexakaftor kombinációval kezelt betegeknél, illetve 4,8% a férfiaknál és 8,3% a nőknél a placebóval kezelt betegeknél. Az ivakaftor/tezakaftor/elexakaftor kombinációval kezelt betegeknél a bőrkiütéses események előfordulási gyakorisága 20,5% volt a hormonális fogamzásgátlót szedő nőknél, és 13,6% volt a hormonális fogamzásgátlót nem szedő nőknél (lásd 4.4 pont).</w:t>
      </w:r>
    </w:p>
    <w:p w14:paraId="308EAC38" w14:textId="77777777" w:rsidR="00EE208D" w:rsidRPr="001B0D61" w:rsidRDefault="00EE208D" w:rsidP="00EE208D"/>
    <w:p w14:paraId="6C71AD25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Emelkedett kreatin-foszfokináz-szint</w:t>
      </w:r>
    </w:p>
    <w:p w14:paraId="600C453F" w14:textId="77777777" w:rsidR="00EE208D" w:rsidRPr="001B0D61" w:rsidRDefault="00EE208D" w:rsidP="00EE208D">
      <w:pPr>
        <w:rPr>
          <w:i/>
        </w:rPr>
      </w:pPr>
    </w:p>
    <w:p w14:paraId="51C975CD" w14:textId="77777777" w:rsidR="00EE208D" w:rsidRPr="001B0D61" w:rsidRDefault="00EE208D" w:rsidP="00EE208D">
      <w:r w:rsidRPr="001B0D61">
        <w:t>A 445-102. vizsgálatban a normálérték felső határának ötszörösét elérő maximális kreatin-foszfokináz előfordulási gyakorisága 10,4% volt az ivakaftor/tezakaftor/elexakaftor kombinációval kezelt, és 5,0% a placebóval kezelt betegeknél. A megfigyelt kreatin-foszfokináz-emelkedés általában átmeneti és tünetmentes volt, és sok esetben testmozgás előzte meg. Az ivakaftor/tezakaftor/elexakaftor kombinációval kezelt betegek közül egy sem hagyta abba a kezelést az emelkedett kreatin-foszfokinázszint miatt.</w:t>
      </w:r>
    </w:p>
    <w:p w14:paraId="38B9133D" w14:textId="77777777" w:rsidR="00EE208D" w:rsidRPr="001B0D61" w:rsidRDefault="00EE208D" w:rsidP="00EE208D"/>
    <w:p w14:paraId="2F23D5DD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Emelkedett vérnyomás</w:t>
      </w:r>
    </w:p>
    <w:p w14:paraId="0CD05CCD" w14:textId="77777777" w:rsidR="00EE208D" w:rsidRPr="001B0D61" w:rsidRDefault="00EE208D" w:rsidP="00EE208D">
      <w:pPr>
        <w:rPr>
          <w:i/>
        </w:rPr>
      </w:pPr>
    </w:p>
    <w:p w14:paraId="3084CBF6" w14:textId="77777777" w:rsidR="00EE208D" w:rsidRPr="001B0D61" w:rsidRDefault="00EE208D" w:rsidP="00EE208D">
      <w:r w:rsidRPr="001B0D61">
        <w:t>A 445-102. vizsgálatban az átlagos szisztolés és diasztolés vérnyomás maximális emelkedése a kiindulási értékhez képest sorrendben 3,5 Hgmm és 1,9 Hgmm volt az ivakaftor/tezakaftor/elexakaftor kombinációval kezelt betegeknél (kiindulási érték: 113 Hgmm szisztolés és 69 Hgmm diasztolés), illetve 0,9 Hgmm és 0,5 Hgmm volt a placebóval kezelt betegeknél (kiindulási érték: 114 Hgmm szisztolés és 70 Hgmm diasztolés).</w:t>
      </w:r>
    </w:p>
    <w:p w14:paraId="71916BA3" w14:textId="77777777" w:rsidR="00EE208D" w:rsidRPr="001B0D61" w:rsidRDefault="00EE208D" w:rsidP="00EE208D"/>
    <w:p w14:paraId="72DB5328" w14:textId="77777777" w:rsidR="00EE208D" w:rsidRPr="001B0D61" w:rsidRDefault="00EE208D" w:rsidP="00EE208D">
      <w:r w:rsidRPr="001B0D61">
        <w:t>Azoknak a betegeknek az aránya, akiknek a szisztolés vérnyomása &gt; 140 Hgmm vagy a diasztolés vérnyomása &gt; 90 Hgmm volt legalább két alkalommal sorrendben 5,0%, illetve 3,0% volt az ivakaftor/tezakaftor/elexakaftor kombinációval kezelt betegeknél, szemben a placebóval kezelt betegeknél tapasztalt 3,5%, illetve 3,5%-kal.</w:t>
      </w:r>
    </w:p>
    <w:p w14:paraId="63122AFA" w14:textId="77777777" w:rsidR="00EE208D" w:rsidRPr="001B0D61" w:rsidRDefault="00EE208D" w:rsidP="00EE208D"/>
    <w:p w14:paraId="4B07A5FE" w14:textId="77777777" w:rsidR="00EE208D" w:rsidRPr="001B0D61" w:rsidRDefault="00EE208D" w:rsidP="00EE208D">
      <w:r w:rsidRPr="001B0D61">
        <w:rPr>
          <w:u w:val="single"/>
        </w:rPr>
        <w:t>Gyermekek és serdülők</w:t>
      </w:r>
    </w:p>
    <w:p w14:paraId="7F77CDB2" w14:textId="77777777" w:rsidR="00EE208D" w:rsidRPr="001B0D61" w:rsidRDefault="00EE208D" w:rsidP="00EE208D"/>
    <w:p w14:paraId="321B305C" w14:textId="34FCE93E" w:rsidR="00EE208D" w:rsidRPr="001B0D61" w:rsidRDefault="00DD63C3" w:rsidP="00EE208D">
      <w:pPr>
        <w:rPr>
          <w:i/>
        </w:rPr>
      </w:pPr>
      <w:r>
        <w:rPr>
          <w:i/>
        </w:rPr>
        <w:t>Ivakaftor-</w:t>
      </w:r>
      <w:r w:rsidR="00EE208D" w:rsidRPr="001B0D61">
        <w:rPr>
          <w:i/>
        </w:rPr>
        <w:t>monoterápiában</w:t>
      </w:r>
    </w:p>
    <w:p w14:paraId="581AF54A" w14:textId="77777777" w:rsidR="00EE208D" w:rsidRPr="001B0D61" w:rsidRDefault="00EE208D" w:rsidP="00EE208D">
      <w:pPr>
        <w:rPr>
          <w:i/>
        </w:rPr>
      </w:pPr>
    </w:p>
    <w:p w14:paraId="1D40F6BF" w14:textId="0439D51F" w:rsidR="00EE208D" w:rsidRPr="001B0D61" w:rsidRDefault="00EE208D" w:rsidP="00EE208D">
      <w:r w:rsidRPr="001B0D61">
        <w:t xml:space="preserve">A monoterápia formájában 24 héten keresztül alkalmazott ivakaftor biztonságosságát 43, 1 hónapos és &lt; 24 hónapos közötti (akik közül 7 beteg 4 hónaposnál fiatalabb volt), 34, 2 és &lt; 6 éves közötti, 61, 6 és &lt; 12 éves közötti, valamint 94, 12 és &lt; 18 éves közötti </w:t>
      </w:r>
      <w:r w:rsidR="00733703">
        <w:t xml:space="preserve">korú </w:t>
      </w:r>
      <w:r w:rsidRPr="001B0D61">
        <w:t>betegnél értékelték.</w:t>
      </w:r>
    </w:p>
    <w:p w14:paraId="6046AF36" w14:textId="77777777" w:rsidR="00EE208D" w:rsidRPr="001B0D61" w:rsidRDefault="00EE208D" w:rsidP="00EE208D"/>
    <w:p w14:paraId="12BCA2CE" w14:textId="77777777" w:rsidR="00EE208D" w:rsidRPr="001B0D61" w:rsidRDefault="00EE208D" w:rsidP="00EE208D">
      <w:r w:rsidRPr="001B0D61">
        <w:t>Az ivakaftor biztonságossági profilja (monoterápia formájában vagy kombinációs kezelés részeként alkalmazva) gyermekek és serdülők körében általában megegyezik, valamint megegyezik a felnőtt betegeknél tapasztalttal is.</w:t>
      </w:r>
    </w:p>
    <w:p w14:paraId="69BE79CC" w14:textId="77777777" w:rsidR="00EE208D" w:rsidRPr="001B0D61" w:rsidRDefault="00EE208D" w:rsidP="00EE208D"/>
    <w:p w14:paraId="4B537375" w14:textId="77777777" w:rsidR="00EE208D" w:rsidRPr="001B0D61" w:rsidRDefault="00EE208D" w:rsidP="00EE208D">
      <w:r w:rsidRPr="001B0D61">
        <w:t>A transzaminázszint (GPT [ALAT] vagy GOT [ASAT]) emelkedések a 770-103., 770-111. és 770</w:t>
      </w:r>
      <w:r w:rsidRPr="001B0D61">
        <w:noBreakHyphen/>
        <w:t>110. vizsgálatban (6-&lt; 12 éves betegek), valamint a 770-108. vizsgálatban (2-&lt; 6 éves betegek) és a 770-124. vizsgálatban (1-&lt; 24 hónapos betegek) megfigyelt incidenciáját az 5. táblázat ismerteti. A placebokontrollos vizsgálatokban a transzaminázszint-emelkedések incidenciája hasonló volt az ivakaftor (15,0%) és a placebo (14,6%) alkalmazása mellett. A májenzimszint-emelkedések maximuma általában magasabb volt a gyermek- és serdülőkorú betegeknél, mint az idősebbeknél. Az adagolás megszakítása után az emelkedett májfunkciós értékek a maximális értékről az összes populációban visszatértek a kiindulási szintre, és az ivakaftor adagolását csaknem minden olyan esetben sikeresen újra lehetett kezdeni, amikor a gyógyszer adását emelkedett transzaminázszintek miatt megszakították, majd később újrakezdték (lásd 4.4 pont). Megfigyeltek olyan eseteket, amikor az ismételt májenzimszint-emelkedést feltételezhetően az adagolás újraindítása váltotta</w:t>
      </w:r>
      <w:r w:rsidRPr="001B0D61">
        <w:rPr>
          <w:spacing w:val="-8"/>
        </w:rPr>
        <w:t xml:space="preserve"> </w:t>
      </w:r>
      <w:r w:rsidRPr="001B0D61">
        <w:t>ki.</w:t>
      </w:r>
    </w:p>
    <w:p w14:paraId="5B811C01" w14:textId="77777777" w:rsidR="00EE208D" w:rsidRPr="001B0D61" w:rsidRDefault="00EE208D" w:rsidP="00EE208D"/>
    <w:p w14:paraId="031C3DAA" w14:textId="77777777" w:rsidR="00EE208D" w:rsidRPr="001B0D61" w:rsidRDefault="00EE208D" w:rsidP="00EE208D">
      <w:r w:rsidRPr="001B0D61">
        <w:t xml:space="preserve">A 770-108. vizsgálatban egy betegnél végleg leállították az ivakaftor alkalmazását. A 770-124. vizsgálatban az 1 hónapos és 4 hónapos kor közötti betegek kohorszában egy 1 hónapos beteg (14,3%) GPT-szintje a normálérték felső határának nyolcszorosa, GOT-szintje pedig a normálérték felső határának háromszorosa és </w:t>
      </w:r>
      <w:r w:rsidRPr="001B0D61">
        <w:rPr>
          <w:rFonts w:ascii="Symbol" w:hAnsi="Symbol"/>
        </w:rPr>
        <w:t></w:t>
      </w:r>
      <w:r w:rsidRPr="001B0D61">
        <w:t xml:space="preserve"> ötszöröse között volt, ami az ivakaftor-kezelés abbahagyásához vezetett (a transzaminázszint-emelkedések kezelését illetően lásd a 4.4 pontot).</w:t>
      </w:r>
    </w:p>
    <w:p w14:paraId="6D765A6D" w14:textId="77777777" w:rsidR="00EE208D" w:rsidRDefault="00EE208D" w:rsidP="00EE208D"/>
    <w:p w14:paraId="0822F01B" w14:textId="3F0F336C" w:rsidR="00103504" w:rsidRPr="001B0D61" w:rsidRDefault="00103504" w:rsidP="00103504">
      <w:pPr>
        <w:pStyle w:val="Listaszerbekezds"/>
        <w:numPr>
          <w:ilvl w:val="0"/>
          <w:numId w:val="4"/>
        </w:numPr>
        <w:tabs>
          <w:tab w:val="left" w:pos="284"/>
        </w:tabs>
        <w:ind w:left="0" w:firstLine="0"/>
        <w:contextualSpacing w:val="0"/>
        <w:rPr>
          <w:b/>
          <w:bCs/>
        </w:rPr>
      </w:pPr>
      <w:r w:rsidRPr="001B0D61">
        <w:rPr>
          <w:b/>
          <w:bCs/>
        </w:rPr>
        <w:t>táblázat: Transzaminázszint-emelkedések ivakaftor</w:t>
      </w:r>
      <w:r w:rsidR="00733703">
        <w:rPr>
          <w:b/>
          <w:bCs/>
        </w:rPr>
        <w:t>- monoterápiával</w:t>
      </w:r>
      <w:r w:rsidRPr="001B0D61">
        <w:rPr>
          <w:b/>
          <w:bCs/>
        </w:rPr>
        <w:t xml:space="preserve"> kezelt 1 hónapos-&lt; 12 éves</w:t>
      </w:r>
      <w:r w:rsidRPr="001B0D61">
        <w:rPr>
          <w:b/>
          <w:bCs/>
          <w:spacing w:val="-3"/>
        </w:rPr>
        <w:t xml:space="preserve"> </w:t>
      </w:r>
      <w:r w:rsidRPr="001B0D61">
        <w:rPr>
          <w:b/>
          <w:bCs/>
        </w:rPr>
        <w:t>betegeknél</w:t>
      </w:r>
    </w:p>
    <w:p w14:paraId="3F61F308" w14:textId="77777777" w:rsidR="00103504" w:rsidRPr="001B0D61" w:rsidRDefault="00103504" w:rsidP="00103504"/>
    <w:tbl>
      <w:tblPr>
        <w:tblStyle w:val="TableNormal1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851"/>
        <w:gridCol w:w="1984"/>
        <w:gridCol w:w="1985"/>
        <w:gridCol w:w="2144"/>
      </w:tblGrid>
      <w:tr w:rsidR="00103504" w:rsidRPr="001B0D61" w14:paraId="18DCF0DE" w14:textId="77777777" w:rsidTr="008D1E93">
        <w:trPr>
          <w:trHeight w:val="1621"/>
        </w:trPr>
        <w:tc>
          <w:tcPr>
            <w:tcW w:w="1701" w:type="dxa"/>
          </w:tcPr>
          <w:p w14:paraId="2BB54EBA" w14:textId="77777777" w:rsidR="00103504" w:rsidRPr="00362B51" w:rsidRDefault="00103504" w:rsidP="008D1E93">
            <w:pPr>
              <w:keepNext/>
              <w:widowControl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Korcsoport</w:t>
            </w:r>
          </w:p>
        </w:tc>
        <w:tc>
          <w:tcPr>
            <w:tcW w:w="851" w:type="dxa"/>
          </w:tcPr>
          <w:p w14:paraId="659A00B9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w w:val="99"/>
                <w:lang w:val="hu-HU"/>
              </w:rPr>
              <w:t>n</w:t>
            </w:r>
          </w:p>
        </w:tc>
        <w:tc>
          <w:tcPr>
            <w:tcW w:w="1984" w:type="dxa"/>
          </w:tcPr>
          <w:p w14:paraId="601A9A2A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Az ULN</w:t>
            </w:r>
          </w:p>
          <w:p w14:paraId="779918BE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háromszorosát meghaladó emelkedést tapasztaló betegek %-os aránya</w:t>
            </w:r>
          </w:p>
        </w:tc>
        <w:tc>
          <w:tcPr>
            <w:tcW w:w="1985" w:type="dxa"/>
          </w:tcPr>
          <w:p w14:paraId="475728E9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Az ULN</w:t>
            </w:r>
          </w:p>
          <w:p w14:paraId="75C93E18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 xml:space="preserve">ötszörösét meghaladó emelkedést tapasztaló betegek </w:t>
            </w:r>
            <w:r w:rsidRPr="001B0D61">
              <w:rPr>
                <w:b/>
                <w:bCs/>
                <w:spacing w:val="-3"/>
                <w:lang w:val="hu-HU"/>
              </w:rPr>
              <w:t xml:space="preserve">%-os </w:t>
            </w:r>
            <w:r w:rsidRPr="001B0D61">
              <w:rPr>
                <w:b/>
                <w:bCs/>
                <w:lang w:val="hu-HU"/>
              </w:rPr>
              <w:t>aránya</w:t>
            </w:r>
          </w:p>
        </w:tc>
        <w:tc>
          <w:tcPr>
            <w:tcW w:w="2144" w:type="dxa"/>
          </w:tcPr>
          <w:p w14:paraId="44601B8D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Az ULN</w:t>
            </w:r>
          </w:p>
          <w:p w14:paraId="360DBB60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nyolcszorosát meghaladó emelkedést tapasztaló</w:t>
            </w:r>
          </w:p>
          <w:p w14:paraId="47DA32D5" w14:textId="77777777" w:rsidR="00103504" w:rsidRPr="00362B51" w:rsidRDefault="00103504" w:rsidP="008D1E93">
            <w:pPr>
              <w:keepNext/>
              <w:widowControl/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betegek %-os aránya</w:t>
            </w:r>
          </w:p>
        </w:tc>
      </w:tr>
      <w:tr w:rsidR="00103504" w:rsidRPr="001B0D61" w14:paraId="1AF0C3D2" w14:textId="77777777" w:rsidTr="008D1E93">
        <w:trPr>
          <w:trHeight w:val="284"/>
        </w:trPr>
        <w:tc>
          <w:tcPr>
            <w:tcW w:w="1701" w:type="dxa"/>
          </w:tcPr>
          <w:p w14:paraId="6F11462B" w14:textId="77777777" w:rsidR="00103504" w:rsidRPr="00362B51" w:rsidRDefault="00103504" w:rsidP="008D1E93">
            <w:pPr>
              <w:keepNext/>
              <w:widowControl/>
              <w:rPr>
                <w:lang w:val="hu-HU"/>
              </w:rPr>
            </w:pPr>
            <w:r w:rsidRPr="001B0D61">
              <w:rPr>
                <w:lang w:val="hu-HU"/>
              </w:rPr>
              <w:t>6–&lt; 12 éves</w:t>
            </w:r>
          </w:p>
        </w:tc>
        <w:tc>
          <w:tcPr>
            <w:tcW w:w="851" w:type="dxa"/>
          </w:tcPr>
          <w:p w14:paraId="04BDD171" w14:textId="77777777" w:rsidR="00103504" w:rsidRPr="00362B51" w:rsidRDefault="00103504" w:rsidP="008D1E93">
            <w:pPr>
              <w:keepNext/>
              <w:widowControl/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40</w:t>
            </w:r>
          </w:p>
        </w:tc>
        <w:tc>
          <w:tcPr>
            <w:tcW w:w="1984" w:type="dxa"/>
          </w:tcPr>
          <w:p w14:paraId="01188C3C" w14:textId="77777777" w:rsidR="00103504" w:rsidRPr="00362B51" w:rsidRDefault="00103504" w:rsidP="008D1E93">
            <w:pPr>
              <w:keepNext/>
              <w:widowControl/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15,0% (6)</w:t>
            </w:r>
          </w:p>
        </w:tc>
        <w:tc>
          <w:tcPr>
            <w:tcW w:w="1985" w:type="dxa"/>
          </w:tcPr>
          <w:p w14:paraId="25C88568" w14:textId="77777777" w:rsidR="00103504" w:rsidRPr="00362B51" w:rsidRDefault="00103504" w:rsidP="008D1E93">
            <w:pPr>
              <w:keepNext/>
              <w:widowControl/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2,5% (1)</w:t>
            </w:r>
          </w:p>
        </w:tc>
        <w:tc>
          <w:tcPr>
            <w:tcW w:w="2144" w:type="dxa"/>
          </w:tcPr>
          <w:p w14:paraId="18B2B5AF" w14:textId="77777777" w:rsidR="00103504" w:rsidRPr="00362B51" w:rsidRDefault="00103504" w:rsidP="008D1E93">
            <w:pPr>
              <w:keepNext/>
              <w:widowControl/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2,5% (1)</w:t>
            </w:r>
          </w:p>
        </w:tc>
      </w:tr>
      <w:tr w:rsidR="00103504" w:rsidRPr="001B0D61" w14:paraId="73F8232A" w14:textId="77777777" w:rsidTr="008D1E93">
        <w:trPr>
          <w:trHeight w:val="286"/>
        </w:trPr>
        <w:tc>
          <w:tcPr>
            <w:tcW w:w="1701" w:type="dxa"/>
          </w:tcPr>
          <w:p w14:paraId="219504D4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2–&lt; 6 éves</w:t>
            </w:r>
          </w:p>
        </w:tc>
        <w:tc>
          <w:tcPr>
            <w:tcW w:w="851" w:type="dxa"/>
          </w:tcPr>
          <w:p w14:paraId="6CE6F751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34</w:t>
            </w:r>
          </w:p>
        </w:tc>
        <w:tc>
          <w:tcPr>
            <w:tcW w:w="1984" w:type="dxa"/>
          </w:tcPr>
          <w:p w14:paraId="73AACCC1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14,7% (5)</w:t>
            </w:r>
          </w:p>
        </w:tc>
        <w:tc>
          <w:tcPr>
            <w:tcW w:w="1985" w:type="dxa"/>
          </w:tcPr>
          <w:p w14:paraId="7A7E071D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14,7% (5)</w:t>
            </w:r>
          </w:p>
        </w:tc>
        <w:tc>
          <w:tcPr>
            <w:tcW w:w="2144" w:type="dxa"/>
          </w:tcPr>
          <w:p w14:paraId="4FE3DF3E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14,7% (5)</w:t>
            </w:r>
          </w:p>
        </w:tc>
      </w:tr>
      <w:tr w:rsidR="00103504" w:rsidRPr="001B0D61" w14:paraId="4F13166A" w14:textId="77777777" w:rsidTr="008D1E93">
        <w:trPr>
          <w:trHeight w:val="287"/>
        </w:trPr>
        <w:tc>
          <w:tcPr>
            <w:tcW w:w="1701" w:type="dxa"/>
          </w:tcPr>
          <w:p w14:paraId="1169F3B4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12–&lt; 24 hónapos</w:t>
            </w:r>
          </w:p>
        </w:tc>
        <w:tc>
          <w:tcPr>
            <w:tcW w:w="851" w:type="dxa"/>
          </w:tcPr>
          <w:p w14:paraId="28B6F42B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18</w:t>
            </w:r>
          </w:p>
        </w:tc>
        <w:tc>
          <w:tcPr>
            <w:tcW w:w="1984" w:type="dxa"/>
          </w:tcPr>
          <w:p w14:paraId="0DC1DCCE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27,8% (5)</w:t>
            </w:r>
          </w:p>
        </w:tc>
        <w:tc>
          <w:tcPr>
            <w:tcW w:w="1985" w:type="dxa"/>
          </w:tcPr>
          <w:p w14:paraId="614093BD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11,1% (2)</w:t>
            </w:r>
          </w:p>
        </w:tc>
        <w:tc>
          <w:tcPr>
            <w:tcW w:w="2144" w:type="dxa"/>
          </w:tcPr>
          <w:p w14:paraId="0570AFC0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11,1% (2)</w:t>
            </w:r>
          </w:p>
        </w:tc>
      </w:tr>
      <w:tr w:rsidR="00103504" w:rsidRPr="001B0D61" w14:paraId="53C66F11" w14:textId="77777777" w:rsidTr="008D1E93">
        <w:trPr>
          <w:trHeight w:val="287"/>
        </w:trPr>
        <w:tc>
          <w:tcPr>
            <w:tcW w:w="1701" w:type="dxa"/>
          </w:tcPr>
          <w:p w14:paraId="2A4FCD28" w14:textId="77777777" w:rsidR="00103504" w:rsidRPr="00362B51" w:rsidRDefault="00103504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1–&lt; 12 hónapos</w:t>
            </w:r>
          </w:p>
        </w:tc>
        <w:tc>
          <w:tcPr>
            <w:tcW w:w="851" w:type="dxa"/>
          </w:tcPr>
          <w:p w14:paraId="527E398B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24</w:t>
            </w:r>
          </w:p>
        </w:tc>
        <w:tc>
          <w:tcPr>
            <w:tcW w:w="1984" w:type="dxa"/>
          </w:tcPr>
          <w:p w14:paraId="4F72644F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8,3% (2)</w:t>
            </w:r>
          </w:p>
        </w:tc>
        <w:tc>
          <w:tcPr>
            <w:tcW w:w="1985" w:type="dxa"/>
          </w:tcPr>
          <w:p w14:paraId="727F0A3B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4,2% (1)</w:t>
            </w:r>
          </w:p>
        </w:tc>
        <w:tc>
          <w:tcPr>
            <w:tcW w:w="2144" w:type="dxa"/>
          </w:tcPr>
          <w:p w14:paraId="0EB869FB" w14:textId="77777777" w:rsidR="00103504" w:rsidRPr="00362B51" w:rsidRDefault="00103504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4,2% (1)</w:t>
            </w:r>
          </w:p>
        </w:tc>
      </w:tr>
    </w:tbl>
    <w:p w14:paraId="440A7A05" w14:textId="77777777" w:rsidR="00103504" w:rsidRDefault="00103504" w:rsidP="00EE208D"/>
    <w:p w14:paraId="2E9BB765" w14:textId="0E6AE4DA" w:rsidR="00EE208D" w:rsidRPr="001B0D61" w:rsidRDefault="00EE208D" w:rsidP="00EE208D">
      <w:pPr>
        <w:rPr>
          <w:i/>
        </w:rPr>
      </w:pPr>
      <w:r w:rsidRPr="001B0D61">
        <w:rPr>
          <w:i/>
        </w:rPr>
        <w:t>Ivakaftor a tezakaftor/ivakaftor kombináció</w:t>
      </w:r>
      <w:r w:rsidR="008A71D6">
        <w:rPr>
          <w:i/>
        </w:rPr>
        <w:t>val</w:t>
      </w:r>
      <w:r w:rsidRPr="001B0D61">
        <w:rPr>
          <w:i/>
        </w:rPr>
        <w:t xml:space="preserve"> </w:t>
      </w:r>
      <w:r w:rsidR="008A71D6">
        <w:rPr>
          <w:i/>
        </w:rPr>
        <w:t>együtt alkalmazva</w:t>
      </w:r>
    </w:p>
    <w:p w14:paraId="26D76BC5" w14:textId="77777777" w:rsidR="00EE208D" w:rsidRPr="001B0D61" w:rsidRDefault="00EE208D" w:rsidP="00EE208D">
      <w:pPr>
        <w:rPr>
          <w:i/>
        </w:rPr>
      </w:pPr>
    </w:p>
    <w:p w14:paraId="314E2262" w14:textId="0E80860A" w:rsidR="00EE208D" w:rsidRPr="001B0D61" w:rsidRDefault="00EE208D" w:rsidP="00EE208D">
      <w:r w:rsidRPr="001B0D61">
        <w:t>Az ivafaktorral kombinációban alkalmazott teza</w:t>
      </w:r>
      <w:r w:rsidR="008A71D6">
        <w:t>k</w:t>
      </w:r>
      <w:r w:rsidRPr="001B0D61">
        <w:t>aftor/ivakaftor kombinációs kezelés biztonságosságát 124, 6 évesnél idősebb, de legfeljebb 12 éves betegnél értékelték. A teza</w:t>
      </w:r>
      <w:r w:rsidR="008A71D6">
        <w:t>k</w:t>
      </w:r>
      <w:r w:rsidRPr="001B0D61">
        <w:t>aftor 100 mg/ivakaftor 150</w:t>
      </w:r>
      <w:r w:rsidRPr="001B0D61">
        <w:rPr>
          <w:spacing w:val="-3"/>
        </w:rPr>
        <w:t xml:space="preserve"> mg </w:t>
      </w:r>
      <w:r w:rsidRPr="001B0D61">
        <w:t>és</w:t>
      </w:r>
      <w:r w:rsidRPr="001B0D61">
        <w:rPr>
          <w:spacing w:val="-4"/>
        </w:rPr>
        <w:t xml:space="preserve"> </w:t>
      </w:r>
      <w:r w:rsidRPr="001B0D61">
        <w:t>ivakaftor</w:t>
      </w:r>
      <w:r w:rsidRPr="001B0D61">
        <w:rPr>
          <w:spacing w:val="-3"/>
        </w:rPr>
        <w:t xml:space="preserve"> </w:t>
      </w:r>
      <w:r w:rsidRPr="001B0D61">
        <w:t>150</w:t>
      </w:r>
      <w:r w:rsidRPr="001B0D61">
        <w:rPr>
          <w:spacing w:val="-4"/>
        </w:rPr>
        <w:t> mg</w:t>
      </w:r>
      <w:r w:rsidRPr="001B0D61">
        <w:rPr>
          <w:spacing w:val="-3"/>
        </w:rPr>
        <w:t xml:space="preserve"> </w:t>
      </w:r>
      <w:r w:rsidRPr="001B0D61">
        <w:t>dózist</w:t>
      </w:r>
      <w:r w:rsidRPr="001B0D61">
        <w:rPr>
          <w:spacing w:val="-3"/>
        </w:rPr>
        <w:t xml:space="preserve"> </w:t>
      </w:r>
      <w:r w:rsidRPr="001B0D61">
        <w:t>nem</w:t>
      </w:r>
      <w:r w:rsidRPr="001B0D61">
        <w:rPr>
          <w:spacing w:val="-3"/>
        </w:rPr>
        <w:t xml:space="preserve"> </w:t>
      </w:r>
      <w:r w:rsidRPr="001B0D61">
        <w:t>vizsgálták</w:t>
      </w:r>
      <w:r w:rsidRPr="001B0D61">
        <w:rPr>
          <w:spacing w:val="-3"/>
        </w:rPr>
        <w:t xml:space="preserve"> </w:t>
      </w:r>
      <w:r w:rsidRPr="001B0D61">
        <w:t>klinikai</w:t>
      </w:r>
      <w:r w:rsidRPr="001B0D61">
        <w:rPr>
          <w:spacing w:val="-3"/>
        </w:rPr>
        <w:t xml:space="preserve"> </w:t>
      </w:r>
      <w:r w:rsidRPr="001B0D61">
        <w:t>vizsgálatokban</w:t>
      </w:r>
      <w:r w:rsidRPr="001B0D61">
        <w:rPr>
          <w:spacing w:val="-4"/>
        </w:rPr>
        <w:t xml:space="preserve"> </w:t>
      </w:r>
      <w:r w:rsidRPr="001B0D61">
        <w:t>6</w:t>
      </w:r>
      <w:r w:rsidRPr="001B0D61">
        <w:rPr>
          <w:spacing w:val="-3"/>
        </w:rPr>
        <w:t> éves</w:t>
      </w:r>
      <w:r w:rsidRPr="001B0D61">
        <w:t>nél</w:t>
      </w:r>
      <w:r w:rsidRPr="001B0D61">
        <w:rPr>
          <w:spacing w:val="-3"/>
        </w:rPr>
        <w:t xml:space="preserve"> </w:t>
      </w:r>
      <w:r w:rsidRPr="001B0D61">
        <w:t>idősebb,</w:t>
      </w:r>
      <w:r w:rsidRPr="001B0D61">
        <w:rPr>
          <w:spacing w:val="-4"/>
        </w:rPr>
        <w:t xml:space="preserve"> </w:t>
      </w:r>
      <w:r w:rsidRPr="001B0D61">
        <w:t>de 12 évesnél fiatalabb, 30-</w:t>
      </w:r>
      <w:r w:rsidRPr="001B0D61">
        <w:rPr>
          <w:rFonts w:ascii="Symbol" w:hAnsi="Symbol"/>
        </w:rPr>
        <w:t></w:t>
      </w:r>
      <w:r w:rsidRPr="001B0D61">
        <w:t> 40 kg testtömegű gyermekek körében.</w:t>
      </w:r>
    </w:p>
    <w:p w14:paraId="1D89DDD3" w14:textId="77777777" w:rsidR="00EE208D" w:rsidRPr="001B0D61" w:rsidRDefault="00EE208D" w:rsidP="00EE208D"/>
    <w:p w14:paraId="4D0FA16C" w14:textId="77777777" w:rsidR="00EE208D" w:rsidRPr="001B0D61" w:rsidRDefault="00EE208D" w:rsidP="00EE208D">
      <w:r w:rsidRPr="001B0D61">
        <w:t>A biztonságossági profil a gyermekek és serdülők körében általában megegyezik, valamint a felnőtt betegeknél tapasztalttal is megegyezik.</w:t>
      </w:r>
    </w:p>
    <w:p w14:paraId="6BB087CB" w14:textId="77777777" w:rsidR="00EE208D" w:rsidRPr="001B0D61" w:rsidRDefault="00EE208D" w:rsidP="00EE208D"/>
    <w:p w14:paraId="6E567599" w14:textId="0AC80A32" w:rsidR="00EE208D" w:rsidRPr="001B0D61" w:rsidRDefault="00EE208D" w:rsidP="00EE208D">
      <w:r w:rsidRPr="001B0D61">
        <w:t>A 24 hetes, nyílt elrendezésű, III. fázisú, 6 évesnél idősebb, de 12 évesnél fiatalabb betegek bevonásával végzett vizsgálatban (661-113. vizsgálat B-rész</w:t>
      </w:r>
      <w:r w:rsidR="001711B3">
        <w:t>e</w:t>
      </w:r>
      <w:r w:rsidRPr="001B0D61">
        <w:t>, n = 70) a</w:t>
      </w:r>
      <w:r w:rsidR="001711B3">
        <w:t xml:space="preserve"> </w:t>
      </w:r>
      <w:r w:rsidR="001711B3" w:rsidRPr="001711B3">
        <w:t>normálérték felső határának nyolcszorosát, meghaladó maximális transzaminázszint (GPT [ALAT] vagy GOT [ASAT]) incidenciája 1,4%, ötszörösét meghaladó értékek incidenciája 4,3% és háromszorosát meghaladó értékek incidenciája 10,0% volt.</w:t>
      </w:r>
      <w:r w:rsidR="001711B3">
        <w:t xml:space="preserve"> </w:t>
      </w:r>
      <w:r w:rsidRPr="001B0D61">
        <w:t>A tezakaftor/ivakaftor kombinációval kezelt betegek közül egynél sem fordult elő a normálérték felső határának háromszorosát meghaladó transzaminázszint-emelkedés a normálérték felső határának kétszeresét meghaladó összbilirubinszint- emelkedéssel, és a transzaminázszint emelkedése miatt egyetlen beteg sem hagyta abba a tezakaftor/ivakaftor</w:t>
      </w:r>
      <w:r w:rsidR="001711B3">
        <w:t>-</w:t>
      </w:r>
      <w:r w:rsidRPr="001B0D61">
        <w:t>kezelést. Egy beteg az emelkedett transzaminázszint miatt megszakította a kezelést, majd később sikeresen folytatta a tezakaftor/ivakaftor</w:t>
      </w:r>
      <w:r w:rsidR="001711B3">
        <w:t>-</w:t>
      </w:r>
      <w:r w:rsidRPr="001B0D61">
        <w:t>kezelést (lásd 4.4 pont, az emelkedett transzaminázszintek kezelése).</w:t>
      </w:r>
    </w:p>
    <w:p w14:paraId="05EA5C5B" w14:textId="77777777" w:rsidR="00EE208D" w:rsidRPr="001B0D61" w:rsidRDefault="00EE208D" w:rsidP="00EE208D"/>
    <w:p w14:paraId="0AE5C696" w14:textId="0B308367" w:rsidR="00EE208D" w:rsidRPr="001B0D61" w:rsidRDefault="00EE208D" w:rsidP="00EE208D">
      <w:pPr>
        <w:rPr>
          <w:i/>
        </w:rPr>
      </w:pPr>
      <w:r w:rsidRPr="001B0D61">
        <w:rPr>
          <w:i/>
        </w:rPr>
        <w:t>Ivakaftor a tezakaftor/ivakaftor/elexakaftor kombináció</w:t>
      </w:r>
      <w:r w:rsidR="001711B3">
        <w:rPr>
          <w:i/>
        </w:rPr>
        <w:t>val együtt alkalmazva</w:t>
      </w:r>
    </w:p>
    <w:p w14:paraId="2C000C76" w14:textId="77777777" w:rsidR="00EE208D" w:rsidRPr="001B0D61" w:rsidRDefault="00EE208D" w:rsidP="00EE208D">
      <w:pPr>
        <w:rPr>
          <w:i/>
        </w:rPr>
      </w:pPr>
    </w:p>
    <w:p w14:paraId="18EAC58A" w14:textId="77777777" w:rsidR="00EE208D" w:rsidRPr="001B0D61" w:rsidRDefault="00EE208D" w:rsidP="00EE208D">
      <w:r w:rsidRPr="001B0D61">
        <w:t>Az ivakaftorral kombinációban alkalmazott ivakaftor/tezakaftor/elexakaftor kezelés biztonságossági adatait a 445-102., 445-103., 445-104., 445-106., 445-111. és 445-124. vizsgálatokban 272, 2 évesnél idősebb, de 18 évesnél fiatalabb betegnél értékelték. A biztonságossági profil általában hasonló a gyermek és serdülő, valamint a felnőtt betegek körében.</w:t>
      </w:r>
    </w:p>
    <w:p w14:paraId="01A8FB3B" w14:textId="77777777" w:rsidR="00EE208D" w:rsidRPr="001B0D61" w:rsidRDefault="00EE208D" w:rsidP="00EE208D"/>
    <w:p w14:paraId="4ABAAD79" w14:textId="79806981" w:rsidR="00EE208D" w:rsidRPr="001B0D61" w:rsidRDefault="00EE208D" w:rsidP="00EE208D">
      <w:r w:rsidRPr="001B0D61">
        <w:t xml:space="preserve">A 445-106. vizsgálat során a 6 évesnél idősebb, de 12 évesnél fiatalabb betegeknél a </w:t>
      </w:r>
      <w:r w:rsidR="0067450F" w:rsidRPr="0067450F">
        <w:t xml:space="preserve">normálérték felső határának nyolcszorosát meghaladó maximális transzaminázszint (GPT [ALAT] vagy GOT [ASAT]) incidenciája 0,0%, az ötszörösét meghaladó értékek incidenciája 1,5% és a háromszorosát meghaladó értékek incidenciája 10,6% volt. </w:t>
      </w:r>
      <w:r w:rsidRPr="001B0D61">
        <w:t>Az ivakaftor/tezakaftor/elexakaftor kombinációval kezelt betegek közül egynél sem fordult elő a normálérték felső határának háromszorosát meghaladó transzaminázszint-emelkedés a normálérték felső határának kétszeresét meghaladó összbilirubinszint-emelkedéssel, illetve a transzaminázszint- emelkedés miatt egyetlen beteg sem szakította meg a kezelést (lásd 4.4 pont).</w:t>
      </w:r>
    </w:p>
    <w:p w14:paraId="769DC6C8" w14:textId="77777777" w:rsidR="00EE208D" w:rsidRPr="001B0D61" w:rsidRDefault="00EE208D" w:rsidP="00EE208D"/>
    <w:p w14:paraId="1DDFEB6E" w14:textId="4E5C7C8A" w:rsidR="00EE208D" w:rsidRPr="001B0D61" w:rsidRDefault="00EE208D" w:rsidP="00EE208D">
      <w:r w:rsidRPr="001B0D61">
        <w:t xml:space="preserve">A 445-111. vizsgálat során a 2 évesnél idősebb, de 6 évesnél fiatalabb betegeknél a </w:t>
      </w:r>
      <w:r w:rsidR="00211C0F" w:rsidRPr="00211C0F">
        <w:t>normálérték felső határának nyolcszorosát meghaladó maximális transzaminázszint (GPT [ALAT] vagy GOT [ASAT]) incidenciája 1,3%, az ötszörösét 2,7% és a háromszorosát meghaladó értékek incidenciája 8,0%</w:t>
      </w:r>
      <w:r w:rsidR="00211C0F">
        <w:t>.</w:t>
      </w:r>
      <w:r w:rsidR="00211C0F" w:rsidRPr="00211C0F">
        <w:t xml:space="preserve"> </w:t>
      </w:r>
      <w:r w:rsidRPr="001B0D61">
        <w:t>Az ivakaftor/tezakaftor/elexakaftor kombinációval kezelt betegek közül egynél sem fordult elő a normálérték felső határának háromszorosát meghaladó transzaminázszint-emelkedés a normálérték felső határának kétszeresét meghaladó összbilirubinszint-emelkedéssel, illetve a transzaminázszint- emelkedés miatt egyetlen beteg sem szakította meg a kezelést (lásd 4.4</w:t>
      </w:r>
      <w:r w:rsidRPr="001B0D61">
        <w:rPr>
          <w:spacing w:val="-10"/>
        </w:rPr>
        <w:t> pont</w:t>
      </w:r>
      <w:r w:rsidRPr="001B0D61">
        <w:t>).</w:t>
      </w:r>
    </w:p>
    <w:p w14:paraId="3257AFB5" w14:textId="77777777" w:rsidR="00EE208D" w:rsidRPr="001B0D61" w:rsidRDefault="00EE208D" w:rsidP="00EE208D"/>
    <w:p w14:paraId="68FC76F0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Bőrkiütések</w:t>
      </w:r>
    </w:p>
    <w:p w14:paraId="386BBA44" w14:textId="77777777" w:rsidR="00EE208D" w:rsidRPr="001B0D61" w:rsidRDefault="00EE208D" w:rsidP="00EE208D">
      <w:pPr>
        <w:rPr>
          <w:i/>
        </w:rPr>
      </w:pPr>
    </w:p>
    <w:p w14:paraId="17D59DD2" w14:textId="4D228B94" w:rsidR="00EE208D" w:rsidRPr="001B0D61" w:rsidRDefault="00EE208D" w:rsidP="00EE208D">
      <w:r w:rsidRPr="001B0D61">
        <w:t xml:space="preserve">A 445-111. vizsgálat során a 2 évesnél idősebb, de 6 évesnél fiatalabb betegek közül 15 (20,0%) vizsgálati alanynál fordult elő legalább </w:t>
      </w:r>
      <w:r w:rsidR="00211C0F">
        <w:t>egy</w:t>
      </w:r>
      <w:r w:rsidRPr="001B0D61">
        <w:t> bőrkiütéses esemény, 4 (9,8%) lányoknál és 11 (32,4%) fiúknál.</w:t>
      </w:r>
    </w:p>
    <w:p w14:paraId="79142FF7" w14:textId="77777777" w:rsidR="00EE208D" w:rsidRPr="001B0D61" w:rsidRDefault="00EE208D" w:rsidP="00EE208D"/>
    <w:p w14:paraId="16811D28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Lencsehomály</w:t>
      </w:r>
    </w:p>
    <w:p w14:paraId="724835E9" w14:textId="77777777" w:rsidR="00EE208D" w:rsidRPr="001B0D61" w:rsidRDefault="00EE208D" w:rsidP="00EE208D">
      <w:pPr>
        <w:rPr>
          <w:i/>
        </w:rPr>
      </w:pPr>
    </w:p>
    <w:p w14:paraId="57491631" w14:textId="77777777" w:rsidR="00EE208D" w:rsidRPr="001B0D61" w:rsidRDefault="00EE208D" w:rsidP="00EE208D">
      <w:r w:rsidRPr="001B0D61">
        <w:t>Egy betegnél lencsehomály fordult elő nemkívánatos eseményként.</w:t>
      </w:r>
    </w:p>
    <w:p w14:paraId="29E53B08" w14:textId="77777777" w:rsidR="00EE208D" w:rsidRPr="001B0D61" w:rsidRDefault="00EE208D" w:rsidP="00EE208D"/>
    <w:p w14:paraId="5A166497" w14:textId="77777777" w:rsidR="00EE208D" w:rsidRPr="001B0D61" w:rsidRDefault="00EE208D" w:rsidP="00EE208D">
      <w:r w:rsidRPr="001B0D61">
        <w:rPr>
          <w:u w:val="single"/>
        </w:rPr>
        <w:t>Feltételezett mellékhatások bejelentése</w:t>
      </w:r>
    </w:p>
    <w:p w14:paraId="281DE806" w14:textId="77777777" w:rsidR="00EE208D" w:rsidRPr="001B0D61" w:rsidRDefault="00EE208D" w:rsidP="00EE208D"/>
    <w:p w14:paraId="1E5AE8A0" w14:textId="77777777" w:rsidR="00EE208D" w:rsidRPr="001B0D61" w:rsidRDefault="00EE208D" w:rsidP="00EE208D">
      <w:r w:rsidRPr="001B0D61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8">
        <w:r w:rsidRPr="001B0D61">
          <w:rPr>
            <w:color w:val="0000FF"/>
            <w:u w:val="single" w:color="0000FF"/>
            <w:shd w:val="clear" w:color="auto" w:fill="D2D2D2"/>
          </w:rPr>
          <w:t xml:space="preserve">V. függelékben </w:t>
        </w:r>
      </w:hyperlink>
      <w:r w:rsidRPr="001B0D61">
        <w:rPr>
          <w:shd w:val="clear" w:color="auto" w:fill="D2D2D2"/>
        </w:rPr>
        <w:t>található elérhetőségek valamelyikén keresztül</w:t>
      </w:r>
      <w:r w:rsidRPr="001B0D61">
        <w:t>.</w:t>
      </w:r>
    </w:p>
    <w:p w14:paraId="209B0FAE" w14:textId="77777777" w:rsidR="00EE208D" w:rsidRPr="001B0D61" w:rsidRDefault="00EE208D" w:rsidP="00EE208D"/>
    <w:p w14:paraId="77B5399C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4.9</w:t>
      </w:r>
      <w:r w:rsidRPr="001B0D61">
        <w:rPr>
          <w:b/>
          <w:bCs/>
        </w:rPr>
        <w:tab/>
        <w:t>Túladagolás</w:t>
      </w:r>
    </w:p>
    <w:p w14:paraId="7E7006BC" w14:textId="77777777" w:rsidR="00EE208D" w:rsidRPr="001B0D61" w:rsidRDefault="00EE208D" w:rsidP="00EE208D"/>
    <w:p w14:paraId="2ABF5E3F" w14:textId="72323C9F" w:rsidR="00EE208D" w:rsidRPr="001B0D61" w:rsidRDefault="00EE208D" w:rsidP="00EE208D">
      <w:r w:rsidRPr="001B0D61">
        <w:t>Az ivakaftor túladagolására nincs specifikus antidotum. A túladagolás kezelése általános szupportív beavatkozásokból áll, melyekbe beletartozik a</w:t>
      </w:r>
      <w:r w:rsidR="00211C0F">
        <w:t xml:space="preserve"> életjelek moniorozása</w:t>
      </w:r>
      <w:r w:rsidRPr="001B0D61">
        <w:t xml:space="preserve">, a májfunkciós </w:t>
      </w:r>
      <w:r w:rsidR="00211C0F">
        <w:t xml:space="preserve">vizsgálatok </w:t>
      </w:r>
      <w:r w:rsidRPr="001B0D61">
        <w:t>elvégzése és a beteg klinikai állapotának megfigyelése.</w:t>
      </w:r>
    </w:p>
    <w:p w14:paraId="0A8F6BC9" w14:textId="77777777" w:rsidR="00EE208D" w:rsidRPr="001B0D61" w:rsidRDefault="00EE208D" w:rsidP="00EE208D"/>
    <w:p w14:paraId="3B26A9C7" w14:textId="77777777" w:rsidR="00EE208D" w:rsidRPr="001B0D61" w:rsidRDefault="00EE208D" w:rsidP="00EE208D"/>
    <w:p w14:paraId="554C1421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5.</w:t>
      </w:r>
      <w:r w:rsidRPr="001B0D61">
        <w:rPr>
          <w:b/>
          <w:bCs/>
        </w:rPr>
        <w:tab/>
        <w:t>FARMAKOLÓGIAI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TULAJDONSÁGOK</w:t>
      </w:r>
    </w:p>
    <w:p w14:paraId="62AD11D9" w14:textId="77777777" w:rsidR="00EE208D" w:rsidRPr="001B0D61" w:rsidRDefault="00EE208D" w:rsidP="00EE208D"/>
    <w:p w14:paraId="2492A633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5.1</w:t>
      </w:r>
      <w:r w:rsidRPr="001B0D61">
        <w:rPr>
          <w:b/>
          <w:bCs/>
        </w:rPr>
        <w:tab/>
        <w:t>Farmakodinámiás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tulajdonságok</w:t>
      </w:r>
    </w:p>
    <w:p w14:paraId="28FEA960" w14:textId="77777777" w:rsidR="00EE208D" w:rsidRPr="001B0D61" w:rsidRDefault="00EE208D" w:rsidP="00EE208D"/>
    <w:p w14:paraId="4CB4A037" w14:textId="77777777" w:rsidR="00EE208D" w:rsidRPr="001B0D61" w:rsidRDefault="00EE208D" w:rsidP="00EE208D">
      <w:r w:rsidRPr="001B0D61">
        <w:t>Farmakoterápiás csoport: Légzőrendszerre ható egyéb készítmények, ATC kód: R07AX02</w:t>
      </w:r>
    </w:p>
    <w:p w14:paraId="48733DBD" w14:textId="77777777" w:rsidR="00EE208D" w:rsidRPr="001B0D61" w:rsidRDefault="00EE208D" w:rsidP="00EE208D"/>
    <w:p w14:paraId="08145ABF" w14:textId="77777777" w:rsidR="00EE208D" w:rsidRPr="001B0D61" w:rsidRDefault="00EE208D" w:rsidP="00EE208D">
      <w:r w:rsidRPr="001B0D61">
        <w:rPr>
          <w:u w:val="single"/>
        </w:rPr>
        <w:t>Hatásmechanizmus</w:t>
      </w:r>
    </w:p>
    <w:p w14:paraId="0FEA181F" w14:textId="77777777" w:rsidR="00EE208D" w:rsidRPr="001B0D61" w:rsidRDefault="00EE208D" w:rsidP="00EE208D"/>
    <w:p w14:paraId="22AC22B9" w14:textId="0C4C90C2" w:rsidR="00EE208D" w:rsidRPr="001B0D61" w:rsidRDefault="00EE208D" w:rsidP="00EE208D">
      <w:pPr>
        <w:rPr>
          <w:i/>
        </w:rPr>
      </w:pPr>
      <w:r w:rsidRPr="001B0D61">
        <w:rPr>
          <w:i/>
          <w:u w:val="single"/>
        </w:rPr>
        <w:t>Ivakaftor monoterápi</w:t>
      </w:r>
      <w:r w:rsidR="00211C0F">
        <w:rPr>
          <w:i/>
          <w:u w:val="single"/>
        </w:rPr>
        <w:t>ában</w:t>
      </w:r>
    </w:p>
    <w:p w14:paraId="40BCD54B" w14:textId="77777777" w:rsidR="00EE208D" w:rsidRPr="001B0D61" w:rsidRDefault="00EE208D" w:rsidP="00EE208D">
      <w:pPr>
        <w:rPr>
          <w:i/>
        </w:rPr>
      </w:pPr>
    </w:p>
    <w:p w14:paraId="274F8008" w14:textId="77777777" w:rsidR="00EE208D" w:rsidRPr="001B0D61" w:rsidRDefault="00EE208D" w:rsidP="00EE208D">
      <w:r w:rsidRPr="001B0D61">
        <w:t xml:space="preserve">Az ivakaftor potencírozza a CFTR proteint, vagyis az ivakaftor </w:t>
      </w:r>
      <w:r w:rsidRPr="001B0D61">
        <w:rPr>
          <w:i/>
        </w:rPr>
        <w:t xml:space="preserve">in vitro </w:t>
      </w:r>
      <w:r w:rsidRPr="001B0D61">
        <w:t xml:space="preserve">fokozza a CFTR-csatorna kapuzását, serkentve ezzel a kloridtranszportot olyan specifikus kapuzási mutációk fennállása esetén (felsorolásuk a 4.1 pontban található), amelyekben a normál CFTR-csatornához képest csökkent a csatorna nyitott állapotának előfordulási valószínűsége. Az ivakaftor az </w:t>
      </w:r>
      <w:r w:rsidRPr="001B0D61">
        <w:rPr>
          <w:i/>
        </w:rPr>
        <w:t xml:space="preserve">R117H-CFTR </w:t>
      </w:r>
      <w:r w:rsidRPr="001B0D61">
        <w:t xml:space="preserve">csatorna esetében – melynél a csatornanyitási valószínűség (kapuzás) és a csatornaáram amplitúdója (konduktancia) egyaránt csökkent – szintén fokozta a nyitott állapot előfordulási valószínűségét. A </w:t>
      </w:r>
      <w:r w:rsidRPr="001B0D61">
        <w:rPr>
          <w:i/>
        </w:rPr>
        <w:t>G970R</w:t>
      </w:r>
      <w:r w:rsidRPr="001B0D61">
        <w:t>-mutáció olyan hasítási („splicing”) defektust okoz, melynek eredményeként a CFTR protein kis mennyiségben vagy egyáltalán nem található meg a sejtfelszínen, ami magyarázhatja a 770-111. vizsgálatban az adott mutációt hordozó vizsgált személyeknél megfigyelt eredményeket (lásd: „Farmakodinámiás hatások” és „Klinikai hatásosság és biztonságosság”).</w:t>
      </w:r>
    </w:p>
    <w:p w14:paraId="2FEF67F5" w14:textId="77777777" w:rsidR="00EE208D" w:rsidRPr="001B0D61" w:rsidRDefault="00EE208D" w:rsidP="00EE208D"/>
    <w:p w14:paraId="0E73EC90" w14:textId="617EF8C7" w:rsidR="00EE208D" w:rsidRPr="001B0D61" w:rsidRDefault="00EE208D" w:rsidP="00EE208D">
      <w:r w:rsidRPr="001B0D61">
        <w:t xml:space="preserve">A CFTR mutáns formáit expresszáló, rágcsálóktól származó membránfoltok felhasználásával végzett egyes ioncsatornák patch clamp </w:t>
      </w:r>
      <w:r w:rsidR="00211C0F">
        <w:t xml:space="preserve">módszerrel végzett </w:t>
      </w:r>
      <w:r w:rsidRPr="001B0D61">
        <w:t xml:space="preserve">vizsgálatai során észlelt </w:t>
      </w:r>
      <w:r w:rsidRPr="001B0D61">
        <w:rPr>
          <w:i/>
        </w:rPr>
        <w:t xml:space="preserve">in vitro </w:t>
      </w:r>
      <w:r w:rsidRPr="001B0D61">
        <w:t xml:space="preserve">válaszok nem feltétlenül korrelálnak az </w:t>
      </w:r>
      <w:r w:rsidRPr="001B0D61">
        <w:rPr>
          <w:i/>
        </w:rPr>
        <w:t xml:space="preserve">in vivo </w:t>
      </w:r>
      <w:r w:rsidRPr="001B0D61">
        <w:t>farmakodinámiás válasszal (például a verejték kloridszintjével) vagy a klinikai előnnyel. A pontos mechanizmust, amely ebben a rendszerben a normál és néhány mutáns CFTR forma kapuzási aktivitásának potencírozásához vezet, nem sikerült teljesen tisztázni.</w:t>
      </w:r>
    </w:p>
    <w:p w14:paraId="1046F987" w14:textId="77777777" w:rsidR="00EE208D" w:rsidRPr="001B0D61" w:rsidRDefault="00EE208D" w:rsidP="00EE208D"/>
    <w:p w14:paraId="0DDF5FC7" w14:textId="77777777" w:rsidR="00EE208D" w:rsidRPr="001B0D61" w:rsidRDefault="00EE208D" w:rsidP="00EE208D">
      <w:r w:rsidRPr="001B0D61">
        <w:rPr>
          <w:u w:val="single"/>
        </w:rPr>
        <w:t>Farmakodinámiás hatások</w:t>
      </w:r>
    </w:p>
    <w:p w14:paraId="4D69FD74" w14:textId="77777777" w:rsidR="00EE208D" w:rsidRPr="001B0D61" w:rsidRDefault="00EE208D" w:rsidP="00EE208D"/>
    <w:p w14:paraId="762D32C3" w14:textId="4A8A8901" w:rsidR="00EE208D" w:rsidRPr="001B0D61" w:rsidRDefault="00EE208D" w:rsidP="00EE208D">
      <w:pPr>
        <w:rPr>
          <w:i/>
        </w:rPr>
      </w:pPr>
      <w:r w:rsidRPr="001B0D61">
        <w:rPr>
          <w:i/>
        </w:rPr>
        <w:t>Ivakaftor monoterápi</w:t>
      </w:r>
      <w:r w:rsidR="00484918">
        <w:rPr>
          <w:i/>
        </w:rPr>
        <w:t>ában</w:t>
      </w:r>
    </w:p>
    <w:p w14:paraId="3F016B0F" w14:textId="77777777" w:rsidR="00EE208D" w:rsidRPr="001B0D61" w:rsidRDefault="00EE208D" w:rsidP="00EE208D">
      <w:pPr>
        <w:rPr>
          <w:i/>
        </w:rPr>
      </w:pPr>
    </w:p>
    <w:p w14:paraId="347500FB" w14:textId="77777777" w:rsidR="00EE208D" w:rsidRPr="001B0D61" w:rsidRDefault="00EE208D" w:rsidP="00EE208D">
      <w:r w:rsidRPr="001B0D61">
        <w:t xml:space="preserve">A </w:t>
      </w:r>
      <w:r w:rsidRPr="001B0D61">
        <w:rPr>
          <w:i/>
        </w:rPr>
        <w:t>CFTR</w:t>
      </w:r>
      <w:r w:rsidRPr="001B0D61">
        <w:t xml:space="preserve">-gén egyik alléljén </w:t>
      </w:r>
      <w:r w:rsidRPr="001B0D61">
        <w:rPr>
          <w:i/>
        </w:rPr>
        <w:t>G551D</w:t>
      </w:r>
      <w:r w:rsidRPr="001B0D61">
        <w:t>-mutációval rendelkező betegek bevonásával végzett 770-102. és 770-103. vizsgálat során az ivakaftor a verejték kloridkoncentrációjának gyors (15 nap), jelentős (a verejték kloridszintjében a kiindulási értékhez képest a 24 hét során bekövetkezett átlagos változás -48 mmol/l [95%-os CI -51, -45], illetve -54 mmol/l [95%-os CI -62, -47]) és tartós (48 héten át fennálló) csökkenését eredményezte.</w:t>
      </w:r>
    </w:p>
    <w:p w14:paraId="07B3718E" w14:textId="77777777" w:rsidR="00EE208D" w:rsidRPr="001B0D61" w:rsidRDefault="00EE208D" w:rsidP="00EE208D"/>
    <w:p w14:paraId="0A181C4C" w14:textId="77777777" w:rsidR="00EE208D" w:rsidRPr="001B0D61" w:rsidRDefault="00EE208D" w:rsidP="00EE208D">
      <w:r w:rsidRPr="001B0D61">
        <w:t xml:space="preserve">A </w:t>
      </w:r>
      <w:r w:rsidRPr="001B0D61">
        <w:rPr>
          <w:i/>
        </w:rPr>
        <w:t>CFTR</w:t>
      </w:r>
      <w:r w:rsidRPr="001B0D61">
        <w:t>-génen egy non-</w:t>
      </w:r>
      <w:r w:rsidRPr="001B0D61">
        <w:rPr>
          <w:i/>
        </w:rPr>
        <w:t xml:space="preserve">G551D </w:t>
      </w:r>
      <w:r w:rsidRPr="001B0D61">
        <w:t>kapuzási mutációt hordozó betegek bevonásával végzett 770-111. vizsgálat 1. része során az ivakaftorral végzett kezelés gyors (15 nap) és jelentős, -49 mmol/l-es (95%</w:t>
      </w:r>
      <w:r w:rsidRPr="001B0D61">
        <w:noBreakHyphen/>
        <w:t xml:space="preserve">os CI -57, -41) átlagos változást idézett elő a verejték kloridszintjében a kiindulási értékhez képest a 8 hetes kezelés során. Ugyanakkor a </w:t>
      </w:r>
      <w:r w:rsidRPr="001B0D61">
        <w:rPr>
          <w:i/>
        </w:rPr>
        <w:t>G970R</w:t>
      </w:r>
      <w:r w:rsidRPr="001B0D61">
        <w:t>-</w:t>
      </w:r>
      <w:r w:rsidRPr="001B0D61">
        <w:rPr>
          <w:i/>
        </w:rPr>
        <w:t xml:space="preserve">CFTR </w:t>
      </w:r>
      <w:r w:rsidRPr="001B0D61">
        <w:t>mutációval rendelkező betegeknél -6,25 (6,55) mmol/l volt az átlagos (SD) abszolút változás a verejték kloridszintjében a 8. héten. A vizsgálat 2. részében az 1. részhez hasonló eredményeket tapasztaltak. A 4. heti utánkövetési viziten (4 héttel az ivakaftor adagolásának befejezését követően) a verejték átlagos kloridértékei valamennyi csoportban a kezelés előtti szintek felé közelítettek.</w:t>
      </w:r>
    </w:p>
    <w:p w14:paraId="5A023C91" w14:textId="77777777" w:rsidR="00EE208D" w:rsidRPr="001B0D61" w:rsidRDefault="00EE208D" w:rsidP="00EE208D"/>
    <w:p w14:paraId="22DA5FEB" w14:textId="77777777" w:rsidR="00EE208D" w:rsidRPr="001B0D61" w:rsidRDefault="00EE208D" w:rsidP="00EE208D">
      <w:r w:rsidRPr="001B0D61">
        <w:t xml:space="preserve">A 770-110. vizsgálatban, amelyet olyan 6 éves és idősebb, CF-ben szenvedő betegek bevonásával végeztek, akik </w:t>
      </w:r>
      <w:r w:rsidRPr="001B0D61">
        <w:rPr>
          <w:i/>
        </w:rPr>
        <w:t>R117H</w:t>
      </w:r>
      <w:r w:rsidRPr="001B0D61">
        <w:t xml:space="preserve">-mutációt hordoztak a </w:t>
      </w:r>
      <w:r w:rsidRPr="001B0D61">
        <w:rPr>
          <w:i/>
        </w:rPr>
        <w:t>CFTR</w:t>
      </w:r>
      <w:r w:rsidRPr="001B0D61">
        <w:t>-génen, a verejték kloridszintjében a kiindulási értékhez képest a kezelés 24. hetére bekövetkezett átlagos változás tekintetében -24 mmol/l (95%-os CI -28, -20) volt a kezelések közötti különbség. Az életkor szerinti alcsoportokban végzett elemzések során a kezelések közötti különbség -21,87 mmol/l (95%-os CI: -26,46; -17,28) volt a 18 éves és ennél idősebb betegeknél, illetve -27,63 mmol/l (95%-os CI: -37,16; -18,10) a 6-11 éves betegek esetében. Ebbe a vizsgálatba két 12-17 éves beteget vontak be.</w:t>
      </w:r>
    </w:p>
    <w:p w14:paraId="2E9E7AA9" w14:textId="77777777" w:rsidR="00EE208D" w:rsidRPr="001B0D61" w:rsidRDefault="00EE208D" w:rsidP="00EE208D"/>
    <w:p w14:paraId="6B442BCB" w14:textId="77777777" w:rsidR="000F1696" w:rsidRPr="001B0D61" w:rsidRDefault="000F1696" w:rsidP="00EE208D"/>
    <w:p w14:paraId="10D47964" w14:textId="77777777" w:rsidR="00EE208D" w:rsidRPr="001B0D61" w:rsidRDefault="00EE208D" w:rsidP="00EE208D">
      <w:r w:rsidRPr="001B0D61">
        <w:rPr>
          <w:u w:val="single"/>
        </w:rPr>
        <w:t>Klinikai hatásosság és biztonságosság</w:t>
      </w:r>
    </w:p>
    <w:p w14:paraId="4241BC8E" w14:textId="77777777" w:rsidR="00EE208D" w:rsidRPr="001B0D61" w:rsidRDefault="00EE208D" w:rsidP="00EE208D"/>
    <w:p w14:paraId="6EEB7B82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Ivakaftor monoterápia formájában</w:t>
      </w:r>
    </w:p>
    <w:p w14:paraId="5AEE27F4" w14:textId="77777777" w:rsidR="00EE208D" w:rsidRPr="001B0D61" w:rsidRDefault="00EE208D" w:rsidP="00EE208D">
      <w:pPr>
        <w:rPr>
          <w:i/>
        </w:rPr>
      </w:pPr>
    </w:p>
    <w:p w14:paraId="7D7FB40C" w14:textId="77777777" w:rsidR="00EE208D" w:rsidRPr="001B0D61" w:rsidRDefault="00EE208D" w:rsidP="00EE208D">
      <w:pPr>
        <w:rPr>
          <w:i/>
        </w:rPr>
      </w:pPr>
      <w:r w:rsidRPr="001B0D61">
        <w:rPr>
          <w:i/>
          <w:u w:val="single"/>
        </w:rPr>
        <w:t>770-102. és 770-103. vizsgálat: G551D kapuzási mutációkat hordozó, CF-ban szenvedő betegek</w:t>
      </w:r>
    </w:p>
    <w:p w14:paraId="272B2C98" w14:textId="77777777" w:rsidR="00EE208D" w:rsidRPr="001B0D61" w:rsidRDefault="00EE208D" w:rsidP="00EE208D">
      <w:pPr>
        <w:rPr>
          <w:i/>
        </w:rPr>
      </w:pPr>
    </w:p>
    <w:p w14:paraId="3E5A7CFD" w14:textId="6A1D3672" w:rsidR="00EE208D" w:rsidRPr="001B0D61" w:rsidRDefault="00EE208D" w:rsidP="00EE208D">
      <w:r w:rsidRPr="001B0D61">
        <w:t>Az ivakaftor hatásosságát két III. fázisú, randomizált, kettős</w:t>
      </w:r>
      <w:r w:rsidR="00B64176">
        <w:t xml:space="preserve"> </w:t>
      </w:r>
      <w:r w:rsidRPr="001B0D61">
        <w:t xml:space="preserve">vak, placebokontrollos, multicentrikus vizsgálat során értékelték CF-ban szenvedő, klinikailag stabil </w:t>
      </w:r>
      <w:r w:rsidR="00484918">
        <w:t xml:space="preserve">állapotú </w:t>
      </w:r>
      <w:r w:rsidRPr="001B0D61">
        <w:t xml:space="preserve">betegek esetében, akik a </w:t>
      </w:r>
      <w:r w:rsidRPr="001B0D61">
        <w:rPr>
          <w:i/>
        </w:rPr>
        <w:t>CFTR</w:t>
      </w:r>
      <w:r w:rsidRPr="001B0D61">
        <w:t xml:space="preserve">-gén legalább egyik alléljén </w:t>
      </w:r>
      <w:r w:rsidRPr="001B0D61">
        <w:rPr>
          <w:i/>
        </w:rPr>
        <w:t>G551D</w:t>
      </w:r>
      <w:r w:rsidRPr="001B0D61">
        <w:t>-mutációval rendelkeztek, és a FEV</w:t>
      </w:r>
      <w:r w:rsidRPr="001B0D61">
        <w:rPr>
          <w:vertAlign w:val="subscript"/>
        </w:rPr>
        <w:t>1</w:t>
      </w:r>
      <w:r w:rsidRPr="001B0D61">
        <w:t>-értékük a várt értéknek legalább 40%-a volt.</w:t>
      </w:r>
    </w:p>
    <w:p w14:paraId="3079D179" w14:textId="77777777" w:rsidR="00EE208D" w:rsidRPr="001B0D61" w:rsidRDefault="00EE208D" w:rsidP="00EE208D"/>
    <w:p w14:paraId="4C65E772" w14:textId="77777777" w:rsidR="00EE208D" w:rsidRPr="001B0D61" w:rsidRDefault="00EE208D" w:rsidP="00EE208D">
      <w:r w:rsidRPr="001B0D61">
        <w:t>A betegeket mindkét vizsgálatban 1:1 arányban randomizálták az előírt CF-terápia (például tobramicin, dornáz-alfa) mellett 150 mg ivakaftor vagy placebo 12 óránként, 48 héten át történő alkalmazására, zsírtartalmú étel fogyasztása közben bevéve. Hipertóniás nátrium-klorid inhalálása nem volt megengedett.</w:t>
      </w:r>
    </w:p>
    <w:p w14:paraId="7C6CEE1B" w14:textId="77777777" w:rsidR="00EE208D" w:rsidRPr="001B0D61" w:rsidRDefault="00EE208D" w:rsidP="00EE208D"/>
    <w:p w14:paraId="79F77F03" w14:textId="77777777" w:rsidR="00EE208D" w:rsidRPr="001B0D61" w:rsidRDefault="00EE208D" w:rsidP="00EE208D">
      <w:r w:rsidRPr="001B0D61">
        <w:t xml:space="preserve">A 770-102. vizsgálatban 161, 12 éves és idősebb beteget értékeltek: 122 betegnél (75,8%) állt fenn </w:t>
      </w:r>
      <w:r w:rsidRPr="001B0D61">
        <w:rPr>
          <w:i/>
        </w:rPr>
        <w:t>F508del</w:t>
      </w:r>
      <w:r w:rsidRPr="001B0D61">
        <w:t>-mutáció a második allélen. A vizsgálat kezdetén a placebocsoport betegei bizonyos gyógyszereket nagyobb gyakorisággal alkalmaztak, mint az ivakaftor-csoportban. Ezen gyógyszerek közé tartozott a domáz-alfa (73,1%, illetve 65,1%), a szalbutamol (53,8%, illetve 42,2%), a tobramicin (44,9%, illetve 33,7%) és a szalmeterol/flutikazon (41,0%, illetve 27,7%). A vizsgálat kezdetén az átlagos várt FEV</w:t>
      </w:r>
      <w:r w:rsidRPr="001B0D61">
        <w:rPr>
          <w:vertAlign w:val="subscript"/>
        </w:rPr>
        <w:t>1</w:t>
      </w:r>
      <w:r w:rsidRPr="001B0D61">
        <w:t>-érték 63,6% (tartomány: 31,6%–98,2%), az átlagos életkor pedig 26 év (tartomány: 12–53 év) volt.</w:t>
      </w:r>
    </w:p>
    <w:p w14:paraId="26D08403" w14:textId="77777777" w:rsidR="00EE208D" w:rsidRPr="001B0D61" w:rsidRDefault="00EE208D" w:rsidP="00EE208D"/>
    <w:p w14:paraId="28652C8D" w14:textId="77777777" w:rsidR="00EE208D" w:rsidRPr="001B0D61" w:rsidRDefault="00EE208D" w:rsidP="00EE208D">
      <w:r w:rsidRPr="001B0D61">
        <w:t xml:space="preserve">A 770-103. vizsgálatban 52 beteget értékeltek, akik a szűréskor 6 és 11 év között voltak. Az átlagos (SD) testtömeg 30,9 (8,63) kg volt, 42 betegnél (80,8%) volt </w:t>
      </w:r>
      <w:r w:rsidRPr="001B0D61">
        <w:rPr>
          <w:i/>
        </w:rPr>
        <w:t>F508del</w:t>
      </w:r>
      <w:r w:rsidRPr="001B0D61">
        <w:t>-mutáció a második allélen. A vizsgálat kezdetén az átlagos várt FEV</w:t>
      </w:r>
      <w:r w:rsidRPr="001B0D61">
        <w:rPr>
          <w:vertAlign w:val="subscript"/>
        </w:rPr>
        <w:t>1</w:t>
      </w:r>
      <w:r w:rsidRPr="001B0D61">
        <w:t>-érték 84,2% (tartomány: 44,0%–133,8%), az átlagos életkor pedig 9 év volt (tartomány: 6–12 év). A placebocsoportban 8 beteg (30,8%), az ivakaftor-csoportban pedig 4 beteg (15,4%) rendelkezett a vizsgálat kezdetén a várt érték 70%-a alatti FEV</w:t>
      </w:r>
      <w:r w:rsidRPr="001B0D61">
        <w:rPr>
          <w:vertAlign w:val="subscript"/>
        </w:rPr>
        <w:t>1</w:t>
      </w:r>
      <w:r w:rsidRPr="001B0D61">
        <w:t>-értékkel.</w:t>
      </w:r>
    </w:p>
    <w:p w14:paraId="4C6ADF4F" w14:textId="77777777" w:rsidR="00EE208D" w:rsidRPr="001B0D61" w:rsidRDefault="00EE208D" w:rsidP="00EE208D"/>
    <w:p w14:paraId="3B05BB7B" w14:textId="77777777" w:rsidR="00EE208D" w:rsidRPr="001B0D61" w:rsidRDefault="00EE208D" w:rsidP="00EE208D">
      <w:r w:rsidRPr="001B0D61">
        <w:t>Az elsődleges hatásossági végpont mindkét vizsgálatban a várt FEV</w:t>
      </w:r>
      <w:r w:rsidRPr="001B0D61">
        <w:rPr>
          <w:vertAlign w:val="subscript"/>
        </w:rPr>
        <w:t>1</w:t>
      </w:r>
      <w:r w:rsidRPr="001B0D61">
        <w:t xml:space="preserve"> százalékos értékében a 24 hetes kezelés során a kiindulási értékhez képest bekövetkezett átlagos abszolút változás volt.</w:t>
      </w:r>
    </w:p>
    <w:p w14:paraId="65F63918" w14:textId="77777777" w:rsidR="00EE208D" w:rsidRPr="001B0D61" w:rsidRDefault="00EE208D" w:rsidP="00EE208D"/>
    <w:p w14:paraId="31F93EA3" w14:textId="77777777" w:rsidR="00EE208D" w:rsidRPr="001B0D61" w:rsidRDefault="00EE208D" w:rsidP="00EE208D">
      <w:r w:rsidRPr="001B0D61">
        <w:t>Az ivakaftor és a placebo között a várt FEV</w:t>
      </w:r>
      <w:r w:rsidRPr="001B0D61">
        <w:rPr>
          <w:vertAlign w:val="subscript"/>
        </w:rPr>
        <w:t>1</w:t>
      </w:r>
      <w:r w:rsidRPr="001B0D61">
        <w:t xml:space="preserve"> százalékos értékében a kiindulási értékhez képest 24 hét alatt bekövetkezett átlagos abszolút változás tekintetében a kezelési különbség (95%-os CI) 10,6 százalékpont (8,6; 12,6) volt a 770-102. vizsgálatban és 12,5 százalékpont (6,6; 18,3) a 770-103. vizsgálatban. Az ivakaftor és a placebo között a várt FEV</w:t>
      </w:r>
      <w:r w:rsidRPr="001B0D61">
        <w:rPr>
          <w:vertAlign w:val="subscript"/>
        </w:rPr>
        <w:t>1</w:t>
      </w:r>
      <w:r w:rsidRPr="001B0D61">
        <w:t xml:space="preserve"> százalékos értékében 24 hét alatt a kiindulási értékhez képest bekövetkezett átlagos relatív változás tekintetében a kezelési különbség (95%-os CI) 17,1% (13,9; 20,2) volt a 770-102. vizsgálatban és 15,8% (8,4; 23,2) a 770-103. vizsgálatban. A FEV</w:t>
      </w:r>
      <w:r w:rsidRPr="001B0D61">
        <w:rPr>
          <w:vertAlign w:val="subscript"/>
        </w:rPr>
        <w:t>1</w:t>
      </w:r>
      <w:r w:rsidRPr="001B0D61">
        <w:t>-ben (l) a 24 hét során a kiindulási értékhez képest bekövetkezett átlagos változás a 770-102. vizsgálatban 0,37 l volt az ivakaftor-csoportban és 0,01 l a placebo csoportban, a 770-103. vizsgálatban pedig 0,30 l volt az ivakaftor-csoportban és 0,07 l a placebocsoportban. A FEV</w:t>
      </w:r>
      <w:r w:rsidRPr="001B0D61">
        <w:rPr>
          <w:vertAlign w:val="subscript"/>
        </w:rPr>
        <w:t>1</w:t>
      </w:r>
      <w:r w:rsidRPr="001B0D61">
        <w:t>-ben bekövetkezett javulás mindkét vizsgálatban gyors kezdetű volt (15. nap), és 48 héten át fennmaradt.</w:t>
      </w:r>
    </w:p>
    <w:p w14:paraId="41E4C2CA" w14:textId="77777777" w:rsidR="00EE208D" w:rsidRPr="001B0D61" w:rsidRDefault="00EE208D" w:rsidP="00EE208D"/>
    <w:p w14:paraId="0011957B" w14:textId="2EC69312" w:rsidR="00EE208D" w:rsidRPr="001B0D61" w:rsidRDefault="00EE208D" w:rsidP="00EE208D">
      <w:r w:rsidRPr="001B0D61">
        <w:t>A 770-102. vizsgálatban a 12–17 éves betegeknél az ivakaftor és a placebo közötti kezelési kül</w:t>
      </w:r>
      <w:r w:rsidR="00484918">
        <w:t>ö</w:t>
      </w:r>
      <w:r w:rsidRPr="001B0D61">
        <w:t>nbség (95%-os CI) a várt FEV</w:t>
      </w:r>
      <w:r w:rsidRPr="001B0D61">
        <w:rPr>
          <w:vertAlign w:val="subscript"/>
        </w:rPr>
        <w:t>1</w:t>
      </w:r>
      <w:r w:rsidRPr="001B0D61">
        <w:t xml:space="preserve"> százalékos értékében a kiindulási értéktől a 24. hétig bekövetkezett átlagos abszolút változás tekintetében 11,9 százalékpont volt (5,9; 17,9). A 770-103. vizsgálatban a vizsgálat kezdetén 90%-ot meghaladó várt FEV</w:t>
      </w:r>
      <w:r w:rsidRPr="001B0D61">
        <w:rPr>
          <w:vertAlign w:val="subscript"/>
        </w:rPr>
        <w:t>1</w:t>
      </w:r>
      <w:r w:rsidRPr="001B0D61">
        <w:t>-értékkel rendelkező betegeknél az ivakaftor és a placebo közötti kezelési különbség (95%-os CI) a várt FEV</w:t>
      </w:r>
      <w:r w:rsidRPr="001B0D61">
        <w:rPr>
          <w:vertAlign w:val="subscript"/>
        </w:rPr>
        <w:t>1</w:t>
      </w:r>
      <w:r w:rsidRPr="001B0D61">
        <w:t xml:space="preserve"> százalékos értékében a kiindulási értéktől</w:t>
      </w:r>
      <w:r w:rsidRPr="001B0D61">
        <w:rPr>
          <w:spacing w:val="-27"/>
        </w:rPr>
        <w:t xml:space="preserve"> </w:t>
      </w:r>
      <w:r w:rsidRPr="001B0D61">
        <w:t>a 24.</w:t>
      </w:r>
      <w:r w:rsidRPr="001B0D61">
        <w:rPr>
          <w:spacing w:val="-5"/>
        </w:rPr>
        <w:t xml:space="preserve"> </w:t>
      </w:r>
      <w:r w:rsidRPr="001B0D61">
        <w:t>hétig</w:t>
      </w:r>
      <w:r w:rsidRPr="001B0D61">
        <w:rPr>
          <w:spacing w:val="-5"/>
        </w:rPr>
        <w:t xml:space="preserve"> </w:t>
      </w:r>
      <w:r w:rsidRPr="001B0D61">
        <w:t>bekövetkezett</w:t>
      </w:r>
      <w:r w:rsidRPr="001B0D61">
        <w:rPr>
          <w:spacing w:val="-4"/>
        </w:rPr>
        <w:t xml:space="preserve"> </w:t>
      </w:r>
      <w:r w:rsidRPr="001B0D61">
        <w:t>átlagos</w:t>
      </w:r>
      <w:r w:rsidRPr="001B0D61">
        <w:rPr>
          <w:spacing w:val="-5"/>
        </w:rPr>
        <w:t xml:space="preserve"> </w:t>
      </w:r>
      <w:r w:rsidRPr="001B0D61">
        <w:t>abszolút</w:t>
      </w:r>
      <w:r w:rsidRPr="001B0D61">
        <w:rPr>
          <w:spacing w:val="-4"/>
        </w:rPr>
        <w:t xml:space="preserve"> </w:t>
      </w:r>
      <w:r w:rsidRPr="001B0D61">
        <w:t>változás</w:t>
      </w:r>
      <w:r w:rsidRPr="001B0D61">
        <w:rPr>
          <w:spacing w:val="-5"/>
        </w:rPr>
        <w:t xml:space="preserve"> </w:t>
      </w:r>
      <w:r w:rsidRPr="001B0D61">
        <w:t>tekintetében</w:t>
      </w:r>
      <w:r w:rsidRPr="001B0D61">
        <w:rPr>
          <w:spacing w:val="-4"/>
        </w:rPr>
        <w:t xml:space="preserve"> </w:t>
      </w:r>
      <w:r w:rsidRPr="001B0D61">
        <w:t>6,9</w:t>
      </w:r>
      <w:r w:rsidRPr="001B0D61">
        <w:rPr>
          <w:spacing w:val="-4"/>
        </w:rPr>
        <w:t> </w:t>
      </w:r>
      <w:r w:rsidRPr="001B0D61">
        <w:t>százalékpont</w:t>
      </w:r>
      <w:r w:rsidRPr="001B0D61">
        <w:rPr>
          <w:spacing w:val="-4"/>
        </w:rPr>
        <w:t xml:space="preserve"> </w:t>
      </w:r>
      <w:r w:rsidRPr="001B0D61">
        <w:t>volt</w:t>
      </w:r>
      <w:r w:rsidRPr="001B0D61">
        <w:rPr>
          <w:spacing w:val="-4"/>
        </w:rPr>
        <w:t xml:space="preserve"> </w:t>
      </w:r>
      <w:r w:rsidRPr="001B0D61">
        <w:t>(-3,8;</w:t>
      </w:r>
      <w:r w:rsidRPr="001B0D61">
        <w:rPr>
          <w:spacing w:val="-4"/>
        </w:rPr>
        <w:t xml:space="preserve"> </w:t>
      </w:r>
      <w:r w:rsidRPr="001B0D61">
        <w:t>17,6).</w:t>
      </w:r>
    </w:p>
    <w:p w14:paraId="3DA037D8" w14:textId="77777777" w:rsidR="00EE208D" w:rsidRPr="001B0D61" w:rsidRDefault="00EE208D" w:rsidP="00EE208D"/>
    <w:p w14:paraId="468B4119" w14:textId="380B2F1A" w:rsidR="00EE208D" w:rsidRPr="001B0D61" w:rsidRDefault="00EE208D" w:rsidP="00EE208D">
      <w:r w:rsidRPr="001B0D61">
        <w:t xml:space="preserve">A klinikailag lényeges másodlagos végpontokra vonatkozó eredményeket a </w:t>
      </w:r>
      <w:r w:rsidR="00282656">
        <w:t>6</w:t>
      </w:r>
      <w:r w:rsidRPr="001B0D61">
        <w:t>. táblázat mutatja be.</w:t>
      </w:r>
    </w:p>
    <w:p w14:paraId="674D2536" w14:textId="233955A5" w:rsidR="00EE208D" w:rsidRDefault="00EE208D" w:rsidP="00EE208D"/>
    <w:p w14:paraId="699769B0" w14:textId="1D6F1F53" w:rsidR="00A4794D" w:rsidRDefault="00A4794D" w:rsidP="00EE208D"/>
    <w:p w14:paraId="4B11874C" w14:textId="77777777" w:rsidR="00A4794D" w:rsidRDefault="00A4794D" w:rsidP="00EE208D"/>
    <w:p w14:paraId="7B08590D" w14:textId="19758259" w:rsidR="00AE0C3D" w:rsidRPr="001B0D61" w:rsidRDefault="00282656" w:rsidP="00AE0C3D">
      <w:pPr>
        <w:rPr>
          <w:b/>
          <w:bCs/>
        </w:rPr>
      </w:pPr>
      <w:r>
        <w:rPr>
          <w:b/>
          <w:bCs/>
        </w:rPr>
        <w:t>6</w:t>
      </w:r>
      <w:r w:rsidR="00AE0C3D" w:rsidRPr="001B0D61">
        <w:rPr>
          <w:b/>
          <w:bCs/>
        </w:rPr>
        <w:t>. táblázat: Az ivakaftor hatása a 770-102. és 770-103. vizsgálat egyéb hatásossági végpontjaira</w:t>
      </w:r>
    </w:p>
    <w:p w14:paraId="0A4D4A8D" w14:textId="77777777" w:rsidR="00AE0C3D" w:rsidRPr="001B0D61" w:rsidRDefault="00AE0C3D" w:rsidP="00AE0C3D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4"/>
        <w:gridCol w:w="1809"/>
        <w:gridCol w:w="1307"/>
        <w:gridCol w:w="1810"/>
        <w:gridCol w:w="1362"/>
      </w:tblGrid>
      <w:tr w:rsidR="00AE0C3D" w:rsidRPr="001B0D61" w14:paraId="3C127482" w14:textId="77777777" w:rsidTr="008D1E93">
        <w:trPr>
          <w:trHeight w:val="252"/>
        </w:trPr>
        <w:tc>
          <w:tcPr>
            <w:tcW w:w="2784" w:type="dxa"/>
          </w:tcPr>
          <w:p w14:paraId="5231BC64" w14:textId="77777777" w:rsidR="00AE0C3D" w:rsidRPr="001D3544" w:rsidRDefault="00AE0C3D" w:rsidP="008D1E93">
            <w:pPr>
              <w:keepNext/>
              <w:widowControl/>
              <w:rPr>
                <w:b/>
                <w:bCs/>
                <w:lang w:val="hu-HU"/>
              </w:rPr>
            </w:pPr>
          </w:p>
        </w:tc>
        <w:tc>
          <w:tcPr>
            <w:tcW w:w="3116" w:type="dxa"/>
            <w:gridSpan w:val="2"/>
          </w:tcPr>
          <w:p w14:paraId="591538DF" w14:textId="77777777" w:rsidR="00AE0C3D" w:rsidRPr="001D3544" w:rsidRDefault="00AE0C3D" w:rsidP="008D1E93">
            <w:pPr>
              <w:keepNext/>
              <w:widowControl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770-102. vizsgálat</w:t>
            </w:r>
          </w:p>
        </w:tc>
        <w:tc>
          <w:tcPr>
            <w:tcW w:w="3172" w:type="dxa"/>
            <w:gridSpan w:val="2"/>
          </w:tcPr>
          <w:p w14:paraId="1E33961C" w14:textId="77777777" w:rsidR="00AE0C3D" w:rsidRPr="001D3544" w:rsidRDefault="00AE0C3D" w:rsidP="008D1E93">
            <w:pPr>
              <w:keepNext/>
              <w:widowControl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770-103. vizsgálat</w:t>
            </w:r>
          </w:p>
        </w:tc>
      </w:tr>
      <w:tr w:rsidR="00AE0C3D" w:rsidRPr="001B0D61" w14:paraId="62113813" w14:textId="77777777" w:rsidTr="008D1E93">
        <w:trPr>
          <w:trHeight w:val="496"/>
        </w:trPr>
        <w:tc>
          <w:tcPr>
            <w:tcW w:w="2784" w:type="dxa"/>
            <w:vAlign w:val="bottom"/>
          </w:tcPr>
          <w:p w14:paraId="2B0C6BE1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Végpont</w:t>
            </w:r>
          </w:p>
        </w:tc>
        <w:tc>
          <w:tcPr>
            <w:tcW w:w="1809" w:type="dxa"/>
            <w:vAlign w:val="bottom"/>
          </w:tcPr>
          <w:p w14:paraId="1693699D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 xml:space="preserve">Kezelési </w:t>
            </w:r>
            <w:r w:rsidRPr="001B0D61">
              <w:rPr>
                <w:b/>
                <w:bCs/>
                <w:w w:val="95"/>
                <w:lang w:val="hu-HU"/>
              </w:rPr>
              <w:t>különbség</w:t>
            </w:r>
            <w:r w:rsidRPr="001B0D61">
              <w:rPr>
                <w:b/>
                <w:bCs/>
                <w:w w:val="95"/>
                <w:vertAlign w:val="superscript"/>
                <w:lang w:val="hu-HU"/>
              </w:rPr>
              <w:t>a</w:t>
            </w:r>
          </w:p>
          <w:p w14:paraId="30475B77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(95%-os</w:t>
            </w:r>
            <w:r w:rsidRPr="001B0D61">
              <w:rPr>
                <w:b/>
                <w:bCs/>
                <w:spacing w:val="-7"/>
                <w:lang w:val="hu-HU"/>
              </w:rPr>
              <w:t xml:space="preserve"> </w:t>
            </w:r>
            <w:r w:rsidRPr="001B0D61">
              <w:rPr>
                <w:b/>
                <w:bCs/>
                <w:lang w:val="hu-HU"/>
              </w:rPr>
              <w:t>CI)</w:t>
            </w:r>
          </w:p>
        </w:tc>
        <w:tc>
          <w:tcPr>
            <w:tcW w:w="1307" w:type="dxa"/>
            <w:vAlign w:val="bottom"/>
          </w:tcPr>
          <w:p w14:paraId="3C8CBD3F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i/>
                <w:lang w:val="hu-HU"/>
              </w:rPr>
              <w:t>p</w:t>
            </w:r>
            <w:r w:rsidRPr="001B0D61">
              <w:rPr>
                <w:b/>
                <w:bCs/>
                <w:lang w:val="hu-HU"/>
              </w:rPr>
              <w:t>-érték</w:t>
            </w:r>
          </w:p>
        </w:tc>
        <w:tc>
          <w:tcPr>
            <w:tcW w:w="1810" w:type="dxa"/>
            <w:vAlign w:val="bottom"/>
          </w:tcPr>
          <w:p w14:paraId="7E44EBA1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 xml:space="preserve">Kezelési </w:t>
            </w:r>
            <w:r w:rsidRPr="001B0D61">
              <w:rPr>
                <w:b/>
                <w:bCs/>
                <w:w w:val="95"/>
                <w:lang w:val="hu-HU"/>
              </w:rPr>
              <w:t>különbség</w:t>
            </w:r>
            <w:r w:rsidRPr="001B0D61">
              <w:rPr>
                <w:b/>
                <w:bCs/>
                <w:w w:val="95"/>
                <w:vertAlign w:val="superscript"/>
                <w:lang w:val="hu-HU"/>
              </w:rPr>
              <w:t>a</w:t>
            </w:r>
          </w:p>
          <w:p w14:paraId="35108636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(95%-os</w:t>
            </w:r>
            <w:r w:rsidRPr="001B0D61">
              <w:rPr>
                <w:b/>
                <w:bCs/>
                <w:spacing w:val="-7"/>
                <w:lang w:val="hu-HU"/>
              </w:rPr>
              <w:t xml:space="preserve"> </w:t>
            </w:r>
            <w:r w:rsidRPr="001B0D61">
              <w:rPr>
                <w:b/>
                <w:bCs/>
                <w:lang w:val="hu-HU"/>
              </w:rPr>
              <w:t>CI)</w:t>
            </w:r>
          </w:p>
        </w:tc>
        <w:tc>
          <w:tcPr>
            <w:tcW w:w="1362" w:type="dxa"/>
            <w:vAlign w:val="bottom"/>
          </w:tcPr>
          <w:p w14:paraId="55F98FDF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i/>
                <w:lang w:val="hu-HU"/>
              </w:rPr>
              <w:t>p</w:t>
            </w:r>
            <w:r w:rsidRPr="001B0D61">
              <w:rPr>
                <w:b/>
                <w:bCs/>
                <w:lang w:val="hu-HU"/>
              </w:rPr>
              <w:t>-érték</w:t>
            </w:r>
          </w:p>
        </w:tc>
      </w:tr>
      <w:tr w:rsidR="00AE0C3D" w:rsidRPr="001B0D61" w14:paraId="440E96B6" w14:textId="77777777" w:rsidTr="008D1E93">
        <w:trPr>
          <w:trHeight w:val="505"/>
        </w:trPr>
        <w:tc>
          <w:tcPr>
            <w:tcW w:w="9072" w:type="dxa"/>
            <w:gridSpan w:val="5"/>
          </w:tcPr>
          <w:p w14:paraId="49A1177B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CFQ-R</w:t>
            </w:r>
            <w:r w:rsidRPr="001B0D61">
              <w:rPr>
                <w:b/>
                <w:bCs/>
                <w:vertAlign w:val="superscript"/>
                <w:lang w:val="hu-HU"/>
              </w:rPr>
              <w:t>b</w:t>
            </w:r>
            <w:r w:rsidRPr="001B0D61">
              <w:rPr>
                <w:b/>
                <w:bCs/>
                <w:position w:val="8"/>
                <w:lang w:val="hu-HU"/>
              </w:rPr>
              <w:t xml:space="preserve"> </w:t>
            </w:r>
            <w:r w:rsidRPr="001B0D61">
              <w:rPr>
                <w:b/>
                <w:bCs/>
                <w:lang w:val="hu-HU"/>
              </w:rPr>
              <w:t>légzőrendszeri domén pontszámban a kiindulási értékhez képest bekövetkezett átlagos abszolút változás (pontok)</w:t>
            </w:r>
            <w:r w:rsidRPr="001B0D61">
              <w:rPr>
                <w:b/>
                <w:bCs/>
                <w:vertAlign w:val="superscript"/>
                <w:lang w:val="hu-HU"/>
              </w:rPr>
              <w:t>c</w:t>
            </w:r>
          </w:p>
        </w:tc>
      </w:tr>
      <w:tr w:rsidR="00AE0C3D" w:rsidRPr="001B0D61" w14:paraId="427DE611" w14:textId="77777777" w:rsidTr="008D1E93">
        <w:trPr>
          <w:trHeight w:val="253"/>
        </w:trPr>
        <w:tc>
          <w:tcPr>
            <w:tcW w:w="2784" w:type="dxa"/>
            <w:tcBorders>
              <w:bottom w:val="nil"/>
            </w:tcBorders>
          </w:tcPr>
          <w:p w14:paraId="7EB89376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24. hétig</w:t>
            </w:r>
          </w:p>
        </w:tc>
        <w:tc>
          <w:tcPr>
            <w:tcW w:w="1809" w:type="dxa"/>
            <w:tcBorders>
              <w:bottom w:val="nil"/>
            </w:tcBorders>
          </w:tcPr>
          <w:p w14:paraId="09FE23C9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8,1</w:t>
            </w:r>
          </w:p>
        </w:tc>
        <w:tc>
          <w:tcPr>
            <w:tcW w:w="1307" w:type="dxa"/>
            <w:tcBorders>
              <w:bottom w:val="nil"/>
            </w:tcBorders>
          </w:tcPr>
          <w:p w14:paraId="75AF8AB1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&lt; 0,0001</w:t>
            </w:r>
          </w:p>
        </w:tc>
        <w:tc>
          <w:tcPr>
            <w:tcW w:w="1810" w:type="dxa"/>
            <w:tcBorders>
              <w:bottom w:val="nil"/>
            </w:tcBorders>
          </w:tcPr>
          <w:p w14:paraId="6A689CB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6,1</w:t>
            </w:r>
          </w:p>
        </w:tc>
        <w:tc>
          <w:tcPr>
            <w:tcW w:w="1362" w:type="dxa"/>
            <w:tcBorders>
              <w:bottom w:val="nil"/>
            </w:tcBorders>
          </w:tcPr>
          <w:p w14:paraId="4A51E2F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0,1092</w:t>
            </w:r>
          </w:p>
        </w:tc>
      </w:tr>
      <w:tr w:rsidR="00AE0C3D" w:rsidRPr="001B0D61" w14:paraId="6F4F6B07" w14:textId="77777777" w:rsidTr="008D1E93">
        <w:trPr>
          <w:trHeight w:val="248"/>
        </w:trPr>
        <w:tc>
          <w:tcPr>
            <w:tcW w:w="2784" w:type="dxa"/>
            <w:tcBorders>
              <w:top w:val="nil"/>
            </w:tcBorders>
          </w:tcPr>
          <w:p w14:paraId="72EFF210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7A26527C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(4,7; 11,4)</w:t>
            </w:r>
          </w:p>
        </w:tc>
        <w:tc>
          <w:tcPr>
            <w:tcW w:w="1307" w:type="dxa"/>
            <w:tcBorders>
              <w:top w:val="nil"/>
            </w:tcBorders>
          </w:tcPr>
          <w:p w14:paraId="2B3756DC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tcBorders>
              <w:top w:val="nil"/>
            </w:tcBorders>
          </w:tcPr>
          <w:p w14:paraId="050BFA7C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(-1,4; 13,5)</w:t>
            </w:r>
          </w:p>
        </w:tc>
        <w:tc>
          <w:tcPr>
            <w:tcW w:w="1362" w:type="dxa"/>
            <w:tcBorders>
              <w:top w:val="nil"/>
            </w:tcBorders>
          </w:tcPr>
          <w:p w14:paraId="3795223E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58A9477A" w14:textId="77777777" w:rsidTr="008D1E93">
        <w:trPr>
          <w:trHeight w:val="257"/>
        </w:trPr>
        <w:tc>
          <w:tcPr>
            <w:tcW w:w="2784" w:type="dxa"/>
            <w:tcBorders>
              <w:bottom w:val="nil"/>
            </w:tcBorders>
          </w:tcPr>
          <w:p w14:paraId="54C9E8D2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48. hétig</w:t>
            </w:r>
          </w:p>
        </w:tc>
        <w:tc>
          <w:tcPr>
            <w:tcW w:w="1809" w:type="dxa"/>
            <w:tcBorders>
              <w:bottom w:val="nil"/>
            </w:tcBorders>
          </w:tcPr>
          <w:p w14:paraId="60F5B51A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8,6</w:t>
            </w:r>
          </w:p>
        </w:tc>
        <w:tc>
          <w:tcPr>
            <w:tcW w:w="1307" w:type="dxa"/>
            <w:tcBorders>
              <w:bottom w:val="nil"/>
            </w:tcBorders>
          </w:tcPr>
          <w:p w14:paraId="4D31871A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&lt; 0,0001</w:t>
            </w:r>
          </w:p>
        </w:tc>
        <w:tc>
          <w:tcPr>
            <w:tcW w:w="1810" w:type="dxa"/>
            <w:tcBorders>
              <w:bottom w:val="nil"/>
            </w:tcBorders>
          </w:tcPr>
          <w:p w14:paraId="0018D66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5,1</w:t>
            </w:r>
          </w:p>
        </w:tc>
        <w:tc>
          <w:tcPr>
            <w:tcW w:w="1362" w:type="dxa"/>
            <w:tcBorders>
              <w:bottom w:val="nil"/>
            </w:tcBorders>
          </w:tcPr>
          <w:p w14:paraId="53E6CF3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0,1354</w:t>
            </w:r>
          </w:p>
        </w:tc>
      </w:tr>
      <w:tr w:rsidR="00AE0C3D" w:rsidRPr="001B0D61" w14:paraId="7979E0C1" w14:textId="77777777" w:rsidTr="008D1E93">
        <w:trPr>
          <w:trHeight w:val="248"/>
        </w:trPr>
        <w:tc>
          <w:tcPr>
            <w:tcW w:w="2784" w:type="dxa"/>
            <w:tcBorders>
              <w:top w:val="nil"/>
            </w:tcBorders>
          </w:tcPr>
          <w:p w14:paraId="71280582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2768458A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(5,3; 11,9)</w:t>
            </w:r>
          </w:p>
        </w:tc>
        <w:tc>
          <w:tcPr>
            <w:tcW w:w="1307" w:type="dxa"/>
            <w:tcBorders>
              <w:top w:val="nil"/>
            </w:tcBorders>
          </w:tcPr>
          <w:p w14:paraId="6640759B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tcBorders>
              <w:top w:val="nil"/>
            </w:tcBorders>
          </w:tcPr>
          <w:p w14:paraId="51EC972B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(-1,6; 11,8)</w:t>
            </w:r>
          </w:p>
        </w:tc>
        <w:tc>
          <w:tcPr>
            <w:tcW w:w="1362" w:type="dxa"/>
            <w:tcBorders>
              <w:top w:val="nil"/>
            </w:tcBorders>
          </w:tcPr>
          <w:p w14:paraId="7C7040FB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2D3313C3" w14:textId="77777777" w:rsidTr="008D1E93">
        <w:trPr>
          <w:trHeight w:val="252"/>
        </w:trPr>
        <w:tc>
          <w:tcPr>
            <w:tcW w:w="9072" w:type="dxa"/>
            <w:gridSpan w:val="5"/>
          </w:tcPr>
          <w:p w14:paraId="53B04AD1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pulmonalis exacerbatio relatív kockázata</w:t>
            </w:r>
          </w:p>
        </w:tc>
      </w:tr>
      <w:tr w:rsidR="00AE0C3D" w:rsidRPr="001B0D61" w14:paraId="5E4EACBE" w14:textId="77777777" w:rsidTr="008D1E93">
        <w:trPr>
          <w:trHeight w:val="252"/>
        </w:trPr>
        <w:tc>
          <w:tcPr>
            <w:tcW w:w="2784" w:type="dxa"/>
          </w:tcPr>
          <w:p w14:paraId="1B89DF88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24. hétig</w:t>
            </w:r>
          </w:p>
        </w:tc>
        <w:tc>
          <w:tcPr>
            <w:tcW w:w="1809" w:type="dxa"/>
          </w:tcPr>
          <w:p w14:paraId="13512705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0,40</w:t>
            </w:r>
            <w:r w:rsidRPr="001B0D61">
              <w:rPr>
                <w:vertAlign w:val="superscript"/>
                <w:lang w:val="hu-HU"/>
              </w:rPr>
              <w:t>c</w:t>
            </w:r>
          </w:p>
        </w:tc>
        <w:tc>
          <w:tcPr>
            <w:tcW w:w="1307" w:type="dxa"/>
          </w:tcPr>
          <w:p w14:paraId="2B52B0A7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0,0016</w:t>
            </w:r>
          </w:p>
        </w:tc>
        <w:tc>
          <w:tcPr>
            <w:tcW w:w="1810" w:type="dxa"/>
          </w:tcPr>
          <w:p w14:paraId="1E4FB53C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NA</w:t>
            </w:r>
          </w:p>
        </w:tc>
        <w:tc>
          <w:tcPr>
            <w:tcW w:w="1362" w:type="dxa"/>
          </w:tcPr>
          <w:p w14:paraId="72E88BF8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NA</w:t>
            </w:r>
          </w:p>
        </w:tc>
      </w:tr>
      <w:tr w:rsidR="00AE0C3D" w:rsidRPr="001B0D61" w14:paraId="35AC1AAE" w14:textId="77777777" w:rsidTr="008D1E93">
        <w:trPr>
          <w:trHeight w:val="253"/>
        </w:trPr>
        <w:tc>
          <w:tcPr>
            <w:tcW w:w="2784" w:type="dxa"/>
          </w:tcPr>
          <w:p w14:paraId="0B45D469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48. hétig</w:t>
            </w:r>
          </w:p>
        </w:tc>
        <w:tc>
          <w:tcPr>
            <w:tcW w:w="1809" w:type="dxa"/>
          </w:tcPr>
          <w:p w14:paraId="10F27C6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0,46</w:t>
            </w:r>
            <w:r w:rsidRPr="001B0D61">
              <w:rPr>
                <w:vertAlign w:val="superscript"/>
                <w:lang w:val="hu-HU"/>
              </w:rPr>
              <w:t>d</w:t>
            </w:r>
          </w:p>
        </w:tc>
        <w:tc>
          <w:tcPr>
            <w:tcW w:w="1307" w:type="dxa"/>
          </w:tcPr>
          <w:p w14:paraId="419ABD4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0,0012</w:t>
            </w:r>
          </w:p>
        </w:tc>
        <w:tc>
          <w:tcPr>
            <w:tcW w:w="1810" w:type="dxa"/>
          </w:tcPr>
          <w:p w14:paraId="685D1CEB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NA</w:t>
            </w:r>
          </w:p>
        </w:tc>
        <w:tc>
          <w:tcPr>
            <w:tcW w:w="1362" w:type="dxa"/>
          </w:tcPr>
          <w:p w14:paraId="572B5D6E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NA</w:t>
            </w:r>
          </w:p>
        </w:tc>
      </w:tr>
      <w:tr w:rsidR="00AE0C3D" w:rsidRPr="001B0D61" w14:paraId="578854D8" w14:textId="77777777" w:rsidTr="008D1E93">
        <w:trPr>
          <w:trHeight w:val="252"/>
        </w:trPr>
        <w:tc>
          <w:tcPr>
            <w:tcW w:w="9072" w:type="dxa"/>
            <w:gridSpan w:val="5"/>
          </w:tcPr>
          <w:p w14:paraId="26885742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testtömegben a kiindulási értékhez képest bekövetkezett átlagos abszolút változás (kg)</w:t>
            </w:r>
          </w:p>
        </w:tc>
      </w:tr>
      <w:tr w:rsidR="00AE0C3D" w:rsidRPr="001B0D61" w14:paraId="3596BC78" w14:textId="77777777" w:rsidTr="008D1E93">
        <w:trPr>
          <w:trHeight w:val="257"/>
        </w:trPr>
        <w:tc>
          <w:tcPr>
            <w:tcW w:w="2784" w:type="dxa"/>
            <w:tcBorders>
              <w:bottom w:val="nil"/>
            </w:tcBorders>
          </w:tcPr>
          <w:p w14:paraId="242BC274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24. héten</w:t>
            </w:r>
          </w:p>
        </w:tc>
        <w:tc>
          <w:tcPr>
            <w:tcW w:w="1809" w:type="dxa"/>
            <w:tcBorders>
              <w:bottom w:val="nil"/>
            </w:tcBorders>
          </w:tcPr>
          <w:p w14:paraId="3DCFA9C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2,8</w:t>
            </w:r>
          </w:p>
        </w:tc>
        <w:tc>
          <w:tcPr>
            <w:tcW w:w="1307" w:type="dxa"/>
            <w:tcBorders>
              <w:bottom w:val="nil"/>
            </w:tcBorders>
          </w:tcPr>
          <w:p w14:paraId="62B0A4EF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&lt; 0,0001</w:t>
            </w:r>
          </w:p>
        </w:tc>
        <w:tc>
          <w:tcPr>
            <w:tcW w:w="1810" w:type="dxa"/>
            <w:tcBorders>
              <w:bottom w:val="nil"/>
            </w:tcBorders>
          </w:tcPr>
          <w:p w14:paraId="2DB451C5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1,9</w:t>
            </w:r>
          </w:p>
        </w:tc>
        <w:tc>
          <w:tcPr>
            <w:tcW w:w="1362" w:type="dxa"/>
            <w:tcBorders>
              <w:bottom w:val="nil"/>
            </w:tcBorders>
          </w:tcPr>
          <w:p w14:paraId="79B1D073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0,0004</w:t>
            </w:r>
          </w:p>
        </w:tc>
      </w:tr>
      <w:tr w:rsidR="00AE0C3D" w:rsidRPr="001B0D61" w14:paraId="6B812430" w14:textId="77777777" w:rsidTr="008D1E93">
        <w:trPr>
          <w:trHeight w:val="248"/>
        </w:trPr>
        <w:tc>
          <w:tcPr>
            <w:tcW w:w="2784" w:type="dxa"/>
            <w:tcBorders>
              <w:top w:val="nil"/>
            </w:tcBorders>
          </w:tcPr>
          <w:p w14:paraId="72C928A0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2A286495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(1,8; 3,7)</w:t>
            </w:r>
          </w:p>
        </w:tc>
        <w:tc>
          <w:tcPr>
            <w:tcW w:w="1307" w:type="dxa"/>
            <w:tcBorders>
              <w:top w:val="nil"/>
            </w:tcBorders>
          </w:tcPr>
          <w:p w14:paraId="6AA775A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tcBorders>
              <w:top w:val="nil"/>
            </w:tcBorders>
          </w:tcPr>
          <w:p w14:paraId="355A6DFA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(0,9; 2,9)</w:t>
            </w:r>
          </w:p>
        </w:tc>
        <w:tc>
          <w:tcPr>
            <w:tcW w:w="1362" w:type="dxa"/>
            <w:tcBorders>
              <w:top w:val="nil"/>
            </w:tcBorders>
          </w:tcPr>
          <w:p w14:paraId="6939DA86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0C90C40C" w14:textId="77777777" w:rsidTr="008D1E93">
        <w:trPr>
          <w:trHeight w:val="257"/>
        </w:trPr>
        <w:tc>
          <w:tcPr>
            <w:tcW w:w="2784" w:type="dxa"/>
            <w:tcBorders>
              <w:bottom w:val="nil"/>
            </w:tcBorders>
          </w:tcPr>
          <w:p w14:paraId="545639A6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48. héten</w:t>
            </w:r>
          </w:p>
        </w:tc>
        <w:tc>
          <w:tcPr>
            <w:tcW w:w="1809" w:type="dxa"/>
            <w:tcBorders>
              <w:bottom w:val="nil"/>
            </w:tcBorders>
          </w:tcPr>
          <w:p w14:paraId="0AEE8B05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2,7</w:t>
            </w:r>
          </w:p>
        </w:tc>
        <w:tc>
          <w:tcPr>
            <w:tcW w:w="1307" w:type="dxa"/>
            <w:tcBorders>
              <w:bottom w:val="nil"/>
            </w:tcBorders>
          </w:tcPr>
          <w:p w14:paraId="7C580000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0,0001</w:t>
            </w:r>
          </w:p>
        </w:tc>
        <w:tc>
          <w:tcPr>
            <w:tcW w:w="1810" w:type="dxa"/>
            <w:tcBorders>
              <w:bottom w:val="nil"/>
            </w:tcBorders>
          </w:tcPr>
          <w:p w14:paraId="57050140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2,8</w:t>
            </w:r>
          </w:p>
        </w:tc>
        <w:tc>
          <w:tcPr>
            <w:tcW w:w="1362" w:type="dxa"/>
            <w:tcBorders>
              <w:bottom w:val="nil"/>
            </w:tcBorders>
          </w:tcPr>
          <w:p w14:paraId="760DDAD3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0,0002</w:t>
            </w:r>
          </w:p>
        </w:tc>
      </w:tr>
      <w:tr w:rsidR="00AE0C3D" w:rsidRPr="001B0D61" w14:paraId="5E940338" w14:textId="77777777" w:rsidTr="008D1E93">
        <w:trPr>
          <w:trHeight w:val="248"/>
        </w:trPr>
        <w:tc>
          <w:tcPr>
            <w:tcW w:w="2784" w:type="dxa"/>
            <w:tcBorders>
              <w:top w:val="nil"/>
            </w:tcBorders>
          </w:tcPr>
          <w:p w14:paraId="28BDA959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0F167C86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(1,3; 4,1)</w:t>
            </w:r>
          </w:p>
        </w:tc>
        <w:tc>
          <w:tcPr>
            <w:tcW w:w="1307" w:type="dxa"/>
            <w:tcBorders>
              <w:top w:val="nil"/>
            </w:tcBorders>
          </w:tcPr>
          <w:p w14:paraId="6CB3D53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tcBorders>
              <w:top w:val="nil"/>
            </w:tcBorders>
          </w:tcPr>
          <w:p w14:paraId="4A07126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(1,3; 4,2)</w:t>
            </w:r>
          </w:p>
        </w:tc>
        <w:tc>
          <w:tcPr>
            <w:tcW w:w="1362" w:type="dxa"/>
            <w:tcBorders>
              <w:top w:val="nil"/>
            </w:tcBorders>
          </w:tcPr>
          <w:p w14:paraId="0C5972C1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606C66B9" w14:textId="77777777" w:rsidTr="008D1E93">
        <w:trPr>
          <w:trHeight w:val="365"/>
        </w:trPr>
        <w:tc>
          <w:tcPr>
            <w:tcW w:w="9072" w:type="dxa"/>
            <w:gridSpan w:val="5"/>
          </w:tcPr>
          <w:p w14:paraId="6F4C6284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BMI-ben a kiindulási értékhez képest bekövetkezett átlagos abszolút változás (kg/m</w:t>
            </w:r>
            <w:r w:rsidRPr="001B0D61">
              <w:rPr>
                <w:b/>
                <w:bCs/>
                <w:vertAlign w:val="superscript"/>
                <w:lang w:val="hu-HU"/>
              </w:rPr>
              <w:t>2</w:t>
            </w:r>
            <w:r w:rsidRPr="001B0D61">
              <w:rPr>
                <w:b/>
                <w:bCs/>
                <w:lang w:val="hu-HU"/>
              </w:rPr>
              <w:t>)</w:t>
            </w:r>
          </w:p>
        </w:tc>
      </w:tr>
      <w:tr w:rsidR="00AE0C3D" w:rsidRPr="001B0D61" w14:paraId="58E2E793" w14:textId="77777777" w:rsidTr="008D1E93">
        <w:trPr>
          <w:trHeight w:val="257"/>
        </w:trPr>
        <w:tc>
          <w:tcPr>
            <w:tcW w:w="2784" w:type="dxa"/>
            <w:tcBorders>
              <w:bottom w:val="nil"/>
            </w:tcBorders>
          </w:tcPr>
          <w:p w14:paraId="39ADC251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24. héten</w:t>
            </w:r>
          </w:p>
        </w:tc>
        <w:tc>
          <w:tcPr>
            <w:tcW w:w="1809" w:type="dxa"/>
            <w:tcBorders>
              <w:bottom w:val="nil"/>
            </w:tcBorders>
          </w:tcPr>
          <w:p w14:paraId="5A04619C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0,94</w:t>
            </w:r>
          </w:p>
        </w:tc>
        <w:tc>
          <w:tcPr>
            <w:tcW w:w="1307" w:type="dxa"/>
            <w:tcBorders>
              <w:bottom w:val="nil"/>
            </w:tcBorders>
          </w:tcPr>
          <w:p w14:paraId="752182BF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&lt; 0,0001</w:t>
            </w:r>
          </w:p>
        </w:tc>
        <w:tc>
          <w:tcPr>
            <w:tcW w:w="1810" w:type="dxa"/>
            <w:tcBorders>
              <w:bottom w:val="nil"/>
            </w:tcBorders>
          </w:tcPr>
          <w:p w14:paraId="21A1DAD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0,81</w:t>
            </w:r>
          </w:p>
        </w:tc>
        <w:tc>
          <w:tcPr>
            <w:tcW w:w="1362" w:type="dxa"/>
            <w:tcBorders>
              <w:bottom w:val="nil"/>
            </w:tcBorders>
          </w:tcPr>
          <w:p w14:paraId="5956255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0,0008</w:t>
            </w:r>
          </w:p>
        </w:tc>
      </w:tr>
      <w:tr w:rsidR="00AE0C3D" w:rsidRPr="001B0D61" w14:paraId="311646F4" w14:textId="77777777" w:rsidTr="008D1E93">
        <w:trPr>
          <w:trHeight w:val="248"/>
        </w:trPr>
        <w:tc>
          <w:tcPr>
            <w:tcW w:w="2784" w:type="dxa"/>
            <w:tcBorders>
              <w:top w:val="nil"/>
            </w:tcBorders>
          </w:tcPr>
          <w:p w14:paraId="13DAC700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4B11013F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(0,62; 1,26)</w:t>
            </w:r>
          </w:p>
        </w:tc>
        <w:tc>
          <w:tcPr>
            <w:tcW w:w="1307" w:type="dxa"/>
            <w:tcBorders>
              <w:top w:val="nil"/>
            </w:tcBorders>
          </w:tcPr>
          <w:p w14:paraId="6669BB3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tcBorders>
              <w:top w:val="nil"/>
            </w:tcBorders>
          </w:tcPr>
          <w:p w14:paraId="013FBA9F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(0,34; 1,28)</w:t>
            </w:r>
          </w:p>
        </w:tc>
        <w:tc>
          <w:tcPr>
            <w:tcW w:w="1362" w:type="dxa"/>
            <w:tcBorders>
              <w:top w:val="nil"/>
            </w:tcBorders>
          </w:tcPr>
          <w:p w14:paraId="04E71B7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02EE9F87" w14:textId="77777777" w:rsidTr="008D1E93">
        <w:trPr>
          <w:trHeight w:val="257"/>
        </w:trPr>
        <w:tc>
          <w:tcPr>
            <w:tcW w:w="2784" w:type="dxa"/>
            <w:tcBorders>
              <w:bottom w:val="nil"/>
            </w:tcBorders>
          </w:tcPr>
          <w:p w14:paraId="3EACDAFC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 48. héten</w:t>
            </w:r>
          </w:p>
        </w:tc>
        <w:tc>
          <w:tcPr>
            <w:tcW w:w="1809" w:type="dxa"/>
            <w:tcBorders>
              <w:bottom w:val="nil"/>
            </w:tcBorders>
          </w:tcPr>
          <w:p w14:paraId="0859D605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0,93</w:t>
            </w:r>
          </w:p>
        </w:tc>
        <w:tc>
          <w:tcPr>
            <w:tcW w:w="1307" w:type="dxa"/>
            <w:tcBorders>
              <w:bottom w:val="nil"/>
            </w:tcBorders>
          </w:tcPr>
          <w:p w14:paraId="79743F27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&lt; 0,0001</w:t>
            </w:r>
          </w:p>
        </w:tc>
        <w:tc>
          <w:tcPr>
            <w:tcW w:w="1810" w:type="dxa"/>
            <w:tcBorders>
              <w:bottom w:val="nil"/>
            </w:tcBorders>
          </w:tcPr>
          <w:p w14:paraId="7BA7A3FD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1,09</w:t>
            </w:r>
          </w:p>
        </w:tc>
        <w:tc>
          <w:tcPr>
            <w:tcW w:w="1362" w:type="dxa"/>
            <w:tcBorders>
              <w:bottom w:val="nil"/>
            </w:tcBorders>
          </w:tcPr>
          <w:p w14:paraId="694B259B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0,0003</w:t>
            </w:r>
          </w:p>
        </w:tc>
      </w:tr>
      <w:tr w:rsidR="00AE0C3D" w:rsidRPr="001B0D61" w14:paraId="555DB777" w14:textId="77777777" w:rsidTr="008D1E93">
        <w:trPr>
          <w:trHeight w:val="248"/>
        </w:trPr>
        <w:tc>
          <w:tcPr>
            <w:tcW w:w="2784" w:type="dxa"/>
            <w:tcBorders>
              <w:top w:val="nil"/>
            </w:tcBorders>
          </w:tcPr>
          <w:p w14:paraId="176AA6F5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7193BF39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(0,48; 1,38)</w:t>
            </w:r>
          </w:p>
        </w:tc>
        <w:tc>
          <w:tcPr>
            <w:tcW w:w="1307" w:type="dxa"/>
            <w:tcBorders>
              <w:top w:val="nil"/>
            </w:tcBorders>
          </w:tcPr>
          <w:p w14:paraId="4C1BE3B8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tcBorders>
              <w:top w:val="nil"/>
            </w:tcBorders>
          </w:tcPr>
          <w:p w14:paraId="64FBE6FA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(0,51; 1,67)</w:t>
            </w:r>
          </w:p>
        </w:tc>
        <w:tc>
          <w:tcPr>
            <w:tcW w:w="1362" w:type="dxa"/>
            <w:tcBorders>
              <w:top w:val="nil"/>
            </w:tcBorders>
          </w:tcPr>
          <w:p w14:paraId="2ED8FC8F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43999DCE" w14:textId="77777777" w:rsidTr="008D1E93">
        <w:trPr>
          <w:trHeight w:val="365"/>
        </w:trPr>
        <w:tc>
          <w:tcPr>
            <w:tcW w:w="9072" w:type="dxa"/>
            <w:gridSpan w:val="5"/>
          </w:tcPr>
          <w:p w14:paraId="07542EF2" w14:textId="77777777" w:rsidR="00AE0C3D" w:rsidRPr="001D35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z-pontszámokban a kiindulási értékhez képest bekövetkezett átlagos változás (pontok)</w:t>
            </w:r>
          </w:p>
        </w:tc>
      </w:tr>
      <w:tr w:rsidR="00AE0C3D" w:rsidRPr="001B0D61" w14:paraId="7E65F975" w14:textId="77777777" w:rsidTr="008D1E93">
        <w:trPr>
          <w:trHeight w:val="520"/>
        </w:trPr>
        <w:tc>
          <w:tcPr>
            <w:tcW w:w="2784" w:type="dxa"/>
            <w:vMerge w:val="restart"/>
            <w:tcBorders>
              <w:bottom w:val="single" w:sz="4" w:space="0" w:color="000000"/>
            </w:tcBorders>
          </w:tcPr>
          <w:p w14:paraId="7747C1E6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Az életkornak megfelelő testtömeg z-pontszámai a48. héten</w:t>
            </w:r>
            <w:r w:rsidRPr="001B0D61">
              <w:rPr>
                <w:vertAlign w:val="superscript"/>
                <w:lang w:val="hu-HU"/>
              </w:rPr>
              <w:t>e</w:t>
            </w:r>
          </w:p>
        </w:tc>
        <w:tc>
          <w:tcPr>
            <w:tcW w:w="1809" w:type="dxa"/>
            <w:tcBorders>
              <w:bottom w:val="nil"/>
            </w:tcBorders>
          </w:tcPr>
          <w:p w14:paraId="16E67B22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0,33</w:t>
            </w:r>
          </w:p>
          <w:p w14:paraId="230E947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(0,04; 0,62)</w:t>
            </w:r>
          </w:p>
        </w:tc>
        <w:tc>
          <w:tcPr>
            <w:tcW w:w="1307" w:type="dxa"/>
            <w:vMerge w:val="restart"/>
            <w:tcBorders>
              <w:bottom w:val="single" w:sz="4" w:space="0" w:color="000000"/>
            </w:tcBorders>
          </w:tcPr>
          <w:p w14:paraId="0161FC76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0,0260</w:t>
            </w:r>
          </w:p>
        </w:tc>
        <w:tc>
          <w:tcPr>
            <w:tcW w:w="1810" w:type="dxa"/>
            <w:vMerge w:val="restart"/>
            <w:tcBorders>
              <w:bottom w:val="single" w:sz="4" w:space="0" w:color="000000"/>
            </w:tcBorders>
          </w:tcPr>
          <w:p w14:paraId="271EF7F0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0,39</w:t>
            </w:r>
          </w:p>
          <w:p w14:paraId="6A1A6716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(0,24; 0,53)</w:t>
            </w:r>
          </w:p>
        </w:tc>
        <w:tc>
          <w:tcPr>
            <w:tcW w:w="1362" w:type="dxa"/>
            <w:vMerge w:val="restart"/>
            <w:tcBorders>
              <w:bottom w:val="single" w:sz="4" w:space="0" w:color="000000"/>
            </w:tcBorders>
          </w:tcPr>
          <w:p w14:paraId="11F1A57A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&lt; 0,0001</w:t>
            </w:r>
          </w:p>
        </w:tc>
      </w:tr>
      <w:tr w:rsidR="00AE0C3D" w:rsidRPr="001B0D61" w14:paraId="317C99A4" w14:textId="77777777" w:rsidTr="008D1E93">
        <w:trPr>
          <w:trHeight w:val="248"/>
        </w:trPr>
        <w:tc>
          <w:tcPr>
            <w:tcW w:w="2784" w:type="dxa"/>
            <w:vMerge/>
          </w:tcPr>
          <w:p w14:paraId="291FE9ED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485DFCA4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307" w:type="dxa"/>
            <w:vMerge/>
          </w:tcPr>
          <w:p w14:paraId="58B20DB9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vMerge/>
          </w:tcPr>
          <w:p w14:paraId="41C54C7F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362" w:type="dxa"/>
            <w:vMerge/>
          </w:tcPr>
          <w:p w14:paraId="49147941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7FB75DD1" w14:textId="77777777" w:rsidTr="008D1E93">
        <w:trPr>
          <w:trHeight w:val="257"/>
        </w:trPr>
        <w:tc>
          <w:tcPr>
            <w:tcW w:w="2784" w:type="dxa"/>
            <w:vMerge w:val="restart"/>
          </w:tcPr>
          <w:p w14:paraId="141EF90E" w14:textId="77777777" w:rsidR="00AE0C3D" w:rsidRPr="001D35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Az életkornak megfelelő BMI z-pontszáma a 48. héten</w:t>
            </w:r>
            <w:r w:rsidRPr="001B0D61">
              <w:rPr>
                <w:vertAlign w:val="superscript"/>
                <w:lang w:val="hu-HU"/>
              </w:rPr>
              <w:t>e</w:t>
            </w:r>
          </w:p>
        </w:tc>
        <w:tc>
          <w:tcPr>
            <w:tcW w:w="1809" w:type="dxa"/>
            <w:tcBorders>
              <w:bottom w:val="nil"/>
            </w:tcBorders>
          </w:tcPr>
          <w:p w14:paraId="034544B6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0,33</w:t>
            </w:r>
          </w:p>
        </w:tc>
        <w:tc>
          <w:tcPr>
            <w:tcW w:w="1307" w:type="dxa"/>
            <w:vMerge w:val="restart"/>
          </w:tcPr>
          <w:p w14:paraId="1369BD8E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0,0490</w:t>
            </w:r>
          </w:p>
        </w:tc>
        <w:tc>
          <w:tcPr>
            <w:tcW w:w="1810" w:type="dxa"/>
            <w:vMerge w:val="restart"/>
          </w:tcPr>
          <w:p w14:paraId="5A99B658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0,45</w:t>
            </w:r>
          </w:p>
          <w:p w14:paraId="55F542EE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(0,26; 0,65)</w:t>
            </w:r>
          </w:p>
        </w:tc>
        <w:tc>
          <w:tcPr>
            <w:tcW w:w="1362" w:type="dxa"/>
            <w:vMerge w:val="restart"/>
          </w:tcPr>
          <w:p w14:paraId="3D15930E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&lt; 0,0001</w:t>
            </w:r>
          </w:p>
        </w:tc>
      </w:tr>
      <w:tr w:rsidR="00AE0C3D" w:rsidRPr="001B0D61" w14:paraId="3F67F708" w14:textId="77777777" w:rsidTr="008D1E93">
        <w:trPr>
          <w:trHeight w:val="253"/>
        </w:trPr>
        <w:tc>
          <w:tcPr>
            <w:tcW w:w="2784" w:type="dxa"/>
            <w:vMerge/>
          </w:tcPr>
          <w:p w14:paraId="3897240C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  <w:bottom w:val="nil"/>
            </w:tcBorders>
          </w:tcPr>
          <w:p w14:paraId="194EA36C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(0,002; 0,65)</w:t>
            </w:r>
          </w:p>
        </w:tc>
        <w:tc>
          <w:tcPr>
            <w:tcW w:w="1307" w:type="dxa"/>
            <w:vMerge/>
          </w:tcPr>
          <w:p w14:paraId="78E02F83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vMerge/>
          </w:tcPr>
          <w:p w14:paraId="4B8BA728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362" w:type="dxa"/>
            <w:vMerge/>
          </w:tcPr>
          <w:p w14:paraId="47987908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  <w:tr w:rsidR="00AE0C3D" w:rsidRPr="001B0D61" w14:paraId="3A0A0DD0" w14:textId="77777777" w:rsidTr="008D1E93">
        <w:trPr>
          <w:trHeight w:val="248"/>
        </w:trPr>
        <w:tc>
          <w:tcPr>
            <w:tcW w:w="2784" w:type="dxa"/>
            <w:vMerge/>
          </w:tcPr>
          <w:p w14:paraId="127CC08E" w14:textId="77777777" w:rsidR="00AE0C3D" w:rsidRPr="001D3544" w:rsidRDefault="00AE0C3D" w:rsidP="008D1E93">
            <w:pPr>
              <w:rPr>
                <w:lang w:val="hu-HU"/>
              </w:rPr>
            </w:pPr>
          </w:p>
        </w:tc>
        <w:tc>
          <w:tcPr>
            <w:tcW w:w="1809" w:type="dxa"/>
            <w:tcBorders>
              <w:top w:val="nil"/>
            </w:tcBorders>
          </w:tcPr>
          <w:p w14:paraId="56F3C879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307" w:type="dxa"/>
            <w:vMerge/>
          </w:tcPr>
          <w:p w14:paraId="615EAF55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810" w:type="dxa"/>
            <w:vMerge/>
          </w:tcPr>
          <w:p w14:paraId="087946DE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  <w:tc>
          <w:tcPr>
            <w:tcW w:w="1362" w:type="dxa"/>
            <w:vMerge/>
          </w:tcPr>
          <w:p w14:paraId="2FA07736" w14:textId="77777777" w:rsidR="00AE0C3D" w:rsidRPr="001D3544" w:rsidRDefault="00AE0C3D" w:rsidP="008D1E93">
            <w:pPr>
              <w:jc w:val="center"/>
              <w:rPr>
                <w:lang w:val="hu-HU"/>
              </w:rPr>
            </w:pPr>
          </w:p>
        </w:tc>
      </w:tr>
    </w:tbl>
    <w:p w14:paraId="2EC0AB12" w14:textId="163513B2" w:rsidR="00AE0C3D" w:rsidRPr="001B0D61" w:rsidRDefault="00AE0C3D" w:rsidP="00AE0C3D">
      <w:r w:rsidRPr="001B0D61">
        <w:t>CI: konfidenciaintervallum; NA: az események alacsony előfordulási gyakorisága miatt nem elemezték</w:t>
      </w:r>
    </w:p>
    <w:p w14:paraId="4BFB5240" w14:textId="77777777" w:rsidR="00EE208D" w:rsidRPr="001B0D61" w:rsidRDefault="00EE208D" w:rsidP="00EE208D">
      <w:pPr>
        <w:tabs>
          <w:tab w:val="left" w:pos="284"/>
        </w:tabs>
      </w:pPr>
      <w:r w:rsidRPr="001B0D61">
        <w:rPr>
          <w:vertAlign w:val="superscript"/>
        </w:rPr>
        <w:t>a</w:t>
      </w:r>
      <w:r w:rsidRPr="001B0D61">
        <w:rPr>
          <w:vertAlign w:val="superscript"/>
        </w:rPr>
        <w:tab/>
      </w:r>
      <w:r w:rsidRPr="001B0D61">
        <w:t>Kezelési különbség = az ivakaftor hatása – a placebo</w:t>
      </w:r>
      <w:r w:rsidRPr="001B0D61">
        <w:rPr>
          <w:spacing w:val="-7"/>
        </w:rPr>
        <w:t xml:space="preserve"> </w:t>
      </w:r>
      <w:r w:rsidRPr="001B0D61">
        <w:t>hatása.</w:t>
      </w:r>
    </w:p>
    <w:p w14:paraId="038F45E2" w14:textId="73EB64E1" w:rsidR="00EE208D" w:rsidRPr="001B0D61" w:rsidRDefault="00EE208D" w:rsidP="00EE208D">
      <w:pPr>
        <w:tabs>
          <w:tab w:val="left" w:pos="284"/>
        </w:tabs>
        <w:ind w:left="284" w:hanging="284"/>
      </w:pPr>
      <w:r w:rsidRPr="001B0D61">
        <w:rPr>
          <w:vertAlign w:val="superscript"/>
        </w:rPr>
        <w:t>b</w:t>
      </w:r>
      <w:r w:rsidRPr="001B0D61">
        <w:rPr>
          <w:vertAlign w:val="superscript"/>
        </w:rPr>
        <w:tab/>
      </w:r>
      <w:r w:rsidRPr="001B0D61">
        <w:t>FQ-R: Cystic Fibrosis Questionna</w:t>
      </w:r>
      <w:r w:rsidR="00140F08">
        <w:t>ire-Revised (Átdolgozott cysticus fibrosis</w:t>
      </w:r>
      <w:r w:rsidRPr="001B0D61">
        <w:t xml:space="preserve"> kérdőív) – CF-hoz</w:t>
      </w:r>
      <w:r w:rsidRPr="001B0D61">
        <w:rPr>
          <w:spacing w:val="-23"/>
        </w:rPr>
        <w:t xml:space="preserve"> </w:t>
      </w:r>
      <w:r w:rsidRPr="001B0D61">
        <w:t>kidolgozott betegségspecifikus, az egészséggel összefüggő életminőséget mérő kérdőív.</w:t>
      </w:r>
    </w:p>
    <w:p w14:paraId="2A78A068" w14:textId="77777777" w:rsidR="00EE208D" w:rsidRPr="001B0D61" w:rsidRDefault="00EE208D" w:rsidP="00EE208D">
      <w:pPr>
        <w:tabs>
          <w:tab w:val="left" w:pos="284"/>
        </w:tabs>
        <w:ind w:left="284" w:hanging="284"/>
      </w:pPr>
      <w:r w:rsidRPr="001B0D61">
        <w:rPr>
          <w:vertAlign w:val="superscript"/>
        </w:rPr>
        <w:t>c</w:t>
      </w:r>
      <w:r w:rsidRPr="001B0D61">
        <w:rPr>
          <w:vertAlign w:val="superscript"/>
        </w:rPr>
        <w:tab/>
      </w:r>
      <w:r w:rsidRPr="001B0D61">
        <w:t>A 770-102. vizsgálat adatai a felnőtteknek/serdülőknek szóló CFQ-R és a 12-13 éves gyermekeknek szóló CFQ-R kérdőívek adatainak összesítéséből származnak; a 770-103. vizsgálat adatai a 6-11 éves gyermekeknek szóló CFQ-R kérdőívekből</w:t>
      </w:r>
      <w:r w:rsidRPr="001B0D61">
        <w:rPr>
          <w:spacing w:val="-6"/>
        </w:rPr>
        <w:t xml:space="preserve"> </w:t>
      </w:r>
      <w:r w:rsidRPr="001B0D61">
        <w:t>származnak.</w:t>
      </w:r>
    </w:p>
    <w:p w14:paraId="70AE7D2F" w14:textId="77777777" w:rsidR="00EE208D" w:rsidRPr="001B0D61" w:rsidRDefault="00EE208D" w:rsidP="00EE208D">
      <w:pPr>
        <w:tabs>
          <w:tab w:val="left" w:pos="284"/>
        </w:tabs>
      </w:pPr>
      <w:r w:rsidRPr="001B0D61">
        <w:rPr>
          <w:vertAlign w:val="superscript"/>
        </w:rPr>
        <w:t>d</w:t>
      </w:r>
      <w:r w:rsidRPr="001B0D61">
        <w:rPr>
          <w:vertAlign w:val="superscript"/>
        </w:rPr>
        <w:tab/>
      </w:r>
      <w:r w:rsidRPr="001B0D61">
        <w:t>Relatív hazárd az első pulmonalis exacerbatióig eltelt idő</w:t>
      </w:r>
      <w:r w:rsidRPr="001B0D61">
        <w:rPr>
          <w:spacing w:val="-4"/>
        </w:rPr>
        <w:t xml:space="preserve"> </w:t>
      </w:r>
      <w:r w:rsidRPr="001B0D61">
        <w:t>tekintetében.</w:t>
      </w:r>
    </w:p>
    <w:p w14:paraId="7105783F" w14:textId="77777777" w:rsidR="00EE208D" w:rsidRPr="001B0D61" w:rsidRDefault="00EE208D" w:rsidP="00EE208D">
      <w:pPr>
        <w:tabs>
          <w:tab w:val="left" w:pos="284"/>
        </w:tabs>
      </w:pPr>
      <w:r w:rsidRPr="001B0D61">
        <w:rPr>
          <w:vertAlign w:val="superscript"/>
        </w:rPr>
        <w:t>e</w:t>
      </w:r>
      <w:r w:rsidRPr="001B0D61">
        <w:rPr>
          <w:vertAlign w:val="superscript"/>
        </w:rPr>
        <w:tab/>
      </w:r>
      <w:r w:rsidRPr="001B0D61">
        <w:t>20 év alatti betegeknél [a Centers for Disease Control (CDC) növekedési</w:t>
      </w:r>
      <w:r w:rsidRPr="001B0D61">
        <w:rPr>
          <w:spacing w:val="-16"/>
        </w:rPr>
        <w:t xml:space="preserve"> </w:t>
      </w:r>
      <w:r w:rsidRPr="001B0D61">
        <w:t>diagramjai].</w:t>
      </w:r>
    </w:p>
    <w:p w14:paraId="79E2F29B" w14:textId="77777777" w:rsidR="00EE208D" w:rsidRPr="001B0D61" w:rsidRDefault="00EE208D" w:rsidP="00EE208D"/>
    <w:p w14:paraId="12822FE7" w14:textId="77777777" w:rsidR="00EE208D" w:rsidRPr="001B0D61" w:rsidRDefault="00EE208D" w:rsidP="00EE208D">
      <w:pPr>
        <w:rPr>
          <w:i/>
        </w:rPr>
      </w:pPr>
      <w:r w:rsidRPr="001B0D61">
        <w:rPr>
          <w:i/>
          <w:u w:val="single"/>
        </w:rPr>
        <w:t>770-111. vizsgálat: non-G551D kapuzási mutációkat hordozó, CF-ban szenvedő betegeknél végzett vizsgálat</w:t>
      </w:r>
    </w:p>
    <w:p w14:paraId="277473AE" w14:textId="77777777" w:rsidR="00EE208D" w:rsidRPr="001B0D61" w:rsidRDefault="00EE208D" w:rsidP="00EE208D">
      <w:pPr>
        <w:rPr>
          <w:i/>
        </w:rPr>
      </w:pPr>
    </w:p>
    <w:p w14:paraId="3986ADFB" w14:textId="0D4153F5" w:rsidR="00EE208D" w:rsidRPr="001B0D61" w:rsidRDefault="00EE208D" w:rsidP="00EE208D">
      <w:r w:rsidRPr="001B0D61">
        <w:t xml:space="preserve">A 770-111. vizsgálat a </w:t>
      </w:r>
      <w:r w:rsidRPr="001B0D61">
        <w:rPr>
          <w:i/>
        </w:rPr>
        <w:t>CFTR</w:t>
      </w:r>
      <w:r w:rsidRPr="001B0D61">
        <w:t xml:space="preserve">-génen </w:t>
      </w:r>
      <w:r w:rsidRPr="001B0D61">
        <w:rPr>
          <w:i/>
        </w:rPr>
        <w:t xml:space="preserve">G970R </w:t>
      </w:r>
      <w:r w:rsidRPr="001B0D61">
        <w:t>vagy non-</w:t>
      </w:r>
      <w:r w:rsidRPr="001B0D61">
        <w:rPr>
          <w:i/>
        </w:rPr>
        <w:t xml:space="preserve">G551D </w:t>
      </w:r>
      <w:r w:rsidRPr="001B0D61">
        <w:t>kapuzási mutációt (</w:t>
      </w:r>
      <w:r w:rsidRPr="001B0D61">
        <w:rPr>
          <w:i/>
        </w:rPr>
        <w:t xml:space="preserve">G178R, S549N, S549R, G551S, G1244E, S1251N, S1255P </w:t>
      </w:r>
      <w:r w:rsidRPr="001B0D61">
        <w:t xml:space="preserve">vagy </w:t>
      </w:r>
      <w:r w:rsidRPr="001B0D61">
        <w:rPr>
          <w:i/>
        </w:rPr>
        <w:t>G1349D</w:t>
      </w:r>
      <w:r w:rsidRPr="001B0D61">
        <w:t>) hordozó 6 éves és idősebb, CF-ban szenvedő betegek esetében az ivakaftor hatásosságának és biztonságosságának értékelése céljából végzett III. fázisú, kétrészes, randomizált, kettős</w:t>
      </w:r>
      <w:r w:rsidR="00B64176">
        <w:t xml:space="preserve"> </w:t>
      </w:r>
      <w:r w:rsidRPr="001B0D61">
        <w:t>vak, placebokontrollos, keresztezett elrendezésű vizsgálat (1. rész) volt, amelyet egy 16 hetes, nyílt elrendezésű kiterjesztett szakasz (2. rész) követett.</w:t>
      </w:r>
    </w:p>
    <w:p w14:paraId="7ECD52DE" w14:textId="77777777" w:rsidR="00EE208D" w:rsidRPr="001B0D61" w:rsidRDefault="00EE208D" w:rsidP="00EE208D"/>
    <w:p w14:paraId="25F102F0" w14:textId="77777777" w:rsidR="00EE208D" w:rsidRPr="001B0D61" w:rsidRDefault="00EE208D" w:rsidP="00EE208D">
      <w:r w:rsidRPr="001B0D61">
        <w:t>Az 1. részben a betegeket 1:1 arányban randomizálták az előírt CF-terápia mellett 150 mg ivakaftor vagy placebo alkalmazására, amelyet 12 óránként, zsírtartalmú étellel kellett bevenni 8 héten át, majd egy 4-8 hetes kiürülési időszak után a második 8 hétre keresztezett elrendezésben történt a másik kezelés. Inhalációs hipertóniás só alkalmazása nem volt megengedett. A 2. részben az összes beteg ivakaftort kapott további 16 héten át, az 1. részben meghatározottak szerint. A folyamatos ivakaftor kezelés időtartama 24 hét volt a vizsgálat 1. részében a placebo/ivakaftor kezelési szekvenciájú csoportba randomizált betegek esetében, illetve 16 hét azon betegek esetében, akiket a vizsgálat 1. részében az ivakaftor/placebo kezelési szekvenciát követő csoportba randomizáltak.</w:t>
      </w:r>
    </w:p>
    <w:p w14:paraId="2A0A876E" w14:textId="77777777" w:rsidR="00EE208D" w:rsidRPr="001B0D61" w:rsidRDefault="00EE208D" w:rsidP="00EE208D"/>
    <w:p w14:paraId="70FA636B" w14:textId="77777777" w:rsidR="00EE208D" w:rsidRPr="001B0D61" w:rsidRDefault="00EE208D" w:rsidP="00EE208D">
      <w:r w:rsidRPr="001B0D61">
        <w:t>Harminckilenc beteget (átlagos életkor: 23 év) vontak be, akiknek a kiindulási FEV</w:t>
      </w:r>
      <w:r w:rsidRPr="001B0D61">
        <w:rPr>
          <w:vertAlign w:val="subscript"/>
        </w:rPr>
        <w:t>1</w:t>
      </w:r>
      <w:r w:rsidRPr="001B0D61">
        <w:t>-értékük elérte vagy meghaladta a várt FEV</w:t>
      </w:r>
      <w:r w:rsidRPr="001B0D61">
        <w:rPr>
          <w:vertAlign w:val="subscript"/>
        </w:rPr>
        <w:t>1</w:t>
      </w:r>
      <w:r w:rsidRPr="001B0D61">
        <w:t xml:space="preserve"> 40%-át (átlagos FEV</w:t>
      </w:r>
      <w:r w:rsidRPr="001B0D61">
        <w:rPr>
          <w:vertAlign w:val="subscript"/>
        </w:rPr>
        <w:t>1</w:t>
      </w:r>
      <w:r w:rsidRPr="001B0D61">
        <w:t xml:space="preserve"> a várt érték 78%-a [tartomány: 43-119%]). Közülük 62% (24/39) hordozta az </w:t>
      </w:r>
      <w:r w:rsidRPr="001B0D61">
        <w:rPr>
          <w:i/>
        </w:rPr>
        <w:t>F508del</w:t>
      </w:r>
      <w:r w:rsidRPr="001B0D61">
        <w:t>-</w:t>
      </w:r>
      <w:r w:rsidRPr="001B0D61">
        <w:rPr>
          <w:i/>
        </w:rPr>
        <w:t xml:space="preserve">CFTR </w:t>
      </w:r>
      <w:r w:rsidRPr="001B0D61">
        <w:t>mutációt a második allélen. Összesen 36 beteg folytatta a vizsgálat 2. részét (kezelési szekvenciánként 18 beteg).</w:t>
      </w:r>
    </w:p>
    <w:p w14:paraId="50C5059E" w14:textId="77777777" w:rsidR="00EE208D" w:rsidRPr="001B0D61" w:rsidRDefault="00EE208D" w:rsidP="00EE208D"/>
    <w:p w14:paraId="31756115" w14:textId="607FB771" w:rsidR="00EE208D" w:rsidRPr="001B0D61" w:rsidRDefault="00EE208D" w:rsidP="00EE208D">
      <w:r w:rsidRPr="001B0D61">
        <w:t>A 770-111. vizsgálat 1. részében az átlagos várt FEV</w:t>
      </w:r>
      <w:r w:rsidRPr="001B0D61">
        <w:rPr>
          <w:vertAlign w:val="subscript"/>
        </w:rPr>
        <w:t>1</w:t>
      </w:r>
      <w:r w:rsidRPr="001B0D61">
        <w:t xml:space="preserve"> százalékos értéke a vizsgálat elkezdésekor 79,3% volt a placebóval kezelt betegeknél, míg az ivakaftorral kezelt betegeknél ez az érték 76,4% volt. A vizsgálat megkezdése utáni átlagos összesített érték 76,0%, illetve 83,7% volt. A várt FEV</w:t>
      </w:r>
      <w:r w:rsidRPr="001B0D61">
        <w:rPr>
          <w:vertAlign w:val="subscript"/>
        </w:rPr>
        <w:t>1</w:t>
      </w:r>
      <w:r w:rsidRPr="001B0D61">
        <w:t xml:space="preserve"> százalékos értékében (elsődleges hatásossági végpont) a kiinduláshoz képest a 8. hétig bekövetkezett átlagos abszolút változás 7,5% volt az ivakaftor-</w:t>
      </w:r>
      <w:r w:rsidR="009F7EB6">
        <w:t>kezelés alatt,</w:t>
      </w:r>
      <w:r w:rsidRPr="001B0D61">
        <w:t xml:space="preserve"> és –3,2% a placebo</w:t>
      </w:r>
      <w:r w:rsidR="009F7EB6">
        <w:t xml:space="preserve"> alkalmazásakor</w:t>
      </w:r>
      <w:r w:rsidRPr="001B0D61">
        <w:t>. Az ivakaftor és a placebo között megfigyelt kezelési különbség (95%-os CI) 10,7% (7,3; 14,1) volt (</w:t>
      </w:r>
      <w:r w:rsidRPr="001B0D61">
        <w:rPr>
          <w:i/>
        </w:rPr>
        <w:t xml:space="preserve">P </w:t>
      </w:r>
      <w:r w:rsidRPr="001B0D61">
        <w:t>&lt; 0,0001).</w:t>
      </w:r>
    </w:p>
    <w:p w14:paraId="7F1A1E91" w14:textId="77777777" w:rsidR="00EE208D" w:rsidRPr="001B0D61" w:rsidRDefault="00EE208D" w:rsidP="00EE208D"/>
    <w:p w14:paraId="2813ACDE" w14:textId="3A7AFA14" w:rsidR="00EE208D" w:rsidRPr="001B0D61" w:rsidRDefault="00EE208D" w:rsidP="00EE208D">
      <w:r w:rsidRPr="001B0D61">
        <w:t xml:space="preserve">A </w:t>
      </w:r>
      <w:r w:rsidR="00282656">
        <w:t>7</w:t>
      </w:r>
      <w:r w:rsidRPr="001B0D61">
        <w:t>. táblázat mutatja be az ivakaftor hatását a 770-111. vizsgálat összesített populációjában (a másodlagos végpontokat, vagyis a BMI-ben a kezelés 8. hetére bekövetkezett abszolút változást, valamint a CFQ-R légzőrendszeri részterületének pontszámában a kezelés 8 hete során bekövetkezett abszolút változást), illetve egyedi mutációk szerint lebontva (abszolút változás a verejték kloridszintjében, valamint a várt FEV</w:t>
      </w:r>
      <w:r w:rsidRPr="001B0D61">
        <w:rPr>
          <w:vertAlign w:val="subscript"/>
        </w:rPr>
        <w:t>1</w:t>
      </w:r>
      <w:r w:rsidRPr="001B0D61">
        <w:t xml:space="preserve"> százalékos értékében a 8. héten). Az ivakaftorra kapott klinikai (a várt FEV</w:t>
      </w:r>
      <w:r w:rsidRPr="001B0D61">
        <w:rPr>
          <w:vertAlign w:val="subscript"/>
        </w:rPr>
        <w:t>1</w:t>
      </w:r>
      <w:r w:rsidRPr="001B0D61">
        <w:t xml:space="preserve"> százalékos értéke) és farmakodinámiás (a verejték kloridszintje) válaszok alapján a </w:t>
      </w:r>
      <w:r w:rsidRPr="001B0D61">
        <w:rPr>
          <w:i/>
        </w:rPr>
        <w:t xml:space="preserve">G970R </w:t>
      </w:r>
      <w:r w:rsidRPr="001B0D61">
        <w:t>mutációt hordozó betegek esetében nem sikerült hatásosságot igazolni.</w:t>
      </w:r>
    </w:p>
    <w:p w14:paraId="15DB94CC" w14:textId="7115FAA5" w:rsidR="00EE208D" w:rsidRDefault="00EE208D" w:rsidP="00EE208D"/>
    <w:p w14:paraId="733D8FE3" w14:textId="77777777" w:rsidR="00484918" w:rsidRPr="001B0D61" w:rsidRDefault="00484918" w:rsidP="00EE208D"/>
    <w:p w14:paraId="23E808EA" w14:textId="7B9E74A9" w:rsidR="00EE208D" w:rsidRPr="001B0D61" w:rsidRDefault="00282656" w:rsidP="00EE208D">
      <w:pPr>
        <w:tabs>
          <w:tab w:val="left" w:pos="284"/>
        </w:tabs>
        <w:rPr>
          <w:b/>
          <w:bCs/>
        </w:rPr>
      </w:pPr>
      <w:r>
        <w:rPr>
          <w:b/>
          <w:bCs/>
        </w:rPr>
        <w:t>7</w:t>
      </w:r>
      <w:r w:rsidR="00EE208D" w:rsidRPr="001B0D61">
        <w:rPr>
          <w:b/>
          <w:bCs/>
        </w:rPr>
        <w:t>.</w:t>
      </w:r>
      <w:r w:rsidR="00EE208D" w:rsidRPr="001B0D61">
        <w:rPr>
          <w:b/>
          <w:bCs/>
        </w:rPr>
        <w:tab/>
        <w:t>táblázat: Az ivakaftornak az összesített populációban a hatásossági változókra, valamint</w:t>
      </w:r>
      <w:r w:rsidR="00EE208D" w:rsidRPr="001B0D61">
        <w:rPr>
          <w:b/>
          <w:bCs/>
          <w:spacing w:val="13"/>
        </w:rPr>
        <w:t xml:space="preserve"> </w:t>
      </w:r>
      <w:r w:rsidR="00EE208D" w:rsidRPr="001B0D61">
        <w:rPr>
          <w:b/>
          <w:bCs/>
        </w:rPr>
        <w:t xml:space="preserve">a konkrét </w:t>
      </w:r>
      <w:r w:rsidR="00EE208D" w:rsidRPr="001B0D61">
        <w:rPr>
          <w:b/>
          <w:bCs/>
          <w:i/>
        </w:rPr>
        <w:t>CFTR</w:t>
      </w:r>
      <w:r w:rsidR="00EE208D" w:rsidRPr="001B0D61">
        <w:rPr>
          <w:b/>
          <w:bCs/>
        </w:rPr>
        <w:t>-mutációkra gyakorolt hatása</w:t>
      </w:r>
    </w:p>
    <w:p w14:paraId="17AAB255" w14:textId="77777777" w:rsidR="00EE208D" w:rsidRDefault="00EE208D" w:rsidP="00EE208D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354"/>
        <w:gridCol w:w="2342"/>
        <w:gridCol w:w="669"/>
        <w:gridCol w:w="2782"/>
      </w:tblGrid>
      <w:tr w:rsidR="00AE0C3D" w:rsidRPr="001B0D61" w14:paraId="28AD49AA" w14:textId="77777777" w:rsidTr="008D1E93">
        <w:trPr>
          <w:trHeight w:val="759"/>
        </w:trPr>
        <w:tc>
          <w:tcPr>
            <w:tcW w:w="3279" w:type="dxa"/>
            <w:gridSpan w:val="2"/>
          </w:tcPr>
          <w:p w14:paraId="4C7009D6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várt FEV</w:t>
            </w:r>
            <w:r w:rsidRPr="001B0D61">
              <w:rPr>
                <w:b/>
                <w:bCs/>
                <w:vertAlign w:val="subscript"/>
                <w:lang w:val="hu-HU"/>
              </w:rPr>
              <w:t>1</w:t>
            </w:r>
            <w:r w:rsidRPr="001B0D61">
              <w:rPr>
                <w:b/>
                <w:bCs/>
                <w:lang w:val="hu-HU"/>
              </w:rPr>
              <w:t xml:space="preserve"> százalékos értékében bekövetkezett abszolút változás</w:t>
            </w:r>
          </w:p>
        </w:tc>
        <w:tc>
          <w:tcPr>
            <w:tcW w:w="3011" w:type="dxa"/>
            <w:gridSpan w:val="2"/>
          </w:tcPr>
          <w:p w14:paraId="013621AD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BMI</w:t>
            </w:r>
          </w:p>
          <w:p w14:paraId="14B68F8A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(kg/m</w:t>
            </w:r>
            <w:r w:rsidRPr="001B0D61">
              <w:rPr>
                <w:b/>
                <w:bCs/>
                <w:vertAlign w:val="superscript"/>
                <w:lang w:val="hu-HU"/>
              </w:rPr>
              <w:t>2</w:t>
            </w:r>
            <w:r w:rsidRPr="001B0D61">
              <w:rPr>
                <w:b/>
                <w:bCs/>
                <w:lang w:val="hu-HU"/>
              </w:rPr>
              <w:t>)</w:t>
            </w:r>
          </w:p>
        </w:tc>
        <w:tc>
          <w:tcPr>
            <w:tcW w:w="2782" w:type="dxa"/>
          </w:tcPr>
          <w:p w14:paraId="3AAD629F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CFQ-R légzőrendszeri domén pontszáma (pontszám)</w:t>
            </w:r>
          </w:p>
        </w:tc>
      </w:tr>
      <w:tr w:rsidR="00AE0C3D" w:rsidRPr="001B0D61" w14:paraId="35C80453" w14:textId="77777777" w:rsidTr="008D1E93">
        <w:trPr>
          <w:trHeight w:val="248"/>
        </w:trPr>
        <w:tc>
          <w:tcPr>
            <w:tcW w:w="3279" w:type="dxa"/>
            <w:gridSpan w:val="2"/>
          </w:tcPr>
          <w:p w14:paraId="1AEFBD1A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8. hétig</w:t>
            </w:r>
          </w:p>
        </w:tc>
        <w:tc>
          <w:tcPr>
            <w:tcW w:w="3011" w:type="dxa"/>
            <w:gridSpan w:val="2"/>
          </w:tcPr>
          <w:p w14:paraId="7A3646B7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8. héten</w:t>
            </w:r>
          </w:p>
        </w:tc>
        <w:tc>
          <w:tcPr>
            <w:tcW w:w="2782" w:type="dxa"/>
          </w:tcPr>
          <w:p w14:paraId="0F43C422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8. hétig</w:t>
            </w:r>
          </w:p>
        </w:tc>
      </w:tr>
      <w:tr w:rsidR="00AE0C3D" w:rsidRPr="001B0D61" w14:paraId="52BCF0EA" w14:textId="77777777" w:rsidTr="008D1E93">
        <w:trPr>
          <w:trHeight w:val="759"/>
        </w:trPr>
        <w:tc>
          <w:tcPr>
            <w:tcW w:w="9072" w:type="dxa"/>
            <w:gridSpan w:val="5"/>
          </w:tcPr>
          <w:p w14:paraId="555AB1ED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Összes beteg (n = 39)</w:t>
            </w:r>
          </w:p>
          <w:p w14:paraId="1368BFC5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Az eredmények az ivakaftorral vs. placebóval kezelt betegek kiindulási értékeihez képest</w:t>
            </w:r>
          </w:p>
          <w:p w14:paraId="3491A6E8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bekövetkezett átlagos (95%-os CI) változást mutatják:</w:t>
            </w:r>
          </w:p>
        </w:tc>
      </w:tr>
      <w:tr w:rsidR="00AE0C3D" w:rsidRPr="001B0D61" w14:paraId="5327649F" w14:textId="77777777" w:rsidTr="008D1E93">
        <w:trPr>
          <w:trHeight w:val="252"/>
        </w:trPr>
        <w:tc>
          <w:tcPr>
            <w:tcW w:w="3279" w:type="dxa"/>
            <w:gridSpan w:val="2"/>
          </w:tcPr>
          <w:p w14:paraId="35732AA8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10,7 (7,3; 14,1)</w:t>
            </w:r>
          </w:p>
        </w:tc>
        <w:tc>
          <w:tcPr>
            <w:tcW w:w="3011" w:type="dxa"/>
            <w:gridSpan w:val="2"/>
          </w:tcPr>
          <w:p w14:paraId="1E384D38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0,66 (0,34; 0,99)</w:t>
            </w:r>
          </w:p>
        </w:tc>
        <w:tc>
          <w:tcPr>
            <w:tcW w:w="2782" w:type="dxa"/>
          </w:tcPr>
          <w:p w14:paraId="70F71D2E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9,6 (4,5; 14,7)</w:t>
            </w:r>
          </w:p>
        </w:tc>
      </w:tr>
      <w:tr w:rsidR="00AE0C3D" w:rsidRPr="001B0D61" w14:paraId="28FEC1EB" w14:textId="77777777" w:rsidTr="008D1E93">
        <w:trPr>
          <w:trHeight w:val="759"/>
        </w:trPr>
        <w:tc>
          <w:tcPr>
            <w:tcW w:w="9072" w:type="dxa"/>
            <w:gridSpan w:val="5"/>
          </w:tcPr>
          <w:p w14:paraId="294C0BCB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betegek mutációtípusok szerint csoportosítva (n)</w:t>
            </w:r>
          </w:p>
          <w:p w14:paraId="656D3107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Az eredmények az ivakaftorral kezelt betegek kiindulási értékeihez képest a 8. hétre bekövetkezett átlagos változást (minimum, maximum) mutatják</w:t>
            </w:r>
            <w:r w:rsidRPr="001B0D61">
              <w:rPr>
                <w:vertAlign w:val="superscript"/>
                <w:lang w:val="hu-HU"/>
              </w:rPr>
              <w:t>*</w:t>
            </w:r>
            <w:r w:rsidRPr="001B0D61">
              <w:rPr>
                <w:lang w:val="hu-HU"/>
              </w:rPr>
              <w:t>:</w:t>
            </w:r>
          </w:p>
        </w:tc>
      </w:tr>
      <w:tr w:rsidR="00AE0C3D" w:rsidRPr="001B0D61" w14:paraId="6594654A" w14:textId="77777777" w:rsidTr="008D1E93">
        <w:trPr>
          <w:trHeight w:val="759"/>
        </w:trPr>
        <w:tc>
          <w:tcPr>
            <w:tcW w:w="1925" w:type="dxa"/>
            <w:vMerge w:val="restart"/>
          </w:tcPr>
          <w:p w14:paraId="50622F2F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Mutáció (n)</w:t>
            </w:r>
          </w:p>
        </w:tc>
        <w:tc>
          <w:tcPr>
            <w:tcW w:w="3696" w:type="dxa"/>
            <w:gridSpan w:val="2"/>
          </w:tcPr>
          <w:p w14:paraId="61B8FD9B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verejték kloridszintjében bekövetkezett abszolút változás (mmol/l)</w:t>
            </w:r>
          </w:p>
        </w:tc>
        <w:tc>
          <w:tcPr>
            <w:tcW w:w="3451" w:type="dxa"/>
            <w:gridSpan w:val="2"/>
          </w:tcPr>
          <w:p w14:paraId="10E613DB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várt FEV</w:t>
            </w:r>
            <w:r w:rsidRPr="001B0D61">
              <w:rPr>
                <w:b/>
                <w:bCs/>
                <w:vertAlign w:val="subscript"/>
                <w:lang w:val="hu-HU"/>
              </w:rPr>
              <w:t>1</w:t>
            </w:r>
            <w:r w:rsidRPr="001B0D61">
              <w:rPr>
                <w:b/>
                <w:bCs/>
                <w:lang w:val="hu-HU"/>
              </w:rPr>
              <w:t xml:space="preserve"> százalékos értékében bekövetkezett abszolút változás (százalékpont)</w:t>
            </w:r>
          </w:p>
        </w:tc>
      </w:tr>
      <w:tr w:rsidR="00AE0C3D" w:rsidRPr="001B0D61" w14:paraId="4F0C69D6" w14:textId="77777777" w:rsidTr="008D1E93">
        <w:trPr>
          <w:trHeight w:val="262"/>
        </w:trPr>
        <w:tc>
          <w:tcPr>
            <w:tcW w:w="1925" w:type="dxa"/>
            <w:vMerge/>
            <w:tcBorders>
              <w:top w:val="nil"/>
            </w:tcBorders>
          </w:tcPr>
          <w:p w14:paraId="08FEB296" w14:textId="77777777" w:rsidR="00AE0C3D" w:rsidRPr="00E56E44" w:rsidRDefault="00AE0C3D" w:rsidP="008D1E93">
            <w:pPr>
              <w:rPr>
                <w:lang w:val="hu-HU"/>
              </w:rPr>
            </w:pPr>
          </w:p>
        </w:tc>
        <w:tc>
          <w:tcPr>
            <w:tcW w:w="3696" w:type="dxa"/>
            <w:gridSpan w:val="2"/>
          </w:tcPr>
          <w:p w14:paraId="2E15CAC8" w14:textId="77777777" w:rsidR="00AE0C3D" w:rsidRPr="00E56E44" w:rsidRDefault="00AE0C3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8. héten</w:t>
            </w:r>
          </w:p>
        </w:tc>
        <w:tc>
          <w:tcPr>
            <w:tcW w:w="3451" w:type="dxa"/>
            <w:gridSpan w:val="2"/>
          </w:tcPr>
          <w:p w14:paraId="15112D88" w14:textId="77777777" w:rsidR="00AE0C3D" w:rsidRPr="00E56E44" w:rsidRDefault="00AE0C3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8. héten</w:t>
            </w:r>
          </w:p>
        </w:tc>
      </w:tr>
      <w:tr w:rsidR="00AE0C3D" w:rsidRPr="001B0D61" w14:paraId="4402D062" w14:textId="77777777" w:rsidTr="008D1E93">
        <w:trPr>
          <w:trHeight w:val="2477"/>
        </w:trPr>
        <w:tc>
          <w:tcPr>
            <w:tcW w:w="1925" w:type="dxa"/>
          </w:tcPr>
          <w:p w14:paraId="2A450FC2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G1244E</w:t>
            </w:r>
            <w:r w:rsidRPr="001B0D61">
              <w:rPr>
                <w:i/>
                <w:spacing w:val="-3"/>
                <w:lang w:val="hu-HU"/>
              </w:rPr>
              <w:t xml:space="preserve"> </w:t>
            </w:r>
            <w:r w:rsidRPr="001B0D61">
              <w:rPr>
                <w:lang w:val="hu-HU"/>
              </w:rPr>
              <w:t>(5)</w:t>
            </w:r>
          </w:p>
          <w:p w14:paraId="367A5739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G1349D</w:t>
            </w:r>
            <w:r w:rsidRPr="001B0D61">
              <w:rPr>
                <w:i/>
                <w:spacing w:val="-4"/>
                <w:lang w:val="hu-HU"/>
              </w:rPr>
              <w:t xml:space="preserve"> </w:t>
            </w:r>
            <w:r w:rsidRPr="001B0D61">
              <w:rPr>
                <w:lang w:val="hu-HU"/>
              </w:rPr>
              <w:t>(2)</w:t>
            </w:r>
          </w:p>
          <w:p w14:paraId="0E710611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G178R</w:t>
            </w:r>
            <w:r w:rsidRPr="001B0D61">
              <w:rPr>
                <w:i/>
                <w:spacing w:val="-3"/>
                <w:lang w:val="hu-HU"/>
              </w:rPr>
              <w:t xml:space="preserve"> </w:t>
            </w:r>
            <w:r w:rsidRPr="001B0D61">
              <w:rPr>
                <w:lang w:val="hu-HU"/>
              </w:rPr>
              <w:t>(5)</w:t>
            </w:r>
          </w:p>
          <w:p w14:paraId="21028448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G551S</w:t>
            </w:r>
            <w:r w:rsidRPr="001B0D61">
              <w:rPr>
                <w:i/>
                <w:spacing w:val="-3"/>
                <w:lang w:val="hu-HU"/>
              </w:rPr>
              <w:t xml:space="preserve"> </w:t>
            </w:r>
            <w:r w:rsidRPr="001B0D61">
              <w:rPr>
                <w:lang w:val="hu-HU"/>
              </w:rPr>
              <w:t>(2)</w:t>
            </w:r>
          </w:p>
          <w:p w14:paraId="78998A48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G970R</w:t>
            </w:r>
            <w:r w:rsidRPr="001B0D61">
              <w:rPr>
                <w:i/>
                <w:vertAlign w:val="superscript"/>
                <w:lang w:val="hu-HU"/>
              </w:rPr>
              <w:t>#</w:t>
            </w:r>
            <w:r w:rsidRPr="001B0D61">
              <w:rPr>
                <w:i/>
                <w:lang w:val="hu-HU"/>
              </w:rPr>
              <w:t xml:space="preserve"> </w:t>
            </w:r>
            <w:r w:rsidRPr="001B0D61">
              <w:rPr>
                <w:lang w:val="hu-HU"/>
              </w:rPr>
              <w:t>(4)</w:t>
            </w:r>
          </w:p>
          <w:p w14:paraId="355ADAFA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S1251N</w:t>
            </w:r>
            <w:r w:rsidRPr="001B0D61">
              <w:rPr>
                <w:i/>
                <w:spacing w:val="-4"/>
                <w:lang w:val="hu-HU"/>
              </w:rPr>
              <w:t xml:space="preserve"> </w:t>
            </w:r>
            <w:r w:rsidRPr="001B0D61">
              <w:rPr>
                <w:lang w:val="hu-HU"/>
              </w:rPr>
              <w:t>(8)</w:t>
            </w:r>
          </w:p>
          <w:p w14:paraId="798F752B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S1255P</w:t>
            </w:r>
            <w:r w:rsidRPr="001B0D61">
              <w:rPr>
                <w:i/>
                <w:spacing w:val="-3"/>
                <w:lang w:val="hu-HU"/>
              </w:rPr>
              <w:t xml:space="preserve"> </w:t>
            </w:r>
            <w:r w:rsidRPr="001B0D61">
              <w:rPr>
                <w:lang w:val="hu-HU"/>
              </w:rPr>
              <w:t>(2)</w:t>
            </w:r>
          </w:p>
          <w:p w14:paraId="0F8EF659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S549N</w:t>
            </w:r>
            <w:r w:rsidRPr="001B0D61">
              <w:rPr>
                <w:i/>
                <w:spacing w:val="-5"/>
                <w:lang w:val="hu-HU"/>
              </w:rPr>
              <w:t xml:space="preserve"> </w:t>
            </w:r>
            <w:r w:rsidRPr="001B0D61">
              <w:rPr>
                <w:lang w:val="hu-HU"/>
              </w:rPr>
              <w:t>(6)</w:t>
            </w:r>
          </w:p>
          <w:p w14:paraId="7A8D7464" w14:textId="77777777" w:rsidR="00AE0C3D" w:rsidRPr="00E56E44" w:rsidRDefault="00AE0C3D" w:rsidP="008D1E93">
            <w:pPr>
              <w:rPr>
                <w:lang w:val="hu-HU"/>
              </w:rPr>
            </w:pPr>
            <w:r w:rsidRPr="001B0D61">
              <w:rPr>
                <w:i/>
                <w:lang w:val="hu-HU"/>
              </w:rPr>
              <w:t>S549R</w:t>
            </w:r>
            <w:r w:rsidRPr="001B0D61">
              <w:rPr>
                <w:i/>
                <w:spacing w:val="-3"/>
                <w:lang w:val="hu-HU"/>
              </w:rPr>
              <w:t xml:space="preserve"> </w:t>
            </w:r>
            <w:r w:rsidRPr="001B0D61">
              <w:rPr>
                <w:lang w:val="hu-HU"/>
              </w:rPr>
              <w:t>(4)</w:t>
            </w:r>
          </w:p>
        </w:tc>
        <w:tc>
          <w:tcPr>
            <w:tcW w:w="3696" w:type="dxa"/>
            <w:gridSpan w:val="2"/>
          </w:tcPr>
          <w:p w14:paraId="1FB72C26" w14:textId="52B52D8F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-55 (-75;</w:t>
            </w:r>
            <w:r w:rsidR="00AE0C3D" w:rsidRPr="001B0D61">
              <w:rPr>
                <w:spacing w:val="-6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-34)</w:t>
            </w:r>
          </w:p>
          <w:p w14:paraId="51255F2F" w14:textId="3FFAFF65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-80 (-82;</w:t>
            </w:r>
            <w:r w:rsidR="00AE0C3D" w:rsidRPr="001B0D61">
              <w:rPr>
                <w:spacing w:val="-6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-79)</w:t>
            </w:r>
          </w:p>
          <w:p w14:paraId="21C15C74" w14:textId="226955E4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-53 (-65;</w:t>
            </w:r>
            <w:r w:rsidR="00AE0C3D" w:rsidRPr="001B0D61">
              <w:rPr>
                <w:spacing w:val="-6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-35)</w:t>
            </w:r>
          </w:p>
          <w:p w14:paraId="12048178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-68†</w:t>
            </w:r>
          </w:p>
          <w:p w14:paraId="51E79C54" w14:textId="03522D0A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-6 (-16;</w:t>
            </w:r>
            <w:r w:rsidR="00AE0C3D" w:rsidRPr="001B0D61">
              <w:rPr>
                <w:lang w:val="hu-HU"/>
              </w:rPr>
              <w:t xml:space="preserve"> -2)</w:t>
            </w:r>
          </w:p>
          <w:p w14:paraId="3D652426" w14:textId="516683BD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-54 (-84;</w:t>
            </w:r>
            <w:r w:rsidR="00AE0C3D" w:rsidRPr="001B0D61">
              <w:rPr>
                <w:lang w:val="hu-HU"/>
              </w:rPr>
              <w:t xml:space="preserve"> -7)</w:t>
            </w:r>
          </w:p>
          <w:p w14:paraId="6C289347" w14:textId="7F883207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-78 (-82;</w:t>
            </w:r>
            <w:r w:rsidR="00AE0C3D" w:rsidRPr="001B0D61">
              <w:rPr>
                <w:spacing w:val="-6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-74)</w:t>
            </w:r>
          </w:p>
          <w:p w14:paraId="6BA703F3" w14:textId="4E04E578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-74 (-93;</w:t>
            </w:r>
            <w:r w:rsidR="00AE0C3D" w:rsidRPr="001B0D61">
              <w:rPr>
                <w:spacing w:val="-6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-53)</w:t>
            </w:r>
          </w:p>
          <w:p w14:paraId="014F768B" w14:textId="4706581F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-61</w:t>
            </w:r>
            <w:r w:rsidRPr="001B0D61">
              <w:rPr>
                <w:vertAlign w:val="superscript"/>
                <w:lang w:val="hu-HU"/>
              </w:rPr>
              <w:t>††</w:t>
            </w:r>
            <w:r w:rsidR="00DD63C3">
              <w:rPr>
                <w:lang w:val="hu-HU"/>
              </w:rPr>
              <w:t xml:space="preserve"> (-71;</w:t>
            </w:r>
            <w:r w:rsidRPr="001B0D61">
              <w:rPr>
                <w:lang w:val="hu-HU"/>
              </w:rPr>
              <w:t xml:space="preserve"> -54)</w:t>
            </w:r>
          </w:p>
        </w:tc>
        <w:tc>
          <w:tcPr>
            <w:tcW w:w="3451" w:type="dxa"/>
            <w:gridSpan w:val="2"/>
          </w:tcPr>
          <w:p w14:paraId="6083704F" w14:textId="7019A5E8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8 (-1;</w:t>
            </w:r>
            <w:r w:rsidR="00AE0C3D" w:rsidRPr="001B0D61">
              <w:rPr>
                <w:spacing w:val="-3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18)</w:t>
            </w:r>
          </w:p>
          <w:p w14:paraId="2D788149" w14:textId="290473A4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20 (3;</w:t>
            </w:r>
            <w:r w:rsidR="00AE0C3D" w:rsidRPr="001B0D61">
              <w:rPr>
                <w:spacing w:val="-3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36)</w:t>
            </w:r>
          </w:p>
          <w:p w14:paraId="030492C2" w14:textId="208214D1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8 (-1;</w:t>
            </w:r>
            <w:r w:rsidR="00AE0C3D" w:rsidRPr="001B0D61">
              <w:rPr>
                <w:spacing w:val="-3"/>
                <w:lang w:val="hu-HU"/>
              </w:rPr>
              <w:t xml:space="preserve"> </w:t>
            </w:r>
            <w:r w:rsidR="00AE0C3D" w:rsidRPr="001B0D61">
              <w:rPr>
                <w:lang w:val="hu-HU"/>
              </w:rPr>
              <w:t>18)</w:t>
            </w:r>
          </w:p>
          <w:p w14:paraId="617EC9A8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3</w:t>
            </w:r>
            <w:r w:rsidRPr="001B0D61">
              <w:rPr>
                <w:vertAlign w:val="superscript"/>
                <w:lang w:val="hu-HU"/>
              </w:rPr>
              <w:t>†</w:t>
            </w:r>
          </w:p>
          <w:p w14:paraId="580B202D" w14:textId="635FECB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3</w:t>
            </w:r>
            <w:r w:rsidR="00DD63C3">
              <w:rPr>
                <w:lang w:val="hu-HU"/>
              </w:rPr>
              <w:t xml:space="preserve"> (-1;</w:t>
            </w:r>
            <w:r w:rsidRPr="001B0D61">
              <w:rPr>
                <w:lang w:val="hu-HU"/>
              </w:rPr>
              <w:t xml:space="preserve"> 5)</w:t>
            </w:r>
          </w:p>
          <w:p w14:paraId="3DDE4FA4" w14:textId="58DD9E4E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9 (-20;</w:t>
            </w:r>
            <w:r w:rsidR="00AE0C3D" w:rsidRPr="001B0D61">
              <w:rPr>
                <w:lang w:val="hu-HU"/>
              </w:rPr>
              <w:t xml:space="preserve"> 21)</w:t>
            </w:r>
          </w:p>
          <w:p w14:paraId="14A212A2" w14:textId="42BAA8DF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3 (-1;</w:t>
            </w:r>
            <w:r w:rsidR="00AE0C3D" w:rsidRPr="001B0D61">
              <w:rPr>
                <w:lang w:val="hu-HU"/>
              </w:rPr>
              <w:t xml:space="preserve"> 8)</w:t>
            </w:r>
          </w:p>
          <w:p w14:paraId="28B19257" w14:textId="5DF0196D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11 (-2;</w:t>
            </w:r>
            <w:r w:rsidR="00AE0C3D" w:rsidRPr="001B0D61">
              <w:rPr>
                <w:lang w:val="hu-HU"/>
              </w:rPr>
              <w:t xml:space="preserve"> 20)</w:t>
            </w:r>
          </w:p>
          <w:p w14:paraId="3F47E401" w14:textId="5B329B14" w:rsidR="00AE0C3D" w:rsidRPr="00E56E44" w:rsidRDefault="00DD63C3" w:rsidP="008D1E93">
            <w:pPr>
              <w:jc w:val="center"/>
              <w:rPr>
                <w:lang w:val="hu-HU"/>
              </w:rPr>
            </w:pPr>
            <w:r>
              <w:rPr>
                <w:lang w:val="hu-HU"/>
              </w:rPr>
              <w:t>5 (-3;</w:t>
            </w:r>
            <w:r w:rsidR="00AE0C3D" w:rsidRPr="001B0D61">
              <w:rPr>
                <w:lang w:val="hu-HU"/>
              </w:rPr>
              <w:t xml:space="preserve"> 13)</w:t>
            </w:r>
          </w:p>
        </w:tc>
      </w:tr>
    </w:tbl>
    <w:p w14:paraId="3B010729" w14:textId="77777777" w:rsidR="00AE0C3D" w:rsidRPr="001B0D61" w:rsidRDefault="00AE0C3D" w:rsidP="00AE0C3D">
      <w:pPr>
        <w:tabs>
          <w:tab w:val="left" w:pos="426"/>
        </w:tabs>
      </w:pPr>
      <w:r w:rsidRPr="00E56E44">
        <w:rPr>
          <w:spacing w:val="-10"/>
          <w:sz w:val="20"/>
          <w:vertAlign w:val="superscript"/>
        </w:rPr>
        <w:t>*</w:t>
      </w:r>
      <w:r w:rsidRPr="00E56E44">
        <w:rPr>
          <w:spacing w:val="-10"/>
          <w:sz w:val="20"/>
          <w:vertAlign w:val="superscript"/>
        </w:rPr>
        <w:tab/>
      </w:r>
      <w:r w:rsidRPr="001B0D61">
        <w:t>Az egyedi mutációk kis száma miatt statisztikai próba nem</w:t>
      </w:r>
      <w:r w:rsidRPr="001B0D61">
        <w:rPr>
          <w:spacing w:val="-9"/>
        </w:rPr>
        <w:t xml:space="preserve"> </w:t>
      </w:r>
      <w:r w:rsidRPr="001B0D61">
        <w:t>történt.</w:t>
      </w:r>
    </w:p>
    <w:p w14:paraId="317C7548" w14:textId="77777777" w:rsidR="00AE0C3D" w:rsidRPr="001B0D61" w:rsidRDefault="00AE0C3D" w:rsidP="00AE0C3D">
      <w:pPr>
        <w:tabs>
          <w:tab w:val="left" w:pos="284"/>
          <w:tab w:val="left" w:pos="426"/>
        </w:tabs>
      </w:pPr>
      <w:r w:rsidRPr="00E56E44">
        <w:rPr>
          <w:spacing w:val="-10"/>
          <w:sz w:val="20"/>
          <w:vertAlign w:val="superscript"/>
        </w:rPr>
        <w:t>†</w:t>
      </w:r>
      <w:r w:rsidRPr="00E56E44">
        <w:rPr>
          <w:spacing w:val="-10"/>
          <w:sz w:val="20"/>
          <w:vertAlign w:val="superscript"/>
        </w:rPr>
        <w:tab/>
      </w:r>
      <w:r w:rsidRPr="00E56E44">
        <w:rPr>
          <w:spacing w:val="-10"/>
          <w:sz w:val="20"/>
          <w:vertAlign w:val="superscript"/>
        </w:rPr>
        <w:tab/>
      </w:r>
      <w:r w:rsidRPr="001B0D61">
        <w:t xml:space="preserve">A </w:t>
      </w:r>
      <w:r w:rsidRPr="001B0D61">
        <w:rPr>
          <w:i/>
        </w:rPr>
        <w:t>G551S-</w:t>
      </w:r>
      <w:r w:rsidRPr="001B0D61">
        <w:t>mutációt hordozó egyetlen beteg eredményeit tükrözi a 8 hetes időpont</w:t>
      </w:r>
      <w:r w:rsidRPr="001B0D61">
        <w:rPr>
          <w:spacing w:val="-15"/>
        </w:rPr>
        <w:t xml:space="preserve"> </w:t>
      </w:r>
      <w:r w:rsidRPr="001B0D61">
        <w:t>adataival.</w:t>
      </w:r>
    </w:p>
    <w:p w14:paraId="0EAC0647" w14:textId="77777777" w:rsidR="00AE0C3D" w:rsidRPr="001B0D61" w:rsidRDefault="00AE0C3D" w:rsidP="00AE0C3D">
      <w:pPr>
        <w:tabs>
          <w:tab w:val="left" w:pos="426"/>
        </w:tabs>
      </w:pPr>
      <w:r w:rsidRPr="00E56E44">
        <w:rPr>
          <w:sz w:val="20"/>
          <w:vertAlign w:val="superscript"/>
        </w:rPr>
        <w:t>††</w:t>
      </w:r>
      <w:r w:rsidRPr="001B0D61">
        <w:rPr>
          <w:position w:val="7"/>
        </w:rPr>
        <w:t xml:space="preserve"> </w:t>
      </w:r>
      <w:r w:rsidRPr="001B0D61">
        <w:rPr>
          <w:position w:val="7"/>
        </w:rPr>
        <w:tab/>
      </w:r>
      <w:r w:rsidRPr="001B0D61">
        <w:t>n = 3 a verejték kloridszintjében bekövetkezett abszolút változás esetében.</w:t>
      </w:r>
    </w:p>
    <w:p w14:paraId="78799154" w14:textId="77777777" w:rsidR="00AE0C3D" w:rsidRPr="001B0D61" w:rsidRDefault="00AE0C3D" w:rsidP="00AE0C3D">
      <w:pPr>
        <w:tabs>
          <w:tab w:val="left" w:pos="426"/>
        </w:tabs>
        <w:ind w:left="426" w:hanging="426"/>
      </w:pPr>
      <w:r w:rsidRPr="00E56E44">
        <w:rPr>
          <w:spacing w:val="-10"/>
          <w:sz w:val="20"/>
          <w:vertAlign w:val="superscript"/>
        </w:rPr>
        <w:t>#</w:t>
      </w:r>
      <w:r w:rsidRPr="00E56E44">
        <w:rPr>
          <w:spacing w:val="-10"/>
          <w:sz w:val="20"/>
          <w:vertAlign w:val="superscript"/>
        </w:rPr>
        <w:tab/>
      </w:r>
      <w:r w:rsidRPr="001B0D61">
        <w:t>Hasítási („splicing”) defektust okoz, melynek eredményeként a CFTR protein kis mennyiségben vagy egyáltalán nem található meg a</w:t>
      </w:r>
      <w:r w:rsidRPr="001B0D61">
        <w:rPr>
          <w:spacing w:val="-4"/>
        </w:rPr>
        <w:t xml:space="preserve"> </w:t>
      </w:r>
      <w:r w:rsidRPr="001B0D61">
        <w:t>sejtfelszínen.</w:t>
      </w:r>
    </w:p>
    <w:p w14:paraId="1D1CD0AE" w14:textId="77777777" w:rsidR="00AE0C3D" w:rsidRDefault="00AE0C3D" w:rsidP="00EE208D"/>
    <w:p w14:paraId="3AC7C08E" w14:textId="6DCFF255" w:rsidR="00EE208D" w:rsidRPr="001B0D61" w:rsidRDefault="00EE208D" w:rsidP="00EE208D">
      <w:r w:rsidRPr="001B0D61">
        <w:t>A 770-111. vizsgálat 2. részében a várt FEV</w:t>
      </w:r>
      <w:r w:rsidRPr="001B0D61">
        <w:rPr>
          <w:vertAlign w:val="subscript"/>
        </w:rPr>
        <w:t>1</w:t>
      </w:r>
      <w:r w:rsidRPr="001B0D61">
        <w:t xml:space="preserve"> százalékos értékében bekövetkezett átlagos (SD) abszolút változás 16 hetes folyamatos ivakaftor-kezelést követően (a vizsgálat 1. részében az ivakaftor/placebo kezelési szekvenciát követő csoportba randomizált betegek esetében) 10,4% (13,2%) volt. Az utánkövetési viziten, 4 héttel az ivakaftor adagolásának befejezését követően a várt FEV</w:t>
      </w:r>
      <w:r w:rsidRPr="001B0D61">
        <w:rPr>
          <w:vertAlign w:val="subscript"/>
        </w:rPr>
        <w:t>1</w:t>
      </w:r>
      <w:r w:rsidRPr="001B0D61">
        <w:t xml:space="preserve"> százalékos értékében bekövetkezett átlagos (SD) abszolút változás a 2. rész 16. hetétől -5,9% (9,4%) volt. A vizsgálat 1. részében a placebo/ivakaftor kezelési szekvenciát követő csoportba randomizált betegek esetében további 3,3%-os (9,3%-os) átlagos (SD) változás következett be a várt FEV</w:t>
      </w:r>
      <w:r w:rsidRPr="001B0D61">
        <w:rPr>
          <w:vertAlign w:val="subscript"/>
        </w:rPr>
        <w:t>1</w:t>
      </w:r>
      <w:r w:rsidRPr="001B0D61">
        <w:t xml:space="preserve"> százalékos értékében a további 16 hetes ivakaftor</w:t>
      </w:r>
      <w:r w:rsidR="00CE0849">
        <w:t>-</w:t>
      </w:r>
      <w:r w:rsidRPr="001B0D61">
        <w:t>kezelés után. Az utánkövetési viziten, 4 héttel az ivakaftor adagolásának befejezését követően a várt FEV</w:t>
      </w:r>
      <w:r w:rsidRPr="001B0D61">
        <w:rPr>
          <w:vertAlign w:val="subscript"/>
        </w:rPr>
        <w:t>1</w:t>
      </w:r>
      <w:r w:rsidRPr="001B0D61">
        <w:t xml:space="preserve"> százalékos értékében bekövetkezett átlagos (SD) abszolút változás a 2. rész 16. hetétől -7,4% (5,5%) volt.</w:t>
      </w:r>
    </w:p>
    <w:p w14:paraId="1C32D54A" w14:textId="77777777" w:rsidR="00EE208D" w:rsidRPr="001B0D61" w:rsidRDefault="00EE208D" w:rsidP="00EE208D"/>
    <w:p w14:paraId="652D3938" w14:textId="77777777" w:rsidR="00EE208D" w:rsidRPr="001B0D61" w:rsidRDefault="00EE208D" w:rsidP="00EE208D">
      <w:pPr>
        <w:rPr>
          <w:i/>
        </w:rPr>
      </w:pPr>
      <w:r w:rsidRPr="001B0D61">
        <w:rPr>
          <w:i/>
          <w:u w:val="single"/>
        </w:rPr>
        <w:t>770-104. vizsgálat: a CFTR-génen F508del-mutációval rendelkező CF-os betegek bevonásával végzett</w:t>
      </w:r>
      <w:r w:rsidRPr="001B0D61">
        <w:rPr>
          <w:i/>
        </w:rPr>
        <w:t xml:space="preserve"> </w:t>
      </w:r>
      <w:r w:rsidRPr="001B0D61">
        <w:rPr>
          <w:i/>
          <w:u w:val="single"/>
        </w:rPr>
        <w:t>vizsgálat</w:t>
      </w:r>
    </w:p>
    <w:p w14:paraId="12F9022C" w14:textId="77777777" w:rsidR="00EE208D" w:rsidRPr="001B0D61" w:rsidRDefault="00EE208D" w:rsidP="00EE208D">
      <w:pPr>
        <w:rPr>
          <w:i/>
        </w:rPr>
      </w:pPr>
    </w:p>
    <w:p w14:paraId="75D509E1" w14:textId="5D90953F" w:rsidR="00EE208D" w:rsidRPr="001B0D61" w:rsidRDefault="00EE208D" w:rsidP="00EE208D">
      <w:r w:rsidRPr="001B0D61">
        <w:t>A 770-104. vizsgálat (A-része) egy 16 hetes, 4:1 arányú randomizációval végzett kettős</w:t>
      </w:r>
      <w:r w:rsidR="00B64176">
        <w:t xml:space="preserve"> </w:t>
      </w:r>
      <w:r w:rsidRPr="001B0D61">
        <w:t xml:space="preserve">vak, placebokontrollos, párhuzamos csoportos, II. fázisú vizsgálat volt, amelyet az ivakaftorral végeztek (12 óránként 150 mg) 140, olyan, CF-ben szenvedő, 12 éves és idősebb beteg bevonásával, akik a </w:t>
      </w:r>
      <w:r w:rsidRPr="001B0D61">
        <w:rPr>
          <w:i/>
        </w:rPr>
        <w:t>CFTR</w:t>
      </w:r>
      <w:r w:rsidRPr="001B0D61">
        <w:t xml:space="preserve">-génen lévő </w:t>
      </w:r>
      <w:r w:rsidRPr="001B0D61">
        <w:rPr>
          <w:i/>
        </w:rPr>
        <w:t>F508del</w:t>
      </w:r>
      <w:r w:rsidRPr="001B0D61">
        <w:t>-mutációra nézve homozigóták voltak, és a várt FEV</w:t>
      </w:r>
      <w:r w:rsidRPr="001B0D61">
        <w:rPr>
          <w:vertAlign w:val="subscript"/>
        </w:rPr>
        <w:t>1</w:t>
      </w:r>
      <w:r w:rsidRPr="001B0D61">
        <w:t>-értékük legalább 40% volt.</w:t>
      </w:r>
    </w:p>
    <w:p w14:paraId="08E8E9EA" w14:textId="77777777" w:rsidR="00EE208D" w:rsidRPr="001B0D61" w:rsidRDefault="00EE208D" w:rsidP="00EE208D"/>
    <w:p w14:paraId="6A625C25" w14:textId="0EBA8129" w:rsidR="00EE208D" w:rsidRPr="001B0D61" w:rsidRDefault="00EE208D" w:rsidP="00EE208D">
      <w:r w:rsidRPr="001B0D61">
        <w:t>A várt FEV</w:t>
      </w:r>
      <w:r w:rsidRPr="001B0D61">
        <w:rPr>
          <w:vertAlign w:val="subscript"/>
        </w:rPr>
        <w:t>1</w:t>
      </w:r>
      <w:r w:rsidRPr="001B0D61">
        <w:t xml:space="preserve"> százalékos értékében a kiindulási értéktől a 16. hét</w:t>
      </w:r>
      <w:r w:rsidR="00CE0849">
        <w:t>re</w:t>
      </w:r>
      <w:r w:rsidRPr="001B0D61">
        <w:t xml:space="preserve"> bekövetkezett átlagos abszolút változás (elsődleges hatásossági végpont) 1,5 százalékpont volt az ivakaftor-csoportban és -0,2 százalékpont a placebo csoportban. Az ivakaftor és a placebo közötti becsült kezelési különbség 1,7 százalékpont (95%-os CI: –0,6; 4,1) volt. Ez a különbség nem volt statisztikailag szignifikáns (</w:t>
      </w:r>
      <w:r w:rsidRPr="001B0D61">
        <w:rPr>
          <w:i/>
        </w:rPr>
        <w:t>P </w:t>
      </w:r>
      <w:r w:rsidRPr="001B0D61">
        <w:t>= 0,15).</w:t>
      </w:r>
    </w:p>
    <w:p w14:paraId="5A75E2BD" w14:textId="77777777" w:rsidR="00EE208D" w:rsidRPr="001B0D61" w:rsidRDefault="00EE208D" w:rsidP="00EE208D"/>
    <w:p w14:paraId="77884AB1" w14:textId="77777777" w:rsidR="00EE208D" w:rsidRPr="001B0D61" w:rsidRDefault="00EE208D" w:rsidP="00EE208D">
      <w:pPr>
        <w:rPr>
          <w:i/>
        </w:rPr>
      </w:pPr>
      <w:r w:rsidRPr="001B0D61">
        <w:rPr>
          <w:i/>
          <w:u w:val="single"/>
        </w:rPr>
        <w:t>770-105. vizsgálat: nyílt elrendezésű, kiterjesztett vizsgálat</w:t>
      </w:r>
    </w:p>
    <w:p w14:paraId="42A666EE" w14:textId="77777777" w:rsidR="00EE208D" w:rsidRPr="001B0D61" w:rsidRDefault="00EE208D" w:rsidP="00EE208D">
      <w:pPr>
        <w:rPr>
          <w:i/>
        </w:rPr>
      </w:pPr>
    </w:p>
    <w:p w14:paraId="04C79168" w14:textId="77777777" w:rsidR="00EE208D" w:rsidRPr="001B0D61" w:rsidRDefault="00EE208D" w:rsidP="00EE208D">
      <w:r w:rsidRPr="001B0D61">
        <w:t xml:space="preserve">A 770-105. vizsgálatban azokat a betegeket, akik a 770-102. és 770-103. vizsgálatokban a placebóval végzett kezelést fejezték be, átállították ivakaftorra, míg az ivakaftor-kezelésben részesülő betegek továbbra is az ivakaftort kapták legalább 96 héten át, vagyis az ivakaftorral végzett kezelés időtartama legalább 96 hét volt a placebo/ivakaftor-csoportban, és legalább 144 hét az ivakaftor/ivakaftor-csoportban. </w:t>
      </w:r>
    </w:p>
    <w:p w14:paraId="7721E732" w14:textId="77777777" w:rsidR="00EE208D" w:rsidRPr="001B0D61" w:rsidRDefault="00EE208D" w:rsidP="00EE208D"/>
    <w:p w14:paraId="6AAF4DA4" w14:textId="77777777" w:rsidR="00EE208D" w:rsidRPr="001B0D61" w:rsidRDefault="00EE208D" w:rsidP="00EE208D">
      <w:r w:rsidRPr="001B0D61">
        <w:t>A 770-102. vizsgálatból 144 beteg került át a 770-105. vizsgálatba, 67 beteg a placebo/ivakaftor-csoportba, 77 beteg pedig az ivakaftor/ivakaftor-csoportba. A 770-103. vizsgálatból 48 beteg került át a 770-105. vizsgálatba, 22 beteg a placebo/ivakaftor-csoportba, 26 beteg pedig az ivakaftor/ivakaftor-csoportba.</w:t>
      </w:r>
    </w:p>
    <w:p w14:paraId="62427CBE" w14:textId="77777777" w:rsidR="00EE208D" w:rsidRPr="001B0D61" w:rsidRDefault="00EE208D" w:rsidP="00EE208D"/>
    <w:p w14:paraId="2BB88201" w14:textId="749B3A0F" w:rsidR="00EE208D" w:rsidRPr="001B0D61" w:rsidRDefault="00EE208D" w:rsidP="00EE208D">
      <w:r w:rsidRPr="001B0D61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D8DBA35" wp14:editId="17DDEDA2">
                <wp:simplePos x="0" y="0"/>
                <wp:positionH relativeFrom="page">
                  <wp:posOffset>2580005</wp:posOffset>
                </wp:positionH>
                <wp:positionV relativeFrom="paragraph">
                  <wp:posOffset>145415</wp:posOffset>
                </wp:positionV>
                <wp:extent cx="34925" cy="6985"/>
                <wp:effectExtent l="0" t="0" r="0" b="0"/>
                <wp:wrapNone/>
                <wp:docPr id="1002462585" name="Téglala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F4C2F06" id="Téglalap 3" o:spid="_x0000_s1026" style="position:absolute;margin-left:203.15pt;margin-top:11.45pt;width:2.75pt;height: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" fillcolor="black" stroked="f">
                <w10:wrap anchorx="page"/>
              </v:rect>
            </w:pict>
          </mc:Fallback>
        </mc:AlternateContent>
      </w:r>
      <w:r w:rsidRPr="001B0D61">
        <w:t xml:space="preserve">A </w:t>
      </w:r>
      <w:r w:rsidR="00282656">
        <w:t>8</w:t>
      </w:r>
      <w:r w:rsidRPr="001B0D61">
        <w:t>. táblázat mutatja be a várt FEV</w:t>
      </w:r>
      <w:r w:rsidRPr="001B0D61">
        <w:rPr>
          <w:vertAlign w:val="subscript"/>
        </w:rPr>
        <w:t>1</w:t>
      </w:r>
      <w:r w:rsidRPr="001B0D61">
        <w:t xml:space="preserve"> százalékos értékében bekövetkezett átlagos (SD) abszolút változás eredményeit mindkét betegcsoportban. A placebo/ivakaftor-csoport betegei esetében a várt FEV</w:t>
      </w:r>
      <w:r w:rsidRPr="001B0D61">
        <w:rPr>
          <w:vertAlign w:val="subscript"/>
        </w:rPr>
        <w:t>1</w:t>
      </w:r>
      <w:r w:rsidRPr="001B0D61">
        <w:t xml:space="preserve"> kiindulási százalékos értéke megegyezik a 770-105. vizsgálatéval, míg az ivakaftor/ivakaftor-csoport betegei esetében a kiindulási érték megegyezik a 770-102. és 770-103. vizsgálatéval.</w:t>
      </w:r>
    </w:p>
    <w:p w14:paraId="6060394D" w14:textId="77777777" w:rsidR="00EE208D" w:rsidRPr="001B0D61" w:rsidRDefault="00EE208D" w:rsidP="00EE208D"/>
    <w:p w14:paraId="6683301D" w14:textId="6917892B" w:rsidR="00EE208D" w:rsidRPr="001B0D61" w:rsidRDefault="00282656" w:rsidP="00EE208D">
      <w:pPr>
        <w:tabs>
          <w:tab w:val="left" w:pos="284"/>
        </w:tabs>
        <w:rPr>
          <w:b/>
          <w:bCs/>
        </w:rPr>
      </w:pPr>
      <w:r>
        <w:rPr>
          <w:b/>
          <w:bCs/>
        </w:rPr>
        <w:t>8</w:t>
      </w:r>
      <w:r w:rsidR="00EE208D" w:rsidRPr="001B0D61">
        <w:rPr>
          <w:b/>
          <w:bCs/>
        </w:rPr>
        <w:t>.</w:t>
      </w:r>
      <w:r w:rsidR="00EE208D" w:rsidRPr="001B0D61">
        <w:rPr>
          <w:b/>
          <w:bCs/>
        </w:rPr>
        <w:tab/>
        <w:t>táblázat: Az ivakaftor hatása a várt FEV</w:t>
      </w:r>
      <w:r w:rsidR="00EE208D" w:rsidRPr="001B0D61">
        <w:rPr>
          <w:b/>
          <w:bCs/>
          <w:vertAlign w:val="subscript"/>
        </w:rPr>
        <w:t>1</w:t>
      </w:r>
      <w:r w:rsidR="00EE208D" w:rsidRPr="001B0D61">
        <w:rPr>
          <w:b/>
          <w:bCs/>
          <w:position w:val="-5"/>
          <w:vertAlign w:val="subscript"/>
        </w:rPr>
        <w:t xml:space="preserve"> </w:t>
      </w:r>
      <w:r w:rsidR="00EE208D" w:rsidRPr="001B0D61">
        <w:rPr>
          <w:b/>
          <w:bCs/>
        </w:rPr>
        <w:t>százalékos értékére a 770-105.</w:t>
      </w:r>
      <w:r w:rsidR="00EE208D" w:rsidRPr="001B0D61">
        <w:rPr>
          <w:b/>
          <w:bCs/>
          <w:spacing w:val="-16"/>
        </w:rPr>
        <w:t xml:space="preserve"> </w:t>
      </w:r>
      <w:r w:rsidR="00EE208D" w:rsidRPr="001B0D61">
        <w:rPr>
          <w:b/>
          <w:bCs/>
        </w:rPr>
        <w:t>vizsgálatban</w:t>
      </w:r>
    </w:p>
    <w:p w14:paraId="51D9AD03" w14:textId="77777777" w:rsidR="00EE208D" w:rsidRDefault="00EE208D" w:rsidP="00EE208D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3"/>
        <w:gridCol w:w="2445"/>
        <w:gridCol w:w="2091"/>
        <w:gridCol w:w="2303"/>
      </w:tblGrid>
      <w:tr w:rsidR="00AE0C3D" w:rsidRPr="001B0D61" w14:paraId="23605D84" w14:textId="77777777" w:rsidTr="008D1E93">
        <w:trPr>
          <w:trHeight w:val="807"/>
        </w:trPr>
        <w:tc>
          <w:tcPr>
            <w:tcW w:w="2233" w:type="dxa"/>
          </w:tcPr>
          <w:p w14:paraId="589E0EFD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Eredeti vizsgálat és kezelési csoport</w:t>
            </w:r>
          </w:p>
        </w:tc>
        <w:tc>
          <w:tcPr>
            <w:tcW w:w="2445" w:type="dxa"/>
          </w:tcPr>
          <w:p w14:paraId="42B1D69B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Az ivakaftor-kezelés időtartama (hetek)</w:t>
            </w:r>
          </w:p>
        </w:tc>
        <w:tc>
          <w:tcPr>
            <w:tcW w:w="4394" w:type="dxa"/>
            <w:gridSpan w:val="2"/>
          </w:tcPr>
          <w:p w14:paraId="3B82C8DB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 várt FEV</w:t>
            </w:r>
            <w:r w:rsidRPr="001B0D61">
              <w:rPr>
                <w:b/>
                <w:bCs/>
                <w:vertAlign w:val="subscript"/>
                <w:lang w:val="hu-HU"/>
              </w:rPr>
              <w:t>1</w:t>
            </w:r>
            <w:r w:rsidRPr="001B0D61">
              <w:rPr>
                <w:b/>
                <w:bCs/>
                <w:lang w:val="hu-HU"/>
              </w:rPr>
              <w:t xml:space="preserve"> százalékos értékében a vizsgálat megkezdéséhez képest bekövetkezett abszolút változás (százalékpont)</w:t>
            </w:r>
          </w:p>
        </w:tc>
      </w:tr>
      <w:tr w:rsidR="00AE0C3D" w:rsidRPr="001B0D61" w14:paraId="1E095ACE" w14:textId="77777777" w:rsidTr="008D1E93">
        <w:trPr>
          <w:trHeight w:val="252"/>
        </w:trPr>
        <w:tc>
          <w:tcPr>
            <w:tcW w:w="2233" w:type="dxa"/>
          </w:tcPr>
          <w:p w14:paraId="42F05045" w14:textId="77777777" w:rsidR="00AE0C3D" w:rsidRPr="00E56E44" w:rsidRDefault="00AE0C3D" w:rsidP="008D1E93">
            <w:pPr>
              <w:rPr>
                <w:lang w:val="hu-HU"/>
              </w:rPr>
            </w:pPr>
          </w:p>
        </w:tc>
        <w:tc>
          <w:tcPr>
            <w:tcW w:w="2445" w:type="dxa"/>
          </w:tcPr>
          <w:p w14:paraId="18442D34" w14:textId="77777777" w:rsidR="00AE0C3D" w:rsidRPr="00E56E44" w:rsidRDefault="00AE0C3D" w:rsidP="008D1E93">
            <w:pPr>
              <w:rPr>
                <w:lang w:val="hu-HU"/>
              </w:rPr>
            </w:pPr>
          </w:p>
        </w:tc>
        <w:tc>
          <w:tcPr>
            <w:tcW w:w="2091" w:type="dxa"/>
          </w:tcPr>
          <w:p w14:paraId="0A86D7F8" w14:textId="77777777" w:rsidR="00AE0C3D" w:rsidRPr="00E56E44" w:rsidRDefault="00AE0C3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w w:val="99"/>
                <w:lang w:val="hu-HU"/>
              </w:rPr>
              <w:t>n</w:t>
            </w:r>
          </w:p>
        </w:tc>
        <w:tc>
          <w:tcPr>
            <w:tcW w:w="2303" w:type="dxa"/>
          </w:tcPr>
          <w:p w14:paraId="721801C8" w14:textId="77777777" w:rsidR="00AE0C3D" w:rsidRPr="00E56E44" w:rsidRDefault="00AE0C3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Átlag (SD)</w:t>
            </w:r>
          </w:p>
        </w:tc>
      </w:tr>
      <w:tr w:rsidR="00AE0C3D" w:rsidRPr="001B0D61" w14:paraId="18DA8F44" w14:textId="77777777" w:rsidTr="008D1E93">
        <w:trPr>
          <w:trHeight w:val="252"/>
        </w:trPr>
        <w:tc>
          <w:tcPr>
            <w:tcW w:w="9072" w:type="dxa"/>
            <w:gridSpan w:val="4"/>
          </w:tcPr>
          <w:p w14:paraId="67ED6222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770-102. vizsgálat</w:t>
            </w:r>
          </w:p>
        </w:tc>
      </w:tr>
      <w:tr w:rsidR="00AE0C3D" w:rsidRPr="001B0D61" w14:paraId="31527189" w14:textId="77777777" w:rsidTr="008D1E93">
        <w:trPr>
          <w:trHeight w:val="252"/>
        </w:trPr>
        <w:tc>
          <w:tcPr>
            <w:tcW w:w="2233" w:type="dxa"/>
          </w:tcPr>
          <w:p w14:paraId="13B6E02C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Ivakaftor</w:t>
            </w:r>
          </w:p>
        </w:tc>
        <w:tc>
          <w:tcPr>
            <w:tcW w:w="2445" w:type="dxa"/>
          </w:tcPr>
          <w:p w14:paraId="69C2C1DD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48</w:t>
            </w:r>
            <w:r w:rsidRPr="001B0D61">
              <w:rPr>
                <w:vertAlign w:val="superscript"/>
                <w:lang w:val="hu-HU"/>
              </w:rPr>
              <w:t>*</w:t>
            </w:r>
          </w:p>
        </w:tc>
        <w:tc>
          <w:tcPr>
            <w:tcW w:w="2091" w:type="dxa"/>
          </w:tcPr>
          <w:p w14:paraId="6F9418DE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77</w:t>
            </w:r>
          </w:p>
        </w:tc>
        <w:tc>
          <w:tcPr>
            <w:tcW w:w="2303" w:type="dxa"/>
          </w:tcPr>
          <w:p w14:paraId="1F8AF7D5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9,4 (8,3)</w:t>
            </w:r>
          </w:p>
        </w:tc>
      </w:tr>
      <w:tr w:rsidR="00AE0C3D" w:rsidRPr="001B0D61" w14:paraId="0CAA8F31" w14:textId="77777777" w:rsidTr="008D1E93">
        <w:trPr>
          <w:trHeight w:val="254"/>
        </w:trPr>
        <w:tc>
          <w:tcPr>
            <w:tcW w:w="2233" w:type="dxa"/>
          </w:tcPr>
          <w:p w14:paraId="42DA4F5D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</w:p>
        </w:tc>
        <w:tc>
          <w:tcPr>
            <w:tcW w:w="2445" w:type="dxa"/>
          </w:tcPr>
          <w:p w14:paraId="4C237E46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144</w:t>
            </w:r>
          </w:p>
        </w:tc>
        <w:tc>
          <w:tcPr>
            <w:tcW w:w="2091" w:type="dxa"/>
          </w:tcPr>
          <w:p w14:paraId="08B014F5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72</w:t>
            </w:r>
          </w:p>
        </w:tc>
        <w:tc>
          <w:tcPr>
            <w:tcW w:w="2303" w:type="dxa"/>
          </w:tcPr>
          <w:p w14:paraId="6620A017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9,4 (10,8)</w:t>
            </w:r>
          </w:p>
        </w:tc>
      </w:tr>
      <w:tr w:rsidR="00AE0C3D" w:rsidRPr="001B0D61" w14:paraId="0D21C47A" w14:textId="77777777" w:rsidTr="008D1E93">
        <w:trPr>
          <w:trHeight w:val="252"/>
        </w:trPr>
        <w:tc>
          <w:tcPr>
            <w:tcW w:w="2233" w:type="dxa"/>
          </w:tcPr>
          <w:p w14:paraId="0643EF72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Placebo</w:t>
            </w:r>
          </w:p>
        </w:tc>
        <w:tc>
          <w:tcPr>
            <w:tcW w:w="2445" w:type="dxa"/>
          </w:tcPr>
          <w:p w14:paraId="77459511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</w:t>
            </w:r>
            <w:r w:rsidRPr="001B0D61">
              <w:rPr>
                <w:vertAlign w:val="superscript"/>
                <w:lang w:val="hu-HU"/>
              </w:rPr>
              <w:t>*</w:t>
            </w:r>
          </w:p>
        </w:tc>
        <w:tc>
          <w:tcPr>
            <w:tcW w:w="2091" w:type="dxa"/>
          </w:tcPr>
          <w:p w14:paraId="4374B745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67</w:t>
            </w:r>
          </w:p>
        </w:tc>
        <w:tc>
          <w:tcPr>
            <w:tcW w:w="2303" w:type="dxa"/>
          </w:tcPr>
          <w:p w14:paraId="6FA7A2E9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-1,2 (7,8)†</w:t>
            </w:r>
          </w:p>
        </w:tc>
      </w:tr>
      <w:tr w:rsidR="00AE0C3D" w:rsidRPr="001B0D61" w14:paraId="59EEEE1B" w14:textId="77777777" w:rsidTr="008D1E93">
        <w:trPr>
          <w:trHeight w:val="252"/>
        </w:trPr>
        <w:tc>
          <w:tcPr>
            <w:tcW w:w="2233" w:type="dxa"/>
          </w:tcPr>
          <w:p w14:paraId="637B2B4C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</w:p>
        </w:tc>
        <w:tc>
          <w:tcPr>
            <w:tcW w:w="2445" w:type="dxa"/>
          </w:tcPr>
          <w:p w14:paraId="0738FE8B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96</w:t>
            </w:r>
          </w:p>
        </w:tc>
        <w:tc>
          <w:tcPr>
            <w:tcW w:w="2091" w:type="dxa"/>
          </w:tcPr>
          <w:p w14:paraId="3089DE9B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55</w:t>
            </w:r>
          </w:p>
        </w:tc>
        <w:tc>
          <w:tcPr>
            <w:tcW w:w="2303" w:type="dxa"/>
          </w:tcPr>
          <w:p w14:paraId="342DBE6B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9,5 (11,2)</w:t>
            </w:r>
          </w:p>
        </w:tc>
      </w:tr>
      <w:tr w:rsidR="00AE0C3D" w:rsidRPr="001B0D61" w14:paraId="05CF69E7" w14:textId="77777777" w:rsidTr="008D1E93">
        <w:trPr>
          <w:trHeight w:val="252"/>
        </w:trPr>
        <w:tc>
          <w:tcPr>
            <w:tcW w:w="9072" w:type="dxa"/>
            <w:gridSpan w:val="4"/>
          </w:tcPr>
          <w:p w14:paraId="3E31567A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770-103. vizsgálat</w:t>
            </w:r>
          </w:p>
        </w:tc>
      </w:tr>
      <w:tr w:rsidR="00AE0C3D" w:rsidRPr="001B0D61" w14:paraId="137B4CFD" w14:textId="77777777" w:rsidTr="008D1E93">
        <w:trPr>
          <w:trHeight w:val="252"/>
        </w:trPr>
        <w:tc>
          <w:tcPr>
            <w:tcW w:w="2233" w:type="dxa"/>
          </w:tcPr>
          <w:p w14:paraId="011E85C2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Ivakaftor</w:t>
            </w:r>
          </w:p>
        </w:tc>
        <w:tc>
          <w:tcPr>
            <w:tcW w:w="2445" w:type="dxa"/>
          </w:tcPr>
          <w:p w14:paraId="0AFE17DB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48</w:t>
            </w:r>
            <w:r w:rsidRPr="001B0D61">
              <w:rPr>
                <w:vertAlign w:val="superscript"/>
                <w:lang w:val="hu-HU"/>
              </w:rPr>
              <w:t>*</w:t>
            </w:r>
          </w:p>
        </w:tc>
        <w:tc>
          <w:tcPr>
            <w:tcW w:w="2091" w:type="dxa"/>
          </w:tcPr>
          <w:p w14:paraId="50E5DEC3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26</w:t>
            </w:r>
          </w:p>
        </w:tc>
        <w:tc>
          <w:tcPr>
            <w:tcW w:w="2303" w:type="dxa"/>
          </w:tcPr>
          <w:p w14:paraId="1D9FB8A5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10,2 (15,7)</w:t>
            </w:r>
          </w:p>
        </w:tc>
      </w:tr>
      <w:tr w:rsidR="00AE0C3D" w:rsidRPr="001B0D61" w14:paraId="34150665" w14:textId="77777777" w:rsidTr="008D1E93">
        <w:trPr>
          <w:trHeight w:val="252"/>
        </w:trPr>
        <w:tc>
          <w:tcPr>
            <w:tcW w:w="2233" w:type="dxa"/>
          </w:tcPr>
          <w:p w14:paraId="7C453E7A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</w:p>
        </w:tc>
        <w:tc>
          <w:tcPr>
            <w:tcW w:w="2445" w:type="dxa"/>
          </w:tcPr>
          <w:p w14:paraId="077AD3D9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144</w:t>
            </w:r>
          </w:p>
        </w:tc>
        <w:tc>
          <w:tcPr>
            <w:tcW w:w="2091" w:type="dxa"/>
          </w:tcPr>
          <w:p w14:paraId="0E1DD353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25</w:t>
            </w:r>
          </w:p>
        </w:tc>
        <w:tc>
          <w:tcPr>
            <w:tcW w:w="2303" w:type="dxa"/>
          </w:tcPr>
          <w:p w14:paraId="2940C011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10,3 (12,4)</w:t>
            </w:r>
          </w:p>
        </w:tc>
      </w:tr>
      <w:tr w:rsidR="00AE0C3D" w:rsidRPr="001B0D61" w14:paraId="1F00DAA7" w14:textId="77777777" w:rsidTr="008D1E93">
        <w:trPr>
          <w:trHeight w:val="252"/>
        </w:trPr>
        <w:tc>
          <w:tcPr>
            <w:tcW w:w="2233" w:type="dxa"/>
          </w:tcPr>
          <w:p w14:paraId="25A32FB4" w14:textId="77777777" w:rsidR="00AE0C3D" w:rsidRPr="00E56E44" w:rsidRDefault="00AE0C3D" w:rsidP="008D1E93">
            <w:pPr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Placebo</w:t>
            </w:r>
          </w:p>
        </w:tc>
        <w:tc>
          <w:tcPr>
            <w:tcW w:w="2445" w:type="dxa"/>
          </w:tcPr>
          <w:p w14:paraId="0069CC29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0</w:t>
            </w:r>
            <w:r w:rsidRPr="001B0D61">
              <w:rPr>
                <w:vertAlign w:val="superscript"/>
                <w:lang w:val="hu-HU"/>
              </w:rPr>
              <w:t>*</w:t>
            </w:r>
          </w:p>
        </w:tc>
        <w:tc>
          <w:tcPr>
            <w:tcW w:w="2091" w:type="dxa"/>
          </w:tcPr>
          <w:p w14:paraId="75C9E41C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22</w:t>
            </w:r>
          </w:p>
        </w:tc>
        <w:tc>
          <w:tcPr>
            <w:tcW w:w="2303" w:type="dxa"/>
          </w:tcPr>
          <w:p w14:paraId="5D40EE3F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-0,6 (10,1)†</w:t>
            </w:r>
          </w:p>
        </w:tc>
      </w:tr>
      <w:tr w:rsidR="00AE0C3D" w:rsidRPr="001B0D61" w14:paraId="1F7FD0B9" w14:textId="77777777" w:rsidTr="008D1E93">
        <w:trPr>
          <w:trHeight w:val="253"/>
        </w:trPr>
        <w:tc>
          <w:tcPr>
            <w:tcW w:w="2233" w:type="dxa"/>
          </w:tcPr>
          <w:p w14:paraId="7ED1047E" w14:textId="77777777" w:rsidR="00AE0C3D" w:rsidRPr="00E56E44" w:rsidRDefault="00AE0C3D" w:rsidP="008D1E93">
            <w:pPr>
              <w:rPr>
                <w:lang w:val="hu-HU"/>
              </w:rPr>
            </w:pPr>
          </w:p>
        </w:tc>
        <w:tc>
          <w:tcPr>
            <w:tcW w:w="2445" w:type="dxa"/>
          </w:tcPr>
          <w:p w14:paraId="33A64F15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96</w:t>
            </w:r>
          </w:p>
        </w:tc>
        <w:tc>
          <w:tcPr>
            <w:tcW w:w="2091" w:type="dxa"/>
          </w:tcPr>
          <w:p w14:paraId="0E34B578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21</w:t>
            </w:r>
          </w:p>
        </w:tc>
        <w:tc>
          <w:tcPr>
            <w:tcW w:w="2303" w:type="dxa"/>
          </w:tcPr>
          <w:p w14:paraId="17227218" w14:textId="77777777" w:rsidR="00AE0C3D" w:rsidRPr="00E56E44" w:rsidRDefault="00AE0C3D" w:rsidP="008D1E93">
            <w:pPr>
              <w:jc w:val="center"/>
              <w:rPr>
                <w:lang w:val="hu-HU"/>
              </w:rPr>
            </w:pPr>
            <w:r w:rsidRPr="001B0D61">
              <w:rPr>
                <w:lang w:val="hu-HU"/>
              </w:rPr>
              <w:t>10,5 (11,5)</w:t>
            </w:r>
          </w:p>
        </w:tc>
      </w:tr>
    </w:tbl>
    <w:p w14:paraId="0577000F" w14:textId="77777777" w:rsidR="00AE0C3D" w:rsidRPr="001B0D61" w:rsidRDefault="00AE0C3D" w:rsidP="00AE0C3D">
      <w:r w:rsidRPr="00E56E44">
        <w:rPr>
          <w:spacing w:val="-10"/>
          <w:sz w:val="20"/>
          <w:vertAlign w:val="superscript"/>
        </w:rPr>
        <w:t>*</w:t>
      </w:r>
      <w:r w:rsidRPr="001B0D61">
        <w:t>A kezelés vak, kontrollos, 48 hetes, III. fázisú vizsgálat során</w:t>
      </w:r>
      <w:r w:rsidRPr="001B0D61">
        <w:rPr>
          <w:spacing w:val="-11"/>
        </w:rPr>
        <w:t xml:space="preserve"> </w:t>
      </w:r>
      <w:r w:rsidRPr="001B0D61">
        <w:t>történt.</w:t>
      </w:r>
    </w:p>
    <w:p w14:paraId="4149F16D" w14:textId="77777777" w:rsidR="00AE0C3D" w:rsidRPr="001B0D61" w:rsidRDefault="00AE0C3D" w:rsidP="00AE0C3D">
      <w:r w:rsidRPr="001B0D61">
        <w:rPr>
          <w:color w:val="1F487C"/>
          <w:position w:val="6"/>
          <w:vertAlign w:val="superscript"/>
        </w:rPr>
        <w:t>†</w:t>
      </w:r>
      <w:r w:rsidRPr="001B0D61">
        <w:rPr>
          <w:color w:val="1F487C"/>
          <w:position w:val="6"/>
        </w:rPr>
        <w:t xml:space="preserve"> </w:t>
      </w:r>
      <w:r w:rsidRPr="001B0D61">
        <w:t>A korábbi vizsgálat kiindulási értékéhez képest 48 heti placebokezelést követően bekövetkezett változás.</w:t>
      </w:r>
    </w:p>
    <w:p w14:paraId="296E08C7" w14:textId="77777777" w:rsidR="00AE0C3D" w:rsidRDefault="00AE0C3D" w:rsidP="00EE208D"/>
    <w:p w14:paraId="0FAA4069" w14:textId="77777777" w:rsidR="00EE208D" w:rsidRPr="001B0D61" w:rsidRDefault="00EE208D" w:rsidP="00EE208D">
      <w:r w:rsidRPr="001B0D61">
        <w:t>A 770-105. vizsgálat kiindulási értékéhez képest a várt FEV</w:t>
      </w:r>
      <w:r w:rsidRPr="001B0D61">
        <w:rPr>
          <w:vertAlign w:val="subscript"/>
        </w:rPr>
        <w:t>1</w:t>
      </w:r>
      <w:r w:rsidRPr="001B0D61">
        <w:t xml:space="preserve"> százalékos értékében bekövetkezett átlagos (SD) abszolút változást összehasonlítva megállapítható, hogy az ivakaftor/ivakaftor-csoport azon betegeinél (n = 72), akik a 770-102. vizsgálatból kerültek át, a várt FEV</w:t>
      </w:r>
      <w:r w:rsidRPr="001B0D61">
        <w:rPr>
          <w:vertAlign w:val="subscript"/>
        </w:rPr>
        <w:t>1</w:t>
      </w:r>
      <w:r w:rsidRPr="001B0D61">
        <w:t xml:space="preserve"> százalékos értékében bekövetkezett átlagos (SD) abszolút változás 0,0% (9,05) volt, míg az ivakaftor/ivakaftor-csoport (n = 25) azon betegeinél, akik a 770-103. vizsgálatból kerültek át, ez az érték 0,6% (9,1) volt. Ez azt mutatja, hogy az ivakaftor/ivakaftor-csoportban a 144. hétig fennmaradt a várt FEV</w:t>
      </w:r>
      <w:r w:rsidRPr="001B0D61">
        <w:rPr>
          <w:vertAlign w:val="subscript"/>
        </w:rPr>
        <w:t>1</w:t>
      </w:r>
      <w:r w:rsidRPr="001B0D61">
        <w:t xml:space="preserve"> százalékos értékében az első vizsgálat 48. hetében (a 0. naptól a 48. hétig) észlelt javulás. A 770-105. vizsgálatban (a 48. héttől a 144. hétig) további javulás nem volt.</w:t>
      </w:r>
    </w:p>
    <w:p w14:paraId="1175BEFC" w14:textId="77777777" w:rsidR="00EE208D" w:rsidRPr="001B0D61" w:rsidRDefault="00EE208D" w:rsidP="00EE208D"/>
    <w:p w14:paraId="6D2C7DEB" w14:textId="77777777" w:rsidR="00EE208D" w:rsidRPr="001B0D61" w:rsidRDefault="00EE208D" w:rsidP="00EE208D">
      <w:r w:rsidRPr="001B0D61">
        <w:t>Azoknál a betegeknél, akik a 770-102. vizsgálat placebo/ivakaftor-csoportjában voltak, a pulmonalis exacerbatiók éves szintre vetített gyakorisága magasabb volt az első vizsgálatban, amikor a betegek placebót kaptak (1,34 esemény/év), mint az azt követő 770-105. vizsgálat során, amikor a betegek ivakaftorra kerültek át (0,48 esemény/év az 1. naptól a 48. hétig és 0,67 esemény/év a 48. héttől a 96. hétig). Azoknál a betegeknél, akik a 770-102. vizsgálat során az ivakaftor/ivakaftor-csoportban voltak, a pulmonalis exacerbatiók éves szintre vetített gyakorisága 0,57 esemény/év volt az 1. naptól a 48. hétig, amikor a betegek ivakaftort kaptak. Amikor átkerültek a 770-105. vizsgálatba, akkor a pulmonalis exacerbatiók éves szintre vetített gyakorisága 0,91 esemény/év volt az 1. naptól a 48. hétig, és 0,77 esemény/év a 48. héttől a 96. hétig.</w:t>
      </w:r>
    </w:p>
    <w:p w14:paraId="5EE79F4C" w14:textId="77777777" w:rsidR="00EE208D" w:rsidRPr="001B0D61" w:rsidRDefault="00EE208D" w:rsidP="00EE208D"/>
    <w:p w14:paraId="76D71B6B" w14:textId="77777777" w:rsidR="00EE208D" w:rsidRPr="001B0D61" w:rsidRDefault="00EE208D" w:rsidP="00EE208D">
      <w:r w:rsidRPr="001B0D61">
        <w:t>Azoknál a betegeknél, akik a 770-103. vizsgálatból kerültek át, az események száma összességében alacsony volt.</w:t>
      </w:r>
    </w:p>
    <w:p w14:paraId="3543DEE5" w14:textId="77777777" w:rsidR="00EE208D" w:rsidRPr="001B0D61" w:rsidRDefault="00EE208D" w:rsidP="00EE208D"/>
    <w:p w14:paraId="07CAB6F6" w14:textId="77777777" w:rsidR="00EE208D" w:rsidRPr="001B0D61" w:rsidRDefault="00EE208D" w:rsidP="00EE208D">
      <w:pPr>
        <w:rPr>
          <w:i/>
        </w:rPr>
      </w:pPr>
      <w:r w:rsidRPr="001B0D61">
        <w:rPr>
          <w:i/>
          <w:u w:val="single"/>
        </w:rPr>
        <w:t>770-110. vizsgálat: A CFTR-génen R117H-mutációt hordozó, CF-os betegek bevonásával</w:t>
      </w:r>
    </w:p>
    <w:p w14:paraId="06D99E96" w14:textId="77777777" w:rsidR="00EE208D" w:rsidRPr="001B0D61" w:rsidRDefault="00EE208D" w:rsidP="00EE208D">
      <w:pPr>
        <w:rPr>
          <w:i/>
        </w:rPr>
      </w:pPr>
    </w:p>
    <w:p w14:paraId="65A5A234" w14:textId="77777777" w:rsidR="00EE208D" w:rsidRPr="001B0D61" w:rsidRDefault="00EE208D" w:rsidP="00EE208D">
      <w:r w:rsidRPr="001B0D61">
        <w:t xml:space="preserve">A 770-110. vizsgálat során 69 olyan beteget értékeltek, akik 6 évesek vagy idősebbek voltak; közülük 53 (76,8%) beteg hordozott </w:t>
      </w:r>
      <w:r w:rsidRPr="001B0D61">
        <w:rPr>
          <w:i/>
        </w:rPr>
        <w:t>F508del</w:t>
      </w:r>
      <w:r w:rsidRPr="001B0D61">
        <w:t xml:space="preserve">-mutációt a második allélen. Az igazolt </w:t>
      </w:r>
      <w:r w:rsidRPr="001B0D61">
        <w:rPr>
          <w:i/>
        </w:rPr>
        <w:t xml:space="preserve">R117H </w:t>
      </w:r>
      <w:r w:rsidRPr="001B0D61">
        <w:t xml:space="preserve">poli-T variáns 38 betegnél az </w:t>
      </w:r>
      <w:r w:rsidRPr="001B0D61">
        <w:rPr>
          <w:i/>
        </w:rPr>
        <w:t>5T</w:t>
      </w:r>
      <w:r w:rsidRPr="001B0D61">
        <w:t xml:space="preserve">, 16 betegnél pedig a </w:t>
      </w:r>
      <w:r w:rsidRPr="001B0D61">
        <w:rPr>
          <w:i/>
        </w:rPr>
        <w:t xml:space="preserve">7T </w:t>
      </w:r>
      <w:r w:rsidRPr="001B0D61">
        <w:t>volt. A kiinduláskor az átlagos várt FEV</w:t>
      </w:r>
      <w:r w:rsidRPr="001B0D61">
        <w:rPr>
          <w:vertAlign w:val="subscript"/>
        </w:rPr>
        <w:t>1</w:t>
      </w:r>
      <w:r w:rsidRPr="001B0D61">
        <w:t xml:space="preserve"> 73% (tartomány 32,5–105,5%), az átlagos életkor pedig 31 év (tartomány 6-68 év) volt. A várt FEV</w:t>
      </w:r>
      <w:r w:rsidRPr="001B0D61">
        <w:rPr>
          <w:vertAlign w:val="subscript"/>
        </w:rPr>
        <w:t>1</w:t>
      </w:r>
      <w:r w:rsidRPr="001B0D61">
        <w:t xml:space="preserve"> százalékos értékében a kiindulástól a 24. hétig bekövetkezett átlagos abszolút változás (elsődleges hatásossági végpont) 2,57 százalékpont volt az ivakaftor-csoportban, és 0,46 százalékpont a placebocsoportban. Az ivakaftor- és a placebo-kezelés közötti becsült különbség 2,1 százalékpont volt (95%-os CI: -1,1; 5,4).</w:t>
      </w:r>
    </w:p>
    <w:p w14:paraId="1E4C8A32" w14:textId="77777777" w:rsidR="00EE208D" w:rsidRPr="001B0D61" w:rsidRDefault="00EE208D" w:rsidP="00EE208D"/>
    <w:p w14:paraId="795E69D1" w14:textId="77777777" w:rsidR="00EE208D" w:rsidRPr="001B0D61" w:rsidRDefault="00EE208D" w:rsidP="00EE208D">
      <w:r w:rsidRPr="001B0D61">
        <w:t>A 18 éves és idősebb betegeknél végeztek egy előre tervezett alcsoport-elemzést (26 beteg kapott placebót, és 24 beteg ivakaftort). Az ivakaftorral végzett kezelés az ivakaftor-csoportban 4,5 százalékpontos átlagos abszolút változást eredményezett a 24. hétre a várt FEV</w:t>
      </w:r>
      <w:r w:rsidRPr="001B0D61">
        <w:rPr>
          <w:vertAlign w:val="subscript"/>
        </w:rPr>
        <w:t>1</w:t>
      </w:r>
      <w:r w:rsidRPr="001B0D61">
        <w:t xml:space="preserve"> százalékos értékében, míg a placebocsoportban ez az érték -0,46 százalékpont volt. Az ivakaftor és a placebo közötti becsült kezelési különbség 5,0 százalékpont volt (95%-os CI: 1,1; 8,8).</w:t>
      </w:r>
    </w:p>
    <w:p w14:paraId="360E65F8" w14:textId="77777777" w:rsidR="00EE208D" w:rsidRPr="001B0D61" w:rsidRDefault="00EE208D" w:rsidP="00EE208D"/>
    <w:p w14:paraId="616ABC6D" w14:textId="77777777" w:rsidR="00EE208D" w:rsidRPr="001B0D61" w:rsidRDefault="00EE208D" w:rsidP="00EE208D">
      <w:r w:rsidRPr="001B0D61">
        <w:t xml:space="preserve">Az igazolt </w:t>
      </w:r>
      <w:r w:rsidRPr="001B0D61">
        <w:rPr>
          <w:i/>
        </w:rPr>
        <w:t xml:space="preserve">R117H-5T </w:t>
      </w:r>
      <w:r w:rsidRPr="001B0D61">
        <w:t>genetikai variánst hordozó betegek alcsoportjának elemzése során a várt FEV</w:t>
      </w:r>
      <w:r w:rsidRPr="001B0D61">
        <w:rPr>
          <w:vertAlign w:val="subscript"/>
        </w:rPr>
        <w:t>1</w:t>
      </w:r>
      <w:r w:rsidRPr="001B0D61">
        <w:t xml:space="preserve"> százalékos értékében a kiindulástól a 24. hétig bekövetkezett átlagos abszolút változás tekintetében az ivakaftor és a placebo közötti különbség 5,3% (95%-os CI: 1,3; 9,3) volt. Igazolt </w:t>
      </w:r>
      <w:r w:rsidRPr="001B0D61">
        <w:rPr>
          <w:i/>
        </w:rPr>
        <w:t xml:space="preserve">R117H-7T </w:t>
      </w:r>
      <w:r w:rsidRPr="001B0D61">
        <w:t>genetikai variánst hordozó betegeknél az ivakaftor- és a placebo-kezelés közötti különbség 0,2% volt (95%-os CI: -8,1; 8,5).</w:t>
      </w:r>
    </w:p>
    <w:p w14:paraId="56CB7990" w14:textId="77777777" w:rsidR="00EE208D" w:rsidRPr="001B0D61" w:rsidRDefault="00EE208D" w:rsidP="00EE208D"/>
    <w:p w14:paraId="57036C97" w14:textId="77777777" w:rsidR="00EE208D" w:rsidRPr="001B0D61" w:rsidRDefault="00EE208D" w:rsidP="00EE208D">
      <w:r w:rsidRPr="001B0D61">
        <w:t>A másodlagos hatásossági mutatók esetében nem volt megfigyelhető különbség az ivakaftor és a placebo-kezelés között a BMI kiindulási értékében a 24. hétig vagy az első pulmonalis exacerbatio jelentkezéséig eltelt időben bekövetkezett abszolút változás tekintetében. Különbség volt megfigyelhető a kezelések között a CFQ-R légzőrendszeri doménjének pontszámában a 24. hétig bekövetkezett abszolút változás tekintetében (az ivakaftor- és a placebo-kezelés közötti különbség 8,4 [95%-os CI: 2,2; 14,6] pont volt), valamint a verejték kloridszintjének kiindulási értékében bekövetkezett átlagos változás tekintetében (lásd: Farmakodinámiás hatások).</w:t>
      </w:r>
    </w:p>
    <w:p w14:paraId="3969D08C" w14:textId="77777777" w:rsidR="00EE208D" w:rsidRPr="001B0D61" w:rsidRDefault="00EE208D" w:rsidP="00EE208D"/>
    <w:p w14:paraId="6735F7F6" w14:textId="77777777" w:rsidR="00175983" w:rsidRPr="001B0D61" w:rsidRDefault="00175983" w:rsidP="00EE208D"/>
    <w:p w14:paraId="2B724FB8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 xml:space="preserve">5.2 </w:t>
      </w:r>
      <w:r w:rsidRPr="001B0D61">
        <w:rPr>
          <w:b/>
          <w:bCs/>
        </w:rPr>
        <w:tab/>
        <w:t>Farmakokinetikai</w:t>
      </w:r>
      <w:r w:rsidRPr="001B0D61">
        <w:rPr>
          <w:b/>
          <w:bCs/>
          <w:spacing w:val="-1"/>
        </w:rPr>
        <w:t xml:space="preserve"> </w:t>
      </w:r>
      <w:r w:rsidRPr="001B0D61">
        <w:rPr>
          <w:b/>
          <w:bCs/>
        </w:rPr>
        <w:t>tulajdonságok</w:t>
      </w:r>
    </w:p>
    <w:p w14:paraId="5B691CE9" w14:textId="77777777" w:rsidR="00EE208D" w:rsidRPr="001B0D61" w:rsidRDefault="00EE208D" w:rsidP="00EE208D"/>
    <w:p w14:paraId="6A86F307" w14:textId="77777777" w:rsidR="00EE208D" w:rsidRPr="001B0D61" w:rsidRDefault="00EE208D" w:rsidP="00EE208D">
      <w:r w:rsidRPr="001B0D61">
        <w:t>Az ivakaftor farmakokinetikája egészséges felnőtt önkénteseknél és CF-ban szenvedő betegek esetén</w:t>
      </w:r>
    </w:p>
    <w:p w14:paraId="56265252" w14:textId="77777777" w:rsidR="00EE208D" w:rsidRPr="001B0D61" w:rsidRDefault="00EE208D" w:rsidP="00EE208D">
      <w:r w:rsidRPr="001B0D61">
        <w:t>hasonló.</w:t>
      </w:r>
    </w:p>
    <w:p w14:paraId="1730FA85" w14:textId="77777777" w:rsidR="00EE208D" w:rsidRPr="001B0D61" w:rsidRDefault="00EE208D" w:rsidP="00EE208D"/>
    <w:p w14:paraId="4D0774EA" w14:textId="30EC7EC9" w:rsidR="00EE208D" w:rsidRPr="001B0D61" w:rsidRDefault="00EE208D" w:rsidP="00EE208D">
      <w:r w:rsidRPr="001B0D61">
        <w:t xml:space="preserve">Egészséges önkénteseknél a 150 mg-os egyszeri adag étkezés utáni </w:t>
      </w:r>
      <w:r w:rsidRPr="001B0D61">
        <w:rPr>
          <w:i/>
        </w:rPr>
        <w:t xml:space="preserve">per os </w:t>
      </w:r>
      <w:r w:rsidRPr="001B0D61">
        <w:t xml:space="preserve">beadása után az átlagérték </w:t>
      </w:r>
      <w:r w:rsidRPr="001B0D61">
        <w:rPr>
          <w:position w:val="2"/>
        </w:rPr>
        <w:t>(±SD) 10,60 (5,26) µg∙óra/ml volt az AUC, és 0,768 (0,233) µg/ml a C</w:t>
      </w:r>
      <w:r w:rsidRPr="001B0D61">
        <w:rPr>
          <w:position w:val="2"/>
          <w:vertAlign w:val="subscript"/>
        </w:rPr>
        <w:t>max</w:t>
      </w:r>
      <w:r w:rsidRPr="001B0D61">
        <w:t xml:space="preserve"> </w:t>
      </w:r>
      <w:r w:rsidRPr="001B0D61">
        <w:rPr>
          <w:position w:val="2"/>
        </w:rPr>
        <w:t xml:space="preserve">esetében. Az ivakaftor </w:t>
      </w:r>
      <w:r w:rsidRPr="001B0D61">
        <w:t xml:space="preserve">12 óránkénti adagolás után a 3-5. napra érte el a dinamikus egyensúlyi állapotú plazmakoncentrációját, 2,2-től 2,9-ig terjedő akkumulációs </w:t>
      </w:r>
      <w:r w:rsidR="009F7EB6">
        <w:t>arány</w:t>
      </w:r>
      <w:r w:rsidRPr="001B0D61">
        <w:t xml:space="preserve"> mellett.</w:t>
      </w:r>
    </w:p>
    <w:p w14:paraId="321D227B" w14:textId="77777777" w:rsidR="00EE208D" w:rsidRPr="001B0D61" w:rsidRDefault="00EE208D" w:rsidP="00EE208D"/>
    <w:p w14:paraId="22C08A9F" w14:textId="77777777" w:rsidR="00EE208D" w:rsidRPr="001B0D61" w:rsidRDefault="00EE208D" w:rsidP="00EE208D">
      <w:r w:rsidRPr="001B0D61">
        <w:rPr>
          <w:u w:val="single"/>
        </w:rPr>
        <w:t>Felszívódás</w:t>
      </w:r>
    </w:p>
    <w:p w14:paraId="4F92C99B" w14:textId="77777777" w:rsidR="00EE208D" w:rsidRPr="001B0D61" w:rsidRDefault="00EE208D" w:rsidP="00EE208D"/>
    <w:p w14:paraId="4D4D22F6" w14:textId="5B8EBACA" w:rsidR="00EE208D" w:rsidRPr="001B0D61" w:rsidRDefault="00EE208D" w:rsidP="00EE208D">
      <w:r w:rsidRPr="001B0D61">
        <w:t xml:space="preserve">Az ivakaftor ismételt </w:t>
      </w:r>
      <w:r w:rsidR="00270BAC" w:rsidRPr="00DD63C3">
        <w:rPr>
          <w:i/>
        </w:rPr>
        <w:t>per os</w:t>
      </w:r>
      <w:r w:rsidR="00270BAC" w:rsidRPr="001B0D61">
        <w:t xml:space="preserve"> </w:t>
      </w:r>
      <w:r w:rsidRPr="001B0D61">
        <w:t xml:space="preserve">dózisainak beadása után az ivakaftor-expozíció a 12 óránként 25 mg-tól a 12 óránként 450 mg-ig terjedő tartományban általában a dózissal </w:t>
      </w:r>
      <w:r w:rsidR="009F7EB6">
        <w:t>arányosan</w:t>
      </w:r>
      <w:r w:rsidR="009F7EB6" w:rsidRPr="001B0D61">
        <w:t xml:space="preserve"> </w:t>
      </w:r>
      <w:r w:rsidRPr="001B0D61">
        <w:t>emelkedett.</w:t>
      </w:r>
    </w:p>
    <w:p w14:paraId="23432789" w14:textId="422507B5" w:rsidR="00EE208D" w:rsidRPr="001B0D61" w:rsidRDefault="00EE208D" w:rsidP="00EE208D">
      <w:r w:rsidRPr="001B0D61">
        <w:t>Zsírtartalmú étellel együtt adva az ivakaftor-expozíció körülbelül 2,5–4-szeresére emelkedett</w:t>
      </w:r>
      <w:r w:rsidR="00DE5408" w:rsidRPr="001B0D61">
        <w:t xml:space="preserve"> Ezért a</w:t>
      </w:r>
      <w:r w:rsidR="00E36EE5">
        <w:t>z</w:t>
      </w:r>
      <w:r w:rsidR="00DE5408" w:rsidRPr="001B0D61">
        <w:t xml:space="preserve"> monoterápia formájában</w:t>
      </w:r>
      <w:r w:rsidRPr="001B0D61">
        <w:t xml:space="preserve"> ivakaftort zsírtartalmú étellel </w:t>
      </w:r>
      <w:r w:rsidR="00270BAC">
        <w:t xml:space="preserve">együtt </w:t>
      </w:r>
      <w:r w:rsidRPr="001B0D61">
        <w:t>kell beadni. A medián t</w:t>
      </w:r>
      <w:r w:rsidRPr="001B0D61">
        <w:rPr>
          <w:vertAlign w:val="subscript"/>
        </w:rPr>
        <w:t>max</w:t>
      </w:r>
      <w:r w:rsidRPr="001B0D61">
        <w:t xml:space="preserve"> étkezés utáni állapotban körülbelül 4,0 óra (tartomány: 3,0; 6,0 óra).</w:t>
      </w:r>
    </w:p>
    <w:p w14:paraId="62508963" w14:textId="77777777" w:rsidR="00EE208D" w:rsidRPr="001B0D61" w:rsidRDefault="00EE208D" w:rsidP="00EE208D"/>
    <w:p w14:paraId="46B373E8" w14:textId="77777777" w:rsidR="00EE208D" w:rsidRPr="001B0D61" w:rsidRDefault="00EE208D" w:rsidP="00EE208D">
      <w:r w:rsidRPr="001B0D61">
        <w:t>Egészséges felnőtt vizsgálati személyeknél zsírtartalmú étellel együtt adva az ivakaftor granulátum (2 × 75 mg-os tasak) hasonló biohasznosulású volt, mint a 150 mg-os tabletta. A granulátum tablettához viszonyított, legkisebb négyzetek elvén meghatározott mértani átlaga (90%-os CI) 0,951 (0,839; 1,08) volt az AUC</w:t>
      </w:r>
      <w:r w:rsidRPr="001B0D61">
        <w:rPr>
          <w:vertAlign w:val="subscript"/>
        </w:rPr>
        <w:t>0-∞</w:t>
      </w:r>
      <w:r w:rsidRPr="001B0D61">
        <w:t xml:space="preserve"> tekintetében, míg 0,918 (0,750; 1,12) a C</w:t>
      </w:r>
      <w:r w:rsidRPr="001B0D61">
        <w:rPr>
          <w:vertAlign w:val="subscript"/>
        </w:rPr>
        <w:t>max</w:t>
      </w:r>
      <w:r w:rsidRPr="001B0D61">
        <w:t xml:space="preserve"> tekintetében. Az étel ivakaftor felszívódására gyakorolt hatása mindkét gyógyszerforma esetében – tabletta és granulátum – hasonló.</w:t>
      </w:r>
    </w:p>
    <w:p w14:paraId="6D72560F" w14:textId="77777777" w:rsidR="00EE208D" w:rsidRPr="001B0D61" w:rsidRDefault="00EE208D" w:rsidP="00EE208D"/>
    <w:p w14:paraId="565C61ED" w14:textId="77777777" w:rsidR="00EE208D" w:rsidRPr="001B0D61" w:rsidRDefault="00EE208D" w:rsidP="00EE208D">
      <w:r w:rsidRPr="001B0D61">
        <w:rPr>
          <w:u w:val="single"/>
        </w:rPr>
        <w:t>Eloszlás</w:t>
      </w:r>
    </w:p>
    <w:p w14:paraId="3125B144" w14:textId="77777777" w:rsidR="00EE208D" w:rsidRPr="001B0D61" w:rsidRDefault="00EE208D" w:rsidP="00EE208D"/>
    <w:p w14:paraId="0E0E5453" w14:textId="5D9CB34F" w:rsidR="00EE208D" w:rsidRPr="001B0D61" w:rsidRDefault="00EE208D" w:rsidP="00EE208D">
      <w:r w:rsidRPr="001B0D61">
        <w:t>Az ivakaftor körülbelül 99%-a plazmafehérjékhez kötött, főként alfa-1-sava</w:t>
      </w:r>
      <w:r w:rsidR="00270BAC">
        <w:t>s</w:t>
      </w:r>
      <w:r w:rsidRPr="001B0D61">
        <w:t xml:space="preserve"> glikoproteinhez és albuminhoz. Az ivakaftor nem kötődik a humán vörösvértestekhez. Egészséges önkénteseknél 150 mg ivakaftor 12 óránként, 7 napon át, étkezés utáni állapotban végzett</w:t>
      </w:r>
      <w:r w:rsidR="00270BAC">
        <w:t xml:space="preserve"> </w:t>
      </w:r>
      <w:r w:rsidR="00270BAC" w:rsidRPr="00DD63C3">
        <w:rPr>
          <w:i/>
        </w:rPr>
        <w:t>per os</w:t>
      </w:r>
      <w:r w:rsidR="00270BAC">
        <w:t xml:space="preserve"> </w:t>
      </w:r>
      <w:r w:rsidRPr="001B0D61">
        <w:t>adagolása után az átlagos látszólagos eloszlási térfogat (±SD) 353 (122) l volt.</w:t>
      </w:r>
    </w:p>
    <w:p w14:paraId="56C5A6BA" w14:textId="77777777" w:rsidR="00EE208D" w:rsidRPr="001B0D61" w:rsidRDefault="00EE208D" w:rsidP="00EE208D"/>
    <w:p w14:paraId="779A1EB5" w14:textId="77777777" w:rsidR="00EE208D" w:rsidRPr="001B0D61" w:rsidRDefault="00EE208D" w:rsidP="00EE208D">
      <w:pPr>
        <w:keepNext/>
        <w:widowControl/>
      </w:pPr>
      <w:r w:rsidRPr="001B0D61">
        <w:rPr>
          <w:u w:val="single"/>
        </w:rPr>
        <w:t>Biotranszformáció</w:t>
      </w:r>
    </w:p>
    <w:p w14:paraId="6E991098" w14:textId="77777777" w:rsidR="00EE208D" w:rsidRPr="001B0D61" w:rsidRDefault="00EE208D" w:rsidP="00EE208D"/>
    <w:p w14:paraId="011E8764" w14:textId="6623936D" w:rsidR="00EE208D" w:rsidRPr="001B0D61" w:rsidRDefault="00EE208D" w:rsidP="00EE208D">
      <w:r w:rsidRPr="001B0D61">
        <w:t>Az ivakaftor ember</w:t>
      </w:r>
      <w:r w:rsidR="00270BAC">
        <w:t>nél</w:t>
      </w:r>
      <w:r w:rsidRPr="001B0D61">
        <w:t xml:space="preserve"> nagy mértékben metabolizálódik. </w:t>
      </w:r>
      <w:r w:rsidRPr="001B0D61">
        <w:rPr>
          <w:i/>
        </w:rPr>
        <w:t xml:space="preserve">In vitro </w:t>
      </w:r>
      <w:r w:rsidRPr="001B0D61">
        <w:t xml:space="preserve">és </w:t>
      </w:r>
      <w:r w:rsidRPr="001B0D61">
        <w:rPr>
          <w:i/>
        </w:rPr>
        <w:t xml:space="preserve">in vivo </w:t>
      </w:r>
      <w:r w:rsidRPr="001B0D61">
        <w:t xml:space="preserve">adatok azt mutatják, hogy az ivakaftort elsősorban a CYP3A metabolizálja. Emberben az ivakaftor két fő metabolitja az M1 és M6. Az M1 az ivakaftor </w:t>
      </w:r>
      <w:r w:rsidR="00270BAC">
        <w:t>hatásának</w:t>
      </w:r>
      <w:r w:rsidR="00270BAC" w:rsidRPr="001B0D61">
        <w:t xml:space="preserve"> </w:t>
      </w:r>
      <w:r w:rsidRPr="001B0D61">
        <w:t>körülbelül egyhatodával rendelkezik, és farmakológiailag aktívnak tekinthető. Az M6 az ivakaftor ha</w:t>
      </w:r>
      <w:r w:rsidR="00270BAC">
        <w:t>tásának</w:t>
      </w:r>
      <w:r w:rsidRPr="001B0D61">
        <w:t xml:space="preserve"> kevesebb mint ötvenedével rendelkezik, és farmakológiailag nem tekinthető aktívnak.</w:t>
      </w:r>
    </w:p>
    <w:p w14:paraId="0B3CB7A9" w14:textId="77777777" w:rsidR="00EE208D" w:rsidRDefault="00EE208D" w:rsidP="00EE208D"/>
    <w:p w14:paraId="7F03DCD8" w14:textId="45C556A4" w:rsidR="00751B98" w:rsidRPr="001B0D61" w:rsidRDefault="00751B98" w:rsidP="00751B98">
      <w:r w:rsidRPr="001B0D61">
        <w:t>A CYP3A4*22 heterozigóta genotípus hatása az ivakaftor</w:t>
      </w:r>
      <w:r w:rsidRPr="00B15A7C">
        <w:rPr>
          <w14:ligatures w14:val="none"/>
        </w:rPr>
        <w:t>,</w:t>
      </w:r>
      <w:r w:rsidRPr="00B15A7C">
        <w:rPr>
          <w:spacing w:val="-4"/>
          <w14:ligatures w14:val="none"/>
        </w:rPr>
        <w:t xml:space="preserve"> </w:t>
      </w:r>
      <w:r w:rsidRPr="001B0D61">
        <w:t>-expozícióra megegyezik egy gyenge CYP3A4-inhibitor együttadásának hatásával, ami klinikailag nem releváns. Az ivakaftor, dózisának módosítása nem szükséges. CYP3A4*22 homozigóta genotípusú betegeknél a hatás várhatóan erősebb, ugyanakkor ezeknél a betegeknél nem állnak rendelkezésre adatok.</w:t>
      </w:r>
    </w:p>
    <w:p w14:paraId="4C91FAB6" w14:textId="77777777" w:rsidR="00EE208D" w:rsidRPr="001B0D61" w:rsidRDefault="00EE208D" w:rsidP="00EE208D"/>
    <w:p w14:paraId="174BE542" w14:textId="77777777" w:rsidR="00EE208D" w:rsidRPr="001B0D61" w:rsidRDefault="00EE208D" w:rsidP="00EE208D">
      <w:r w:rsidRPr="001B0D61">
        <w:rPr>
          <w:u w:val="single"/>
        </w:rPr>
        <w:t>Elimináció</w:t>
      </w:r>
    </w:p>
    <w:p w14:paraId="55A6DB8F" w14:textId="77777777" w:rsidR="00EE208D" w:rsidRPr="001B0D61" w:rsidRDefault="00EE208D" w:rsidP="00EE208D"/>
    <w:p w14:paraId="7D41DAD5" w14:textId="0DE57958" w:rsidR="00EE208D" w:rsidRPr="001B0D61" w:rsidRDefault="00EE208D" w:rsidP="00EE208D">
      <w:r w:rsidRPr="001B0D61">
        <w:t xml:space="preserve">Egészséges önkénteseknél </w:t>
      </w:r>
      <w:r w:rsidR="00270BAC" w:rsidRPr="00DD63C3">
        <w:rPr>
          <w:i/>
        </w:rPr>
        <w:t>per os</w:t>
      </w:r>
      <w:r w:rsidR="00270BAC">
        <w:t xml:space="preserve"> </w:t>
      </w:r>
      <w:r w:rsidRPr="001B0D61">
        <w:t>alkalmazás után az ivakaftor nagyrészt (87,8%) a székl</w:t>
      </w:r>
      <w:r w:rsidR="00915A90">
        <w:t>ettel</w:t>
      </w:r>
      <w:r w:rsidRPr="001B0D61">
        <w:t xml:space="preserve"> ürült, </w:t>
      </w:r>
      <w:r w:rsidR="00915A90">
        <w:t>metabolizációt</w:t>
      </w:r>
      <w:r w:rsidRPr="001B0D61">
        <w:t xml:space="preserve"> követően. Az M1 és M6 fő metabolitok az eliminált összdózis körülbelül 65%-át tették ki, 22%-ot az M1 és 43%-ot az M6. Az ivakaftor változatlan formában, vizelettel történő ürülése elhanyagolható volt. A látszólagos terminális felezési idő egyszeri adag étkezés utáni állapotban történt bevétele után körülbelül 12 óra volt. Az ivakaftor látszólagos clearance-e (CL/F) hasonló volt az egészséges önkéntesek és a CF-ban szenvedő betegek esetében. A CL/F átlaga (±SD) egészséges önkénteseknél 17,3 (8,4) l/óra volt a 150 mg-os egyszeri dózis esetében.</w:t>
      </w:r>
    </w:p>
    <w:p w14:paraId="62750E12" w14:textId="77777777" w:rsidR="00EE208D" w:rsidRPr="001B0D61" w:rsidRDefault="00EE208D" w:rsidP="00EE208D"/>
    <w:p w14:paraId="3FA9A992" w14:textId="376CEF26" w:rsidR="00EE208D" w:rsidRPr="001B0D61" w:rsidRDefault="00EE208D" w:rsidP="00EE208D">
      <w:r w:rsidRPr="001B0D61">
        <w:rPr>
          <w:u w:val="single"/>
        </w:rPr>
        <w:t>Linearitás/</w:t>
      </w:r>
      <w:r w:rsidR="00915A90">
        <w:rPr>
          <w:u w:val="single"/>
        </w:rPr>
        <w:t>nem-</w:t>
      </w:r>
      <w:r w:rsidRPr="001B0D61">
        <w:rPr>
          <w:u w:val="single"/>
        </w:rPr>
        <w:t>linearitás</w:t>
      </w:r>
    </w:p>
    <w:p w14:paraId="6ADB287E" w14:textId="77777777" w:rsidR="00EE208D" w:rsidRPr="001B0D61" w:rsidRDefault="00EE208D" w:rsidP="00EE208D"/>
    <w:p w14:paraId="74AD5D89" w14:textId="77777777" w:rsidR="00EE208D" w:rsidRPr="001B0D61" w:rsidRDefault="00EE208D" w:rsidP="00EE208D">
      <w:r w:rsidRPr="001B0D61">
        <w:t>Az ivakaftor farmakokinetikája általában lineáris összefüggést mutat az idővel, illetve a 25–250 mg-os tartományban a dózissal.</w:t>
      </w:r>
    </w:p>
    <w:p w14:paraId="39EA4309" w14:textId="77777777" w:rsidR="00EE208D" w:rsidRPr="001B0D61" w:rsidRDefault="00EE208D" w:rsidP="00EE208D"/>
    <w:p w14:paraId="6B1A8A42" w14:textId="77777777" w:rsidR="00EE208D" w:rsidRPr="001B0D61" w:rsidRDefault="00EE208D" w:rsidP="00EE208D">
      <w:r w:rsidRPr="001B0D61">
        <w:rPr>
          <w:u w:val="single"/>
        </w:rPr>
        <w:t>Különleges betegcsoportok</w:t>
      </w:r>
    </w:p>
    <w:p w14:paraId="7436E595" w14:textId="77777777" w:rsidR="00EE208D" w:rsidRPr="001B0D61" w:rsidRDefault="00EE208D" w:rsidP="00EE208D"/>
    <w:p w14:paraId="79127CA3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Májkárosodás</w:t>
      </w:r>
    </w:p>
    <w:p w14:paraId="55446EA0" w14:textId="77777777" w:rsidR="00EE208D" w:rsidRPr="001B0D61" w:rsidRDefault="00EE208D" w:rsidP="00EE208D">
      <w:pPr>
        <w:rPr>
          <w:i/>
        </w:rPr>
      </w:pPr>
    </w:p>
    <w:p w14:paraId="3D54E23E" w14:textId="19AF7345" w:rsidR="00EE208D" w:rsidRPr="001B0D61" w:rsidRDefault="00EE208D" w:rsidP="00EE208D">
      <w:r w:rsidRPr="001B0D61">
        <w:t>Közepes</w:t>
      </w:r>
      <w:r w:rsidR="00640739">
        <w:t xml:space="preserve"> </w:t>
      </w:r>
      <w:r w:rsidRPr="001B0D61">
        <w:t>fokú májkárosodásban (Child–Pugh B stádium, 7-9-es pontszám) szenvedő felnőtt betegeknél az ivakaftor 150 mg-os egyszeri adagjának alkalmazása után hasonló volt az ivakaftor C</w:t>
      </w:r>
      <w:r w:rsidRPr="001B0D61">
        <w:rPr>
          <w:vertAlign w:val="subscript"/>
        </w:rPr>
        <w:t>max</w:t>
      </w:r>
      <w:r w:rsidRPr="001B0D61">
        <w:t>-értéke (átlag [±SD]: 0,735 [0,331] µg/ml), de körülbelül kétszeres emelkedés volt tapasztalható az ivakaftor AUC</w:t>
      </w:r>
      <w:r w:rsidRPr="001B0D61">
        <w:rPr>
          <w:vertAlign w:val="subscript"/>
        </w:rPr>
        <w:t>0-∞</w:t>
      </w:r>
      <w:r w:rsidRPr="001B0D61">
        <w:t>-értékében (átlag [±SD]: 16,80 [6,14] µg</w:t>
      </w:r>
      <w:r w:rsidR="00640739">
        <w:t>×</w:t>
      </w:r>
      <w:r w:rsidRPr="001B0D61">
        <w:t xml:space="preserve">óra/ml) a hasonló demográfiai jellemzőkkel rendelkező egészséges személyekhez képest. Az ivakaftor </w:t>
      </w:r>
      <w:r w:rsidR="00640739">
        <w:t xml:space="preserve">dinamikus </w:t>
      </w:r>
      <w:r w:rsidRPr="001B0D61">
        <w:t>egyensúlyi expozíciójának előrejelzése céljából végzett szimulációk azt mutatták, hogy a 12 óránként 150 mg-os dózis naponta egyszer 150 mg-ra történő csökkentésével a közepesen súlyos fokú májkárosodásban szenvedő felnőtteknél hasonlóak lennének a</w:t>
      </w:r>
      <w:r w:rsidR="00640739">
        <w:t xml:space="preserve"> dinamikus</w:t>
      </w:r>
      <w:r w:rsidRPr="001B0D61">
        <w:t xml:space="preserve"> egyensúlyi C</w:t>
      </w:r>
      <w:r w:rsidRPr="001B0D61">
        <w:rPr>
          <w:vertAlign w:val="subscript"/>
        </w:rPr>
        <w:t>min</w:t>
      </w:r>
      <w:r w:rsidRPr="001B0D61">
        <w:t>-értékek, mint a májkárosodásban nem szenvedő felnőtteknél 12 óránként 150 mg-os adaggal elért értékek.</w:t>
      </w:r>
    </w:p>
    <w:p w14:paraId="02EF70CF" w14:textId="0D25F672" w:rsidR="00445F89" w:rsidRPr="001B0D61" w:rsidRDefault="00445F89" w:rsidP="00445F89">
      <w:r w:rsidRPr="001B0D61">
        <w:t>.</w:t>
      </w:r>
    </w:p>
    <w:p w14:paraId="7C78307F" w14:textId="77777777" w:rsidR="00EE208D" w:rsidRPr="001B0D61" w:rsidRDefault="00EE208D" w:rsidP="00EE208D"/>
    <w:p w14:paraId="29E97F62" w14:textId="77777777" w:rsidR="00EE208D" w:rsidRPr="001B0D61" w:rsidRDefault="00EE208D" w:rsidP="00EE208D">
      <w:r w:rsidRPr="001B0D61">
        <w:t>A súlyos fokú májkárosodás (Child–Pugh C stádium, 10–15-ös pontszám) hatását az ivakaftor farmakokinetikájára nem vizsgálták. Az expozíció fokozódásának nagyságrendje ezeknél a betegeknél nem ismert, de várhatóan nagyobb mértékű annál, mint amit a közepesen súlyos fokú májkárosodásban szenvedő betegeknél megfigyeltek.</w:t>
      </w:r>
    </w:p>
    <w:p w14:paraId="7DC8A731" w14:textId="77777777" w:rsidR="00EE208D" w:rsidRPr="001B0D61" w:rsidRDefault="00EE208D" w:rsidP="00EE208D"/>
    <w:p w14:paraId="15C305C7" w14:textId="77777777" w:rsidR="00EE208D" w:rsidRPr="001B0D61" w:rsidRDefault="00EE208D" w:rsidP="00EE208D">
      <w:r w:rsidRPr="001B0D61">
        <w:t>A megfelelő alkalmazással és dózismódosítással kapcsolatos útmutatót lásd a 4.2 pontban szereplő 3. táblázatban.</w:t>
      </w:r>
    </w:p>
    <w:p w14:paraId="75C16A3F" w14:textId="77777777" w:rsidR="00EE208D" w:rsidRPr="001B0D61" w:rsidRDefault="00EE208D" w:rsidP="00EE208D"/>
    <w:p w14:paraId="1815F39E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Vesekárosodás</w:t>
      </w:r>
    </w:p>
    <w:p w14:paraId="1D2FAA46" w14:textId="77777777" w:rsidR="00EE208D" w:rsidRPr="001B0D61" w:rsidRDefault="00EE208D" w:rsidP="00EE208D">
      <w:pPr>
        <w:rPr>
          <w:i/>
        </w:rPr>
      </w:pPr>
    </w:p>
    <w:p w14:paraId="48A409E9" w14:textId="6C60A438" w:rsidR="00EE208D" w:rsidRPr="001B0D61" w:rsidRDefault="00EE208D" w:rsidP="00EE208D">
      <w:r w:rsidRPr="001B0D61">
        <w:t xml:space="preserve">Vesekárosodásban szenvedő betegeknél nem végeztek farmakokinetikai vizsgálatokat az ivakaftorral. Egy ivakaftor-monoterápiával végzett humán farmakokinetikai vizsgálatban az ivakaftor és metabolitjai minimális mértékben ürültek a vizelettel (a teljes radioaktivitásnak mindössze 6,6%-át nyerték vissza a vizeletből). Az ivakaftor elhanyagolható mértékben ürült a vizelettel az anyavegyület változatlan formájában (500 mg-os egyszeri </w:t>
      </w:r>
      <w:r w:rsidR="00640739" w:rsidRPr="00DD63C3">
        <w:rPr>
          <w:i/>
        </w:rPr>
        <w:t>per os</w:t>
      </w:r>
      <w:r w:rsidR="00640739">
        <w:t xml:space="preserve"> </w:t>
      </w:r>
      <w:r w:rsidRPr="001B0D61">
        <w:t>dózis beadását követően kevesebb mint 0,01%).</w:t>
      </w:r>
    </w:p>
    <w:p w14:paraId="581CF840" w14:textId="77777777" w:rsidR="00EE208D" w:rsidRPr="001B0D61" w:rsidRDefault="00EE208D" w:rsidP="00EE208D"/>
    <w:p w14:paraId="6A6C8976" w14:textId="77777777" w:rsidR="00EE208D" w:rsidRPr="001B0D61" w:rsidRDefault="00EE208D" w:rsidP="00EE208D">
      <w:r w:rsidRPr="001B0D61">
        <w:t>Enyhe és közepesen súlyos fokú vesekárosodásban szenvedő betegeknél nem ajánlott a dózis módosítása. Az ivakaftor súlyos fokú vesekárosodásban (a kreatinin-clearance legfeljebb 30 ml/perc) vagy végstádiumú vesebetegségben szenvedő betegeknél történő alkalmazásakor óvatosság ajánlott (lásd 4.2 és 4.4 pont).</w:t>
      </w:r>
    </w:p>
    <w:p w14:paraId="60E26861" w14:textId="77777777" w:rsidR="00EE208D" w:rsidRPr="001B0D61" w:rsidRDefault="00EE208D" w:rsidP="00EE208D"/>
    <w:p w14:paraId="68CB3C62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Rassz</w:t>
      </w:r>
    </w:p>
    <w:p w14:paraId="57D87210" w14:textId="77777777" w:rsidR="00EE208D" w:rsidRPr="001B0D61" w:rsidRDefault="00EE208D" w:rsidP="00EE208D">
      <w:pPr>
        <w:rPr>
          <w:i/>
        </w:rPr>
      </w:pPr>
    </w:p>
    <w:p w14:paraId="259CB052" w14:textId="77777777" w:rsidR="00EE208D" w:rsidRPr="001B0D61" w:rsidRDefault="00EE208D" w:rsidP="00EE208D">
      <w:r w:rsidRPr="001B0D61">
        <w:t>Egy populációs farmakokinetikai elemzés alapján a fehér bőrű (n = 379) és a nem fehér bőrű (n = 29) betegeknél a rassznak nem volt klinikailag számottevő hatása az ivakaftor farmakokinetikájára.</w:t>
      </w:r>
    </w:p>
    <w:p w14:paraId="072511D5" w14:textId="77777777" w:rsidR="00EE208D" w:rsidRPr="001B0D61" w:rsidRDefault="00EE208D" w:rsidP="00EE208D"/>
    <w:p w14:paraId="3429DC44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Nem</w:t>
      </w:r>
    </w:p>
    <w:p w14:paraId="44F3E5E8" w14:textId="77777777" w:rsidR="00EE208D" w:rsidRPr="001B0D61" w:rsidRDefault="00EE208D" w:rsidP="00EE208D">
      <w:pPr>
        <w:rPr>
          <w:i/>
        </w:rPr>
      </w:pPr>
    </w:p>
    <w:p w14:paraId="5BC7E0E0" w14:textId="77777777" w:rsidR="00EE208D" w:rsidRPr="001B0D61" w:rsidRDefault="00EE208D" w:rsidP="00EE208D">
      <w:r w:rsidRPr="001B0D61">
        <w:t>Az ivakaftor farmakokinetikai paraméterei férfiaknál és nőknél hasonlóak.</w:t>
      </w:r>
    </w:p>
    <w:p w14:paraId="1E0AEB49" w14:textId="77777777" w:rsidR="00EE208D" w:rsidRPr="001B0D61" w:rsidRDefault="00EE208D" w:rsidP="00EE208D"/>
    <w:p w14:paraId="23F1174E" w14:textId="77777777" w:rsidR="00EE208D" w:rsidRPr="001B0D61" w:rsidRDefault="00EE208D" w:rsidP="00EE208D">
      <w:pPr>
        <w:rPr>
          <w:i/>
        </w:rPr>
      </w:pPr>
      <w:r w:rsidRPr="001B0D61">
        <w:rPr>
          <w:i/>
        </w:rPr>
        <w:t>Idősek</w:t>
      </w:r>
    </w:p>
    <w:p w14:paraId="7317BF42" w14:textId="77777777" w:rsidR="00EE208D" w:rsidRPr="001B0D61" w:rsidRDefault="00EE208D" w:rsidP="00EE208D">
      <w:pPr>
        <w:rPr>
          <w:i/>
        </w:rPr>
      </w:pPr>
    </w:p>
    <w:p w14:paraId="71114275" w14:textId="77777777" w:rsidR="00EE208D" w:rsidRPr="001B0D61" w:rsidRDefault="00EE208D" w:rsidP="00EE208D">
      <w:r w:rsidRPr="001B0D61">
        <w:t>Az ivakaftorral végzett klinikai vizsgálatokba nem vontak be elegendő számú 65 éves és idősebb beteget ahhoz, hogy meg lehessen határozni, hasonlóak-e a farmakokinetikai paramétereik a fiatalabb felnőttekéhez, vagy sem.</w:t>
      </w:r>
    </w:p>
    <w:p w14:paraId="3E2F6988" w14:textId="77777777" w:rsidR="00EE208D" w:rsidRPr="001B0D61" w:rsidRDefault="00EE208D" w:rsidP="00EE208D"/>
    <w:p w14:paraId="43D0960D" w14:textId="046C25EB" w:rsidR="002B0A14" w:rsidRPr="001B0D61" w:rsidRDefault="002B0A14" w:rsidP="002B0A14">
      <w:r w:rsidRPr="001B0D61">
        <w:t>.</w:t>
      </w:r>
    </w:p>
    <w:p w14:paraId="6D7C0574" w14:textId="77777777" w:rsidR="002B0A14" w:rsidRPr="001B0D61" w:rsidRDefault="002B0A14" w:rsidP="00EE208D"/>
    <w:p w14:paraId="3BF056F4" w14:textId="77777777" w:rsidR="00EE208D" w:rsidRPr="001B0D61" w:rsidRDefault="00EE208D" w:rsidP="00EE208D">
      <w:r w:rsidRPr="001B0D61">
        <w:rPr>
          <w:u w:val="single"/>
        </w:rPr>
        <w:t>Gyermekek és serdülők</w:t>
      </w:r>
    </w:p>
    <w:p w14:paraId="0E44B299" w14:textId="77777777" w:rsidR="00EE208D" w:rsidRPr="001B0D61" w:rsidRDefault="00EE208D" w:rsidP="00EE208D"/>
    <w:p w14:paraId="7C8456E5" w14:textId="62010DF3" w:rsidR="00EE208D" w:rsidRPr="001B0D61" w:rsidRDefault="00EE208D" w:rsidP="00EE208D">
      <w:r w:rsidRPr="001B0D61">
        <w:t xml:space="preserve">A </w:t>
      </w:r>
      <w:r w:rsidR="00282656">
        <w:t>9</w:t>
      </w:r>
      <w:r w:rsidRPr="001B0D61">
        <w:t>. táblázat mutatja be korcsoportonként a II. és III. fázisú vizsgálatok során megfigyelt ivakaftor-koncentrációk alapján, kompartmentelemzéssel meghatározott várt ivakaftor-expozíciót.</w:t>
      </w:r>
    </w:p>
    <w:p w14:paraId="7C067BAF" w14:textId="77777777" w:rsidR="00EE208D" w:rsidRPr="001B0D61" w:rsidRDefault="00EE208D" w:rsidP="00EE208D"/>
    <w:p w14:paraId="1FC3E961" w14:textId="416D98DF" w:rsidR="00EE208D" w:rsidRPr="001B0D61" w:rsidRDefault="00282656" w:rsidP="00EE208D">
      <w:pPr>
        <w:rPr>
          <w:b/>
          <w:bCs/>
        </w:rPr>
      </w:pPr>
      <w:r>
        <w:rPr>
          <w:b/>
          <w:bCs/>
        </w:rPr>
        <w:t>9</w:t>
      </w:r>
      <w:r w:rsidR="00EE208D" w:rsidRPr="001B0D61">
        <w:rPr>
          <w:b/>
          <w:bCs/>
        </w:rPr>
        <w:t>. táblázat: Átlagos (SD) ivakaftor-expozíció korcsoportonként</w:t>
      </w:r>
    </w:p>
    <w:p w14:paraId="39DCEB01" w14:textId="77777777" w:rsidR="00EE208D" w:rsidRPr="001B0D61" w:rsidRDefault="00EE208D" w:rsidP="00EE208D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949"/>
        <w:gridCol w:w="1573"/>
        <w:gridCol w:w="1439"/>
      </w:tblGrid>
      <w:tr w:rsidR="00EE208D" w:rsidRPr="001B0D61" w14:paraId="05CC21B7" w14:textId="77777777" w:rsidTr="008D1E93">
        <w:trPr>
          <w:trHeight w:val="506"/>
        </w:trPr>
        <w:tc>
          <w:tcPr>
            <w:tcW w:w="4111" w:type="dxa"/>
          </w:tcPr>
          <w:p w14:paraId="6B306B1D" w14:textId="77777777" w:rsidR="00EE208D" w:rsidRPr="001B0D61" w:rsidRDefault="00EE208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Korcsoport</w:t>
            </w:r>
          </w:p>
        </w:tc>
        <w:tc>
          <w:tcPr>
            <w:tcW w:w="1949" w:type="dxa"/>
          </w:tcPr>
          <w:p w14:paraId="3B8A2B00" w14:textId="77777777" w:rsidR="00EE208D" w:rsidRPr="001B0D61" w:rsidRDefault="00EE208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Adag</w:t>
            </w:r>
          </w:p>
        </w:tc>
        <w:tc>
          <w:tcPr>
            <w:tcW w:w="1573" w:type="dxa"/>
          </w:tcPr>
          <w:p w14:paraId="3EA07565" w14:textId="77777777" w:rsidR="00EE208D" w:rsidRPr="001B0D61" w:rsidRDefault="00EE208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lang w:val="hu-HU"/>
              </w:rPr>
              <w:t>C</w:t>
            </w:r>
            <w:r w:rsidRPr="001B0D61">
              <w:rPr>
                <w:b/>
                <w:bCs/>
                <w:vertAlign w:val="subscript"/>
                <w:lang w:val="hu-HU"/>
              </w:rPr>
              <w:t>min,</w:t>
            </w:r>
            <w:r w:rsidRPr="001B0D61">
              <w:rPr>
                <w:b/>
                <w:bCs/>
                <w:lang w:val="hu-HU"/>
              </w:rPr>
              <w:t xml:space="preserve"> </w:t>
            </w:r>
            <w:r w:rsidRPr="001B0D61">
              <w:rPr>
                <w:b/>
                <w:bCs/>
                <w:vertAlign w:val="subscript"/>
                <w:lang w:val="hu-HU"/>
              </w:rPr>
              <w:t>ss</w:t>
            </w:r>
            <w:r w:rsidRPr="001B0D61">
              <w:rPr>
                <w:b/>
                <w:bCs/>
                <w:lang w:val="hu-HU"/>
              </w:rPr>
              <w:t xml:space="preserve"> (µg/ml)</w:t>
            </w:r>
          </w:p>
        </w:tc>
        <w:tc>
          <w:tcPr>
            <w:tcW w:w="1439" w:type="dxa"/>
          </w:tcPr>
          <w:p w14:paraId="2CC467BA" w14:textId="23595B72" w:rsidR="00EE208D" w:rsidRPr="001B0D61" w:rsidRDefault="00EE208D" w:rsidP="008D1E93">
            <w:pPr>
              <w:jc w:val="center"/>
              <w:rPr>
                <w:b/>
                <w:bCs/>
                <w:lang w:val="hu-HU"/>
              </w:rPr>
            </w:pPr>
            <w:r w:rsidRPr="001B0D61">
              <w:rPr>
                <w:b/>
                <w:bCs/>
                <w:position w:val="2"/>
                <w:lang w:val="hu-HU"/>
              </w:rPr>
              <w:t>AUC</w:t>
            </w:r>
            <w:r w:rsidRPr="00DD63C3">
              <w:rPr>
                <w:b/>
                <w:bCs/>
                <w:vertAlign w:val="subscript"/>
                <w:lang w:val="pt-PT"/>
              </w:rPr>
              <w:t>0-12h,</w:t>
            </w:r>
            <w:r w:rsidRPr="001B0D61">
              <w:rPr>
                <w:b/>
                <w:bCs/>
                <w:lang w:val="hu-HU"/>
              </w:rPr>
              <w:t xml:space="preserve"> </w:t>
            </w:r>
            <w:r w:rsidRPr="00DD63C3">
              <w:rPr>
                <w:b/>
                <w:bCs/>
                <w:vertAlign w:val="subscript"/>
                <w:lang w:val="pt-PT"/>
              </w:rPr>
              <w:t>ss</w:t>
            </w:r>
            <w:r w:rsidRPr="001B0D61">
              <w:rPr>
                <w:b/>
                <w:bCs/>
                <w:lang w:val="hu-HU"/>
              </w:rPr>
              <w:t xml:space="preserve"> (µg</w:t>
            </w:r>
            <w:r w:rsidR="00030447">
              <w:rPr>
                <w:b/>
                <w:bCs/>
                <w:lang w:val="hu-HU"/>
              </w:rPr>
              <w:t>×</w:t>
            </w:r>
            <w:r w:rsidRPr="001B0D61">
              <w:rPr>
                <w:b/>
                <w:bCs/>
                <w:lang w:val="hu-HU"/>
              </w:rPr>
              <w:t>h/ml)</w:t>
            </w:r>
          </w:p>
        </w:tc>
      </w:tr>
      <w:tr w:rsidR="00EE208D" w:rsidRPr="001B0D61" w14:paraId="6385D5E0" w14:textId="77777777" w:rsidTr="008D1E93">
        <w:trPr>
          <w:trHeight w:val="506"/>
        </w:trPr>
        <w:tc>
          <w:tcPr>
            <w:tcW w:w="4111" w:type="dxa"/>
          </w:tcPr>
          <w:p w14:paraId="0336267A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 hónapos kortól &lt; 2 hónapos korig (≥ 3 kg)</w:t>
            </w:r>
            <w:r w:rsidRPr="001B0D61">
              <w:rPr>
                <w:vertAlign w:val="superscript"/>
                <w:lang w:val="hu-HU"/>
              </w:rPr>
              <w:t>⁎</w:t>
            </w:r>
          </w:p>
        </w:tc>
        <w:tc>
          <w:tcPr>
            <w:tcW w:w="1949" w:type="dxa"/>
          </w:tcPr>
          <w:p w14:paraId="4F6EC440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13,4 mg 24 óránként</w:t>
            </w:r>
          </w:p>
        </w:tc>
        <w:tc>
          <w:tcPr>
            <w:tcW w:w="1573" w:type="dxa"/>
          </w:tcPr>
          <w:p w14:paraId="676BB25A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0,300 (0,221)</w:t>
            </w:r>
            <w:r w:rsidRPr="001B0D61">
              <w:rPr>
                <w:vertAlign w:val="superscript"/>
                <w:lang w:val="hu-HU"/>
              </w:rPr>
              <w:t>†</w:t>
            </w:r>
          </w:p>
        </w:tc>
        <w:tc>
          <w:tcPr>
            <w:tcW w:w="1439" w:type="dxa"/>
          </w:tcPr>
          <w:p w14:paraId="29A61524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5,84 (2,98)</w:t>
            </w:r>
            <w:r w:rsidRPr="001B0D61">
              <w:rPr>
                <w:vertAlign w:val="superscript"/>
                <w:lang w:val="hu-HU"/>
              </w:rPr>
              <w:t>†</w:t>
            </w:r>
          </w:p>
        </w:tc>
      </w:tr>
      <w:tr w:rsidR="00EE208D" w:rsidRPr="001B0D61" w14:paraId="47EFD01A" w14:textId="77777777" w:rsidTr="008D1E93">
        <w:trPr>
          <w:trHeight w:val="502"/>
        </w:trPr>
        <w:tc>
          <w:tcPr>
            <w:tcW w:w="4111" w:type="dxa"/>
          </w:tcPr>
          <w:p w14:paraId="206ADD60" w14:textId="58E73101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 xml:space="preserve">2 hónapos kortól &lt;  </w:t>
            </w:r>
            <w:r w:rsidR="00474760">
              <w:rPr>
                <w:lang w:val="hu-HU"/>
              </w:rPr>
              <w:t>4</w:t>
            </w:r>
            <w:r w:rsidRPr="001B0D61">
              <w:rPr>
                <w:lang w:val="hu-HU"/>
              </w:rPr>
              <w:t> hónapos korig (≥ 3 kg)</w:t>
            </w:r>
            <w:r w:rsidRPr="001B0D61">
              <w:rPr>
                <w:vertAlign w:val="superscript"/>
                <w:lang w:val="hu-HU"/>
              </w:rPr>
              <w:t>⁎</w:t>
            </w:r>
          </w:p>
        </w:tc>
        <w:tc>
          <w:tcPr>
            <w:tcW w:w="1949" w:type="dxa"/>
          </w:tcPr>
          <w:p w14:paraId="3EBB6E09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13,4 mg 12 óránként</w:t>
            </w:r>
          </w:p>
        </w:tc>
        <w:tc>
          <w:tcPr>
            <w:tcW w:w="1573" w:type="dxa"/>
          </w:tcPr>
          <w:p w14:paraId="37793805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0,406 (0,266)</w:t>
            </w:r>
            <w:r w:rsidRPr="001B0D61">
              <w:rPr>
                <w:vertAlign w:val="superscript"/>
                <w:lang w:val="hu-HU"/>
              </w:rPr>
              <w:t>†</w:t>
            </w:r>
          </w:p>
        </w:tc>
        <w:tc>
          <w:tcPr>
            <w:tcW w:w="1439" w:type="dxa"/>
          </w:tcPr>
          <w:p w14:paraId="4066EF1C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6,45 (3,43)</w:t>
            </w:r>
            <w:r w:rsidRPr="001B0D61">
              <w:rPr>
                <w:vertAlign w:val="superscript"/>
                <w:lang w:val="hu-HU"/>
              </w:rPr>
              <w:t>†</w:t>
            </w:r>
          </w:p>
        </w:tc>
      </w:tr>
      <w:tr w:rsidR="00EE208D" w:rsidRPr="001B0D61" w14:paraId="2DBF9C67" w14:textId="77777777" w:rsidTr="008D1E93">
        <w:trPr>
          <w:trHeight w:val="506"/>
        </w:trPr>
        <w:tc>
          <w:tcPr>
            <w:tcW w:w="4111" w:type="dxa"/>
          </w:tcPr>
          <w:p w14:paraId="560F417F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4 hónapos kortól &lt; 6 hónapos korig (≥ 5 kg)</w:t>
            </w:r>
            <w:r w:rsidRPr="001B0D61">
              <w:rPr>
                <w:vertAlign w:val="superscript"/>
                <w:lang w:val="hu-HU"/>
              </w:rPr>
              <w:t>⁎</w:t>
            </w:r>
          </w:p>
        </w:tc>
        <w:tc>
          <w:tcPr>
            <w:tcW w:w="1949" w:type="dxa"/>
          </w:tcPr>
          <w:p w14:paraId="22508CFD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25 mg 12 óránként</w:t>
            </w:r>
          </w:p>
        </w:tc>
        <w:tc>
          <w:tcPr>
            <w:tcW w:w="1573" w:type="dxa"/>
          </w:tcPr>
          <w:p w14:paraId="073D9650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0,371 (0,183)</w:t>
            </w:r>
          </w:p>
        </w:tc>
        <w:tc>
          <w:tcPr>
            <w:tcW w:w="1439" w:type="dxa"/>
          </w:tcPr>
          <w:p w14:paraId="60BC2AB7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6,48 (2,52)</w:t>
            </w:r>
          </w:p>
        </w:tc>
      </w:tr>
      <w:tr w:rsidR="00EE208D" w:rsidRPr="001B0D61" w14:paraId="24936BD9" w14:textId="77777777" w:rsidTr="008D1E93">
        <w:trPr>
          <w:trHeight w:val="501"/>
        </w:trPr>
        <w:tc>
          <w:tcPr>
            <w:tcW w:w="4111" w:type="dxa"/>
          </w:tcPr>
          <w:p w14:paraId="2ADFE0CE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 xml:space="preserve">6 hónapos kortól &lt; 12 hónapos korig (≥5–&lt;  7 kg) </w:t>
            </w:r>
            <w:r w:rsidRPr="001B0D61">
              <w:rPr>
                <w:vertAlign w:val="superscript"/>
                <w:lang w:val="hu-HU"/>
              </w:rPr>
              <w:t>‡</w:t>
            </w:r>
          </w:p>
        </w:tc>
        <w:tc>
          <w:tcPr>
            <w:tcW w:w="1949" w:type="dxa"/>
          </w:tcPr>
          <w:p w14:paraId="69BFF9F4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25 mg 12 óránként</w:t>
            </w:r>
          </w:p>
        </w:tc>
        <w:tc>
          <w:tcPr>
            <w:tcW w:w="1573" w:type="dxa"/>
          </w:tcPr>
          <w:p w14:paraId="04E4EB8C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0,336</w:t>
            </w:r>
          </w:p>
        </w:tc>
        <w:tc>
          <w:tcPr>
            <w:tcW w:w="1439" w:type="dxa"/>
          </w:tcPr>
          <w:p w14:paraId="5D2D0E88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5,41</w:t>
            </w:r>
          </w:p>
        </w:tc>
      </w:tr>
      <w:tr w:rsidR="00EE208D" w:rsidRPr="001B0D61" w14:paraId="0709381E" w14:textId="77777777" w:rsidTr="008D1E93">
        <w:trPr>
          <w:trHeight w:val="505"/>
        </w:trPr>
        <w:tc>
          <w:tcPr>
            <w:tcW w:w="4111" w:type="dxa"/>
          </w:tcPr>
          <w:p w14:paraId="469D21A6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6 hónapos kortól &lt; 12 hónapos korig (7–&lt;  14 kg)</w:t>
            </w:r>
          </w:p>
        </w:tc>
        <w:tc>
          <w:tcPr>
            <w:tcW w:w="1949" w:type="dxa"/>
          </w:tcPr>
          <w:p w14:paraId="1520B187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50 mg 12 óránként</w:t>
            </w:r>
          </w:p>
        </w:tc>
        <w:tc>
          <w:tcPr>
            <w:tcW w:w="1573" w:type="dxa"/>
          </w:tcPr>
          <w:p w14:paraId="224741D1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0,508 (0,252)</w:t>
            </w:r>
          </w:p>
        </w:tc>
        <w:tc>
          <w:tcPr>
            <w:tcW w:w="1439" w:type="dxa"/>
          </w:tcPr>
          <w:p w14:paraId="22B4A421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9,14 (4,20)</w:t>
            </w:r>
          </w:p>
        </w:tc>
      </w:tr>
      <w:tr w:rsidR="00EE208D" w:rsidRPr="001B0D61" w14:paraId="55CAD7DB" w14:textId="77777777" w:rsidTr="008D1E93">
        <w:trPr>
          <w:trHeight w:val="502"/>
        </w:trPr>
        <w:tc>
          <w:tcPr>
            <w:tcW w:w="4111" w:type="dxa"/>
          </w:tcPr>
          <w:p w14:paraId="07BA9E3C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12 hónapos kortól &lt;  4 hónapos korig (7–&lt;  14 kg)</w:t>
            </w:r>
          </w:p>
        </w:tc>
        <w:tc>
          <w:tcPr>
            <w:tcW w:w="1949" w:type="dxa"/>
          </w:tcPr>
          <w:p w14:paraId="1D551447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50 mg 12 óránként</w:t>
            </w:r>
          </w:p>
        </w:tc>
        <w:tc>
          <w:tcPr>
            <w:tcW w:w="1573" w:type="dxa"/>
          </w:tcPr>
          <w:p w14:paraId="63F7AF46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0,440 (0,212)</w:t>
            </w:r>
          </w:p>
        </w:tc>
        <w:tc>
          <w:tcPr>
            <w:tcW w:w="1439" w:type="dxa"/>
          </w:tcPr>
          <w:p w14:paraId="300BF536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9,05 (3,05)</w:t>
            </w:r>
          </w:p>
        </w:tc>
      </w:tr>
      <w:tr w:rsidR="00EE208D" w:rsidRPr="001B0D61" w14:paraId="6F038F88" w14:textId="77777777" w:rsidTr="008D1E93">
        <w:trPr>
          <w:trHeight w:val="505"/>
        </w:trPr>
        <w:tc>
          <w:tcPr>
            <w:tcW w:w="4111" w:type="dxa"/>
          </w:tcPr>
          <w:p w14:paraId="61C7D216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12 hónapos kortól &lt; 24 hónapos korig (≥  4–&lt;  25 kg)</w:t>
            </w:r>
          </w:p>
        </w:tc>
        <w:tc>
          <w:tcPr>
            <w:tcW w:w="1949" w:type="dxa"/>
          </w:tcPr>
          <w:p w14:paraId="49D3748D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75 mg 12 óránként</w:t>
            </w:r>
          </w:p>
        </w:tc>
        <w:tc>
          <w:tcPr>
            <w:tcW w:w="1573" w:type="dxa"/>
          </w:tcPr>
          <w:p w14:paraId="502B27E7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0,451 (0,125)</w:t>
            </w:r>
          </w:p>
        </w:tc>
        <w:tc>
          <w:tcPr>
            <w:tcW w:w="1439" w:type="dxa"/>
          </w:tcPr>
          <w:p w14:paraId="22A6AB3A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9,60 (1,80)</w:t>
            </w:r>
          </w:p>
        </w:tc>
      </w:tr>
      <w:tr w:rsidR="00EE208D" w:rsidRPr="001B0D61" w14:paraId="622868F0" w14:textId="77777777" w:rsidTr="008D1E93">
        <w:trPr>
          <w:trHeight w:val="422"/>
        </w:trPr>
        <w:tc>
          <w:tcPr>
            <w:tcW w:w="4111" w:type="dxa"/>
          </w:tcPr>
          <w:p w14:paraId="76A64ED6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2-től 5 éves korig (&lt; 14 kg)</w:t>
            </w:r>
          </w:p>
        </w:tc>
        <w:tc>
          <w:tcPr>
            <w:tcW w:w="1949" w:type="dxa"/>
          </w:tcPr>
          <w:p w14:paraId="652B6073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50 mg 12 óránként</w:t>
            </w:r>
          </w:p>
        </w:tc>
        <w:tc>
          <w:tcPr>
            <w:tcW w:w="1573" w:type="dxa"/>
          </w:tcPr>
          <w:p w14:paraId="4C200D98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0,577 (0,317)</w:t>
            </w:r>
          </w:p>
        </w:tc>
        <w:tc>
          <w:tcPr>
            <w:tcW w:w="1439" w:type="dxa"/>
          </w:tcPr>
          <w:p w14:paraId="04B656B1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10,50 (4,26)</w:t>
            </w:r>
          </w:p>
        </w:tc>
      </w:tr>
      <w:tr w:rsidR="00EE208D" w:rsidRPr="001B0D61" w14:paraId="65F33CC2" w14:textId="77777777" w:rsidTr="008D1E93">
        <w:trPr>
          <w:trHeight w:val="358"/>
        </w:trPr>
        <w:tc>
          <w:tcPr>
            <w:tcW w:w="4111" w:type="dxa"/>
          </w:tcPr>
          <w:p w14:paraId="434EB892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2-től 5 éves korig (≥ 14–&lt; 25 kg)</w:t>
            </w:r>
          </w:p>
        </w:tc>
        <w:tc>
          <w:tcPr>
            <w:tcW w:w="1949" w:type="dxa"/>
          </w:tcPr>
          <w:p w14:paraId="3E0B9CC5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75 mg 12 óránként</w:t>
            </w:r>
          </w:p>
        </w:tc>
        <w:tc>
          <w:tcPr>
            <w:tcW w:w="1573" w:type="dxa"/>
          </w:tcPr>
          <w:p w14:paraId="5E8A0256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0,629 (0,296)</w:t>
            </w:r>
          </w:p>
        </w:tc>
        <w:tc>
          <w:tcPr>
            <w:tcW w:w="1439" w:type="dxa"/>
          </w:tcPr>
          <w:p w14:paraId="6F889619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11,30 (3,82)</w:t>
            </w:r>
          </w:p>
        </w:tc>
      </w:tr>
      <w:tr w:rsidR="00EE208D" w:rsidRPr="001B0D61" w14:paraId="165F793F" w14:textId="77777777" w:rsidTr="008D1E93">
        <w:trPr>
          <w:trHeight w:val="462"/>
        </w:trPr>
        <w:tc>
          <w:tcPr>
            <w:tcW w:w="4111" w:type="dxa"/>
          </w:tcPr>
          <w:p w14:paraId="3F6ECC19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6-tól 11 éves korig</w:t>
            </w:r>
            <w:r w:rsidRPr="001B0D61">
              <w:rPr>
                <w:vertAlign w:val="superscript"/>
                <w:lang w:val="hu-HU"/>
              </w:rPr>
              <w:t>§</w:t>
            </w:r>
            <w:r w:rsidRPr="001B0D61">
              <w:rPr>
                <w:lang w:val="hu-HU"/>
              </w:rPr>
              <w:t xml:space="preserve"> (≥ 14–&lt; 25 kg)</w:t>
            </w:r>
          </w:p>
        </w:tc>
        <w:tc>
          <w:tcPr>
            <w:tcW w:w="1949" w:type="dxa"/>
          </w:tcPr>
          <w:p w14:paraId="1898AAF5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75 mg 12 óránként</w:t>
            </w:r>
          </w:p>
        </w:tc>
        <w:tc>
          <w:tcPr>
            <w:tcW w:w="1573" w:type="dxa"/>
          </w:tcPr>
          <w:p w14:paraId="33E3449C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0,641 (0,329)</w:t>
            </w:r>
          </w:p>
        </w:tc>
        <w:tc>
          <w:tcPr>
            <w:tcW w:w="1439" w:type="dxa"/>
          </w:tcPr>
          <w:p w14:paraId="30CBD2B7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10,76 (4.47)</w:t>
            </w:r>
          </w:p>
        </w:tc>
      </w:tr>
      <w:tr w:rsidR="00EE208D" w:rsidRPr="001B0D61" w14:paraId="108449BD" w14:textId="77777777" w:rsidTr="008D1E93">
        <w:trPr>
          <w:trHeight w:val="371"/>
        </w:trPr>
        <w:tc>
          <w:tcPr>
            <w:tcW w:w="4111" w:type="dxa"/>
          </w:tcPr>
          <w:p w14:paraId="67BB134B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6-tól 11 éves korig</w:t>
            </w:r>
            <w:r w:rsidRPr="001B0D61">
              <w:rPr>
                <w:vertAlign w:val="superscript"/>
                <w:lang w:val="hu-HU"/>
              </w:rPr>
              <w:t>§</w:t>
            </w:r>
            <w:r w:rsidRPr="001B0D61">
              <w:rPr>
                <w:lang w:val="hu-HU"/>
              </w:rPr>
              <w:t xml:space="preserve"> (≥ 25 kg)</w:t>
            </w:r>
          </w:p>
        </w:tc>
        <w:tc>
          <w:tcPr>
            <w:tcW w:w="1949" w:type="dxa"/>
          </w:tcPr>
          <w:p w14:paraId="0EE000F0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150 mg 12 óránként</w:t>
            </w:r>
          </w:p>
        </w:tc>
        <w:tc>
          <w:tcPr>
            <w:tcW w:w="1573" w:type="dxa"/>
          </w:tcPr>
          <w:p w14:paraId="42909EC0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0,958 (0,546)</w:t>
            </w:r>
          </w:p>
        </w:tc>
        <w:tc>
          <w:tcPr>
            <w:tcW w:w="1439" w:type="dxa"/>
          </w:tcPr>
          <w:p w14:paraId="412701FE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15,30 (7,34)</w:t>
            </w:r>
          </w:p>
        </w:tc>
      </w:tr>
      <w:tr w:rsidR="00EE208D" w:rsidRPr="001B0D61" w14:paraId="64BC3CBA" w14:textId="77777777" w:rsidTr="008D1E93">
        <w:trPr>
          <w:trHeight w:val="252"/>
        </w:trPr>
        <w:tc>
          <w:tcPr>
            <w:tcW w:w="4111" w:type="dxa"/>
          </w:tcPr>
          <w:p w14:paraId="3E0D90AE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12-től 17 éves korig</w:t>
            </w:r>
          </w:p>
        </w:tc>
        <w:tc>
          <w:tcPr>
            <w:tcW w:w="1949" w:type="dxa"/>
          </w:tcPr>
          <w:p w14:paraId="297445D1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150 mg 12 óránként</w:t>
            </w:r>
          </w:p>
        </w:tc>
        <w:tc>
          <w:tcPr>
            <w:tcW w:w="1573" w:type="dxa"/>
          </w:tcPr>
          <w:p w14:paraId="6CA73E43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0,564 (0,242)</w:t>
            </w:r>
          </w:p>
        </w:tc>
        <w:tc>
          <w:tcPr>
            <w:tcW w:w="1439" w:type="dxa"/>
          </w:tcPr>
          <w:p w14:paraId="670C7A49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9,24 (3,42)</w:t>
            </w:r>
          </w:p>
        </w:tc>
      </w:tr>
      <w:tr w:rsidR="00EE208D" w:rsidRPr="001B0D61" w14:paraId="136EADC3" w14:textId="77777777" w:rsidTr="008D1E93">
        <w:trPr>
          <w:trHeight w:val="252"/>
        </w:trPr>
        <w:tc>
          <w:tcPr>
            <w:tcW w:w="4111" w:type="dxa"/>
          </w:tcPr>
          <w:p w14:paraId="24728F3A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Felnőttek (≥ 18 évesek)</w:t>
            </w:r>
          </w:p>
        </w:tc>
        <w:tc>
          <w:tcPr>
            <w:tcW w:w="1949" w:type="dxa"/>
          </w:tcPr>
          <w:p w14:paraId="59ED6DE0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150 mg 12 óránként</w:t>
            </w:r>
          </w:p>
        </w:tc>
        <w:tc>
          <w:tcPr>
            <w:tcW w:w="1573" w:type="dxa"/>
          </w:tcPr>
          <w:p w14:paraId="049D00FF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0,701 (0,317)</w:t>
            </w:r>
          </w:p>
        </w:tc>
        <w:tc>
          <w:tcPr>
            <w:tcW w:w="1439" w:type="dxa"/>
          </w:tcPr>
          <w:p w14:paraId="163BE937" w14:textId="77777777" w:rsidR="00EE208D" w:rsidRPr="001B0D61" w:rsidRDefault="00EE208D" w:rsidP="008D1E93">
            <w:pPr>
              <w:rPr>
                <w:lang w:val="hu-HU"/>
              </w:rPr>
            </w:pPr>
            <w:r w:rsidRPr="001B0D61">
              <w:rPr>
                <w:lang w:val="hu-HU"/>
              </w:rPr>
              <w:t>10,70 (4,10)</w:t>
            </w:r>
          </w:p>
        </w:tc>
      </w:tr>
    </w:tbl>
    <w:p w14:paraId="180CCFF5" w14:textId="00B7441B" w:rsidR="00EE208D" w:rsidRPr="001B0D61" w:rsidRDefault="00EE208D" w:rsidP="00EE208D">
      <w:pPr>
        <w:ind w:left="426" w:hanging="426"/>
      </w:pPr>
      <w:r w:rsidRPr="001B0D61">
        <w:rPr>
          <w:position w:val="7"/>
          <w:vertAlign w:val="superscript"/>
        </w:rPr>
        <w:t>⁎</w:t>
      </w:r>
      <w:r w:rsidRPr="001B0D61">
        <w:rPr>
          <w:position w:val="7"/>
        </w:rPr>
        <w:t xml:space="preserve"> </w:t>
      </w:r>
      <w:r w:rsidRPr="001B0D61">
        <w:rPr>
          <w:position w:val="7"/>
        </w:rPr>
        <w:tab/>
      </w:r>
      <w:r w:rsidRPr="001B0D61">
        <w:t>A</w:t>
      </w:r>
      <w:r w:rsidR="0049366E">
        <w:t xml:space="preserve"> legalább </w:t>
      </w:r>
      <w:r w:rsidRPr="001B0D61">
        <w:t>1 hónapos, de 6 hónaposnál fiatalabb betegek ≥ 37 hetes gesztációs korúak voltak.</w:t>
      </w:r>
    </w:p>
    <w:p w14:paraId="3E92B3BC" w14:textId="04E79179" w:rsidR="00EE208D" w:rsidRPr="001B0D61" w:rsidRDefault="00EE208D" w:rsidP="00EE208D">
      <w:pPr>
        <w:ind w:left="426" w:hanging="426"/>
      </w:pPr>
      <w:r w:rsidRPr="001B0D61">
        <w:rPr>
          <w:position w:val="7"/>
          <w:vertAlign w:val="superscript"/>
        </w:rPr>
        <w:t>†</w:t>
      </w:r>
      <w:r w:rsidRPr="001B0D61">
        <w:rPr>
          <w:position w:val="7"/>
        </w:rPr>
        <w:t xml:space="preserve"> </w:t>
      </w:r>
      <w:r w:rsidRPr="001B0D61">
        <w:rPr>
          <w:position w:val="7"/>
        </w:rPr>
        <w:tab/>
      </w:r>
      <w:r w:rsidRPr="001B0D61">
        <w:t>Az 1 hónapos</w:t>
      </w:r>
      <w:r w:rsidR="0049366E">
        <w:t xml:space="preserve"> kortól a </w:t>
      </w:r>
      <w:r w:rsidR="0049366E" w:rsidRPr="0049366E">
        <w:rPr>
          <w:rFonts w:eastAsia="SimSun"/>
          <w:bCs/>
          <w:lang w:bidi="ar-SA"/>
          <w14:ligatures w14:val="none"/>
        </w:rPr>
        <w:t>&lt; </w:t>
      </w:r>
      <w:r w:rsidR="0049366E" w:rsidRPr="00DD63C3">
        <w:rPr>
          <w:rFonts w:eastAsia="SimSun"/>
          <w:lang w:bidi="ar-SA"/>
          <w14:ligatures w14:val="none"/>
        </w:rPr>
        <w:t>4 hónaposnál fiatalabb életkorúaknál az expozíciók a fiziológiai alapú</w:t>
      </w:r>
      <w:r w:rsidR="0049366E" w:rsidRPr="0049366E">
        <w:rPr>
          <w:rFonts w:eastAsia="SimSun"/>
          <w:sz w:val="20"/>
          <w:szCs w:val="20"/>
          <w:lang w:bidi="ar-SA"/>
          <w14:ligatures w14:val="none"/>
        </w:rPr>
        <w:t xml:space="preserve"> </w:t>
      </w:r>
      <w:r w:rsidRPr="001B0D61">
        <w:t xml:space="preserve"> farmakokinetikai modell szimulációin alapuló előrejelzések, amelyek az adott korcsoportból származó adatokat tartalmaznak.</w:t>
      </w:r>
    </w:p>
    <w:p w14:paraId="1D0602F3" w14:textId="77777777" w:rsidR="00EE208D" w:rsidRPr="001B0D61" w:rsidRDefault="00EE208D" w:rsidP="00EE208D">
      <w:pPr>
        <w:ind w:left="426" w:hanging="426"/>
      </w:pPr>
      <w:r w:rsidRPr="001B0D61">
        <w:rPr>
          <w:position w:val="9"/>
          <w:vertAlign w:val="superscript"/>
        </w:rPr>
        <w:t>‡</w:t>
      </w:r>
      <w:r w:rsidRPr="001B0D61">
        <w:rPr>
          <w:position w:val="9"/>
        </w:rPr>
        <w:t xml:space="preserve"> </w:t>
      </w:r>
      <w:r w:rsidRPr="001B0D61">
        <w:rPr>
          <w:position w:val="9"/>
        </w:rPr>
        <w:tab/>
      </w:r>
      <w:r w:rsidRPr="001B0D61">
        <w:t>Egyetlen betegtől származó adatokon alapuló értékek; standard deviációt nem jelentettek.</w:t>
      </w:r>
    </w:p>
    <w:p w14:paraId="0AABDAFB" w14:textId="42C488B0" w:rsidR="00EE208D" w:rsidRPr="001B0D61" w:rsidRDefault="00EE208D" w:rsidP="00EE208D">
      <w:pPr>
        <w:ind w:left="426" w:hanging="426"/>
      </w:pPr>
      <w:r w:rsidRPr="001B0D61">
        <w:rPr>
          <w:position w:val="9"/>
          <w:vertAlign w:val="superscript"/>
        </w:rPr>
        <w:t>§</w:t>
      </w:r>
      <w:r w:rsidRPr="001B0D61">
        <w:rPr>
          <w:position w:val="9"/>
        </w:rPr>
        <w:t xml:space="preserve"> </w:t>
      </w:r>
      <w:r w:rsidRPr="001B0D61">
        <w:rPr>
          <w:position w:val="9"/>
        </w:rPr>
        <w:tab/>
      </w:r>
      <w:r w:rsidRPr="001B0D61">
        <w:t xml:space="preserve">A 6–11 éves korcsoportban </w:t>
      </w:r>
      <w:r w:rsidR="0049366E">
        <w:t xml:space="preserve">az </w:t>
      </w:r>
      <w:r w:rsidRPr="001B0D61">
        <w:t>expozíciók az adott korcsoportra vonatkozóan kapott adatok felhasználásával kidolgozott populációs farmakokinetikai modellből származó szimulációk alapján előrejelzett értékek.</w:t>
      </w:r>
    </w:p>
    <w:p w14:paraId="7DFC7338" w14:textId="77777777" w:rsidR="00EE208D" w:rsidRPr="001B0D61" w:rsidRDefault="00EE208D" w:rsidP="00EE208D"/>
    <w:p w14:paraId="58DD39B5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5.3</w:t>
      </w:r>
      <w:r w:rsidRPr="001B0D61">
        <w:rPr>
          <w:b/>
          <w:bCs/>
        </w:rPr>
        <w:tab/>
        <w:t>A preklinikai biztonságossági vizsgálatok</w:t>
      </w:r>
      <w:r w:rsidRPr="001B0D61">
        <w:rPr>
          <w:b/>
          <w:bCs/>
          <w:spacing w:val="-3"/>
        </w:rPr>
        <w:t xml:space="preserve"> </w:t>
      </w:r>
      <w:r w:rsidRPr="001B0D61">
        <w:rPr>
          <w:b/>
          <w:bCs/>
        </w:rPr>
        <w:t>eredményei</w:t>
      </w:r>
    </w:p>
    <w:p w14:paraId="39FBB317" w14:textId="77777777" w:rsidR="00EE208D" w:rsidRPr="001B0D61" w:rsidRDefault="00EE208D" w:rsidP="00EE208D"/>
    <w:p w14:paraId="08124723" w14:textId="77777777" w:rsidR="00EE208D" w:rsidRPr="001B0D61" w:rsidRDefault="00EE208D" w:rsidP="00EE208D">
      <w:r w:rsidRPr="001B0D61">
        <w:t>A hagyományos – farmakológiai biztonságossági, ismételt adagolású dózistoxicitási, genotoxicitási és karcinogenitási – vizsgálatokból származó nem-klinikai jellegű adatok azt igazolták, hogy a készítmény alkalmazásakor humán vonatkozásban különleges kockázat nem várható.</w:t>
      </w:r>
    </w:p>
    <w:p w14:paraId="403FABA8" w14:textId="77777777" w:rsidR="00EE208D" w:rsidRPr="001B0D61" w:rsidRDefault="00EE208D" w:rsidP="00EE208D"/>
    <w:p w14:paraId="65A930BC" w14:textId="77777777" w:rsidR="00EE208D" w:rsidRPr="001B0D61" w:rsidRDefault="00EE208D" w:rsidP="00EE208D">
      <w:r w:rsidRPr="001B0D61">
        <w:rPr>
          <w:u w:val="single"/>
        </w:rPr>
        <w:t>Terhesség és termékenység</w:t>
      </w:r>
    </w:p>
    <w:p w14:paraId="26BF7AEF" w14:textId="77777777" w:rsidR="00EE208D" w:rsidRPr="001B0D61" w:rsidRDefault="00EE208D" w:rsidP="00EE208D"/>
    <w:p w14:paraId="1ADBE61D" w14:textId="32CA38C4" w:rsidR="00EE208D" w:rsidRPr="001B0D61" w:rsidRDefault="00EE208D" w:rsidP="00EE208D">
      <w:r w:rsidRPr="001B0D61">
        <w:t xml:space="preserve">Az ivakaftor alkalmazása az ondóhólyag tömegének kismértékű csökkenésével, továbbá ivakaftorral kezelt hímekkel párosodott nőstényeknél az összesített fertilitási index és a vemhességek számának csökkenésével, ivakaftorral kezelt nőstényeknél pedig a corpus luteumok és az implantációs helyek számának </w:t>
      </w:r>
      <w:r w:rsidR="0049366E">
        <w:t>szignifikáns</w:t>
      </w:r>
      <w:r w:rsidRPr="001B0D61">
        <w:t xml:space="preserve"> csökkenésével járt, melynek következtében csökkent az egy alomból született utódok átlagos száma, valamint az egy alomból született életképes embriók átlagos száma. A termékenységgel kapcsolatosan észlelt eltérések esetében a megfigyelhető hatást nem okozó dózis (No-Observed-Adverse-Effect-Level, NOAEL) az ivakaftor-monoterápia ajánlott maximális humán adagjának (maximum recommended human dose, MRHD)</w:t>
      </w:r>
      <w:r w:rsidR="0049366E" w:rsidRPr="0049366E">
        <w:t xml:space="preserve"> alkalmazása mellett felnőtt embernél kialakuló szisztémás ivakaftor-expozíciónak és a metabolitok szisztémás expozíciójának körülbelül négyszeresének megfelelő expozíciós szint.</w:t>
      </w:r>
      <w:r w:rsidRPr="001B0D61">
        <w:t xml:space="preserve"> Vemhes patkányoknál és nyulaknál az ivakaftor placentán történő átjutását figyelték meg.</w:t>
      </w:r>
    </w:p>
    <w:p w14:paraId="01179E5C" w14:textId="77777777" w:rsidR="00EE208D" w:rsidRPr="001B0D61" w:rsidRDefault="00EE208D" w:rsidP="00EE208D"/>
    <w:p w14:paraId="0222EF44" w14:textId="77777777" w:rsidR="00EE208D" w:rsidRPr="001B0D61" w:rsidRDefault="00EE208D" w:rsidP="00EE208D">
      <w:r w:rsidRPr="001B0D61">
        <w:rPr>
          <w:u w:val="single"/>
        </w:rPr>
        <w:t>Peri- és posztnatális fejlődés</w:t>
      </w:r>
    </w:p>
    <w:p w14:paraId="1141ADE4" w14:textId="77777777" w:rsidR="00EE208D" w:rsidRPr="001B0D61" w:rsidRDefault="00EE208D" w:rsidP="00EE208D"/>
    <w:p w14:paraId="1FB8CCEC" w14:textId="77777777" w:rsidR="00EE208D" w:rsidRPr="001B0D61" w:rsidRDefault="00EE208D" w:rsidP="00EE208D">
      <w:r w:rsidRPr="001B0D61">
        <w:t>Az ivakaftor a túlélés és a laktációs mutatók csökkenését idézte elő, továbbá a kölykök testtömegének csökkenését okozta. Az utódok életképessége és növekedése tekintetében a NOAEL az ivakaftor-monoterápia MRHD-jának alkalmazása mellett felnőtt emberben az ivakaftor és metabolitjai esetén létrejövő szisztémás expozíció kb. háromszorosának megfelelő expozíciós szintet eredményez.</w:t>
      </w:r>
    </w:p>
    <w:p w14:paraId="0F9A30B3" w14:textId="77777777" w:rsidR="00EE208D" w:rsidRPr="001B0D61" w:rsidRDefault="00EE208D" w:rsidP="00EE208D"/>
    <w:p w14:paraId="294AEC47" w14:textId="77777777" w:rsidR="00EE208D" w:rsidRPr="001B0D61" w:rsidRDefault="00EE208D" w:rsidP="00EE208D">
      <w:r w:rsidRPr="001B0D61">
        <w:rPr>
          <w:u w:val="single"/>
        </w:rPr>
        <w:t>Fiatal állatokkal végzett vizsgálatok</w:t>
      </w:r>
    </w:p>
    <w:p w14:paraId="3A572630" w14:textId="77777777" w:rsidR="00EE208D" w:rsidRPr="001B0D61" w:rsidRDefault="00EE208D" w:rsidP="00EE208D"/>
    <w:p w14:paraId="3C60DF16" w14:textId="349D364D" w:rsidR="00EE208D" w:rsidRPr="001B0D61" w:rsidRDefault="00EE208D" w:rsidP="00EE208D">
      <w:r w:rsidRPr="001B0D61">
        <w:t>Cataracta előfordulását figyelték meg olyan fiatal patkányoknál, amelyeknél a 7. postnatalis naptól a 35. postnatalis napig alkalmaztak olyan dózisokat, amelyek az ivakaftor-monoterápia alkalmazása mellett az ivakaftor és metabolitjai szisztémás expozíciója alapján az MRHD 0,22-szeresének megfelelő ivakaftor expozíciós szinteket eredményeznek. Nem figyelték meg a jelenséget a 7. és 17. gesztációs nap között ivakaftorral kezelt anyaállatoktól származó patkánymagzatoknál, a 20. postnatalis napig tej</w:t>
      </w:r>
      <w:r w:rsidR="00720808">
        <w:t>en keresztüli</w:t>
      </w:r>
      <w:r w:rsidRPr="001B0D61">
        <w:t xml:space="preserve"> expozíció</w:t>
      </w:r>
      <w:r w:rsidR="00720808">
        <w:t>nak kitett</w:t>
      </w:r>
      <w:r w:rsidRPr="001B0D61">
        <w:t xml:space="preserve"> patkánykölykök esetében, 7 hetes patkányoknál, valamint ivakaftorral kezelt 3,5-5 hónapos kutyakölyköknél sem. E megfigyelés jelentősége emberek esetében nem ismert.</w:t>
      </w:r>
    </w:p>
    <w:p w14:paraId="6B5B107A" w14:textId="77777777" w:rsidR="00EE208D" w:rsidRPr="001B0D61" w:rsidRDefault="00EE208D" w:rsidP="00EE208D"/>
    <w:p w14:paraId="1F940F15" w14:textId="77777777" w:rsidR="00EE208D" w:rsidRPr="001B0D61" w:rsidRDefault="00EE208D" w:rsidP="00EE208D"/>
    <w:p w14:paraId="0E136EBA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6.</w:t>
      </w:r>
      <w:r w:rsidRPr="001B0D61">
        <w:rPr>
          <w:b/>
          <w:bCs/>
        </w:rPr>
        <w:tab/>
        <w:t>GYÓGYSZERÉSZETI JELLEMZŐK</w:t>
      </w:r>
    </w:p>
    <w:p w14:paraId="1A8B7DBC" w14:textId="77777777" w:rsidR="00EE208D" w:rsidRPr="001B0D61" w:rsidRDefault="00EE208D" w:rsidP="00EE208D"/>
    <w:p w14:paraId="7463568E" w14:textId="77777777" w:rsidR="00EE208D" w:rsidRPr="001B0D61" w:rsidRDefault="00EE208D" w:rsidP="00EE208D">
      <w:pPr>
        <w:tabs>
          <w:tab w:val="left" w:pos="426"/>
        </w:tabs>
        <w:rPr>
          <w:b/>
          <w:bCs/>
        </w:rPr>
      </w:pPr>
      <w:r w:rsidRPr="001B0D61">
        <w:rPr>
          <w:b/>
          <w:bCs/>
        </w:rPr>
        <w:t>6.1</w:t>
      </w:r>
      <w:r w:rsidRPr="001B0D61">
        <w:rPr>
          <w:b/>
          <w:bCs/>
        </w:rPr>
        <w:tab/>
        <w:t>Segédanyagok</w:t>
      </w:r>
      <w:r w:rsidRPr="001B0D61">
        <w:rPr>
          <w:b/>
          <w:bCs/>
          <w:spacing w:val="-1"/>
        </w:rPr>
        <w:t xml:space="preserve"> </w:t>
      </w:r>
      <w:r w:rsidRPr="001B0D61">
        <w:rPr>
          <w:b/>
          <w:bCs/>
        </w:rPr>
        <w:t>felsorolása</w:t>
      </w:r>
    </w:p>
    <w:p w14:paraId="21FC8DCF" w14:textId="77777777" w:rsidR="00EE208D" w:rsidRPr="001B0D61" w:rsidRDefault="00EE208D" w:rsidP="00EE208D"/>
    <w:p w14:paraId="70D8FA5D" w14:textId="77777777" w:rsidR="00EE208D" w:rsidRPr="001B0D61" w:rsidRDefault="00EE208D" w:rsidP="00EE208D">
      <w:r w:rsidRPr="001B0D61">
        <w:rPr>
          <w:u w:val="single"/>
        </w:rPr>
        <w:t>Tablettamag</w:t>
      </w:r>
    </w:p>
    <w:p w14:paraId="4F09BC84" w14:textId="77777777" w:rsidR="00EE208D" w:rsidRPr="001B0D61" w:rsidRDefault="00EE208D" w:rsidP="00EE208D"/>
    <w:p w14:paraId="4392022C" w14:textId="77777777" w:rsidR="00EE208D" w:rsidRPr="001B0D61" w:rsidRDefault="00EE208D" w:rsidP="00EE208D">
      <w:r w:rsidRPr="001B0D61">
        <w:t>mikrokristályos cellulóz (e460(i))</w:t>
      </w:r>
    </w:p>
    <w:p w14:paraId="536A333E" w14:textId="77777777" w:rsidR="00EE208D" w:rsidRPr="001B0D61" w:rsidRDefault="00EE208D" w:rsidP="00EE208D">
      <w:r w:rsidRPr="001B0D61">
        <w:t>laktóz-monohidrát</w:t>
      </w:r>
    </w:p>
    <w:p w14:paraId="2C3CA286" w14:textId="77777777" w:rsidR="00EE208D" w:rsidRPr="001B0D61" w:rsidRDefault="00EE208D" w:rsidP="00EE208D">
      <w:r w:rsidRPr="001B0D61">
        <w:t>povidon</w:t>
      </w:r>
    </w:p>
    <w:p w14:paraId="2D33AFB8" w14:textId="77777777" w:rsidR="00EE208D" w:rsidRPr="001B0D61" w:rsidRDefault="00EE208D" w:rsidP="00EE208D">
      <w:r w:rsidRPr="001B0D61">
        <w:t>poloxamer</w:t>
      </w:r>
    </w:p>
    <w:p w14:paraId="32E8F2CC" w14:textId="77777777" w:rsidR="00EE208D" w:rsidRPr="001B0D61" w:rsidRDefault="00EE208D" w:rsidP="00EE208D">
      <w:r w:rsidRPr="001B0D61">
        <w:t>kroszkarmellóz-nátrium (E468)</w:t>
      </w:r>
    </w:p>
    <w:p w14:paraId="2DB7447E" w14:textId="77777777" w:rsidR="00EE208D" w:rsidRPr="001B0D61" w:rsidRDefault="00EE208D" w:rsidP="00EE208D">
      <w:r w:rsidRPr="001B0D61">
        <w:t>nátrium-lauril-szulfát</w:t>
      </w:r>
    </w:p>
    <w:p w14:paraId="6ACB5B14" w14:textId="77777777" w:rsidR="00EE208D" w:rsidRPr="001B0D61" w:rsidRDefault="00EE208D" w:rsidP="00EE208D">
      <w:r w:rsidRPr="001B0D61">
        <w:t>vízmentes kolloid szilícium-dioxid (E551)</w:t>
      </w:r>
    </w:p>
    <w:p w14:paraId="16720F25" w14:textId="77777777" w:rsidR="00EE208D" w:rsidRPr="001B0D61" w:rsidRDefault="00EE208D" w:rsidP="00EE208D">
      <w:r w:rsidRPr="001B0D61">
        <w:t>magnézium-sztearát</w:t>
      </w:r>
    </w:p>
    <w:p w14:paraId="30BBC21A" w14:textId="77777777" w:rsidR="00EE208D" w:rsidRPr="001B0D61" w:rsidRDefault="00EE208D" w:rsidP="00EE208D"/>
    <w:p w14:paraId="2E123A1C" w14:textId="77777777" w:rsidR="00EE208D" w:rsidRPr="001B0D61" w:rsidRDefault="00EE208D" w:rsidP="00EE208D">
      <w:pPr>
        <w:rPr>
          <w:u w:val="single"/>
        </w:rPr>
      </w:pPr>
      <w:r w:rsidRPr="001B0D61">
        <w:rPr>
          <w:u w:val="single"/>
        </w:rPr>
        <w:t>Tabletta filmbevonat</w:t>
      </w:r>
    </w:p>
    <w:p w14:paraId="0C4C15C6" w14:textId="77777777" w:rsidR="00EE208D" w:rsidRPr="001B0D61" w:rsidRDefault="00EE208D" w:rsidP="00EE208D"/>
    <w:p w14:paraId="5DEBF8FC" w14:textId="0E38E724" w:rsidR="00EE208D" w:rsidRPr="001B0D61" w:rsidRDefault="00EE208D" w:rsidP="00EE208D">
      <w:r w:rsidRPr="001B0D61">
        <w:t>rész</w:t>
      </w:r>
      <w:r w:rsidR="0041202D">
        <w:t xml:space="preserve">legesen </w:t>
      </w:r>
      <w:r w:rsidRPr="001B0D61">
        <w:t>hidrolizált poli(vinil-alkohol) (E1203)</w:t>
      </w:r>
    </w:p>
    <w:p w14:paraId="40BBD442" w14:textId="77777777" w:rsidR="00EE208D" w:rsidRPr="001B0D61" w:rsidRDefault="00EE208D" w:rsidP="00EE208D">
      <w:r w:rsidRPr="001B0D61">
        <w:t>kalcium-karbonát (E170)</w:t>
      </w:r>
    </w:p>
    <w:p w14:paraId="00CAB35C" w14:textId="77777777" w:rsidR="00EE208D" w:rsidRPr="001B0D61" w:rsidRDefault="00EE208D" w:rsidP="00EE208D">
      <w:r w:rsidRPr="001B0D61">
        <w:t>makrogol (E1521)</w:t>
      </w:r>
    </w:p>
    <w:p w14:paraId="7B4F798E" w14:textId="77777777" w:rsidR="00EE208D" w:rsidRPr="001B0D61" w:rsidRDefault="00EE208D" w:rsidP="00EE208D">
      <w:r w:rsidRPr="001B0D61">
        <w:t>talkum (E553b)</w:t>
      </w:r>
    </w:p>
    <w:p w14:paraId="32F73213" w14:textId="77777777" w:rsidR="00EE208D" w:rsidRPr="001B0D61" w:rsidRDefault="00EE208D" w:rsidP="00EE208D">
      <w:r w:rsidRPr="001B0D61">
        <w:t>indigókármin alumínium lakk (E132)</w:t>
      </w:r>
    </w:p>
    <w:p w14:paraId="5048E116" w14:textId="77777777" w:rsidR="00EE208D" w:rsidRPr="001B0D61" w:rsidRDefault="00EE208D" w:rsidP="00EE208D"/>
    <w:p w14:paraId="16EFEF32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6.2</w:t>
      </w:r>
      <w:r w:rsidRPr="001B0D61">
        <w:rPr>
          <w:b/>
          <w:bCs/>
        </w:rPr>
        <w:tab/>
        <w:t>Inkompatibilitások</w:t>
      </w:r>
    </w:p>
    <w:p w14:paraId="0DB821B7" w14:textId="77777777" w:rsidR="00EE208D" w:rsidRPr="001B0D61" w:rsidRDefault="00EE208D" w:rsidP="00EE208D"/>
    <w:p w14:paraId="6BF22712" w14:textId="77777777" w:rsidR="00EE208D" w:rsidRPr="001B0D61" w:rsidRDefault="00EE208D" w:rsidP="00EE208D">
      <w:r w:rsidRPr="001B0D61">
        <w:t>Nem értelmezhető.</w:t>
      </w:r>
    </w:p>
    <w:p w14:paraId="43D1C338" w14:textId="77777777" w:rsidR="00EE208D" w:rsidRPr="001B0D61" w:rsidRDefault="00EE208D" w:rsidP="00EE208D"/>
    <w:p w14:paraId="613B018D" w14:textId="77777777" w:rsidR="00EE208D" w:rsidRPr="001B0D61" w:rsidRDefault="00EE208D" w:rsidP="00EE208D">
      <w:pPr>
        <w:rPr>
          <w:b/>
          <w:bCs/>
        </w:rPr>
      </w:pPr>
      <w:r w:rsidRPr="001B0D61">
        <w:rPr>
          <w:b/>
          <w:bCs/>
        </w:rPr>
        <w:t>6.3</w:t>
      </w:r>
      <w:r w:rsidRPr="001B0D61">
        <w:rPr>
          <w:b/>
          <w:bCs/>
        </w:rPr>
        <w:tab/>
        <w:t>Felhasználhatósági</w:t>
      </w:r>
      <w:r w:rsidRPr="001B0D61">
        <w:rPr>
          <w:b/>
          <w:bCs/>
          <w:spacing w:val="-1"/>
        </w:rPr>
        <w:t xml:space="preserve"> </w:t>
      </w:r>
      <w:r w:rsidRPr="001B0D61">
        <w:rPr>
          <w:b/>
          <w:bCs/>
        </w:rPr>
        <w:t>időtartam</w:t>
      </w:r>
    </w:p>
    <w:p w14:paraId="2FB75FA1" w14:textId="77777777" w:rsidR="00EE208D" w:rsidRPr="001B0D61" w:rsidRDefault="00EE208D" w:rsidP="00EE208D"/>
    <w:p w14:paraId="28DC826D" w14:textId="77777777" w:rsidR="00EE208D" w:rsidRPr="001B0D61" w:rsidRDefault="00EE208D" w:rsidP="00EE208D">
      <w:r w:rsidRPr="001B0D61">
        <w:t>2 év.</w:t>
      </w:r>
    </w:p>
    <w:p w14:paraId="2E844865" w14:textId="77777777" w:rsidR="00EE208D" w:rsidRPr="001B0D61" w:rsidRDefault="00EE208D" w:rsidP="00EE208D"/>
    <w:p w14:paraId="23DA1865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6.4</w:t>
      </w:r>
      <w:r w:rsidRPr="001B0D61">
        <w:rPr>
          <w:b/>
          <w:bCs/>
        </w:rPr>
        <w:tab/>
        <w:t>Különleges tárolási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előírások</w:t>
      </w:r>
    </w:p>
    <w:p w14:paraId="00E69C08" w14:textId="77777777" w:rsidR="00EE208D" w:rsidRPr="001B0D61" w:rsidRDefault="00EE208D" w:rsidP="00EE208D"/>
    <w:p w14:paraId="29FCA15F" w14:textId="77777777" w:rsidR="00EE208D" w:rsidRPr="001B0D61" w:rsidRDefault="00EE208D" w:rsidP="00EE208D">
      <w:r w:rsidRPr="001B0D61">
        <w:t>Ez a gyógyszer nem igényel különleges tárolást.</w:t>
      </w:r>
    </w:p>
    <w:p w14:paraId="5BC77168" w14:textId="77777777" w:rsidR="00EE208D" w:rsidRPr="001B0D61" w:rsidRDefault="00EE208D" w:rsidP="00EE208D"/>
    <w:p w14:paraId="0D569B75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6.5</w:t>
      </w:r>
      <w:r w:rsidRPr="001B0D61">
        <w:rPr>
          <w:b/>
          <w:bCs/>
        </w:rPr>
        <w:tab/>
        <w:t>Csomagolás típusa és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kiszerelése</w:t>
      </w:r>
    </w:p>
    <w:p w14:paraId="4E968C41" w14:textId="77777777" w:rsidR="00EE208D" w:rsidRPr="001B0D61" w:rsidRDefault="00EE208D" w:rsidP="00EE208D"/>
    <w:p w14:paraId="008F6EA9" w14:textId="38080846" w:rsidR="00EE208D" w:rsidRPr="001B0D61" w:rsidRDefault="00EE208D" w:rsidP="00EE208D">
      <w:r w:rsidRPr="001B0D61">
        <w:t>28 és 56 db filmtablettát tartalmazó PVC/PCTFE/PVC//Al buborékcsomagolás, dobozban.</w:t>
      </w:r>
    </w:p>
    <w:p w14:paraId="19950318" w14:textId="77777777" w:rsidR="00EE208D" w:rsidRPr="001B0D61" w:rsidRDefault="00EE208D" w:rsidP="00EE208D"/>
    <w:p w14:paraId="04A45DF4" w14:textId="2732481D" w:rsidR="00EE208D" w:rsidRPr="001B0D61" w:rsidRDefault="00EE208D" w:rsidP="00EE208D">
      <w:r w:rsidRPr="001B0D61">
        <w:t>28 × 1 és 56 × 1 db filmtablettát tartalmazó PVC/PCTFE/PVC//Al adagonként perforált buborékcsomagolás, dobozban.</w:t>
      </w:r>
    </w:p>
    <w:p w14:paraId="30B51B64" w14:textId="77777777" w:rsidR="00EE208D" w:rsidRPr="001B0D61" w:rsidRDefault="00EE208D" w:rsidP="00EE208D"/>
    <w:p w14:paraId="2EE8A0EF" w14:textId="77777777" w:rsidR="00EE208D" w:rsidRPr="001B0D61" w:rsidRDefault="00EE208D" w:rsidP="00EE208D">
      <w:r w:rsidRPr="001B0D61">
        <w:t>Nem feltétlenül mindegyik kiszerelés kerül kereskedelmi forgalomba.</w:t>
      </w:r>
    </w:p>
    <w:p w14:paraId="2D72CB9A" w14:textId="77777777" w:rsidR="00EE208D" w:rsidRPr="001B0D61" w:rsidRDefault="00EE208D" w:rsidP="00EE208D"/>
    <w:p w14:paraId="27F99BD1" w14:textId="77777777" w:rsidR="00EE208D" w:rsidRPr="001B0D61" w:rsidRDefault="00EE208D" w:rsidP="00EE208D">
      <w:pPr>
        <w:ind w:left="567" w:hanging="567"/>
        <w:rPr>
          <w:b/>
          <w:bCs/>
        </w:rPr>
      </w:pPr>
      <w:r w:rsidRPr="001B0D61">
        <w:rPr>
          <w:b/>
          <w:bCs/>
        </w:rPr>
        <w:t>6.6</w:t>
      </w:r>
      <w:r w:rsidRPr="001B0D61">
        <w:rPr>
          <w:b/>
          <w:bCs/>
        </w:rPr>
        <w:tab/>
        <w:t>A megsemmisítésre vonatkozó különleges óvintézkedések és egyéb, a készítmény kezelésével kapcsolatos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információk</w:t>
      </w:r>
    </w:p>
    <w:p w14:paraId="2DDB59FC" w14:textId="77777777" w:rsidR="00EE208D" w:rsidRPr="001B0D61" w:rsidRDefault="00EE208D" w:rsidP="00EE208D"/>
    <w:p w14:paraId="5317EB74" w14:textId="77777777" w:rsidR="00EE208D" w:rsidRPr="001B0D61" w:rsidRDefault="00EE208D" w:rsidP="00EE208D">
      <w:r w:rsidRPr="001B0D61">
        <w:t>Bármilyen fel nem használt gyógyszer, illetve hulladékanyag megsemmisítését a gyógyszerekre vonatkozó előírások szerint kell végrehajtani.</w:t>
      </w:r>
    </w:p>
    <w:p w14:paraId="7C59FFCF" w14:textId="77777777" w:rsidR="002F7FC5" w:rsidRDefault="002F7FC5" w:rsidP="002F7FC5">
      <w:pPr>
        <w:widowControl/>
        <w:tabs>
          <w:tab w:val="left" w:pos="567"/>
        </w:tabs>
        <w:autoSpaceDE/>
        <w:autoSpaceDN/>
        <w:spacing w:line="240" w:lineRule="exact"/>
        <w:rPr>
          <w:rFonts w:eastAsia="SimSun"/>
          <w:b/>
          <w:lang w:bidi="ar-SA"/>
          <w14:ligatures w14:val="none"/>
        </w:rPr>
      </w:pPr>
    </w:p>
    <w:p w14:paraId="54FD77DA" w14:textId="5062E0E1" w:rsidR="002F7FC5" w:rsidRPr="002F7FC5" w:rsidRDefault="002F7FC5" w:rsidP="002F7FC5">
      <w:pPr>
        <w:widowControl/>
        <w:tabs>
          <w:tab w:val="left" w:pos="567"/>
        </w:tabs>
        <w:autoSpaceDE/>
        <w:autoSpaceDN/>
        <w:spacing w:line="240" w:lineRule="exact"/>
        <w:rPr>
          <w:rFonts w:eastAsia="SimSun"/>
          <w:b/>
          <w:lang w:bidi="ar-SA"/>
          <w14:ligatures w14:val="none"/>
        </w:rPr>
      </w:pPr>
      <w:r w:rsidRPr="002F7FC5">
        <w:rPr>
          <w:rFonts w:eastAsia="SimSun"/>
          <w:b/>
          <w:lang w:bidi="ar-SA"/>
          <w14:ligatures w14:val="none"/>
        </w:rPr>
        <w:t xml:space="preserve">Megjegyzés: </w:t>
      </w:r>
      <w:r w:rsidRPr="002F7FC5">
        <w:rPr>
          <w:rFonts w:eastAsia="SimSun"/>
          <w:b/>
          <w:lang w:bidi="ar-SA"/>
          <w14:ligatures w14:val="none"/>
        </w:rPr>
        <w:sym w:font="Wingdings" w:char="F058"/>
      </w:r>
      <w:r w:rsidRPr="002F7FC5">
        <w:rPr>
          <w:rFonts w:eastAsia="SimSun"/>
          <w:b/>
          <w:lang w:bidi="ar-SA"/>
          <w14:ligatures w14:val="none"/>
        </w:rPr>
        <w:t xml:space="preserve"> (egy keresztes)</w:t>
      </w:r>
    </w:p>
    <w:p w14:paraId="1AEBB732" w14:textId="77777777" w:rsidR="002F7FC5" w:rsidRPr="002F7FC5" w:rsidRDefault="002F7FC5" w:rsidP="002F7FC5">
      <w:pPr>
        <w:keepNext/>
        <w:widowControl/>
        <w:autoSpaceDE/>
        <w:autoSpaceDN/>
        <w:outlineLvl w:val="1"/>
        <w:rPr>
          <w:rFonts w:eastAsia="SimSun"/>
          <w:b/>
          <w:lang w:bidi="ar-SA"/>
          <w14:ligatures w14:val="none"/>
        </w:rPr>
      </w:pPr>
      <w:r w:rsidRPr="002F7FC5">
        <w:rPr>
          <w:rFonts w:eastAsia="SimSun"/>
          <w:b/>
          <w:lang w:bidi="ar-SA"/>
          <w14:ligatures w14:val="none"/>
        </w:rPr>
        <w:t>Osztályozás: II./2. csoport</w:t>
      </w:r>
    </w:p>
    <w:p w14:paraId="5FDFBA33" w14:textId="77777777" w:rsidR="002F7FC5" w:rsidRPr="002F7FC5" w:rsidRDefault="002F7FC5" w:rsidP="002F7FC5">
      <w:pPr>
        <w:widowControl/>
        <w:autoSpaceDE/>
        <w:autoSpaceDN/>
        <w:rPr>
          <w:rFonts w:eastAsia="SimSun"/>
          <w:lang w:bidi="ar-SA"/>
          <w14:ligatures w14:val="none"/>
        </w:rPr>
      </w:pPr>
      <w:r w:rsidRPr="002F7FC5">
        <w:rPr>
          <w:rFonts w:eastAsia="SimSun"/>
          <w:lang w:bidi="ar-SA"/>
          <w14:ligatures w14:val="none"/>
        </w:rPr>
        <w:t>Korlátozott érvényű orvosi rendelvényhez kötött, szakorvosi/kórházi diagnózist követően folyamatos szakorvosi ellenőrzés mellett alkalmazható gyógyszer (Sz).</w:t>
      </w:r>
    </w:p>
    <w:p w14:paraId="57B0AD99" w14:textId="77777777" w:rsidR="00EE208D" w:rsidRPr="001B0D61" w:rsidRDefault="00EE208D" w:rsidP="00EE208D"/>
    <w:p w14:paraId="3000B0AF" w14:textId="77777777" w:rsidR="00EE208D" w:rsidRPr="001B0D61" w:rsidRDefault="00EE208D" w:rsidP="00EE208D"/>
    <w:p w14:paraId="2586E4D8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7.</w:t>
      </w:r>
      <w:r w:rsidRPr="001B0D61">
        <w:rPr>
          <w:b/>
          <w:bCs/>
        </w:rPr>
        <w:tab/>
        <w:t>A FORGALOMBA HOZATALI ENGEDÉLY</w:t>
      </w:r>
      <w:r w:rsidRPr="001B0D61">
        <w:rPr>
          <w:b/>
          <w:bCs/>
          <w:spacing w:val="-1"/>
        </w:rPr>
        <w:t xml:space="preserve"> </w:t>
      </w:r>
      <w:r w:rsidRPr="001B0D61">
        <w:rPr>
          <w:b/>
          <w:bCs/>
        </w:rPr>
        <w:t>JOGOSULTJA</w:t>
      </w:r>
    </w:p>
    <w:p w14:paraId="4305FFF2" w14:textId="77777777" w:rsidR="00EE208D" w:rsidRPr="001B0D61" w:rsidRDefault="00EE208D" w:rsidP="00EE208D"/>
    <w:p w14:paraId="5838B9B5" w14:textId="77777777" w:rsidR="00EE208D" w:rsidRPr="001B0D61" w:rsidRDefault="00EE208D" w:rsidP="00EE208D">
      <w:r w:rsidRPr="001B0D61">
        <w:t>TEVA GmbH</w:t>
      </w:r>
    </w:p>
    <w:p w14:paraId="133949F2" w14:textId="77777777" w:rsidR="00EE208D" w:rsidRPr="001B0D61" w:rsidRDefault="00EE208D" w:rsidP="00EE208D">
      <w:r w:rsidRPr="001B0D61">
        <w:t xml:space="preserve">Graf-Arco-Str. 3, </w:t>
      </w:r>
    </w:p>
    <w:p w14:paraId="17D67FB0" w14:textId="77777777" w:rsidR="00EE208D" w:rsidRPr="001B0D61" w:rsidRDefault="00EE208D" w:rsidP="00EE208D">
      <w:r w:rsidRPr="001B0D61">
        <w:t xml:space="preserve">89079 Ulm, </w:t>
      </w:r>
    </w:p>
    <w:p w14:paraId="1AED5450" w14:textId="77777777" w:rsidR="00EE208D" w:rsidRPr="001B0D61" w:rsidRDefault="00EE208D" w:rsidP="00EE208D">
      <w:r w:rsidRPr="001B0D61">
        <w:t>Németország</w:t>
      </w:r>
    </w:p>
    <w:p w14:paraId="1DC83E95" w14:textId="77777777" w:rsidR="00EE208D" w:rsidRPr="001B0D61" w:rsidRDefault="00EE208D" w:rsidP="00EE208D"/>
    <w:p w14:paraId="2615927A" w14:textId="77777777" w:rsidR="00EE208D" w:rsidRPr="001B0D61" w:rsidRDefault="00EE208D" w:rsidP="00EE208D"/>
    <w:p w14:paraId="24A11C94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8.</w:t>
      </w:r>
      <w:r w:rsidRPr="001B0D61">
        <w:rPr>
          <w:b/>
          <w:bCs/>
        </w:rPr>
        <w:tab/>
        <w:t>A FORGALOMBA HOZATALI ENGEDÉLY</w:t>
      </w:r>
      <w:r w:rsidRPr="001B0D61">
        <w:rPr>
          <w:b/>
          <w:bCs/>
          <w:spacing w:val="-1"/>
        </w:rPr>
        <w:t xml:space="preserve"> </w:t>
      </w:r>
      <w:r w:rsidRPr="001B0D61">
        <w:rPr>
          <w:b/>
          <w:bCs/>
        </w:rPr>
        <w:t>SZÁMA(I)</w:t>
      </w:r>
    </w:p>
    <w:p w14:paraId="53D20D77" w14:textId="68FAFC46" w:rsidR="00EE208D" w:rsidRDefault="00EE208D" w:rsidP="00EE208D"/>
    <w:p w14:paraId="7FACEDFB" w14:textId="7EFECAF9" w:rsidR="00665FFF" w:rsidRDefault="00665FFF" w:rsidP="00EE208D">
      <w:r>
        <w:t>OGYI-T-24784/</w:t>
      </w:r>
      <w:proofErr w:type="gramStart"/>
      <w:r>
        <w:t>01          28</w:t>
      </w:r>
      <w:proofErr w:type="gramEnd"/>
      <w:r>
        <w:t>×</w:t>
      </w:r>
      <w:r w:rsidRPr="00665FFF">
        <w:t xml:space="preserve">      PVC/PCTFE/PVC//Al buborékcsomagolásban</w:t>
      </w:r>
    </w:p>
    <w:p w14:paraId="0E80E803" w14:textId="77777777" w:rsidR="00665FFF" w:rsidRPr="001B0D61" w:rsidRDefault="00665FFF" w:rsidP="00EE208D"/>
    <w:p w14:paraId="3C5B74CF" w14:textId="77777777" w:rsidR="00EE208D" w:rsidRPr="001B0D61" w:rsidRDefault="00EE208D" w:rsidP="00EE208D"/>
    <w:p w14:paraId="1B9CF63A" w14:textId="77777777" w:rsidR="00EE208D" w:rsidRPr="001B0D61" w:rsidRDefault="00EE208D" w:rsidP="00EE208D">
      <w:pPr>
        <w:tabs>
          <w:tab w:val="left" w:pos="567"/>
        </w:tabs>
        <w:ind w:left="567" w:hanging="567"/>
        <w:rPr>
          <w:b/>
          <w:bCs/>
        </w:rPr>
      </w:pPr>
      <w:r w:rsidRPr="001B0D61">
        <w:rPr>
          <w:b/>
          <w:bCs/>
        </w:rPr>
        <w:t>9.</w:t>
      </w:r>
      <w:r w:rsidRPr="001B0D61">
        <w:rPr>
          <w:b/>
          <w:bCs/>
        </w:rPr>
        <w:tab/>
        <w:t>A FORGALOMBA HOZATALI ENGEDÉLY ELSŐ</w:t>
      </w:r>
      <w:r w:rsidRPr="001B0D61">
        <w:rPr>
          <w:b/>
          <w:bCs/>
          <w:spacing w:val="-27"/>
        </w:rPr>
        <w:t xml:space="preserve"> </w:t>
      </w:r>
      <w:r w:rsidRPr="001B0D61">
        <w:rPr>
          <w:b/>
          <w:bCs/>
        </w:rPr>
        <w:t>KIADÁSÁNAK/ MEGÚJÍTÁSÁNAK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DÁTUMA</w:t>
      </w:r>
    </w:p>
    <w:p w14:paraId="6F9EDE6B" w14:textId="77777777" w:rsidR="00EE208D" w:rsidRPr="001B0D61" w:rsidRDefault="00EE208D" w:rsidP="00EE208D"/>
    <w:p w14:paraId="3CC7966C" w14:textId="1D7FE2F0" w:rsidR="00EE208D" w:rsidRPr="001B0D61" w:rsidRDefault="00EE208D" w:rsidP="00EE208D">
      <w:r w:rsidRPr="001B0D61">
        <w:t xml:space="preserve">A forgalomba hozatali engedély első kiadásának dátuma: </w:t>
      </w:r>
      <w:r w:rsidR="00665FFF">
        <w:t>2026. augusztus 27.</w:t>
      </w:r>
    </w:p>
    <w:p w14:paraId="4FE28846" w14:textId="77777777" w:rsidR="00EE208D" w:rsidRPr="001B0D61" w:rsidRDefault="00EE208D" w:rsidP="00EE208D"/>
    <w:p w14:paraId="4092B381" w14:textId="77777777" w:rsidR="00EE208D" w:rsidRPr="001B0D61" w:rsidRDefault="00EE208D" w:rsidP="00EE208D">
      <w:pPr>
        <w:tabs>
          <w:tab w:val="left" w:pos="567"/>
        </w:tabs>
        <w:rPr>
          <w:b/>
          <w:bCs/>
        </w:rPr>
      </w:pPr>
      <w:r w:rsidRPr="001B0D61">
        <w:rPr>
          <w:b/>
          <w:bCs/>
        </w:rPr>
        <w:t>10</w:t>
      </w:r>
      <w:r w:rsidRPr="001B0D61">
        <w:rPr>
          <w:b/>
          <w:bCs/>
        </w:rPr>
        <w:tab/>
        <w:t>A SZÖVEG ELLENŐRZÉSÉNEK</w:t>
      </w:r>
      <w:r w:rsidRPr="001B0D61">
        <w:rPr>
          <w:b/>
          <w:bCs/>
          <w:spacing w:val="-2"/>
        </w:rPr>
        <w:t xml:space="preserve"> </w:t>
      </w:r>
      <w:r w:rsidRPr="001B0D61">
        <w:rPr>
          <w:b/>
          <w:bCs/>
        </w:rPr>
        <w:t>DÁTUMA</w:t>
      </w:r>
    </w:p>
    <w:p w14:paraId="56FD400B" w14:textId="77777777" w:rsidR="00EE208D" w:rsidRPr="001B0D61" w:rsidRDefault="00EE208D" w:rsidP="00EE208D"/>
    <w:p w14:paraId="4C8EBA37" w14:textId="77777777" w:rsidR="00EE208D" w:rsidRPr="001B0D61" w:rsidRDefault="00EE208D" w:rsidP="00EE208D"/>
    <w:p w14:paraId="08CA084E" w14:textId="6E79484E" w:rsidR="002D64FD" w:rsidRPr="001B0D61" w:rsidRDefault="00665FFF">
      <w:proofErr w:type="gramStart"/>
      <w:r>
        <w:t>2026.</w:t>
      </w:r>
      <w:proofErr w:type="gramEnd"/>
      <w:r>
        <w:t xml:space="preserve"> augusztus 27.</w:t>
      </w:r>
      <w:bookmarkStart w:id="0" w:name="_GoBack"/>
      <w:bookmarkEnd w:id="0"/>
    </w:p>
    <w:sectPr w:rsidR="002D64FD" w:rsidRPr="001B0D61" w:rsidSect="00EE208D">
      <w:headerReference w:type="default" r:id="rId9"/>
      <w:footerReference w:type="default" r:id="rId10"/>
      <w:footerReference w:type="first" r:id="rId11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C63DA25" w16cex:dateUtc="2026-06-24T06:46:00Z"/>
  <w16cex:commentExtensible w16cex:durableId="69A003BD" w16cex:dateUtc="2026-07-20T13:16:00Z"/>
  <w16cex:commentExtensible w16cex:durableId="490C4ABB" w16cex:dateUtc="2026-06-24T09:09:00Z"/>
  <w16cex:commentExtensible w16cex:durableId="120EAF6D" w16cex:dateUtc="2026-07-20T13:16:00Z"/>
  <w16cex:commentExtensible w16cex:durableId="7AA222A2" w16cex:dateUtc="2026-06-24T06:55:00Z"/>
  <w16cex:commentExtensible w16cex:durableId="657DE4E6" w16cex:dateUtc="2026-07-20T13:17:00Z"/>
  <w16cex:commentExtensible w16cex:durableId="2A8E01A1" w16cex:dateUtc="2026-06-24T09:11:00Z"/>
  <w16cex:commentExtensible w16cex:durableId="21607A6F" w16cex:dateUtc="2026-07-20T13:17:00Z"/>
  <w16cex:commentExtensible w16cex:durableId="34283BF1" w16cex:dateUtc="2026-06-24T09:59:00Z"/>
  <w16cex:commentExtensible w16cex:durableId="44333877" w16cex:dateUtc="2026-07-20T13:18:00Z"/>
  <w16cex:commentExtensible w16cex:durableId="546EABED" w16cex:dateUtc="2026-06-24T09:38:00Z"/>
  <w16cex:commentExtensible w16cex:durableId="4CE48F6C" w16cex:dateUtc="2026-07-20T13:18:00Z"/>
  <w16cex:commentExtensible w16cex:durableId="611F4429" w16cex:dateUtc="2026-06-24T10:15:00Z"/>
  <w16cex:commentExtensible w16cex:durableId="7A23F8E9" w16cex:dateUtc="2026-07-20T13:18:00Z"/>
  <w16cex:commentExtensible w16cex:durableId="51598CA4" w16cex:dateUtc="2026-06-24T09:39:00Z"/>
  <w16cex:commentExtensible w16cex:durableId="2CBBEB6F" w16cex:dateUtc="2026-07-20T13:19:00Z"/>
  <w16cex:commentExtensible w16cex:durableId="43CC929E" w16cex:dateUtc="2026-06-24T07:43:00Z"/>
  <w16cex:commentExtensible w16cex:durableId="3EE406F1" w16cex:dateUtc="2026-07-20T13:19:00Z"/>
  <w16cex:commentExtensible w16cex:durableId="44C8FFA2" w16cex:dateUtc="2026-06-24T07:44:00Z"/>
  <w16cex:commentExtensible w16cex:durableId="671DBCB4" w16cex:dateUtc="2026-07-20T13:19:00Z"/>
  <w16cex:commentExtensible w16cex:durableId="084AE89E" w16cex:dateUtc="2026-06-24T09:41:00Z"/>
  <w16cex:commentExtensible w16cex:durableId="26A5A3C7" w16cex:dateUtc="2026-07-20T13:20:00Z"/>
  <w16cex:commentExtensible w16cex:durableId="2BEEB41F" w16cex:dateUtc="2026-06-24T09:42:00Z"/>
  <w16cex:commentExtensible w16cex:durableId="5FE58CAD" w16cex:dateUtc="2026-07-20T13:20:00Z"/>
  <w16cex:commentExtensible w16cex:durableId="388FC49D" w16cex:dateUtc="2026-06-24T09:42:00Z"/>
  <w16cex:commentExtensible w16cex:durableId="1D4722DE" w16cex:dateUtc="2026-07-20T13:20:00Z"/>
  <w16cex:commentExtensible w16cex:durableId="51F93B9A" w16cex:dateUtc="2026-06-24T09:42:00Z"/>
  <w16cex:commentExtensible w16cex:durableId="7E4EC19D" w16cex:dateUtc="2026-07-20T13:20:00Z"/>
  <w16cex:commentExtensible w16cex:durableId="2DAC5719" w16cex:dateUtc="2026-06-24T11:51:00Z"/>
  <w16cex:commentExtensible w16cex:durableId="0C541E45" w16cex:dateUtc="2026-07-20T13:20:00Z"/>
  <w16cex:commentExtensible w16cex:durableId="624346B5" w16cex:dateUtc="2026-06-24T09:42:00Z"/>
  <w16cex:commentExtensible w16cex:durableId="1CE8AC43" w16cex:dateUtc="2026-06-24T09:13:00Z"/>
  <w16cex:commentExtensible w16cex:durableId="1FA9E4A3" w16cex:dateUtc="2026-07-20T13:21:00Z"/>
  <w16cex:commentExtensible w16cex:durableId="00AD83AC" w16cex:dateUtc="2026-06-24T07:05:00Z"/>
  <w16cex:commentExtensible w16cex:durableId="2C5D8018" w16cex:dateUtc="2026-07-20T13:21:00Z"/>
  <w16cex:commentExtensible w16cex:durableId="0ABE8935" w16cex:dateUtc="2026-06-24T07:46:00Z"/>
  <w16cex:commentExtensible w16cex:durableId="5D33FFDB" w16cex:dateUtc="2026-07-20T13:21:00Z"/>
  <w16cex:commentExtensible w16cex:durableId="11B6AF76" w16cex:dateUtc="2026-06-24T09:31:00Z"/>
  <w16cex:commentExtensible w16cex:durableId="4A5D5D11" w16cex:dateUtc="2026-07-20T13:21:00Z"/>
  <w16cex:commentExtensible w16cex:durableId="03753B64" w16cex:dateUtc="2026-06-24T09:46:00Z"/>
  <w16cex:commentExtensible w16cex:durableId="0178CC62" w16cex:dateUtc="2026-07-20T13:21:00Z"/>
  <w16cex:commentExtensible w16cex:durableId="564F9A07" w16cex:dateUtc="2026-06-24T09:31:00Z"/>
  <w16cex:commentExtensible w16cex:durableId="1EC24404" w16cex:dateUtc="2026-07-20T13:22:00Z"/>
  <w16cex:commentExtensible w16cex:durableId="35B92F3D" w16cex:dateUtc="2026-06-24T09:30:00Z"/>
  <w16cex:commentExtensible w16cex:durableId="67D20449" w16cex:dateUtc="2026-07-20T13:22:00Z"/>
  <w16cex:commentExtensible w16cex:durableId="6CDE0387" w16cex:dateUtc="2026-06-24T11:56:00Z"/>
  <w16cex:commentExtensible w16cex:durableId="37655442" w16cex:dateUtc="2026-07-20T13:22:00Z"/>
  <w16cex:commentExtensible w16cex:durableId="12D0D589" w16cex:dateUtc="2026-06-24T09:32:00Z"/>
  <w16cex:commentExtensible w16cex:durableId="11F12A77" w16cex:dateUtc="2026-07-20T13:22:00Z"/>
  <w16cex:commentExtensible w16cex:durableId="605627E8" w16cex:dateUtc="2026-06-24T09:14:00Z"/>
  <w16cex:commentExtensible w16cex:durableId="74E437EE" w16cex:dateUtc="2026-07-20T13:22:00Z"/>
  <w16cex:commentExtensible w16cex:durableId="48071FB9" w16cex:dateUtc="2026-06-24T09:32:00Z"/>
  <w16cex:commentExtensible w16cex:durableId="1A7B9DA6" w16cex:dateUtc="2026-06-24T09:32:00Z"/>
  <w16cex:commentExtensible w16cex:durableId="4D048F1B" w16cex:dateUtc="2026-06-24T09:14:00Z"/>
  <w16cex:commentExtensible w16cex:durableId="1F7C82BA" w16cex:dateUtc="2026-07-20T13:23:00Z"/>
  <w16cex:commentExtensible w16cex:durableId="537A1EA9" w16cex:dateUtc="2026-06-24T07:47:00Z"/>
  <w16cex:commentExtensible w16cex:durableId="3325EFD2" w16cex:dateUtc="2026-07-20T13:23:00Z"/>
  <w16cex:commentExtensible w16cex:durableId="04C03323" w16cex:dateUtc="2026-06-24T09:33:00Z"/>
  <w16cex:commentExtensible w16cex:durableId="0124A229" w16cex:dateUtc="2026-07-20T13:23:00Z"/>
  <w16cex:commentExtensible w16cex:durableId="293EA1DB" w16cex:dateUtc="2026-06-24T09:22:00Z"/>
  <w16cex:commentExtensible w16cex:durableId="1D05C377" w16cex:dateUtc="2026-07-20T13:24:00Z"/>
  <w16cex:commentExtensible w16cex:durableId="7AF88C41" w16cex:dateUtc="2026-06-24T09:34:00Z"/>
  <w16cex:commentExtensible w16cex:durableId="48CF5C2A" w16cex:dateUtc="2026-07-20T13:25:00Z"/>
  <w16cex:commentExtensible w16cex:durableId="1CE16345" w16cex:dateUtc="2026-06-24T09:22:00Z"/>
  <w16cex:commentExtensible w16cex:durableId="5B0AE7F0" w16cex:dateUtc="2026-07-20T13:25:00Z"/>
  <w16cex:commentExtensible w16cex:durableId="6AC482E0" w16cex:dateUtc="2026-06-24T09:34:00Z"/>
  <w16cex:commentExtensible w16cex:durableId="39AD524E" w16cex:dateUtc="2026-07-20T13:25:00Z"/>
  <w16cex:commentExtensible w16cex:durableId="40732BBE" w16cex:dateUtc="2026-06-24T09:23:00Z"/>
  <w16cex:commentExtensible w16cex:durableId="6606EF17" w16cex:dateUtc="2026-07-20T13:25:00Z"/>
  <w16cex:commentExtensible w16cex:durableId="1C488275" w16cex:dateUtc="2026-06-24T09:23:00Z"/>
  <w16cex:commentExtensible w16cex:durableId="5FADD325" w16cex:dateUtc="2026-07-20T13:25:00Z"/>
  <w16cex:commentExtensible w16cex:durableId="3F7C677B" w16cex:dateUtc="2026-06-24T09:23:00Z"/>
  <w16cex:commentExtensible w16cex:durableId="7570E210" w16cex:dateUtc="2026-07-20T13:26:00Z"/>
  <w16cex:commentExtensible w16cex:durableId="57076425" w16cex:dateUtc="2026-06-24T07:26:00Z"/>
  <w16cex:commentExtensible w16cex:durableId="4CBDC2E1" w16cex:dateUtc="2026-07-20T13:24:00Z"/>
  <w16cex:commentExtensible w16cex:durableId="4497C3F2" w16cex:dateUtc="2026-06-24T09:53:00Z"/>
  <w16cex:commentExtensible w16cex:durableId="4A5FA7F7" w16cex:dateUtc="2026-07-20T13:26:00Z"/>
  <w16cex:commentExtensible w16cex:durableId="3955D523" w16cex:dateUtc="2026-06-24T12:35:00Z"/>
  <w16cex:commentExtensible w16cex:durableId="35CF4CA4" w16cex:dateUtc="2026-07-20T13:26:00Z"/>
  <w16cex:commentExtensible w16cex:durableId="75A8DFA5" w16cex:dateUtc="2026-06-24T12:35:00Z"/>
  <w16cex:commentExtensible w16cex:durableId="5E2302A4" w16cex:dateUtc="2026-07-20T13:27:00Z"/>
  <w16cex:commentExtensible w16cex:durableId="11C5876D" w16cex:dateUtc="2026-06-24T12:36:00Z"/>
  <w16cex:commentExtensible w16cex:durableId="0A9B8F0F" w16cex:dateUtc="2026-07-20T13:27:00Z"/>
  <w16cex:commentExtensible w16cex:durableId="0DF7AFC5" w16cex:dateUtc="2026-06-24T09:24:00Z"/>
  <w16cex:commentExtensible w16cex:durableId="10FDC3AF" w16cex:dateUtc="2026-07-20T13:27:00Z"/>
  <w16cex:commentExtensible w16cex:durableId="16AF0466" w16cex:dateUtc="2026-06-24T09:25:00Z"/>
  <w16cex:commentExtensible w16cex:durableId="62F3067A" w16cex:dateUtc="2026-07-20T13:27:00Z"/>
  <w16cex:commentExtensible w16cex:durableId="6C63C282" w16cex:dateUtc="2026-06-24T09:25:00Z"/>
  <w16cex:commentExtensible w16cex:durableId="5A081A0F" w16cex:dateUtc="2026-07-20T13:28:00Z"/>
  <w16cex:commentExtensible w16cex:durableId="53758B11" w16cex:dateUtc="2026-06-24T09:26:00Z"/>
  <w16cex:commentExtensible w16cex:durableId="24EFCCDB" w16cex:dateUtc="2026-07-20T13:28:00Z"/>
  <w16cex:commentExtensible w16cex:durableId="234A921E" w16cex:dateUtc="2026-06-24T09:26:00Z"/>
  <w16cex:commentExtensible w16cex:durableId="048074EE" w16cex:dateUtc="2026-07-20T13:28:00Z"/>
  <w16cex:commentExtensible w16cex:durableId="35D4594D" w16cex:dateUtc="2026-06-24T07:28:00Z"/>
  <w16cex:commentExtensible w16cex:durableId="4AE8E170" w16cex:dateUtc="2026-07-20T13:26:00Z"/>
  <w16cex:commentExtensible w16cex:durableId="7232C789" w16cex:dateUtc="2026-06-24T12:04:00Z"/>
  <w16cex:commentExtensible w16cex:durableId="70A3A6B4" w16cex:dateUtc="2026-07-20T13:28:00Z"/>
  <w16cex:commentExtensible w16cex:durableId="37B0E35E" w16cex:dateUtc="2026-06-24T12:04:00Z"/>
  <w16cex:commentExtensible w16cex:durableId="3A0A69D2" w16cex:dateUtc="2026-07-20T13:29:00Z"/>
  <w16cex:commentExtensible w16cex:durableId="05ACE7F3" w16cex:dateUtc="2026-06-24T09:26:00Z"/>
  <w16cex:commentExtensible w16cex:durableId="33DAAF7D" w16cex:dateUtc="2026-07-20T13:30:00Z"/>
  <w16cex:commentExtensible w16cex:durableId="201A45CA" w16cex:dateUtc="2026-06-24T09:26:00Z"/>
  <w16cex:commentExtensible w16cex:durableId="2BAC0C9D" w16cex:dateUtc="2026-07-20T13:31:00Z"/>
  <w16cex:commentExtensible w16cex:durableId="1D579FFD" w16cex:dateUtc="2026-06-24T09:27:00Z"/>
  <w16cex:commentExtensible w16cex:durableId="553AB950" w16cex:dateUtc="2026-07-20T13:31:00Z"/>
  <w16cex:commentExtensible w16cex:durableId="17CD10DF" w16cex:dateUtc="2026-06-24T09:27:00Z"/>
  <w16cex:commentExtensible w16cex:durableId="11EA5698" w16cex:dateUtc="2026-07-20T13:31:00Z"/>
  <w16cex:commentExtensible w16cex:durableId="0F973201" w16cex:dateUtc="2026-06-24T09:27:00Z"/>
  <w16cex:commentExtensible w16cex:durableId="698E1D74" w16cex:dateUtc="2026-07-20T13:31:00Z"/>
  <w16cex:commentExtensible w16cex:durableId="65B67C94" w16cex:dateUtc="2026-06-24T09:28:00Z"/>
  <w16cex:commentExtensible w16cex:durableId="455A1B7A" w16cex:dateUtc="2026-07-20T13:31:00Z"/>
  <w16cex:commentExtensible w16cex:durableId="460046C1" w16cex:dateUtc="2026-06-24T09:35:00Z"/>
  <w16cex:commentExtensible w16cex:durableId="7B1DE6DE" w16cex:dateUtc="2026-07-20T13:31:00Z"/>
  <w16cex:commentExtensible w16cex:durableId="235D0643" w16cex:dateUtc="2026-06-24T09:28:00Z"/>
  <w16cex:commentExtensible w16cex:durableId="6262F832" w16cex:dateUtc="2026-07-20T13:32:00Z"/>
  <w16cex:commentExtensible w16cex:durableId="3118A757" w16cex:dateUtc="2026-06-24T09:28:00Z"/>
  <w16cex:commentExtensible w16cex:durableId="5586D4A2" w16cex:dateUtc="2026-07-20T13:32:00Z"/>
  <w16cex:commentExtensible w16cex:durableId="09CC0C1C" w16cex:dateUtc="2026-06-24T09:28:00Z"/>
  <w16cex:commentExtensible w16cex:durableId="12E205D5" w16cex:dateUtc="2026-07-20T13:32:00Z"/>
  <w16cex:commentExtensible w16cex:durableId="766161E0" w16cex:dateUtc="2026-06-24T07:56:00Z"/>
  <w16cex:commentExtensible w16cex:durableId="7D9B854C" w16cex:dateUtc="2026-07-20T13:32:00Z"/>
  <w16cex:commentExtensible w16cex:durableId="2391C19A" w16cex:dateUtc="2026-06-24T07:57:00Z"/>
  <w16cex:commentExtensible w16cex:durableId="07468DA8" w16cex:dateUtc="2026-07-20T13:32:00Z"/>
  <w16cex:commentExtensible w16cex:durableId="3D026A37" w16cex:dateUtc="2026-06-24T08:01:00Z"/>
  <w16cex:commentExtensible w16cex:durableId="70C15643" w16cex:dateUtc="2026-07-20T13:33:00Z"/>
  <w16cex:commentExtensible w16cex:durableId="6450CEAC" w16cex:dateUtc="2026-06-24T08:02:00Z"/>
  <w16cex:commentExtensible w16cex:durableId="32F410CA" w16cex:dateUtc="2026-07-20T13:33:00Z"/>
  <w16cex:commentExtensible w16cex:durableId="7C5BE99F" w16cex:dateUtc="2026-06-24T08:03:00Z"/>
  <w16cex:commentExtensible w16cex:durableId="763905FB" w16cex:dateUtc="2026-07-20T13:33:00Z"/>
  <w16cex:commentExtensible w16cex:durableId="5941BFD7" w16cex:dateUtc="2026-06-24T08:05:00Z"/>
  <w16cex:commentExtensible w16cex:durableId="60095F46" w16cex:dateUtc="2026-07-20T13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5BD3B68" w16cid:durableId="6C63DA25"/>
  <w16cid:commentId w16cid:paraId="4DAC9366" w16cid:durableId="69A003BD"/>
  <w16cid:commentId w16cid:paraId="21D71F19" w16cid:durableId="490C4ABB"/>
  <w16cid:commentId w16cid:paraId="174306F1" w16cid:durableId="120EAF6D"/>
  <w16cid:commentId w16cid:paraId="7A922F53" w16cid:durableId="7AA222A2"/>
  <w16cid:commentId w16cid:paraId="44A91E4F" w16cid:durableId="657DE4E6"/>
  <w16cid:commentId w16cid:paraId="786E1586" w16cid:durableId="2A8E01A1"/>
  <w16cid:commentId w16cid:paraId="0F5C2564" w16cid:durableId="0F5C2564"/>
  <w16cid:commentId w16cid:paraId="4C37660B" w16cid:durableId="21607A6F"/>
  <w16cid:commentId w16cid:paraId="3C99A510" w16cid:durableId="34283BF1"/>
  <w16cid:commentId w16cid:paraId="1F20F5A3" w16cid:durableId="44333877"/>
  <w16cid:commentId w16cid:paraId="6D5E1EE4" w16cid:durableId="546EABED"/>
  <w16cid:commentId w16cid:paraId="7CE72331" w16cid:durableId="4CE48F6C"/>
  <w16cid:commentId w16cid:paraId="371D02FC" w16cid:durableId="611F4429"/>
  <w16cid:commentId w16cid:paraId="2CC71465" w16cid:durableId="7A23F8E9"/>
  <w16cid:commentId w16cid:paraId="6F0846AD" w16cid:durableId="51598CA4"/>
  <w16cid:commentId w16cid:paraId="49D2E32C" w16cid:durableId="2CBBEB6F"/>
  <w16cid:commentId w16cid:paraId="2B8C3F7A" w16cid:durableId="43CC929E"/>
  <w16cid:commentId w16cid:paraId="58D97219" w16cid:durableId="3EE406F1"/>
  <w16cid:commentId w16cid:paraId="154A2281" w16cid:durableId="44C8FFA2"/>
  <w16cid:commentId w16cid:paraId="37E57EF6" w16cid:durableId="671DBCB4"/>
  <w16cid:commentId w16cid:paraId="04BEA768" w16cid:durableId="084AE89E"/>
  <w16cid:commentId w16cid:paraId="51C376DA" w16cid:durableId="26A5A3C7"/>
  <w16cid:commentId w16cid:paraId="2128F921" w16cid:durableId="2BEEB41F"/>
  <w16cid:commentId w16cid:paraId="3C546ADF" w16cid:durableId="5FE58CAD"/>
  <w16cid:commentId w16cid:paraId="3BEA313E" w16cid:durableId="388FC49D"/>
  <w16cid:commentId w16cid:paraId="12DECDA4" w16cid:durableId="1D4722DE"/>
  <w16cid:commentId w16cid:paraId="226FF197" w16cid:durableId="51F93B9A"/>
  <w16cid:commentId w16cid:paraId="738FCE98" w16cid:durableId="7E4EC19D"/>
  <w16cid:commentId w16cid:paraId="6BC9FD21" w16cid:durableId="2DAC5719"/>
  <w16cid:commentId w16cid:paraId="68C2CCE8" w16cid:durableId="0C541E45"/>
  <w16cid:commentId w16cid:paraId="3B93EE12" w16cid:durableId="624346B5"/>
  <w16cid:commentId w16cid:paraId="3520F591" w16cid:durableId="1CE8AC43"/>
  <w16cid:commentId w16cid:paraId="715CCB5F" w16cid:durableId="1FA9E4A3"/>
  <w16cid:commentId w16cid:paraId="4C798B06" w16cid:durableId="00AD83AC"/>
  <w16cid:commentId w16cid:paraId="09BEA20C" w16cid:durableId="2C5D8018"/>
  <w16cid:commentId w16cid:paraId="751D3DEE" w16cid:durableId="0ABE8935"/>
  <w16cid:commentId w16cid:paraId="6455DA8B" w16cid:durableId="5D33FFDB"/>
  <w16cid:commentId w16cid:paraId="650B0A2F" w16cid:durableId="11B6AF76"/>
  <w16cid:commentId w16cid:paraId="6BC8865F" w16cid:durableId="4A5D5D11"/>
  <w16cid:commentId w16cid:paraId="739289D5" w16cid:durableId="03753B64"/>
  <w16cid:commentId w16cid:paraId="69B9124F" w16cid:durableId="0178CC62"/>
  <w16cid:commentId w16cid:paraId="57BEABA3" w16cid:durableId="564F9A07"/>
  <w16cid:commentId w16cid:paraId="0D69E5A5" w16cid:durableId="1EC24404"/>
  <w16cid:commentId w16cid:paraId="48CB5E69" w16cid:durableId="35B92F3D"/>
  <w16cid:commentId w16cid:paraId="44AF6792" w16cid:durableId="67D20449"/>
  <w16cid:commentId w16cid:paraId="027B9AD2" w16cid:durableId="6CDE0387"/>
  <w16cid:commentId w16cid:paraId="0D10E009" w16cid:durableId="37655442"/>
  <w16cid:commentId w16cid:paraId="2243D305" w16cid:durableId="12D0D589"/>
  <w16cid:commentId w16cid:paraId="0381079E" w16cid:durableId="11F12A77"/>
  <w16cid:commentId w16cid:paraId="1F033532" w16cid:durableId="605627E8"/>
  <w16cid:commentId w16cid:paraId="6814CBE5" w16cid:durableId="74E437EE"/>
  <w16cid:commentId w16cid:paraId="591C727D" w16cid:durableId="48071FB9"/>
  <w16cid:commentId w16cid:paraId="33610F82" w16cid:durableId="1A7B9DA6"/>
  <w16cid:commentId w16cid:paraId="2D9CCFDC" w16cid:durableId="4D048F1B"/>
  <w16cid:commentId w16cid:paraId="7BB16FC1" w16cid:durableId="1F7C82BA"/>
  <w16cid:commentId w16cid:paraId="73DEF865" w16cid:durableId="537A1EA9"/>
  <w16cid:commentId w16cid:paraId="3B646BA8" w16cid:durableId="3325EFD2"/>
  <w16cid:commentId w16cid:paraId="48A1BD00" w16cid:durableId="04C03323"/>
  <w16cid:commentId w16cid:paraId="3E5FC5A4" w16cid:durableId="0124A229"/>
  <w16cid:commentId w16cid:paraId="6FB13ADA" w16cid:durableId="293EA1DB"/>
  <w16cid:commentId w16cid:paraId="513DD345" w16cid:durableId="1D05C377"/>
  <w16cid:commentId w16cid:paraId="351DC17E" w16cid:durableId="7AF88C41"/>
  <w16cid:commentId w16cid:paraId="7CCEF0A6" w16cid:durableId="48CF5C2A"/>
  <w16cid:commentId w16cid:paraId="39B9B714" w16cid:durableId="1CE16345"/>
  <w16cid:commentId w16cid:paraId="4D132964" w16cid:durableId="5B0AE7F0"/>
  <w16cid:commentId w16cid:paraId="3712127D" w16cid:durableId="6AC482E0"/>
  <w16cid:commentId w16cid:paraId="42E1C5E2" w16cid:durableId="39AD524E"/>
  <w16cid:commentId w16cid:paraId="055C3AFF" w16cid:durableId="40732BBE"/>
  <w16cid:commentId w16cid:paraId="53229AD3" w16cid:durableId="6606EF17"/>
  <w16cid:commentId w16cid:paraId="1BBB3C92" w16cid:durableId="1C488275"/>
  <w16cid:commentId w16cid:paraId="223CAFB2" w16cid:durableId="5FADD325"/>
  <w16cid:commentId w16cid:paraId="2784668B" w16cid:durableId="3F7C677B"/>
  <w16cid:commentId w16cid:paraId="72C594F7" w16cid:durableId="7570E210"/>
  <w16cid:commentId w16cid:paraId="0B4DFE44" w16cid:durableId="57076425"/>
  <w16cid:commentId w16cid:paraId="699FEE5F" w16cid:durableId="4CBDC2E1"/>
  <w16cid:commentId w16cid:paraId="4FEA6281" w16cid:durableId="4497C3F2"/>
  <w16cid:commentId w16cid:paraId="423FD3EC" w16cid:durableId="4A5FA7F7"/>
  <w16cid:commentId w16cid:paraId="7563378F" w16cid:durableId="3955D523"/>
  <w16cid:commentId w16cid:paraId="267033AE" w16cid:durableId="35CF4CA4"/>
  <w16cid:commentId w16cid:paraId="119D0E38" w16cid:durableId="75A8DFA5"/>
  <w16cid:commentId w16cid:paraId="783D973F" w16cid:durableId="5E2302A4"/>
  <w16cid:commentId w16cid:paraId="035C8749" w16cid:durableId="11C5876D"/>
  <w16cid:commentId w16cid:paraId="643DB779" w16cid:durableId="0A9B8F0F"/>
  <w16cid:commentId w16cid:paraId="5E4B67DC" w16cid:durableId="0DF7AFC5"/>
  <w16cid:commentId w16cid:paraId="32245EB5" w16cid:durableId="10FDC3AF"/>
  <w16cid:commentId w16cid:paraId="46F875A2" w16cid:durableId="16AF0466"/>
  <w16cid:commentId w16cid:paraId="69A6C7F3" w16cid:durableId="62F3067A"/>
  <w16cid:commentId w16cid:paraId="3F345EE1" w16cid:durableId="6C63C282"/>
  <w16cid:commentId w16cid:paraId="00D4B79A" w16cid:durableId="5A081A0F"/>
  <w16cid:commentId w16cid:paraId="64DA1A28" w16cid:durableId="53758B11"/>
  <w16cid:commentId w16cid:paraId="077FCF0B" w16cid:durableId="24EFCCDB"/>
  <w16cid:commentId w16cid:paraId="6E625077" w16cid:durableId="234A921E"/>
  <w16cid:commentId w16cid:paraId="3E94284A" w16cid:durableId="048074EE"/>
  <w16cid:commentId w16cid:paraId="4F7D30CF" w16cid:durableId="35D4594D"/>
  <w16cid:commentId w16cid:paraId="69CC76CD" w16cid:durableId="4AE8E170"/>
  <w16cid:commentId w16cid:paraId="05E34DCA" w16cid:durableId="7232C789"/>
  <w16cid:commentId w16cid:paraId="2C40179C" w16cid:durableId="70A3A6B4"/>
  <w16cid:commentId w16cid:paraId="606C7369" w16cid:durableId="37B0E35E"/>
  <w16cid:commentId w16cid:paraId="628DB0A6" w16cid:durableId="3A0A69D2"/>
  <w16cid:commentId w16cid:paraId="173C6055" w16cid:durableId="05ACE7F3"/>
  <w16cid:commentId w16cid:paraId="4794DE0C" w16cid:durableId="33DAAF7D"/>
  <w16cid:commentId w16cid:paraId="5052A919" w16cid:durableId="201A45CA"/>
  <w16cid:commentId w16cid:paraId="4F6B7D8F" w16cid:durableId="2BAC0C9D"/>
  <w16cid:commentId w16cid:paraId="037E4568" w16cid:durableId="1D579FFD"/>
  <w16cid:commentId w16cid:paraId="452CEDE9" w16cid:durableId="553AB950"/>
  <w16cid:commentId w16cid:paraId="6E229368" w16cid:durableId="17CD10DF"/>
  <w16cid:commentId w16cid:paraId="49B51C50" w16cid:durableId="11EA5698"/>
  <w16cid:commentId w16cid:paraId="7A6F0D31" w16cid:durableId="0F973201"/>
  <w16cid:commentId w16cid:paraId="48A45969" w16cid:durableId="698E1D74"/>
  <w16cid:commentId w16cid:paraId="6E95A43B" w16cid:durableId="65B67C94"/>
  <w16cid:commentId w16cid:paraId="2F5EF4BA" w16cid:durableId="455A1B7A"/>
  <w16cid:commentId w16cid:paraId="60A596B4" w16cid:durableId="460046C1"/>
  <w16cid:commentId w16cid:paraId="728620E7" w16cid:durableId="7B1DE6DE"/>
  <w16cid:commentId w16cid:paraId="108AF46B" w16cid:durableId="235D0643"/>
  <w16cid:commentId w16cid:paraId="2CE855FF" w16cid:durableId="6262F832"/>
  <w16cid:commentId w16cid:paraId="39ADE153" w16cid:durableId="3118A757"/>
  <w16cid:commentId w16cid:paraId="4EF15D59" w16cid:durableId="5586D4A2"/>
  <w16cid:commentId w16cid:paraId="291C0F38" w16cid:durableId="09CC0C1C"/>
  <w16cid:commentId w16cid:paraId="4531CA00" w16cid:durableId="12E205D5"/>
  <w16cid:commentId w16cid:paraId="78DC24E5" w16cid:durableId="766161E0"/>
  <w16cid:commentId w16cid:paraId="04603950" w16cid:durableId="7D9B854C"/>
  <w16cid:commentId w16cid:paraId="4CB1293C" w16cid:durableId="2391C19A"/>
  <w16cid:commentId w16cid:paraId="71597CAB" w16cid:durableId="07468DA8"/>
  <w16cid:commentId w16cid:paraId="55CF2BC9" w16cid:durableId="3D026A37"/>
  <w16cid:commentId w16cid:paraId="4DE4D6DE" w16cid:durableId="70C15643"/>
  <w16cid:commentId w16cid:paraId="64399142" w16cid:durableId="6450CEAC"/>
  <w16cid:commentId w16cid:paraId="599B4D19" w16cid:durableId="32F410CA"/>
  <w16cid:commentId w16cid:paraId="19AF2A58" w16cid:durableId="7C5BE99F"/>
  <w16cid:commentId w16cid:paraId="59B91E90" w16cid:durableId="763905FB"/>
  <w16cid:commentId w16cid:paraId="6F1B8458" w16cid:durableId="5941BFD7"/>
  <w16cid:commentId w16cid:paraId="5A06C6FE" w16cid:durableId="60095F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80CCF" w14:textId="77777777" w:rsidR="00140F08" w:rsidRDefault="00140F08">
      <w:r>
        <w:separator/>
      </w:r>
    </w:p>
  </w:endnote>
  <w:endnote w:type="continuationSeparator" w:id="0">
    <w:p w14:paraId="1414E282" w14:textId="77777777" w:rsidR="00140F08" w:rsidRDefault="00140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B588F" w14:textId="46E05DF7" w:rsidR="00140F08" w:rsidRDefault="00140F08">
    <w:pPr>
      <w:pStyle w:val="Szvegtrzs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0A1D030" wp14:editId="7F67A98C">
              <wp:simplePos x="0" y="0"/>
              <wp:positionH relativeFrom="page">
                <wp:posOffset>3657600</wp:posOffset>
              </wp:positionH>
              <wp:positionV relativeFrom="page">
                <wp:posOffset>10099040</wp:posOffset>
              </wp:positionV>
              <wp:extent cx="245745" cy="139065"/>
              <wp:effectExtent l="0" t="0" r="0" b="0"/>
              <wp:wrapNone/>
              <wp:docPr id="1208549978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574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DCAB93" w14:textId="77777777" w:rsidR="00140F08" w:rsidRPr="007541F8" w:rsidRDefault="00140F08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A1D030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4in;margin-top:795.2pt;width:19.35pt;height:10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" filled="f" stroked="f">
              <v:textbox inset="0,0,0,0">
                <w:txbxContent>
                  <w:p w14:paraId="08DCAB93" w14:textId="77777777" w:rsidR="00140F08" w:rsidRPr="007541F8" w:rsidRDefault="00140F08">
                    <w:pPr>
                      <w:spacing w:before="14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3144D" w14:textId="070ACD03" w:rsidR="00140F08" w:rsidRPr="00DD63C3" w:rsidRDefault="00140F08">
    <w:pPr>
      <w:pStyle w:val="llb"/>
      <w:rPr>
        <w:sz w:val="18"/>
        <w:szCs w:val="18"/>
      </w:rPr>
    </w:pPr>
    <w:r w:rsidRPr="00DD63C3">
      <w:rPr>
        <w:sz w:val="18"/>
        <w:szCs w:val="18"/>
      </w:rPr>
      <w:t>NNGYK/ETGY/19872/2025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375600" w14:textId="77777777" w:rsidR="00140F08" w:rsidRDefault="00140F08">
      <w:r>
        <w:separator/>
      </w:r>
    </w:p>
  </w:footnote>
  <w:footnote w:type="continuationSeparator" w:id="0">
    <w:p w14:paraId="45380DB3" w14:textId="77777777" w:rsidR="00140F08" w:rsidRDefault="00140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6514332"/>
      <w:docPartObj>
        <w:docPartGallery w:val="Page Numbers (Top of Page)"/>
        <w:docPartUnique/>
      </w:docPartObj>
    </w:sdtPr>
    <w:sdtEndPr/>
    <w:sdtContent>
      <w:p w14:paraId="14AEEDBD" w14:textId="391D309C" w:rsidR="00140F08" w:rsidRDefault="00140F08">
        <w:pPr>
          <w:pStyle w:val="lfej"/>
          <w:jc w:val="center"/>
        </w:pPr>
        <w:r w:rsidRPr="00DD63C3">
          <w:rPr>
            <w:sz w:val="18"/>
            <w:szCs w:val="18"/>
          </w:rPr>
          <w:fldChar w:fldCharType="begin"/>
        </w:r>
        <w:r w:rsidRPr="00DD63C3">
          <w:rPr>
            <w:sz w:val="18"/>
            <w:szCs w:val="18"/>
          </w:rPr>
          <w:instrText>PAGE   \* MERGEFORMAT</w:instrText>
        </w:r>
        <w:r w:rsidRPr="00DD63C3">
          <w:rPr>
            <w:sz w:val="18"/>
            <w:szCs w:val="18"/>
          </w:rPr>
          <w:fldChar w:fldCharType="separate"/>
        </w:r>
        <w:r w:rsidR="00665FFF">
          <w:rPr>
            <w:noProof/>
            <w:sz w:val="18"/>
            <w:szCs w:val="18"/>
          </w:rPr>
          <w:t>24</w:t>
        </w:r>
        <w:r w:rsidRPr="00DD63C3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4105F"/>
    <w:multiLevelType w:val="hybridMultilevel"/>
    <w:tmpl w:val="748A7534"/>
    <w:lvl w:ilvl="0" w:tplc="CDE429B4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" w15:restartNumberingAfterBreak="0">
    <w:nsid w:val="07D17F89"/>
    <w:multiLevelType w:val="hybridMultilevel"/>
    <w:tmpl w:val="13924ABC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B0524"/>
    <w:multiLevelType w:val="hybridMultilevel"/>
    <w:tmpl w:val="DE089308"/>
    <w:lvl w:ilvl="0" w:tplc="CDE429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469CC"/>
    <w:multiLevelType w:val="hybridMultilevel"/>
    <w:tmpl w:val="F516D058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34DEB"/>
    <w:multiLevelType w:val="hybridMultilevel"/>
    <w:tmpl w:val="48E6056E"/>
    <w:lvl w:ilvl="0" w:tplc="711261F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975AD"/>
    <w:multiLevelType w:val="hybridMultilevel"/>
    <w:tmpl w:val="C7989A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B1DF3"/>
    <w:multiLevelType w:val="hybridMultilevel"/>
    <w:tmpl w:val="4F84FB9C"/>
    <w:lvl w:ilvl="0" w:tplc="CDE429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7D6457"/>
    <w:multiLevelType w:val="hybridMultilevel"/>
    <w:tmpl w:val="52B8E86A"/>
    <w:lvl w:ilvl="0" w:tplc="CDE429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E04F11"/>
    <w:multiLevelType w:val="hybridMultilevel"/>
    <w:tmpl w:val="EE2C99FC"/>
    <w:lvl w:ilvl="0" w:tplc="711261FE">
      <w:numFmt w:val="bullet"/>
      <w:lvlText w:val=""/>
      <w:lvlJc w:val="left"/>
      <w:pPr>
        <w:ind w:left="20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9" w15:restartNumberingAfterBreak="0">
    <w:nsid w:val="6B5A213B"/>
    <w:multiLevelType w:val="hybridMultilevel"/>
    <w:tmpl w:val="0F0ECA58"/>
    <w:lvl w:ilvl="0" w:tplc="CDE429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4609A6"/>
    <w:multiLevelType w:val="hybridMultilevel"/>
    <w:tmpl w:val="E3DAB502"/>
    <w:lvl w:ilvl="0" w:tplc="040E000F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E20192"/>
    <w:multiLevelType w:val="hybridMultilevel"/>
    <w:tmpl w:val="F32A3682"/>
    <w:lvl w:ilvl="0" w:tplc="CDE429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en-US" w:eastAsia="en-US" w:bidi="en-US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10"/>
  </w:num>
  <w:num w:numId="5">
    <w:abstractNumId w:val="9"/>
  </w:num>
  <w:num w:numId="6">
    <w:abstractNumId w:val="2"/>
  </w:num>
  <w:num w:numId="7">
    <w:abstractNumId w:val="7"/>
  </w:num>
  <w:num w:numId="8">
    <w:abstractNumId w:val="11"/>
  </w:num>
  <w:num w:numId="9">
    <w:abstractNumId w:val="6"/>
  </w:num>
  <w:num w:numId="10">
    <w:abstractNumId w:val="0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08D"/>
    <w:rsid w:val="00021DD0"/>
    <w:rsid w:val="00024E6B"/>
    <w:rsid w:val="0002603A"/>
    <w:rsid w:val="00030447"/>
    <w:rsid w:val="00033D1A"/>
    <w:rsid w:val="00046C0B"/>
    <w:rsid w:val="0005224E"/>
    <w:rsid w:val="000B0636"/>
    <w:rsid w:val="000C1091"/>
    <w:rsid w:val="000E2862"/>
    <w:rsid w:val="000F11A6"/>
    <w:rsid w:val="000F1696"/>
    <w:rsid w:val="000F59E7"/>
    <w:rsid w:val="00103504"/>
    <w:rsid w:val="00103DF2"/>
    <w:rsid w:val="001142AC"/>
    <w:rsid w:val="00121D30"/>
    <w:rsid w:val="0012618B"/>
    <w:rsid w:val="00133B0C"/>
    <w:rsid w:val="00140729"/>
    <w:rsid w:val="00140F08"/>
    <w:rsid w:val="00163C7B"/>
    <w:rsid w:val="001711B3"/>
    <w:rsid w:val="00174E81"/>
    <w:rsid w:val="00175983"/>
    <w:rsid w:val="001B0D61"/>
    <w:rsid w:val="001C4E99"/>
    <w:rsid w:val="001D3F04"/>
    <w:rsid w:val="001E1E61"/>
    <w:rsid w:val="001F2822"/>
    <w:rsid w:val="00211C0F"/>
    <w:rsid w:val="0024441B"/>
    <w:rsid w:val="002509DC"/>
    <w:rsid w:val="002671F6"/>
    <w:rsid w:val="00270BAC"/>
    <w:rsid w:val="00282656"/>
    <w:rsid w:val="002B0A14"/>
    <w:rsid w:val="002D0446"/>
    <w:rsid w:val="002D64FD"/>
    <w:rsid w:val="002F7FC5"/>
    <w:rsid w:val="0031221E"/>
    <w:rsid w:val="00316274"/>
    <w:rsid w:val="00373556"/>
    <w:rsid w:val="00382AE0"/>
    <w:rsid w:val="00393BAB"/>
    <w:rsid w:val="0039781F"/>
    <w:rsid w:val="003C7C9B"/>
    <w:rsid w:val="003D6512"/>
    <w:rsid w:val="0041202D"/>
    <w:rsid w:val="004251D7"/>
    <w:rsid w:val="00426815"/>
    <w:rsid w:val="00430F41"/>
    <w:rsid w:val="00445F89"/>
    <w:rsid w:val="00474760"/>
    <w:rsid w:val="00484918"/>
    <w:rsid w:val="0049366E"/>
    <w:rsid w:val="004A28CD"/>
    <w:rsid w:val="004C3938"/>
    <w:rsid w:val="004D516A"/>
    <w:rsid w:val="004E4A04"/>
    <w:rsid w:val="00564940"/>
    <w:rsid w:val="00572800"/>
    <w:rsid w:val="0057340A"/>
    <w:rsid w:val="00590D86"/>
    <w:rsid w:val="005963C4"/>
    <w:rsid w:val="005D4FF9"/>
    <w:rsid w:val="005E4412"/>
    <w:rsid w:val="005F659A"/>
    <w:rsid w:val="005F6FED"/>
    <w:rsid w:val="00613FCB"/>
    <w:rsid w:val="006173A0"/>
    <w:rsid w:val="00634CF6"/>
    <w:rsid w:val="00640739"/>
    <w:rsid w:val="006516F0"/>
    <w:rsid w:val="00665FFF"/>
    <w:rsid w:val="0067450F"/>
    <w:rsid w:val="006A5E9F"/>
    <w:rsid w:val="006B4637"/>
    <w:rsid w:val="006C255B"/>
    <w:rsid w:val="006E6FC5"/>
    <w:rsid w:val="006F1841"/>
    <w:rsid w:val="00720808"/>
    <w:rsid w:val="0072102F"/>
    <w:rsid w:val="00733703"/>
    <w:rsid w:val="0074131B"/>
    <w:rsid w:val="00743504"/>
    <w:rsid w:val="00751B98"/>
    <w:rsid w:val="00755EB5"/>
    <w:rsid w:val="007652C8"/>
    <w:rsid w:val="007A6718"/>
    <w:rsid w:val="007B5897"/>
    <w:rsid w:val="007E4EF1"/>
    <w:rsid w:val="00821584"/>
    <w:rsid w:val="008309AC"/>
    <w:rsid w:val="0083322B"/>
    <w:rsid w:val="008567CE"/>
    <w:rsid w:val="00862C1B"/>
    <w:rsid w:val="008A71D6"/>
    <w:rsid w:val="008D1E93"/>
    <w:rsid w:val="008F0674"/>
    <w:rsid w:val="008F08CD"/>
    <w:rsid w:val="008F168A"/>
    <w:rsid w:val="00915A90"/>
    <w:rsid w:val="00931A1B"/>
    <w:rsid w:val="00945520"/>
    <w:rsid w:val="00977106"/>
    <w:rsid w:val="009C12CD"/>
    <w:rsid w:val="009C1C50"/>
    <w:rsid w:val="009D47BB"/>
    <w:rsid w:val="009F7EB6"/>
    <w:rsid w:val="00A42BF9"/>
    <w:rsid w:val="00A4794D"/>
    <w:rsid w:val="00A826FA"/>
    <w:rsid w:val="00A84508"/>
    <w:rsid w:val="00AA6C29"/>
    <w:rsid w:val="00AC6429"/>
    <w:rsid w:val="00AE0C3D"/>
    <w:rsid w:val="00AF0022"/>
    <w:rsid w:val="00AF1661"/>
    <w:rsid w:val="00B20D21"/>
    <w:rsid w:val="00B61845"/>
    <w:rsid w:val="00B64176"/>
    <w:rsid w:val="00B933E0"/>
    <w:rsid w:val="00BB43AE"/>
    <w:rsid w:val="00BE7B05"/>
    <w:rsid w:val="00C226EA"/>
    <w:rsid w:val="00C2404E"/>
    <w:rsid w:val="00C466CF"/>
    <w:rsid w:val="00C56FDE"/>
    <w:rsid w:val="00C72ED2"/>
    <w:rsid w:val="00C81B30"/>
    <w:rsid w:val="00CA74C4"/>
    <w:rsid w:val="00CB28EC"/>
    <w:rsid w:val="00CB5B6E"/>
    <w:rsid w:val="00CB79E7"/>
    <w:rsid w:val="00CD756F"/>
    <w:rsid w:val="00CE0849"/>
    <w:rsid w:val="00D04C03"/>
    <w:rsid w:val="00D1364B"/>
    <w:rsid w:val="00D4632B"/>
    <w:rsid w:val="00D53BB5"/>
    <w:rsid w:val="00D646A8"/>
    <w:rsid w:val="00D7406F"/>
    <w:rsid w:val="00D952DA"/>
    <w:rsid w:val="00DD487C"/>
    <w:rsid w:val="00DD63C3"/>
    <w:rsid w:val="00DE2D01"/>
    <w:rsid w:val="00DE5408"/>
    <w:rsid w:val="00DE5910"/>
    <w:rsid w:val="00DF25A2"/>
    <w:rsid w:val="00DF41F8"/>
    <w:rsid w:val="00E36EE5"/>
    <w:rsid w:val="00E53B71"/>
    <w:rsid w:val="00E72C68"/>
    <w:rsid w:val="00E76184"/>
    <w:rsid w:val="00EA600B"/>
    <w:rsid w:val="00EC4D02"/>
    <w:rsid w:val="00ED4414"/>
    <w:rsid w:val="00EE04C7"/>
    <w:rsid w:val="00EE208D"/>
    <w:rsid w:val="00EF00AD"/>
    <w:rsid w:val="00F11B26"/>
    <w:rsid w:val="00F541E5"/>
    <w:rsid w:val="00F54C9B"/>
    <w:rsid w:val="00F900FC"/>
    <w:rsid w:val="00FA26E2"/>
    <w:rsid w:val="00FB29B8"/>
    <w:rsid w:val="00FB5A5E"/>
    <w:rsid w:val="00FC2A8A"/>
    <w:rsid w:val="00FD27AB"/>
    <w:rsid w:val="00FD45B4"/>
    <w:rsid w:val="00FD52E5"/>
    <w:rsid w:val="00FE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FEA4D2"/>
  <w15:chartTrackingRefBased/>
  <w15:docId w15:val="{9CE2A382-0E96-4529-B002-12252D505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208D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E20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E20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E20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E20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E20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E208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E208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E208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E208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EE20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E20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E20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E208D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E208D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E208D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E208D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E208D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E208D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EE20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E20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EE208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E20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EE20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E208D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EE208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E208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E20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E208D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EE208D"/>
    <w:rPr>
      <w:b/>
      <w:bCs/>
      <w:smallCaps/>
      <w:color w:val="2F5496" w:themeColor="accent1" w:themeShade="BF"/>
      <w:spacing w:val="5"/>
    </w:rPr>
  </w:style>
  <w:style w:type="paragraph" w:styleId="Vltozat">
    <w:name w:val="Revision"/>
    <w:hidden/>
    <w:uiPriority w:val="99"/>
    <w:semiHidden/>
    <w:rsid w:val="00EE208D"/>
    <w:pPr>
      <w:spacing w:after="0" w:line="240" w:lineRule="auto"/>
    </w:pPr>
    <w:rPr>
      <w:rFonts w:ascii="Times New Roman" w:hAnsi="Times New Roman" w:cs="Times New Roman"/>
      <w:kern w:val="0"/>
      <w:szCs w:val="20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EE208D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EE208D"/>
  </w:style>
  <w:style w:type="character" w:customStyle="1" w:styleId="SzvegtrzsChar">
    <w:name w:val="Szövegtörzs Char"/>
    <w:basedOn w:val="Bekezdsalapbettpusa"/>
    <w:link w:val="Szvegtrzs"/>
    <w:uiPriority w:val="1"/>
    <w:rsid w:val="00EE208D"/>
    <w:rPr>
      <w:rFonts w:ascii="Times New Roman" w:hAnsi="Times New Roman" w:cs="Times New Roman"/>
      <w:kern w:val="0"/>
      <w:lang w:eastAsia="hu-HU" w:bidi="hu-HU"/>
    </w:rPr>
  </w:style>
  <w:style w:type="paragraph" w:customStyle="1" w:styleId="TableParagraph">
    <w:name w:val="Table Paragraph"/>
    <w:basedOn w:val="Norml"/>
    <w:uiPriority w:val="1"/>
    <w:qFormat/>
    <w:rsid w:val="00EE208D"/>
    <w:pPr>
      <w:ind w:left="107"/>
    </w:pPr>
  </w:style>
  <w:style w:type="paragraph" w:styleId="lfej">
    <w:name w:val="header"/>
    <w:basedOn w:val="Norml"/>
    <w:link w:val="lfejChar"/>
    <w:uiPriority w:val="99"/>
    <w:unhideWhenUsed/>
    <w:rsid w:val="00EE208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E208D"/>
    <w:rPr>
      <w:rFonts w:ascii="Times New Roman" w:hAnsi="Times New Roman" w:cs="Times New Roman"/>
      <w:kern w:val="0"/>
      <w:lang w:eastAsia="hu-HU" w:bidi="hu-HU"/>
    </w:rPr>
  </w:style>
  <w:style w:type="paragraph" w:styleId="llb">
    <w:name w:val="footer"/>
    <w:basedOn w:val="Norml"/>
    <w:link w:val="llbChar"/>
    <w:uiPriority w:val="99"/>
    <w:unhideWhenUsed/>
    <w:rsid w:val="00EE208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E208D"/>
    <w:rPr>
      <w:rFonts w:ascii="Times New Roman" w:hAnsi="Times New Roman" w:cs="Times New Roman"/>
      <w:kern w:val="0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C2404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2404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C2404E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2404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2404E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  <w:style w:type="table" w:customStyle="1" w:styleId="TableNormal10">
    <w:name w:val="Table Normal1"/>
    <w:uiPriority w:val="2"/>
    <w:semiHidden/>
    <w:unhideWhenUsed/>
    <w:qFormat/>
    <w:rsid w:val="000E2862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D516A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AF002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0022"/>
    <w:rPr>
      <w:rFonts w:ascii="Segoe UI" w:hAnsi="Segoe UI" w:cs="Segoe UI"/>
      <w:kern w:val="0"/>
      <w:sz w:val="18"/>
      <w:szCs w:val="18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1F74E-0CEF-4D54-AD7C-66375188A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24</Pages>
  <Words>9142</Words>
  <Characters>63087</Characters>
  <Application>Microsoft Office Word</Application>
  <DocSecurity>0</DocSecurity>
  <Lines>525</Lines>
  <Paragraphs>144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HU_OGYI_7.1</cp:lastModifiedBy>
  <cp:revision>8</cp:revision>
  <dcterms:created xsi:type="dcterms:W3CDTF">2026-07-23T13:47:00Z</dcterms:created>
  <dcterms:modified xsi:type="dcterms:W3CDTF">2026-08-27T12:09:00Z</dcterms:modified>
</cp:coreProperties>
</file>