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933AC" w14:textId="77777777" w:rsidR="00BF4685" w:rsidRPr="00BF4685" w:rsidRDefault="00BF4685" w:rsidP="00BF4685">
      <w:pPr>
        <w:widowControl w:val="0"/>
        <w:suppressLineNumbers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1.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GYÓGYSZER NEVE</w:t>
      </w:r>
    </w:p>
    <w:p w14:paraId="35D0131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0A794FBF" w14:textId="7171B730" w:rsidR="00BF4685" w:rsidRPr="00BF4685" w:rsidRDefault="005F180F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SaneXcel</w:t>
      </w:r>
      <w:proofErr w:type="spellEnd"/>
      <w:r w:rsidR="00BF4685"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10 mg filmtabletta</w:t>
      </w:r>
    </w:p>
    <w:p w14:paraId="6AF5058F" w14:textId="02A6E170" w:rsidR="00BF4685" w:rsidRPr="00BF4685" w:rsidRDefault="005F180F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SaneXcel</w:t>
      </w:r>
      <w:proofErr w:type="spellEnd"/>
      <w:r w:rsidR="00BF4685"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20 mg filmtabletta</w:t>
      </w:r>
    </w:p>
    <w:p w14:paraId="54E3417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D53A8F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D867FD8" w14:textId="77777777" w:rsidR="00BF4685" w:rsidRPr="00BF4685" w:rsidRDefault="00BF4685" w:rsidP="00BF4685">
      <w:pPr>
        <w:widowControl w:val="0"/>
        <w:suppressLineNumbers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2.</w:t>
      </w: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  <w:t xml:space="preserve">MINŐSÉGI </w:t>
      </w:r>
      <w:proofErr w:type="gramStart"/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ÉS</w:t>
      </w:r>
      <w:proofErr w:type="gramEnd"/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MENNYISÉGI ÖSSZETÉTEL</w:t>
      </w:r>
    </w:p>
    <w:p w14:paraId="2BE3796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0B64375" w14:textId="7EBAB1D4" w:rsidR="00BF4685" w:rsidRPr="00986360" w:rsidRDefault="005F180F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Memantine</w:t>
      </w:r>
      <w:proofErr w:type="spellEnd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</w:t>
      </w: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SaneXcel</w:t>
      </w:r>
      <w:proofErr w:type="spellEnd"/>
      <w:r w:rsidR="00BF4685"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10 mg filmtabletta</w:t>
      </w:r>
    </w:p>
    <w:p w14:paraId="7B46B8D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10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memantin-hidrokloridot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filmtablettánként, ami 8,31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felel meg.</w:t>
      </w:r>
    </w:p>
    <w:p w14:paraId="632D178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3ED25CF" w14:textId="02323308" w:rsidR="00BF4685" w:rsidRPr="00986360" w:rsidRDefault="005F180F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Memantine</w:t>
      </w:r>
      <w:proofErr w:type="spellEnd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</w:t>
      </w: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SaneXcel</w:t>
      </w:r>
      <w:proofErr w:type="spellEnd"/>
      <w:r w:rsidR="00BF4685"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20 mg filmtabletta</w:t>
      </w:r>
    </w:p>
    <w:p w14:paraId="4BD048C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20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memantin-hidrokloridot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filmtablettánként, ami 16,62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felel meg.</w:t>
      </w:r>
    </w:p>
    <w:p w14:paraId="10848DDA" w14:textId="77777777" w:rsid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133A667" w14:textId="33E72D58" w:rsidR="003408B4" w:rsidRPr="00986360" w:rsidRDefault="003408B4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986360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Ismert hatású segédanyag</w:t>
      </w:r>
    </w:p>
    <w:p w14:paraId="09F2E3B6" w14:textId="46C354DF" w:rsidR="003408B4" w:rsidRPr="003408B4" w:rsidRDefault="008B2BCE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SaneXcel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20 mg filmtabletta</w:t>
      </w: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="003408B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0,04 mg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</w:t>
      </w:r>
      <w:r w:rsidR="003408B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unset</w:t>
      </w:r>
      <w:proofErr w:type="spellEnd"/>
      <w:r w:rsidR="003408B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="003408B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yellow</w:t>
      </w:r>
      <w:proofErr w:type="spellEnd"/>
      <w:r w:rsidR="003408B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FCF-et</w:t>
      </w: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(E110)</w:t>
      </w:r>
      <w:r w:rsidR="003408B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filmtablettánként</w:t>
      </w: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(lásd 4.4 pont)</w:t>
      </w:r>
      <w:r w:rsidR="00851989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.</w:t>
      </w:r>
    </w:p>
    <w:p w14:paraId="7D89C09F" w14:textId="77777777" w:rsidR="008B2BCE" w:rsidRDefault="008B2BCE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42A755" w14:textId="325B8F00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segédanyagok teljes </w:t>
      </w:r>
      <w:r w:rsidRPr="00BF4685"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  <w:t>felsorolását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lásd a 6.1 pontban</w:t>
      </w:r>
      <w:r w:rsidRPr="00BF4685">
        <w:rPr>
          <w:rFonts w:ascii="Times New Roman" w:eastAsia="SimSun" w:hAnsi="Times New Roman" w:cs="Times New Roman"/>
          <w:bCs/>
          <w:snapToGrid w:val="0"/>
          <w:kern w:val="0"/>
          <w:szCs w:val="20"/>
          <w:lang w:eastAsia="zh-CN"/>
          <w14:ligatures w14:val="none"/>
        </w:rPr>
        <w:t>.</w:t>
      </w:r>
    </w:p>
    <w:p w14:paraId="401A382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E8121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A0A0C57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3.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GYÓGYSZERFORMA</w:t>
      </w:r>
    </w:p>
    <w:p w14:paraId="3E882A3D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8C94EB0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Filmtabletta.</w:t>
      </w:r>
    </w:p>
    <w:p w14:paraId="2DDC785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E00DF71" w14:textId="541848E3" w:rsidR="00BF4685" w:rsidRPr="00986360" w:rsidRDefault="005F180F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Memantine</w:t>
      </w:r>
      <w:proofErr w:type="spellEnd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</w:t>
      </w: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SaneXcel</w:t>
      </w:r>
      <w:proofErr w:type="spellEnd"/>
      <w:r w:rsidR="00BF4685"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10 mg filmtabletta</w:t>
      </w:r>
    </w:p>
    <w:p w14:paraId="58867305" w14:textId="497804BD" w:rsidR="00BF4685" w:rsidRDefault="00E56AA2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</w:pPr>
      <w:proofErr w:type="spellStart"/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Memantine</w:t>
      </w:r>
      <w:proofErr w:type="spellEnd"/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</w:t>
      </w:r>
      <w:proofErr w:type="spellStart"/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SaneXcel</w:t>
      </w:r>
      <w:proofErr w:type="spellEnd"/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10 mg filmtabletta fehér, hosszúkás, mindkét oldalán domború, bemetszéssel ellátott filmtabletta, amelynek hosszúsága 12,9 mm (± 0</w:t>
      </w:r>
      <w:r w:rsidR="00851989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,</w:t>
      </w:r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2 mm), szélessége 5,3 mm (± 0</w:t>
      </w:r>
      <w:r w:rsidR="00851989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,</w:t>
      </w:r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2 mm).</w:t>
      </w:r>
    </w:p>
    <w:p w14:paraId="5F28044E" w14:textId="77777777" w:rsidR="00E56AA2" w:rsidRPr="00BF4685" w:rsidRDefault="00E56AA2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8F76EAC" w14:textId="2078FFE7" w:rsidR="00BF4685" w:rsidRPr="00986360" w:rsidRDefault="005F180F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Memantine</w:t>
      </w:r>
      <w:proofErr w:type="spellEnd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</w:t>
      </w: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SaneXcel</w:t>
      </w:r>
      <w:proofErr w:type="spellEnd"/>
      <w:r w:rsidR="00BF4685"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20 mg filmtabletta</w:t>
      </w:r>
    </w:p>
    <w:p w14:paraId="28A54AA2" w14:textId="7A33D60A" w:rsidR="00BF4685" w:rsidRDefault="00E56AA2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</w:pPr>
      <w:proofErr w:type="spellStart"/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Memantine</w:t>
      </w:r>
      <w:proofErr w:type="spellEnd"/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</w:t>
      </w:r>
      <w:proofErr w:type="spellStart"/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SaneXcel</w:t>
      </w:r>
      <w:proofErr w:type="spellEnd"/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20 mg filmtabletta rózsaszín-narancssárga, ellipszis alakú, mindkét oldalán domború filmtabletta, amelynek hosszúsága 15,9 mm (± 0</w:t>
      </w:r>
      <w:r w:rsidR="00851989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,</w:t>
      </w:r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2 mm), szélessége 7,9 mm (± 0</w:t>
      </w:r>
      <w:r w:rsidR="00851989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,</w:t>
      </w:r>
      <w:r w:rsidRPr="00E56AA2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2 mm).</w:t>
      </w:r>
    </w:p>
    <w:p w14:paraId="2B648577" w14:textId="77777777" w:rsidR="00E56AA2" w:rsidRPr="00BF4685" w:rsidRDefault="00E56AA2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82CF13B" w14:textId="7870DD3A" w:rsidR="00BF4685" w:rsidRPr="00BF4685" w:rsidRDefault="00323183" w:rsidP="00BF468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42B0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Pr="00323183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Memantine</w:t>
      </w:r>
      <w:proofErr w:type="spellEnd"/>
      <w:r w:rsidRPr="00323183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Pr="00323183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SaneXcel</w:t>
      </w:r>
      <w:proofErr w:type="spellEnd"/>
      <w:r w:rsidRPr="00323183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10 mg filmtabletta</w:t>
      </w:r>
      <w:r w:rsidRPr="00542B0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egyenlő adagokra osztható.</w:t>
      </w:r>
    </w:p>
    <w:p w14:paraId="1F2F501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520F65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C9691D1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4.</w:t>
      </w: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  <w:t>KLINIKAI JELLEMZŐK</w:t>
      </w:r>
    </w:p>
    <w:p w14:paraId="0764B34E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3D3F698A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4.1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Terápiás javallatok</w:t>
      </w:r>
    </w:p>
    <w:p w14:paraId="44C0A16F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CFDF20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kern w:val="0"/>
          <w14:ligatures w14:val="none"/>
        </w:rPr>
        <w:t>Közepesen súlyos, illetve súlyos Alzheimer-betegségben szenvedő felnőttek kezelése.</w:t>
      </w:r>
    </w:p>
    <w:p w14:paraId="253B7E3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65E53C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4.2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Adagolás és alkalmazás</w:t>
      </w:r>
    </w:p>
    <w:p w14:paraId="3E182628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F7CB40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kezelést csak az Alzheimer típusú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demencia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diagnózisában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kezelésében tapasztalattal rendelkező orvos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rendelheti el, illetve folytathatja.</w:t>
      </w:r>
    </w:p>
    <w:p w14:paraId="2E1284A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777989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Adagolás</w:t>
      </w:r>
    </w:p>
    <w:p w14:paraId="35C1786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kezelés csak akkor kezdhető el, ha biztosított a beteg gyógyszerszedését rendszeresen ellenőrző személy. A diagnózist az érvényben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lévő irányelvek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szerint kell felállítani.</w:t>
      </w:r>
    </w:p>
    <w:p w14:paraId="5A354FE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tolerálhatóságát</w:t>
      </w:r>
      <w:proofErr w:type="spellEnd"/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adagolását rendszeresen felül kell vizsgálni, lehetőleg a kezelés megkezdését követő három hónapon belül. Ezt követően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terápiás előnyét és a beteg kezeléssel szembeni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toleranciáját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az érvényben lévő klinikai irányelvek szerint rendszeresen felül kell vizsgálni. A fenntartó kezelés mindaddig folytatható, ameddig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-kezelés terápiás előnyöket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biztosít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a beteg tolerálja azt. A kezelés abbahagyása mérlegelendő, ha a terápiás hatás már nem bizonyított vagy a beteg nem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tolerálja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kezelést.</w:t>
      </w:r>
    </w:p>
    <w:p w14:paraId="4A4813A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</w:p>
    <w:p w14:paraId="4A261434" w14:textId="77777777" w:rsid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lastRenderedPageBreak/>
        <w:t>Felnőttek</w:t>
      </w:r>
    </w:p>
    <w:p w14:paraId="41DBE845" w14:textId="77777777" w:rsidR="005C0000" w:rsidRPr="00BF4685" w:rsidRDefault="005C0000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</w:p>
    <w:p w14:paraId="31E1ED60" w14:textId="77777777" w:rsidR="00BF4685" w:rsidRPr="00CC0902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CC0902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Dózistitrálás</w:t>
      </w:r>
    </w:p>
    <w:p w14:paraId="091AEB93" w14:textId="77777777" w:rsidR="005C0000" w:rsidRPr="00BF4685" w:rsidRDefault="005C0000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</w:pPr>
    </w:p>
    <w:p w14:paraId="435C579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maximális napi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20 mg. A nemkívánatos hatások kockázatának csökkentése érdekében a fenntartó dózist a terápia első 3 hete folyamán heti 5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dózisnöveléssel kell beállítani az alábbiak szerint:</w:t>
      </w:r>
    </w:p>
    <w:p w14:paraId="4898FBE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0054BD3" w14:textId="77777777" w:rsidR="00BF4685" w:rsidRPr="005C0000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5C0000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1. hét (1–7. nap)</w:t>
      </w:r>
    </w:p>
    <w:p w14:paraId="563AB53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Naponta egy 10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filmtabletta felét (5 mg) kell bevenni, 7 napon keresztül.</w:t>
      </w:r>
    </w:p>
    <w:p w14:paraId="2547F25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4283C1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</w:pPr>
      <w:r w:rsidRPr="005C0000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2. hét (8–14. nap</w:t>
      </w: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u w:val="single"/>
          <w:lang w:eastAsia="zh-CN"/>
          <w14:ligatures w14:val="none"/>
        </w:rPr>
        <w:t>)</w:t>
      </w:r>
    </w:p>
    <w:p w14:paraId="2695DAF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Naponta egy 10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filmtablettát (10 mg) kell bevenni, 7 napon keresztül.</w:t>
      </w:r>
    </w:p>
    <w:p w14:paraId="5DFE917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A208577" w14:textId="77777777" w:rsidR="00BF4685" w:rsidRPr="005C0000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5C0000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3. hét (15–21. nap)</w:t>
      </w:r>
    </w:p>
    <w:p w14:paraId="1CACCEE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Naponta egyszer másfél 10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filmtablettát (15 mg) kell bevenni, 7 napon keresztül.</w:t>
      </w:r>
    </w:p>
    <w:p w14:paraId="2C8AD90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5B58CBB" w14:textId="77777777" w:rsidR="00BF4685" w:rsidRPr="005C0000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5C0000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A 4. héttől kezdődően</w:t>
      </w:r>
    </w:p>
    <w:p w14:paraId="00E4C6F1" w14:textId="7EEE6A5B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Naponta két 10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filmtablettát (20 mg) kell bevenni.</w:t>
      </w:r>
    </w:p>
    <w:p w14:paraId="63B0B95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DC2CB0C" w14:textId="77777777" w:rsidR="00BF4685" w:rsidRPr="005C0000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5C0000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 xml:space="preserve">Fenntartó </w:t>
      </w:r>
      <w:proofErr w:type="gramStart"/>
      <w:r w:rsidRPr="005C0000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dózis</w:t>
      </w:r>
      <w:proofErr w:type="gramEnd"/>
    </w:p>
    <w:p w14:paraId="04F4502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ajánlott fenntartó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20 mg naponta.</w:t>
      </w:r>
    </w:p>
    <w:p w14:paraId="2BB36B8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D316DA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Idősek</w:t>
      </w:r>
    </w:p>
    <w:p w14:paraId="0C48049F" w14:textId="1B733346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klinikai vizsgálatok alapján a 65 évesnél idősebb betegek kezeléséhez a fent leírtak szerint beállított napi 20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(két 10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filmtabletta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naponta egyszer) ajánlott.</w:t>
      </w:r>
    </w:p>
    <w:p w14:paraId="41E60BA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3159A883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Vesekárosodás</w:t>
      </w:r>
    </w:p>
    <w:p w14:paraId="57A26ED3" w14:textId="251FF82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Enyhe fokú vesekárosodásban szenvedő betegek esetében (kreatinin-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clearance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50–80 ml/perc) nincs szükség dózismódosításra. Közepes</w:t>
      </w:r>
      <w:r w:rsidR="005E02E0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fokú vesekárosodásban szenvedő betegek esetén (kreatinin-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clearance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30–49 ml/perc) a napi dózis 10 mg. Amennyiben a kezelést a beteg legalább 7 napig jól tolerálja, úgy a dózis a </w:t>
      </w: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standard titrálási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rend szerint napi 20 mg-ig emelhető. Súlyos fokú vesekárosodásban szenvedő betegek esetén (kreatinin-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clearance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5–29 ml/perc) a napi </w:t>
      </w: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dózis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10 mg.</w:t>
      </w:r>
    </w:p>
    <w:p w14:paraId="0D82683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EE4344F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Májkárosodás</w:t>
      </w:r>
    </w:p>
    <w:p w14:paraId="73B794FC" w14:textId="2A644764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Enyhe vagy közepes fokú májkárosodásban szenvedő betegek esetében (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Child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–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Plugh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 </w:t>
      </w: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és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Child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–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Pugh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 B) nincs szükség dózismódosításra.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súlyos fokú májkárosodásban történő alkalmazásáról nem állnak rendelkezésre adatok. Súlyos fokú májkárosodásban szenvedő betegeknél a </w:t>
      </w:r>
      <w:proofErr w:type="spellStart"/>
      <w:r w:rsidR="005F180F">
        <w:rPr>
          <w:rFonts w:ascii="Times New Roman" w:eastAsia="SimSun" w:hAnsi="Times New Roman" w:cs="Times New Roman"/>
          <w:kern w:val="0"/>
          <w:szCs w:val="20"/>
          <w14:ligatures w14:val="none"/>
        </w:rPr>
        <w:t>Memantine</w:t>
      </w:r>
      <w:proofErr w:type="spellEnd"/>
      <w:r w:rsidR="005F180F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="005F180F">
        <w:rPr>
          <w:rFonts w:ascii="Times New Roman" w:eastAsia="SimSun" w:hAnsi="Times New Roman" w:cs="Times New Roman"/>
          <w:kern w:val="0"/>
          <w:szCs w:val="20"/>
          <w14:ligatures w14:val="none"/>
        </w:rPr>
        <w:t>SaneXcel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alkalmazása nem ajánlott.</w:t>
      </w:r>
    </w:p>
    <w:p w14:paraId="64DB830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43E8A92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Gyermekek </w:t>
      </w:r>
      <w:r w:rsidRPr="00305A47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és serdülők</w:t>
      </w:r>
    </w:p>
    <w:p w14:paraId="7E56D382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Cs/>
          <w:iCs/>
          <w:kern w:val="0"/>
          <w14:ligatures w14:val="none"/>
        </w:rPr>
        <w:t>Nincsenek rendelkezésre álló adatok.</w:t>
      </w:r>
    </w:p>
    <w:p w14:paraId="63FD259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01976248" w14:textId="7C12993D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Az </w:t>
      </w:r>
      <w:r w:rsidR="00305A47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alkalmazás</w:t>
      </w:r>
      <w:r w:rsidR="00305A47"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módja</w:t>
      </w:r>
    </w:p>
    <w:p w14:paraId="27A20A85" w14:textId="140C0B40" w:rsidR="00BF4685" w:rsidRPr="00BF4685" w:rsidRDefault="005F180F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Memantine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SaneXcel</w:t>
      </w:r>
      <w:proofErr w:type="spellEnd"/>
      <w:r w:rsidR="00BF4685"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filmtablettát szájon át, naponta egyszer, minden nap ugyanabban az időben kell bevenni. A filmtabletta étkezés közben és étkezéstől függetlenül is bevehető.</w:t>
      </w:r>
    </w:p>
    <w:p w14:paraId="0E7A6A2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9475DB5" w14:textId="77777777" w:rsidR="00BF4685" w:rsidRPr="00BF4685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4.3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Ellenjavallatok</w:t>
      </w:r>
    </w:p>
    <w:p w14:paraId="11E2AA6F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3FB10C9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 készítmény hatóanyagával vagy a 6.1 pontban felsorolt bármely segédanyagával szembeni túlérzékenység.</w:t>
      </w:r>
    </w:p>
    <w:p w14:paraId="063D287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346BF36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4.4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Különleges figyelmeztetések és az alkalmazással kapcsolatos óvintézkedések</w:t>
      </w:r>
    </w:p>
    <w:p w14:paraId="7C227439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0D1A76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Fokozott óvatosság javasolt epilepsziás és olyan betegeknél, akiknek az anamnézisében görcsrohamok vagy epilepsziára hajlamosító tényezők szerepelnek.</w:t>
      </w:r>
    </w:p>
    <w:p w14:paraId="16107F5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</w:t>
      </w:r>
      <w:r w:rsidRPr="00BF4685">
        <w:rPr>
          <w:rFonts w:ascii="Times New Roman" w:eastAsia="SimSun" w:hAnsi="Times New Roman" w:cs="Times New Roman"/>
          <w:iCs/>
          <w:snapToGrid w:val="0"/>
          <w:kern w:val="0"/>
          <w:szCs w:val="20"/>
          <w:lang w:eastAsia="zh-CN"/>
          <w14:ligatures w14:val="none"/>
        </w:rPr>
        <w:t>N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-metil-D-aszpartát (NMDA)-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antagonisták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– pl.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amantadin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ketamin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dextrometorfán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– egyidejű alkalmazását kerülni kell. Ezek a vegyületek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megegyező receptorrendszerre hatnak, így (az elsődlegesen a központi idegrendszerrel kapcsolatos) mellékhatások gyakorisága és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intenzitása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fokozódhat (lásd még 4.5 pont).</w:t>
      </w:r>
    </w:p>
    <w:p w14:paraId="11F1699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56DC3C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Egyes tényezők emelhetik a vizelet pH-értékét (lásd 5.2 pont „Elimináció”), ami a beteg fokozott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monitorozását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teheti szükségessé. Ilyen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faktor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lehet például az étrend drasztikus megváltozása, pl. húst tartalmazó étrendről vegetáriánus étrendre való áttérés, vagy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alkalizáló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gyomorsavlekötők fokozott bevitele. Továbbá a vizelet pH-értékének emelkedését okozhatja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renalis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tubularis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acidosis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(RTA) vagy a vizeletelvezető rendszer </w:t>
      </w:r>
      <w:r w:rsidRPr="00BF4685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Proteus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baktériumok által okozott súlyos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fertőzése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is.</w:t>
      </w:r>
    </w:p>
    <w:p w14:paraId="0EFC093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5FAB36F" w14:textId="77777777" w:rsidR="00BF4685" w:rsidRPr="00BF4685" w:rsidRDefault="00BF4685" w:rsidP="00BF468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legtöbb klinikai vizsgálatból kizárták azokat a betegeket, akik a közelmúltban szívinfarktuson estek át, illetve nem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kompenzált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pangásos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szívelégtelenségben (NYHA III-IV) vagy kezeletlen magas vérnyomásban szenvedtek. Ennek következtében az ilyen betegekre vonatkozóan csak korlátozott mennyiségű adat áll rendelkezésre és kezelésük szoros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monitorozást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igényel.</w:t>
      </w:r>
    </w:p>
    <w:p w14:paraId="2DC2A07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E92A184" w14:textId="31741746" w:rsidR="00BF4685" w:rsidRPr="009C2071" w:rsidRDefault="009C2071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9C207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Memantine</w:t>
      </w:r>
      <w:proofErr w:type="spellEnd"/>
      <w:r w:rsidRPr="009C207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9C207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SaneXcel</w:t>
      </w:r>
      <w:proofErr w:type="spellEnd"/>
      <w:r w:rsidRPr="009C207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</w:t>
      </w:r>
      <w:r w:rsidR="00BF4685" w:rsidRPr="009C207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átrium</w:t>
      </w:r>
      <w:r w:rsidRPr="009C2071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ot tartalmaz</w:t>
      </w:r>
    </w:p>
    <w:p w14:paraId="7A4B05D6" w14:textId="31A741BC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készítmény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kevesebb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mint 1 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mmol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(23 mg) nátriumot tartalmaz </w:t>
      </w:r>
      <w:r w:rsidR="00851989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filmtablettánként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azaz gyakorlatilag „nátriummentes”.</w:t>
      </w:r>
    </w:p>
    <w:p w14:paraId="2B2BEE7C" w14:textId="77777777" w:rsid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2E0DD59" w14:textId="3BD69C54" w:rsidR="009C2071" w:rsidRDefault="00594F8C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594F8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Memantine</w:t>
      </w:r>
      <w:proofErr w:type="spellEnd"/>
      <w:r w:rsidRPr="00594F8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594F8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SaneXcel</w:t>
      </w:r>
      <w:proofErr w:type="spellEnd"/>
      <w:r w:rsidRPr="00594F8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20 mg filmtabletta </w:t>
      </w:r>
      <w:proofErr w:type="spellStart"/>
      <w:r w:rsidRPr="00594F8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sunset</w:t>
      </w:r>
      <w:proofErr w:type="spellEnd"/>
      <w:r w:rsidRPr="00594F8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594F8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yellow</w:t>
      </w:r>
      <w:proofErr w:type="spellEnd"/>
      <w:r w:rsidRPr="00594F8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FCF-et (E110) tartalmaz. Allergiás reakciókat okozhat.</w:t>
      </w:r>
    </w:p>
    <w:p w14:paraId="1C68E98F" w14:textId="77777777" w:rsidR="009C2071" w:rsidRPr="00BF4685" w:rsidRDefault="009C2071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F68DBBE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4.5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 xml:space="preserve">Gyógyszerkölcsönhatások és egyéb </w:t>
      </w:r>
      <w:proofErr w:type="gramStart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interakciók</w:t>
      </w:r>
      <w:proofErr w:type="gramEnd"/>
    </w:p>
    <w:p w14:paraId="04C2F9EB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46FA637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farmakológiai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hatására és hatásmechanizmusára való tekintettel az alábbi kölcsönhatások fordulhatnak elő:</w:t>
      </w:r>
    </w:p>
    <w:p w14:paraId="0EC5D34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647DE01" w14:textId="77777777" w:rsidR="00BF4685" w:rsidRPr="00BF4685" w:rsidRDefault="00BF4685" w:rsidP="00BF4685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CC0902">
        <w:rPr>
          <w:rFonts w:ascii="Times New Roman" w:eastAsia="SimSun" w:hAnsi="Times New Roman" w:cs="Times New Roman"/>
          <w:kern w:val="0"/>
          <w:szCs w:val="20"/>
          <w14:ligatures w14:val="none"/>
        </w:rPr>
        <w:t>A hatásmechanizmus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alapján feltehető, hogy az L-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dopa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dopaminerg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agonisták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és az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antikolinerg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gyógyszerek hatása felerősödhet az NMDA-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antagonisták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pl.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egyidejű alkalmazása esetén. A barbiturátok és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neuroleptikumok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hatása csökkenhet.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izomrelaxánsokkal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dantrolénnel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vagy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baklofénnel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történő egyidejű alkalmazása befolyásolhatja ezek hatását és a </w:t>
      </w: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dózis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módosítására lehet szükség.</w:t>
      </w:r>
    </w:p>
    <w:p w14:paraId="1E1CAC93" w14:textId="77777777" w:rsidR="00BF4685" w:rsidRPr="00BF4685" w:rsidRDefault="00BF4685" w:rsidP="00BF4685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farmakotoxikus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pszichózis kockázata miatt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és az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amantadin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egyidejű alkalmazása kerülendő. Mindkét vegyület kémiailag rokon az NMDA-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antagonistákkal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. Ugyanez igaz lehet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ketamin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és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dextrometorfán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esetében is (lásd </w:t>
      </w:r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még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4.4 pont). Egy olyan esetet is közöltek, amely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és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fenitoin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kombinált alkalmazásának kockázatára utal.</w:t>
      </w:r>
    </w:p>
    <w:p w14:paraId="4D153F92" w14:textId="77777777" w:rsidR="00BF4685" w:rsidRPr="00BF4685" w:rsidRDefault="00BF4685" w:rsidP="00BF4685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Más hatóanyagok, pl.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cimetidin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ranitidin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prokainamid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kinidin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kinin és nikotin, amelyek a vesében azonos kationos transzportrendszert vesznek igénybe, mint az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amantadin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szintén kölcsönhatásba léphetnek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, ami megnövekedett plazmaszintek kockázatát eredményezheti.</w:t>
      </w:r>
    </w:p>
    <w:p w14:paraId="43349869" w14:textId="77777777" w:rsidR="00BF4685" w:rsidRPr="00BF4685" w:rsidRDefault="00BF4685" w:rsidP="00BF4685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hidroklorotiaziddal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(HCT), vagy bármely HCT-t tartalmazó készítménnyel való egyidejű alkalmazása esetén a HCT szérumszintje csökkenhet.</w:t>
      </w:r>
    </w:p>
    <w:p w14:paraId="53C7BBDA" w14:textId="7CB0DEBC" w:rsidR="00BF4685" w:rsidRPr="00BF4685" w:rsidRDefault="00BF4685" w:rsidP="00BF4685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forgalomba hozatalt követően az egyidejűleg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warfarinnal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kezelt betegeknél egyedi esetekben a </w:t>
      </w:r>
      <w:r w:rsid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n</w:t>
      </w:r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emzetközi </w:t>
      </w:r>
      <w:r w:rsid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n</w:t>
      </w:r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ormalizált </w:t>
      </w:r>
      <w:r w:rsid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arány</w:t>
      </w:r>
      <w:r w:rsidR="00305A47"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(International </w:t>
      </w:r>
      <w:proofErr w:type="spellStart"/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Normalized</w:t>
      </w:r>
      <w:proofErr w:type="spellEnd"/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Ratio, INR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) emelkedéséről számoltak be. Noha erre vonatkozóan oki összefüggést nem állapítottak meg, az egyidejűleg orális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antikoagulánssal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kezelt betegeknél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protrombinidő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vagy az INR szoros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monitorozása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javasolt.</w:t>
      </w:r>
    </w:p>
    <w:p w14:paraId="307E6D8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D3C3A30" w14:textId="77777777" w:rsidR="00BF4685" w:rsidRPr="00BF4685" w:rsidRDefault="00BF4685" w:rsidP="00BF468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Fiatal egészséges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önkénteseknél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napi egyszeri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alkalmazásával végzett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farmakokinetikai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vizsgálatok során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gliburid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/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metformin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donepezil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egyidejű alkalmazásakor nem figyeltek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meg a hatóanyagok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közötti kölcsönhatást.</w:t>
      </w:r>
    </w:p>
    <w:p w14:paraId="0A91507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03C8464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Egy egészséges fiatal </w:t>
      </w:r>
      <w:r w:rsidRPr="00305A47">
        <w:rPr>
          <w:rFonts w:ascii="Times New Roman" w:eastAsia="SimSun" w:hAnsi="Times New Roman" w:cs="Times New Roman"/>
          <w:kern w:val="0"/>
          <w:szCs w:val="20"/>
          <w14:ligatures w14:val="none"/>
        </w:rPr>
        <w:t>önkéntesekkel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végzett klinikai vizsgálatban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nem befolyásolta lényegesen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galantamin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farmakokinetikáját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.</w:t>
      </w:r>
    </w:p>
    <w:p w14:paraId="353D37A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088E144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i/>
          <w:iCs/>
          <w:kern w:val="0"/>
          <w:szCs w:val="20"/>
          <w14:ligatures w14:val="none"/>
        </w:rPr>
        <w:t>in vitro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r w:rsidRPr="00CC0902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nem gátolta a CYP 1A2, 2A6, 2C9, 2D6, 2E1, 3A enzimeket, a </w:t>
      </w:r>
      <w:proofErr w:type="spellStart"/>
      <w:r w:rsidRPr="00CC0902">
        <w:rPr>
          <w:rFonts w:ascii="Times New Roman" w:eastAsia="SimSun" w:hAnsi="Times New Roman" w:cs="Times New Roman"/>
          <w:kern w:val="0"/>
          <w:szCs w:val="20"/>
          <w14:ligatures w14:val="none"/>
        </w:rPr>
        <w:t>flavin</w:t>
      </w:r>
      <w:proofErr w:type="spellEnd"/>
      <w:r w:rsidRPr="00CC0902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-tartalmú </w:t>
      </w:r>
      <w:proofErr w:type="spellStart"/>
      <w:r w:rsidRPr="00CC0902">
        <w:rPr>
          <w:rFonts w:ascii="Times New Roman" w:eastAsia="SimSun" w:hAnsi="Times New Roman" w:cs="Times New Roman"/>
          <w:kern w:val="0"/>
          <w:szCs w:val="20"/>
          <w14:ligatures w14:val="none"/>
        </w:rPr>
        <w:t>monooxigenázt</w:t>
      </w:r>
      <w:proofErr w:type="spellEnd"/>
      <w:r w:rsidRPr="00CC0902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az </w:t>
      </w:r>
      <w:proofErr w:type="spellStart"/>
      <w:r w:rsidRPr="00CC0902">
        <w:rPr>
          <w:rFonts w:ascii="Times New Roman" w:eastAsia="SimSun" w:hAnsi="Times New Roman" w:cs="Times New Roman"/>
          <w:kern w:val="0"/>
          <w:szCs w:val="20"/>
          <w14:ligatures w14:val="none"/>
        </w:rPr>
        <w:t>epoxid-hidrolázt</w:t>
      </w:r>
      <w:proofErr w:type="spellEnd"/>
      <w:r w:rsidRPr="00CC0902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vag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y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szulfatálást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.</w:t>
      </w:r>
    </w:p>
    <w:p w14:paraId="4DAC001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A8C6392" w14:textId="77777777" w:rsidR="00BF4685" w:rsidRPr="00BF4685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4.6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Termékenység, terhesség és szoptatás</w:t>
      </w:r>
    </w:p>
    <w:p w14:paraId="56D4C37C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B5C580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Terhesség</w:t>
      </w:r>
    </w:p>
    <w:p w14:paraId="60A987D7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terhes nőknél történő alkalmazása tekintetében klinikai adatok nem állnak rendelkezésre vagy csak korlátozottan állnak rendelkezésre. Az állatkísérletek arra utalnak, hogy az emberi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dózisnak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megfelelő, vagy enyhén nagyobb dózisok alkalmazásakor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potenciálisan lassíthatja a méhen belüli fejlődést (lásd 5.3 pont). Embernél a lehetséges kockázat nem ismert.</w:t>
      </w:r>
    </w:p>
    <w:p w14:paraId="62CD1CA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terhesség alatt nem alkalmazható, kivéve, ha egyértelműen szükséges.</w:t>
      </w:r>
    </w:p>
    <w:p w14:paraId="71D0C21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0B34951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Szoptatás</w:t>
      </w:r>
    </w:p>
    <w:p w14:paraId="29109B9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Nem ismert, hogy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kiválasztódik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-e a humán anyatejbe, de a vegyület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lipofil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tulajdonságát figyelembe véve valószínű, hogy igen.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szedő nők esetén a szoptatás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nem javasolt.</w:t>
      </w:r>
    </w:p>
    <w:p w14:paraId="7D2DD0B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1ADB72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Termékenység</w:t>
      </w:r>
    </w:p>
    <w:p w14:paraId="6059355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alkalmazásakor nem figyeltek meg a férfi vagy a női termékenységre gyakorolt mellékhatásokat.</w:t>
      </w:r>
    </w:p>
    <w:p w14:paraId="5960AF2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D2BABB4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4.7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készítmény hatásai a gépjárművezetéshez és a gépek kezeléséhez szükséges képességekre</w:t>
      </w:r>
    </w:p>
    <w:p w14:paraId="3F66F800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C44E925" w14:textId="01C57A16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közepesen súlyos és súlyos Alzheimer-betegség rendszerint gátolja a gépjárművezetési és a gépkezelési képességet. Továbbá, </w:t>
      </w:r>
      <w:r w:rsidR="00A64567">
        <w:rPr>
          <w:rFonts w:ascii="Times New Roman" w:eastAsia="SimSun" w:hAnsi="Times New Roman" w:cs="Times New Roman"/>
          <w:kern w:val="0"/>
          <w:szCs w:val="20"/>
          <w14:ligatures w14:val="none"/>
        </w:rPr>
        <w:t>a</w:t>
      </w:r>
      <w:r w:rsidR="005F180F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="00056EE5">
        <w:rPr>
          <w:rFonts w:ascii="Times New Roman" w:eastAsia="SimSun" w:hAnsi="Times New Roman" w:cs="Times New Roman"/>
          <w:kern w:val="0"/>
          <w:szCs w:val="20"/>
          <w14:ligatures w14:val="none"/>
        </w:rPr>
        <w:t>m</w:t>
      </w:r>
      <w:r w:rsidR="005F180F">
        <w:rPr>
          <w:rFonts w:ascii="Times New Roman" w:eastAsia="SimSun" w:hAnsi="Times New Roman" w:cs="Times New Roman"/>
          <w:kern w:val="0"/>
          <w:szCs w:val="20"/>
          <w14:ligatures w14:val="none"/>
        </w:rPr>
        <w:t>emantin</w:t>
      </w:r>
      <w:proofErr w:type="spellEnd"/>
      <w:r w:rsidR="005F180F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kismértékben vagy közepes mértékben befolyásolja a gépjárművezetéshez és gépek kezeléséhez szükséges képességeket, ezért az ambuláns betegeket fokozott óvatosságra kell inteni.</w:t>
      </w:r>
    </w:p>
    <w:p w14:paraId="2AB125C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69032E83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4.8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Nemkívánatos hatások, mellékhatások</w:t>
      </w:r>
    </w:p>
    <w:p w14:paraId="3A1C550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BF67D3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 xml:space="preserve">A biztonságossági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profil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 xml:space="preserve"> összefoglalása</w:t>
      </w:r>
    </w:p>
    <w:p w14:paraId="6A2E0C4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enyhétől a súlyos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stádiumig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terjedő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demenciában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szenvedő betegek bevonásával végzett klinikai vizsgálatokban, amelyekben összesen 1784 beteget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1595 beteg pedig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placebóval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kezeltek,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a placebo alkalmazásakor előforduló mellékhatások gyakorisága összességében nem különbözött. A mellékhatások általában enyhék vagy közepesen súlyosak voltak.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leggyakoribb olyan mellékhatások, amelyek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kezelt csoportban gyakrabban fordultak elő, mint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placebóval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kezelt csoportban, a szédülés (6,3% vs. 5,6%), a fejfájás (5,2% vs. 3,9%), a székrekedés (4,6% vs. 2,6%), az aluszékonyság (3,4% vs. 2,2%) és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hipertenzió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(4,1% vs. 2,8%) voltak.</w:t>
      </w:r>
      <w:proofErr w:type="gramEnd"/>
    </w:p>
    <w:p w14:paraId="039AF31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A6B87C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A mellékhatások táblázatos felsorolása</w:t>
      </w:r>
    </w:p>
    <w:p w14:paraId="3A44A46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alábbi táblázat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végzett klinikai vizsgálatok során, és a készítmény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piaci bevezetése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óta előfordult mellékhatásokat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összegzi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.</w:t>
      </w:r>
    </w:p>
    <w:p w14:paraId="7663C55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C9707E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mellékhatások a szervrendszeri kategóriák alapján, a következők szerint kerülnek osztályozásra: nagyon gyakori (≥ 1/10), gyakori (≥ 1/100 – &lt; 1/10), nem gyakori (≥ 1/1000 – &lt; 1/100), ritka (≥ 1/10 000 – &lt; 1/1000), nagyon ritka (&lt; 1/10 000), nem ismert (a gyakoriság a rendelkezésre álló adatokból nem állapítható meg).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Az egyes gyakorisági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kategóriákon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belül a mellékhatások csökkenő súlyosság szerint kerülnek megadásra.</w:t>
      </w:r>
    </w:p>
    <w:p w14:paraId="79170CA5" w14:textId="77777777" w:rsidR="00BF4685" w:rsidRPr="00BF4685" w:rsidRDefault="00BF4685" w:rsidP="00BF4685">
      <w:pPr>
        <w:keepNext/>
        <w:spacing w:after="0" w:line="240" w:lineRule="auto"/>
        <w:ind w:left="1418" w:hanging="1418"/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4"/>
        <w:gridCol w:w="1824"/>
        <w:gridCol w:w="3373"/>
      </w:tblGrid>
      <w:tr w:rsidR="00BF4685" w:rsidRPr="00BF4685" w14:paraId="03FB63E3" w14:textId="77777777" w:rsidTr="00D25D27">
        <w:trPr>
          <w:tblHeader/>
        </w:trPr>
        <w:tc>
          <w:tcPr>
            <w:tcW w:w="3864" w:type="dxa"/>
          </w:tcPr>
          <w:p w14:paraId="044D0D28" w14:textId="77777777" w:rsidR="00BF4685" w:rsidRPr="00BF4685" w:rsidRDefault="00BF4685" w:rsidP="00BF4685">
            <w:pPr>
              <w:keepNext/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  <w:t xml:space="preserve">Szervrendszeri </w:t>
            </w:r>
            <w:proofErr w:type="gramStart"/>
            <w:r w:rsidRPr="00BF4685"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  <w:t>kategória</w:t>
            </w:r>
            <w:proofErr w:type="gramEnd"/>
          </w:p>
        </w:tc>
        <w:tc>
          <w:tcPr>
            <w:tcW w:w="1824" w:type="dxa"/>
          </w:tcPr>
          <w:p w14:paraId="1AFE6AB6" w14:textId="77777777" w:rsidR="00BF4685" w:rsidRPr="00BF4685" w:rsidRDefault="00BF4685" w:rsidP="00BF4685">
            <w:pPr>
              <w:keepNext/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  <w:t>Gyakoriság</w:t>
            </w:r>
          </w:p>
        </w:tc>
        <w:tc>
          <w:tcPr>
            <w:tcW w:w="3373" w:type="dxa"/>
          </w:tcPr>
          <w:p w14:paraId="2D507DEB" w14:textId="77777777" w:rsidR="00BF4685" w:rsidRPr="00BF4685" w:rsidRDefault="00BF4685" w:rsidP="00BF4685">
            <w:pPr>
              <w:keepNext/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szCs w:val="20"/>
                <w:lang w:eastAsia="zh-CN"/>
                <w14:ligatures w14:val="none"/>
              </w:rPr>
              <w:t>Mellékhatás</w:t>
            </w:r>
          </w:p>
        </w:tc>
      </w:tr>
      <w:tr w:rsidR="00BF4685" w:rsidRPr="00BF4685" w14:paraId="49541AF9" w14:textId="77777777" w:rsidTr="00D25D27">
        <w:tc>
          <w:tcPr>
            <w:tcW w:w="3864" w:type="dxa"/>
          </w:tcPr>
          <w:p w14:paraId="5E33A1D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Fertőző betegségek és parazitafertőzések</w:t>
            </w:r>
          </w:p>
        </w:tc>
        <w:tc>
          <w:tcPr>
            <w:tcW w:w="1824" w:type="dxa"/>
          </w:tcPr>
          <w:p w14:paraId="7DD41BD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</w:tcPr>
          <w:p w14:paraId="4D3D723B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gombás fertőzések</w:t>
            </w:r>
          </w:p>
        </w:tc>
      </w:tr>
      <w:tr w:rsidR="00BF4685" w:rsidRPr="00BF4685" w14:paraId="56345F5F" w14:textId="77777777" w:rsidTr="00E21DA6">
        <w:tc>
          <w:tcPr>
            <w:tcW w:w="3864" w:type="dxa"/>
          </w:tcPr>
          <w:p w14:paraId="3A9B9E9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Immunrendszeri betegségek és tünetek</w:t>
            </w: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7F20FD45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  <w:tcBorders>
              <w:bottom w:val="single" w:sz="4" w:space="0" w:color="auto"/>
            </w:tcBorders>
          </w:tcPr>
          <w:p w14:paraId="2FA13328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gyógyszer-túlérzékenység</w:t>
            </w:r>
          </w:p>
        </w:tc>
      </w:tr>
      <w:tr w:rsidR="00BF4685" w:rsidRPr="00BF4685" w14:paraId="16D56442" w14:textId="77777777" w:rsidTr="00E21DA6">
        <w:tc>
          <w:tcPr>
            <w:tcW w:w="3864" w:type="dxa"/>
            <w:vMerge w:val="restart"/>
          </w:tcPr>
          <w:p w14:paraId="323B912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Pszichiátriai kórképek</w:t>
            </w:r>
            <w:r w:rsidRPr="00BF4685">
              <w:rPr>
                <w:rFonts w:ascii="Times New Roman" w:eastAsia="SimSun" w:hAnsi="Times New Roman" w:cs="Times New Roman"/>
                <w:snapToGrid w:val="0"/>
                <w:color w:val="000000"/>
                <w:kern w:val="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824" w:type="dxa"/>
            <w:tcBorders>
              <w:bottom w:val="nil"/>
            </w:tcBorders>
          </w:tcPr>
          <w:p w14:paraId="323D9177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  <w:tcBorders>
              <w:bottom w:val="nil"/>
            </w:tcBorders>
          </w:tcPr>
          <w:p w14:paraId="7F02507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aluszékonyság</w:t>
            </w:r>
          </w:p>
        </w:tc>
      </w:tr>
      <w:tr w:rsidR="00BF4685" w:rsidRPr="00BF4685" w14:paraId="01C63761" w14:textId="77777777" w:rsidTr="00E21DA6">
        <w:tc>
          <w:tcPr>
            <w:tcW w:w="3864" w:type="dxa"/>
            <w:vMerge/>
          </w:tcPr>
          <w:p w14:paraId="13740408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64CB686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  <w:tcBorders>
              <w:top w:val="nil"/>
              <w:bottom w:val="nil"/>
            </w:tcBorders>
          </w:tcPr>
          <w:p w14:paraId="6A70BB16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zavartság</w:t>
            </w:r>
          </w:p>
        </w:tc>
      </w:tr>
      <w:tr w:rsidR="00BF4685" w:rsidRPr="00BF4685" w14:paraId="35A350FF" w14:textId="77777777" w:rsidTr="00E21DA6">
        <w:tc>
          <w:tcPr>
            <w:tcW w:w="3864" w:type="dxa"/>
            <w:vMerge/>
          </w:tcPr>
          <w:p w14:paraId="2C47256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4073D8B6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  <w:tcBorders>
              <w:top w:val="nil"/>
              <w:bottom w:val="nil"/>
            </w:tcBorders>
          </w:tcPr>
          <w:p w14:paraId="374D903D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hallucinációk</w:t>
            </w: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  <w:t>1</w:t>
            </w:r>
          </w:p>
        </w:tc>
      </w:tr>
      <w:tr w:rsidR="00BF4685" w:rsidRPr="00BF4685" w14:paraId="682AA375" w14:textId="77777777" w:rsidTr="00E21DA6">
        <w:tc>
          <w:tcPr>
            <w:tcW w:w="3864" w:type="dxa"/>
            <w:vMerge/>
          </w:tcPr>
          <w:p w14:paraId="5567227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  <w:tcBorders>
              <w:top w:val="nil"/>
              <w:bottom w:val="single" w:sz="4" w:space="0" w:color="auto"/>
            </w:tcBorders>
          </w:tcPr>
          <w:p w14:paraId="70A3567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ismert</w:t>
            </w:r>
          </w:p>
        </w:tc>
        <w:tc>
          <w:tcPr>
            <w:tcW w:w="3373" w:type="dxa"/>
            <w:tcBorders>
              <w:top w:val="nil"/>
              <w:bottom w:val="single" w:sz="4" w:space="0" w:color="auto"/>
            </w:tcBorders>
          </w:tcPr>
          <w:p w14:paraId="453A49B6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pszichotikus reakciók</w:t>
            </w: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  <w:t>2</w:t>
            </w:r>
          </w:p>
        </w:tc>
      </w:tr>
      <w:tr w:rsidR="00BF4685" w:rsidRPr="00BF4685" w14:paraId="6012BA56" w14:textId="77777777" w:rsidTr="00E21DA6">
        <w:tc>
          <w:tcPr>
            <w:tcW w:w="3864" w:type="dxa"/>
            <w:vMerge w:val="restart"/>
          </w:tcPr>
          <w:p w14:paraId="46CD9F4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Idegrendszeri betegségek és tünetek</w:t>
            </w:r>
          </w:p>
        </w:tc>
        <w:tc>
          <w:tcPr>
            <w:tcW w:w="1824" w:type="dxa"/>
            <w:tcBorders>
              <w:bottom w:val="nil"/>
            </w:tcBorders>
          </w:tcPr>
          <w:p w14:paraId="5963AC6C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  <w:tcBorders>
              <w:bottom w:val="nil"/>
              <w:right w:val="single" w:sz="4" w:space="0" w:color="auto"/>
            </w:tcBorders>
          </w:tcPr>
          <w:p w14:paraId="5FDA985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szédülés</w:t>
            </w:r>
          </w:p>
        </w:tc>
      </w:tr>
      <w:tr w:rsidR="00BF4685" w:rsidRPr="00BF4685" w14:paraId="08F6468E" w14:textId="77777777" w:rsidTr="00E21DA6">
        <w:tc>
          <w:tcPr>
            <w:tcW w:w="3864" w:type="dxa"/>
            <w:vMerge/>
          </w:tcPr>
          <w:p w14:paraId="49835DB1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4FAE3115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  <w:tcBorders>
              <w:top w:val="nil"/>
              <w:bottom w:val="nil"/>
              <w:right w:val="single" w:sz="4" w:space="0" w:color="auto"/>
            </w:tcBorders>
          </w:tcPr>
          <w:p w14:paraId="689DCE0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egyensúlyzavar</w:t>
            </w:r>
          </w:p>
        </w:tc>
      </w:tr>
      <w:tr w:rsidR="00BF4685" w:rsidRPr="00BF4685" w14:paraId="7B90BD00" w14:textId="77777777" w:rsidTr="00E21DA6">
        <w:tc>
          <w:tcPr>
            <w:tcW w:w="3864" w:type="dxa"/>
            <w:vMerge/>
          </w:tcPr>
          <w:p w14:paraId="6AFD5ECB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 w14:paraId="152A8E3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  <w:tcBorders>
              <w:top w:val="nil"/>
              <w:right w:val="single" w:sz="4" w:space="0" w:color="auto"/>
            </w:tcBorders>
          </w:tcPr>
          <w:p w14:paraId="1C9E2F7E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járászavar</w:t>
            </w:r>
          </w:p>
        </w:tc>
      </w:tr>
      <w:tr w:rsidR="00BF4685" w:rsidRPr="00BF4685" w14:paraId="7771BDEB" w14:textId="77777777" w:rsidTr="00D25D27">
        <w:tc>
          <w:tcPr>
            <w:tcW w:w="3864" w:type="dxa"/>
            <w:vMerge/>
          </w:tcPr>
          <w:p w14:paraId="7AAFAD18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</w:tcPr>
          <w:p w14:paraId="40907AE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nagyon ritka</w:t>
            </w:r>
          </w:p>
        </w:tc>
        <w:tc>
          <w:tcPr>
            <w:tcW w:w="3373" w:type="dxa"/>
          </w:tcPr>
          <w:p w14:paraId="01C82CF7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görcsrohamok</w:t>
            </w:r>
          </w:p>
        </w:tc>
      </w:tr>
      <w:tr w:rsidR="00BF4685" w:rsidRPr="00BF4685" w14:paraId="4EAB3A2B" w14:textId="77777777" w:rsidTr="00E21DA6">
        <w:tc>
          <w:tcPr>
            <w:tcW w:w="3864" w:type="dxa"/>
          </w:tcPr>
          <w:p w14:paraId="618FD76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Szívbetegségek és a szívvel kapcsolatos tünetek</w:t>
            </w: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66489FD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  <w:tcBorders>
              <w:bottom w:val="single" w:sz="4" w:space="0" w:color="auto"/>
            </w:tcBorders>
          </w:tcPr>
          <w:p w14:paraId="0B2968EE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szívelégtelenség</w:t>
            </w:r>
          </w:p>
        </w:tc>
      </w:tr>
      <w:tr w:rsidR="00BF4685" w:rsidRPr="00BF4685" w14:paraId="69F4FD43" w14:textId="77777777" w:rsidTr="00E21DA6">
        <w:tc>
          <w:tcPr>
            <w:tcW w:w="3864" w:type="dxa"/>
            <w:vMerge w:val="restart"/>
          </w:tcPr>
          <w:p w14:paraId="19E356F2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Érbetegségek és tünetek</w:t>
            </w:r>
          </w:p>
        </w:tc>
        <w:tc>
          <w:tcPr>
            <w:tcW w:w="1824" w:type="dxa"/>
            <w:tcBorders>
              <w:bottom w:val="nil"/>
            </w:tcBorders>
          </w:tcPr>
          <w:p w14:paraId="418B34C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  <w:tcBorders>
              <w:bottom w:val="nil"/>
            </w:tcBorders>
          </w:tcPr>
          <w:p w14:paraId="1475100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proofErr w:type="spellStart"/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hipertenzió</w:t>
            </w:r>
            <w:proofErr w:type="spellEnd"/>
          </w:p>
        </w:tc>
      </w:tr>
      <w:tr w:rsidR="00BF4685" w:rsidRPr="00BF4685" w14:paraId="421D5DA5" w14:textId="77777777" w:rsidTr="00E21DA6">
        <w:tc>
          <w:tcPr>
            <w:tcW w:w="3864" w:type="dxa"/>
            <w:vMerge/>
          </w:tcPr>
          <w:p w14:paraId="76A4E4EE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 w14:paraId="2EEF666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  <w:tcBorders>
              <w:top w:val="nil"/>
            </w:tcBorders>
          </w:tcPr>
          <w:p w14:paraId="3137BB68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 xml:space="preserve">vénás trombózis/ </w:t>
            </w:r>
            <w:proofErr w:type="spellStart"/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tromboembólia</w:t>
            </w:r>
            <w:proofErr w:type="spellEnd"/>
          </w:p>
        </w:tc>
      </w:tr>
      <w:tr w:rsidR="00BF4685" w:rsidRPr="00BF4685" w14:paraId="209597B6" w14:textId="77777777" w:rsidTr="00E21DA6">
        <w:tc>
          <w:tcPr>
            <w:tcW w:w="3864" w:type="dxa"/>
          </w:tcPr>
          <w:p w14:paraId="7B9E6D1D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 xml:space="preserve">Légzőrendszeri, mellkasi és </w:t>
            </w:r>
            <w:proofErr w:type="spellStart"/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mediastinalis</w:t>
            </w:r>
            <w:proofErr w:type="spellEnd"/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 xml:space="preserve"> betegségek és tünetek</w:t>
            </w: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07CCDA2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  <w:tcBorders>
              <w:bottom w:val="single" w:sz="4" w:space="0" w:color="auto"/>
            </w:tcBorders>
          </w:tcPr>
          <w:p w14:paraId="58D93A12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nehézlégzés</w:t>
            </w:r>
          </w:p>
        </w:tc>
      </w:tr>
      <w:tr w:rsidR="00BF4685" w:rsidRPr="00BF4685" w14:paraId="33E8C30D" w14:textId="77777777" w:rsidTr="00E21DA6">
        <w:tc>
          <w:tcPr>
            <w:tcW w:w="3864" w:type="dxa"/>
            <w:vMerge w:val="restart"/>
          </w:tcPr>
          <w:p w14:paraId="25E9EC6C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Emésztőrendszeri betegségek és tünetek</w:t>
            </w:r>
          </w:p>
        </w:tc>
        <w:tc>
          <w:tcPr>
            <w:tcW w:w="1824" w:type="dxa"/>
            <w:tcBorders>
              <w:bottom w:val="nil"/>
            </w:tcBorders>
          </w:tcPr>
          <w:p w14:paraId="1A1FB3C5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  <w:tcBorders>
              <w:bottom w:val="nil"/>
            </w:tcBorders>
          </w:tcPr>
          <w:p w14:paraId="4D40397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székrekedés</w:t>
            </w:r>
          </w:p>
        </w:tc>
      </w:tr>
      <w:tr w:rsidR="00BF4685" w:rsidRPr="00BF4685" w14:paraId="0032536D" w14:textId="77777777" w:rsidTr="00E21DA6">
        <w:tc>
          <w:tcPr>
            <w:tcW w:w="3864" w:type="dxa"/>
            <w:vMerge/>
          </w:tcPr>
          <w:p w14:paraId="038F8E2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14:paraId="354C81F9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  <w:tcBorders>
              <w:top w:val="nil"/>
              <w:bottom w:val="nil"/>
            </w:tcBorders>
          </w:tcPr>
          <w:p w14:paraId="5322FC35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hányás</w:t>
            </w:r>
          </w:p>
        </w:tc>
      </w:tr>
      <w:tr w:rsidR="00BF4685" w:rsidRPr="00BF4685" w14:paraId="76D6BF74" w14:textId="77777777" w:rsidTr="00E21DA6">
        <w:tc>
          <w:tcPr>
            <w:tcW w:w="3864" w:type="dxa"/>
            <w:vMerge/>
          </w:tcPr>
          <w:p w14:paraId="25B72BBB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  <w:tcBorders>
              <w:top w:val="nil"/>
              <w:bottom w:val="single" w:sz="4" w:space="0" w:color="auto"/>
            </w:tcBorders>
          </w:tcPr>
          <w:p w14:paraId="7F15621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ismert</w:t>
            </w:r>
          </w:p>
        </w:tc>
        <w:tc>
          <w:tcPr>
            <w:tcW w:w="3373" w:type="dxa"/>
            <w:tcBorders>
              <w:top w:val="nil"/>
              <w:bottom w:val="single" w:sz="4" w:space="0" w:color="auto"/>
            </w:tcBorders>
          </w:tcPr>
          <w:p w14:paraId="7260638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pancreatitis</w:t>
            </w: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vertAlign w:val="superscript"/>
                <w:lang w:eastAsia="zh-CN"/>
                <w14:ligatures w14:val="none"/>
              </w:rPr>
              <w:t>2</w:t>
            </w:r>
          </w:p>
        </w:tc>
      </w:tr>
      <w:tr w:rsidR="00BF4685" w:rsidRPr="00BF4685" w14:paraId="51A58DEC" w14:textId="77777777" w:rsidTr="00E21DA6">
        <w:tc>
          <w:tcPr>
            <w:tcW w:w="3864" w:type="dxa"/>
            <w:vMerge w:val="restart"/>
          </w:tcPr>
          <w:p w14:paraId="277BB2C3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Máj- és epebetegségek, illetve tünetek</w:t>
            </w:r>
          </w:p>
        </w:tc>
        <w:tc>
          <w:tcPr>
            <w:tcW w:w="1824" w:type="dxa"/>
            <w:tcBorders>
              <w:bottom w:val="nil"/>
            </w:tcBorders>
          </w:tcPr>
          <w:p w14:paraId="4F85B2C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  <w:tcBorders>
              <w:bottom w:val="nil"/>
            </w:tcBorders>
          </w:tcPr>
          <w:p w14:paraId="5728C1F4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emelkedett májfunkciós értékek</w:t>
            </w:r>
          </w:p>
        </w:tc>
      </w:tr>
      <w:tr w:rsidR="00BF4685" w:rsidRPr="00BF4685" w14:paraId="50E2C0D9" w14:textId="77777777" w:rsidTr="00E21DA6">
        <w:tc>
          <w:tcPr>
            <w:tcW w:w="3864" w:type="dxa"/>
            <w:vMerge/>
          </w:tcPr>
          <w:p w14:paraId="5742803B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  <w:tcBorders>
              <w:top w:val="nil"/>
              <w:bottom w:val="single" w:sz="4" w:space="0" w:color="auto"/>
            </w:tcBorders>
          </w:tcPr>
          <w:p w14:paraId="2D3E4E0C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ismert</w:t>
            </w:r>
          </w:p>
        </w:tc>
        <w:tc>
          <w:tcPr>
            <w:tcW w:w="3373" w:type="dxa"/>
            <w:tcBorders>
              <w:top w:val="nil"/>
              <w:bottom w:val="single" w:sz="4" w:space="0" w:color="auto"/>
            </w:tcBorders>
          </w:tcPr>
          <w:p w14:paraId="4A44EA71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hepatitis</w:t>
            </w:r>
          </w:p>
        </w:tc>
      </w:tr>
      <w:tr w:rsidR="00BF4685" w:rsidRPr="00BF4685" w14:paraId="1F6CF365" w14:textId="77777777" w:rsidTr="00E21DA6">
        <w:tc>
          <w:tcPr>
            <w:tcW w:w="3864" w:type="dxa"/>
            <w:vMerge w:val="restart"/>
          </w:tcPr>
          <w:p w14:paraId="260D2FD5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Általános tünetek, az alkalmazás helyén fellépő reakciók</w:t>
            </w:r>
          </w:p>
        </w:tc>
        <w:tc>
          <w:tcPr>
            <w:tcW w:w="1824" w:type="dxa"/>
            <w:tcBorders>
              <w:bottom w:val="nil"/>
            </w:tcBorders>
          </w:tcPr>
          <w:p w14:paraId="62F0C08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373" w:type="dxa"/>
            <w:tcBorders>
              <w:bottom w:val="nil"/>
            </w:tcBorders>
          </w:tcPr>
          <w:p w14:paraId="491756E2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fejfájás</w:t>
            </w:r>
          </w:p>
        </w:tc>
      </w:tr>
      <w:tr w:rsidR="00BF4685" w:rsidRPr="00BF4685" w14:paraId="0C8074E9" w14:textId="77777777" w:rsidTr="00E21DA6">
        <w:tc>
          <w:tcPr>
            <w:tcW w:w="3864" w:type="dxa"/>
            <w:vMerge/>
          </w:tcPr>
          <w:p w14:paraId="31C2349F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 w14:paraId="026983D1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373" w:type="dxa"/>
            <w:tcBorders>
              <w:top w:val="nil"/>
            </w:tcBorders>
          </w:tcPr>
          <w:p w14:paraId="24F2AA6A" w14:textId="77777777" w:rsidR="00BF4685" w:rsidRPr="00BF4685" w:rsidRDefault="00BF4685" w:rsidP="00BF468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</w:pPr>
            <w:r w:rsidRPr="00BF4685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eastAsia="zh-CN"/>
                <w14:ligatures w14:val="none"/>
              </w:rPr>
              <w:t>kimerültség</w:t>
            </w:r>
          </w:p>
        </w:tc>
      </w:tr>
    </w:tbl>
    <w:p w14:paraId="3711D54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perscript"/>
          <w:lang w:eastAsia="zh-CN"/>
          <w14:ligatures w14:val="none"/>
        </w:rPr>
        <w:t>1 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Hallucinációkat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elsősorban súlyos Alzheimer-betegségben szenvedő betegeknél figyeltek meg.</w:t>
      </w:r>
    </w:p>
    <w:p w14:paraId="4230CFD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perscript"/>
          <w:lang w:eastAsia="zh-CN"/>
          <w14:ligatures w14:val="none"/>
        </w:rPr>
        <w:t>2 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forgalomba hozatalt követően jelentett egyedi esetek.</w:t>
      </w:r>
    </w:p>
    <w:p w14:paraId="65A1BE3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90B721E" w14:textId="42AD269B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Az Alzheimer-betegség</w:t>
      </w:r>
      <w:r w:rsid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hez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depresszió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öngyilkossági gondolatok és öngyilkosság </w:t>
      </w:r>
      <w:r w:rsid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társul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A forgalomba hozatalt követően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kezelt betegeknél is jelentettek ilyen reakciókat.</w:t>
      </w:r>
    </w:p>
    <w:p w14:paraId="1725A17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9B057C1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Feltételezett mellékhatások bejelentése</w:t>
      </w:r>
    </w:p>
    <w:p w14:paraId="1D2354D1" w14:textId="057CB38C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profilját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folyamatosan figyelemmel lehessen kísérni. Az egészségügyi szakembereket kérjük, hogy jelentsék be a feltételezett mellékhatásokat a hatóság részére az </w:t>
      </w:r>
      <w:hyperlink r:id="rId7" w:history="1">
        <w:r w:rsidRPr="00BF4685">
          <w:rPr>
            <w:rFonts w:ascii="Times New Roman" w:eastAsia="SimSun" w:hAnsi="Times New Roman" w:cs="Times New Roman"/>
            <w:snapToGrid w:val="0"/>
            <w:color w:val="0000FF"/>
            <w:kern w:val="0"/>
            <w:szCs w:val="20"/>
            <w:highlight w:val="lightGray"/>
            <w:u w:val="single"/>
            <w:lang w:eastAsia="zh-CN"/>
            <w14:ligatures w14:val="none"/>
          </w:rPr>
          <w:t>V. függelékben</w:t>
        </w:r>
      </w:hyperlink>
      <w:r w:rsidRPr="00BF4685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található elérhetőségek valamelyikén keresztül.</w:t>
      </w:r>
    </w:p>
    <w:p w14:paraId="6F79974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6ACCE2B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4.9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Túladagolás</w:t>
      </w:r>
    </w:p>
    <w:p w14:paraId="4E6DFF98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CF337F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túladagolásáról a klinikai vizsgálatok során és a forgalomba hozatalt követően szerzett tapasztalatok korlátozottak.</w:t>
      </w:r>
    </w:p>
    <w:p w14:paraId="49B7F9F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1FC775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Tünetek</w:t>
      </w:r>
    </w:p>
    <w:p w14:paraId="3D7AB71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Viszonylag nagy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dózisú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túladagolás-esetek (200 mg, illetve 105 mg/nap 3 napig) vagy csak fáradékonysággal, gyengeséggel és/vagy hasmenéssel, vagy semmilyen tünettel nem jártak. A 140 mg-nál alacsonyabb vagy nem ismert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dózisú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túladagolások mellett a betegeknél központi idegrendszeri (zavartság, álmosság, aluszékonyság, 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vertigo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izgatottság, agresszió, hallucináció és járászavar) és/vagy emésztőrendszeri tünetek (hányás és hasmenés) jelentkeztek.</w:t>
      </w:r>
    </w:p>
    <w:p w14:paraId="27CFDF6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CBB372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legnagyobb mértékű túladagolást, összesen 2000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per </w:t>
      </w:r>
      <w:proofErr w:type="spellStart"/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bevételét, a beteg központi idegrendszeri tünetekkel (10 napos kóma, később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diplopia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nyugtalanság) élte túl. A beteg tüneti kezelést és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plazmaferezis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-kezelést kapott, és maradandó szövődmény nélkül felgyógyult.</w:t>
      </w:r>
    </w:p>
    <w:p w14:paraId="653FDC3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DEFE5F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Egy másik, nagy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dózisú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túladagolási esetben a beteg szintén életben maradt és felgyógyult 400 mg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per </w:t>
      </w:r>
      <w:proofErr w:type="spellStart"/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bevételét</w:t>
      </w:r>
      <w:r w:rsidRPr="00BF4685" w:rsidDel="00C927A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követően. A betegnél központi idegrendszeri tünetek léptek fel, pl. nyugtalanság, pszichózis, látási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hallucinációk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fokozott görcskészség, aluszékonyság,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stupor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eszméletvesztés.</w:t>
      </w:r>
    </w:p>
    <w:p w14:paraId="5757546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C4EF646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Kezelés</w:t>
      </w:r>
    </w:p>
    <w:p w14:paraId="0C4AAE0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Túladagolás esetén tüneti kezelés szükséges. Az intoxikáció és a túladagolás kezelésére nincs specifikus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antidotum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A hatóanyag eltávolítására szükség esetén a standard klinikai eljárások, pl. gyomormosás,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aktív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szén adása (az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enterohepatikus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körforgás megszakítása), a vizelet savanyítása, forszírozott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diurézis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alkalmazandó.</w:t>
      </w:r>
    </w:p>
    <w:p w14:paraId="2802164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31DB1A7" w14:textId="28D0C3BF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központi idegrendszer túlstimulálására utaló jelek és tünetek esetén </w:t>
      </w:r>
      <w:r w:rsid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megfontolandó az </w:t>
      </w:r>
      <w:r w:rsidR="00305A47"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óvatossággal végez</w:t>
      </w:r>
      <w:r w:rsid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ett</w:t>
      </w:r>
      <w:r w:rsidRPr="00305A47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tüneti kezelés.</w:t>
      </w:r>
    </w:p>
    <w:p w14:paraId="55354A4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86F744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6CDF7D4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5.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proofErr w:type="gramStart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FARMAKOLÓGIAI</w:t>
      </w:r>
      <w:proofErr w:type="gramEnd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TULAJDONSÁGOK</w:t>
      </w:r>
    </w:p>
    <w:p w14:paraId="06A9670C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2BE2E178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5.1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</w:r>
      <w:proofErr w:type="spellStart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Farmakodinámiás</w:t>
      </w:r>
      <w:proofErr w:type="spellEnd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tulajdonságok</w:t>
      </w:r>
    </w:p>
    <w:p w14:paraId="39F09595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DA73890" w14:textId="1C00B56A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Farmakoterápiás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csoport:</w:t>
      </w:r>
      <w:r w:rsidR="00A6456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gyéb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anti-demencia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gyógyszerek, ATC kód: N06DX01</w:t>
      </w:r>
    </w:p>
    <w:p w14:paraId="7331D86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A48F84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Egyre több bizonyíték áll rendelkezésre arról, hogy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neurodegeneratív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demencia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esetében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glutamát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neurotranszmisszió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, különösen az NMDA-receptorok működési zavara, egyaránt hozzájárul a tünetek megjelenéséhez és a betegség progressziójához.</w:t>
      </w:r>
    </w:p>
    <w:p w14:paraId="3C69D9F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43DBC39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egy feszültségfüggő, közepes </w:t>
      </w: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affinitású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nem kompetitív NMDA-receptor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antagonista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.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modulálja azt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glutamát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okozta patológiásan megnövekedett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izgalmi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szintet, amely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neuronális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diszfunkcióhoz vezethet.</w:t>
      </w:r>
    </w:p>
    <w:p w14:paraId="60EADF5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2D8770B0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Klinikai vizsgálatok</w:t>
      </w:r>
    </w:p>
    <w:p w14:paraId="3FFAE67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Egy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memantin-monoterápiával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folytatott kulcsfontosságú (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pivotális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) klinikai vizsgálatba összesen 252 közepesen súlyos vagy súlyos Alzheimer-betegségben szenvedő járóbeteget vontak be (a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mentális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állapotfelmérő vizsgálat [Mini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Mental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State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Examination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– MMSE] kezelés előtti általános ponteredménye: 3–14).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vizsgálat kimutatta </w:t>
      </w:r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6 hónapos </w:t>
      </w:r>
      <w:proofErr w:type="spell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kezelés kedvező hatását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placebóhoz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képest 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(OC-elemzés [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observed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cases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analysis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]): a CIBIC-plus skálán [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Clinician’s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Interview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Based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Impression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of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Change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; a klinikusoknak a beteggel készített interjú alapján alkotott véleménye a beteg állapotváltozásáról]: p = 0,025; az ADCS-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ADLsev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skálán [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Alzheimer’s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Disease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Cooperative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Study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–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Activities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of Daily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Living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; az Alzheimer-kór kooperatív vizsgálat – mindennapi tevékenységek értékelésére kidolgozott mutatója]: p = 0,003; és a SIB skálán [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Severe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Impairment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Battery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; a jelentős mértékű állapotromlás értékelésére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kidolgozott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mutató]: p = 0,002).</w:t>
      </w:r>
    </w:p>
    <w:p w14:paraId="1768CEA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0E9E7B92" w14:textId="623C55C8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Egy enyhe vagy közepesen súlyos Alzheimer-betegségben szenvedő betegekkel (kiindulási MMSE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összpontszám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: 10–22) végzett,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memantin-monoterápiával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folytatott kulcsfontosságú (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pivotális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) vizsgálatba 403 beteget vontak be. </w:t>
      </w: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Az elsődleges végpontok tekintetében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szignifikánsan hatásosabbnak bizonyult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placebóval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szemben a 24. héten a LOCF [Last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Observation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Carried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Forward,vagyis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a hiánypótlás az utolsó mért értékkel] módszer alkalmazásával végzett elemzés alapján, az alábbi két skálán: az ADAS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noBreakHyphen/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cog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skálán (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Alzheimer’s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Disease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Assessment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Scale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– kognitív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domain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; vagyis az Alzheimer-kór állapotfelmérő skálájának kognitív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alskálája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) (p = 0,003), és a CIBIC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noBreakHyphen/>
        <w:t>plus skálán (p = 0,004).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Egy másik enyhe vagy közepesen súlyos Alzheimer-betegségben szenvedő betegekkel (kiindulási MMSE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összpontszám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: 11–23) végzett,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memantin-monoterápiával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folytatott vizsgálatba összesen 470 beteget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randomizáltak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. Az előzetesen meghatározott elvek szerint végzett </w:t>
      </w:r>
      <w:r w:rsidRPr="00A15EED">
        <w:rPr>
          <w:rFonts w:ascii="Times New Roman" w:eastAsia="SimSun" w:hAnsi="Times New Roman" w:cs="Times New Roman"/>
          <w:kern w:val="0"/>
          <w:szCs w:val="20"/>
          <w14:ligatures w14:val="none"/>
        </w:rPr>
        <w:t>el</w:t>
      </w:r>
      <w:r w:rsidR="006F318C" w:rsidRPr="00A15EED">
        <w:rPr>
          <w:rFonts w:ascii="Times New Roman" w:eastAsia="SimSun" w:hAnsi="Times New Roman" w:cs="Times New Roman"/>
          <w:kern w:val="0"/>
          <w:szCs w:val="20"/>
          <w14:ligatures w14:val="none"/>
        </w:rPr>
        <w:t>s</w:t>
      </w:r>
      <w:r w:rsidRPr="00A15EED">
        <w:rPr>
          <w:rFonts w:ascii="Times New Roman" w:eastAsia="SimSun" w:hAnsi="Times New Roman" w:cs="Times New Roman"/>
          <w:kern w:val="0"/>
          <w:szCs w:val="20"/>
          <w14:ligatures w14:val="none"/>
        </w:rPr>
        <w:t>ődleges</w:t>
      </w: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értékelésben az elsődleges hatásossági végponton a 24. héten nem értek el statisztikailag szignifikáns különbséget.</w:t>
      </w:r>
    </w:p>
    <w:p w14:paraId="70F736E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703065A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Hat III. fázisú, placebokontrollos, 6 hónapos (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memantin-monoterápiával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ill. már meghatározott </w:t>
      </w:r>
      <w:proofErr w:type="gram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dózisú</w:t>
      </w:r>
      <w:proofErr w:type="gram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acetilkolinészteráz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-gátlót szedő betegek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-kezelésével folytatott) vizsgálatban résztvevő közepesen súlyos vagy súlyos Alzheimer-betegségben szenvedő betegek (MMSE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összpontszám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: &lt; 20) adatainak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metaanalízise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szerint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statisztikailag szignifikánsan hatékonyabb volt a kognitív, a globális és a funkcionális paramétereken is. Külön elemezve azokat a betegeket, akiknél mindhárom paraméter egyidejűleg rosszabbodott, az eredmények azt mutatták, hogy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statisztikailag szignifikánsan késleltette a rosszabbodást: a placebocsoportban kétszer annyi beteg állapota romlott mindhárom paraméter tekintetében, mint amennyié a </w:t>
      </w:r>
      <w:proofErr w:type="spellStart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-csoportban (21% vs. 11%, p &lt; 0,0001).</w:t>
      </w:r>
    </w:p>
    <w:p w14:paraId="2A17860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637DCADA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5.2</w:t>
      </w: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</w:r>
      <w:proofErr w:type="spellStart"/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Farmakokinetikai</w:t>
      </w:r>
      <w:proofErr w:type="spellEnd"/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tulajdonságok</w:t>
      </w:r>
    </w:p>
    <w:p w14:paraId="6BDC0740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30F1E54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Felszívódás</w:t>
      </w:r>
    </w:p>
    <w:p w14:paraId="260B74E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abszolút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biohasznosulása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körülbelül 100%.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bscript"/>
          <w:lang w:eastAsia="zh-CN"/>
          <w14:ligatures w14:val="none"/>
        </w:rPr>
        <w:t>max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3–8 óra között változik. Nincs arra mutató jel, hogy az étel befolyásolná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felszívódását.</w:t>
      </w:r>
    </w:p>
    <w:p w14:paraId="20917E0B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89D2C97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Eloszlás</w:t>
      </w:r>
    </w:p>
    <w:p w14:paraId="10C44000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Napi 20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-dózissal 70–150 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ng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/ml (0,5–1 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mikromol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) érték közötti egyensúlyi plazma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koncentrációt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értek el, amely egyénenként nagymértékben eltért. 5–30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napi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alkalmazásakor 0,52-es átlagos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liquor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/szérum-arányt mértek. A megoszlási térfogat körülbelül 10 l/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ttkg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plazmafehérjékhez való kötődésének mértéke körülbelül 45%.</w:t>
      </w:r>
    </w:p>
    <w:p w14:paraId="53D7FAB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FBB3473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Biotranszformáció</w:t>
      </w:r>
      <w:proofErr w:type="spellEnd"/>
    </w:p>
    <w:p w14:paraId="6BD7E90E" w14:textId="7EF4999A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emberi </w:t>
      </w:r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szervezetben a keringő </w:t>
      </w:r>
      <w:proofErr w:type="spell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80%</w:t>
      </w:r>
      <w:r w:rsidR="0063597A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</w:t>
      </w:r>
      <w:proofErr w:type="gram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</w:t>
      </w:r>
      <w:proofErr w:type="gram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anyavegyületként van jelen.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Az emberi szervezetben keletkező fő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metabolitok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az </w:t>
      </w:r>
      <w:r w:rsidRPr="00BF4685">
        <w:rPr>
          <w:rFonts w:ascii="Times New Roman" w:eastAsia="SimSun" w:hAnsi="Times New Roman" w:cs="Times New Roman"/>
          <w:iCs/>
          <w:snapToGrid w:val="0"/>
          <w:kern w:val="0"/>
          <w:szCs w:val="20"/>
          <w:lang w:eastAsia="zh-CN"/>
          <w14:ligatures w14:val="none"/>
        </w:rPr>
        <w:t>N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-3,5-dimetil-gludantán, a 4- és 6-hidroxi-memantin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izomerikus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keveréke, valamint az 1-nitrozo-3,5-dimetil-adamantán. Ezen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metabolitok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közül egyik sem rendelkezik NMDA-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antagonista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aktivitással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</w:t>
      </w: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In vitro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nem mutattak ki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citokróm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P450 által katalizált metabolizmust.</w:t>
      </w:r>
    </w:p>
    <w:p w14:paraId="5514B0A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5C9C62B" w14:textId="2E094088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perscript"/>
          <w:lang w:eastAsia="zh-CN"/>
          <w14:ligatures w14:val="none"/>
        </w:rPr>
        <w:t>14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C-memantin </w:t>
      </w:r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per </w:t>
      </w:r>
      <w:proofErr w:type="spellStart"/>
      <w:r w:rsidRPr="00BF4685"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adagolására vonatkozó vizsgálatban a bevitt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átlagosan 84%-</w:t>
      </w:r>
      <w:r w:rsidR="00627D89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át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20 napon belül </w:t>
      </w:r>
      <w:r w:rsidR="00627D89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visszanyerték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több mint 99%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noBreakHyphen/>
        <w:t>a vesén keresztül választódott ki.</w:t>
      </w:r>
    </w:p>
    <w:p w14:paraId="78C42EB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</w:p>
    <w:p w14:paraId="19422809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Elimináció</w:t>
      </w:r>
    </w:p>
    <w:p w14:paraId="1A06A23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eliminációja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monoexponenciális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a terminális t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bscript"/>
          <w:lang w:eastAsia="zh-CN"/>
          <w14:ligatures w14:val="none"/>
        </w:rPr>
        <w:t>1/2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60–100 óra. Normál veseműködésű önkénteseknél a teljes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clearance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Cl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bscript"/>
          <w:lang w:eastAsia="zh-CN"/>
          <w14:ligatures w14:val="none"/>
        </w:rPr>
        <w:t>tot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) 170 ml/perc/1,73 m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perscript"/>
          <w:lang w:eastAsia="zh-CN"/>
          <w14:ligatures w14:val="none"/>
        </w:rPr>
        <w:t>2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és a teljes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renális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clearance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egy része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tubuláris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szekréció útján történik.</w:t>
      </w:r>
    </w:p>
    <w:p w14:paraId="0B8A9DC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FD3CE28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vesében </w:t>
      </w:r>
      <w:proofErr w:type="spell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tubuláris</w:t>
      </w:r>
      <w:proofErr w:type="spell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reabszorpció</w:t>
      </w:r>
      <w:proofErr w:type="spell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is végbemegy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amelyet valószínűleg kationos szállítóproteinek közvetítenek.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renális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eliminációs aránya lúgos vizelet mellett hetedére-kilencedére csökkenhet (lásd. 4.4 pont). A vizelet lúgosságának oka lehet az étrend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drasztikus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megváltoztatása, pl.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hústartalmú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étrendről vegetáriánus étrendre való áttérés, vagy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alkalizáló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gyomorsavlekötők nagymértékű bevitele is.</w:t>
      </w:r>
    </w:p>
    <w:p w14:paraId="5B98BFD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E04060E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Linearitás</w:t>
      </w:r>
    </w:p>
    <w:p w14:paraId="4B68F8F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Önkénteseken végzett vizsgálatokban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farmakokinetikája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10–40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dózistartományban lineáris.</w:t>
      </w:r>
    </w:p>
    <w:p w14:paraId="1524DAB4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1E6E83C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Farmakokinetikai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/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farmakodinámiás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 xml:space="preserve"> </w:t>
      </w:r>
      <w:proofErr w:type="gramStart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összefüggés(</w:t>
      </w:r>
      <w:proofErr w:type="spellStart"/>
      <w:proofErr w:type="gram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ek</w:t>
      </w:r>
      <w:proofErr w:type="spellEnd"/>
      <w:r w:rsidRPr="00A15EED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)</w:t>
      </w:r>
    </w:p>
    <w:p w14:paraId="52680C2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napi 20 mg-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dózisa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mellett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liquor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szintje megegyezik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bscript"/>
          <w:lang w:eastAsia="zh-CN"/>
          <w14:ligatures w14:val="none"/>
        </w:rPr>
        <w:t>i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-értékével (k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vertAlign w:val="subscript"/>
          <w:lang w:eastAsia="zh-CN"/>
          <w14:ligatures w14:val="none"/>
        </w:rPr>
        <w:t>i 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= inhibitor konstans), ami az emberi frontális agykéregben 0,5 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mikromol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.</w:t>
      </w:r>
    </w:p>
    <w:p w14:paraId="7CA72382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30A2F48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5.3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 xml:space="preserve">A </w:t>
      </w:r>
      <w:proofErr w:type="spellStart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preklinikai</w:t>
      </w:r>
      <w:proofErr w:type="spellEnd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biztonságossági vizsgálatok eredményei</w:t>
      </w:r>
    </w:p>
    <w:p w14:paraId="28C4BD24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E98DBB5" w14:textId="77777777" w:rsidR="00BF4685" w:rsidRPr="00BF4685" w:rsidRDefault="00BF4685" w:rsidP="00BF468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Patkányokkal végzett rövid távú vizsgálatokban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más NMDA-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antagonistákhoz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hasonlóan, csak nagyon magas szérumkoncentrációs csúcsokat eredményező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alkalmazásakor idézett elő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neuronális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vakuolizációt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nekrózist (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Olney-léziók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).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vakuolizációt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nekrózist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ataxia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és egyéb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preklinikai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jelek előzték meg. </w:t>
      </w:r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Mivel sem rágcsálókkal, sem más állatfajokkal végzett hosszú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távú vizsgálatokban nem észlelték ezeket a hatásokat, klinikai jelentőségük ismeretlen. </w:t>
      </w:r>
    </w:p>
    <w:p w14:paraId="6931691F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79AB73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rágcsálókkal és kutyákkal végzett ismételt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adagolású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dózistoxicitási vizsgálatokban a szemészeti elváltozások inkonzisztens előfordulását figyelték meg, amit azonban a majmoknál nem tapasztaltak.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folytatott klinikai vizsgálatok során végzett specifikus szemvizsgálatok nem tártak fel semmiféle szemészeti változást.</w:t>
      </w:r>
    </w:p>
    <w:p w14:paraId="75734A2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2F01168" w14:textId="46171F9E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rágcsálók tüdő-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makrofágjaiban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phospholipidosist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figyeltek meg, ami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lizoszómákban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felhalmozódott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hatására volt visszavezethető. Ez a hatás már más kationos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amfifilikus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tulajdonságokkal rendelkező </w:t>
      </w:r>
      <w:r w:rsid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hatóanyagok</w:t>
      </w:r>
      <w:r w:rsidR="00A15EED"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esetében is megfigyelhető volt. A fent leírt felhalmozódás és a tüdőben megfigyelt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vakuolizáció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között összefüggés lehet. A hatás rágcsálóknál </w:t>
      </w:r>
      <w:r w:rsidRPr="00A15EED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csak magas</w:t>
      </w: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dózisok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mellett jelentkezett. Ezeknek az eredményeknek a klinikai jelentősége nem ismert.</w:t>
      </w:r>
    </w:p>
    <w:p w14:paraId="2ED8A3D1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114505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memantinnal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végzett standard vizsgálatok során nem figyeltek meg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genotoxicitást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Az egerekkel és patkányokkal végzett, élethosszig tartó vizsgálatok nem mutattak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carcinogenitást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patkányok és nyulak esetén nem bizonyult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teratogénnek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még az anyaállatra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toxikus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mértékű dózis alkalmazásakor sem, és nem mutatták ki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termékenységet károsító hatását sem. Patkányoknál a </w:t>
      </w:r>
      <w:proofErr w:type="spell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foetus</w:t>
      </w:r>
      <w:proofErr w:type="spell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növekedésének csökkenését figyelték meg az emberi </w:t>
      </w:r>
      <w:proofErr w:type="gramStart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expozícióval</w:t>
      </w:r>
      <w:proofErr w:type="gramEnd"/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megegyező, vagy azt kismértékben meghaladó expozíciós szintek mellett.</w:t>
      </w:r>
    </w:p>
    <w:p w14:paraId="59919E3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26F962C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DE0E8EE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GYÓGYSZERÉSZETI JELLEMZŐK</w:t>
      </w:r>
    </w:p>
    <w:p w14:paraId="4854CF39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789E9299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6.1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Segédanyagok felsorolása</w:t>
      </w:r>
    </w:p>
    <w:p w14:paraId="766AF010" w14:textId="77777777" w:rsid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26AA028B" w14:textId="63305F58" w:rsidR="00FB4F07" w:rsidRPr="00986360" w:rsidRDefault="00FB4F07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Memantine</w:t>
      </w:r>
      <w:proofErr w:type="spellEnd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</w:t>
      </w: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SaneXcel</w:t>
      </w:r>
      <w:proofErr w:type="spellEnd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10 mg filmtabletta:</w:t>
      </w:r>
    </w:p>
    <w:p w14:paraId="7F889902" w14:textId="41F91BC8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Tablettamag</w:t>
      </w:r>
      <w:r w:rsidR="00FB4F07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:</w:t>
      </w:r>
    </w:p>
    <w:p w14:paraId="1E826DB3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mikrokristályos</w:t>
      </w:r>
      <w:proofErr w:type="gram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cellulóz</w:t>
      </w:r>
    </w:p>
    <w:p w14:paraId="64661E8E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povidon</w:t>
      </w:r>
      <w:proofErr w:type="spell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K-25</w:t>
      </w:r>
    </w:p>
    <w:p w14:paraId="060A529D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kroszkarmellóz</w:t>
      </w:r>
      <w:proofErr w:type="spell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-nátrium</w:t>
      </w:r>
    </w:p>
    <w:p w14:paraId="5FC3E734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magnézium-</w:t>
      </w:r>
      <w:proofErr w:type="spell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sztearát</w:t>
      </w:r>
      <w:proofErr w:type="spellEnd"/>
    </w:p>
    <w:p w14:paraId="44660F17" w14:textId="0CAB9848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Filmbevonat</w:t>
      </w:r>
      <w:r w:rsidR="00FB4F07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:</w:t>
      </w:r>
    </w:p>
    <w:p w14:paraId="4A956DC0" w14:textId="33FD5DCD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hidroxipropilcellulóz</w:t>
      </w:r>
      <w:proofErr w:type="spellEnd"/>
    </w:p>
    <w:p w14:paraId="4D3E7B87" w14:textId="61A031B2" w:rsidR="00BF4685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talkum</w:t>
      </w:r>
      <w:proofErr w:type="gramEnd"/>
    </w:p>
    <w:p w14:paraId="50C3687E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617410BA" w14:textId="0EAD8F21" w:rsidR="00FB4F07" w:rsidRPr="00986360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Memantine</w:t>
      </w:r>
      <w:proofErr w:type="spellEnd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</w:t>
      </w:r>
      <w:proofErr w:type="spellStart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SaneXcel</w:t>
      </w:r>
      <w:proofErr w:type="spellEnd"/>
      <w:r w:rsidRPr="00986360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20 mg filmtabletta:</w:t>
      </w:r>
    </w:p>
    <w:p w14:paraId="608DFB93" w14:textId="2DFDC6B8" w:rsidR="00FB4F07" w:rsidRPr="00BF4685" w:rsidRDefault="00FB4F07" w:rsidP="00FB4F07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Tablettamag</w:t>
      </w:r>
      <w:r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:</w:t>
      </w:r>
    </w:p>
    <w:p w14:paraId="5D0C75F5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mikrokristályos</w:t>
      </w:r>
      <w:proofErr w:type="gram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cellulóz</w:t>
      </w:r>
    </w:p>
    <w:p w14:paraId="2A4F9C1F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povidon</w:t>
      </w:r>
      <w:proofErr w:type="spell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K25</w:t>
      </w:r>
    </w:p>
    <w:p w14:paraId="27759D5C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kroszkarmellóz</w:t>
      </w:r>
      <w:proofErr w:type="spell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-nátrium</w:t>
      </w:r>
    </w:p>
    <w:p w14:paraId="1734E979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magnézium-</w:t>
      </w:r>
      <w:proofErr w:type="spell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sztearát</w:t>
      </w:r>
      <w:proofErr w:type="spellEnd"/>
    </w:p>
    <w:p w14:paraId="08C9BC3E" w14:textId="77777777" w:rsidR="00FB4F07" w:rsidRPr="00BF4685" w:rsidRDefault="00FB4F07" w:rsidP="00FB4F07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Filmbevonat</w:t>
      </w:r>
      <w:r>
        <w:rPr>
          <w:rFonts w:ascii="Times New Roman" w:eastAsia="SimSun" w:hAnsi="Times New Roman" w:cs="Times New Roman"/>
          <w:i/>
          <w:kern w:val="0"/>
          <w:szCs w:val="20"/>
          <w14:ligatures w14:val="none"/>
        </w:rPr>
        <w:t>:</w:t>
      </w:r>
    </w:p>
    <w:p w14:paraId="7059D1F9" w14:textId="1A044463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hidroxipropilcellulóz</w:t>
      </w:r>
      <w:proofErr w:type="spell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</w:t>
      </w:r>
      <w:proofErr w:type="spell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hipromellóz</w:t>
      </w:r>
      <w:proofErr w:type="spell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, </w:t>
      </w:r>
      <w:proofErr w:type="gram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talkum</w:t>
      </w:r>
      <w:proofErr w:type="gramEnd"/>
    </w:p>
    <w:p w14:paraId="428ACE54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titán-dioxid</w:t>
      </w:r>
      <w:proofErr w:type="gram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(E171)</w:t>
      </w:r>
    </w:p>
    <w:p w14:paraId="11ABA40B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sárga</w:t>
      </w:r>
      <w:proofErr w:type="gram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vas-oxid (E172)</w:t>
      </w:r>
    </w:p>
    <w:p w14:paraId="39526590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gram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vörös</w:t>
      </w:r>
      <w:proofErr w:type="gram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vas-oxid (E172)</w:t>
      </w:r>
    </w:p>
    <w:p w14:paraId="654BFC0E" w14:textId="77777777" w:rsidR="00FB4F07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proofErr w:type="spell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sunset</w:t>
      </w:r>
      <w:proofErr w:type="spell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>yellow</w:t>
      </w:r>
      <w:proofErr w:type="spellEnd"/>
      <w:r w:rsidRPr="00FB4F07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FCF (E110)</w:t>
      </w:r>
    </w:p>
    <w:p w14:paraId="404CF37B" w14:textId="77777777" w:rsidR="00FB4F07" w:rsidRPr="00BF4685" w:rsidRDefault="00FB4F07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115D749" w14:textId="77777777" w:rsidR="00BF4685" w:rsidRPr="00BF4685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6.2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Inkompatibilitások</w:t>
      </w:r>
    </w:p>
    <w:p w14:paraId="6DF10547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264551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Nem értelmezhető.</w:t>
      </w:r>
    </w:p>
    <w:p w14:paraId="6E20A379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52C5689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6.3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Felhasználhatósági időtartam</w:t>
      </w:r>
    </w:p>
    <w:p w14:paraId="4100B018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527058F7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3 év.</w:t>
      </w:r>
    </w:p>
    <w:p w14:paraId="3B11EA2D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39519026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6.4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Különleges tárolási előírások</w:t>
      </w:r>
    </w:p>
    <w:p w14:paraId="0913C671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6B09F3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Ez a gyógyszer nem igényel különleges tárolást.</w:t>
      </w:r>
    </w:p>
    <w:p w14:paraId="50D8C35E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26CBC471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6.5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 xml:space="preserve">Csomagolás típusa és kiszerelése </w:t>
      </w:r>
    </w:p>
    <w:p w14:paraId="723BEDFA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CB5743A" w14:textId="63FA541D" w:rsidR="00FB4F07" w:rsidRPr="00E4188F" w:rsidRDefault="00FB4F07" w:rsidP="00FB4F0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092EE8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A </w:t>
      </w:r>
      <w:proofErr w:type="spellStart"/>
      <w:r w:rsidRPr="00092EE8">
        <w:rPr>
          <w:rFonts w:ascii="Times New Roman" w:eastAsia="SimSun" w:hAnsi="Times New Roman" w:cs="Times New Roman"/>
          <w:kern w:val="0"/>
          <w:szCs w:val="20"/>
          <w14:ligatures w14:val="none"/>
        </w:rPr>
        <w:t>Memantine</w:t>
      </w:r>
      <w:proofErr w:type="spellEnd"/>
      <w:r w:rsidRPr="00092EE8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proofErr w:type="spellStart"/>
      <w:r w:rsidRPr="00092EE8">
        <w:rPr>
          <w:rFonts w:ascii="Times New Roman" w:eastAsia="SimSun" w:hAnsi="Times New Roman" w:cs="Times New Roman"/>
          <w:kern w:val="0"/>
          <w:szCs w:val="20"/>
          <w14:ligatures w14:val="none"/>
        </w:rPr>
        <w:t>SaneXcel</w:t>
      </w:r>
      <w:proofErr w:type="spellEnd"/>
      <w:r w:rsidRPr="00092EE8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r w:rsidRPr="009174A5">
        <w:rPr>
          <w:rFonts w:ascii="Times New Roman" w:eastAsia="SimSun" w:hAnsi="Times New Roman" w:cs="Times New Roman"/>
          <w:kern w:val="0"/>
          <w:szCs w:val="20"/>
          <w14:ligatures w14:val="none"/>
        </w:rPr>
        <w:t>fenntartó kezelésre szolgál, és 28, 56, valamint 98</w:t>
      </w:r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 </w:t>
      </w:r>
      <w:r w:rsidRPr="009174A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darab tablettát tartalmazó </w:t>
      </w:r>
      <w:r w:rsidR="00DE5EDA">
        <w:rPr>
          <w:rFonts w:ascii="Times New Roman" w:eastAsia="SimSun" w:hAnsi="Times New Roman" w:cs="Times New Roman"/>
          <w:kern w:val="0"/>
          <w:szCs w:val="20"/>
          <w14:ligatures w14:val="none"/>
        </w:rPr>
        <w:t>PVC/PCTFE/PVC//</w:t>
      </w:r>
      <w:proofErr w:type="spellStart"/>
      <w:r w:rsidR="00DE5EDA">
        <w:rPr>
          <w:rFonts w:ascii="Times New Roman" w:eastAsia="SimSun" w:hAnsi="Times New Roman" w:cs="Times New Roman"/>
          <w:kern w:val="0"/>
          <w:szCs w:val="20"/>
          <w14:ligatures w14:val="none"/>
        </w:rPr>
        <w:t>Al</w:t>
      </w:r>
      <w:proofErr w:type="spellEnd"/>
      <w:r w:rsidR="00DE5EDA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</w:t>
      </w:r>
      <w:r w:rsidRPr="009174A5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buborékcsomagolásban </w:t>
      </w:r>
      <w:r w:rsidR="00DE5EDA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és dobozban </w:t>
      </w:r>
      <w:r w:rsidRPr="009174A5">
        <w:rPr>
          <w:rFonts w:ascii="Times New Roman" w:eastAsia="SimSun" w:hAnsi="Times New Roman" w:cs="Times New Roman"/>
          <w:kern w:val="0"/>
          <w:szCs w:val="20"/>
          <w14:ligatures w14:val="none"/>
        </w:rPr>
        <w:t>érhető el.</w:t>
      </w:r>
    </w:p>
    <w:p w14:paraId="5838E1C9" w14:textId="77777777" w:rsidR="00FB4F07" w:rsidRPr="00E4188F" w:rsidRDefault="00FB4F07" w:rsidP="00FB4F0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1397BE71" w14:textId="77777777" w:rsidR="00FB4F07" w:rsidRPr="00E4188F" w:rsidRDefault="00FB4F07" w:rsidP="00FB4F0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E4188F">
        <w:rPr>
          <w:rFonts w:ascii="Times New Roman" w:eastAsia="SimSun" w:hAnsi="Times New Roman" w:cs="Times New Roman"/>
          <w:kern w:val="0"/>
          <w:szCs w:val="20"/>
          <w14:ligatures w14:val="none"/>
        </w:rPr>
        <w:t>Nem feltétlenül mindegyik kiszerelés kerül kereskedelmi forgalomba.</w:t>
      </w:r>
    </w:p>
    <w:p w14:paraId="3F71B3EA" w14:textId="77777777" w:rsidR="00FB4F07" w:rsidRPr="00E4188F" w:rsidRDefault="00FB4F07" w:rsidP="00FB4F07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F1E33E8" w14:textId="77777777" w:rsidR="00BF4685" w:rsidRP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6.6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 xml:space="preserve">A megsemmisítésre vonatkozó különleges óvintézkedések és egyéb, a készítmény kezelésével kapcsolatos </w:t>
      </w:r>
      <w:proofErr w:type="gramStart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információk</w:t>
      </w:r>
      <w:proofErr w:type="gramEnd"/>
    </w:p>
    <w:p w14:paraId="380B87BA" w14:textId="77777777" w:rsidR="00FB4F07" w:rsidRDefault="00FB4F07" w:rsidP="00FB4F07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508BA8D6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Bármilyen fel nem használt gyógyszer, illetve hulladékanyag megsemmisítését a gyógyszerekre vonatkozó előírások szerint kell végrehajtani.</w:t>
      </w:r>
    </w:p>
    <w:p w14:paraId="18D908F0" w14:textId="4B9F8543" w:rsid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6A9789C" w14:textId="77777777" w:rsidR="00B24A5E" w:rsidRPr="009C6326" w:rsidRDefault="00B24A5E" w:rsidP="00B24A5E">
      <w:pPr>
        <w:keepNext/>
        <w:spacing w:after="0" w:line="240" w:lineRule="auto"/>
        <w:rPr>
          <w:rFonts w:ascii="Times New Roman" w:hAnsi="Times New Roman" w:cs="Times New Roman"/>
          <w:bCs/>
        </w:rPr>
      </w:pPr>
      <w:r w:rsidRPr="009C6326">
        <w:rPr>
          <w:rFonts w:ascii="Times New Roman" w:hAnsi="Times New Roman" w:cs="Times New Roman"/>
          <w:b/>
        </w:rPr>
        <w:t>Megjegyzés:</w:t>
      </w:r>
      <w:r w:rsidRPr="00B7131B">
        <w:rPr>
          <w:bCs/>
        </w:rPr>
        <w:t xml:space="preserve"> </w:t>
      </w:r>
      <w:r w:rsidRPr="00B7131B">
        <w:rPr>
          <w:bCs/>
        </w:rPr>
        <w:sym w:font="Wingdings" w:char="F058"/>
      </w:r>
      <w:r w:rsidRPr="00B7131B">
        <w:rPr>
          <w:bCs/>
        </w:rPr>
        <w:t xml:space="preserve"> </w:t>
      </w:r>
      <w:r w:rsidRPr="00F74112">
        <w:rPr>
          <w:rFonts w:ascii="Times New Roman" w:hAnsi="Times New Roman" w:cs="Times New Roman"/>
          <w:bCs/>
        </w:rPr>
        <w:t>(egy kereszt)</w:t>
      </w:r>
    </w:p>
    <w:p w14:paraId="5E84F56D" w14:textId="77777777" w:rsidR="00B24A5E" w:rsidRPr="009C6326" w:rsidRDefault="00B24A5E" w:rsidP="00B24A5E">
      <w:pPr>
        <w:keepNext/>
        <w:spacing w:after="0" w:line="240" w:lineRule="auto"/>
        <w:rPr>
          <w:rFonts w:ascii="Times New Roman" w:hAnsi="Times New Roman" w:cs="Times New Roman"/>
          <w:b/>
          <w:bCs/>
        </w:rPr>
      </w:pPr>
      <w:r w:rsidRPr="009C6326">
        <w:rPr>
          <w:rFonts w:ascii="Times New Roman" w:hAnsi="Times New Roman" w:cs="Times New Roman"/>
          <w:b/>
          <w:bCs/>
        </w:rPr>
        <w:t xml:space="preserve">Osztályozás: </w:t>
      </w:r>
      <w:r w:rsidRPr="009C6326">
        <w:rPr>
          <w:rFonts w:ascii="Times New Roman" w:hAnsi="Times New Roman" w:cs="Times New Roman"/>
          <w:b/>
        </w:rPr>
        <w:t>II./2 csoport</w:t>
      </w:r>
    </w:p>
    <w:p w14:paraId="2DC84112" w14:textId="77777777" w:rsidR="00B24A5E" w:rsidRPr="0008764C" w:rsidRDefault="00B24A5E" w:rsidP="00B24A5E">
      <w:pPr>
        <w:pStyle w:val="Cmsor2"/>
        <w:keepLines w:val="0"/>
        <w:numPr>
          <w:ilvl w:val="1"/>
          <w:numId w:val="2"/>
        </w:numPr>
        <w:suppressAutoHyphens/>
        <w:spacing w:before="0" w:after="0" w:line="240" w:lineRule="auto"/>
        <w:rPr>
          <w:rFonts w:ascii="Times New Roman" w:hAnsi="Times New Roman"/>
          <w:b/>
          <w:i/>
          <w:color w:val="auto"/>
          <w:sz w:val="22"/>
          <w:szCs w:val="22"/>
        </w:rPr>
      </w:pPr>
      <w:r w:rsidRPr="0008764C">
        <w:rPr>
          <w:rFonts w:ascii="Times New Roman" w:hAnsi="Times New Roman"/>
          <w:color w:val="auto"/>
          <w:sz w:val="22"/>
          <w:szCs w:val="22"/>
        </w:rPr>
        <w:t>Korlátozott érvényű orvosi rendelvényhez kötött, szakorvosi/kórházi diagnózist követően folyamatos szakorvosi ellenőrzés mellett alkalmazható gyógyszer (</w:t>
      </w:r>
      <w:proofErr w:type="spellStart"/>
      <w:r w:rsidRPr="0008764C">
        <w:rPr>
          <w:rFonts w:ascii="Times New Roman" w:hAnsi="Times New Roman"/>
          <w:color w:val="auto"/>
          <w:sz w:val="22"/>
          <w:szCs w:val="22"/>
        </w:rPr>
        <w:t>Sz</w:t>
      </w:r>
      <w:proofErr w:type="spellEnd"/>
      <w:r w:rsidRPr="0008764C">
        <w:rPr>
          <w:rFonts w:ascii="Times New Roman" w:hAnsi="Times New Roman"/>
          <w:color w:val="auto"/>
          <w:sz w:val="22"/>
          <w:szCs w:val="22"/>
        </w:rPr>
        <w:t>).</w:t>
      </w:r>
    </w:p>
    <w:p w14:paraId="41C82F69" w14:textId="77777777" w:rsidR="00B24A5E" w:rsidRPr="00BF4685" w:rsidRDefault="00B24A5E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86DDAD6" w14:textId="77777777" w:rsidR="00A15EED" w:rsidRPr="00BF4685" w:rsidRDefault="00A15EED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D8FB0B3" w14:textId="77777777" w:rsidR="00BF4685" w:rsidRPr="00BF4685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7.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FORGALOMBA HOZATALI ENGEDÉLY JOGOSULTJA</w:t>
      </w:r>
    </w:p>
    <w:p w14:paraId="3C7AAF4D" w14:textId="77777777" w:rsidR="00BF4685" w:rsidRPr="00BF4685" w:rsidRDefault="00BF4685" w:rsidP="00BF468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bookmarkStart w:id="0" w:name="_GoBack"/>
      <w:bookmarkEnd w:id="0"/>
    </w:p>
    <w:p w14:paraId="4BF86455" w14:textId="77777777" w:rsidR="00981D80" w:rsidRPr="000912A8" w:rsidRDefault="00981D80" w:rsidP="00981D8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proofErr w:type="spellStart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J</w:t>
      </w:r>
      <w:proofErr w:type="gramStart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.J</w:t>
      </w:r>
      <w:proofErr w:type="gramEnd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.Bishop</w:t>
      </w:r>
      <w:proofErr w:type="spellEnd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 Health </w:t>
      </w:r>
      <w:proofErr w:type="spellStart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a.s</w:t>
      </w:r>
      <w:proofErr w:type="spellEnd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.</w:t>
      </w:r>
    </w:p>
    <w:p w14:paraId="132DF3F0" w14:textId="77777777" w:rsidR="00981D80" w:rsidRPr="000912A8" w:rsidRDefault="00981D80" w:rsidP="00981D8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proofErr w:type="spellStart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Rybná</w:t>
      </w:r>
      <w:proofErr w:type="spellEnd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 682/14</w:t>
      </w:r>
    </w:p>
    <w:p w14:paraId="64F3F69B" w14:textId="5B2FBC24" w:rsidR="00981D80" w:rsidRPr="000912A8" w:rsidRDefault="00981D80" w:rsidP="00981D8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110 00 </w:t>
      </w:r>
      <w:proofErr w:type="spellStart"/>
      <w:r w:rsidRPr="000912A8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Prague</w:t>
      </w:r>
      <w:proofErr w:type="spellEnd"/>
    </w:p>
    <w:p w14:paraId="7E488FE4" w14:textId="77777777" w:rsidR="00981D80" w:rsidRPr="000912A8" w:rsidRDefault="00981D80" w:rsidP="00981D80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>Csehország</w:t>
      </w:r>
    </w:p>
    <w:p w14:paraId="0B053B3C" w14:textId="77777777" w:rsid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0491D97" w14:textId="77777777" w:rsidR="00981D80" w:rsidRPr="00BF4685" w:rsidRDefault="00981D80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2BE1FD2" w14:textId="77777777" w:rsidR="00BF4685" w:rsidRDefault="00BF4685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8.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 xml:space="preserve">A FORGALOMBA HOZATALI ENGEDÉLY </w:t>
      </w:r>
      <w:proofErr w:type="gramStart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SZÁMA(</w:t>
      </w:r>
      <w:proofErr w:type="gramEnd"/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I)</w:t>
      </w:r>
    </w:p>
    <w:p w14:paraId="4B83556B" w14:textId="77777777" w:rsidR="000B46D9" w:rsidRDefault="000B46D9" w:rsidP="00BF4685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800C6B9" w14:textId="77777777" w:rsidR="00730464" w:rsidRPr="00730464" w:rsidRDefault="00730464" w:rsidP="00730464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proofErr w:type="spellStart"/>
      <w:r w:rsidRPr="0073046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Memantine</w:t>
      </w:r>
      <w:proofErr w:type="spellEnd"/>
      <w:r w:rsidRPr="0073046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 w:rsidRPr="0073046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SaneXcel</w:t>
      </w:r>
      <w:proofErr w:type="spellEnd"/>
      <w:r w:rsidRPr="0073046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10 mg filmtabletta</w:t>
      </w:r>
    </w:p>
    <w:p w14:paraId="42D201C2" w14:textId="5F8764FC" w:rsidR="00730464" w:rsidRPr="00730464" w:rsidRDefault="00730464" w:rsidP="00730464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OGYI-T-24796/01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28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PVC/PCTFE/PVC//</w:t>
      </w:r>
      <w:proofErr w:type="spellStart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0D9A38FC" w14:textId="76AE9258" w:rsidR="00730464" w:rsidRPr="00730464" w:rsidRDefault="00730464" w:rsidP="00730464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OGYI-T-24796/02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56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PVC/PCTFE/PVC//</w:t>
      </w:r>
      <w:proofErr w:type="spellStart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7088D64A" w14:textId="7B60635D" w:rsidR="00730464" w:rsidRPr="00730464" w:rsidRDefault="00730464" w:rsidP="00730464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OGYI-T-24796/03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98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PVC/PCTFE/PVC//</w:t>
      </w:r>
      <w:proofErr w:type="spellStart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4C91BE4E" w14:textId="77777777" w:rsidR="00730464" w:rsidRPr="00730464" w:rsidRDefault="00730464" w:rsidP="00730464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3EA60F" w14:textId="77777777" w:rsidR="00730464" w:rsidRPr="00730464" w:rsidRDefault="00730464" w:rsidP="00730464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proofErr w:type="spellStart"/>
      <w:r w:rsidRPr="0073046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Memantine</w:t>
      </w:r>
      <w:proofErr w:type="spellEnd"/>
      <w:r w:rsidRPr="0073046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 w:rsidRPr="0073046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SaneXcel</w:t>
      </w:r>
      <w:proofErr w:type="spellEnd"/>
      <w:r w:rsidRPr="0073046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20 mg filmtabletta</w:t>
      </w:r>
    </w:p>
    <w:p w14:paraId="7048C147" w14:textId="61AE76B9" w:rsidR="00730464" w:rsidRPr="00730464" w:rsidRDefault="00730464" w:rsidP="00730464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OGYI-T-24796/04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28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PVC/PCTFE/PVC//</w:t>
      </w:r>
      <w:proofErr w:type="spellStart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322BAFB0" w14:textId="1EA19FD6" w:rsidR="00730464" w:rsidRPr="00730464" w:rsidRDefault="00730464" w:rsidP="00730464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OGYI-T-24796/05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56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PVC/PCTFE/PVC//</w:t>
      </w:r>
      <w:proofErr w:type="spellStart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69250DE2" w14:textId="55F615D2" w:rsidR="000B46D9" w:rsidRPr="00730464" w:rsidRDefault="00730464" w:rsidP="00730464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OGYI-T-24796/06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98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730464">
        <w:rPr>
          <w:rFonts w:ascii="Times New Roman" w:eastAsia="Times New Roman" w:hAnsi="Times New Roman" w:cs="Times New Roman"/>
          <w:kern w:val="0"/>
          <w14:ligatures w14:val="none"/>
        </w:rPr>
        <w:t>PVC/PCTFE/PVC//</w:t>
      </w:r>
      <w:proofErr w:type="spellStart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730464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02CB1945" w14:textId="1F70F77B" w:rsidR="00730464" w:rsidRPr="00730464" w:rsidRDefault="00730464" w:rsidP="00730464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BD2FF07" w14:textId="77777777" w:rsidR="00730464" w:rsidRPr="00730464" w:rsidRDefault="00730464" w:rsidP="00730464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4A6AD20" w14:textId="77777777" w:rsidR="000B46D9" w:rsidRPr="00BF4685" w:rsidRDefault="000B46D9" w:rsidP="000B46D9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9.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FORGALOMBA HOZATALI ENGEDÉLY ELSŐ KIADÁSÁNAK/ MEGÚJÍTÁSÁNAK</w:t>
      </w:r>
      <w:r w:rsidRPr="00BF4685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DÁTUMA</w:t>
      </w:r>
    </w:p>
    <w:p w14:paraId="32D7AFE1" w14:textId="6217413C" w:rsid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7A897CFD" w14:textId="061DABEE" w:rsidR="00710236" w:rsidRPr="00BF4685" w:rsidRDefault="00710236" w:rsidP="0071023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BF4685">
        <w:rPr>
          <w:rFonts w:ascii="Times New Roman" w:eastAsia="SimSun" w:hAnsi="Times New Roman" w:cs="Times New Roman"/>
          <w:kern w:val="0"/>
          <w:szCs w:val="20"/>
          <w14:ligatures w14:val="none"/>
        </w:rPr>
        <w:t>A forgalomba hozatali e</w:t>
      </w:r>
      <w:r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ngedély első kiadásának </w:t>
      </w:r>
      <w:proofErr w:type="gramStart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dátuma</w:t>
      </w:r>
      <w:proofErr w:type="gramEnd"/>
      <w:r>
        <w:rPr>
          <w:rFonts w:ascii="Times New Roman" w:eastAsia="SimSun" w:hAnsi="Times New Roman" w:cs="Times New Roman"/>
          <w:kern w:val="0"/>
          <w:szCs w:val="20"/>
          <w14:ligatures w14:val="none"/>
        </w:rPr>
        <w:t>:</w:t>
      </w:r>
      <w:r w:rsidR="00730464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2026. szeptember 11.</w:t>
      </w:r>
    </w:p>
    <w:p w14:paraId="312E7CCE" w14:textId="77777777" w:rsidR="00710236" w:rsidRDefault="00710236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AE790B3" w14:textId="77777777" w:rsidR="00BF4685" w:rsidRPr="00BF4685" w:rsidRDefault="00BF4685" w:rsidP="00BF468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78292277" w14:textId="190B16CC" w:rsidR="00145300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>10.</w:t>
      </w:r>
      <w:r w:rsidRPr="00BF4685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SZÖVEG ELLENŐRZÉSÉNEK DÁTUMA</w:t>
      </w:r>
    </w:p>
    <w:p w14:paraId="2C671C7F" w14:textId="337DF9D1" w:rsidR="00BF4685" w:rsidRDefault="00BF4685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02E59FF2" w14:textId="6259635B" w:rsidR="00730464" w:rsidRPr="00730464" w:rsidRDefault="00730464" w:rsidP="00BF4685">
      <w:pPr>
        <w:keepNext/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73046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2026. szeptember 11.</w:t>
      </w:r>
    </w:p>
    <w:sectPr w:rsidR="00730464" w:rsidRPr="00730464" w:rsidSect="00BF4685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A24ADC4" w16cex:dateUtc="2026-08-03T14:22:00Z"/>
  <w16cex:commentExtensible w16cex:durableId="5FBFFF64" w16cex:dateUtc="2026-08-03T14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349E1B7" w16cid:durableId="3A24ADC4"/>
  <w16cid:commentId w16cid:paraId="27DFA7C3" w16cid:durableId="5FBFFF6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26ED7" w14:textId="77777777" w:rsidR="004F62CB" w:rsidRDefault="004F62CB" w:rsidP="00BF4685">
      <w:pPr>
        <w:spacing w:after="0" w:line="240" w:lineRule="auto"/>
      </w:pPr>
      <w:r>
        <w:separator/>
      </w:r>
    </w:p>
  </w:endnote>
  <w:endnote w:type="continuationSeparator" w:id="0">
    <w:p w14:paraId="7A822849" w14:textId="77777777" w:rsidR="004F62CB" w:rsidRDefault="004F62CB" w:rsidP="00BF4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2E35B" w14:textId="77777777" w:rsidR="00BF4685" w:rsidRDefault="00BF4685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82571" w14:textId="77777777" w:rsidR="00851989" w:rsidRPr="00986360" w:rsidRDefault="00851989" w:rsidP="00851989">
    <w:pPr>
      <w:pStyle w:val="llb"/>
      <w:rPr>
        <w:rFonts w:ascii="Times New Roman" w:hAnsi="Times New Roman" w:cs="Times New Roman"/>
        <w:sz w:val="18"/>
        <w:szCs w:val="18"/>
      </w:rPr>
    </w:pPr>
    <w:r w:rsidRPr="00986360">
      <w:rPr>
        <w:rFonts w:ascii="Times New Roman" w:hAnsi="Times New Roman" w:cs="Times New Roman"/>
        <w:sz w:val="18"/>
        <w:szCs w:val="18"/>
      </w:rPr>
      <w:t>NNGYK/ETGY/14480/2025</w:t>
    </w:r>
  </w:p>
  <w:p w14:paraId="7B4545E8" w14:textId="41311EB1" w:rsidR="00851989" w:rsidRPr="00986360" w:rsidRDefault="00851989" w:rsidP="00851989">
    <w:pPr>
      <w:pStyle w:val="llb"/>
      <w:rPr>
        <w:rFonts w:ascii="Times New Roman" w:hAnsi="Times New Roman" w:cs="Times New Roman"/>
        <w:sz w:val="18"/>
        <w:szCs w:val="18"/>
      </w:rPr>
    </w:pPr>
    <w:r w:rsidRPr="00986360">
      <w:rPr>
        <w:rFonts w:ascii="Times New Roman" w:hAnsi="Times New Roman" w:cs="Times New Roman"/>
        <w:sz w:val="18"/>
        <w:szCs w:val="18"/>
      </w:rPr>
      <w:t>NNGYK/ETGY/14481/2025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F9FA9" w14:textId="77777777" w:rsidR="004F62CB" w:rsidRDefault="004F62CB" w:rsidP="00BF4685">
      <w:pPr>
        <w:spacing w:after="0" w:line="240" w:lineRule="auto"/>
      </w:pPr>
      <w:r>
        <w:separator/>
      </w:r>
    </w:p>
  </w:footnote>
  <w:footnote w:type="continuationSeparator" w:id="0">
    <w:p w14:paraId="798F929B" w14:textId="77777777" w:rsidR="004F62CB" w:rsidRDefault="004F62CB" w:rsidP="00BF4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C79FC" w14:textId="36EBBFFC" w:rsidR="00BF4685" w:rsidRPr="00BF4685" w:rsidRDefault="00BF4685" w:rsidP="00C87060">
    <w:pPr>
      <w:pStyle w:val="lfej"/>
      <w:jc w:val="center"/>
      <w:rPr>
        <w:rFonts w:ascii="Times New Roman" w:hAnsi="Times New Roman" w:cs="Times New Roman"/>
      </w:rPr>
    </w:pPr>
    <w:r w:rsidRPr="00BF4685">
      <w:rPr>
        <w:rFonts w:ascii="Times New Roman" w:hAnsi="Times New Roman" w:cs="Times New Roman"/>
        <w:sz w:val="18"/>
        <w:szCs w:val="18"/>
      </w:rPr>
      <w:fldChar w:fldCharType="begin"/>
    </w:r>
    <w:r w:rsidRPr="00BF4685">
      <w:rPr>
        <w:rFonts w:ascii="Times New Roman" w:hAnsi="Times New Roman" w:cs="Times New Roman"/>
        <w:sz w:val="18"/>
        <w:szCs w:val="18"/>
      </w:rPr>
      <w:instrText>PAGE   \* MERGEFORMAT</w:instrText>
    </w:r>
    <w:r w:rsidRPr="00BF4685">
      <w:rPr>
        <w:rFonts w:ascii="Times New Roman" w:hAnsi="Times New Roman" w:cs="Times New Roman"/>
        <w:sz w:val="18"/>
        <w:szCs w:val="18"/>
      </w:rPr>
      <w:fldChar w:fldCharType="separate"/>
    </w:r>
    <w:r w:rsidR="00730464">
      <w:rPr>
        <w:rFonts w:ascii="Times New Roman" w:hAnsi="Times New Roman" w:cs="Times New Roman"/>
        <w:noProof/>
        <w:sz w:val="18"/>
        <w:szCs w:val="18"/>
      </w:rPr>
      <w:t>9</w:t>
    </w:r>
    <w:r w:rsidRPr="00BF4685">
      <w:rPr>
        <w:rFonts w:ascii="Times New Roman" w:hAnsi="Times New Roman"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3E4348CA"/>
    <w:multiLevelType w:val="hybridMultilevel"/>
    <w:tmpl w:val="869E01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685"/>
    <w:rsid w:val="00056EE5"/>
    <w:rsid w:val="0008764C"/>
    <w:rsid w:val="00096D09"/>
    <w:rsid w:val="000B46D9"/>
    <w:rsid w:val="00145300"/>
    <w:rsid w:val="001675DC"/>
    <w:rsid w:val="00236C67"/>
    <w:rsid w:val="00256696"/>
    <w:rsid w:val="00275C1A"/>
    <w:rsid w:val="002776FF"/>
    <w:rsid w:val="002A6C81"/>
    <w:rsid w:val="002B5FA5"/>
    <w:rsid w:val="00305A47"/>
    <w:rsid w:val="00323183"/>
    <w:rsid w:val="00323A26"/>
    <w:rsid w:val="003408B4"/>
    <w:rsid w:val="003D3978"/>
    <w:rsid w:val="004E51FB"/>
    <w:rsid w:val="004F62CB"/>
    <w:rsid w:val="00594F8C"/>
    <w:rsid w:val="005B60DE"/>
    <w:rsid w:val="005C0000"/>
    <w:rsid w:val="005E02E0"/>
    <w:rsid w:val="005F180F"/>
    <w:rsid w:val="00627D89"/>
    <w:rsid w:val="0063597A"/>
    <w:rsid w:val="00656AC6"/>
    <w:rsid w:val="0067678B"/>
    <w:rsid w:val="006B16FD"/>
    <w:rsid w:val="006B40E5"/>
    <w:rsid w:val="006D3B80"/>
    <w:rsid w:val="006F318C"/>
    <w:rsid w:val="00710236"/>
    <w:rsid w:val="00730464"/>
    <w:rsid w:val="008163C4"/>
    <w:rsid w:val="00851989"/>
    <w:rsid w:val="008B2BCE"/>
    <w:rsid w:val="009347A6"/>
    <w:rsid w:val="00981D80"/>
    <w:rsid w:val="00986360"/>
    <w:rsid w:val="009C2071"/>
    <w:rsid w:val="00A15EED"/>
    <w:rsid w:val="00A64567"/>
    <w:rsid w:val="00A67C9D"/>
    <w:rsid w:val="00AE3DE6"/>
    <w:rsid w:val="00B24A5E"/>
    <w:rsid w:val="00B35258"/>
    <w:rsid w:val="00BF4685"/>
    <w:rsid w:val="00C13B88"/>
    <w:rsid w:val="00CC0902"/>
    <w:rsid w:val="00DE5EDA"/>
    <w:rsid w:val="00E21DA6"/>
    <w:rsid w:val="00E34A3E"/>
    <w:rsid w:val="00E56AA2"/>
    <w:rsid w:val="00F15501"/>
    <w:rsid w:val="00FB4F07"/>
    <w:rsid w:val="00FF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5CF41"/>
  <w15:chartTrackingRefBased/>
  <w15:docId w15:val="{F6EF5335-FD7B-455B-AC12-9F77EB6D7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F4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F4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F46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F4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F46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F4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F4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F4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F4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F46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F46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F46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F4685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F4685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F4685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F4685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F4685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F4685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F4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F4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F4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F4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F4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F4685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F468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F4685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F46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F4685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F4685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uiPriority w:val="99"/>
    <w:unhideWhenUsed/>
    <w:rsid w:val="00BF4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4685"/>
  </w:style>
  <w:style w:type="paragraph" w:styleId="lfej">
    <w:name w:val="header"/>
    <w:basedOn w:val="Norml"/>
    <w:link w:val="lfejChar"/>
    <w:uiPriority w:val="99"/>
    <w:unhideWhenUsed/>
    <w:rsid w:val="00BF4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4685"/>
  </w:style>
  <w:style w:type="paragraph" w:styleId="Buborkszveg">
    <w:name w:val="Balloon Text"/>
    <w:basedOn w:val="Norml"/>
    <w:link w:val="BuborkszvegChar"/>
    <w:uiPriority w:val="99"/>
    <w:semiHidden/>
    <w:unhideWhenUsed/>
    <w:rsid w:val="005E0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02E0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A15EED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A15E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A15E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5E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5EED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323A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3039</Words>
  <Characters>20970</Characters>
  <Application>Microsoft Office Word</Application>
  <DocSecurity>0</DocSecurity>
  <Lines>174</Lines>
  <Paragraphs>47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HU_OGYI_50.1</cp:lastModifiedBy>
  <cp:revision>3</cp:revision>
  <dcterms:created xsi:type="dcterms:W3CDTF">2026-09-10T07:13:00Z</dcterms:created>
  <dcterms:modified xsi:type="dcterms:W3CDTF">2026-09-11T07:27:00Z</dcterms:modified>
</cp:coreProperties>
</file>