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AA830" w14:textId="3D22E831" w:rsidR="008F2FFB" w:rsidRPr="0014358A" w:rsidRDefault="008F2FFB" w:rsidP="00ED14A6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GYÓGYSZER NEVE</w:t>
      </w:r>
    </w:p>
    <w:p w14:paraId="54098A86" w14:textId="77777777" w:rsidR="008F2FFB" w:rsidRPr="0014358A" w:rsidRDefault="008F2FFB" w:rsidP="00ED14A6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05655867" w14:textId="20263A9B" w:rsidR="00EF4570" w:rsidRPr="0014358A" w:rsidRDefault="00EF4570" w:rsidP="00EF457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Telmizartán Amarox 20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tabletta</w:t>
      </w:r>
    </w:p>
    <w:p w14:paraId="1BFD0C83" w14:textId="75A31ECD" w:rsidR="00EF4570" w:rsidRPr="0014358A" w:rsidRDefault="00EF4570" w:rsidP="00EF457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Telmizartán Amarox 40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tabletta</w:t>
      </w:r>
    </w:p>
    <w:p w14:paraId="715F9536" w14:textId="0DE19E27" w:rsidR="008F2FFB" w:rsidRPr="0014358A" w:rsidRDefault="00EF4570" w:rsidP="00EF457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Telmizartán Amarox 80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tabletta</w:t>
      </w:r>
    </w:p>
    <w:p w14:paraId="115518BA" w14:textId="77777777" w:rsidR="009A7CC4" w:rsidRPr="0014358A" w:rsidRDefault="009A7CC4" w:rsidP="00EF457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07E827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0E097FD" w14:textId="246843BC" w:rsidR="008F2FFB" w:rsidRPr="0014358A" w:rsidRDefault="008F2FFB" w:rsidP="00786219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MINŐSÉGI ÉS MENNYISÉGI ÖSSZETÉTEL</w:t>
      </w:r>
    </w:p>
    <w:p w14:paraId="0BED29C6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0D28C17E" w14:textId="237D056D" w:rsidR="00232AA6" w:rsidRPr="0014358A" w:rsidRDefault="00232AA6" w:rsidP="00232AA6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20</w:t>
      </w:r>
      <w:r w:rsidR="00D63FCF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639124FE" w14:textId="0E45F679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20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telmizartánt tartalmaz tablettánként.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3822E43C" w14:textId="2D0D4B90" w:rsidR="00232AA6" w:rsidRPr="0014358A" w:rsidRDefault="00232AA6" w:rsidP="00232AA6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40</w:t>
      </w:r>
      <w:r w:rsidR="00D63FCF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68071ABA" w14:textId="7218915A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40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telmizartánt tartalmaz tablettánként.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609B56A0" w14:textId="338D12D2" w:rsidR="00232AA6" w:rsidRPr="0014358A" w:rsidRDefault="00232AA6" w:rsidP="00232AA6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80</w:t>
      </w:r>
      <w:r w:rsidR="00D63FCF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7318E522" w14:textId="4617D622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80</w:t>
      </w:r>
      <w:r w:rsidR="00D63FC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telmizartánt tartalmaz tablettánként.</w:t>
      </w:r>
    </w:p>
    <w:p w14:paraId="5590B9E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29A2F84" w14:textId="47E29460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segédanyagok teljes listáját lásd a 6.1 pontban.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591E1F6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C189D3D" w14:textId="57553082" w:rsidR="008F2FFB" w:rsidRPr="0014358A" w:rsidRDefault="008F2FFB" w:rsidP="00786219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GYÓGYSZERFORMA</w:t>
      </w:r>
    </w:p>
    <w:p w14:paraId="70656517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0FEB5093" w14:textId="1FD0EA3B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Tabletta</w:t>
      </w:r>
      <w:r w:rsidR="00D63FCF">
        <w:rPr>
          <w:rFonts w:ascii="Times New Roman" w:hAnsi="Times New Roman" w:cs="Times New Roman"/>
          <w:noProof/>
          <w:lang w:val="hu-HU"/>
        </w:rPr>
        <w:t>.</w:t>
      </w:r>
    </w:p>
    <w:p w14:paraId="0B84258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AEEA1E0" w14:textId="1B7EBA02" w:rsidR="00AD6061" w:rsidRPr="0014358A" w:rsidRDefault="00AD6061" w:rsidP="00AD606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20</w:t>
      </w:r>
      <w:r w:rsidR="00D94B17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0A4D6A2E" w14:textId="67B2A887" w:rsidR="003B3E12" w:rsidRPr="0014358A" w:rsidRDefault="003B3E12" w:rsidP="003B3E1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Fehér vagy törtfehér, kb. 7,1</w:t>
      </w:r>
      <w:r w:rsidR="00D94B1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mm-es, kerek, lapos, ferde szélű tabletta, egyik oldalán „H”, a másik oldalán „162” mélynyomással.</w:t>
      </w:r>
    </w:p>
    <w:p w14:paraId="56EF0BE0" w14:textId="77777777" w:rsidR="003B3E12" w:rsidRPr="0014358A" w:rsidRDefault="003B3E12" w:rsidP="003B3E1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7458450" w14:textId="4BF84006" w:rsidR="00AD6061" w:rsidRPr="0014358A" w:rsidRDefault="00AD6061" w:rsidP="00AD606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40</w:t>
      </w:r>
      <w:r w:rsidR="001A12A7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512C8B72" w14:textId="2694130B" w:rsidR="003B3E12" w:rsidRPr="0014358A" w:rsidRDefault="003B3E12" w:rsidP="003B3E1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Fehér vagy törtfehér, kb. 12,1</w:t>
      </w:r>
      <w:r w:rsidR="001A12A7">
        <w:rPr>
          <w:rFonts w:ascii="Times New Roman" w:hAnsi="Times New Roman" w:cs="Times New Roman"/>
          <w:noProof/>
          <w:lang w:val="hu-HU"/>
        </w:rPr>
        <w:t>×</w:t>
      </w:r>
      <w:r w:rsidRPr="0014358A">
        <w:rPr>
          <w:rFonts w:ascii="Times New Roman" w:hAnsi="Times New Roman" w:cs="Times New Roman"/>
          <w:noProof/>
          <w:lang w:val="hu-HU"/>
        </w:rPr>
        <w:t>5,9</w:t>
      </w:r>
      <w:r w:rsidR="001A12A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mm-es, ovális alakú, mindkét oldalán domború tabletta, egyik oldalán „H”, a másik oldalán „163” mélynyomással.</w:t>
      </w:r>
    </w:p>
    <w:p w14:paraId="34EE67CF" w14:textId="77777777" w:rsidR="003B3E12" w:rsidRPr="0014358A" w:rsidRDefault="003B3E12" w:rsidP="003B3E1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A54BDBA" w14:textId="19AB4B1D" w:rsidR="00AD6061" w:rsidRPr="0014358A" w:rsidRDefault="00AD6061" w:rsidP="00AD606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80</w:t>
      </w:r>
      <w:r w:rsidR="00BB6BF8"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572EF25E" w14:textId="0E393D5B" w:rsidR="008F2FFB" w:rsidRPr="0014358A" w:rsidRDefault="003B3E12" w:rsidP="003B3E1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Fehér vagy törtfehér, kb. 16,3</w:t>
      </w:r>
      <w:r w:rsidR="00BB6BF8">
        <w:rPr>
          <w:rFonts w:ascii="Times New Roman" w:hAnsi="Times New Roman" w:cs="Times New Roman"/>
          <w:noProof/>
          <w:lang w:val="hu-HU"/>
        </w:rPr>
        <w:t>×</w:t>
      </w:r>
      <w:r w:rsidRPr="0014358A">
        <w:rPr>
          <w:rFonts w:ascii="Times New Roman" w:hAnsi="Times New Roman" w:cs="Times New Roman"/>
          <w:noProof/>
          <w:lang w:val="hu-HU"/>
        </w:rPr>
        <w:t>8,0</w:t>
      </w:r>
      <w:r w:rsidR="00BB6BF8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mm-es, ovális alakú, mindkét oldalán domború tabletta, egyik oldalán „H”, a másik oldalán „164” mélynyomással.</w:t>
      </w:r>
      <w:r w:rsidR="008F2FFB" w:rsidRPr="0014358A">
        <w:rPr>
          <w:rFonts w:ascii="Times New Roman" w:hAnsi="Times New Roman" w:cs="Times New Roman"/>
          <w:noProof/>
          <w:lang w:val="hu-HU"/>
        </w:rPr>
        <w:cr/>
      </w:r>
    </w:p>
    <w:p w14:paraId="1F6E6B5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D00926E" w14:textId="49FE86C3" w:rsidR="008F2FFB" w:rsidRPr="0014358A" w:rsidRDefault="008F2FFB" w:rsidP="00786219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KLINIKAI JELLEMZŐK</w:t>
      </w:r>
    </w:p>
    <w:p w14:paraId="5223E2C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5DAED0D4" w14:textId="168E3F44" w:rsidR="008F2FFB" w:rsidRPr="0014358A" w:rsidRDefault="008F2FFB" w:rsidP="00236DAE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Terápiás javallatok</w:t>
      </w:r>
    </w:p>
    <w:p w14:paraId="57DA8B9F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EA53656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Hypertonia</w:t>
      </w:r>
    </w:p>
    <w:p w14:paraId="1651800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Essentialis hypertonia kezelése felnőtteknél.</w:t>
      </w:r>
    </w:p>
    <w:p w14:paraId="218FBEA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565DDCA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Cardiovascularis prevenció</w:t>
      </w:r>
    </w:p>
    <w:p w14:paraId="5FFA822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cardiovascularis morbiditás csökkentése felnőtteknél a következő esetekben:</w:t>
      </w:r>
    </w:p>
    <w:p w14:paraId="285FB7B5" w14:textId="1DC9FC69" w:rsidR="008F2FFB" w:rsidRPr="0014358A" w:rsidRDefault="008F2FFB" w:rsidP="00911E48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manifeszt atherothrombotikus cardiovascularis betegség (az anamnézisben szereplő koszorúérbetegség, stroke vagy perifériás artériás betegség)</w:t>
      </w:r>
      <w:r w:rsidR="0014358A">
        <w:rPr>
          <w:rFonts w:ascii="Times New Roman" w:hAnsi="Times New Roman" w:cs="Times New Roman"/>
          <w:noProof/>
          <w:lang w:val="hu-HU"/>
        </w:rPr>
        <w:t>;</w:t>
      </w:r>
      <w:r w:rsidRPr="0014358A">
        <w:rPr>
          <w:rFonts w:ascii="Times New Roman" w:hAnsi="Times New Roman" w:cs="Times New Roman"/>
          <w:noProof/>
          <w:lang w:val="hu-HU"/>
        </w:rPr>
        <w:t xml:space="preserve"> vagy</w:t>
      </w:r>
    </w:p>
    <w:p w14:paraId="3001BA2F" w14:textId="4E0473F5" w:rsidR="008F2FFB" w:rsidRPr="0014358A" w:rsidRDefault="008F2FFB" w:rsidP="00E91F40">
      <w:pPr>
        <w:pStyle w:val="Listaszerbekezds"/>
        <w:numPr>
          <w:ilvl w:val="0"/>
          <w:numId w:val="2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2-es típusú diabetes mellitus dokumentált célszervkárosodással.</w:t>
      </w:r>
    </w:p>
    <w:p w14:paraId="224AE80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B4B77C5" w14:textId="393E7398" w:rsidR="008F2FFB" w:rsidRPr="0014358A" w:rsidRDefault="008F2FFB" w:rsidP="00CA789E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Adagolás és alkalmazás</w:t>
      </w:r>
    </w:p>
    <w:p w14:paraId="46138E6A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3F0F668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Adagolás</w:t>
      </w:r>
    </w:p>
    <w:p w14:paraId="6E29C2D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Essentialis hypertonia kezelése</w:t>
      </w:r>
    </w:p>
    <w:p w14:paraId="7B055AB6" w14:textId="09CF795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2D7986">
        <w:rPr>
          <w:rFonts w:ascii="Times New Roman" w:hAnsi="Times New Roman" w:cs="Times New Roman"/>
          <w:noProof/>
          <w:lang w:val="hu-HU"/>
        </w:rPr>
        <w:lastRenderedPageBreak/>
        <w:t xml:space="preserve">A szokásos, </w:t>
      </w:r>
      <w:r w:rsidR="0014358A">
        <w:rPr>
          <w:rFonts w:ascii="Times New Roman" w:hAnsi="Times New Roman" w:cs="Times New Roman"/>
          <w:noProof/>
          <w:lang w:val="hu-HU"/>
        </w:rPr>
        <w:t>hatásos</w:t>
      </w:r>
      <w:r w:rsidR="0014358A" w:rsidRPr="002D7986">
        <w:rPr>
          <w:rFonts w:ascii="Times New Roman" w:hAnsi="Times New Roman" w:cs="Times New Roman"/>
          <w:noProof/>
          <w:lang w:val="hu-HU"/>
        </w:rPr>
        <w:t xml:space="preserve"> </w:t>
      </w:r>
      <w:r w:rsidRPr="002D7986">
        <w:rPr>
          <w:rFonts w:ascii="Times New Roman" w:hAnsi="Times New Roman" w:cs="Times New Roman"/>
          <w:noProof/>
          <w:lang w:val="hu-HU"/>
        </w:rPr>
        <w:t>dózis naponta egyszer 40</w:t>
      </w:r>
      <w:r w:rsidR="0014358A">
        <w:rPr>
          <w:rFonts w:ascii="Times New Roman" w:hAnsi="Times New Roman" w:cs="Times New Roman"/>
          <w:noProof/>
          <w:lang w:val="hu-HU"/>
        </w:rPr>
        <w:t> </w:t>
      </w:r>
      <w:r w:rsidRPr="002D7986">
        <w:rPr>
          <w:rFonts w:ascii="Times New Roman" w:hAnsi="Times New Roman" w:cs="Times New Roman"/>
          <w:noProof/>
          <w:lang w:val="hu-HU"/>
        </w:rPr>
        <w:t>mg. A betegek egy részénél azonban már napi 20</w:t>
      </w:r>
      <w:r w:rsidR="0014358A">
        <w:rPr>
          <w:rFonts w:ascii="Times New Roman" w:hAnsi="Times New Roman" w:cs="Times New Roman"/>
          <w:noProof/>
          <w:lang w:val="hu-HU"/>
        </w:rPr>
        <w:t> </w:t>
      </w:r>
      <w:r w:rsidRPr="002D7986">
        <w:rPr>
          <w:rFonts w:ascii="Times New Roman" w:hAnsi="Times New Roman" w:cs="Times New Roman"/>
          <w:noProof/>
          <w:lang w:val="hu-HU"/>
        </w:rPr>
        <w:t>mg</w:t>
      </w:r>
      <w:r w:rsidRPr="0014358A">
        <w:rPr>
          <w:rFonts w:ascii="Times New Roman" w:hAnsi="Times New Roman" w:cs="Times New Roman"/>
          <w:noProof/>
          <w:lang w:val="hu-HU"/>
        </w:rPr>
        <w:t xml:space="preserve"> adása is </w:t>
      </w:r>
      <w:r w:rsidR="0014358A">
        <w:rPr>
          <w:rFonts w:ascii="Times New Roman" w:hAnsi="Times New Roman" w:cs="Times New Roman"/>
          <w:noProof/>
          <w:lang w:val="hu-HU"/>
        </w:rPr>
        <w:t>előnyös</w:t>
      </w:r>
      <w:r w:rsidR="0014358A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lehet. Ha a vérnyomás nem csökken a kívánt értékre, a telmizartán dózisát maximum naponta egyszer 80</w:t>
      </w:r>
      <w:r w:rsidR="0014358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mg-ra lehet növelni. A dózis emelésének mérlegelésekor szem előtt kell tartani, hogy a maximális vérnyomáscsökkentő hatás általában a terápia kezdete után 4–8 héttel alakul ki (lásd 5.1 pont). A telmizartán kombinálható tiazid</w:t>
      </w:r>
      <w:r w:rsidR="0014358A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típusú diuretikumokkal (pl. hidroklorotiazid), ami</w:t>
      </w:r>
      <w:r w:rsidR="004F1339">
        <w:rPr>
          <w:rFonts w:ascii="Times New Roman" w:hAnsi="Times New Roman" w:cs="Times New Roman"/>
          <w:noProof/>
          <w:lang w:val="hu-HU"/>
        </w:rPr>
        <w:t>nek</w:t>
      </w:r>
      <w:r w:rsidRPr="0014358A">
        <w:rPr>
          <w:rFonts w:ascii="Times New Roman" w:hAnsi="Times New Roman" w:cs="Times New Roman"/>
          <w:noProof/>
          <w:lang w:val="hu-HU"/>
        </w:rPr>
        <w:t xml:space="preserve"> a</w:t>
      </w:r>
      <w:r w:rsidR="004F1339">
        <w:rPr>
          <w:rFonts w:ascii="Times New Roman" w:hAnsi="Times New Roman" w:cs="Times New Roman"/>
          <w:noProof/>
          <w:lang w:val="hu-HU"/>
        </w:rPr>
        <w:t>dditív</w:t>
      </w:r>
      <w:r w:rsidRPr="0014358A">
        <w:rPr>
          <w:rFonts w:ascii="Times New Roman" w:hAnsi="Times New Roman" w:cs="Times New Roman"/>
          <w:noProof/>
          <w:lang w:val="hu-HU"/>
        </w:rPr>
        <w:t xml:space="preserve"> vérnyomáscsökkentő hatás</w:t>
      </w:r>
      <w:r w:rsidR="004F1339">
        <w:rPr>
          <w:rFonts w:ascii="Times New Roman" w:hAnsi="Times New Roman" w:cs="Times New Roman"/>
          <w:noProof/>
          <w:lang w:val="hu-HU"/>
        </w:rPr>
        <w:t>a van a telmizartánnal együtt alkalmazva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2082990B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122B2E8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Cardiovascularis prevenció</w:t>
      </w:r>
    </w:p>
    <w:p w14:paraId="1AA7F3E3" w14:textId="32B73CC2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készítmény ajánlott dózisa naponta egyszer 80</w:t>
      </w:r>
      <w:r w:rsidR="004F133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mg. Nem ismert, hogy a 80</w:t>
      </w:r>
      <w:r w:rsidR="004F133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 xml:space="preserve">mg-nál kisebb dózisok </w:t>
      </w:r>
      <w:r w:rsidR="004F1339">
        <w:rPr>
          <w:rFonts w:ascii="Times New Roman" w:hAnsi="Times New Roman" w:cs="Times New Roman"/>
          <w:noProof/>
          <w:lang w:val="hu-HU"/>
        </w:rPr>
        <w:t>hatásosak</w:t>
      </w:r>
      <w:r w:rsidRPr="0014358A">
        <w:rPr>
          <w:rFonts w:ascii="Times New Roman" w:hAnsi="Times New Roman" w:cs="Times New Roman"/>
          <w:noProof/>
          <w:lang w:val="hu-HU"/>
        </w:rPr>
        <w:t>-e a cardiovascularis morbidiás csökkentésében.</w:t>
      </w:r>
    </w:p>
    <w:p w14:paraId="07B2AA41" w14:textId="7F9E582A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Abban az esetben, ha a telmizartán-kezelés elindítása a cardiovascularis morbiditás csökkentésére történik, javasolt a vérnyomás szoros monitorozása, valamint a vérnyomáscsökkentő gyógyszerek dózisának módosítása is szükségessé válhat.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ACA1153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Idősek</w:t>
      </w:r>
    </w:p>
    <w:p w14:paraId="3F2CB4AA" w14:textId="7E5A93EE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d</w:t>
      </w:r>
      <w:r w:rsidR="004F1339">
        <w:rPr>
          <w:rFonts w:ascii="Times New Roman" w:hAnsi="Times New Roman" w:cs="Times New Roman"/>
          <w:noProof/>
          <w:lang w:val="hu-HU"/>
        </w:rPr>
        <w:t>ózi</w:t>
      </w:r>
      <w:r w:rsidRPr="0014358A">
        <w:rPr>
          <w:rFonts w:ascii="Times New Roman" w:hAnsi="Times New Roman" w:cs="Times New Roman"/>
          <w:noProof/>
          <w:lang w:val="hu-HU"/>
        </w:rPr>
        <w:t xml:space="preserve">s </w:t>
      </w:r>
      <w:r w:rsidR="004F1339" w:rsidRPr="0014358A">
        <w:rPr>
          <w:rFonts w:ascii="Times New Roman" w:hAnsi="Times New Roman" w:cs="Times New Roman"/>
          <w:noProof/>
          <w:lang w:val="hu-HU"/>
        </w:rPr>
        <w:t>módosít</w:t>
      </w:r>
      <w:r w:rsidR="004F1339">
        <w:rPr>
          <w:rFonts w:ascii="Times New Roman" w:hAnsi="Times New Roman" w:cs="Times New Roman"/>
          <w:noProof/>
          <w:lang w:val="hu-HU"/>
        </w:rPr>
        <w:t>ás</w:t>
      </w:r>
      <w:r w:rsidR="004F1339"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Pr="0014358A">
        <w:rPr>
          <w:rFonts w:ascii="Times New Roman" w:hAnsi="Times New Roman" w:cs="Times New Roman"/>
          <w:noProof/>
          <w:lang w:val="hu-HU"/>
        </w:rPr>
        <w:t>nem szükséges időseknél.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718B83D1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Vesekárosodás</w:t>
      </w:r>
    </w:p>
    <w:p w14:paraId="6EC70953" w14:textId="7CAF4B08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231D2C">
        <w:rPr>
          <w:rFonts w:ascii="Times New Roman" w:hAnsi="Times New Roman" w:cs="Times New Roman"/>
          <w:noProof/>
          <w:lang w:val="hu-HU"/>
        </w:rPr>
        <w:t>Súlyos vesekárosodásban szenvedő vagy haemodialysis</w:t>
      </w:r>
      <w:r w:rsidR="00231D2C">
        <w:rPr>
          <w:rFonts w:ascii="Times New Roman" w:hAnsi="Times New Roman" w:cs="Times New Roman"/>
          <w:noProof/>
          <w:lang w:val="hu-HU"/>
        </w:rPr>
        <w:t xml:space="preserve"> </w:t>
      </w:r>
      <w:r w:rsidRPr="00231D2C">
        <w:rPr>
          <w:rFonts w:ascii="Times New Roman" w:hAnsi="Times New Roman" w:cs="Times New Roman"/>
          <w:noProof/>
          <w:lang w:val="hu-HU"/>
        </w:rPr>
        <w:t>kezel</w:t>
      </w:r>
      <w:r w:rsidR="00231D2C">
        <w:rPr>
          <w:rFonts w:ascii="Times New Roman" w:hAnsi="Times New Roman" w:cs="Times New Roman"/>
          <w:noProof/>
          <w:lang w:val="hu-HU"/>
        </w:rPr>
        <w:t>ésben részesülő</w:t>
      </w:r>
      <w:r w:rsidRPr="00231D2C">
        <w:rPr>
          <w:rFonts w:ascii="Times New Roman" w:hAnsi="Times New Roman" w:cs="Times New Roman"/>
          <w:noProof/>
          <w:lang w:val="hu-HU"/>
        </w:rPr>
        <w:t xml:space="preserve"> betegeknél csak korlátozott</w:t>
      </w:r>
      <w:r w:rsidRPr="0014358A">
        <w:rPr>
          <w:rFonts w:ascii="Times New Roman" w:hAnsi="Times New Roman" w:cs="Times New Roman"/>
          <w:noProof/>
          <w:lang w:val="hu-HU"/>
        </w:rPr>
        <w:t xml:space="preserve"> tapasztalatok állnak rendelkezésre. Ezeknél a betegeknél egy kisebb, 20</w:t>
      </w:r>
      <w:r w:rsidR="00231D2C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mg-os kezdő dózis ajánlott (lásd 4.4 pont). Enyhe – közepesen súlyos fokú vesekárosodásban szenvedő betegek esetén nincs szükség a dózis módosítására. A telmizartán nem távolítható el a vérből hemofiltrációval, és nem dializálható.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7FFF421" w14:textId="77777777" w:rsidR="008F2FFB" w:rsidRPr="002D7986" w:rsidRDefault="008F2FFB" w:rsidP="008F2FFB">
      <w:pPr>
        <w:spacing w:after="0" w:line="240" w:lineRule="auto"/>
        <w:rPr>
          <w:rFonts w:ascii="Times New Roman" w:hAnsi="Times New Roman" w:cs="Times New Roman"/>
          <w:i/>
          <w:noProof/>
          <w:lang w:val="hu-HU"/>
        </w:rPr>
      </w:pPr>
      <w:r w:rsidRPr="002D7986">
        <w:rPr>
          <w:rFonts w:ascii="Times New Roman" w:hAnsi="Times New Roman" w:cs="Times New Roman"/>
          <w:i/>
          <w:noProof/>
          <w:lang w:val="hu-HU"/>
        </w:rPr>
        <w:t>Májkárosodás</w:t>
      </w:r>
    </w:p>
    <w:p w14:paraId="414565A3" w14:textId="5078E629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="00231D2C">
        <w:rPr>
          <w:rFonts w:ascii="Times New Roman" w:hAnsi="Times New Roman" w:cs="Times New Roman"/>
          <w:noProof/>
          <w:lang w:val="hu-HU"/>
        </w:rPr>
        <w:t>T</w:t>
      </w:r>
      <w:r w:rsidR="009A7CC4" w:rsidRPr="0014358A">
        <w:rPr>
          <w:rFonts w:ascii="Times New Roman" w:hAnsi="Times New Roman" w:cs="Times New Roman"/>
          <w:noProof/>
          <w:lang w:val="hu-HU"/>
        </w:rPr>
        <w:t>elmizartán</w:t>
      </w:r>
      <w:r w:rsidR="00231D2C">
        <w:rPr>
          <w:rFonts w:ascii="Times New Roman" w:hAnsi="Times New Roman" w:cs="Times New Roman"/>
          <w:noProof/>
          <w:lang w:val="hu-HU"/>
        </w:rPr>
        <w:t xml:space="preserve"> Amarox</w:t>
      </w:r>
      <w:r w:rsidRPr="0014358A">
        <w:rPr>
          <w:rFonts w:ascii="Times New Roman" w:hAnsi="Times New Roman" w:cs="Times New Roman"/>
          <w:noProof/>
          <w:lang w:val="hu-HU"/>
        </w:rPr>
        <w:t xml:space="preserve"> súlyos májkárosodásban szenvedő betegek számára ellenjavallt (lásd 4.3 pont).</w:t>
      </w:r>
    </w:p>
    <w:p w14:paraId="19107C98" w14:textId="4BEB6C13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Enyhe és közepesen súlyos májkárosodás esetén a dózis nem haladhatja meg a napi egyszeri 40</w:t>
      </w:r>
      <w:r w:rsidR="00231D2C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mg-ot (lásd 4.4 pont).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28645D8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Gyermekek és serdülők</w:t>
      </w:r>
    </w:p>
    <w:p w14:paraId="66CEBD68" w14:textId="4304FEE3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="00231D2C">
        <w:rPr>
          <w:rFonts w:ascii="Times New Roman" w:hAnsi="Times New Roman" w:cs="Times New Roman"/>
          <w:noProof/>
          <w:lang w:val="hu-HU"/>
        </w:rPr>
        <w:t>T</w:t>
      </w:r>
      <w:r w:rsidR="00231D2C" w:rsidRPr="0014358A">
        <w:rPr>
          <w:rFonts w:ascii="Times New Roman" w:hAnsi="Times New Roman" w:cs="Times New Roman"/>
          <w:noProof/>
          <w:lang w:val="hu-HU"/>
        </w:rPr>
        <w:t>elmizartán</w:t>
      </w:r>
      <w:r w:rsidR="00231D2C">
        <w:rPr>
          <w:rFonts w:ascii="Times New Roman" w:hAnsi="Times New Roman" w:cs="Times New Roman"/>
          <w:noProof/>
          <w:lang w:val="hu-HU"/>
        </w:rPr>
        <w:t xml:space="preserve"> Amarox</w:t>
      </w:r>
      <w:r w:rsidR="00231D2C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biztonságosságát és hatásosságát 18 évesnél fiatalabb gyermekek és serdülők esetében nem igazolták.</w:t>
      </w:r>
    </w:p>
    <w:p w14:paraId="4EE96EBE" w14:textId="4D25D3A8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jelenleg rendelkezésre álló adatok leírása az 5.1 és 5.2 pontban található, de nincs az adagolásra vonatkozó javaslat.</w:t>
      </w:r>
    </w:p>
    <w:p w14:paraId="7997CF6B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FBE9039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Az alkalmazás módja</w:t>
      </w:r>
    </w:p>
    <w:p w14:paraId="6EC993CF" w14:textId="56C61273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telmizartán-tabletta naponta egyszeri, szájon át történő alkalmazásra szánt készítmény, amit étkezés</w:t>
      </w:r>
      <w:r w:rsidR="003103E9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közben vagy attól függetlenül, egészben, folyadékkal kell lenyelni.</w:t>
      </w:r>
    </w:p>
    <w:p w14:paraId="793CAFDB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0DD5FC3" w14:textId="31B31086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 xml:space="preserve">Óvintézkedések a gyógyszer </w:t>
      </w:r>
      <w:r w:rsidR="00ED3EA0">
        <w:rPr>
          <w:rFonts w:ascii="Times New Roman" w:hAnsi="Times New Roman" w:cs="Times New Roman"/>
          <w:noProof/>
          <w:u w:val="single"/>
          <w:lang w:val="hu-HU"/>
        </w:rPr>
        <w:t>tárolása</w:t>
      </w:r>
      <w:r w:rsidR="00ED3EA0" w:rsidRPr="0014358A">
        <w:rPr>
          <w:rFonts w:ascii="Times New Roman" w:hAnsi="Times New Roman" w:cs="Times New Roman"/>
          <w:noProof/>
          <w:u w:val="single"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vagy alkalmazása előtt</w:t>
      </w:r>
    </w:p>
    <w:p w14:paraId="039FC8CE" w14:textId="081D040B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telmizartán-készítményt a tabletta higroszkópos tulajdonsága miatt a zárt buborékcsomagolásban kell tárolni. A tablettát csak röviddel a bevétel előtt szabad kivenni a buborékcsomagolásból (lásd 6.6 pont).</w:t>
      </w:r>
    </w:p>
    <w:p w14:paraId="7856050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AABF4F6" w14:textId="71E15B81" w:rsidR="008F2FFB" w:rsidRPr="0014358A" w:rsidRDefault="008F2FFB" w:rsidP="003103E9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Ellenjavallatok</w:t>
      </w:r>
    </w:p>
    <w:p w14:paraId="1DF01DD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95F8C2A" w14:textId="35DE1127" w:rsidR="008F2FFB" w:rsidRPr="0014358A" w:rsidRDefault="008F2FFB" w:rsidP="008F2FFB">
      <w:pPr>
        <w:pStyle w:val="Listaszerbekezds"/>
        <w:numPr>
          <w:ilvl w:val="1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készítmény hatóanyagával vagy a 6.1 pontban felsorolt bármely segédanyagával szembeni túlérzékenység.</w:t>
      </w:r>
    </w:p>
    <w:p w14:paraId="71910CC8" w14:textId="2F8C37E3" w:rsidR="008F2FFB" w:rsidRPr="0014358A" w:rsidRDefault="008F2FFB" w:rsidP="004D2424">
      <w:pPr>
        <w:pStyle w:val="Listaszerbekezds"/>
        <w:numPr>
          <w:ilvl w:val="1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terhesség második és harmadik trimesztere (lásd 4.4 és 4.6 pont).</w:t>
      </w:r>
    </w:p>
    <w:p w14:paraId="64A45994" w14:textId="300B9ED0" w:rsidR="008F2FFB" w:rsidRPr="0014358A" w:rsidRDefault="008F2FFB" w:rsidP="004D2424">
      <w:pPr>
        <w:pStyle w:val="Listaszerbekezds"/>
        <w:numPr>
          <w:ilvl w:val="1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epeutak obstruktív rendellenességei.</w:t>
      </w:r>
    </w:p>
    <w:p w14:paraId="1D575474" w14:textId="6F462694" w:rsidR="008F2FFB" w:rsidRPr="0014358A" w:rsidRDefault="008F2FFB" w:rsidP="004D2424">
      <w:pPr>
        <w:pStyle w:val="Listaszerbekezds"/>
        <w:numPr>
          <w:ilvl w:val="1"/>
          <w:numId w:val="4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Súlyos májkárosodás.</w:t>
      </w:r>
    </w:p>
    <w:p w14:paraId="1FC71A6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A0B4AA5" w14:textId="70A12B9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egyidejű alkalmazása aliszkirén</w:t>
      </w:r>
      <w:r w:rsidR="00ED3EA0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tartalmú készítményekkel ellenjavallt diabetes mellitusban szenvedő vagy károsodott veseműködésű betegeknél (GFR &lt; 60</w:t>
      </w:r>
      <w:r w:rsidR="00ED3EA0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ml/perc/1,73</w:t>
      </w:r>
      <w:r w:rsidR="00ED3EA0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</w:t>
      </w:r>
      <w:r w:rsidRPr="0014358A">
        <w:rPr>
          <w:rFonts w:ascii="Times New Roman" w:hAnsi="Times New Roman" w:cs="Times New Roman"/>
          <w:noProof/>
          <w:vertAlign w:val="superscript"/>
          <w:lang w:val="hu-HU"/>
        </w:rPr>
        <w:t>2</w:t>
      </w:r>
      <w:r w:rsidRPr="0014358A">
        <w:rPr>
          <w:rFonts w:ascii="Times New Roman" w:hAnsi="Times New Roman" w:cs="Times New Roman"/>
          <w:noProof/>
          <w:lang w:val="hu-HU"/>
        </w:rPr>
        <w:t>) (lásd 4.5 és 5.1 pont).</w:t>
      </w:r>
    </w:p>
    <w:p w14:paraId="266DB602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77C55CF" w14:textId="17F4A631" w:rsidR="008F2FFB" w:rsidRPr="0014358A" w:rsidRDefault="008F2FFB" w:rsidP="00BE0E98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Különleges figyelmeztetések és az alkalmazással kapcsolatos óvintézkedések</w:t>
      </w:r>
    </w:p>
    <w:p w14:paraId="3D3CDE7A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lastRenderedPageBreak/>
        <w:t>Terhesség</w:t>
      </w:r>
    </w:p>
    <w:p w14:paraId="121B0E8B" w14:textId="75A1FF4B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angiotenzin II (ATII)-receptor-blokkolókkal történő kezelést terhesség alatt nem szabad elkezdeni. Hacsak az ATII-receptor-blokkolóval történő kezelés folytatása nem elengedhetetlen, a terhességet tervező betegeket olyan más antihipertenzív kezelésre kell átállítani, melynek a terhesség alatti alkalmazásra vonatkozó biztonságossági profilja megalapozott. Terhesség megállapítását követően az ATII-receptor-blokkolók szedését azonnal abba kell hagyni és amennyiben szükséges, egy másik</w:t>
      </w:r>
      <w:r w:rsidR="00B3358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kezelést el kell kezdeni (lásd 4.3 és 4.6 pont).</w:t>
      </w:r>
    </w:p>
    <w:p w14:paraId="128B304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9921E39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Májkárosodás</w:t>
      </w:r>
    </w:p>
    <w:p w14:paraId="078475CA" w14:textId="3750E308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Miután a telmizartán elsősorban az epén keresztül eliminálódik, cholestasisban, epeút</w:t>
      </w:r>
      <w:r w:rsidR="00ED3EA0">
        <w:rPr>
          <w:rFonts w:ascii="Times New Roman" w:hAnsi="Times New Roman" w:cs="Times New Roman"/>
          <w:noProof/>
          <w:lang w:val="hu-HU"/>
        </w:rPr>
        <w:t>i obstruktív betegségben</w:t>
      </w:r>
      <w:r w:rsidRPr="0014358A">
        <w:rPr>
          <w:rFonts w:ascii="Times New Roman" w:hAnsi="Times New Roman" w:cs="Times New Roman"/>
          <w:noProof/>
          <w:lang w:val="hu-HU"/>
        </w:rPr>
        <w:t xml:space="preserve"> vagy súlyos májkárosodásban szenvedő betegeknek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nem adható (lásd 4.3 pont). Ezeknél a betegeknél a telmizartán hepaticus clearance-ének csökkenése várható.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telmizartánt</w:t>
      </w:r>
      <w:r w:rsidRPr="0014358A">
        <w:rPr>
          <w:rFonts w:ascii="Times New Roman" w:hAnsi="Times New Roman" w:cs="Times New Roman"/>
          <w:noProof/>
          <w:lang w:val="hu-HU"/>
        </w:rPr>
        <w:t xml:space="preserve"> csak elővigyázatossággal szabad adni enyhe</w:t>
      </w:r>
      <w:r w:rsidR="00ED3EA0">
        <w:rPr>
          <w:rFonts w:ascii="Times New Roman" w:hAnsi="Times New Roman" w:cs="Times New Roman"/>
          <w:noProof/>
          <w:lang w:val="hu-HU"/>
        </w:rPr>
        <w:t xml:space="preserve"> és</w:t>
      </w:r>
      <w:r w:rsidRPr="0014358A">
        <w:rPr>
          <w:rFonts w:ascii="Times New Roman" w:hAnsi="Times New Roman" w:cs="Times New Roman"/>
          <w:noProof/>
          <w:lang w:val="hu-HU"/>
        </w:rPr>
        <w:t xml:space="preserve"> közepesen súlyos fokú májkárosodás esetén.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1ECEDD2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Renovascularis hypertonia</w:t>
      </w:r>
    </w:p>
    <w:p w14:paraId="54997612" w14:textId="2380BBB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Olyan betegeknél, akiknél az arteria renalis kétoldali szűkülete, vagy az egyetlen funkcionáló vese artériájának szűkülete áll fenn, a renin-angiotenzin-aldoszteron rendszere</w:t>
      </w:r>
      <w:r w:rsidR="00ED3EA0">
        <w:rPr>
          <w:rFonts w:ascii="Times New Roman" w:hAnsi="Times New Roman" w:cs="Times New Roman"/>
          <w:noProof/>
          <w:lang w:val="hu-HU"/>
        </w:rPr>
        <w:t>n</w:t>
      </w:r>
      <w:r w:rsidRPr="0014358A">
        <w:rPr>
          <w:rFonts w:ascii="Times New Roman" w:hAnsi="Times New Roman" w:cs="Times New Roman"/>
          <w:noProof/>
          <w:lang w:val="hu-HU"/>
        </w:rPr>
        <w:t xml:space="preserve"> ható szerekkel történő kezelés fokozza a súlyos hypot</w:t>
      </w:r>
      <w:r w:rsidR="00ED3EA0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ED3EA0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ED3EA0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és a veseelégtelenség </w:t>
      </w:r>
      <w:r w:rsidR="00ED3EA0">
        <w:rPr>
          <w:rFonts w:ascii="Times New Roman" w:hAnsi="Times New Roman" w:cs="Times New Roman"/>
          <w:noProof/>
          <w:lang w:val="hu-HU"/>
        </w:rPr>
        <w:t>kockázatát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7FBAAD3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7A8ABC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Vesekárosodás és vesetranszplantáció</w:t>
      </w:r>
    </w:p>
    <w:p w14:paraId="5C89B631" w14:textId="6C64595F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Vesekárosodás esetén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-kezelés mellett a szérum kálium- és kreatininszintjének </w:t>
      </w:r>
      <w:r w:rsidR="00ED3EA0">
        <w:rPr>
          <w:rFonts w:ascii="Times New Roman" w:hAnsi="Times New Roman" w:cs="Times New Roman"/>
          <w:noProof/>
          <w:lang w:val="hu-HU"/>
        </w:rPr>
        <w:t>rendszeres</w:t>
      </w:r>
      <w:r w:rsidR="00ED3EA0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="00ED3EA0">
        <w:rPr>
          <w:rFonts w:ascii="Times New Roman" w:hAnsi="Times New Roman" w:cs="Times New Roman"/>
          <w:noProof/>
          <w:lang w:val="hu-HU"/>
        </w:rPr>
        <w:t>ellenőrzése</w:t>
      </w:r>
      <w:r w:rsidR="00ED3EA0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indokolt. Nincs tapasztalat azon betegek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>-kezelésével kapcsolatban, akiknél a közelmúltban vesetranszplantációt végeztek.</w:t>
      </w:r>
    </w:p>
    <w:p w14:paraId="2B46D4D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nem távolítható el a vérből hemofiltrációval, és nem dializálható.</w:t>
      </w:r>
    </w:p>
    <w:p w14:paraId="0F4A2B71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4BA64A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Volumen- és/vagy nátriumhiányos betegek</w:t>
      </w:r>
    </w:p>
    <w:p w14:paraId="7CF7C5CD" w14:textId="400FE328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Symptomaticus hypot</w:t>
      </w:r>
      <w:r w:rsidR="00ED3EA0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ED3EA0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ED3EA0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léphet fel, különösen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első dózisa után azon betegeknél, akiknél</w:t>
      </w:r>
      <w:r w:rsidR="00B3358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volumen- és/vagy nátriumhiány alakult ki pl. nagy dózisú diuretikus kezelés, sószegény diéta, ill. hasmenés vagy hányás következtében.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adagolásának elkezdése előtt ezeket az állapotokat </w:t>
      </w:r>
      <w:r w:rsidR="00ED3EA0">
        <w:rPr>
          <w:rFonts w:ascii="Times New Roman" w:hAnsi="Times New Roman" w:cs="Times New Roman"/>
          <w:noProof/>
          <w:lang w:val="hu-HU"/>
        </w:rPr>
        <w:t>korrigálni</w:t>
      </w:r>
      <w:r w:rsidR="00ED3EA0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kell.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adása előtt </w:t>
      </w:r>
      <w:r w:rsidR="00ED3EA0">
        <w:rPr>
          <w:rFonts w:ascii="Times New Roman" w:hAnsi="Times New Roman" w:cs="Times New Roman"/>
          <w:noProof/>
          <w:lang w:val="hu-HU"/>
        </w:rPr>
        <w:t>korrigálni</w:t>
      </w:r>
      <w:r w:rsidR="00ED3EA0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kell a volumen- és/vagy nátriumhiányt.</w:t>
      </w:r>
    </w:p>
    <w:p w14:paraId="7DE2FD2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AAD4C0C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 renin-angiotenzin-aldoszteron rendszer kettős blokádja (RAAS)</w:t>
      </w:r>
    </w:p>
    <w:p w14:paraId="4D7F2C2F" w14:textId="33C0AE7C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Bizonyíték van rá, hogy az ACE-gátlók, angiotenzin II-receptor-blokkolók vagy aliszkirén egyidejű alkalmazása fokozza a hypotonia, hyperkalaemia és csökkent veseműködés (beleértve az akut veseelégtelenség) kockázatát. A RAAS ACE-gátlók, angiotenzin II-receptor-blokkolók vagy aliszkirén kombinált alkalmazásával történő kettős blokádja ezért nem javasolt (lásd 4.5 és 5.1 pont).</w:t>
      </w:r>
      <w:r w:rsidR="00B3358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Ha a kettősblokád</w:t>
      </w:r>
      <w:r w:rsidR="00ED3EA0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kezelést abszolút szükségesnek ítélik, ez csak szakorvos felügyeletével, a vesefunkció, elektrolitszintek és a vérnyomás gyakori és szoros ellenőrzése mellett történhet.</w:t>
      </w:r>
      <w:r w:rsidR="00B3358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Az ACE-gátlók és angiotenzin II-receptor-blokkolók diabeteses nephropathiaban szenvedő betegeknél </w:t>
      </w:r>
      <w:r w:rsidR="00ED3EA0" w:rsidRPr="0014358A">
        <w:rPr>
          <w:rFonts w:ascii="Times New Roman" w:hAnsi="Times New Roman" w:cs="Times New Roman"/>
          <w:noProof/>
          <w:lang w:val="hu-HU"/>
        </w:rPr>
        <w:t>egyidejű</w:t>
      </w:r>
      <w:r w:rsidR="00ED3EA0">
        <w:rPr>
          <w:rFonts w:ascii="Times New Roman" w:hAnsi="Times New Roman" w:cs="Times New Roman"/>
          <w:noProof/>
          <w:lang w:val="hu-HU"/>
        </w:rPr>
        <w:t>leg</w:t>
      </w:r>
      <w:r w:rsidR="00ED3EA0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nem </w:t>
      </w:r>
      <w:r w:rsidR="00ED3EA0">
        <w:rPr>
          <w:rFonts w:ascii="Times New Roman" w:hAnsi="Times New Roman" w:cs="Times New Roman"/>
          <w:noProof/>
          <w:lang w:val="hu-HU"/>
        </w:rPr>
        <w:t>alkalmazhatók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7685D7F1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9CAB299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Egyéb, a renin-angiotenzin-aldoszteron rendszer stimulációjával járó állapotok</w:t>
      </w:r>
    </w:p>
    <w:p w14:paraId="5530E503" w14:textId="79F43B4F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Olyan betegeknél, akiknek a vascularis tónusa és a vesefunkciója elsősorban a renin-angiotenzin</w:t>
      </w:r>
      <w:r w:rsidR="00ED3EA0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 xml:space="preserve">aldoszteron rendszer aktivitásától függ (pl. súlyos pangásos szívelégtelenség vagy vesebetegség, </w:t>
      </w:r>
      <w:r w:rsidR="00ED3EA0">
        <w:rPr>
          <w:rFonts w:ascii="Times New Roman" w:hAnsi="Times New Roman" w:cs="Times New Roman"/>
          <w:noProof/>
          <w:lang w:val="hu-HU"/>
        </w:rPr>
        <w:t>pl.</w:t>
      </w:r>
      <w:r w:rsidRPr="0014358A">
        <w:rPr>
          <w:rFonts w:ascii="Times New Roman" w:hAnsi="Times New Roman" w:cs="Times New Roman"/>
          <w:noProof/>
          <w:lang w:val="hu-HU"/>
        </w:rPr>
        <w:t xml:space="preserve"> az arteria renalis stenosisa esetén), az e rendszerre ható gyógyszerekkel való kezelés, pl. telmizartán-kezelés során akut hypot</w:t>
      </w:r>
      <w:r w:rsidR="00ED3EA0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ED3EA0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ED3EA0">
        <w:rPr>
          <w:rFonts w:ascii="Times New Roman" w:hAnsi="Times New Roman" w:cs="Times New Roman"/>
          <w:noProof/>
          <w:lang w:val="hu-HU"/>
        </w:rPr>
        <w:t>ó</w:t>
      </w:r>
      <w:r w:rsidRPr="0014358A">
        <w:rPr>
          <w:rFonts w:ascii="Times New Roman" w:hAnsi="Times New Roman" w:cs="Times New Roman"/>
          <w:noProof/>
          <w:lang w:val="hu-HU"/>
        </w:rPr>
        <w:t>t, hyperazotaemiát, oliguriát és ritkán akut veseelégtelenséget észleltek (lásd 4.8 pont).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388FC3C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Primer aldosteronismus</w:t>
      </w:r>
    </w:p>
    <w:p w14:paraId="7C0C95D6" w14:textId="3913B79D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renin-angiotenzin rendszer gátlása útján ható vérnyomáscsökkentő hatású gyógyszerek</w:t>
      </w:r>
      <w:r w:rsidR="00ED3EA0">
        <w:rPr>
          <w:rFonts w:ascii="Times New Roman" w:hAnsi="Times New Roman" w:cs="Times New Roman"/>
          <w:noProof/>
          <w:lang w:val="hu-HU"/>
        </w:rPr>
        <w:t>re a</w:t>
      </w:r>
      <w:r w:rsidRPr="0014358A">
        <w:rPr>
          <w:rFonts w:ascii="Times New Roman" w:hAnsi="Times New Roman" w:cs="Times New Roman"/>
          <w:noProof/>
          <w:lang w:val="hu-HU"/>
        </w:rPr>
        <w:t xml:space="preserve"> primer aldosteronismusban </w:t>
      </w:r>
      <w:r w:rsidR="00ED3EA0">
        <w:rPr>
          <w:rFonts w:ascii="Times New Roman" w:hAnsi="Times New Roman" w:cs="Times New Roman"/>
          <w:noProof/>
          <w:lang w:val="hu-HU"/>
        </w:rPr>
        <w:t>szenvedő betegek általában nem reagálnak</w:t>
      </w:r>
      <w:r w:rsidRPr="0014358A">
        <w:rPr>
          <w:rFonts w:ascii="Times New Roman" w:hAnsi="Times New Roman" w:cs="Times New Roman"/>
          <w:noProof/>
          <w:lang w:val="hu-HU"/>
        </w:rPr>
        <w:t>, ezért a telmizartán alkalmazása nem javasolt.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A441A5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Aortastenosis, mitralis stenosis, hypertrophiás obstructiv cardiomyopathia</w:t>
      </w:r>
    </w:p>
    <w:p w14:paraId="5E8FCFAC" w14:textId="4477CE76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Más vasodilatatorokhoz hasonlóan fokozott óvatosság </w:t>
      </w:r>
      <w:r w:rsidR="00146742">
        <w:rPr>
          <w:rFonts w:ascii="Times New Roman" w:hAnsi="Times New Roman" w:cs="Times New Roman"/>
          <w:noProof/>
          <w:lang w:val="hu-HU"/>
        </w:rPr>
        <w:t>szükséges</w:t>
      </w:r>
      <w:r w:rsidR="00146742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aortastenosis vagy mitralis stenosis és hypertrophiás obstructiv cardiomyopathia esetén.</w:t>
      </w:r>
    </w:p>
    <w:p w14:paraId="4927173A" w14:textId="77777777" w:rsidR="0098604D" w:rsidRPr="0014358A" w:rsidRDefault="0098604D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AD7F683" w14:textId="43386932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Inzulin- vagy antidiabetiku</w:t>
      </w:r>
      <w:r w:rsidR="00146742">
        <w:rPr>
          <w:rFonts w:ascii="Times New Roman" w:hAnsi="Times New Roman" w:cs="Times New Roman"/>
          <w:noProof/>
          <w:u w:val="single"/>
          <w:lang w:val="hu-HU"/>
        </w:rPr>
        <w:t>m-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kezelés alatt álló diabeteses betegek</w:t>
      </w:r>
    </w:p>
    <w:p w14:paraId="4E38EB9C" w14:textId="19980CDB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Ezeknél a betegeknél telmizartán-kezelés során hypoglykaemia fordulhat elő. Ezért ezeknél a betegeknél a vércukorszint megfelelő ellenőrzése szükséges. Az inzulin vagy az antidiabetikum dózisának módosítása is szükségessé válhat, ha az indokolt.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1BA0FAF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Hyperkalaemia</w:t>
      </w:r>
    </w:p>
    <w:p w14:paraId="36B8172B" w14:textId="47C8C3CC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renin-angiotenzin-aldoszteron rendszerre ható gyógyszerek alkalmazása hyperkalaemiát okozhat.</w:t>
      </w:r>
      <w:r w:rsidR="00AF01B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Időseknél, veseelégtelenségben szenvedő betegeknél, cukorbetegeknél, egyidejűleg más, a szérum káliumszintjét esetleg emelő gyógyszert szedő betegeknél és/vagy más egyidejű események esetén a hyperkalaemia halálos is lehet.</w:t>
      </w:r>
    </w:p>
    <w:p w14:paraId="55CAD9EB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B45CC85" w14:textId="7C0C553A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Renin-angiotenzin-aldoszteron rendszert befolyásoló gyógyszer egyidejű alkalmazásának mérlegelése előtt fel kell mérni az előny/kockázat arányt.</w:t>
      </w:r>
    </w:p>
    <w:p w14:paraId="0FC3CB6F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hyperkalaemia főbb rizikófaktorai:</w:t>
      </w:r>
    </w:p>
    <w:p w14:paraId="65600EE1" w14:textId="3B8F72AE" w:rsidR="008F2FFB" w:rsidRPr="0014358A" w:rsidRDefault="00146742" w:rsidP="00D45CFF">
      <w:pPr>
        <w:pStyle w:val="Listaszerbekezds"/>
        <w:numPr>
          <w:ilvl w:val="2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c</w:t>
      </w:r>
      <w:r w:rsidR="008F2FFB" w:rsidRPr="0014358A">
        <w:rPr>
          <w:rFonts w:ascii="Times New Roman" w:hAnsi="Times New Roman" w:cs="Times New Roman"/>
          <w:noProof/>
          <w:lang w:val="hu-HU"/>
        </w:rPr>
        <w:t>ukorbetegség, vesekárosodás, életkor (&gt; 70 év)</w:t>
      </w:r>
      <w:r>
        <w:rPr>
          <w:rFonts w:ascii="Times New Roman" w:hAnsi="Times New Roman" w:cs="Times New Roman"/>
          <w:noProof/>
          <w:lang w:val="hu-HU"/>
        </w:rPr>
        <w:t>;</w:t>
      </w:r>
    </w:p>
    <w:p w14:paraId="52355410" w14:textId="788A3B20" w:rsidR="008F2FFB" w:rsidRPr="0014358A" w:rsidRDefault="00146742" w:rsidP="008F2FFB">
      <w:pPr>
        <w:pStyle w:val="Listaszerbekezds"/>
        <w:numPr>
          <w:ilvl w:val="2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e</w:t>
      </w:r>
      <w:r w:rsidR="008F2FFB" w:rsidRPr="0014358A">
        <w:rPr>
          <w:rFonts w:ascii="Times New Roman" w:hAnsi="Times New Roman" w:cs="Times New Roman"/>
          <w:noProof/>
          <w:lang w:val="hu-HU"/>
        </w:rPr>
        <w:t>gy vagy több, a renin-angiotenzin-aldoszteron rendszert befolyásoló és/vagy káliumpótló gyógyszer egyidejű alkalmazása. A következő gyógyszerek, illetve gyógyszercsoportok okozhatnak hyperkalaemiát: káliumtartalmú sópótló készítmények, káliummegtakarító</w:t>
      </w:r>
      <w:r w:rsidR="003767D7" w:rsidRPr="0014358A">
        <w:rPr>
          <w:rFonts w:ascii="Times New Roman" w:hAnsi="Times New Roman" w:cs="Times New Roman"/>
          <w:noProof/>
          <w:lang w:val="hu-HU"/>
        </w:rPr>
        <w:t xml:space="preserve"> </w:t>
      </w:r>
      <w:r>
        <w:rPr>
          <w:rFonts w:ascii="Times New Roman" w:hAnsi="Times New Roman" w:cs="Times New Roman"/>
          <w:noProof/>
          <w:lang w:val="hu-HU"/>
        </w:rPr>
        <w:t>diuretikumok</w:t>
      </w:r>
      <w:r w:rsidR="008F2FFB" w:rsidRPr="0014358A">
        <w:rPr>
          <w:rFonts w:ascii="Times New Roman" w:hAnsi="Times New Roman" w:cs="Times New Roman"/>
          <w:noProof/>
          <w:lang w:val="hu-HU"/>
        </w:rPr>
        <w:t>, ACE-gátlók, angiotenzin II-receptor-blokkolók, nem-szteroid gyulladáscsökkentő gyógyszerek (beleértve a szelektív COX-2-gátlókat), heparin, immunszuppresszív szerek (ciklosporin</w:t>
      </w:r>
      <w:r>
        <w:rPr>
          <w:rFonts w:ascii="Times New Roman" w:hAnsi="Times New Roman" w:cs="Times New Roman"/>
          <w:noProof/>
          <w:lang w:val="hu-HU"/>
        </w:rPr>
        <w:t xml:space="preserve"> </w:t>
      </w:r>
      <w:r w:rsidR="008F2FFB" w:rsidRPr="0014358A">
        <w:rPr>
          <w:rFonts w:ascii="Times New Roman" w:hAnsi="Times New Roman" w:cs="Times New Roman"/>
          <w:noProof/>
          <w:lang w:val="hu-HU"/>
        </w:rPr>
        <w:t>vagy takrolimusz), valamint a trimetoprim.</w:t>
      </w:r>
    </w:p>
    <w:p w14:paraId="42C663EA" w14:textId="26E21E3B" w:rsidR="008F2FFB" w:rsidRPr="0014358A" w:rsidRDefault="00146742" w:rsidP="008F2FFB">
      <w:pPr>
        <w:pStyle w:val="Listaszerbekezds"/>
        <w:numPr>
          <w:ilvl w:val="2"/>
          <w:numId w:val="5"/>
        </w:num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e</w:t>
      </w:r>
      <w:r w:rsidR="008F2FFB" w:rsidRPr="0014358A">
        <w:rPr>
          <w:rFonts w:ascii="Times New Roman" w:hAnsi="Times New Roman" w:cs="Times New Roman"/>
          <w:noProof/>
          <w:lang w:val="hu-HU"/>
        </w:rPr>
        <w:t xml:space="preserve">gyidejű események, különösképpen dehidráció, akut cardialis decompensatio, metabolikus acidosis, vesefunkció-romlás, a vese állapotának hirtelen romlása (pl.: fertőző </w:t>
      </w:r>
      <w:r>
        <w:rPr>
          <w:rFonts w:ascii="Times New Roman" w:hAnsi="Times New Roman" w:cs="Times New Roman"/>
          <w:noProof/>
          <w:lang w:val="hu-HU"/>
        </w:rPr>
        <w:t>betegségek</w:t>
      </w:r>
      <w:r w:rsidR="008F2FFB" w:rsidRPr="0014358A">
        <w:rPr>
          <w:rFonts w:ascii="Times New Roman" w:hAnsi="Times New Roman" w:cs="Times New Roman"/>
          <w:noProof/>
          <w:lang w:val="hu-HU"/>
        </w:rPr>
        <w:t>), sejtszétesés (pl.: akut végtagi ischaemia, rhabdomyolisis, kiterjedt trauma).</w:t>
      </w:r>
      <w:r w:rsidR="008F2FFB" w:rsidRPr="0014358A">
        <w:rPr>
          <w:rFonts w:ascii="Times New Roman" w:hAnsi="Times New Roman" w:cs="Times New Roman"/>
          <w:noProof/>
          <w:lang w:val="hu-HU"/>
        </w:rPr>
        <w:cr/>
      </w:r>
    </w:p>
    <w:p w14:paraId="07406211" w14:textId="02337E06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kockázat</w:t>
      </w:r>
      <w:r w:rsidR="00146742">
        <w:rPr>
          <w:rFonts w:ascii="Times New Roman" w:hAnsi="Times New Roman" w:cs="Times New Roman"/>
          <w:noProof/>
          <w:lang w:val="hu-HU"/>
        </w:rPr>
        <w:t>nak kitett</w:t>
      </w:r>
      <w:r w:rsidRPr="0014358A">
        <w:rPr>
          <w:rFonts w:ascii="Times New Roman" w:hAnsi="Times New Roman" w:cs="Times New Roman"/>
          <w:noProof/>
          <w:lang w:val="hu-HU"/>
        </w:rPr>
        <w:t xml:space="preserve"> betegeknél a káliumszint szoros ellenőrzése javasolt (lásd 4.5 pont).</w:t>
      </w:r>
    </w:p>
    <w:p w14:paraId="0BFEE13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BEBEEEA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Etnikai különbségek</w:t>
      </w:r>
    </w:p>
    <w:p w14:paraId="2B0E7CDB" w14:textId="318EA0BF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Az angiotenzinkonvertálóenzim-gátlókhoz hasonlóan úgy tűnik, </w:t>
      </w:r>
      <w:r w:rsidR="00146742">
        <w:rPr>
          <w:rFonts w:ascii="Times New Roman" w:hAnsi="Times New Roman" w:cs="Times New Roman"/>
          <w:noProof/>
          <w:lang w:val="hu-HU"/>
        </w:rPr>
        <w:t xml:space="preserve">hogy </w:t>
      </w:r>
      <w:r w:rsidRPr="0014358A">
        <w:rPr>
          <w:rFonts w:ascii="Times New Roman" w:hAnsi="Times New Roman" w:cs="Times New Roman"/>
          <w:noProof/>
          <w:lang w:val="hu-HU"/>
        </w:rPr>
        <w:t>a telmizartán és más angiotenzin II-receptor-blokkolók kevésbé csökkentik a vérnyomást a fekete populációban, mint a nem feketében; ennek az lehet az oka, hogy a fekete hypertoniás betegeknél gyakoribb az alacsony reninszint.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A7155CA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Ischaemiás szívbetegség</w:t>
      </w:r>
    </w:p>
    <w:p w14:paraId="0EB41184" w14:textId="47B98104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Miként más vérnyomáscsökkentő szerek esetében is, ischaemiás szívbetegségben vagy ischaemiás cardiovascularis betegségben szenvedő betegeknél a vérnyomás </w:t>
      </w:r>
      <w:r w:rsidR="00146742">
        <w:rPr>
          <w:rFonts w:ascii="Times New Roman" w:hAnsi="Times New Roman" w:cs="Times New Roman"/>
          <w:noProof/>
          <w:lang w:val="hu-HU"/>
        </w:rPr>
        <w:t>nagymértékű</w:t>
      </w:r>
      <w:r w:rsidR="00146742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csökkentése myocardialis infarctus vagy stroke kialakulásához vezethet.</w:t>
      </w:r>
    </w:p>
    <w:p w14:paraId="74288979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8371A59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Intestinalis angiooedema</w:t>
      </w:r>
    </w:p>
    <w:p w14:paraId="28760E4F" w14:textId="53652B84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Intestinalis angiooedemáról számoltak be angiotenzin II-receptor-blokkolóval kezelt betegeknél (lásd 4.8 pont). Ezeknél a betegeknél abdominalis fájdalom, hányinger, hányás és hasmenés jelentkezett. A tünetek az angiotenzin II-receptor-blokkolóval végzett kezelés leállítása után megszűntek.</w:t>
      </w:r>
      <w:r w:rsidR="00146742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Amennyiben intestinalis angiooedemát diagnosztizálnak, a telmizartán-kezelést le kell állítani, és a beteget megfelelően monitorozni kell mindaddig, amíg a tünetek teljes mértékben meg nem szűnnek.</w:t>
      </w:r>
    </w:p>
    <w:p w14:paraId="7971CE22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CB7288C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Nátrium</w:t>
      </w:r>
    </w:p>
    <w:p w14:paraId="5757DB06" w14:textId="0D3F0740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készítmény kevesebb mint 1</w:t>
      </w:r>
      <w:r w:rsidR="00146742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mmol (23</w:t>
      </w:r>
      <w:r w:rsidR="00146742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mg) nátriumot tartalmaz tablettánként, azaz gyakorlatilag „nátriummentes”.</w:t>
      </w:r>
    </w:p>
    <w:p w14:paraId="4E1111AE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3DA13C2" w14:textId="7034EE10" w:rsidR="008F2FFB" w:rsidRPr="0014358A" w:rsidRDefault="008F2FFB" w:rsidP="003767D7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Gyógyszerkölcsönhatások és egyéb interakciók</w:t>
      </w:r>
    </w:p>
    <w:p w14:paraId="1F469007" w14:textId="77777777" w:rsidR="008F2FFB" w:rsidRPr="0014358A" w:rsidRDefault="008F2FFB" w:rsidP="003767D7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654A2CC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Digoxin</w:t>
      </w:r>
    </w:p>
    <w:p w14:paraId="29197A00" w14:textId="69CB07E5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A8497A">
        <w:rPr>
          <w:rFonts w:ascii="Times New Roman" w:hAnsi="Times New Roman" w:cs="Times New Roman"/>
          <w:noProof/>
          <w:lang w:val="hu-HU"/>
        </w:rPr>
        <w:t xml:space="preserve">Ha a telmizartánt digoxinnal adták együtt, a digoxin </w:t>
      </w:r>
      <w:r w:rsidR="00A8497A" w:rsidRPr="00A8497A">
        <w:rPr>
          <w:rFonts w:ascii="Times New Roman" w:hAnsi="Times New Roman" w:cs="Times New Roman"/>
          <w:noProof/>
          <w:lang w:val="hu-HU"/>
        </w:rPr>
        <w:t>plazma</w:t>
      </w:r>
      <w:r w:rsidR="00A8497A">
        <w:rPr>
          <w:rFonts w:ascii="Times New Roman" w:hAnsi="Times New Roman" w:cs="Times New Roman"/>
          <w:noProof/>
          <w:lang w:val="hu-HU"/>
        </w:rPr>
        <w:t xml:space="preserve">beli </w:t>
      </w:r>
      <w:r w:rsidRPr="00A8497A">
        <w:rPr>
          <w:rFonts w:ascii="Times New Roman" w:hAnsi="Times New Roman" w:cs="Times New Roman"/>
          <w:noProof/>
          <w:lang w:val="hu-HU"/>
        </w:rPr>
        <w:t>csúcskoncentráció</w:t>
      </w:r>
      <w:r w:rsidR="00A8497A">
        <w:rPr>
          <w:rFonts w:ascii="Times New Roman" w:hAnsi="Times New Roman" w:cs="Times New Roman"/>
          <w:noProof/>
          <w:lang w:val="hu-HU"/>
        </w:rPr>
        <w:t>jának</w:t>
      </w:r>
      <w:r w:rsidRPr="00A8497A">
        <w:rPr>
          <w:rFonts w:ascii="Times New Roman" w:hAnsi="Times New Roman" w:cs="Times New Roman"/>
          <w:noProof/>
          <w:lang w:val="hu-HU"/>
        </w:rPr>
        <w:t xml:space="preserve"> (49%) és a mélyponti</w:t>
      </w:r>
      <w:r w:rsidRPr="0014358A">
        <w:rPr>
          <w:rFonts w:ascii="Times New Roman" w:hAnsi="Times New Roman" w:cs="Times New Roman"/>
          <w:noProof/>
          <w:lang w:val="hu-HU"/>
        </w:rPr>
        <w:t xml:space="preserve"> koncentráció</w:t>
      </w:r>
      <w:r w:rsidR="00A8497A">
        <w:rPr>
          <w:rFonts w:ascii="Times New Roman" w:hAnsi="Times New Roman" w:cs="Times New Roman"/>
          <w:noProof/>
          <w:lang w:val="hu-HU"/>
        </w:rPr>
        <w:t>jának</w:t>
      </w:r>
      <w:r w:rsidRPr="0014358A">
        <w:rPr>
          <w:rFonts w:ascii="Times New Roman" w:hAnsi="Times New Roman" w:cs="Times New Roman"/>
          <w:noProof/>
          <w:lang w:val="hu-HU"/>
        </w:rPr>
        <w:t xml:space="preserve"> (20%) medián érték</w:t>
      </w:r>
      <w:r w:rsidR="00A8497A">
        <w:rPr>
          <w:rFonts w:ascii="Times New Roman" w:hAnsi="Times New Roman" w:cs="Times New Roman"/>
          <w:noProof/>
          <w:lang w:val="hu-HU"/>
        </w:rPr>
        <w:t>ei</w:t>
      </w:r>
      <w:r w:rsidRPr="0014358A">
        <w:rPr>
          <w:rFonts w:ascii="Times New Roman" w:hAnsi="Times New Roman" w:cs="Times New Roman"/>
          <w:noProof/>
          <w:lang w:val="hu-HU"/>
        </w:rPr>
        <w:t>nek emelkedését figyelték meg. A telmizartán-kezelés elkezdésekor, módosításakor és leállításakor a digoxin szintjét monitorozni kell, hogy az a terápiás tartományban maradjon.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7C9655B0" w14:textId="54BCEE3A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renin-angiotenzin-aldoszteron rendszerre ható más gyógyszerekhez hasonlóan</w:t>
      </w:r>
      <w:r w:rsidR="00A8497A">
        <w:rPr>
          <w:rFonts w:ascii="Times New Roman" w:hAnsi="Times New Roman" w:cs="Times New Roman"/>
          <w:noProof/>
          <w:lang w:val="hu-HU"/>
        </w:rPr>
        <w:t>,</w:t>
      </w:r>
      <w:r w:rsidRPr="0014358A">
        <w:rPr>
          <w:rFonts w:ascii="Times New Roman" w:hAnsi="Times New Roman" w:cs="Times New Roman"/>
          <w:noProof/>
          <w:lang w:val="hu-HU"/>
        </w:rPr>
        <w:t xml:space="preserve"> a telmizartán is okozhat hyperkalaemiát (lásd 4.4 pont). Ennek kockázatát fokozza olyan gyógyszerrel történő kombinál</w:t>
      </w:r>
      <w:r w:rsidR="00A8497A">
        <w:rPr>
          <w:rFonts w:ascii="Times New Roman" w:hAnsi="Times New Roman" w:cs="Times New Roman"/>
          <w:noProof/>
          <w:lang w:val="hu-HU"/>
        </w:rPr>
        <w:t>t kezelés</w:t>
      </w:r>
      <w:r w:rsidRPr="0014358A">
        <w:rPr>
          <w:rFonts w:ascii="Times New Roman" w:hAnsi="Times New Roman" w:cs="Times New Roman"/>
          <w:noProof/>
          <w:lang w:val="hu-HU"/>
        </w:rPr>
        <w:t xml:space="preserve">, ami szintén okozhat hyperkalaemiát (káliumtartalmú sópótló készítmények, káliummegtakarító </w:t>
      </w:r>
      <w:r w:rsidR="00A8497A">
        <w:rPr>
          <w:rFonts w:ascii="Times New Roman" w:hAnsi="Times New Roman" w:cs="Times New Roman"/>
          <w:noProof/>
          <w:lang w:val="hu-HU"/>
        </w:rPr>
        <w:t>diuretikumok</w:t>
      </w:r>
      <w:r w:rsidRPr="0014358A">
        <w:rPr>
          <w:rFonts w:ascii="Times New Roman" w:hAnsi="Times New Roman" w:cs="Times New Roman"/>
          <w:noProof/>
          <w:lang w:val="hu-HU"/>
        </w:rPr>
        <w:t xml:space="preserve">, ACE-gátlók, angiotenzin II-receptor-blokkolók, nem-szteroid gyulladáscsökkentő gyógyszerek </w:t>
      </w:r>
      <w:r w:rsidR="00A8497A">
        <w:rPr>
          <w:rFonts w:ascii="Times New Roman" w:hAnsi="Times New Roman" w:cs="Times New Roman"/>
          <w:noProof/>
          <w:lang w:val="hu-HU"/>
        </w:rPr>
        <w:t>[</w:t>
      </w:r>
      <w:r w:rsidRPr="0014358A">
        <w:rPr>
          <w:rFonts w:ascii="Times New Roman" w:hAnsi="Times New Roman" w:cs="Times New Roman"/>
          <w:noProof/>
          <w:lang w:val="hu-HU"/>
        </w:rPr>
        <w:t>beleértve a szelekt</w:t>
      </w:r>
      <w:r w:rsidR="00F90EDB">
        <w:rPr>
          <w:rFonts w:ascii="Times New Roman" w:hAnsi="Times New Roman" w:cs="Times New Roman"/>
          <w:noProof/>
          <w:lang w:val="hu-HU"/>
        </w:rPr>
        <w:t>í</w:t>
      </w:r>
      <w:r w:rsidRPr="0014358A">
        <w:rPr>
          <w:rFonts w:ascii="Times New Roman" w:hAnsi="Times New Roman" w:cs="Times New Roman"/>
          <w:noProof/>
          <w:lang w:val="hu-HU"/>
        </w:rPr>
        <w:t>v COX-2-gátlókat</w:t>
      </w:r>
      <w:r w:rsidR="00F90EDB">
        <w:rPr>
          <w:rFonts w:ascii="Times New Roman" w:hAnsi="Times New Roman" w:cs="Times New Roman"/>
          <w:noProof/>
          <w:lang w:val="hu-HU"/>
        </w:rPr>
        <w:t>]</w:t>
      </w:r>
      <w:r w:rsidRPr="0014358A">
        <w:rPr>
          <w:rFonts w:ascii="Times New Roman" w:hAnsi="Times New Roman" w:cs="Times New Roman"/>
          <w:noProof/>
          <w:lang w:val="hu-HU"/>
        </w:rPr>
        <w:t xml:space="preserve">, heparin, immunszuppresszív szerek </w:t>
      </w:r>
      <w:r w:rsidR="00F90EDB">
        <w:rPr>
          <w:rFonts w:ascii="Times New Roman" w:hAnsi="Times New Roman" w:cs="Times New Roman"/>
          <w:noProof/>
          <w:lang w:val="hu-HU"/>
        </w:rPr>
        <w:t>[</w:t>
      </w:r>
      <w:r w:rsidRPr="0014358A">
        <w:rPr>
          <w:rFonts w:ascii="Times New Roman" w:hAnsi="Times New Roman" w:cs="Times New Roman"/>
          <w:noProof/>
          <w:lang w:val="hu-HU"/>
        </w:rPr>
        <w:t>ciklosporin</w:t>
      </w:r>
      <w:r w:rsidR="00F90EDB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vagy takrolimusz</w:t>
      </w:r>
      <w:r w:rsidR="00F90EDB">
        <w:rPr>
          <w:rFonts w:ascii="Times New Roman" w:hAnsi="Times New Roman" w:cs="Times New Roman"/>
          <w:noProof/>
          <w:lang w:val="hu-HU"/>
        </w:rPr>
        <w:t>]</w:t>
      </w:r>
      <w:r w:rsidRPr="0014358A">
        <w:rPr>
          <w:rFonts w:ascii="Times New Roman" w:hAnsi="Times New Roman" w:cs="Times New Roman"/>
          <w:noProof/>
          <w:lang w:val="hu-HU"/>
        </w:rPr>
        <w:t>, valamint a trimetoprim).</w:t>
      </w:r>
    </w:p>
    <w:p w14:paraId="09D17AC2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7F6118F" w14:textId="025E38A6" w:rsidR="00544098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hyperkalaemia kialakulása az egyidejűleg fennálló </w:t>
      </w:r>
      <w:r w:rsidR="00F90EDB">
        <w:rPr>
          <w:rFonts w:ascii="Times New Roman" w:hAnsi="Times New Roman" w:cs="Times New Roman"/>
          <w:noProof/>
          <w:lang w:val="hu-HU"/>
        </w:rPr>
        <w:t xml:space="preserve">kockázati </w:t>
      </w:r>
      <w:r w:rsidRPr="0014358A">
        <w:rPr>
          <w:rFonts w:ascii="Times New Roman" w:hAnsi="Times New Roman" w:cs="Times New Roman"/>
          <w:noProof/>
          <w:lang w:val="hu-HU"/>
        </w:rPr>
        <w:t>tényezőktől függ. Fokozott a kockázat a fent említett gyógyszer</w:t>
      </w:r>
      <w:r w:rsidR="00F90EDB">
        <w:rPr>
          <w:rFonts w:ascii="Times New Roman" w:hAnsi="Times New Roman" w:cs="Times New Roman"/>
          <w:noProof/>
          <w:lang w:val="hu-HU"/>
        </w:rPr>
        <w:t xml:space="preserve">ek </w:t>
      </w:r>
      <w:r w:rsidRPr="0014358A">
        <w:rPr>
          <w:rFonts w:ascii="Times New Roman" w:hAnsi="Times New Roman" w:cs="Times New Roman"/>
          <w:noProof/>
          <w:lang w:val="hu-HU"/>
        </w:rPr>
        <w:t>kombiná</w:t>
      </w:r>
      <w:r w:rsidR="00F90EDB">
        <w:rPr>
          <w:rFonts w:ascii="Times New Roman" w:hAnsi="Times New Roman" w:cs="Times New Roman"/>
          <w:noProof/>
          <w:lang w:val="hu-HU"/>
        </w:rPr>
        <w:t>lt alkalmazása</w:t>
      </w:r>
      <w:r w:rsidRPr="0014358A">
        <w:rPr>
          <w:rFonts w:ascii="Times New Roman" w:hAnsi="Times New Roman" w:cs="Times New Roman"/>
          <w:noProof/>
          <w:lang w:val="hu-HU"/>
        </w:rPr>
        <w:t xml:space="preserve"> esetén. A kockázat különösen </w:t>
      </w:r>
      <w:r w:rsidR="00F90EDB">
        <w:rPr>
          <w:rFonts w:ascii="Times New Roman" w:hAnsi="Times New Roman" w:cs="Times New Roman"/>
          <w:noProof/>
          <w:lang w:val="hu-HU"/>
        </w:rPr>
        <w:t>nagy</w:t>
      </w:r>
      <w:r w:rsidR="00F90EDB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káliummegtakarító</w:t>
      </w:r>
      <w:r w:rsidR="00544098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diuretikummal vagy káliumtartalm</w:t>
      </w:r>
      <w:r w:rsidR="00F90EDB">
        <w:rPr>
          <w:rFonts w:ascii="Times New Roman" w:hAnsi="Times New Roman" w:cs="Times New Roman"/>
          <w:noProof/>
          <w:lang w:val="hu-HU"/>
        </w:rPr>
        <w:t>ú</w:t>
      </w:r>
      <w:r w:rsidRPr="0014358A">
        <w:rPr>
          <w:rFonts w:ascii="Times New Roman" w:hAnsi="Times New Roman" w:cs="Times New Roman"/>
          <w:noProof/>
          <w:lang w:val="hu-HU"/>
        </w:rPr>
        <w:t xml:space="preserve"> sópótló készítménnyel történő kombináció </w:t>
      </w:r>
      <w:r w:rsidR="00F90EDB">
        <w:rPr>
          <w:rFonts w:ascii="Times New Roman" w:hAnsi="Times New Roman" w:cs="Times New Roman"/>
          <w:noProof/>
          <w:lang w:val="hu-HU"/>
        </w:rPr>
        <w:t>esetén</w:t>
      </w:r>
      <w:r w:rsidRPr="0014358A">
        <w:rPr>
          <w:rFonts w:ascii="Times New Roman" w:hAnsi="Times New Roman" w:cs="Times New Roman"/>
          <w:noProof/>
          <w:lang w:val="hu-HU"/>
        </w:rPr>
        <w:t>. Ugyanakkor például az ACE-gátlókkal vagy nem-szteroid gyulladáscsökkentőkkel való egyidejű alkalmazás kisebb kockázatot jelent, feltéve, hogy az alkalmazással kapcsolatos óvintézkedéseket szigorúan betartják.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E56CC93" w14:textId="5ED6F80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Egyidejű alkalmazás nem javasolt.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1FFAF8F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Káliummegtakarító diuretikumok vagy káliumpótló készítmények</w:t>
      </w:r>
    </w:p>
    <w:p w14:paraId="4D1364D8" w14:textId="3C4BE7FB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Az angiotenzin II-receptor-blokkolók, így a telmizartán is, mérséklik a </w:t>
      </w:r>
      <w:r w:rsidR="00F90EDB">
        <w:rPr>
          <w:rFonts w:ascii="Times New Roman" w:hAnsi="Times New Roman" w:cs="Times New Roman"/>
          <w:noProof/>
          <w:lang w:val="hu-HU"/>
        </w:rPr>
        <w:t>diuretikumok</w:t>
      </w:r>
      <w:r w:rsidR="00F90EDB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okozta káliumvesztést. A káliummegtakarító diuretikumok, mint például a spironolakton, eplerenon, triamteren vagy az amilorid, a káliumpótló vagy káliumot tartalmazó sópótló készítmények jelentősen megemelhetik a szérum káliumszintjét. Ha egyidejű alkalmazásuk dokumentált hypokalaemia miatt indokolt, csak óvatosan és a szérum káliumszintjének gyakori ellenőrzése mellett alkalmazhatók.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5C5688C8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Lítium</w:t>
      </w:r>
    </w:p>
    <w:p w14:paraId="04259C62" w14:textId="470F63D2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szérum lítiumszintjének reverzibilis emelkedéséről és toxicitásról számoltak be a lítium angiotenzinkonvertálóenzim-gátlókkal, és angiotenzin II-receptor-blokkolókkal – köztük a telmizartánnal – történő egyidejű alkalmazása kapcsán. Amennyiben ilyen kombináció alkalmazása szükséges, a szérum lítiumszintjének gondos ellenőrzése javasolt.</w:t>
      </w:r>
    </w:p>
    <w:p w14:paraId="6D658F93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9E4ED6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Óvatosságot igénylő egyidejű alkalmazás.</w:t>
      </w:r>
    </w:p>
    <w:p w14:paraId="412F5058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2E9D894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Nem-szteroid gyulladáscsökkentők</w:t>
      </w:r>
    </w:p>
    <w:p w14:paraId="77C0E6B7" w14:textId="34754EC0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nem-szteroid gyulladáscsökkentők (úgymint a gyulladáscsökkentő dózisban alkalmazott acetilszalicilsav, COX-2-gátlók és nem szelektív nem-szteroid gyulladáscsökkentők) csökkenthetik az angiotenzin II-receptor-blokkolók antihipertenzív hatását. Néhány vesekárosodásban szenvedő</w:t>
      </w:r>
      <w:r w:rsidR="00653094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betegnél (pl.: dehidr</w:t>
      </w:r>
      <w:r w:rsidR="00F90EDB">
        <w:rPr>
          <w:rFonts w:ascii="Times New Roman" w:hAnsi="Times New Roman" w:cs="Times New Roman"/>
          <w:noProof/>
          <w:lang w:val="hu-HU"/>
        </w:rPr>
        <w:t>at</w:t>
      </w:r>
      <w:r w:rsidRPr="0014358A">
        <w:rPr>
          <w:rFonts w:ascii="Times New Roman" w:hAnsi="Times New Roman" w:cs="Times New Roman"/>
          <w:noProof/>
          <w:lang w:val="hu-HU"/>
        </w:rPr>
        <w:t>ált betegek, vesekárosodásban szenvedő idős betegek) az angiotenzin II-receptor</w:t>
      </w:r>
      <w:r w:rsidR="00F90EDB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blokkolók és ciklooxigenáz-gátlók egyidejű alkalmazása a vesefunkció további rosszabbodását, esetleg akut veseelégtelenséget</w:t>
      </w:r>
      <w:r w:rsidR="00F90EDB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okozhat, mely általában reverzibilis. Emiatt a kombináció csak óvatosan alkalmazható, különösen időseknél. A betegeket megfelelően hidrálni kell, illetve megfontolandó a vesefunkciónak az egyidejű kezelés megkezdését követően, illetve azután bizonyos időközönként történő ellenőrzése.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3E0615A0" w14:textId="7FC5E469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Egy vizsgálatban a telmizartán és a ramipril együttadása a ramipril és a ramiprilát AUC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0-24</w:t>
      </w:r>
      <w:r w:rsidRPr="0014358A">
        <w:rPr>
          <w:rFonts w:ascii="Times New Roman" w:hAnsi="Times New Roman" w:cs="Times New Roman"/>
          <w:noProof/>
          <w:lang w:val="hu-HU"/>
        </w:rPr>
        <w:t>- és 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max</w:t>
      </w:r>
      <w:r w:rsidRPr="0014358A">
        <w:rPr>
          <w:rFonts w:ascii="Times New Roman" w:hAnsi="Times New Roman" w:cs="Times New Roman"/>
          <w:noProof/>
          <w:lang w:val="hu-HU"/>
        </w:rPr>
        <w:t>-értékének 2,5-szeres növekedéséhez vezetett. Ennek a megfigyelésnek a klinikai jelentősége nem ismert.</w:t>
      </w:r>
    </w:p>
    <w:p w14:paraId="48998B82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68E1011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Diuretikumok (tiazidok és kacsdiuretikumok)</w:t>
      </w:r>
    </w:p>
    <w:p w14:paraId="66190923" w14:textId="20285A96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korábbi nagy dózisú diuretikus kezelés, mint például furoszemid- (kacsdiuretikum) és hidroklorotiazid- (tiazid diuretikum) kezelés volumenvesztést, illetve hypot</w:t>
      </w:r>
      <w:r w:rsidR="00F90EDB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F90EDB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F90EDB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kialakulásá</w:t>
      </w:r>
      <w:r w:rsidR="00F90EDB">
        <w:rPr>
          <w:rFonts w:ascii="Times New Roman" w:hAnsi="Times New Roman" w:cs="Times New Roman"/>
          <w:noProof/>
          <w:lang w:val="hu-HU"/>
        </w:rPr>
        <w:t>nak kockázatá</w:t>
      </w:r>
      <w:r w:rsidRPr="0014358A">
        <w:rPr>
          <w:rFonts w:ascii="Times New Roman" w:hAnsi="Times New Roman" w:cs="Times New Roman"/>
          <w:noProof/>
          <w:lang w:val="hu-HU"/>
        </w:rPr>
        <w:t>t okozhatja a telmizartán-kezelés megkezdésekor.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71A9BA3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Egyidejű alkalmazásukkor ezt figyelembe kell venni.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DC1AE90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Egyéb vérnyomáscsökkentő szerek</w:t>
      </w:r>
    </w:p>
    <w:p w14:paraId="5C5F4F83" w14:textId="15FE1A11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vérnyomáscsökkentő hatását más vérnyomáscsökkentő készítmények egyidejű alkalmazása fokozhatja.</w:t>
      </w:r>
    </w:p>
    <w:p w14:paraId="505B578E" w14:textId="24D2851E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klinikai vizsgálati adatok azt mutatták, hogy a renin-angiotenzin-aldoszteron rendszernek (RAAS) ACE-gátlók, angiotenzin II-receptor-blokkolók vagy aliszkirén kombinációjával történő kettős blokádja nagyobb gyakorisággal okoz mellékhatásokat, például hypotoniát, hyperkalaemiát vagy beszűkült veseműködést (többek között akut veseelégtelenséget is), mint csak egyféle RAAS-ra ható szer alkalmazása (lásd 4.3, 4.4 és 5.1 pont).</w:t>
      </w:r>
    </w:p>
    <w:p w14:paraId="75F9E32C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AF6B94B" w14:textId="4727F074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Farmakológiai tulajdonságaik alapján várható, hogy a következő gyógyszerek fokozhatják valamennyi típusú vérnyomáscsökkentő szer, így a telmizartán antihipertenzív hatását: baklofén, amifosztin.</w:t>
      </w:r>
    </w:p>
    <w:p w14:paraId="3124A71E" w14:textId="62406250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Ezenkívül az orthostaticus hypotoniát az alkohol, barbiturátok, kábító fájdalomcsillapítók, illetve az antidepresszánsok súlyosbíthatják.</w:t>
      </w:r>
    </w:p>
    <w:p w14:paraId="30200745" w14:textId="77777777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62BF845" w14:textId="2013BC00" w:rsidR="008F2FF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Kortikoszteroidok (szisztémás adagolás)</w:t>
      </w:r>
    </w:p>
    <w:p w14:paraId="7EE60D2D" w14:textId="77777777" w:rsidR="00BD4FDB" w:rsidRPr="0014358A" w:rsidRDefault="008F2FF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vérnyomáscsökkentő hatás csökkenése.</w:t>
      </w:r>
    </w:p>
    <w:p w14:paraId="0DD4E14D" w14:textId="77777777" w:rsidR="00BD4FDB" w:rsidRPr="0014358A" w:rsidRDefault="00BD4FDB" w:rsidP="008F2FF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8244560" w14:textId="7286319D" w:rsidR="00BD4FDB" w:rsidRPr="0014358A" w:rsidRDefault="00BD4FDB" w:rsidP="00F7788F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Termékenység, terhesség és szoptatás</w:t>
      </w:r>
    </w:p>
    <w:p w14:paraId="0DA588BD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70741D7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Terhesség</w:t>
      </w:r>
    </w:p>
    <w:p w14:paraId="7C09F189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D4FDB" w:rsidRPr="0043058C" w14:paraId="11D69920" w14:textId="77777777">
        <w:tc>
          <w:tcPr>
            <w:tcW w:w="9060" w:type="dxa"/>
          </w:tcPr>
          <w:p w14:paraId="6A518646" w14:textId="5B087E8A" w:rsidR="003F5E38" w:rsidRPr="0014358A" w:rsidRDefault="003F5E38" w:rsidP="003F5E38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Az angiotenzin II-receptor-blokkolók alkalmazása nem javasolt a terhesség első trimeszterében (lásd 4.4 pont).</w:t>
            </w:r>
          </w:p>
          <w:p w14:paraId="5376DBAF" w14:textId="257626B1" w:rsidR="00BD4FDB" w:rsidRPr="0014358A" w:rsidRDefault="003F5E38" w:rsidP="003F5E38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Az angiotenzin II-receptor-blokkolók alkalmazása ellenjavallt a terhesség második és harmadik trimeszterében (lásd 4.3 és 4.4 pont).</w:t>
            </w:r>
          </w:p>
        </w:tc>
      </w:tr>
    </w:tbl>
    <w:p w14:paraId="07514D11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FC9F2A1" w14:textId="7031ED16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terhes nőknél történő alkalmazásáról nincs megfelelő adat. Az állatokn</w:t>
      </w:r>
      <w:r w:rsidR="00F90EDB">
        <w:rPr>
          <w:rFonts w:ascii="Times New Roman" w:hAnsi="Times New Roman" w:cs="Times New Roman"/>
          <w:noProof/>
          <w:lang w:val="hu-HU"/>
        </w:rPr>
        <w:t>ál</w:t>
      </w:r>
      <w:r w:rsidRPr="0014358A">
        <w:rPr>
          <w:rFonts w:ascii="Times New Roman" w:hAnsi="Times New Roman" w:cs="Times New Roman"/>
          <w:noProof/>
          <w:lang w:val="hu-HU"/>
        </w:rPr>
        <w:t xml:space="preserve"> végzett </w:t>
      </w:r>
      <w:r w:rsidR="00F90EDB">
        <w:rPr>
          <w:rFonts w:ascii="Times New Roman" w:hAnsi="Times New Roman" w:cs="Times New Roman"/>
          <w:noProof/>
          <w:lang w:val="hu-HU"/>
        </w:rPr>
        <w:t>vizsgálatok</w:t>
      </w:r>
      <w:r w:rsidR="00F90EDB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reprodukciós toxicitást mutattak (lásd 5.3 pont).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1FAA01CA" w14:textId="221219E0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F90EDB">
        <w:rPr>
          <w:rFonts w:ascii="Times New Roman" w:hAnsi="Times New Roman" w:cs="Times New Roman"/>
          <w:noProof/>
          <w:lang w:val="hu-HU"/>
        </w:rPr>
        <w:t>A terhesség első harmada alatti ACE-gátló-expozíciót követő teratogenitási kockázatra vonatkozó</w:t>
      </w:r>
      <w:r w:rsidRPr="0014358A">
        <w:rPr>
          <w:rFonts w:ascii="Times New Roman" w:hAnsi="Times New Roman" w:cs="Times New Roman"/>
          <w:noProof/>
          <w:lang w:val="hu-HU"/>
        </w:rPr>
        <w:t xml:space="preserve"> epidemiológiai bizonyíték nem volt meggyőző, a kockázat kis mértékű növekedése azonban nem zárható ki. Mivel az angiotenzin II (ATII) -receptor-blokkolók alkalmazásával járó kockázatra vonatkozóan nem állnak rendelkezésre kontroll</w:t>
      </w:r>
      <w:r w:rsidR="00F90EDB">
        <w:rPr>
          <w:rFonts w:ascii="Times New Roman" w:hAnsi="Times New Roman" w:cs="Times New Roman"/>
          <w:noProof/>
          <w:lang w:val="hu-HU"/>
        </w:rPr>
        <w:t>os</w:t>
      </w:r>
      <w:r w:rsidRPr="0014358A">
        <w:rPr>
          <w:rFonts w:ascii="Times New Roman" w:hAnsi="Times New Roman" w:cs="Times New Roman"/>
          <w:noProof/>
          <w:lang w:val="hu-HU"/>
        </w:rPr>
        <w:t xml:space="preserve"> epidemiológiai adatok, hasonló kockázattal lehet számolni ezen gyógyszercsoport esetén is. Hacsak az angiotenzin II-receptor-blokkolóval történő kezelés folytatása nem elengedhetetlen, a terhességet tervező betegeket olyan más antihipertenzív kezelésre kell átállítani, melynek a terhesség alatti alkalmazásra vonatkozó biztonságossági profilja megalapozott. Terhesség megállapítását követően az ATII-receptor-blokkolók szedését azonnal abba kell hagyni és amennyiben szükséges, </w:t>
      </w:r>
      <w:r w:rsidR="00F90EDB">
        <w:rPr>
          <w:rFonts w:ascii="Times New Roman" w:hAnsi="Times New Roman" w:cs="Times New Roman"/>
          <w:noProof/>
          <w:lang w:val="hu-HU"/>
        </w:rPr>
        <w:t>egy</w:t>
      </w:r>
      <w:r w:rsidRPr="0014358A">
        <w:rPr>
          <w:rFonts w:ascii="Times New Roman" w:hAnsi="Times New Roman" w:cs="Times New Roman"/>
          <w:noProof/>
          <w:lang w:val="hu-HU"/>
        </w:rPr>
        <w:t xml:space="preserve"> másik kezelést el kell kezdeni.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605F39F9" w14:textId="2B776ADC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Az angiotenzin II-receptor-blokkolóval való kezelés a terhesség második és harmadik </w:t>
      </w:r>
      <w:r w:rsidR="00F90EDB">
        <w:rPr>
          <w:rFonts w:ascii="Times New Roman" w:hAnsi="Times New Roman" w:cs="Times New Roman"/>
          <w:noProof/>
          <w:lang w:val="hu-HU"/>
        </w:rPr>
        <w:t>trimeszterében</w:t>
      </w:r>
      <w:r w:rsidR="00F90EDB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ismerten magzati toxicitást (csökkent vesefunkció, oligohydramnion, a koponyacsontosodás retardációja) és újszülöttkori toxicitást (veseelégtelenség, hypotonia, hyperkalaemia) okoz (lásd 5.3 pont).</w:t>
      </w:r>
    </w:p>
    <w:p w14:paraId="6FC1DD1F" w14:textId="210D6AE3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Amennyiben az angiotenzin II-receptor-blokkoló</w:t>
      </w:r>
      <w:r w:rsidR="00F90EDB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expozíció a terhesség második trimeszteré</w:t>
      </w:r>
      <w:r w:rsidR="00493F1D">
        <w:rPr>
          <w:rFonts w:ascii="Times New Roman" w:hAnsi="Times New Roman" w:cs="Times New Roman"/>
          <w:noProof/>
          <w:lang w:val="hu-HU"/>
        </w:rPr>
        <w:t>ben vagy azután</w:t>
      </w:r>
      <w:r w:rsidRPr="0014358A">
        <w:rPr>
          <w:rFonts w:ascii="Times New Roman" w:hAnsi="Times New Roman" w:cs="Times New Roman"/>
          <w:noProof/>
          <w:lang w:val="hu-HU"/>
        </w:rPr>
        <w:t xml:space="preserve"> történt, a vesefunkció és a koponya ultrahangvizsgálata javasolt.</w:t>
      </w:r>
    </w:p>
    <w:p w14:paraId="244DAA7B" w14:textId="5FAF8F96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Azokat a csecsemőket, akiknek édesanyja angiotenzin II-receptor-blokkolókat szede</w:t>
      </w:r>
      <w:r w:rsidR="00493F1D">
        <w:rPr>
          <w:rFonts w:ascii="Times New Roman" w:hAnsi="Times New Roman" w:cs="Times New Roman"/>
          <w:noProof/>
          <w:lang w:val="hu-HU"/>
        </w:rPr>
        <w:t>tt</w:t>
      </w:r>
      <w:r w:rsidRPr="0014358A">
        <w:rPr>
          <w:rFonts w:ascii="Times New Roman" w:hAnsi="Times New Roman" w:cs="Times New Roman"/>
          <w:noProof/>
          <w:lang w:val="hu-HU"/>
        </w:rPr>
        <w:t>, hypotonia kialakulás</w:t>
      </w:r>
      <w:r w:rsidR="00493F1D">
        <w:rPr>
          <w:rFonts w:ascii="Times New Roman" w:hAnsi="Times New Roman" w:cs="Times New Roman"/>
          <w:noProof/>
          <w:lang w:val="hu-HU"/>
        </w:rPr>
        <w:t>án</w:t>
      </w:r>
      <w:r w:rsidRPr="0014358A">
        <w:rPr>
          <w:rFonts w:ascii="Times New Roman" w:hAnsi="Times New Roman" w:cs="Times New Roman"/>
          <w:noProof/>
          <w:lang w:val="hu-HU"/>
        </w:rPr>
        <w:t>a</w:t>
      </w:r>
      <w:r w:rsidR="00493F1D">
        <w:rPr>
          <w:rFonts w:ascii="Times New Roman" w:hAnsi="Times New Roman" w:cs="Times New Roman"/>
          <w:noProof/>
          <w:lang w:val="hu-HU"/>
        </w:rPr>
        <w:t>k</w:t>
      </w:r>
      <w:r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="00493F1D">
        <w:rPr>
          <w:rFonts w:ascii="Times New Roman" w:hAnsi="Times New Roman" w:cs="Times New Roman"/>
          <w:noProof/>
          <w:lang w:val="hu-HU"/>
        </w:rPr>
        <w:t>észlelése érdekében</w:t>
      </w:r>
      <w:r w:rsidR="00493F1D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szoros megfigyelés alatt kell tartani (lásd 4.3 és 4.4 pont).</w:t>
      </w:r>
    </w:p>
    <w:p w14:paraId="43DEF410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D580D7B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Szoptatás</w:t>
      </w:r>
    </w:p>
    <w:p w14:paraId="27D6258B" w14:textId="255B27D6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Mivel nem áll rendelkezésre információ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szoptatás alatt történő alkalmazására vonatkozóan,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alkalmazása nem javasolt, és</w:t>
      </w:r>
      <w:r w:rsidR="00493F1D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másik, a szoptatásra vonatkozóan jobban alátámasztott biztonságossági profillal rendelkező kezelés választandó, különösen újszülött vagy koraszülött szoptatása esetén.</w:t>
      </w:r>
    </w:p>
    <w:p w14:paraId="3CE78DA6" w14:textId="77777777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D6B0E40" w14:textId="45AA9A20" w:rsidR="00BD4FDB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Termékenység</w:t>
      </w:r>
    </w:p>
    <w:p w14:paraId="76097865" w14:textId="3513FAB5" w:rsidR="009726B4" w:rsidRPr="0014358A" w:rsidRDefault="00BD4FDB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preklinikai vizsgálatok során nem figyeltek meg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által a női és a férfi termékenységre kifejtett hatást.</w:t>
      </w:r>
    </w:p>
    <w:p w14:paraId="547AB4F0" w14:textId="77777777" w:rsidR="009726B4" w:rsidRPr="0014358A" w:rsidRDefault="009726B4" w:rsidP="00BD4FDB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18FF3AF" w14:textId="7A8453AB" w:rsidR="009726B4" w:rsidRPr="0014358A" w:rsidRDefault="009726B4" w:rsidP="003F5E38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készítmény hatásai a gépjárművezetéshez és a gépek kezeléséhez szükséges képességekre</w:t>
      </w:r>
    </w:p>
    <w:p w14:paraId="6E86A91F" w14:textId="5A85D3E9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Gépjárművezetéskor vagy gépek kezelésekor figyelembe kell venni, hogy a vérnyomáscsökkentőkkel (mint például 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>) történő kezelés mellékhatásaként olykor syncope vagy szédülés léphet fel.</w:t>
      </w:r>
    </w:p>
    <w:p w14:paraId="59515FDE" w14:textId="77777777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4908EA5" w14:textId="78BD3803" w:rsidR="009726B4" w:rsidRPr="0014358A" w:rsidRDefault="009726B4" w:rsidP="00216F45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Nemkívánatos hatások, mellékhatások</w:t>
      </w:r>
    </w:p>
    <w:p w14:paraId="1CE4151B" w14:textId="77777777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E024893" w14:textId="77777777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 biztonságossági profil összefoglalása</w:t>
      </w:r>
    </w:p>
    <w:p w14:paraId="5D4DC7D9" w14:textId="7E37BC13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súlyos mellékhatások között szerepel anaphylaxiás reakció és az angiooedema</w:t>
      </w:r>
      <w:r w:rsidR="00493F1D" w:rsidRPr="00493F1D">
        <w:rPr>
          <w:rFonts w:ascii="Times New Roman" w:hAnsi="Times New Roman" w:cs="Times New Roman"/>
          <w:noProof/>
          <w:lang w:val="hu-HU"/>
        </w:rPr>
        <w:t xml:space="preserve"> </w:t>
      </w:r>
      <w:r w:rsidR="00493F1D">
        <w:rPr>
          <w:rFonts w:ascii="Times New Roman" w:hAnsi="Times New Roman" w:cs="Times New Roman"/>
          <w:noProof/>
          <w:lang w:val="hu-HU"/>
        </w:rPr>
        <w:t>(</w:t>
      </w:r>
      <w:r w:rsidR="00493F1D" w:rsidRPr="0014358A">
        <w:rPr>
          <w:rFonts w:ascii="Times New Roman" w:hAnsi="Times New Roman" w:cs="Times New Roman"/>
          <w:noProof/>
          <w:lang w:val="hu-HU"/>
        </w:rPr>
        <w:t>ritkán (≥ 1/10</w:t>
      </w:r>
      <w:r w:rsidR="00493F1D">
        <w:rPr>
          <w:rFonts w:ascii="Times New Roman" w:hAnsi="Times New Roman" w:cs="Times New Roman"/>
          <w:noProof/>
          <w:lang w:val="hu-HU"/>
        </w:rPr>
        <w:t> </w:t>
      </w:r>
      <w:r w:rsidR="00493F1D" w:rsidRPr="0014358A">
        <w:rPr>
          <w:rFonts w:ascii="Times New Roman" w:hAnsi="Times New Roman" w:cs="Times New Roman"/>
          <w:noProof/>
          <w:lang w:val="hu-HU"/>
        </w:rPr>
        <w:t>000 - &lt; 1/1000) fordul</w:t>
      </w:r>
      <w:r w:rsidR="00493F1D">
        <w:rPr>
          <w:rFonts w:ascii="Times New Roman" w:hAnsi="Times New Roman" w:cs="Times New Roman"/>
          <w:noProof/>
          <w:lang w:val="hu-HU"/>
        </w:rPr>
        <w:t xml:space="preserve"> elő)</w:t>
      </w:r>
      <w:r w:rsidRPr="0014358A">
        <w:rPr>
          <w:rFonts w:ascii="Times New Roman" w:hAnsi="Times New Roman" w:cs="Times New Roman"/>
          <w:noProof/>
          <w:lang w:val="hu-HU"/>
        </w:rPr>
        <w:t>, valamint az akut veseelégtelenség.</w:t>
      </w:r>
    </w:p>
    <w:p w14:paraId="33C0BB93" w14:textId="77777777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CBE6D93" w14:textId="1D16971F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93F1D">
        <w:rPr>
          <w:rFonts w:ascii="Times New Roman" w:hAnsi="Times New Roman" w:cs="Times New Roman"/>
          <w:noProof/>
          <w:lang w:val="hu-HU"/>
        </w:rPr>
        <w:t>A hypertonia miatt kezelt betegeknél a kontrollos vizsgálatokban a mellékhatások összesített</w:t>
      </w:r>
      <w:r w:rsidRPr="0014358A">
        <w:rPr>
          <w:rFonts w:ascii="Times New Roman" w:hAnsi="Times New Roman" w:cs="Times New Roman"/>
          <w:noProof/>
          <w:lang w:val="hu-HU"/>
        </w:rPr>
        <w:t xml:space="preserve"> előfordulási gyakorisága </w:t>
      </w:r>
      <w:r w:rsidR="00493F1D">
        <w:rPr>
          <w:rFonts w:ascii="Times New Roman" w:hAnsi="Times New Roman" w:cs="Times New Roman"/>
          <w:noProof/>
          <w:lang w:val="hu-HU"/>
        </w:rPr>
        <w:t>aétalában</w:t>
      </w:r>
      <w:r w:rsidR="00493F1D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hasonló volt a telmizartánnal (41,4%) és a placebóval (43,9%) kezelt csoportban. A mellékhatások </w:t>
      </w:r>
      <w:r w:rsidR="00493F1D">
        <w:rPr>
          <w:rFonts w:ascii="Times New Roman" w:hAnsi="Times New Roman" w:cs="Times New Roman"/>
          <w:noProof/>
          <w:lang w:val="hu-HU"/>
        </w:rPr>
        <w:t>incidenciája</w:t>
      </w:r>
      <w:r w:rsidR="00493F1D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nem függött az alkalmazott gyógyszer dózisától vagy a betegek nemétől, életkorától és rasszbeli </w:t>
      </w:r>
      <w:r w:rsidR="00493F1D">
        <w:rPr>
          <w:rFonts w:ascii="Times New Roman" w:hAnsi="Times New Roman" w:cs="Times New Roman"/>
          <w:noProof/>
          <w:lang w:val="hu-HU"/>
        </w:rPr>
        <w:t>hovatartozásától</w:t>
      </w:r>
      <w:r w:rsidRPr="0014358A">
        <w:rPr>
          <w:rFonts w:ascii="Times New Roman" w:hAnsi="Times New Roman" w:cs="Times New Roman"/>
          <w:noProof/>
          <w:lang w:val="hu-HU"/>
        </w:rPr>
        <w:t xml:space="preserve">. A cardiovascularis morbiditás csökkentése </w:t>
      </w:r>
      <w:r w:rsidR="00493F1D">
        <w:rPr>
          <w:rFonts w:ascii="Times New Roman" w:hAnsi="Times New Roman" w:cs="Times New Roman"/>
          <w:noProof/>
          <w:lang w:val="hu-HU"/>
        </w:rPr>
        <w:t>indikációban kezelt betegeknél</w:t>
      </w:r>
      <w:r w:rsidR="00493F1D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a telmizartán biztonságossági profilja megegyezett a hypertoniás betegek esetében észlelttel.</w:t>
      </w:r>
    </w:p>
    <w:p w14:paraId="141C9C9F" w14:textId="77777777" w:rsidR="009726B4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B38FF4B" w14:textId="06B05310" w:rsidR="002137C2" w:rsidRPr="0014358A" w:rsidRDefault="009726B4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következőkben felsorolt mellékhatások a hypertonia miatt kezelt betegek kontrollos klinikai vizsgálataiból és a forgalomba hozatalt követő jelentésekből származnak. A felsorolás figyelembe veszi azokat a súlyos mellékhatásokat és a kezelés megszakításához vezető mellékhatásokat is, amelyek három hosszú távú klinikai vizsgálatból származnak, amelyekben összesen 21</w:t>
      </w:r>
      <w:r w:rsidR="00493F1D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642 beteget kezeltek telmizartánnal akár 6 éven át</w:t>
      </w:r>
      <w:r w:rsidR="00493F1D">
        <w:rPr>
          <w:rFonts w:ascii="Times New Roman" w:hAnsi="Times New Roman" w:cs="Times New Roman"/>
          <w:noProof/>
          <w:lang w:val="hu-HU"/>
        </w:rPr>
        <w:t>,</w:t>
      </w:r>
      <w:r w:rsidRPr="0014358A">
        <w:rPr>
          <w:rFonts w:ascii="Times New Roman" w:hAnsi="Times New Roman" w:cs="Times New Roman"/>
          <w:noProof/>
          <w:lang w:val="hu-HU"/>
        </w:rPr>
        <w:t xml:space="preserve"> a cardiovascularis morbiditás csökkentése érdekében.</w:t>
      </w:r>
    </w:p>
    <w:p w14:paraId="10D52F56" w14:textId="77777777" w:rsidR="002137C2" w:rsidRPr="0014358A" w:rsidRDefault="002137C2" w:rsidP="009726B4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C2A32DB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 mellékhatások táblázatos felsorolása</w:t>
      </w:r>
    </w:p>
    <w:p w14:paraId="3AAD996B" w14:textId="036BDB0D" w:rsidR="000B3686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mellékhatásokat gyakoriság szerint a következő </w:t>
      </w:r>
      <w:r w:rsidR="00493F1D">
        <w:rPr>
          <w:rFonts w:ascii="Times New Roman" w:hAnsi="Times New Roman" w:cs="Times New Roman"/>
          <w:noProof/>
          <w:lang w:val="hu-HU"/>
        </w:rPr>
        <w:t>kategóriákba</w:t>
      </w:r>
      <w:r w:rsidRPr="0014358A">
        <w:rPr>
          <w:rFonts w:ascii="Times New Roman" w:hAnsi="Times New Roman" w:cs="Times New Roman"/>
          <w:noProof/>
          <w:lang w:val="hu-HU"/>
        </w:rPr>
        <w:t xml:space="preserve"> csoportosították:</w:t>
      </w:r>
    </w:p>
    <w:p w14:paraId="5021DC45" w14:textId="52E9E5DE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nagyon gyakori (≥ 1/10), gyakori (≥ 1/100 - &lt; 1/10), nem gyakori (≥ 1/1000 - &lt; 1/100), ritka (≥ 1/10</w:t>
      </w:r>
      <w:r w:rsidR="00493F1D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000 - &lt; 1/1000), nagyon ritka (&lt; 1/10</w:t>
      </w:r>
      <w:r w:rsidR="00493F1D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000).</w:t>
      </w:r>
    </w:p>
    <w:p w14:paraId="72F433FC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5FAB806" w14:textId="5DB2B82A" w:rsidR="000E6BE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egyes gyakorisági kategóriákon belül a mellékhatások csökkenő súlyosság szerint kerülnek megadásra.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4D0F88" w:rsidRPr="00565429" w14:paraId="196E5258" w14:textId="77777777" w:rsidTr="0014358A">
        <w:tc>
          <w:tcPr>
            <w:tcW w:w="9060" w:type="dxa"/>
            <w:gridSpan w:val="2"/>
          </w:tcPr>
          <w:p w14:paraId="50E5C2C8" w14:textId="128343BC" w:rsidR="004D0F88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DE3CF9">
              <w:rPr>
                <w:rFonts w:ascii="Times New Roman" w:hAnsi="Times New Roman" w:cs="Times New Roman"/>
                <w:noProof/>
                <w:lang w:val="hu-HU"/>
              </w:rPr>
              <w:t>Fertőző betegségek és parazitafertőzések</w:t>
            </w:r>
          </w:p>
        </w:tc>
      </w:tr>
      <w:tr w:rsidR="002137C2" w:rsidRPr="0043058C" w14:paraId="35206D49" w14:textId="77777777" w:rsidTr="004D0F88">
        <w:tc>
          <w:tcPr>
            <w:tcW w:w="2547" w:type="dxa"/>
          </w:tcPr>
          <w:p w14:paraId="030561E7" w14:textId="0F65D964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00897A2B" w14:textId="797418C4" w:rsidR="002137C2" w:rsidRPr="0014358A" w:rsidRDefault="004D0F88" w:rsidP="00DE3CF9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 xml:space="preserve">Húgyúti fertőzések, cystitis, felső légúti fertőzések, </w:t>
            </w:r>
            <w:r w:rsidR="00DE3CF9">
              <w:rPr>
                <w:rFonts w:ascii="Times New Roman" w:hAnsi="Times New Roman" w:cs="Times New Roman"/>
                <w:noProof/>
                <w:lang w:val="hu-HU"/>
              </w:rPr>
              <w:t>például</w:t>
            </w:r>
            <w:r w:rsidR="00DE3CF9" w:rsidRPr="0014358A">
              <w:rPr>
                <w:rFonts w:ascii="Times New Roman" w:hAnsi="Times New Roman" w:cs="Times New Roman"/>
                <w:noProof/>
                <w:lang w:val="hu-HU"/>
              </w:rPr>
              <w:t xml:space="preserve"> </w:t>
            </w:r>
            <w:r w:rsidRPr="0014358A">
              <w:rPr>
                <w:rFonts w:ascii="Times New Roman" w:hAnsi="Times New Roman" w:cs="Times New Roman"/>
                <w:noProof/>
                <w:lang w:val="hu-HU"/>
              </w:rPr>
              <w:t>pharyngitis és sinusitis</w:t>
            </w:r>
          </w:p>
        </w:tc>
      </w:tr>
      <w:tr w:rsidR="002137C2" w:rsidRPr="00565429" w14:paraId="3C04B3DC" w14:textId="77777777" w:rsidTr="004D0F88">
        <w:tc>
          <w:tcPr>
            <w:tcW w:w="2547" w:type="dxa"/>
          </w:tcPr>
          <w:p w14:paraId="183BDC2F" w14:textId="3D3E57BE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4B7AAB26" w14:textId="6427E924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Sepsis, halálos kimenetelű eseteket is beleértve</w:t>
            </w:r>
            <w:r w:rsidRPr="0014358A">
              <w:rPr>
                <w:rFonts w:ascii="Times New Roman" w:hAnsi="Times New Roman" w:cs="Times New Roman"/>
                <w:noProof/>
                <w:vertAlign w:val="superscript"/>
                <w:lang w:val="hu-HU"/>
              </w:rPr>
              <w:t>1</w:t>
            </w:r>
          </w:p>
        </w:tc>
      </w:tr>
      <w:tr w:rsidR="004D0F88" w:rsidRPr="00565429" w14:paraId="054A2120" w14:textId="77777777" w:rsidTr="0014358A">
        <w:tc>
          <w:tcPr>
            <w:tcW w:w="9060" w:type="dxa"/>
            <w:gridSpan w:val="2"/>
          </w:tcPr>
          <w:p w14:paraId="4F337CDE" w14:textId="211DADBC" w:rsidR="004D0F88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Vérképzőszervi és nyirokrendszeri betegségek és tünetek</w:t>
            </w:r>
          </w:p>
        </w:tc>
      </w:tr>
      <w:tr w:rsidR="002137C2" w:rsidRPr="00565429" w14:paraId="7E406B6B" w14:textId="77777777" w:rsidTr="004D0F88">
        <w:tc>
          <w:tcPr>
            <w:tcW w:w="2547" w:type="dxa"/>
          </w:tcPr>
          <w:p w14:paraId="26958EB3" w14:textId="06106ED3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529020A0" w14:textId="7831947B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Anaemia</w:t>
            </w:r>
          </w:p>
        </w:tc>
      </w:tr>
      <w:tr w:rsidR="002137C2" w:rsidRPr="00565429" w14:paraId="5F88E956" w14:textId="77777777" w:rsidTr="004D0F88">
        <w:tc>
          <w:tcPr>
            <w:tcW w:w="2547" w:type="dxa"/>
          </w:tcPr>
          <w:p w14:paraId="58A1C04F" w14:textId="2D8E7113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505B7449" w14:textId="070994BF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Eosinophilia, thrombocytopenia</w:t>
            </w:r>
          </w:p>
        </w:tc>
      </w:tr>
      <w:tr w:rsidR="004D0F88" w:rsidRPr="00565429" w14:paraId="49F0AD72" w14:textId="77777777" w:rsidTr="0014358A">
        <w:tc>
          <w:tcPr>
            <w:tcW w:w="9060" w:type="dxa"/>
            <w:gridSpan w:val="2"/>
          </w:tcPr>
          <w:p w14:paraId="146D8E16" w14:textId="1FAF92D8" w:rsidR="004D0F88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Immunrendszeri betegségek és tünetek</w:t>
            </w:r>
          </w:p>
        </w:tc>
      </w:tr>
      <w:tr w:rsidR="002137C2" w:rsidRPr="00565429" w14:paraId="0E3E172A" w14:textId="77777777" w:rsidTr="004D0F88">
        <w:tc>
          <w:tcPr>
            <w:tcW w:w="2547" w:type="dxa"/>
          </w:tcPr>
          <w:p w14:paraId="2DF227D5" w14:textId="45B32FF8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3DEED3BF" w14:textId="63307CDE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Anaphylaxiás reakciók, túlérzékenység</w:t>
            </w:r>
          </w:p>
        </w:tc>
      </w:tr>
      <w:tr w:rsidR="004D0F88" w:rsidRPr="00565429" w14:paraId="15A3A2E5" w14:textId="77777777" w:rsidTr="0014358A">
        <w:tc>
          <w:tcPr>
            <w:tcW w:w="9060" w:type="dxa"/>
            <w:gridSpan w:val="2"/>
          </w:tcPr>
          <w:p w14:paraId="323E287A" w14:textId="47FF457D" w:rsidR="004D0F88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Anyagcsere- és táplálkozási betegségek és tünetek</w:t>
            </w:r>
          </w:p>
        </w:tc>
      </w:tr>
      <w:tr w:rsidR="002137C2" w:rsidRPr="00565429" w14:paraId="38F53F0A" w14:textId="77777777" w:rsidTr="004D0F88">
        <w:tc>
          <w:tcPr>
            <w:tcW w:w="2547" w:type="dxa"/>
          </w:tcPr>
          <w:p w14:paraId="0B3032BC" w14:textId="0B237486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53171E61" w14:textId="5E1A2854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Hyperkalaemia</w:t>
            </w:r>
          </w:p>
        </w:tc>
      </w:tr>
      <w:tr w:rsidR="002137C2" w:rsidRPr="00565429" w14:paraId="142C470F" w14:textId="77777777" w:rsidTr="004D0F88">
        <w:tc>
          <w:tcPr>
            <w:tcW w:w="2547" w:type="dxa"/>
          </w:tcPr>
          <w:p w14:paraId="05994DD3" w14:textId="1471382F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654B4894" w14:textId="0F6BF4C3" w:rsidR="002137C2" w:rsidRPr="0014358A" w:rsidRDefault="004D0F88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Hypoglykaemia (cukorbetegeknél), hyponatraemia</w:t>
            </w:r>
          </w:p>
        </w:tc>
      </w:tr>
      <w:tr w:rsidR="001D01D9" w:rsidRPr="00565429" w14:paraId="3C0E2184" w14:textId="77777777" w:rsidTr="0014358A">
        <w:tc>
          <w:tcPr>
            <w:tcW w:w="9060" w:type="dxa"/>
            <w:gridSpan w:val="2"/>
          </w:tcPr>
          <w:p w14:paraId="4315F2BD" w14:textId="3F55D0F6" w:rsidR="001D01D9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Pszichiátriai kórképek</w:t>
            </w:r>
          </w:p>
        </w:tc>
      </w:tr>
      <w:tr w:rsidR="002137C2" w:rsidRPr="00565429" w14:paraId="2CA814B3" w14:textId="77777777" w:rsidTr="004D0F88">
        <w:tc>
          <w:tcPr>
            <w:tcW w:w="2547" w:type="dxa"/>
          </w:tcPr>
          <w:p w14:paraId="7459B9E7" w14:textId="7C37A7F0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313DD884" w14:textId="365D45E8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Álmatlanság, depresszió</w:t>
            </w:r>
          </w:p>
        </w:tc>
      </w:tr>
      <w:tr w:rsidR="002137C2" w:rsidRPr="00565429" w14:paraId="7FBD245F" w14:textId="77777777" w:rsidTr="004D0F88">
        <w:tc>
          <w:tcPr>
            <w:tcW w:w="2547" w:type="dxa"/>
          </w:tcPr>
          <w:p w14:paraId="6FA806C6" w14:textId="6A56FB8C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1C18D557" w14:textId="51E96C23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Szorongás</w:t>
            </w:r>
          </w:p>
        </w:tc>
      </w:tr>
      <w:tr w:rsidR="005534BC" w:rsidRPr="00565429" w14:paraId="10F4CF12" w14:textId="77777777" w:rsidTr="0014358A">
        <w:tc>
          <w:tcPr>
            <w:tcW w:w="9060" w:type="dxa"/>
            <w:gridSpan w:val="2"/>
          </w:tcPr>
          <w:p w14:paraId="4F47CF9E" w14:textId="4D8A004B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Idegrendszeri betegségek és tünetek</w:t>
            </w:r>
          </w:p>
        </w:tc>
      </w:tr>
      <w:tr w:rsidR="002137C2" w:rsidRPr="00565429" w14:paraId="7A33D377" w14:textId="77777777" w:rsidTr="004D0F88">
        <w:tc>
          <w:tcPr>
            <w:tcW w:w="2547" w:type="dxa"/>
          </w:tcPr>
          <w:p w14:paraId="4D9A9F29" w14:textId="3C15679C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3FD8C614" w14:textId="3563E0A6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Syncope</w:t>
            </w:r>
            <w:r w:rsidR="00086DBB" w:rsidRPr="0014358A">
              <w:rPr>
                <w:rFonts w:ascii="Times New Roman" w:hAnsi="Times New Roman" w:cs="Times New Roman"/>
                <w:noProof/>
                <w:lang w:val="hu-HU"/>
              </w:rPr>
              <w:t>, szédülés</w:t>
            </w:r>
          </w:p>
        </w:tc>
      </w:tr>
      <w:tr w:rsidR="002137C2" w:rsidRPr="00565429" w14:paraId="62128CC4" w14:textId="77777777" w:rsidTr="004D0F88">
        <w:tc>
          <w:tcPr>
            <w:tcW w:w="2547" w:type="dxa"/>
          </w:tcPr>
          <w:p w14:paraId="2C30C875" w14:textId="53BCF8F1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6686F284" w14:textId="07F23F09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Aluszékonyság</w:t>
            </w:r>
          </w:p>
        </w:tc>
      </w:tr>
      <w:tr w:rsidR="005534BC" w:rsidRPr="00565429" w14:paraId="5FE8AD80" w14:textId="77777777" w:rsidTr="0014358A">
        <w:tc>
          <w:tcPr>
            <w:tcW w:w="9060" w:type="dxa"/>
            <w:gridSpan w:val="2"/>
          </w:tcPr>
          <w:p w14:paraId="64C7CBF7" w14:textId="0D572511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Szembetegségek és szemészeti és tünetek</w:t>
            </w:r>
          </w:p>
        </w:tc>
      </w:tr>
      <w:tr w:rsidR="002137C2" w:rsidRPr="00565429" w14:paraId="50799AEA" w14:textId="77777777" w:rsidTr="004D0F88">
        <w:tc>
          <w:tcPr>
            <w:tcW w:w="2547" w:type="dxa"/>
          </w:tcPr>
          <w:p w14:paraId="3DBF285A" w14:textId="7B8F01A7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697BE128" w14:textId="6D71FCDE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Látáskárosodás</w:t>
            </w:r>
          </w:p>
        </w:tc>
      </w:tr>
      <w:tr w:rsidR="005534BC" w:rsidRPr="00565429" w14:paraId="3AC418C6" w14:textId="77777777" w:rsidTr="0014358A">
        <w:tc>
          <w:tcPr>
            <w:tcW w:w="9060" w:type="dxa"/>
            <w:gridSpan w:val="2"/>
          </w:tcPr>
          <w:p w14:paraId="6C8EBBB6" w14:textId="12AF2109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 fül és az egyensúly-érzékelő szerv betegségei és tünetei</w:t>
            </w:r>
          </w:p>
        </w:tc>
      </w:tr>
      <w:tr w:rsidR="002137C2" w:rsidRPr="00565429" w14:paraId="38F5A54E" w14:textId="77777777" w:rsidTr="004D0F88">
        <w:tc>
          <w:tcPr>
            <w:tcW w:w="2547" w:type="dxa"/>
          </w:tcPr>
          <w:p w14:paraId="0439CCBC" w14:textId="1C7CAB29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386FED76" w14:textId="0E5D4A11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Szédülés</w:t>
            </w:r>
          </w:p>
        </w:tc>
      </w:tr>
      <w:tr w:rsidR="005534BC" w:rsidRPr="00565429" w14:paraId="6CB62114" w14:textId="77777777" w:rsidTr="0014358A">
        <w:tc>
          <w:tcPr>
            <w:tcW w:w="9060" w:type="dxa"/>
            <w:gridSpan w:val="2"/>
          </w:tcPr>
          <w:p w14:paraId="3C35882E" w14:textId="5A4DCC0E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Szívbetegségek és a szívvel kapcsolatos tünetek</w:t>
            </w:r>
          </w:p>
        </w:tc>
      </w:tr>
      <w:tr w:rsidR="002137C2" w:rsidRPr="00565429" w14:paraId="25466D93" w14:textId="77777777" w:rsidTr="004D0F88">
        <w:tc>
          <w:tcPr>
            <w:tcW w:w="2547" w:type="dxa"/>
          </w:tcPr>
          <w:p w14:paraId="3551256C" w14:textId="554DA1F0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051582C5" w14:textId="18BBA97C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Bradycardia</w:t>
            </w:r>
          </w:p>
        </w:tc>
      </w:tr>
      <w:tr w:rsidR="002137C2" w:rsidRPr="00565429" w14:paraId="7361762A" w14:textId="77777777" w:rsidTr="004D0F88">
        <w:tc>
          <w:tcPr>
            <w:tcW w:w="2547" w:type="dxa"/>
          </w:tcPr>
          <w:p w14:paraId="7FBC3402" w14:textId="343B7A2C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72243DBD" w14:textId="5D7DAE73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Tachycardia</w:t>
            </w:r>
          </w:p>
        </w:tc>
      </w:tr>
      <w:tr w:rsidR="005534BC" w:rsidRPr="00565429" w14:paraId="0C9FA12E" w14:textId="77777777" w:rsidTr="0014358A">
        <w:tc>
          <w:tcPr>
            <w:tcW w:w="9060" w:type="dxa"/>
            <w:gridSpan w:val="2"/>
          </w:tcPr>
          <w:p w14:paraId="27B6030C" w14:textId="0434919C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Érbetegségek és tünetek</w:t>
            </w:r>
          </w:p>
        </w:tc>
      </w:tr>
      <w:tr w:rsidR="002137C2" w:rsidRPr="00565429" w14:paraId="2273D236" w14:textId="77777777" w:rsidTr="004D0F88">
        <w:tc>
          <w:tcPr>
            <w:tcW w:w="2547" w:type="dxa"/>
          </w:tcPr>
          <w:p w14:paraId="64A799C2" w14:textId="3034CEA3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0CC2A655" w14:textId="39A86E80" w:rsidR="002137C2" w:rsidRPr="0014358A" w:rsidRDefault="005534BC" w:rsidP="00DE3CF9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Hypot</w:t>
            </w:r>
            <w:r w:rsidR="00DE3CF9">
              <w:rPr>
                <w:rFonts w:ascii="Times New Roman" w:hAnsi="Times New Roman" w:cs="Times New Roman"/>
                <w:noProof/>
                <w:lang w:val="hu-HU"/>
              </w:rPr>
              <w:t>e</w:t>
            </w:r>
            <w:r w:rsidRPr="0014358A">
              <w:rPr>
                <w:rFonts w:ascii="Times New Roman" w:hAnsi="Times New Roman" w:cs="Times New Roman"/>
                <w:noProof/>
                <w:lang w:val="hu-HU"/>
              </w:rPr>
              <w:t>n</w:t>
            </w:r>
            <w:r w:rsidR="00DE3CF9">
              <w:rPr>
                <w:rFonts w:ascii="Times New Roman" w:hAnsi="Times New Roman" w:cs="Times New Roman"/>
                <w:noProof/>
                <w:lang w:val="hu-HU"/>
              </w:rPr>
              <w:t>s</w:t>
            </w:r>
            <w:r w:rsidRPr="0014358A">
              <w:rPr>
                <w:rFonts w:ascii="Times New Roman" w:hAnsi="Times New Roman" w:cs="Times New Roman"/>
                <w:noProof/>
                <w:lang w:val="hu-HU"/>
              </w:rPr>
              <w:t>i</w:t>
            </w:r>
            <w:r w:rsidR="00DE3CF9">
              <w:rPr>
                <w:rFonts w:ascii="Times New Roman" w:hAnsi="Times New Roman" w:cs="Times New Roman"/>
                <w:noProof/>
                <w:lang w:val="hu-HU"/>
              </w:rPr>
              <w:t>o</w:t>
            </w:r>
            <w:r w:rsidRPr="0014358A">
              <w:rPr>
                <w:rFonts w:ascii="Times New Roman" w:hAnsi="Times New Roman" w:cs="Times New Roman"/>
                <w:noProof/>
                <w:vertAlign w:val="superscript"/>
                <w:lang w:val="hu-HU"/>
              </w:rPr>
              <w:t>2</w:t>
            </w:r>
            <w:r w:rsidRPr="0014358A">
              <w:rPr>
                <w:rFonts w:ascii="Times New Roman" w:hAnsi="Times New Roman" w:cs="Times New Roman"/>
                <w:noProof/>
                <w:lang w:val="hu-HU"/>
              </w:rPr>
              <w:t>, orthostaticus hypotonia</w:t>
            </w:r>
          </w:p>
        </w:tc>
      </w:tr>
      <w:tr w:rsidR="005534BC" w:rsidRPr="00565429" w14:paraId="31034576" w14:textId="77777777" w:rsidTr="0014358A">
        <w:tc>
          <w:tcPr>
            <w:tcW w:w="9060" w:type="dxa"/>
            <w:gridSpan w:val="2"/>
          </w:tcPr>
          <w:p w14:paraId="2FC844C7" w14:textId="0A991302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Légzőrendszeri, mellkasi és mediastinalis betegségek és tünetek</w:t>
            </w:r>
          </w:p>
        </w:tc>
      </w:tr>
      <w:tr w:rsidR="002137C2" w:rsidRPr="00565429" w14:paraId="75DE2811" w14:textId="77777777" w:rsidTr="004D0F88">
        <w:tc>
          <w:tcPr>
            <w:tcW w:w="2547" w:type="dxa"/>
          </w:tcPr>
          <w:p w14:paraId="6AB02083" w14:textId="4DF696FB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01DC2759" w14:textId="76648B00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Dyspnoe, köhögés</w:t>
            </w:r>
          </w:p>
        </w:tc>
      </w:tr>
      <w:tr w:rsidR="002137C2" w:rsidRPr="00565429" w14:paraId="0274ED01" w14:textId="77777777" w:rsidTr="004D0F88">
        <w:tc>
          <w:tcPr>
            <w:tcW w:w="2547" w:type="dxa"/>
          </w:tcPr>
          <w:p w14:paraId="4A2B1157" w14:textId="7DB99EF0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Nagyon ritka:</w:t>
            </w:r>
          </w:p>
        </w:tc>
        <w:tc>
          <w:tcPr>
            <w:tcW w:w="6513" w:type="dxa"/>
          </w:tcPr>
          <w:p w14:paraId="71451649" w14:textId="05FD42F7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Interstitialis tüdőbetegség</w:t>
            </w:r>
            <w:r w:rsidRPr="0014358A">
              <w:rPr>
                <w:rFonts w:ascii="Times New Roman" w:hAnsi="Times New Roman" w:cs="Times New Roman"/>
                <w:noProof/>
                <w:vertAlign w:val="superscript"/>
                <w:lang w:val="hu-HU"/>
              </w:rPr>
              <w:t>4</w:t>
            </w:r>
          </w:p>
        </w:tc>
      </w:tr>
      <w:tr w:rsidR="005534BC" w:rsidRPr="00565429" w14:paraId="7AEBCBDB" w14:textId="77777777" w:rsidTr="0014358A">
        <w:tc>
          <w:tcPr>
            <w:tcW w:w="9060" w:type="dxa"/>
            <w:gridSpan w:val="2"/>
          </w:tcPr>
          <w:p w14:paraId="2476C18C" w14:textId="40852A18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Emésztőrendszeri betegségek és tünetek</w:t>
            </w:r>
          </w:p>
        </w:tc>
      </w:tr>
      <w:tr w:rsidR="002137C2" w:rsidRPr="0043058C" w14:paraId="5B86802B" w14:textId="77777777" w:rsidTr="004D0F88">
        <w:tc>
          <w:tcPr>
            <w:tcW w:w="2547" w:type="dxa"/>
          </w:tcPr>
          <w:p w14:paraId="2A9E7592" w14:textId="7371CE11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1C113763" w14:textId="031749F8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Hasi fájdalom, hasmenés, emésztési zavar, puffadás, hányás</w:t>
            </w:r>
          </w:p>
        </w:tc>
      </w:tr>
      <w:tr w:rsidR="002137C2" w:rsidRPr="00565429" w14:paraId="793387E5" w14:textId="77777777" w:rsidTr="004D0F88">
        <w:tc>
          <w:tcPr>
            <w:tcW w:w="2547" w:type="dxa"/>
          </w:tcPr>
          <w:p w14:paraId="706B3E3F" w14:textId="29828489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5D3FF1FE" w14:textId="4ACA3D84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Szájszárazság, hasi diszkomfortérzés, dysgeusia</w:t>
            </w:r>
          </w:p>
        </w:tc>
      </w:tr>
      <w:tr w:rsidR="005534BC" w:rsidRPr="00565429" w14:paraId="1049720C" w14:textId="77777777" w:rsidTr="0014358A">
        <w:tc>
          <w:tcPr>
            <w:tcW w:w="9060" w:type="dxa"/>
            <w:gridSpan w:val="2"/>
          </w:tcPr>
          <w:p w14:paraId="1BAE7EF6" w14:textId="5AF9390F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Máj- és epebetegségek, illetve tünetek</w:t>
            </w:r>
          </w:p>
        </w:tc>
      </w:tr>
      <w:tr w:rsidR="002137C2" w:rsidRPr="00565429" w14:paraId="54D8DA03" w14:textId="77777777" w:rsidTr="004D0F88">
        <w:tc>
          <w:tcPr>
            <w:tcW w:w="2547" w:type="dxa"/>
          </w:tcPr>
          <w:p w14:paraId="54B2676C" w14:textId="358857C5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5B367FFC" w14:textId="738770B6" w:rsidR="002137C2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Kóros májfunkciós értékek/májbetegség</w:t>
            </w:r>
            <w:r w:rsidRPr="0014358A">
              <w:rPr>
                <w:rFonts w:ascii="Times New Roman" w:hAnsi="Times New Roman" w:cs="Times New Roman"/>
                <w:noProof/>
                <w:vertAlign w:val="superscript"/>
                <w:lang w:val="hu-HU"/>
              </w:rPr>
              <w:t>3</w:t>
            </w:r>
          </w:p>
        </w:tc>
      </w:tr>
      <w:tr w:rsidR="005534BC" w:rsidRPr="00565429" w14:paraId="363626BC" w14:textId="77777777" w:rsidTr="0014358A">
        <w:tc>
          <w:tcPr>
            <w:tcW w:w="9060" w:type="dxa"/>
            <w:gridSpan w:val="2"/>
          </w:tcPr>
          <w:p w14:paraId="7B70ECB7" w14:textId="3B2EAF66" w:rsidR="005534BC" w:rsidRPr="0014358A" w:rsidRDefault="005534BC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 bőr és a bőr alatti szövet betegségei és tünetei</w:t>
            </w:r>
          </w:p>
        </w:tc>
      </w:tr>
      <w:tr w:rsidR="002137C2" w:rsidRPr="00565429" w14:paraId="15930EB1" w14:textId="77777777" w:rsidTr="004D0F88">
        <w:tc>
          <w:tcPr>
            <w:tcW w:w="2547" w:type="dxa"/>
          </w:tcPr>
          <w:p w14:paraId="09C803A4" w14:textId="08A78E52" w:rsidR="002137C2" w:rsidRPr="0014358A" w:rsidRDefault="008B46DB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59405F40" w14:textId="184E6400" w:rsidR="002137C2" w:rsidRPr="0014358A" w:rsidRDefault="008B46DB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Pruritus, hyperhidrosis, bőrkiütés</w:t>
            </w:r>
          </w:p>
        </w:tc>
      </w:tr>
      <w:tr w:rsidR="002137C2" w:rsidRPr="0043058C" w14:paraId="66199A15" w14:textId="77777777" w:rsidTr="004D0F88">
        <w:tc>
          <w:tcPr>
            <w:tcW w:w="2547" w:type="dxa"/>
          </w:tcPr>
          <w:p w14:paraId="66863008" w14:textId="20EB922B" w:rsidR="002137C2" w:rsidRPr="0014358A" w:rsidRDefault="008B46DB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44ED7E78" w14:textId="0DA3F2A7" w:rsidR="002137C2" w:rsidRPr="0014358A" w:rsidRDefault="008B46DB" w:rsidP="00DE3CF9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Angiooedema (beleértve a halálos kimenetelt is), ekzema, erythema, urticaria, gyógyszerkiütés, toxikus bőrkiütés</w:t>
            </w:r>
          </w:p>
        </w:tc>
      </w:tr>
      <w:tr w:rsidR="00863FC7" w:rsidRPr="0043058C" w14:paraId="5CBE147D" w14:textId="77777777" w:rsidTr="0014358A">
        <w:tc>
          <w:tcPr>
            <w:tcW w:w="9060" w:type="dxa"/>
            <w:gridSpan w:val="2"/>
          </w:tcPr>
          <w:p w14:paraId="5ED9988C" w14:textId="248A8484" w:rsidR="00863FC7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 csont- és izomrendszer, valamint a kötőszövet betegségei és tünetei</w:t>
            </w:r>
          </w:p>
        </w:tc>
      </w:tr>
      <w:tr w:rsidR="008002DF" w:rsidRPr="0043058C" w14:paraId="39DBE7E6" w14:textId="77777777" w:rsidTr="004D0F88">
        <w:tc>
          <w:tcPr>
            <w:tcW w:w="2547" w:type="dxa"/>
          </w:tcPr>
          <w:p w14:paraId="590DF396" w14:textId="35AA4E55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07469557" w14:textId="1A69BE51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Hátfájás (pl. ischias), izomgörcs, myalgia</w:t>
            </w:r>
          </w:p>
        </w:tc>
      </w:tr>
      <w:tr w:rsidR="008002DF" w:rsidRPr="0043058C" w14:paraId="389A3757" w14:textId="77777777" w:rsidTr="004D0F88">
        <w:tc>
          <w:tcPr>
            <w:tcW w:w="2547" w:type="dxa"/>
          </w:tcPr>
          <w:p w14:paraId="74550492" w14:textId="63F691A3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7C9D462D" w14:textId="0EC3BD41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Arthralgia, végtagfájdalom, ínfájdalom (íngyulladásszerű tünetek)</w:t>
            </w:r>
          </w:p>
        </w:tc>
      </w:tr>
      <w:tr w:rsidR="00863FC7" w:rsidRPr="0043058C" w14:paraId="51CB3970" w14:textId="77777777" w:rsidTr="0014358A">
        <w:tc>
          <w:tcPr>
            <w:tcW w:w="9060" w:type="dxa"/>
            <w:gridSpan w:val="2"/>
          </w:tcPr>
          <w:p w14:paraId="2C04DE27" w14:textId="5BA4CD42" w:rsidR="00863FC7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Vese- és húgyúti betegségek és tünetek</w:t>
            </w:r>
          </w:p>
        </w:tc>
      </w:tr>
      <w:tr w:rsidR="008002DF" w:rsidRPr="0043058C" w14:paraId="136A4012" w14:textId="77777777" w:rsidTr="004D0F88">
        <w:tc>
          <w:tcPr>
            <w:tcW w:w="2547" w:type="dxa"/>
          </w:tcPr>
          <w:p w14:paraId="4B24BF31" w14:textId="7E4A4801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5BC799F5" w14:textId="4679E307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Vesekárosodás (az akut vesekárosodást is beleértve)</w:t>
            </w:r>
          </w:p>
        </w:tc>
      </w:tr>
      <w:tr w:rsidR="00863FC7" w:rsidRPr="0043058C" w14:paraId="45518145" w14:textId="77777777" w:rsidTr="0014358A">
        <w:tc>
          <w:tcPr>
            <w:tcW w:w="9060" w:type="dxa"/>
            <w:gridSpan w:val="2"/>
          </w:tcPr>
          <w:p w14:paraId="26206F10" w14:textId="1E614BE6" w:rsidR="00863FC7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Általános tünetek, az alkalmazás helyén fellépő reakciók</w:t>
            </w:r>
          </w:p>
        </w:tc>
      </w:tr>
      <w:tr w:rsidR="008002DF" w:rsidRPr="00565429" w14:paraId="6968BB50" w14:textId="77777777" w:rsidTr="004D0F88">
        <w:tc>
          <w:tcPr>
            <w:tcW w:w="2547" w:type="dxa"/>
          </w:tcPr>
          <w:p w14:paraId="21D3E1D2" w14:textId="36B44569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588B0C6E" w14:textId="08167659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Mellkasi fájdalom, gyengeség</w:t>
            </w:r>
          </w:p>
        </w:tc>
      </w:tr>
      <w:tr w:rsidR="008002DF" w:rsidRPr="00565429" w14:paraId="26EC4D0F" w14:textId="77777777" w:rsidTr="004D0F88">
        <w:tc>
          <w:tcPr>
            <w:tcW w:w="2547" w:type="dxa"/>
          </w:tcPr>
          <w:p w14:paraId="7AF3A65A" w14:textId="2806A0F1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7041C9EC" w14:textId="31AD6616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Influenzaszerű megbetegedés</w:t>
            </w:r>
          </w:p>
        </w:tc>
      </w:tr>
      <w:tr w:rsidR="00863FC7" w:rsidRPr="00565429" w14:paraId="1FF853E2" w14:textId="77777777" w:rsidTr="0014358A">
        <w:tc>
          <w:tcPr>
            <w:tcW w:w="9060" w:type="dxa"/>
            <w:gridSpan w:val="2"/>
          </w:tcPr>
          <w:p w14:paraId="4CF64D17" w14:textId="667AB3A2" w:rsidR="00863FC7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Laboratóriumi és egyéb vizsgálatok eredményei</w:t>
            </w:r>
          </w:p>
        </w:tc>
      </w:tr>
      <w:tr w:rsidR="008002DF" w:rsidRPr="00565429" w14:paraId="714BF5F4" w14:textId="77777777" w:rsidTr="004D0F88">
        <w:tc>
          <w:tcPr>
            <w:tcW w:w="2547" w:type="dxa"/>
          </w:tcPr>
          <w:p w14:paraId="52B90D51" w14:textId="40AACB4A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Nem gyakori:</w:t>
            </w:r>
          </w:p>
        </w:tc>
        <w:tc>
          <w:tcPr>
            <w:tcW w:w="6513" w:type="dxa"/>
          </w:tcPr>
          <w:p w14:paraId="2040CED8" w14:textId="7960A042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Emelkedett kreatininszint a vérben</w:t>
            </w:r>
          </w:p>
        </w:tc>
      </w:tr>
      <w:tr w:rsidR="008002DF" w:rsidRPr="0043058C" w14:paraId="7D7297BF" w14:textId="77777777" w:rsidTr="004D0F88">
        <w:tc>
          <w:tcPr>
            <w:tcW w:w="2547" w:type="dxa"/>
          </w:tcPr>
          <w:p w14:paraId="4715491D" w14:textId="3DCB1A55" w:rsidR="008002DF" w:rsidRPr="0014358A" w:rsidRDefault="00863FC7" w:rsidP="002137C2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Ritka:</w:t>
            </w:r>
          </w:p>
        </w:tc>
        <w:tc>
          <w:tcPr>
            <w:tcW w:w="6513" w:type="dxa"/>
          </w:tcPr>
          <w:p w14:paraId="16A2C52A" w14:textId="615DF33D" w:rsidR="008002DF" w:rsidRPr="0014358A" w:rsidRDefault="00863FC7" w:rsidP="00DE3CF9">
            <w:pPr>
              <w:rPr>
                <w:rFonts w:ascii="Times New Roman" w:hAnsi="Times New Roman" w:cs="Times New Roman"/>
                <w:noProof/>
                <w:lang w:val="hu-HU"/>
              </w:rPr>
            </w:pPr>
            <w:r w:rsidRPr="0014358A">
              <w:rPr>
                <w:rFonts w:ascii="Times New Roman" w:hAnsi="Times New Roman" w:cs="Times New Roman"/>
                <w:noProof/>
                <w:lang w:val="hu-HU"/>
              </w:rPr>
              <w:t>Csökkent haemoglobin</w:t>
            </w:r>
            <w:r w:rsidR="00DE3CF9">
              <w:rPr>
                <w:rFonts w:ascii="Times New Roman" w:hAnsi="Times New Roman" w:cs="Times New Roman"/>
                <w:noProof/>
                <w:lang w:val="hu-HU"/>
              </w:rPr>
              <w:t>szint</w:t>
            </w:r>
            <w:r w:rsidRPr="0014358A">
              <w:rPr>
                <w:rFonts w:ascii="Times New Roman" w:hAnsi="Times New Roman" w:cs="Times New Roman"/>
                <w:noProof/>
                <w:lang w:val="hu-HU"/>
              </w:rPr>
              <w:t>, emelkedett húgysavszint, emelkedett májenzimértékek, emelkedett kreatin-foszfokináz-szint.</w:t>
            </w:r>
          </w:p>
        </w:tc>
      </w:tr>
    </w:tbl>
    <w:p w14:paraId="7943A898" w14:textId="7B839F76" w:rsidR="009C6132" w:rsidRPr="0014358A" w:rsidRDefault="00D154BB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vertAlign w:val="superscript"/>
          <w:lang w:val="hu-HU"/>
        </w:rPr>
        <w:t xml:space="preserve">1,2,3,4 </w:t>
      </w:r>
      <w:r w:rsidRPr="0014358A">
        <w:rPr>
          <w:rFonts w:ascii="Times New Roman" w:hAnsi="Times New Roman" w:cs="Times New Roman"/>
          <w:noProof/>
          <w:lang w:val="hu-HU"/>
        </w:rPr>
        <w:t>A további információkat lásd az „</w:t>
      </w:r>
      <w:r w:rsidRPr="0014358A">
        <w:rPr>
          <w:rFonts w:ascii="Times New Roman" w:hAnsi="Times New Roman" w:cs="Times New Roman"/>
          <w:i/>
          <w:iCs/>
          <w:noProof/>
          <w:lang w:val="hu-HU"/>
        </w:rPr>
        <w:t>A kiválasztott mellékhatások leírása</w:t>
      </w:r>
      <w:r w:rsidRPr="0014358A">
        <w:rPr>
          <w:rFonts w:ascii="Times New Roman" w:hAnsi="Times New Roman" w:cs="Times New Roman"/>
          <w:noProof/>
          <w:lang w:val="hu-HU"/>
        </w:rPr>
        <w:t>” alpontban.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B964D88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A kiválasztott mellékhatások leírása</w:t>
      </w:r>
    </w:p>
    <w:p w14:paraId="60293D76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Sepsis</w:t>
      </w:r>
    </w:p>
    <w:p w14:paraId="70D69CB1" w14:textId="7A33AC8A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0960FF">
        <w:rPr>
          <w:rFonts w:ascii="Times New Roman" w:hAnsi="Times New Roman" w:cs="Times New Roman"/>
          <w:noProof/>
          <w:lang w:val="hu-HU"/>
        </w:rPr>
        <w:t>A PRoFESS vizsgálatban a telmizartán esetén a placebóhoz képest a sepsis incidenciájának</w:t>
      </w:r>
      <w:r w:rsidRPr="0014358A">
        <w:rPr>
          <w:rFonts w:ascii="Times New Roman" w:hAnsi="Times New Roman" w:cs="Times New Roman"/>
          <w:noProof/>
          <w:lang w:val="hu-HU"/>
        </w:rPr>
        <w:t xml:space="preserve"> növekedését figyelték meg. A jelenség véletlen felfedezés vagy egy, ez idáig ismeretlen mechanizmus következménye lehet (lásd 5.1 pont).</w:t>
      </w:r>
    </w:p>
    <w:p w14:paraId="407FF97A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D93B4BA" w14:textId="52E8B729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Hypot</w:t>
      </w:r>
      <w:r w:rsidR="000960FF">
        <w:rPr>
          <w:rFonts w:ascii="Times New Roman" w:hAnsi="Times New Roman" w:cs="Times New Roman"/>
          <w:i/>
          <w:iCs/>
          <w:noProof/>
          <w:lang w:val="hu-HU"/>
        </w:rPr>
        <w:t>e</w:t>
      </w:r>
      <w:r w:rsidRPr="0014358A">
        <w:rPr>
          <w:rFonts w:ascii="Times New Roman" w:hAnsi="Times New Roman" w:cs="Times New Roman"/>
          <w:i/>
          <w:iCs/>
          <w:noProof/>
          <w:lang w:val="hu-HU"/>
        </w:rPr>
        <w:t>n</w:t>
      </w:r>
      <w:r w:rsidR="000960FF">
        <w:rPr>
          <w:rFonts w:ascii="Times New Roman" w:hAnsi="Times New Roman" w:cs="Times New Roman"/>
          <w:i/>
          <w:iCs/>
          <w:noProof/>
          <w:lang w:val="hu-HU"/>
        </w:rPr>
        <w:t>s</w:t>
      </w:r>
      <w:r w:rsidRPr="0014358A">
        <w:rPr>
          <w:rFonts w:ascii="Times New Roman" w:hAnsi="Times New Roman" w:cs="Times New Roman"/>
          <w:i/>
          <w:iCs/>
          <w:noProof/>
          <w:lang w:val="hu-HU"/>
        </w:rPr>
        <w:t>i</w:t>
      </w:r>
      <w:r w:rsidR="000960FF">
        <w:rPr>
          <w:rFonts w:ascii="Times New Roman" w:hAnsi="Times New Roman" w:cs="Times New Roman"/>
          <w:i/>
          <w:iCs/>
          <w:noProof/>
          <w:lang w:val="hu-HU"/>
        </w:rPr>
        <w:t>o</w:t>
      </w:r>
    </w:p>
    <w:p w14:paraId="43E6E614" w14:textId="2B6F1E6C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Ezt a mellékhatást gyakran jelentették azoknál a kontrollált vérnyomású betegeknél, akiknek a telmizartánt a cardiovascularis morbiditás csökkentése céljából adták a standard kezelésen felül.</w:t>
      </w:r>
    </w:p>
    <w:p w14:paraId="0F894919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C155A38" w14:textId="1F18A54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Kóros májfunkciós értékek/májbetegség</w:t>
      </w:r>
    </w:p>
    <w:p w14:paraId="647AC8D8" w14:textId="4AB7D920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forgalomba hozatalt követő</w:t>
      </w:r>
      <w:r w:rsidR="000960FF">
        <w:rPr>
          <w:rFonts w:ascii="Times New Roman" w:hAnsi="Times New Roman" w:cs="Times New Roman"/>
          <w:noProof/>
          <w:lang w:val="hu-HU"/>
        </w:rPr>
        <w:t>en</w:t>
      </w:r>
      <w:r w:rsidRPr="0014358A">
        <w:rPr>
          <w:rFonts w:ascii="Times New Roman" w:hAnsi="Times New Roman" w:cs="Times New Roman"/>
          <w:noProof/>
          <w:lang w:val="hu-HU"/>
        </w:rPr>
        <w:t xml:space="preserve"> tapasztalt kóros májfunkciós érték/májbetegség legtöbb</w:t>
      </w:r>
      <w:r w:rsidR="000960FF">
        <w:rPr>
          <w:rFonts w:ascii="Times New Roman" w:hAnsi="Times New Roman" w:cs="Times New Roman"/>
          <w:noProof/>
          <w:lang w:val="hu-HU"/>
        </w:rPr>
        <w:t xml:space="preserve"> esetben</w:t>
      </w:r>
      <w:r w:rsidRPr="0014358A">
        <w:rPr>
          <w:rFonts w:ascii="Times New Roman" w:hAnsi="Times New Roman" w:cs="Times New Roman"/>
          <w:noProof/>
          <w:lang w:val="hu-HU"/>
        </w:rPr>
        <w:t xml:space="preserve"> japán betegeknél fordult elő. </w:t>
      </w:r>
      <w:r w:rsidR="000960FF">
        <w:rPr>
          <w:rFonts w:ascii="Times New Roman" w:hAnsi="Times New Roman" w:cs="Times New Roman"/>
          <w:noProof/>
          <w:lang w:val="hu-HU"/>
        </w:rPr>
        <w:t>J</w:t>
      </w:r>
      <w:r w:rsidR="000960FF" w:rsidRPr="0014358A">
        <w:rPr>
          <w:rFonts w:ascii="Times New Roman" w:hAnsi="Times New Roman" w:cs="Times New Roman"/>
          <w:noProof/>
          <w:lang w:val="hu-HU"/>
        </w:rPr>
        <w:t xml:space="preserve">apán betegeknél </w:t>
      </w:r>
      <w:r w:rsidRPr="0014358A">
        <w:rPr>
          <w:rFonts w:ascii="Times New Roman" w:hAnsi="Times New Roman" w:cs="Times New Roman"/>
          <w:noProof/>
          <w:lang w:val="hu-HU"/>
        </w:rPr>
        <w:t xml:space="preserve">ezek a mellékhatások </w:t>
      </w:r>
      <w:r w:rsidR="000960FF">
        <w:rPr>
          <w:rFonts w:ascii="Times New Roman" w:hAnsi="Times New Roman" w:cs="Times New Roman"/>
          <w:noProof/>
          <w:lang w:val="hu-HU"/>
        </w:rPr>
        <w:t>v</w:t>
      </w:r>
      <w:r w:rsidR="000960FF" w:rsidRPr="0014358A">
        <w:rPr>
          <w:rFonts w:ascii="Times New Roman" w:hAnsi="Times New Roman" w:cs="Times New Roman"/>
          <w:noProof/>
          <w:lang w:val="hu-HU"/>
        </w:rPr>
        <w:t>alószínű</w:t>
      </w:r>
      <w:r w:rsidR="000960FF">
        <w:rPr>
          <w:rFonts w:ascii="Times New Roman" w:hAnsi="Times New Roman" w:cs="Times New Roman"/>
          <w:noProof/>
          <w:lang w:val="hu-HU"/>
        </w:rPr>
        <w:t>leg</w:t>
      </w:r>
      <w:r w:rsidR="000960F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gyakrabban jelentkeznek.</w:t>
      </w:r>
    </w:p>
    <w:p w14:paraId="77855316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6A7802E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Interstitialis tüdőbetegség</w:t>
      </w:r>
    </w:p>
    <w:p w14:paraId="05769704" w14:textId="0A1174FF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gyógyszer forgalomba hozatalát követően a telmizartán szedésével időbeli összefüggésben interstitialis tüdőbetegség eseteit jelentették, de ok-okozati </w:t>
      </w:r>
      <w:r w:rsidR="000960FF">
        <w:rPr>
          <w:rFonts w:ascii="Times New Roman" w:hAnsi="Times New Roman" w:cs="Times New Roman"/>
          <w:noProof/>
          <w:lang w:val="hu-HU"/>
        </w:rPr>
        <w:t>összefüggést</w:t>
      </w:r>
      <w:r w:rsidR="000960F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nem igazoltak.</w:t>
      </w:r>
    </w:p>
    <w:p w14:paraId="2A4E5C7C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18C21F0" w14:textId="566CE30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Intestinalis angiooedema</w:t>
      </w:r>
    </w:p>
    <w:p w14:paraId="531E4221" w14:textId="5323BCFD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Egyes esetekben intestinalis angiooedemáról számoltak be angiotenzin II-receptor-blokkoló alkalmazását követően (lásd 4.4 pont).</w:t>
      </w:r>
    </w:p>
    <w:p w14:paraId="7E634ED8" w14:textId="77777777" w:rsidR="00F67D51" w:rsidRPr="0014358A" w:rsidRDefault="00F67D51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0793B98" w14:textId="07CCAE7A" w:rsidR="00F67D51" w:rsidRPr="002D7986" w:rsidRDefault="00F67D51" w:rsidP="00F67D5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2D7986">
        <w:rPr>
          <w:rFonts w:ascii="Times New Roman" w:hAnsi="Times New Roman" w:cs="Times New Roman"/>
          <w:noProof/>
          <w:u w:val="single"/>
          <w:lang w:val="hu-HU"/>
        </w:rPr>
        <w:t>Feltételezett mellékhatások bejelentése</w:t>
      </w:r>
    </w:p>
    <w:p w14:paraId="681FD9EB" w14:textId="0ED97663" w:rsidR="006D20CC" w:rsidRPr="002D7986" w:rsidRDefault="006D20CC" w:rsidP="002D798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2D7986">
        <w:rPr>
          <w:rFonts w:ascii="Times New Roman" w:hAnsi="Times New Roman" w:cs="Times New Roman"/>
          <w:noProof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</w:t>
      </w:r>
      <w:r w:rsidRPr="006D20CC">
        <w:rPr>
          <w:rFonts w:ascii="Times New Roman" w:hAnsi="Times New Roman" w:cs="Times New Roman"/>
          <w:noProof/>
          <w:lang w:val="hu-HU"/>
        </w:rPr>
        <w:t>.</w:t>
      </w:r>
    </w:p>
    <w:p w14:paraId="524E419B" w14:textId="7FF3F0D6" w:rsidR="006D20CC" w:rsidRPr="006D20CC" w:rsidRDefault="006D20CC" w:rsidP="00F67D5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2D7986">
        <w:rPr>
          <w:rFonts w:ascii="Times New Roman" w:hAnsi="Times New Roman" w:cs="Times New Roman"/>
          <w:noProof/>
          <w:lang w:val="hu-HU"/>
        </w:rPr>
        <w:t xml:space="preserve">Az egészségügyi szakembereket kérjük, hogy jelentsék be a feltételezett mellékhatásokat a hatóság részére az </w:t>
      </w:r>
      <w:hyperlink r:id="rId10" w:history="1">
        <w:r w:rsidRPr="0043058C">
          <w:rPr>
            <w:rFonts w:ascii="Times New Roman" w:hAnsi="Times New Roman"/>
            <w:noProof/>
            <w:lang w:val="hu-HU"/>
          </w:rPr>
          <w:t>V. füg</w:t>
        </w:r>
        <w:bookmarkStart w:id="0" w:name="_Hlt352075914"/>
        <w:bookmarkStart w:id="1" w:name="_Hlt352075915"/>
        <w:r w:rsidRPr="0043058C">
          <w:rPr>
            <w:rFonts w:ascii="Times New Roman" w:hAnsi="Times New Roman"/>
            <w:noProof/>
            <w:lang w:val="hu-HU"/>
          </w:rPr>
          <w:t>g</w:t>
        </w:r>
        <w:bookmarkEnd w:id="0"/>
        <w:bookmarkEnd w:id="1"/>
        <w:r w:rsidRPr="0043058C">
          <w:rPr>
            <w:rFonts w:ascii="Times New Roman" w:hAnsi="Times New Roman"/>
            <w:noProof/>
            <w:lang w:val="hu-HU"/>
          </w:rPr>
          <w:t>elékben</w:t>
        </w:r>
      </w:hyperlink>
      <w:r w:rsidRPr="002D7986">
        <w:rPr>
          <w:rFonts w:ascii="Times New Roman" w:hAnsi="Times New Roman" w:cs="Times New Roman"/>
          <w:noProof/>
          <w:lang w:val="hu-HU"/>
        </w:rPr>
        <w:t xml:space="preserve"> található elérhetőségek valamelyikén keresztül.</w:t>
      </w:r>
    </w:p>
    <w:p w14:paraId="3AE1BC68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4601E0A" w14:textId="266D48FD" w:rsidR="002137C2" w:rsidRPr="0014358A" w:rsidRDefault="002137C2" w:rsidP="00724323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Túladagolás</w:t>
      </w:r>
    </w:p>
    <w:p w14:paraId="0BCFD7D8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63B5FD5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túladagolásáról korlátozott mennyiségű humán adat áll rendelkezésre.</w:t>
      </w:r>
    </w:p>
    <w:p w14:paraId="3F4F693A" w14:textId="77777777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ED8284D" w14:textId="61FCEE50" w:rsidR="002137C2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Tünetek</w:t>
      </w:r>
    </w:p>
    <w:p w14:paraId="11CA563E" w14:textId="3A23189C" w:rsidR="00384621" w:rsidRPr="0014358A" w:rsidRDefault="002137C2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túladagolása után leginkább jellemző tünet a hypot</w:t>
      </w:r>
      <w:r w:rsidR="000960FF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0960FF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0960FF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és tachycardia, azonban bradycardia, szédülés, a szérum kreatininszintjének emelkedése és akut veseelégtelenség is előfordult.</w:t>
      </w:r>
    </w:p>
    <w:p w14:paraId="3AE868DA" w14:textId="77777777" w:rsidR="00384621" w:rsidRPr="0014358A" w:rsidRDefault="00384621" w:rsidP="002137C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FE0FD55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Kezelés</w:t>
      </w:r>
    </w:p>
    <w:p w14:paraId="09CACD31" w14:textId="11F3BAD3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hemofiltrációval nem távolítható el, és nem dializálható. A beteg állapotát gondosan monitorozni kell, tüneti és szupportív kezelés szükséges. A kezelés függ a gyógyszer bevétele után eltelt időtől és a tünetek súlyosságától. Ajánlott a hánytatás és/vagy a gyomormosás. Kedvező hatásúnak bizonyulhat túladagolás</w:t>
      </w:r>
      <w:r w:rsidR="008C735C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</w:t>
      </w:r>
      <w:r w:rsidR="008C735C">
        <w:rPr>
          <w:rFonts w:ascii="Times New Roman" w:hAnsi="Times New Roman" w:cs="Times New Roman"/>
          <w:noProof/>
          <w:lang w:val="hu-HU"/>
        </w:rPr>
        <w:t>ezelésében</w:t>
      </w:r>
      <w:r w:rsidRPr="0014358A">
        <w:rPr>
          <w:rFonts w:ascii="Times New Roman" w:hAnsi="Times New Roman" w:cs="Times New Roman"/>
          <w:noProof/>
          <w:lang w:val="hu-HU"/>
        </w:rPr>
        <w:t xml:space="preserve"> az aktív szén is. A szérum elektrolit- és a kreatininszintjét gyakran szükséges ellenőrizni. Hypot</w:t>
      </w:r>
      <w:r w:rsidR="008C735C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8C735C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8C735C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kialakulása esetén hanyatt kell fektetni a beteget, és gyorsan</w:t>
      </w:r>
      <w:r w:rsidR="001179AA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elektrolit- és folyadékpótlást kell alkalmazni.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5C97E28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FC28A76" w14:textId="6546DC88" w:rsidR="00384621" w:rsidRPr="0014358A" w:rsidRDefault="00384621" w:rsidP="001179AA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FARMAKOLÓGIAI TULAJDONSÁGOK</w:t>
      </w:r>
    </w:p>
    <w:p w14:paraId="1A8B659A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17C23C5" w14:textId="3274FCA2" w:rsidR="00384621" w:rsidRPr="0014358A" w:rsidRDefault="00384621" w:rsidP="001179AA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Farmakodinámiás tulajdonságok</w:t>
      </w:r>
    </w:p>
    <w:p w14:paraId="3BDBA259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1EDB4E5" w14:textId="4E52E28E" w:rsidR="008C735C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Farmakoterápiás csoport: Angiotenzin II-receptor-blokkolók (ARB-k), önmagukban</w:t>
      </w:r>
    </w:p>
    <w:p w14:paraId="02F09EB6" w14:textId="5CCA3A60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ATC kód: C09CA07.</w:t>
      </w:r>
    </w:p>
    <w:p w14:paraId="7A8188C5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40551E1" w14:textId="3B104706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Hatásmechanizmus</w:t>
      </w:r>
    </w:p>
    <w:p w14:paraId="0EA7FC15" w14:textId="0829D369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</w:t>
      </w:r>
      <w:r w:rsidRPr="002D7986">
        <w:rPr>
          <w:rFonts w:ascii="Times New Roman" w:hAnsi="Times New Roman" w:cs="Times New Roman"/>
          <w:i/>
          <w:noProof/>
          <w:lang w:val="hu-HU"/>
        </w:rPr>
        <w:t>per os</w:t>
      </w:r>
      <w:r w:rsidRPr="0014358A">
        <w:rPr>
          <w:rFonts w:ascii="Times New Roman" w:hAnsi="Times New Roman" w:cs="Times New Roman"/>
          <w:noProof/>
          <w:lang w:val="hu-HU"/>
        </w:rPr>
        <w:t xml:space="preserve"> adva hatékony és szelektív angiotenzin II 1-es típusú (AT1) receptor-blokkoló. A receptorhoz nagy</w:t>
      </w:r>
      <w:r w:rsidR="008C735C">
        <w:rPr>
          <w:rFonts w:ascii="Times New Roman" w:hAnsi="Times New Roman" w:cs="Times New Roman"/>
          <w:noProof/>
          <w:lang w:val="hu-HU"/>
        </w:rPr>
        <w:t>on nagy</w:t>
      </w:r>
      <w:r w:rsidRPr="0014358A">
        <w:rPr>
          <w:rFonts w:ascii="Times New Roman" w:hAnsi="Times New Roman" w:cs="Times New Roman"/>
          <w:noProof/>
          <w:lang w:val="hu-HU"/>
        </w:rPr>
        <w:t xml:space="preserve"> affinitással kötődő telmizartán leszorítja az angiotenzin II-t az annak ismert farmakológiai hatásait közvetítő AT1-receptor altípusról. A telmizartán nem fejt ki semmilyen parciális agonista hatást az AT1-receptoron. Szelektíven kötődik az AT1-receptorokhoz, és a kötődés hosszú tartamú. Nem mutat affinitást más receptorokhoz (pl. AT2 vagy egyéb, kevésbé ismert AT</w:t>
      </w:r>
      <w:r w:rsidR="008C735C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receptorok). E receptorok funkcionális szerepe nem ismert, miként az sem, hogy az angiotenzin II (melynek szintjét a telmizartán emeli) által potenciálisan előidézett hiperstimulációjuknak milyen hatása van. A telmizartán csökkenti a plazma aldoszteronszintjét; nem gátolja a plazma renin aktivitását, és nem blokkolja az ioncsatornákat. Nem gátolja a bradykinin lebontását is végző angiotenzinkonvertáló-enzimet (kinináz II). Ezért nem várható, hogy a bradykinin közvetítette mellékhatásokat potencírozza.</w:t>
      </w:r>
    </w:p>
    <w:p w14:paraId="574C93B5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B281C3D" w14:textId="552E5814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Embereknél 80</w:t>
      </w:r>
      <w:r w:rsidR="008C735C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 adásával szinte teljes mértékben kiküszöbölhető az angiotenzin II által</w:t>
      </w:r>
      <w:r w:rsidR="00E061E6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kiváltott vérnyomás-emelkedés; ez a gátló hatás 24 órán keresztül érvényesül és még 48 óra múlva is kimutatható.</w:t>
      </w:r>
    </w:p>
    <w:p w14:paraId="5AED41B5" w14:textId="77777777" w:rsidR="000A7166" w:rsidRPr="0014358A" w:rsidRDefault="000A7166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CD034CA" w14:textId="37693A45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Klinikai hatásosság és biztonságosság</w:t>
      </w:r>
    </w:p>
    <w:p w14:paraId="3A86010D" w14:textId="77777777" w:rsidR="00384621" w:rsidRPr="0014358A" w:rsidRDefault="00384621" w:rsidP="00384621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Az essentialis hypertonia kezelése</w:t>
      </w:r>
    </w:p>
    <w:p w14:paraId="3FFB2ACD" w14:textId="761ADBD4" w:rsidR="00384621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21319">
        <w:rPr>
          <w:rFonts w:ascii="Times New Roman" w:hAnsi="Times New Roman" w:cs="Times New Roman"/>
          <w:noProof/>
          <w:lang w:val="hu-HU"/>
        </w:rPr>
        <w:t xml:space="preserve">A telmizartán első dózisának </w:t>
      </w:r>
      <w:r w:rsidR="00421319">
        <w:rPr>
          <w:rFonts w:ascii="Times New Roman" w:hAnsi="Times New Roman" w:cs="Times New Roman"/>
          <w:noProof/>
          <w:lang w:val="hu-HU"/>
        </w:rPr>
        <w:t xml:space="preserve">bevétele után a vérnyomáscsökkentő </w:t>
      </w:r>
      <w:r w:rsidRPr="00421319">
        <w:rPr>
          <w:rFonts w:ascii="Times New Roman" w:hAnsi="Times New Roman" w:cs="Times New Roman"/>
          <w:noProof/>
          <w:lang w:val="hu-HU"/>
        </w:rPr>
        <w:t>hatás fokozatosan, 3 ór</w:t>
      </w:r>
      <w:r w:rsidR="00421319">
        <w:rPr>
          <w:rFonts w:ascii="Times New Roman" w:hAnsi="Times New Roman" w:cs="Times New Roman"/>
          <w:noProof/>
          <w:lang w:val="hu-HU"/>
        </w:rPr>
        <w:t>án</w:t>
      </w:r>
      <w:r w:rsidRPr="00421319">
        <w:rPr>
          <w:rFonts w:ascii="Times New Roman" w:hAnsi="Times New Roman" w:cs="Times New Roman"/>
          <w:noProof/>
          <w:lang w:val="hu-HU"/>
        </w:rPr>
        <w:t xml:space="preserve"> </w:t>
      </w:r>
      <w:r w:rsidR="00421319">
        <w:rPr>
          <w:rFonts w:ascii="Times New Roman" w:hAnsi="Times New Roman" w:cs="Times New Roman"/>
          <w:noProof/>
          <w:lang w:val="hu-HU"/>
        </w:rPr>
        <w:t>belül</w:t>
      </w:r>
      <w:r w:rsidRPr="00421319">
        <w:rPr>
          <w:rFonts w:ascii="Times New Roman" w:hAnsi="Times New Roman" w:cs="Times New Roman"/>
          <w:noProof/>
          <w:lang w:val="hu-HU"/>
        </w:rPr>
        <w:t xml:space="preserve"> alakul ki. A vérnyomáscsökkentő hatás</w:t>
      </w:r>
      <w:r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="00421319">
        <w:rPr>
          <w:rFonts w:ascii="Times New Roman" w:hAnsi="Times New Roman" w:cs="Times New Roman"/>
          <w:noProof/>
          <w:lang w:val="hu-HU"/>
        </w:rPr>
        <w:t xml:space="preserve">maximumát </w:t>
      </w:r>
      <w:r w:rsidRPr="0014358A">
        <w:rPr>
          <w:rFonts w:ascii="Times New Roman" w:hAnsi="Times New Roman" w:cs="Times New Roman"/>
          <w:noProof/>
          <w:lang w:val="hu-HU"/>
        </w:rPr>
        <w:t xml:space="preserve">rendszerint </w:t>
      </w:r>
      <w:r w:rsidR="00421319">
        <w:rPr>
          <w:rFonts w:ascii="Times New Roman" w:hAnsi="Times New Roman" w:cs="Times New Roman"/>
          <w:noProof/>
          <w:lang w:val="hu-HU"/>
        </w:rPr>
        <w:t xml:space="preserve">a kezelés kezdete után </w:t>
      </w:r>
      <w:r w:rsidRPr="0014358A">
        <w:rPr>
          <w:rFonts w:ascii="Times New Roman" w:hAnsi="Times New Roman" w:cs="Times New Roman"/>
          <w:noProof/>
          <w:lang w:val="hu-HU"/>
        </w:rPr>
        <w:t>4-8 h</w:t>
      </w:r>
      <w:r w:rsidR="00421319">
        <w:rPr>
          <w:rFonts w:ascii="Times New Roman" w:hAnsi="Times New Roman" w:cs="Times New Roman"/>
          <w:noProof/>
          <w:lang w:val="hu-HU"/>
        </w:rPr>
        <w:t>é</w:t>
      </w:r>
      <w:r w:rsidRPr="0014358A">
        <w:rPr>
          <w:rFonts w:ascii="Times New Roman" w:hAnsi="Times New Roman" w:cs="Times New Roman"/>
          <w:noProof/>
          <w:lang w:val="hu-HU"/>
        </w:rPr>
        <w:t>t</w:t>
      </w:r>
      <w:r w:rsidR="00421319">
        <w:rPr>
          <w:rFonts w:ascii="Times New Roman" w:hAnsi="Times New Roman" w:cs="Times New Roman"/>
          <w:noProof/>
          <w:lang w:val="hu-HU"/>
        </w:rPr>
        <w:t>tel</w:t>
      </w:r>
      <w:r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="00421319">
        <w:rPr>
          <w:rFonts w:ascii="Times New Roman" w:hAnsi="Times New Roman" w:cs="Times New Roman"/>
          <w:noProof/>
          <w:lang w:val="hu-HU"/>
        </w:rPr>
        <w:t>éri el</w:t>
      </w:r>
      <w:r w:rsidRPr="0014358A">
        <w:rPr>
          <w:rFonts w:ascii="Times New Roman" w:hAnsi="Times New Roman" w:cs="Times New Roman"/>
          <w:noProof/>
          <w:lang w:val="hu-HU"/>
        </w:rPr>
        <w:t>, és hosszú távú kezelés esetén is fennmarad.</w:t>
      </w:r>
    </w:p>
    <w:p w14:paraId="343D081B" w14:textId="77777777" w:rsidR="00421319" w:rsidRPr="0014358A" w:rsidRDefault="00421319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EADD93E" w14:textId="6713A3B6" w:rsidR="00840A44" w:rsidRDefault="00384621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Ambuláns vérnyomás-monitorozás eredményei alapján a vérnyomáscsökkentő hatás </w:t>
      </w:r>
      <w:r w:rsidR="00421319">
        <w:rPr>
          <w:rFonts w:ascii="Times New Roman" w:hAnsi="Times New Roman" w:cs="Times New Roman"/>
          <w:noProof/>
          <w:lang w:val="hu-HU"/>
        </w:rPr>
        <w:t>fennmarad</w:t>
      </w:r>
      <w:r w:rsidR="00421319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24 órán</w:t>
      </w:r>
      <w:r w:rsidR="00D27712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keresztül, beleértve a következő dózis bevétele előtti utolsó 4 órát is. Ezt megerősítette, hogy a placebokontrollos vizsgálatokban a 40</w:t>
      </w:r>
      <w:r w:rsidR="00421319">
        <w:rPr>
          <w:rFonts w:ascii="Times New Roman" w:hAnsi="Times New Roman" w:cs="Times New Roman"/>
          <w:noProof/>
          <w:lang w:val="hu-HU"/>
        </w:rPr>
        <w:t> mg-os</w:t>
      </w:r>
      <w:r w:rsidRPr="0014358A">
        <w:rPr>
          <w:rFonts w:ascii="Times New Roman" w:hAnsi="Times New Roman" w:cs="Times New Roman"/>
          <w:noProof/>
          <w:lang w:val="hu-HU"/>
        </w:rPr>
        <w:t xml:space="preserve"> és 80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mg-os telmizartán-dózisok után a maradék</w:t>
      </w:r>
      <w:r w:rsidR="00421319">
        <w:rPr>
          <w:rFonts w:ascii="Times New Roman" w:hAnsi="Times New Roman" w:cs="Times New Roman"/>
          <w:noProof/>
          <w:lang w:val="hu-HU"/>
        </w:rPr>
        <w:t>hatás</w:t>
      </w:r>
      <w:r w:rsidRPr="0014358A">
        <w:rPr>
          <w:rFonts w:ascii="Times New Roman" w:hAnsi="Times New Roman" w:cs="Times New Roman"/>
          <w:noProof/>
          <w:lang w:val="hu-HU"/>
        </w:rPr>
        <w:t>-csúcshatás aránya egységesen 80% felett maradt. Dózisfüggőnek tűnik, hogy mennyi idő alatt tér vissza a kiindulási szintre a szisztolés vérnyomás. Ebben a tekintetben a diasztolés vérnyomásra vonatkozó adatok nem egyértelműek.</w:t>
      </w:r>
    </w:p>
    <w:p w14:paraId="3E603261" w14:textId="77777777" w:rsidR="00421319" w:rsidRPr="0014358A" w:rsidRDefault="00421319" w:rsidP="0038462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064CFD6" w14:textId="697F84F2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hypertoniás betegeknél a szisztolés és diasztolés vérnyomást egyaránt csökkenti, a szívfrekvenciát azonban nem módosítja. Nincs még magyarázat arra, hogyan járul hozzá a vérnyomáscsökkentő hatáshoz a gyógyszer diuretikus és nátriuretikus hatása. A telmizartán vérnyomáscsökkentő hatás</w:t>
      </w:r>
      <w:r w:rsidR="00421319">
        <w:rPr>
          <w:rFonts w:ascii="Times New Roman" w:hAnsi="Times New Roman" w:cs="Times New Roman"/>
          <w:noProof/>
          <w:lang w:val="hu-HU"/>
        </w:rPr>
        <w:t>osság</w:t>
      </w:r>
      <w:r w:rsidRPr="0014358A">
        <w:rPr>
          <w:rFonts w:ascii="Times New Roman" w:hAnsi="Times New Roman" w:cs="Times New Roman"/>
          <w:noProof/>
          <w:lang w:val="hu-HU"/>
        </w:rPr>
        <w:t>a</w:t>
      </w:r>
      <w:r w:rsidR="00421319">
        <w:rPr>
          <w:rFonts w:ascii="Times New Roman" w:hAnsi="Times New Roman" w:cs="Times New Roman"/>
          <w:noProof/>
          <w:lang w:val="hu-HU"/>
        </w:rPr>
        <w:t xml:space="preserve"> hasonló a </w:t>
      </w:r>
      <w:r w:rsidRPr="0014358A">
        <w:rPr>
          <w:rFonts w:ascii="Times New Roman" w:hAnsi="Times New Roman" w:cs="Times New Roman"/>
          <w:noProof/>
          <w:lang w:val="hu-HU"/>
        </w:rPr>
        <w:t>más vegyületcsoportokba tartozó antihipertenzívumoké</w:t>
      </w:r>
      <w:r w:rsidR="00421319">
        <w:rPr>
          <w:rFonts w:ascii="Times New Roman" w:hAnsi="Times New Roman" w:cs="Times New Roman"/>
          <w:noProof/>
          <w:lang w:val="hu-HU"/>
        </w:rPr>
        <w:t>hoz</w:t>
      </w:r>
      <w:r w:rsidRPr="0014358A">
        <w:rPr>
          <w:rFonts w:ascii="Times New Roman" w:hAnsi="Times New Roman" w:cs="Times New Roman"/>
          <w:noProof/>
          <w:lang w:val="hu-HU"/>
        </w:rPr>
        <w:t xml:space="preserve"> (ezt igazolják a telmizartánt és az amlodipint, az atenololt, az enalaprilt, a hidroklorotiazidot és a lizinoprilt összehasonlító klinikai vizsgálatok eredményei).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17B1831A" w14:textId="5C1C3232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adagolásának hirtelen </w:t>
      </w:r>
      <w:r w:rsidR="00421319">
        <w:rPr>
          <w:rFonts w:ascii="Times New Roman" w:hAnsi="Times New Roman" w:cs="Times New Roman"/>
          <w:noProof/>
          <w:lang w:val="hu-HU"/>
        </w:rPr>
        <w:t>abbahagyása</w:t>
      </w:r>
      <w:r w:rsidR="00421319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után a vérnyomás fokozatosan, néhány nap alatt tér vissza a kezelés előtti értékre, nem lép fel „rebound” vérnyomás-emelkedés.</w:t>
      </w:r>
    </w:p>
    <w:p w14:paraId="4BC74371" w14:textId="77777777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B2CBA3A" w14:textId="71B4F9E4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száraz köhögés szignifikánsan ritkábban jelentkezett telmizartánnal kezelt betegeknél, mint azoknál, akiknek ACE-gátlót adtak azon klinikai vizsgálatokban, melyekben a két vérnyomáscsökkentő kezelést hasonlították össze.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7EEB837E" w14:textId="77777777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i/>
          <w:iCs/>
          <w:noProof/>
          <w:lang w:val="hu-HU"/>
        </w:rPr>
      </w:pPr>
      <w:r w:rsidRPr="0014358A">
        <w:rPr>
          <w:rFonts w:ascii="Times New Roman" w:hAnsi="Times New Roman" w:cs="Times New Roman"/>
          <w:i/>
          <w:iCs/>
          <w:noProof/>
          <w:lang w:val="hu-HU"/>
        </w:rPr>
        <w:t>Cardiovascularis prevenció</w:t>
      </w:r>
    </w:p>
    <w:p w14:paraId="26C2FDB6" w14:textId="6A121510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Az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ONTARGET</w:t>
      </w:r>
      <w:r w:rsidRPr="0014358A">
        <w:rPr>
          <w:rFonts w:ascii="Times New Roman" w:hAnsi="Times New Roman" w:cs="Times New Roman"/>
          <w:noProof/>
          <w:lang w:val="hu-HU"/>
        </w:rPr>
        <w:t xml:space="preserve"> (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Ngoing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T</w:t>
      </w:r>
      <w:r w:rsidRPr="0014358A">
        <w:rPr>
          <w:rFonts w:ascii="Times New Roman" w:hAnsi="Times New Roman" w:cs="Times New Roman"/>
          <w:noProof/>
          <w:lang w:val="hu-HU"/>
        </w:rPr>
        <w:t xml:space="preserve">elmisartan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A</w:t>
      </w:r>
      <w:r w:rsidRPr="0014358A">
        <w:rPr>
          <w:rFonts w:ascii="Times New Roman" w:hAnsi="Times New Roman" w:cs="Times New Roman"/>
          <w:noProof/>
          <w:lang w:val="hu-HU"/>
        </w:rPr>
        <w:t xml:space="preserve">lone and in Combination with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R</w:t>
      </w:r>
      <w:r w:rsidRPr="0014358A">
        <w:rPr>
          <w:rFonts w:ascii="Times New Roman" w:hAnsi="Times New Roman" w:cs="Times New Roman"/>
          <w:noProof/>
          <w:lang w:val="hu-HU"/>
        </w:rPr>
        <w:t xml:space="preserve">amipril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G</w:t>
      </w:r>
      <w:r w:rsidRPr="0014358A">
        <w:rPr>
          <w:rFonts w:ascii="Times New Roman" w:hAnsi="Times New Roman" w:cs="Times New Roman"/>
          <w:noProof/>
          <w:lang w:val="hu-HU"/>
        </w:rPr>
        <w:t xml:space="preserve">lobal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 xml:space="preserve">ndpoint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T</w:t>
      </w:r>
      <w:r w:rsidRPr="0014358A">
        <w:rPr>
          <w:rFonts w:ascii="Times New Roman" w:hAnsi="Times New Roman" w:cs="Times New Roman"/>
          <w:noProof/>
          <w:lang w:val="hu-HU"/>
        </w:rPr>
        <w:t>rial) vizsgálatban a telmizartán, a ramipril és a telmizartán és ramipril kombinációjának 25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620, olyan 55 év</w:t>
      </w:r>
      <w:r w:rsidR="00421319">
        <w:rPr>
          <w:rFonts w:ascii="Times New Roman" w:hAnsi="Times New Roman" w:cs="Times New Roman"/>
          <w:noProof/>
          <w:lang w:val="hu-HU"/>
        </w:rPr>
        <w:t>es</w:t>
      </w:r>
      <w:r w:rsidRPr="0014358A">
        <w:rPr>
          <w:rFonts w:ascii="Times New Roman" w:hAnsi="Times New Roman" w:cs="Times New Roman"/>
          <w:noProof/>
          <w:lang w:val="hu-HU"/>
        </w:rPr>
        <w:t>nél idősebb beteg cardiovascularis kimenetélére kifejtett hatását hasonlították össze, akiknek az anamnézisében koszorúér-betegség, stroke, TIA, perifériás érbetegség vagy szervkárosodással (pl. retinopathiával, balkamrai hypertrophiával, makro- vagy mikroalbuminuriával) járó</w:t>
      </w:r>
      <w:r w:rsidR="00421319">
        <w:rPr>
          <w:rFonts w:ascii="Times New Roman" w:hAnsi="Times New Roman" w:cs="Times New Roman"/>
          <w:noProof/>
          <w:lang w:val="hu-HU"/>
        </w:rPr>
        <w:t>,</w:t>
      </w:r>
      <w:r w:rsidRPr="0014358A">
        <w:rPr>
          <w:rFonts w:ascii="Times New Roman" w:hAnsi="Times New Roman" w:cs="Times New Roman"/>
          <w:noProof/>
          <w:lang w:val="hu-HU"/>
        </w:rPr>
        <w:t xml:space="preserve"> 2-es típusú diabetes mellitus szerepelt; amely betegpopuláció a cardiovascularis események szempontjából </w:t>
      </w:r>
      <w:r w:rsidR="00421319">
        <w:rPr>
          <w:rFonts w:ascii="Times New Roman" w:hAnsi="Times New Roman" w:cs="Times New Roman"/>
          <w:noProof/>
          <w:lang w:val="hu-HU"/>
        </w:rPr>
        <w:t xml:space="preserve">kockázatnak kitett </w:t>
      </w:r>
      <w:r w:rsidRPr="0014358A">
        <w:rPr>
          <w:rFonts w:ascii="Times New Roman" w:hAnsi="Times New Roman" w:cs="Times New Roman"/>
          <w:noProof/>
          <w:lang w:val="hu-HU"/>
        </w:rPr>
        <w:t>populációt jelent.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045A2B81" w14:textId="2C5B96FA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betegek véletlen besorolás alapján kerültek a következő három csoport valamelyikébe: 80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 (n = 8542), 10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ramipril (n = 8576), vagy 80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 és 10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ramipril kombinácáiója (n = 8502), és a betegeket átlagosan 4,5 éven át követték.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4D9FB442" w14:textId="20D4D6D8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a ramiprilhez hasonló hatást mutatott a cardiovascularis halálozás, nem fatális myocardialis infarctus, nem fatális stroke, és a pangásos szívelégtelenség miatti kórházi kezelés elsődleges összetett végpontjának csökkentésében. Az elsődleges végpont incidenciája hasonló volt a telmizartán- (16,7%) és a ramipril- (16,5%) csoportokban. A kockázati hányados a telmizartán esetén a ramiprilhez képest 1,01 volt (97,5%-os CI 0,93-1,10, p [non-inferioritás] = 0,0019 1,13-os határnál). </w:t>
      </w:r>
    </w:p>
    <w:p w14:paraId="06C38E82" w14:textId="76AF46EA" w:rsidR="00D2771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bármely okból bekövetkezett halálozás a telmizartánnal kezelt betegeknél 11,6%, a ramiprillel kezelteknél 11,8% volt.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389B2ABF" w14:textId="7215F32B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a ramiprilhez hasonlóan hatékony volt a következő, előre meghatározott másodlagos végpontok esetében: cardiovascularis halálozás, nem fatális myocardialis infarctus, és nem fatális stroke (0,99 [97,5%-os CI 0,90-1,08], p [non-inferioritás] = 0,0004); ezek voltak a ramipril hatását a placebóval szemben vizsgáló HOPE (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H</w:t>
      </w:r>
      <w:r w:rsidRPr="0014358A">
        <w:rPr>
          <w:rFonts w:ascii="Times New Roman" w:hAnsi="Times New Roman" w:cs="Times New Roman"/>
          <w:noProof/>
          <w:lang w:val="hu-HU"/>
        </w:rPr>
        <w:t xml:space="preserve">eart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utcomes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P</w:t>
      </w:r>
      <w:r w:rsidRPr="0014358A">
        <w:rPr>
          <w:rFonts w:ascii="Times New Roman" w:hAnsi="Times New Roman" w:cs="Times New Roman"/>
          <w:noProof/>
          <w:lang w:val="hu-HU"/>
        </w:rPr>
        <w:t xml:space="preserve">revention </w:t>
      </w:r>
      <w:r w:rsidRPr="0014358A">
        <w:rPr>
          <w:rFonts w:ascii="Times New Roman" w:hAnsi="Times New Roman" w:cs="Times New Roman"/>
          <w:b/>
          <w:bCs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valuation Study) referenciavizsgálat elsődleges végpontjai.</w:t>
      </w:r>
    </w:p>
    <w:p w14:paraId="77FAE5D7" w14:textId="77777777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14E050A" w14:textId="50BBACF1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TRANSCEND vizsgálatban ACE-inhibitorral szemben intoleráns, egyébként az ONTARGET vizsgálat beválasztási kritériumainak megfelelő betegeket randomizáltak, akik a standard kezelésen felül 80</w:t>
      </w:r>
      <w:r w:rsidR="00421319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telmizartánt (n = 2954) vagy placebót (n = 2972) kaptak. Az utánkövetés átlagos időtartama 4 év és 8 hónap volt. Nem találtak statisztikailag szignifikáns különbséget az elsődleges összetett végpont (cardiovascularis halálozás, nem fatális myocardialis infarctus, nem fatális stroke, vagy kórházi kezelést igénylő pangásos szívelégtelenség) incidenciájában (15,7% a telmizartán-, és 17,0% a placebocsoportban, kockázati arány 0,92 (95%-os CI 0,81-1,05, p = 0,22)). A telmizartán a placebóhoz képest előnyösebbnek bizonyult a cardiovascularis halálozás, nem fatális myocardialis infarktus és nem fatális stroke előre meghatározott másodlagos összetett végpontja szempontjából (0,87 [95%-os CI 0,76-1,00, p = 0,048]). A cardiovascularis mortalitásra kifejtett előnyös hatásra vonatkozó bizonyítékot nem találtak (kockázati arány 1,03, 95%-os CI 0,85-1,24).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60DD3A95" w14:textId="062D71C5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köhögés és az angiooedema ritkábban jelentkezett a telmizartánnal kezelt, mint a ramiprillel kezelt betegek esetében, míg hypot</w:t>
      </w:r>
      <w:r w:rsidR="002933D7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2933D7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2933D7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a telmizartán esetében jelentkezett gyakrabban.</w:t>
      </w:r>
    </w:p>
    <w:p w14:paraId="5AA136EF" w14:textId="77777777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75903EB" w14:textId="5566C13E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2933D7">
        <w:rPr>
          <w:rFonts w:ascii="Times New Roman" w:hAnsi="Times New Roman" w:cs="Times New Roman"/>
          <w:noProof/>
          <w:lang w:val="hu-HU"/>
        </w:rPr>
        <w:t>A telmizartán és a ramipril kombinációja nem volt előnyösebb az önmagában alkalmazott ramiprilnél</w:t>
      </w:r>
      <w:r w:rsidRPr="0014358A">
        <w:rPr>
          <w:rFonts w:ascii="Times New Roman" w:hAnsi="Times New Roman" w:cs="Times New Roman"/>
          <w:noProof/>
          <w:lang w:val="hu-HU"/>
        </w:rPr>
        <w:t xml:space="preserve"> vagy telmizartánnál. A cardiovascularis mortalitás és a bármely okból bekövetkező mortalitás számszerűleg gyakoribb volt a kombináció esetén. Ezenkívül szignifikánsan nagyobb </w:t>
      </w:r>
      <w:r w:rsidR="002933D7">
        <w:rPr>
          <w:rFonts w:ascii="Times New Roman" w:hAnsi="Times New Roman" w:cs="Times New Roman"/>
          <w:noProof/>
          <w:lang w:val="hu-HU"/>
        </w:rPr>
        <w:t>incidenciával</w:t>
      </w:r>
      <w:r w:rsidR="002933D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fordult elő hyperkalaemia, veseelégtelenség, hypot</w:t>
      </w:r>
      <w:r w:rsidR="002933D7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2933D7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2933D7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és syncope a kombinációs </w:t>
      </w:r>
      <w:r w:rsidR="002933D7">
        <w:rPr>
          <w:rFonts w:ascii="Times New Roman" w:hAnsi="Times New Roman" w:cs="Times New Roman"/>
          <w:noProof/>
          <w:lang w:val="hu-HU"/>
        </w:rPr>
        <w:t>kar</w:t>
      </w:r>
      <w:r w:rsidRPr="0014358A">
        <w:rPr>
          <w:rFonts w:ascii="Times New Roman" w:hAnsi="Times New Roman" w:cs="Times New Roman"/>
          <w:noProof/>
          <w:lang w:val="hu-HU"/>
        </w:rPr>
        <w:t>on. Ezért a telmizartán és ramipril kombinációja nem javasolt ebben a populációban.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1A748003" w14:textId="59EB0463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PRoFESS („Prevention Regimen For Effectively avoiding Second Strokes”) vizsgálatban a közelmúltban stroke-on átesett, 50 éves vagy annál idősebb betegeknél a telmizartán esetén a sepsis incidenciájának növekedését figyelték meg a placebóhoz képest (0,70% vs. 0,49%) (RR 1,43 [95%-os konfidenciaintervallum, 1,00-2,06]); a fatális kimenetellel járó sepsis eseteinek incidenciája a placebót szedőkhöz képest (0,16%) a telmizartánt szedő betegeknél növekedett (0,33%) (RR 2,07 [95%-os konfidenciaintervallum, 1,14-3,76]). A telmizartán alkalmazása során a sepsis </w:t>
      </w:r>
      <w:r w:rsidR="002933D7">
        <w:rPr>
          <w:rFonts w:ascii="Times New Roman" w:hAnsi="Times New Roman" w:cs="Times New Roman"/>
          <w:noProof/>
          <w:lang w:val="hu-HU"/>
        </w:rPr>
        <w:t>előfordulásának</w:t>
      </w:r>
      <w:r w:rsidR="002933D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megfigyelt növekedése véletlen felfedezés vagy egy</w:t>
      </w:r>
      <w:r w:rsidR="002933D7">
        <w:rPr>
          <w:rFonts w:ascii="Times New Roman" w:hAnsi="Times New Roman" w:cs="Times New Roman"/>
          <w:noProof/>
          <w:lang w:val="hu-HU"/>
        </w:rPr>
        <w:t>,</w:t>
      </w:r>
      <w:r w:rsidRPr="0014358A">
        <w:rPr>
          <w:rFonts w:ascii="Times New Roman" w:hAnsi="Times New Roman" w:cs="Times New Roman"/>
          <w:noProof/>
          <w:lang w:val="hu-HU"/>
        </w:rPr>
        <w:t xml:space="preserve"> ez idáig ismeretlen mechanizmus következménye lehet.</w:t>
      </w:r>
    </w:p>
    <w:p w14:paraId="2B912E52" w14:textId="77777777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54BB6AE" w14:textId="619EC635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Két nagy, randomizált, kontrollos vizsgálatban (ONTARGET (ONgoing Telmisartan Alone and in combination with Ramipril Global Endpoint Trial) és VA NEPHRON-D (The Veterans Affairs Nephropathy in Diabetes)) vizsgálták az ACE-gátló és angiotenzin II-receptor-blokkolók kombinált alkalmazását.</w:t>
      </w:r>
    </w:p>
    <w:p w14:paraId="0EB43CD2" w14:textId="2B4EDDBD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ONTARGET vizsgálatot olyan betegekn</w:t>
      </w:r>
      <w:r w:rsidR="002933D7">
        <w:rPr>
          <w:rFonts w:ascii="Times New Roman" w:hAnsi="Times New Roman" w:cs="Times New Roman"/>
          <w:noProof/>
          <w:lang w:val="hu-HU"/>
        </w:rPr>
        <w:t>él</w:t>
      </w:r>
      <w:r w:rsidRPr="0014358A">
        <w:rPr>
          <w:rFonts w:ascii="Times New Roman" w:hAnsi="Times New Roman" w:cs="Times New Roman"/>
          <w:noProof/>
          <w:lang w:val="hu-HU"/>
        </w:rPr>
        <w:t xml:space="preserve"> végezték, akiknek a kórtörténetében cardiovascularis vagy cerebrovascularis betegség, vagy szervkárosodással járó 2-es típusú diabetes mellitus szerepelt. További információért lásd még a „Cardiovascularis prevenció” pontban szereplő információkat.</w:t>
      </w:r>
      <w:r w:rsidR="005C1C9B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A VA NEPHRON-D vizsgálatot 2-es típusú diabetesben és diabeteses nephropathiában szenvedő betegekn</w:t>
      </w:r>
      <w:r w:rsidR="002933D7">
        <w:rPr>
          <w:rFonts w:ascii="Times New Roman" w:hAnsi="Times New Roman" w:cs="Times New Roman"/>
          <w:noProof/>
          <w:lang w:val="hu-HU"/>
        </w:rPr>
        <w:t>él</w:t>
      </w:r>
      <w:r w:rsidRPr="0014358A">
        <w:rPr>
          <w:rFonts w:ascii="Times New Roman" w:hAnsi="Times New Roman" w:cs="Times New Roman"/>
          <w:noProof/>
          <w:lang w:val="hu-HU"/>
        </w:rPr>
        <w:t xml:space="preserve"> végezték.</w:t>
      </w:r>
    </w:p>
    <w:p w14:paraId="4D417138" w14:textId="2E9E101E" w:rsidR="00692792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Ezek a vizsgálatok nem mutattak ki szignifikánsan előnyös hatásokat a renalis és/vagy cardiovascularis kimenetel és a mortalitás vonatkozásában, miközben a monoterápia esetén megfigyelthez képest nőtt a hyperkalaemia, akut veseelégtelenség és/vagy hypot</w:t>
      </w:r>
      <w:r w:rsidR="002933D7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2933D7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2933D7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kockázata. A hasonló farmakodinámiás tulajdonságok alapján ezek az eredmények más ACE-gátlók és angiotenzin II-receptor-blokkolók esetében is relevánsak.</w:t>
      </w:r>
    </w:p>
    <w:p w14:paraId="1A8BF5A2" w14:textId="2173D966" w:rsidR="00B23C05" w:rsidRPr="0014358A" w:rsidRDefault="00692792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ACE-gátlók és angiotenzin II-receptor-blokkolók nem alkalmazhatók egyidejűleg diabeteses nephropathiaban szenvedő betegeknél.</w:t>
      </w:r>
    </w:p>
    <w:p w14:paraId="6CBBC7ED" w14:textId="77777777" w:rsidR="00B23C05" w:rsidRPr="0014358A" w:rsidRDefault="00B23C05" w:rsidP="00692792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B6DE5D0" w14:textId="3F56CD7F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ALTITUDE (Aliskiren Trial in Type 2 Diabetes Using Cardiovascular and Renal Disease Endpoints) vizsgálat célja az volt, hogy megállapítsák, előnyös-e a standard ACE-gátlóval vagy angiotenzin II-receptor-blokkolóval történő kezelés kiegészítése aliszkirénnel 2-es típusú diabetesben és krónikus vesebetegségben, illetve cardiovascularis betegségben vagy mindkettőben szenvedő betegeknél. A vizsgálatot idő előtt leállították, mert nőtt a mellékhatások kockázata. A cardiovascularis eredetű halál és a stroke szám szerint gyakoribb volt az aliszkirén-csoportban, mint a placebocsoportban, és a jelentős mellékhatások illetve súlyos mellékhatások (hyperkalaemia, hypot</w:t>
      </w:r>
      <w:r w:rsidR="002933D7">
        <w:rPr>
          <w:rFonts w:ascii="Times New Roman" w:hAnsi="Times New Roman" w:cs="Times New Roman"/>
          <w:noProof/>
          <w:lang w:val="hu-HU"/>
        </w:rPr>
        <w:t>e</w:t>
      </w:r>
      <w:r w:rsidRPr="0014358A">
        <w:rPr>
          <w:rFonts w:ascii="Times New Roman" w:hAnsi="Times New Roman" w:cs="Times New Roman"/>
          <w:noProof/>
          <w:lang w:val="hu-HU"/>
        </w:rPr>
        <w:t>n</w:t>
      </w:r>
      <w:r w:rsidR="002933D7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>i</w:t>
      </w:r>
      <w:r w:rsidR="002933D7">
        <w:rPr>
          <w:rFonts w:ascii="Times New Roman" w:hAnsi="Times New Roman" w:cs="Times New Roman"/>
          <w:noProof/>
          <w:lang w:val="hu-HU"/>
        </w:rPr>
        <w:t>o</w:t>
      </w:r>
      <w:r w:rsidRPr="0014358A">
        <w:rPr>
          <w:rFonts w:ascii="Times New Roman" w:hAnsi="Times New Roman" w:cs="Times New Roman"/>
          <w:noProof/>
          <w:lang w:val="hu-HU"/>
        </w:rPr>
        <w:t xml:space="preserve"> és veseműködési zavar) is gyakoribbak voltak az aliszkirén-csoportban, mint a placebocsoportban.</w:t>
      </w:r>
    </w:p>
    <w:p w14:paraId="05B11E72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3565E26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Gyermekek és serdülők</w:t>
      </w:r>
    </w:p>
    <w:p w14:paraId="67A0F436" w14:textId="00165942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</w:t>
      </w:r>
      <w:r w:rsidR="009A7CC4" w:rsidRPr="0014358A">
        <w:rPr>
          <w:rFonts w:ascii="Times New Roman" w:hAnsi="Times New Roman" w:cs="Times New Roman"/>
          <w:noProof/>
          <w:lang w:val="hu-HU"/>
        </w:rPr>
        <w:t>telmizartán</w:t>
      </w:r>
      <w:r w:rsidRPr="0014358A">
        <w:rPr>
          <w:rFonts w:ascii="Times New Roman" w:hAnsi="Times New Roman" w:cs="Times New Roman"/>
          <w:noProof/>
          <w:lang w:val="hu-HU"/>
        </w:rPr>
        <w:t xml:space="preserve"> biztonságosságát és hatásosságát 18 évesnél fiatalabb gyermekek és serdülők esetében nem igazolták.</w:t>
      </w:r>
    </w:p>
    <w:p w14:paraId="4DA13D0B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7A3F839" w14:textId="56D10CFD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két dózisának vérnyomáscsökkentő hatását vizsgálták 76 hypertoniás, 6 - &lt; 18 éves, jelentősen túlsúlyos (≥ 20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kg - ≤ 120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kg testtömegű, átlagosan 74,6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kg-os) betegnél, akiket 4 héten át 1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mg/ttkg (n = 29) vagy 2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 xml:space="preserve">mg/ttkg (n = 31) telmizartánnal kezeltek. A beválasztásnál a másodlagos hypertonia jelenlétét nem vizsgálták. Néhány, a vizsgálatban részt vevő betegnél az alkalmazott dózisok </w:t>
      </w:r>
      <w:r w:rsidR="002933D7">
        <w:rPr>
          <w:rFonts w:ascii="Times New Roman" w:hAnsi="Times New Roman" w:cs="Times New Roman"/>
          <w:noProof/>
          <w:lang w:val="hu-HU"/>
        </w:rPr>
        <w:t>nagyobbak</w:t>
      </w:r>
      <w:r w:rsidR="002933D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voltak a hypertonia kezelésére a felnőtt populációban javasoltnál, ami elérte a felnőtteknél vizsgált, napi 160</w:t>
      </w:r>
      <w:r w:rsidR="002933D7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mg-os dózishoz hasonló szintet.</w:t>
      </w:r>
    </w:p>
    <w:p w14:paraId="1B984D89" w14:textId="6F3EEA64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életkori hatásokat figyelembe vevő korrekció után a kiindulási értékhez viszonyított átlagos szisztolés vérnyomáscsökkenés (elsődleges cél) 14,5 (1,7)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 volt a 2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mg/ttkg telmizartánt kapó, 9,7 (1,7)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 az 1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</w:t>
      </w:r>
      <w:r w:rsidR="003419BA">
        <w:rPr>
          <w:rFonts w:ascii="Times New Roman" w:hAnsi="Times New Roman" w:cs="Times New Roman"/>
          <w:noProof/>
          <w:lang w:val="hu-HU"/>
        </w:rPr>
        <w:t>/ttkg</w:t>
      </w:r>
      <w:r w:rsidRPr="0014358A">
        <w:rPr>
          <w:rFonts w:ascii="Times New Roman" w:hAnsi="Times New Roman" w:cs="Times New Roman"/>
          <w:noProof/>
          <w:lang w:val="hu-HU"/>
        </w:rPr>
        <w:t xml:space="preserve"> telmizartánt kapó és 6,0 (2,4)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 volt a placebocsoportban.</w:t>
      </w:r>
    </w:p>
    <w:p w14:paraId="21690BD8" w14:textId="5FB4F10D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korrigált diasztolés vérnyomáscsökkenés értékei a kiindulási értékekhez képest 8,4 (1,5)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Hgmm, 4,5 (1,6)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 és 3,5 (2,1)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Hgmm voltak. A változás dózisfüggőnek bizonyult. A vizsgálat 6 - ≤ 18 éves betegekre vonatkozó biztonságossági adatai alapvetően a felnőtteknél megfigyeltekhez hasonlóak voltak. A hosszú távú telmizartán-kezelés biztonságosságát gyermekeknél és serdülőknél nem értékelték.</w:t>
      </w:r>
    </w:p>
    <w:p w14:paraId="29ABDA35" w14:textId="364CABF4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ezen betegpopulációban észlelt eosinophilszám-emelkedést felnőtteknél nem figyelték meg. Ennek klinikai jelentősége és relevanciája nem ismert.</w:t>
      </w:r>
    </w:p>
    <w:p w14:paraId="7A185CCF" w14:textId="6997D8C6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Hypertoniás gyermekeknél </w:t>
      </w:r>
      <w:r w:rsidR="003419BA">
        <w:rPr>
          <w:rFonts w:ascii="Times New Roman" w:hAnsi="Times New Roman" w:cs="Times New Roman"/>
          <w:noProof/>
          <w:lang w:val="hu-HU"/>
        </w:rPr>
        <w:t xml:space="preserve">és serdülőknél </w:t>
      </w:r>
      <w:r w:rsidRPr="0014358A">
        <w:rPr>
          <w:rFonts w:ascii="Times New Roman" w:hAnsi="Times New Roman" w:cs="Times New Roman"/>
          <w:noProof/>
          <w:lang w:val="hu-HU"/>
        </w:rPr>
        <w:t>a telmizartán hatásosságára és biztonságosságára vonatkozó következtetéseket ezen klinikai adatok alapján nem lehet levonni.</w:t>
      </w:r>
    </w:p>
    <w:p w14:paraId="7CE7B090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D4DEDA1" w14:textId="31A24202" w:rsidR="00B23C05" w:rsidRPr="0014358A" w:rsidRDefault="00B23C05" w:rsidP="00F0775D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Farmakokinetikai tulajdonságok</w:t>
      </w:r>
    </w:p>
    <w:p w14:paraId="3F7ADA85" w14:textId="77777777" w:rsidR="00B23C05" w:rsidRPr="0014358A" w:rsidRDefault="00B23C05" w:rsidP="00F0775D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7FE79576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Felszívódás</w:t>
      </w:r>
    </w:p>
    <w:p w14:paraId="4538DD31" w14:textId="1B553391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3419BA">
        <w:rPr>
          <w:rFonts w:ascii="Times New Roman" w:hAnsi="Times New Roman" w:cs="Times New Roman"/>
          <w:noProof/>
          <w:lang w:val="hu-HU"/>
        </w:rPr>
        <w:t xml:space="preserve">A telmizartán </w:t>
      </w:r>
      <w:r w:rsidR="003419BA">
        <w:rPr>
          <w:rFonts w:ascii="Times New Roman" w:hAnsi="Times New Roman" w:cs="Times New Roman"/>
          <w:noProof/>
          <w:lang w:val="hu-HU"/>
        </w:rPr>
        <w:t>gyorsan</w:t>
      </w:r>
      <w:r w:rsidRPr="003419BA">
        <w:rPr>
          <w:rFonts w:ascii="Times New Roman" w:hAnsi="Times New Roman" w:cs="Times New Roman"/>
          <w:noProof/>
          <w:lang w:val="hu-HU"/>
        </w:rPr>
        <w:t>, azonban változó mértékben szívódik fel. Abszolút biohasznosulása</w:t>
      </w:r>
      <w:r w:rsidRPr="0014358A">
        <w:rPr>
          <w:rFonts w:ascii="Times New Roman" w:hAnsi="Times New Roman" w:cs="Times New Roman"/>
          <w:noProof/>
          <w:lang w:val="hu-HU"/>
        </w:rPr>
        <w:t xml:space="preserve"> átlagosan 50%-os. A telmizartánt étkezés közben bevéve 40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mg-os dózis adásakor kb. 6%-kal, 160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mg-os dózis adásakor kb. 19%-kal csökken a plazmakoncentráció-idő görbe alatti terület (AUC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0-∞</w:t>
      </w:r>
      <w:r w:rsidRPr="0014358A">
        <w:rPr>
          <w:rFonts w:ascii="Times New Roman" w:hAnsi="Times New Roman" w:cs="Times New Roman"/>
          <w:noProof/>
          <w:lang w:val="hu-HU"/>
        </w:rPr>
        <w:t>). Három órával a bevétel után azonban már nem különbözik az éhgyomorra, ill. étkezés közben adott telmizartán plazmaszintje.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1E054797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Linearitás/nem-linearitás</w:t>
      </w:r>
    </w:p>
    <w:p w14:paraId="41AD54F6" w14:textId="2EA81080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Az AUC csekély mértékű csökkenése feltehetően nem csökkenti a telmizartán hatékonyságát. Nincs egyenes arányosság a beadott dózis és plazmakoncentrációk között. A 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max</w:t>
      </w:r>
      <w:r w:rsidRPr="0014358A">
        <w:rPr>
          <w:rFonts w:ascii="Times New Roman" w:hAnsi="Times New Roman" w:cs="Times New Roman"/>
          <w:noProof/>
          <w:lang w:val="hu-HU"/>
        </w:rPr>
        <w:t xml:space="preserve"> és kisebb mértékben az AUC 40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 feletti dózisok esetén nem a dózissal arányosan nő.</w:t>
      </w:r>
    </w:p>
    <w:p w14:paraId="435379CA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1A13B6F" w14:textId="10CA7E14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Eloszlás</w:t>
      </w:r>
    </w:p>
    <w:p w14:paraId="261E6A86" w14:textId="5D2FCD96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nagymértékben (&gt; 99,5%) kötődik a plazmafehérjékhez, elsősorban az albuminhoz és az </w:t>
      </w:r>
      <w:r w:rsidR="009E2045" w:rsidRPr="0014358A">
        <w:rPr>
          <w:rFonts w:ascii="Times New Roman" w:hAnsi="Times New Roman" w:cs="Times New Roman"/>
          <w:noProof/>
          <w:lang w:val="hu-HU"/>
        </w:rPr>
        <w:t>α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1</w:t>
      </w:r>
      <w:r w:rsidRPr="0014358A">
        <w:rPr>
          <w:rFonts w:ascii="Times New Roman" w:hAnsi="Times New Roman" w:cs="Times New Roman"/>
          <w:noProof/>
          <w:lang w:val="hu-HU"/>
        </w:rPr>
        <w:t>-sava</w:t>
      </w:r>
      <w:r w:rsidR="003419BA">
        <w:rPr>
          <w:rFonts w:ascii="Times New Roman" w:hAnsi="Times New Roman" w:cs="Times New Roman"/>
          <w:noProof/>
          <w:lang w:val="hu-HU"/>
        </w:rPr>
        <w:t>s</w:t>
      </w:r>
      <w:r w:rsidRPr="0014358A">
        <w:rPr>
          <w:rFonts w:ascii="Times New Roman" w:hAnsi="Times New Roman" w:cs="Times New Roman"/>
          <w:noProof/>
          <w:lang w:val="hu-HU"/>
        </w:rPr>
        <w:t xml:space="preserve"> glikoproteinhez. A dinamikus egyensúlyi állapot (steady state) kialakulása után mérhető átlagos látszólagos eloszlási térfogat (V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dss</w:t>
      </w:r>
      <w:r w:rsidRPr="0014358A">
        <w:rPr>
          <w:rFonts w:ascii="Times New Roman" w:hAnsi="Times New Roman" w:cs="Times New Roman"/>
          <w:noProof/>
          <w:lang w:val="hu-HU"/>
        </w:rPr>
        <w:t>) hozzávetőleg 500</w:t>
      </w:r>
      <w:r w:rsidR="003419BA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liter.</w:t>
      </w:r>
    </w:p>
    <w:p w14:paraId="509CFADA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C504050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Biotranszformáció</w:t>
      </w:r>
    </w:p>
    <w:p w14:paraId="2DC039F8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az anyavegyület glükoroniddá történő konjugációjával metabolizálódik.</w:t>
      </w:r>
    </w:p>
    <w:p w14:paraId="427CB124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konjugált metabolit nem rendelkezik farmakológiai aktivitással.</w:t>
      </w:r>
    </w:p>
    <w:p w14:paraId="524396B2" w14:textId="77777777" w:rsidR="007A34C0" w:rsidRPr="0014358A" w:rsidRDefault="007A34C0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4A487F2" w14:textId="0B5EDA16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Elimináció</w:t>
      </w:r>
    </w:p>
    <w:p w14:paraId="42AE296E" w14:textId="0DEED760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eliminációja biexponenciális görbével jellemezhető, terminális felezési ideje &gt; 20 óra. A maximális plazmakoncentráció (C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max</w:t>
      </w:r>
      <w:r w:rsidRPr="0014358A">
        <w:rPr>
          <w:rFonts w:ascii="Times New Roman" w:hAnsi="Times New Roman" w:cs="Times New Roman"/>
          <w:noProof/>
          <w:lang w:val="hu-HU"/>
        </w:rPr>
        <w:t xml:space="preserve">), és kisebb mértékben a plazmakoncentráció-idő görbe alatti terület (AUC) az alkalmazott dózissal nem arányosan nő. A javasolt dózisok alkalmazásakor nem észlelték a telmizartán klinikai szempontból számottevő akkumulációját. Nőknél magasabb plazmaszinteket mértek, mint férfiaknál, ez azonban nem befolyásolta a </w:t>
      </w:r>
      <w:r w:rsidR="00FA56DF">
        <w:rPr>
          <w:rFonts w:ascii="Times New Roman" w:hAnsi="Times New Roman" w:cs="Times New Roman"/>
          <w:noProof/>
          <w:lang w:val="hu-HU"/>
        </w:rPr>
        <w:t>hatásosságot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52D9BA26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817B83E" w14:textId="29E9BF2D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szájon át (vagy intravénásan) adott telmizartán szinte teljes mértékben a széklettel, javarészt változatlan formában ürül ki a szervezetből. Az alkalmazott dózisnak kevesebb mint 1%-a választódik ki a vizeletben. A máj vérátáramlásához (kb. 1500</w:t>
      </w:r>
      <w:r w:rsidR="00FA56D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ml/perc) viszonyítva a teljes plazma-clearance (Cl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tot</w:t>
      </w:r>
      <w:r w:rsidRPr="0014358A">
        <w:rPr>
          <w:rFonts w:ascii="Times New Roman" w:hAnsi="Times New Roman" w:cs="Times New Roman"/>
          <w:noProof/>
          <w:lang w:val="hu-HU"/>
        </w:rPr>
        <w:t>) értéke magas (kb. 1000</w:t>
      </w:r>
      <w:r w:rsidR="00FA56D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ml/perc).</w:t>
      </w:r>
    </w:p>
    <w:p w14:paraId="602C71D6" w14:textId="77777777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10405E0" w14:textId="11074D48" w:rsidR="00B23C05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Gyermekek és serdülők</w:t>
      </w:r>
    </w:p>
    <w:p w14:paraId="23280B28" w14:textId="7C2DA1F5" w:rsidR="00036D79" w:rsidRPr="0014358A" w:rsidRDefault="00B23C05" w:rsidP="00B23C0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két dózisának farmakokinetikai jellemzőit vizsgálták másodlagos </w:t>
      </w:r>
      <w:r w:rsidR="00FA56DF">
        <w:rPr>
          <w:rFonts w:ascii="Times New Roman" w:hAnsi="Times New Roman" w:cs="Times New Roman"/>
          <w:noProof/>
          <w:lang w:val="hu-HU"/>
        </w:rPr>
        <w:t>végpontként</w:t>
      </w:r>
      <w:r w:rsidR="00FA56D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6 - &lt; 18 év közötti </w:t>
      </w:r>
      <w:r w:rsidR="00FA56DF">
        <w:rPr>
          <w:rFonts w:ascii="Times New Roman" w:hAnsi="Times New Roman" w:cs="Times New Roman"/>
          <w:noProof/>
          <w:lang w:val="hu-HU"/>
        </w:rPr>
        <w:t xml:space="preserve">életkorú, </w:t>
      </w:r>
      <w:r w:rsidRPr="0014358A">
        <w:rPr>
          <w:rFonts w:ascii="Times New Roman" w:hAnsi="Times New Roman" w:cs="Times New Roman"/>
          <w:noProof/>
          <w:lang w:val="hu-HU"/>
        </w:rPr>
        <w:t>hypertoniás betegeknél (n = 57), négyhetes, 1</w:t>
      </w:r>
      <w:r w:rsidR="00FA56D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>mg/ttkg vagy 2</w:t>
      </w:r>
      <w:r w:rsidR="00FA56DF">
        <w:rPr>
          <w:rFonts w:ascii="Times New Roman" w:hAnsi="Times New Roman" w:cs="Times New Roman"/>
          <w:noProof/>
          <w:lang w:val="hu-HU"/>
        </w:rPr>
        <w:t> </w:t>
      </w:r>
      <w:r w:rsidRPr="0014358A">
        <w:rPr>
          <w:rFonts w:ascii="Times New Roman" w:hAnsi="Times New Roman" w:cs="Times New Roman"/>
          <w:noProof/>
          <w:lang w:val="hu-HU"/>
        </w:rPr>
        <w:t xml:space="preserve">mg/ttkg dózisban alkalmazott telmizartán szedését követően. A farmakokinetikai </w:t>
      </w:r>
      <w:r w:rsidR="006D20CC">
        <w:rPr>
          <w:rFonts w:ascii="Times New Roman" w:hAnsi="Times New Roman" w:cs="Times New Roman"/>
          <w:noProof/>
          <w:lang w:val="hu-HU"/>
        </w:rPr>
        <w:t>végpontok</w:t>
      </w:r>
      <w:r w:rsidR="006D20CC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közé tartozott a telmizartán dinamikus egyensúlyi állapot</w:t>
      </w:r>
      <w:r w:rsidR="00FA56DF">
        <w:rPr>
          <w:rFonts w:ascii="Times New Roman" w:hAnsi="Times New Roman" w:cs="Times New Roman"/>
          <w:noProof/>
          <w:lang w:val="hu-HU"/>
        </w:rPr>
        <w:t>ának</w:t>
      </w:r>
      <w:r w:rsidRPr="0014358A">
        <w:rPr>
          <w:rFonts w:ascii="Times New Roman" w:hAnsi="Times New Roman" w:cs="Times New Roman"/>
          <w:noProof/>
          <w:lang w:val="hu-HU"/>
        </w:rPr>
        <w:t xml:space="preserve"> meghatározása gyermekeknél és serdülőknél, valamint az életkorral összefüggő különbségek vizsgálata. Bár a vizsgálat túl kicsi volt ahhoz, hogy a 12 év alatti gyermekek</w:t>
      </w:r>
      <w:r w:rsidR="00FA56DF">
        <w:rPr>
          <w:rFonts w:ascii="Times New Roman" w:hAnsi="Times New Roman" w:cs="Times New Roman"/>
          <w:noProof/>
          <w:lang w:val="hu-HU"/>
        </w:rPr>
        <w:t xml:space="preserve"> farmakokinetikájára</w:t>
      </w:r>
      <w:r w:rsidRPr="0014358A">
        <w:rPr>
          <w:rFonts w:ascii="Times New Roman" w:hAnsi="Times New Roman" w:cs="Times New Roman"/>
          <w:noProof/>
          <w:lang w:val="hu-HU"/>
        </w:rPr>
        <w:t xml:space="preserve"> vonatkozóan </w:t>
      </w:r>
      <w:r w:rsidR="00FA56DF">
        <w:rPr>
          <w:rFonts w:ascii="Times New Roman" w:hAnsi="Times New Roman" w:cs="Times New Roman"/>
          <w:noProof/>
          <w:lang w:val="hu-HU"/>
        </w:rPr>
        <w:t>lényeges</w:t>
      </w:r>
      <w:r w:rsidR="00FA56D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következtetés</w:t>
      </w:r>
      <w:r w:rsidR="00FA56DF">
        <w:rPr>
          <w:rFonts w:ascii="Times New Roman" w:hAnsi="Times New Roman" w:cs="Times New Roman"/>
          <w:noProof/>
          <w:lang w:val="hu-HU"/>
        </w:rPr>
        <w:t>eke</w:t>
      </w:r>
      <w:r w:rsidRPr="0014358A">
        <w:rPr>
          <w:rFonts w:ascii="Times New Roman" w:hAnsi="Times New Roman" w:cs="Times New Roman"/>
          <w:noProof/>
          <w:lang w:val="hu-HU"/>
        </w:rPr>
        <w:t>t lehessen levonni, az eredmények általánosságban megegyeztek a felnőtteknél találtakkal, és megerősítették, hogy a telmizartán nem lineáris</w:t>
      </w:r>
      <w:r w:rsidR="00FA56DF">
        <w:rPr>
          <w:rFonts w:ascii="Times New Roman" w:hAnsi="Times New Roman" w:cs="Times New Roman"/>
          <w:noProof/>
          <w:lang w:val="hu-HU"/>
        </w:rPr>
        <w:t xml:space="preserve"> tulajdonságait</w:t>
      </w:r>
      <w:r w:rsidRPr="0014358A">
        <w:rPr>
          <w:rFonts w:ascii="Times New Roman" w:hAnsi="Times New Roman" w:cs="Times New Roman"/>
          <w:noProof/>
          <w:lang w:val="hu-HU"/>
        </w:rPr>
        <w:t>, különösen a 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 xml:space="preserve">max </w:t>
      </w:r>
      <w:r w:rsidR="00FA56DF">
        <w:rPr>
          <w:rFonts w:ascii="Times New Roman" w:hAnsi="Times New Roman" w:cs="Times New Roman"/>
          <w:noProof/>
          <w:lang w:val="hu-HU"/>
        </w:rPr>
        <w:t>értékeinél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61A0A727" w14:textId="77777777" w:rsidR="00FA56DF" w:rsidRDefault="00FA56DF" w:rsidP="00036D79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</w:p>
    <w:p w14:paraId="2494D210" w14:textId="5DB0C5C9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Nem</w:t>
      </w:r>
    </w:p>
    <w:p w14:paraId="74D64C69" w14:textId="7DAB2C69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Különbséget figyeltek meg a plazmakoncentrációkban; a C</w:t>
      </w:r>
      <w:r w:rsidRPr="0014358A">
        <w:rPr>
          <w:rFonts w:ascii="Times New Roman" w:hAnsi="Times New Roman" w:cs="Times New Roman"/>
          <w:noProof/>
          <w:vertAlign w:val="subscript"/>
          <w:lang w:val="hu-HU"/>
        </w:rPr>
        <w:t>max</w:t>
      </w:r>
      <w:r w:rsidRPr="0014358A">
        <w:rPr>
          <w:rFonts w:ascii="Times New Roman" w:hAnsi="Times New Roman" w:cs="Times New Roman"/>
          <w:noProof/>
          <w:lang w:val="hu-HU"/>
        </w:rPr>
        <w:t xml:space="preserve"> körülbelül 3-szor, az AUC pedig 2-szer nagyobb nőknél, mint férfiaknál.</w:t>
      </w:r>
    </w:p>
    <w:p w14:paraId="66372F9D" w14:textId="77777777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C3E5BF1" w14:textId="23D6102C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Idősek</w:t>
      </w:r>
    </w:p>
    <w:p w14:paraId="1E9F5A61" w14:textId="2AD3B474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telmizartán farmakokinetikai jellemzői nem különböznek az idős, ill. a 65 évesnél fiatalabb</w:t>
      </w:r>
      <w:r w:rsidR="00981037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betegeknél.</w:t>
      </w:r>
    </w:p>
    <w:p w14:paraId="71667F1C" w14:textId="77777777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25AF0F6" w14:textId="6E2A8CBF" w:rsidR="00036D79" w:rsidRPr="0014358A" w:rsidRDefault="00036D79" w:rsidP="00036D79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Vesekárosodás</w:t>
      </w:r>
    </w:p>
    <w:p w14:paraId="0F1510BA" w14:textId="74767CAF" w:rsidR="0037024F" w:rsidRPr="0014358A" w:rsidRDefault="00036D79" w:rsidP="0037024F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Enyhe, közepesen súlyos és súlyos vesekárosodásban szenvedő betegeknél a plazmakoncentrációk megduplázódását figyelték meg, mindazonáltal veseelégtelenségben szenvedő, haemodialyisis kezel</w:t>
      </w:r>
      <w:r w:rsidR="00FA56DF">
        <w:rPr>
          <w:rFonts w:ascii="Times New Roman" w:hAnsi="Times New Roman" w:cs="Times New Roman"/>
          <w:noProof/>
          <w:lang w:val="hu-HU"/>
        </w:rPr>
        <w:t>ésben részesülő</w:t>
      </w:r>
      <w:r w:rsidRPr="0014358A">
        <w:rPr>
          <w:rFonts w:ascii="Times New Roman" w:hAnsi="Times New Roman" w:cs="Times New Roman"/>
          <w:noProof/>
          <w:lang w:val="hu-HU"/>
        </w:rPr>
        <w:t xml:space="preserve"> betegeknél alacsonyabb plazmaszinteket mértek. A telmizartán veseelégtelenségben is </w:t>
      </w:r>
      <w:r w:rsidR="0037024F" w:rsidRPr="0014358A">
        <w:rPr>
          <w:rFonts w:ascii="Times New Roman" w:hAnsi="Times New Roman" w:cs="Times New Roman"/>
          <w:noProof/>
          <w:lang w:val="hu-HU"/>
        </w:rPr>
        <w:t>nagymértékben kötődik a plazmafehérjékhez, ezért dialysissel nem távolítható el a keringésből. A telmizartán eliminációs felezési ideje nem változik vesekárosodás esetén.</w:t>
      </w:r>
    </w:p>
    <w:p w14:paraId="25D3E712" w14:textId="77777777" w:rsidR="0037024F" w:rsidRPr="0014358A" w:rsidRDefault="0037024F" w:rsidP="0037024F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62F6226" w14:textId="75CBC866" w:rsidR="0037024F" w:rsidRPr="0014358A" w:rsidRDefault="0037024F" w:rsidP="0037024F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Májkárosodás</w:t>
      </w:r>
    </w:p>
    <w:p w14:paraId="0C7A8EE4" w14:textId="4B4641A1" w:rsidR="00C84C56" w:rsidRPr="0014358A" w:rsidRDefault="0037024F" w:rsidP="0037024F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Májkárosodásban végzett farmakokinetikai vizsgálatok eredményei alapján közel 100%-ig fokozódhat a telmizartán abszolút biohasznosulása. Az eliminációs felezési idő nem változik májkárosodásban.</w:t>
      </w:r>
    </w:p>
    <w:p w14:paraId="2BEB85F0" w14:textId="77777777" w:rsidR="00C84C56" w:rsidRPr="0014358A" w:rsidRDefault="00C84C56" w:rsidP="0037024F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67B0E7B" w14:textId="39E72B1F" w:rsidR="00C84C56" w:rsidRPr="0014358A" w:rsidRDefault="00C84C56" w:rsidP="00981037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preklinikai biztonságossági vizsgálatok eredményei</w:t>
      </w:r>
    </w:p>
    <w:p w14:paraId="18E5F5D5" w14:textId="77777777" w:rsidR="00C84C56" w:rsidRPr="0014358A" w:rsidRDefault="00C84C56" w:rsidP="00981037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09F5332E" w14:textId="009A2F61" w:rsidR="00C84C56" w:rsidRPr="0014358A" w:rsidRDefault="00C84C56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klinikai alkalmazásra javasolt terápiás tartomány</w:t>
      </w:r>
      <w:r w:rsidR="00FA56DF">
        <w:rPr>
          <w:rFonts w:ascii="Times New Roman" w:hAnsi="Times New Roman" w:cs="Times New Roman"/>
          <w:noProof/>
          <w:lang w:val="hu-HU"/>
        </w:rPr>
        <w:t>ban mérhetőhöz hasonló expozíciót kiváltó dózisok</w:t>
      </w:r>
      <w:r w:rsidRPr="0014358A">
        <w:rPr>
          <w:rFonts w:ascii="Times New Roman" w:hAnsi="Times New Roman" w:cs="Times New Roman"/>
          <w:noProof/>
          <w:lang w:val="hu-HU"/>
        </w:rPr>
        <w:t>kal, normotenziós kísérleti állatoknál végzett preklinikai vizsgálatok során a vörösvértest-jellemzők (vvt-szám, haemoglobinszint és haematokritérték) csökkenését, a vese hemodinamikai paramétereinek változásait (emelkedett karbamid-nitrogén- és kreatininszint), valamint a szérum káliumszintjének emelkedését észlelték. Kutyánál a vesetubulusok kitágulását és atrophiáját figyelték meg. A gyomornyálkahártya károsodását (erosiók, fekélyképződés vagy gyulladás) kutyánál és patkánynál is megfigyelték. Ezeknek az ACE</w:t>
      </w:r>
      <w:r w:rsidR="00FA56DF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 xml:space="preserve">gátlókkal, illetve az angiotenzin II-receptor-blokkolókkal végzett preklinikai vizsgálatokból már ismert gyógyszerfüggő mellékhatásoknak a kialakulása sóoldat </w:t>
      </w:r>
      <w:r w:rsidRPr="002D7986">
        <w:rPr>
          <w:rFonts w:ascii="Times New Roman" w:hAnsi="Times New Roman" w:cs="Times New Roman"/>
          <w:i/>
          <w:noProof/>
          <w:lang w:val="hu-HU"/>
        </w:rPr>
        <w:t>per os</w:t>
      </w:r>
      <w:r w:rsidRPr="0014358A">
        <w:rPr>
          <w:rFonts w:ascii="Times New Roman" w:hAnsi="Times New Roman" w:cs="Times New Roman"/>
          <w:noProof/>
          <w:lang w:val="hu-HU"/>
        </w:rPr>
        <w:t xml:space="preserve"> adásával megelőzhető volt.</w:t>
      </w:r>
    </w:p>
    <w:p w14:paraId="634FE573" w14:textId="77777777" w:rsidR="00C84C56" w:rsidRPr="0014358A" w:rsidRDefault="00C84C56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4674526" w14:textId="36183BA2" w:rsidR="00C84C56" w:rsidRPr="0014358A" w:rsidRDefault="00C84C56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Mind a két állatfajn</w:t>
      </w:r>
      <w:r w:rsidR="00FA56DF">
        <w:rPr>
          <w:rFonts w:ascii="Times New Roman" w:hAnsi="Times New Roman" w:cs="Times New Roman"/>
          <w:noProof/>
          <w:lang w:val="hu-HU"/>
        </w:rPr>
        <w:t>ál</w:t>
      </w:r>
      <w:r w:rsidRPr="0014358A">
        <w:rPr>
          <w:rFonts w:ascii="Times New Roman" w:hAnsi="Times New Roman" w:cs="Times New Roman"/>
          <w:noProof/>
          <w:lang w:val="hu-HU"/>
        </w:rPr>
        <w:t xml:space="preserve"> észlelték a plazma reninaktivitás fokozódását, továbbá a juxtaglomerularis sejtek hypertrophiáját és/vagy hyperplasiáját. Ezek úgyszintén az ACE-gátlók és más angiotenzin II</w:t>
      </w:r>
      <w:r w:rsidR="00FA56DF">
        <w:rPr>
          <w:rFonts w:ascii="Times New Roman" w:hAnsi="Times New Roman" w:cs="Times New Roman"/>
          <w:noProof/>
          <w:lang w:val="hu-HU"/>
        </w:rPr>
        <w:t>-</w:t>
      </w:r>
      <w:r w:rsidRPr="0014358A">
        <w:rPr>
          <w:rFonts w:ascii="Times New Roman" w:hAnsi="Times New Roman" w:cs="Times New Roman"/>
          <w:noProof/>
          <w:lang w:val="hu-HU"/>
        </w:rPr>
        <w:t>receptor-blokkolók gyógyszercsaládjára jellemző hatásoknak tekinthetők, klinikai szempontból azonban valószínűleg nincs jelentőségük.</w:t>
      </w:r>
    </w:p>
    <w:p w14:paraId="3E661CC7" w14:textId="77777777" w:rsidR="00C84C56" w:rsidRPr="0014358A" w:rsidRDefault="00C84C56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519F5C0" w14:textId="5C976F53" w:rsidR="00FC4991" w:rsidRPr="0014358A" w:rsidRDefault="00C84C56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Teratogén hatása egyértelműen nem bizonyított, azonban a telmizartán toxikus dózistartományában megfigyeltek az utódok postnatalis fejlődésére kifejtett olyan hatást, mint pl. </w:t>
      </w:r>
      <w:r w:rsidR="00FA56DF">
        <w:rPr>
          <w:rFonts w:ascii="Times New Roman" w:hAnsi="Times New Roman" w:cs="Times New Roman"/>
          <w:noProof/>
          <w:lang w:val="hu-HU"/>
        </w:rPr>
        <w:t>kisebb</w:t>
      </w:r>
      <w:r w:rsidR="00FA56D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test</w:t>
      </w:r>
      <w:r w:rsidR="00FA56DF">
        <w:rPr>
          <w:rFonts w:ascii="Times New Roman" w:hAnsi="Times New Roman" w:cs="Times New Roman"/>
          <w:noProof/>
          <w:lang w:val="hu-HU"/>
        </w:rPr>
        <w:t>tömeg</w:t>
      </w:r>
      <w:r w:rsidRPr="0014358A">
        <w:rPr>
          <w:rFonts w:ascii="Times New Roman" w:hAnsi="Times New Roman" w:cs="Times New Roman"/>
          <w:noProof/>
          <w:lang w:val="hu-HU"/>
        </w:rPr>
        <w:t xml:space="preserve"> és késleltetett szemnyitás.</w:t>
      </w:r>
    </w:p>
    <w:p w14:paraId="5C413C7C" w14:textId="77777777" w:rsidR="00FC4991" w:rsidRPr="0014358A" w:rsidRDefault="00FC4991" w:rsidP="00C84C56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72AAD5E" w14:textId="05427D76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Nem igazoltak mutagenitást és jelentős klasztogén aktivitást az </w:t>
      </w:r>
      <w:r w:rsidRPr="002D7986">
        <w:rPr>
          <w:rFonts w:ascii="Times New Roman" w:hAnsi="Times New Roman" w:cs="Times New Roman"/>
          <w:i/>
          <w:noProof/>
          <w:lang w:val="hu-HU"/>
        </w:rPr>
        <w:t>in vitro</w:t>
      </w:r>
      <w:r w:rsidRPr="0014358A">
        <w:rPr>
          <w:rFonts w:ascii="Times New Roman" w:hAnsi="Times New Roman" w:cs="Times New Roman"/>
          <w:noProof/>
          <w:lang w:val="hu-HU"/>
        </w:rPr>
        <w:t xml:space="preserve"> vizsgálatokban és nem volt kimutatható a karcinogenitás patkánynál és egérnél.</w:t>
      </w:r>
    </w:p>
    <w:p w14:paraId="095F990F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DC249F4" w14:textId="0453D67C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 xml:space="preserve">A telmizartán esetében nem figyeltek meg a </w:t>
      </w:r>
      <w:r w:rsidR="0059535F">
        <w:rPr>
          <w:rFonts w:ascii="Times New Roman" w:hAnsi="Times New Roman" w:cs="Times New Roman"/>
          <w:noProof/>
          <w:lang w:val="hu-HU"/>
        </w:rPr>
        <w:t>hím</w:t>
      </w:r>
      <w:r w:rsidR="0059535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 xml:space="preserve">vagy </w:t>
      </w:r>
      <w:r w:rsidR="0059535F">
        <w:rPr>
          <w:rFonts w:ascii="Times New Roman" w:hAnsi="Times New Roman" w:cs="Times New Roman"/>
          <w:noProof/>
          <w:lang w:val="hu-HU"/>
        </w:rPr>
        <w:t>nőstény</w:t>
      </w:r>
      <w:r w:rsidR="0059535F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termékenységre gyakorolt hatást.</w:t>
      </w:r>
    </w:p>
    <w:p w14:paraId="3408CCD5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DF8490F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A72529B" w14:textId="1ED7F215" w:rsidR="00FC4991" w:rsidRPr="0014358A" w:rsidRDefault="00FC4991" w:rsidP="00323A08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GYÓGYSZERÉSZETI JELLEMZŐK</w:t>
      </w:r>
    </w:p>
    <w:p w14:paraId="0AB52A29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CD199D8" w14:textId="2007E2AA" w:rsidR="00FC4991" w:rsidRPr="0014358A" w:rsidRDefault="00FC4991" w:rsidP="002F2BE1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Segédanyagok felsorolása</w:t>
      </w:r>
    </w:p>
    <w:p w14:paraId="2C8EA294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9C49290" w14:textId="1F580986" w:rsidR="000C3FEC" w:rsidRPr="0014358A" w:rsidRDefault="00D94B17" w:rsidP="006C2447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m</w:t>
      </w:r>
      <w:r w:rsidR="000C3FEC" w:rsidRPr="0014358A">
        <w:rPr>
          <w:rFonts w:ascii="Times New Roman" w:hAnsi="Times New Roman" w:cs="Times New Roman"/>
          <w:noProof/>
          <w:lang w:val="hu-HU"/>
        </w:rPr>
        <w:t>annit</w:t>
      </w:r>
    </w:p>
    <w:p w14:paraId="18DE9AB9" w14:textId="0F720F2F" w:rsidR="006C2447" w:rsidRPr="0014358A" w:rsidRDefault="00D94B17" w:rsidP="006C2447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n</w:t>
      </w:r>
      <w:r w:rsidR="00802408" w:rsidRPr="0014358A">
        <w:rPr>
          <w:rFonts w:ascii="Times New Roman" w:hAnsi="Times New Roman" w:cs="Times New Roman"/>
          <w:noProof/>
          <w:lang w:val="hu-HU"/>
        </w:rPr>
        <w:t>átrium</w:t>
      </w:r>
      <w:r w:rsidR="006C2447" w:rsidRPr="0014358A">
        <w:rPr>
          <w:rFonts w:ascii="Times New Roman" w:hAnsi="Times New Roman" w:cs="Times New Roman"/>
          <w:noProof/>
          <w:lang w:val="hu-HU"/>
        </w:rPr>
        <w:t>-hidroxid</w:t>
      </w:r>
    </w:p>
    <w:p w14:paraId="04124227" w14:textId="25BD25B7" w:rsidR="00FC4991" w:rsidRPr="0014358A" w:rsidRDefault="00D94B17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m</w:t>
      </w:r>
      <w:r w:rsidR="00802408" w:rsidRPr="0014358A">
        <w:rPr>
          <w:rFonts w:ascii="Times New Roman" w:hAnsi="Times New Roman" w:cs="Times New Roman"/>
          <w:noProof/>
          <w:lang w:val="hu-HU"/>
        </w:rPr>
        <w:t>eglumin</w:t>
      </w:r>
    </w:p>
    <w:p w14:paraId="12EC891A" w14:textId="645C9453" w:rsidR="00FC4991" w:rsidRPr="0014358A" w:rsidRDefault="00D94B17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m</w:t>
      </w:r>
      <w:r w:rsidR="00802408" w:rsidRPr="0014358A">
        <w:rPr>
          <w:rFonts w:ascii="Times New Roman" w:hAnsi="Times New Roman" w:cs="Times New Roman"/>
          <w:noProof/>
          <w:lang w:val="hu-HU"/>
        </w:rPr>
        <w:t>agnézium</w:t>
      </w:r>
      <w:r w:rsidR="00FC4991" w:rsidRPr="0014358A">
        <w:rPr>
          <w:rFonts w:ascii="Times New Roman" w:hAnsi="Times New Roman" w:cs="Times New Roman"/>
          <w:noProof/>
          <w:lang w:val="hu-HU"/>
        </w:rPr>
        <w:t>-sztearát</w:t>
      </w:r>
      <w:r w:rsidR="00FC4991" w:rsidRPr="0014358A">
        <w:rPr>
          <w:rFonts w:ascii="Times New Roman" w:hAnsi="Times New Roman" w:cs="Times New Roman"/>
          <w:noProof/>
          <w:lang w:val="hu-HU"/>
        </w:rPr>
        <w:cr/>
      </w:r>
    </w:p>
    <w:p w14:paraId="2A34E7E6" w14:textId="4AB138B9" w:rsidR="00FC4991" w:rsidRPr="0014358A" w:rsidRDefault="00FC4991" w:rsidP="0079587C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Inkompatibilitások</w:t>
      </w:r>
    </w:p>
    <w:p w14:paraId="07C36932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25C2F91F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Nem értelmezhető.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2BC38921" w14:textId="07706F57" w:rsidR="00FC4991" w:rsidRPr="0014358A" w:rsidRDefault="00FC4991" w:rsidP="0079587C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Felhasználhatósági időtartam</w:t>
      </w:r>
    </w:p>
    <w:p w14:paraId="1B1ED9A3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339FBB82" w14:textId="4EB332DB" w:rsidR="00FC4991" w:rsidRPr="0014358A" w:rsidRDefault="009910B3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2</w:t>
      </w:r>
      <w:r w:rsidR="00D94B17">
        <w:rPr>
          <w:rFonts w:ascii="Times New Roman" w:hAnsi="Times New Roman" w:cs="Times New Roman"/>
          <w:noProof/>
          <w:lang w:val="hu-HU"/>
        </w:rPr>
        <w:t> </w:t>
      </w:r>
      <w:r w:rsidR="00FC4991" w:rsidRPr="0014358A">
        <w:rPr>
          <w:rFonts w:ascii="Times New Roman" w:hAnsi="Times New Roman" w:cs="Times New Roman"/>
          <w:noProof/>
          <w:lang w:val="hu-HU"/>
        </w:rPr>
        <w:t>év</w:t>
      </w:r>
    </w:p>
    <w:p w14:paraId="7B0B1454" w14:textId="77777777" w:rsidR="00DF3BC0" w:rsidRPr="0014358A" w:rsidRDefault="00DF3BC0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588A486" w14:textId="461CA343" w:rsidR="00FC4991" w:rsidRPr="0014358A" w:rsidRDefault="00FC4991" w:rsidP="0079587C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Különleges tárolási előírások</w:t>
      </w:r>
    </w:p>
    <w:p w14:paraId="755674B9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E1DBF5D" w14:textId="4BB2DB51" w:rsidR="0077659B" w:rsidRPr="0014358A" w:rsidRDefault="005B4058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Ez a gyógyszer különleges tárolási hőmérsékletet nem igényel.</w:t>
      </w:r>
    </w:p>
    <w:p w14:paraId="695950A9" w14:textId="424437CE" w:rsidR="00FC4991" w:rsidRPr="0014358A" w:rsidRDefault="005B4058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 nedvességtől való védelem érdekében az eredeti csomagolásban tárolandó.</w:t>
      </w:r>
    </w:p>
    <w:p w14:paraId="4D22F0CD" w14:textId="77777777" w:rsidR="005B4058" w:rsidRPr="0014358A" w:rsidRDefault="005B4058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7D6AAC9" w14:textId="5162879B" w:rsidR="00FC4991" w:rsidRPr="0014358A" w:rsidRDefault="00FC4991" w:rsidP="0079587C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Csomagolás típusa és kiszerelése</w:t>
      </w:r>
    </w:p>
    <w:p w14:paraId="1F8E6FD0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24A9034" w14:textId="5C93071F" w:rsidR="002C4FFD" w:rsidRPr="0014358A" w:rsidRDefault="002C4FFD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OPA/Al/PVC//Al buborékcsomagolás: A tabletták buborékcsomagolásba</w:t>
      </w:r>
      <w:r w:rsidR="00617683">
        <w:rPr>
          <w:rFonts w:ascii="Times New Roman" w:hAnsi="Times New Roman" w:cs="Times New Roman"/>
          <w:noProof/>
          <w:lang w:val="hu-HU"/>
        </w:rPr>
        <w:t>n és dobozban kaphatók</w:t>
      </w:r>
      <w:r w:rsidRPr="0014358A">
        <w:rPr>
          <w:rFonts w:ascii="Times New Roman" w:hAnsi="Times New Roman" w:cs="Times New Roman"/>
          <w:noProof/>
          <w:lang w:val="hu-HU"/>
        </w:rPr>
        <w:t>.</w:t>
      </w:r>
    </w:p>
    <w:p w14:paraId="118AF7BB" w14:textId="77777777" w:rsidR="002C4FFD" w:rsidRPr="0014358A" w:rsidRDefault="002C4FFD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B4E766F" w14:textId="77777777" w:rsidR="002C4FFD" w:rsidRPr="0014358A" w:rsidRDefault="002C4FFD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Kiszerelések:</w:t>
      </w:r>
    </w:p>
    <w:p w14:paraId="2C224E53" w14:textId="0F85120C" w:rsidR="002C4FFD" w:rsidRPr="0014358A" w:rsidRDefault="0059535F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20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  <w:r w:rsidR="002C4FFD" w:rsidRPr="0014358A">
        <w:rPr>
          <w:rFonts w:ascii="Times New Roman" w:hAnsi="Times New Roman" w:cs="Times New Roman"/>
          <w:noProof/>
          <w:lang w:val="hu-HU"/>
        </w:rPr>
        <w:t>: 28, 30 és 98 tabletta.</w:t>
      </w:r>
    </w:p>
    <w:p w14:paraId="3B23A35D" w14:textId="7CB1F3AC" w:rsidR="002C4FFD" w:rsidRPr="0014358A" w:rsidRDefault="0059535F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u w:val="single"/>
          <w:lang w:val="hu-HU"/>
        </w:rPr>
        <w:t>Telmizartán Amarox 4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  <w:r w:rsidR="002C4FFD" w:rsidRPr="0014358A">
        <w:rPr>
          <w:rFonts w:ascii="Times New Roman" w:hAnsi="Times New Roman" w:cs="Times New Roman"/>
          <w:noProof/>
          <w:lang w:val="hu-HU"/>
        </w:rPr>
        <w:t>: 28, 56, 98 és 100 tabletta.</w:t>
      </w:r>
    </w:p>
    <w:p w14:paraId="16EE6285" w14:textId="27B54F1F" w:rsidR="00FC4991" w:rsidRPr="0014358A" w:rsidRDefault="0059535F" w:rsidP="002C4FFD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u w:val="single"/>
          <w:lang w:val="hu-HU"/>
        </w:rPr>
        <w:t>Telmizartán Amarox 8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  <w:r w:rsidR="002C4FFD" w:rsidRPr="0014358A">
        <w:rPr>
          <w:rFonts w:ascii="Times New Roman" w:hAnsi="Times New Roman" w:cs="Times New Roman"/>
          <w:noProof/>
          <w:lang w:val="hu-HU"/>
        </w:rPr>
        <w:t>: 28, 56, 98 és 100 tabletta.</w:t>
      </w:r>
      <w:r w:rsidR="00FC4991" w:rsidRPr="0014358A">
        <w:rPr>
          <w:rFonts w:ascii="Times New Roman" w:hAnsi="Times New Roman" w:cs="Times New Roman"/>
          <w:noProof/>
          <w:lang w:val="hu-HU"/>
        </w:rPr>
        <w:cr/>
      </w:r>
    </w:p>
    <w:p w14:paraId="470F0D6C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Nem feltétlenül mindegyik kiszerelés kerül kereskedelmi forgalomba.</w:t>
      </w:r>
      <w:r w:rsidRPr="0014358A">
        <w:rPr>
          <w:rFonts w:ascii="Times New Roman" w:hAnsi="Times New Roman" w:cs="Times New Roman"/>
          <w:noProof/>
          <w:lang w:val="hu-HU"/>
        </w:rPr>
        <w:cr/>
      </w:r>
    </w:p>
    <w:p w14:paraId="0B50D58E" w14:textId="1B223689" w:rsidR="00FC4991" w:rsidRPr="0014358A" w:rsidRDefault="00FC4991" w:rsidP="00FC4991">
      <w:pPr>
        <w:pStyle w:val="Listaszerbekezds"/>
        <w:numPr>
          <w:ilvl w:val="1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megsemmisítésre vonatkozó különleges óvintézkedések és egyéb, a készítmény kezelésével kapcsolatos információk</w:t>
      </w:r>
    </w:p>
    <w:p w14:paraId="7BA6CBE3" w14:textId="77777777" w:rsidR="00FC4991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A2119CF" w14:textId="287AD1F1" w:rsidR="00374BE0" w:rsidRPr="0014358A" w:rsidRDefault="00FC4991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Bármilyen fel nem használt gyógyszer, illetve hulladékanyag megsemmisítését a gyógyszerekre vonatkozó előírások szerint kell végrehajtani.</w:t>
      </w:r>
    </w:p>
    <w:p w14:paraId="24E393D4" w14:textId="110B683F" w:rsidR="00374BE0" w:rsidRDefault="00374BE0" w:rsidP="00114A4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0D25DC8" w14:textId="77777777" w:rsidR="00114A49" w:rsidRPr="0014358A" w:rsidRDefault="00114A49" w:rsidP="0014358A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noProof/>
          <w:lang w:val="hu-HU"/>
        </w:rPr>
      </w:pPr>
      <w:r w:rsidRPr="0014358A">
        <w:rPr>
          <w:rFonts w:ascii="Times New Roman" w:hAnsi="Times New Roman" w:cs="Times New Roman"/>
          <w:b/>
          <w:noProof/>
          <w:lang w:val="hu-HU"/>
        </w:rPr>
        <w:t xml:space="preserve">Megjegyzés: </w:t>
      </w:r>
      <w:r w:rsidRPr="0014358A">
        <w:rPr>
          <w:rFonts w:ascii="Times New Roman" w:hAnsi="Times New Roman" w:cs="Times New Roman"/>
          <w:b/>
          <w:noProof/>
          <w:lang w:val="hu-HU"/>
        </w:rPr>
        <w:sym w:font="Wingdings" w:char="F058"/>
      </w:r>
      <w:r w:rsidRPr="0014358A">
        <w:rPr>
          <w:rFonts w:ascii="Times New Roman" w:hAnsi="Times New Roman" w:cs="Times New Roman"/>
          <w:b/>
          <w:noProof/>
          <w:lang w:val="hu-HU"/>
        </w:rPr>
        <w:t xml:space="preserve"> (egy keresztes)</w:t>
      </w:r>
    </w:p>
    <w:p w14:paraId="0F87EC34" w14:textId="77777777" w:rsidR="00114A49" w:rsidRPr="0014358A" w:rsidRDefault="00114A49" w:rsidP="0014358A">
      <w:pPr>
        <w:pStyle w:val="Cmsor2"/>
        <w:spacing w:before="0" w:after="0" w:line="240" w:lineRule="auto"/>
        <w:rPr>
          <w:rFonts w:ascii="Times New Roman" w:eastAsiaTheme="minorHAnsi" w:hAnsi="Times New Roman" w:cs="Times New Roman"/>
          <w:b/>
          <w:noProof/>
          <w:color w:val="auto"/>
          <w:sz w:val="22"/>
          <w:szCs w:val="22"/>
          <w:lang w:val="hu-HU"/>
        </w:rPr>
      </w:pPr>
      <w:r w:rsidRPr="0014358A">
        <w:rPr>
          <w:rFonts w:ascii="Times New Roman" w:eastAsiaTheme="minorHAnsi" w:hAnsi="Times New Roman" w:cs="Times New Roman"/>
          <w:b/>
          <w:noProof/>
          <w:color w:val="auto"/>
          <w:sz w:val="22"/>
          <w:szCs w:val="22"/>
          <w:lang w:val="hu-HU"/>
        </w:rPr>
        <w:t>Osztályozás: II. csoport</w:t>
      </w:r>
    </w:p>
    <w:p w14:paraId="7DAB0130" w14:textId="2B748645" w:rsidR="00114A49" w:rsidRPr="0014358A" w:rsidRDefault="00114A49" w:rsidP="00114A4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Kizárólag orvosi rendelvényhez kötött gyógyszer (V).</w:t>
      </w:r>
    </w:p>
    <w:p w14:paraId="304FD2EB" w14:textId="77777777" w:rsidR="00114A49" w:rsidRPr="0014358A" w:rsidRDefault="00114A49" w:rsidP="00114A49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3D40DFF1" w14:textId="77777777" w:rsidR="00374BE0" w:rsidRPr="0014358A" w:rsidRDefault="00374BE0" w:rsidP="00FC4991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82C8DC5" w14:textId="0047823B" w:rsidR="00374BE0" w:rsidRPr="0014358A" w:rsidRDefault="00374BE0" w:rsidP="00DE1CB8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FORGALOMBA HOZATALI ENGEDÉLY JOGOSULTJA</w:t>
      </w:r>
    </w:p>
    <w:p w14:paraId="7B00C22F" w14:textId="77777777" w:rsidR="00374BE0" w:rsidRPr="0014358A" w:rsidRDefault="00374BE0" w:rsidP="00DE1CB8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067D594E" w14:textId="77777777" w:rsidR="00DA4785" w:rsidRPr="0014358A" w:rsidRDefault="00DA4785" w:rsidP="00DA478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Amarox Pharma B.V.</w:t>
      </w:r>
    </w:p>
    <w:p w14:paraId="11D7A81B" w14:textId="77777777" w:rsidR="00DA4785" w:rsidRPr="0014358A" w:rsidRDefault="00DA4785" w:rsidP="00DA478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Rouboslaan 32</w:t>
      </w:r>
    </w:p>
    <w:p w14:paraId="1958D214" w14:textId="7DECD0C3" w:rsidR="00DA4785" w:rsidRPr="0014358A" w:rsidRDefault="00DA4785" w:rsidP="00DA4785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2252</w:t>
      </w:r>
      <w:r w:rsidR="00963F34" w:rsidRPr="0014358A">
        <w:rPr>
          <w:rFonts w:ascii="Times New Roman" w:hAnsi="Times New Roman" w:cs="Times New Roman"/>
          <w:noProof/>
          <w:lang w:val="hu-HU"/>
        </w:rPr>
        <w:t xml:space="preserve"> </w:t>
      </w:r>
      <w:r w:rsidRPr="0014358A">
        <w:rPr>
          <w:rFonts w:ascii="Times New Roman" w:hAnsi="Times New Roman" w:cs="Times New Roman"/>
          <w:noProof/>
          <w:lang w:val="hu-HU"/>
        </w:rPr>
        <w:t>TR Voorschoten,</w:t>
      </w:r>
    </w:p>
    <w:p w14:paraId="10BB8F83" w14:textId="71A932D9" w:rsidR="00DA4785" w:rsidRPr="0014358A" w:rsidRDefault="00DA4785" w:rsidP="00DA4785">
      <w:pPr>
        <w:spacing w:after="0" w:line="240" w:lineRule="auto"/>
        <w:ind w:left="426" w:hanging="426"/>
        <w:rPr>
          <w:rFonts w:ascii="Times New Roman" w:hAnsi="Times New Roman" w:cs="Times New Roman"/>
          <w:noProof/>
          <w:lang w:val="hu-HU"/>
        </w:rPr>
      </w:pPr>
      <w:r w:rsidRPr="0014358A">
        <w:rPr>
          <w:rFonts w:ascii="Times New Roman" w:hAnsi="Times New Roman" w:cs="Times New Roman"/>
          <w:noProof/>
          <w:lang w:val="hu-HU"/>
        </w:rPr>
        <w:t>Hollandia</w:t>
      </w:r>
    </w:p>
    <w:p w14:paraId="1BF40F4E" w14:textId="77777777" w:rsidR="00DA4785" w:rsidRPr="0014358A" w:rsidRDefault="00DA4785" w:rsidP="00DA4785">
      <w:p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</w:p>
    <w:p w14:paraId="499AA025" w14:textId="77777777" w:rsidR="00374BE0" w:rsidRPr="0014358A" w:rsidRDefault="00374BE0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246842B9" w14:textId="4ED47D76" w:rsidR="00374BE0" w:rsidRPr="0014358A" w:rsidRDefault="00374BE0" w:rsidP="009765CC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FORGALOMBA HOZATALI ENGEDÉLY SZÁMAI</w:t>
      </w:r>
    </w:p>
    <w:p w14:paraId="3BD0A112" w14:textId="77777777" w:rsidR="00374BE0" w:rsidRPr="0014358A" w:rsidRDefault="00374BE0" w:rsidP="00374BE0">
      <w:pPr>
        <w:spacing w:after="0" w:line="240" w:lineRule="auto"/>
        <w:rPr>
          <w:rFonts w:ascii="Times New Roman" w:hAnsi="Times New Roman" w:cs="Times New Roman"/>
          <w:b/>
          <w:bCs/>
          <w:noProof/>
          <w:lang w:val="hu-HU"/>
        </w:rPr>
      </w:pPr>
    </w:p>
    <w:p w14:paraId="42E9A630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20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7AB63889" w14:textId="7075BBF3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OGYI-T-24772/01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28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3BA3E7B1" w14:textId="79892C9E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OGYI-T-24772/02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30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189946B2" w14:textId="4CAF51B0" w:rsid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OGYI-T-24772/03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98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OPA/Al/PVC//Al buborékcsomagolásban</w:t>
      </w:r>
    </w:p>
    <w:p w14:paraId="14DA6A3E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4B39EA8A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40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67DB6626" w14:textId="121B5BFB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OGYI-T-24772/04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28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66EABA76" w14:textId="5D618D74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OGYI-T-24772/05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56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560027F8" w14:textId="0CE9D81F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OGYI-T-24772/06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98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07E77BBD" w14:textId="278ED5C7" w:rsid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OGYI-T-24772/07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100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OPA/Al/PVC//Al buborékcsomagolásban</w:t>
      </w:r>
    </w:p>
    <w:p w14:paraId="7B65F40B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5682BFB3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u w:val="single"/>
          <w:lang w:val="hu-HU"/>
        </w:rPr>
      </w:pPr>
      <w:r w:rsidRPr="0014358A">
        <w:rPr>
          <w:rFonts w:ascii="Times New Roman" w:hAnsi="Times New Roman" w:cs="Times New Roman"/>
          <w:noProof/>
          <w:u w:val="single"/>
          <w:lang w:val="hu-HU"/>
        </w:rPr>
        <w:t>Telmizartán Amarox 80</w:t>
      </w:r>
      <w:r>
        <w:rPr>
          <w:rFonts w:ascii="Times New Roman" w:hAnsi="Times New Roman" w:cs="Times New Roman"/>
          <w:noProof/>
          <w:u w:val="single"/>
          <w:lang w:val="hu-HU"/>
        </w:rPr>
        <w:t> </w:t>
      </w:r>
      <w:r w:rsidRPr="0014358A">
        <w:rPr>
          <w:rFonts w:ascii="Times New Roman" w:hAnsi="Times New Roman" w:cs="Times New Roman"/>
          <w:noProof/>
          <w:u w:val="single"/>
          <w:lang w:val="hu-HU"/>
        </w:rPr>
        <w:t>mg tabletta</w:t>
      </w:r>
    </w:p>
    <w:p w14:paraId="753D24CF" w14:textId="768604A9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OGYI-T-24772/08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28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45BA0DCA" w14:textId="2D39535D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OGYI-T-24772/09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56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0DAFCA24" w14:textId="4A9CC0E4" w:rsidR="0043058C" w:rsidRP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OGYI-T-24772/10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98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</w:t>
      </w:r>
      <w:r>
        <w:rPr>
          <w:rFonts w:ascii="Times New Roman" w:hAnsi="Times New Roman" w:cs="Times New Roman"/>
          <w:noProof/>
          <w:lang w:val="hu-HU"/>
        </w:rPr>
        <w:t>Al/PVC//Al buborékcsomagolásban</w:t>
      </w:r>
    </w:p>
    <w:p w14:paraId="57E785EE" w14:textId="3C8F5556" w:rsidR="00374BE0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 w:rsidRPr="0043058C">
        <w:rPr>
          <w:rFonts w:ascii="Times New Roman" w:hAnsi="Times New Roman" w:cs="Times New Roman"/>
          <w:noProof/>
          <w:lang w:val="hu-HU"/>
        </w:rPr>
        <w:t>OGYI-T-24772/11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100</w:t>
      </w:r>
      <w:r>
        <w:rPr>
          <w:rFonts w:ascii="Times New Roman" w:hAnsi="Times New Roman" w:cs="Times New Roman"/>
          <w:noProof/>
          <w:lang w:val="hu-HU"/>
        </w:rPr>
        <w:t>×</w:t>
      </w:r>
      <w:r>
        <w:rPr>
          <w:rFonts w:ascii="Times New Roman" w:hAnsi="Times New Roman" w:cs="Times New Roman"/>
          <w:noProof/>
          <w:lang w:val="hu-HU"/>
        </w:rPr>
        <w:tab/>
      </w:r>
      <w:r w:rsidRPr="0043058C">
        <w:rPr>
          <w:rFonts w:ascii="Times New Roman" w:hAnsi="Times New Roman" w:cs="Times New Roman"/>
          <w:noProof/>
          <w:lang w:val="hu-HU"/>
        </w:rPr>
        <w:t>OPA/Al/PVC//Al buborékcsomagolásban</w:t>
      </w:r>
    </w:p>
    <w:p w14:paraId="61C9A978" w14:textId="77777777" w:rsidR="0043058C" w:rsidRPr="0014358A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778D8C6A" w14:textId="77777777" w:rsidR="000C5169" w:rsidRPr="0014358A" w:rsidRDefault="000C5169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2C399DD" w14:textId="7FEDDB84" w:rsidR="00374BE0" w:rsidRPr="0014358A" w:rsidRDefault="00374BE0" w:rsidP="0043058C">
      <w:pPr>
        <w:pStyle w:val="Listaszerbekezds"/>
        <w:keepNext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FORGALOMBA HOZATALI ENGEDÉLY ELSŐ KIADÁSÁNAK/ MEGÚJÍTÁSÁNAK DÁTUMA</w:t>
      </w:r>
    </w:p>
    <w:p w14:paraId="6CEE15D1" w14:textId="77777777" w:rsidR="00374BE0" w:rsidRPr="0014358A" w:rsidRDefault="00374BE0" w:rsidP="0043058C">
      <w:pPr>
        <w:keepNext/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83B5786" w14:textId="06F05F45" w:rsidR="00F36409" w:rsidRDefault="00114A49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A forgalomba hozatali engedély első kiadásának dátuma:</w:t>
      </w:r>
      <w:r w:rsidR="0043058C">
        <w:rPr>
          <w:rFonts w:ascii="Times New Roman" w:hAnsi="Times New Roman" w:cs="Times New Roman"/>
          <w:noProof/>
          <w:lang w:val="hu-HU"/>
        </w:rPr>
        <w:t xml:space="preserve"> 2026. augusztus 3.</w:t>
      </w:r>
    </w:p>
    <w:p w14:paraId="1CE21A17" w14:textId="77777777" w:rsidR="00114A49" w:rsidRPr="0014358A" w:rsidRDefault="00114A49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03DE60B9" w14:textId="77777777" w:rsidR="00374BE0" w:rsidRPr="0014358A" w:rsidRDefault="00374BE0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6E8A3956" w14:textId="47C69778" w:rsidR="00374BE0" w:rsidRPr="0014358A" w:rsidRDefault="00374BE0" w:rsidP="009765CC">
      <w:pPr>
        <w:pStyle w:val="Listaszerbekezds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noProof/>
          <w:lang w:val="hu-HU"/>
        </w:rPr>
      </w:pPr>
      <w:r w:rsidRPr="0014358A">
        <w:rPr>
          <w:rFonts w:ascii="Times New Roman" w:hAnsi="Times New Roman" w:cs="Times New Roman"/>
          <w:b/>
          <w:bCs/>
          <w:noProof/>
          <w:lang w:val="hu-HU"/>
        </w:rPr>
        <w:t>A SZÖVEG ELLENŐRZÉSÉNEK DÁTUMA</w:t>
      </w:r>
    </w:p>
    <w:p w14:paraId="0E6769D5" w14:textId="77777777" w:rsidR="00374BE0" w:rsidRPr="0014358A" w:rsidRDefault="00374BE0" w:rsidP="00374BE0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</w:p>
    <w:p w14:paraId="1EBC4AF9" w14:textId="77777777" w:rsidR="0043058C" w:rsidRDefault="0043058C" w:rsidP="0043058C">
      <w:pPr>
        <w:spacing w:after="0" w:line="240" w:lineRule="auto"/>
        <w:rPr>
          <w:rFonts w:ascii="Times New Roman" w:hAnsi="Times New Roman" w:cs="Times New Roman"/>
          <w:noProof/>
          <w:lang w:val="hu-HU"/>
        </w:rPr>
      </w:pPr>
      <w:r>
        <w:rPr>
          <w:rFonts w:ascii="Times New Roman" w:hAnsi="Times New Roman" w:cs="Times New Roman"/>
          <w:noProof/>
          <w:lang w:val="hu-HU"/>
        </w:rPr>
        <w:t>2026. augusztus 3.</w:t>
      </w:r>
      <w:bookmarkStart w:id="2" w:name="_GoBack"/>
      <w:bookmarkEnd w:id="2"/>
    </w:p>
    <w:sectPr w:rsidR="0043058C" w:rsidSect="0014358A"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9022E" w14:textId="77777777" w:rsidR="0014358A" w:rsidRDefault="0014358A" w:rsidP="00565429">
      <w:pPr>
        <w:spacing w:after="0" w:line="240" w:lineRule="auto"/>
      </w:pPr>
      <w:r>
        <w:separator/>
      </w:r>
    </w:p>
  </w:endnote>
  <w:endnote w:type="continuationSeparator" w:id="0">
    <w:p w14:paraId="6623A53A" w14:textId="77777777" w:rsidR="0014358A" w:rsidRDefault="0014358A" w:rsidP="00565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576EE" w14:textId="77777777" w:rsidR="0014358A" w:rsidRPr="00D929AC" w:rsidRDefault="0014358A" w:rsidP="00565429">
    <w:pPr>
      <w:pStyle w:val="llb"/>
      <w:rPr>
        <w:rFonts w:ascii="Times New Roman" w:hAnsi="Times New Roman" w:cs="Times New Roman"/>
        <w:sz w:val="18"/>
        <w:szCs w:val="18"/>
      </w:rPr>
    </w:pPr>
    <w:r w:rsidRPr="00D929AC">
      <w:rPr>
        <w:rFonts w:ascii="Times New Roman" w:hAnsi="Times New Roman" w:cs="Times New Roman"/>
        <w:sz w:val="18"/>
        <w:szCs w:val="18"/>
      </w:rPr>
      <w:t>NNGYK/ETGY/8528/2025</w:t>
    </w:r>
  </w:p>
  <w:p w14:paraId="44207350" w14:textId="77777777" w:rsidR="0014358A" w:rsidRPr="00D929AC" w:rsidRDefault="0014358A" w:rsidP="00565429">
    <w:pPr>
      <w:pStyle w:val="llb"/>
      <w:rPr>
        <w:rFonts w:ascii="Times New Roman" w:hAnsi="Times New Roman" w:cs="Times New Roman"/>
        <w:sz w:val="18"/>
        <w:szCs w:val="18"/>
      </w:rPr>
    </w:pPr>
    <w:r w:rsidRPr="00D929AC">
      <w:rPr>
        <w:rFonts w:ascii="Times New Roman" w:hAnsi="Times New Roman" w:cs="Times New Roman"/>
        <w:sz w:val="18"/>
        <w:szCs w:val="18"/>
      </w:rPr>
      <w:t>NNGYK/ETGY/8531/2025</w:t>
    </w:r>
  </w:p>
  <w:p w14:paraId="25E8EF15" w14:textId="334D3825" w:rsidR="0014358A" w:rsidRDefault="0014358A">
    <w:pPr>
      <w:pStyle w:val="llb"/>
    </w:pPr>
    <w:r w:rsidRPr="00D929AC">
      <w:rPr>
        <w:rFonts w:ascii="Times New Roman" w:hAnsi="Times New Roman" w:cs="Times New Roman"/>
        <w:sz w:val="18"/>
        <w:szCs w:val="18"/>
      </w:rPr>
      <w:t>NNGYK/ETGY/8532/2025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20CB0" w14:textId="77777777" w:rsidR="0014358A" w:rsidRDefault="0014358A" w:rsidP="00565429">
      <w:pPr>
        <w:spacing w:after="0" w:line="240" w:lineRule="auto"/>
      </w:pPr>
      <w:r>
        <w:separator/>
      </w:r>
    </w:p>
  </w:footnote>
  <w:footnote w:type="continuationSeparator" w:id="0">
    <w:p w14:paraId="32BCB090" w14:textId="77777777" w:rsidR="0014358A" w:rsidRDefault="0014358A" w:rsidP="00565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3260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03539E7" w14:textId="291CB657" w:rsidR="0014358A" w:rsidRPr="002D7986" w:rsidRDefault="0014358A" w:rsidP="0014358A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14358A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4358A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4358A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3058C" w:rsidRPr="0043058C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15</w:t>
        </w:r>
        <w:r w:rsidRPr="0014358A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41A53"/>
    <w:multiLevelType w:val="hybridMultilevel"/>
    <w:tmpl w:val="3806B68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72F8E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B8C01E9E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05346"/>
    <w:multiLevelType w:val="hybridMultilevel"/>
    <w:tmpl w:val="B9EC3E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B4EC9"/>
    <w:multiLevelType w:val="multilevel"/>
    <w:tmpl w:val="20B0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645902C1"/>
    <w:multiLevelType w:val="hybridMultilevel"/>
    <w:tmpl w:val="48F422FA"/>
    <w:lvl w:ilvl="0" w:tplc="A342BD1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C20E40"/>
    <w:multiLevelType w:val="hybridMultilevel"/>
    <w:tmpl w:val="09F09D8E"/>
    <w:lvl w:ilvl="0" w:tplc="44DC3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DC3D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42"/>
    <w:rsid w:val="0000438D"/>
    <w:rsid w:val="000066B8"/>
    <w:rsid w:val="0003196E"/>
    <w:rsid w:val="00036D79"/>
    <w:rsid w:val="00067FDA"/>
    <w:rsid w:val="00086DBB"/>
    <w:rsid w:val="000960FF"/>
    <w:rsid w:val="000A7166"/>
    <w:rsid w:val="000B3686"/>
    <w:rsid w:val="000C3FEC"/>
    <w:rsid w:val="000C5169"/>
    <w:rsid w:val="000E6BE2"/>
    <w:rsid w:val="00114A49"/>
    <w:rsid w:val="001179AA"/>
    <w:rsid w:val="001301C7"/>
    <w:rsid w:val="0014358A"/>
    <w:rsid w:val="00146742"/>
    <w:rsid w:val="00172F3C"/>
    <w:rsid w:val="00174F16"/>
    <w:rsid w:val="001A12A7"/>
    <w:rsid w:val="001D01D9"/>
    <w:rsid w:val="001F3316"/>
    <w:rsid w:val="002057C2"/>
    <w:rsid w:val="002137C2"/>
    <w:rsid w:val="00216F45"/>
    <w:rsid w:val="002172FD"/>
    <w:rsid w:val="002221A8"/>
    <w:rsid w:val="00231D2C"/>
    <w:rsid w:val="00232AA6"/>
    <w:rsid w:val="00236DAE"/>
    <w:rsid w:val="002447E4"/>
    <w:rsid w:val="0025635C"/>
    <w:rsid w:val="002933D7"/>
    <w:rsid w:val="0029399D"/>
    <w:rsid w:val="002B020C"/>
    <w:rsid w:val="002B2D5C"/>
    <w:rsid w:val="002C4FFD"/>
    <w:rsid w:val="002D7986"/>
    <w:rsid w:val="002F2BE1"/>
    <w:rsid w:val="003103E9"/>
    <w:rsid w:val="003163E0"/>
    <w:rsid w:val="00323A08"/>
    <w:rsid w:val="003419BA"/>
    <w:rsid w:val="00343B82"/>
    <w:rsid w:val="0037024F"/>
    <w:rsid w:val="00374BE0"/>
    <w:rsid w:val="003767D7"/>
    <w:rsid w:val="003805DD"/>
    <w:rsid w:val="00384621"/>
    <w:rsid w:val="003B3E12"/>
    <w:rsid w:val="003B4705"/>
    <w:rsid w:val="003F5E38"/>
    <w:rsid w:val="00421319"/>
    <w:rsid w:val="0043058C"/>
    <w:rsid w:val="004873E3"/>
    <w:rsid w:val="00493F1D"/>
    <w:rsid w:val="004D0F88"/>
    <w:rsid w:val="004D2424"/>
    <w:rsid w:val="004F1339"/>
    <w:rsid w:val="005439D4"/>
    <w:rsid w:val="00544098"/>
    <w:rsid w:val="00550AEC"/>
    <w:rsid w:val="005534BC"/>
    <w:rsid w:val="00565429"/>
    <w:rsid w:val="00591438"/>
    <w:rsid w:val="00591ED2"/>
    <w:rsid w:val="0059535F"/>
    <w:rsid w:val="005A0DBC"/>
    <w:rsid w:val="005A1A3D"/>
    <w:rsid w:val="005B4058"/>
    <w:rsid w:val="005C1C9B"/>
    <w:rsid w:val="005E3889"/>
    <w:rsid w:val="00617683"/>
    <w:rsid w:val="00647F02"/>
    <w:rsid w:val="00653094"/>
    <w:rsid w:val="00660CA3"/>
    <w:rsid w:val="00692792"/>
    <w:rsid w:val="006A36A8"/>
    <w:rsid w:val="006C2447"/>
    <w:rsid w:val="006C6376"/>
    <w:rsid w:val="006D00AA"/>
    <w:rsid w:val="006D20CC"/>
    <w:rsid w:val="0070222D"/>
    <w:rsid w:val="007100B5"/>
    <w:rsid w:val="00724323"/>
    <w:rsid w:val="0077659B"/>
    <w:rsid w:val="00786219"/>
    <w:rsid w:val="0079587C"/>
    <w:rsid w:val="007A34C0"/>
    <w:rsid w:val="007D2704"/>
    <w:rsid w:val="007D48A6"/>
    <w:rsid w:val="007D79BE"/>
    <w:rsid w:val="007E1D94"/>
    <w:rsid w:val="007E329A"/>
    <w:rsid w:val="007E3471"/>
    <w:rsid w:val="00800297"/>
    <w:rsid w:val="008002DF"/>
    <w:rsid w:val="00802408"/>
    <w:rsid w:val="00840A44"/>
    <w:rsid w:val="008563D1"/>
    <w:rsid w:val="00863FC7"/>
    <w:rsid w:val="0088247D"/>
    <w:rsid w:val="008B433E"/>
    <w:rsid w:val="008B46DB"/>
    <w:rsid w:val="008C735C"/>
    <w:rsid w:val="008E4682"/>
    <w:rsid w:val="008F00B5"/>
    <w:rsid w:val="008F2024"/>
    <w:rsid w:val="008F2FFB"/>
    <w:rsid w:val="00911E48"/>
    <w:rsid w:val="0092317A"/>
    <w:rsid w:val="00963F34"/>
    <w:rsid w:val="009726B4"/>
    <w:rsid w:val="009765CC"/>
    <w:rsid w:val="00981037"/>
    <w:rsid w:val="0098604D"/>
    <w:rsid w:val="009910B3"/>
    <w:rsid w:val="009A7CC4"/>
    <w:rsid w:val="009C6132"/>
    <w:rsid w:val="009E2045"/>
    <w:rsid w:val="009E70A4"/>
    <w:rsid w:val="00A26489"/>
    <w:rsid w:val="00A411E5"/>
    <w:rsid w:val="00A647DC"/>
    <w:rsid w:val="00A8497A"/>
    <w:rsid w:val="00A95A5D"/>
    <w:rsid w:val="00AD6061"/>
    <w:rsid w:val="00AF01BF"/>
    <w:rsid w:val="00B23C05"/>
    <w:rsid w:val="00B33587"/>
    <w:rsid w:val="00B63419"/>
    <w:rsid w:val="00BA28BD"/>
    <w:rsid w:val="00BA7C01"/>
    <w:rsid w:val="00BB6BF8"/>
    <w:rsid w:val="00BC3C78"/>
    <w:rsid w:val="00BD37A2"/>
    <w:rsid w:val="00BD4FDB"/>
    <w:rsid w:val="00BD53EC"/>
    <w:rsid w:val="00BE0E98"/>
    <w:rsid w:val="00C2685C"/>
    <w:rsid w:val="00C477DA"/>
    <w:rsid w:val="00C70B2F"/>
    <w:rsid w:val="00C75758"/>
    <w:rsid w:val="00C84C56"/>
    <w:rsid w:val="00CA29F6"/>
    <w:rsid w:val="00CA789E"/>
    <w:rsid w:val="00D10A2A"/>
    <w:rsid w:val="00D154BB"/>
    <w:rsid w:val="00D27712"/>
    <w:rsid w:val="00D41077"/>
    <w:rsid w:val="00D45CFF"/>
    <w:rsid w:val="00D63FCF"/>
    <w:rsid w:val="00D80734"/>
    <w:rsid w:val="00D94B17"/>
    <w:rsid w:val="00DA4785"/>
    <w:rsid w:val="00DE1CB8"/>
    <w:rsid w:val="00DE3CF9"/>
    <w:rsid w:val="00DE7142"/>
    <w:rsid w:val="00DE7D3F"/>
    <w:rsid w:val="00DF3BC0"/>
    <w:rsid w:val="00E061E6"/>
    <w:rsid w:val="00E23E21"/>
    <w:rsid w:val="00E52FDB"/>
    <w:rsid w:val="00E91F40"/>
    <w:rsid w:val="00ED14A6"/>
    <w:rsid w:val="00ED3EA0"/>
    <w:rsid w:val="00EF4570"/>
    <w:rsid w:val="00F02792"/>
    <w:rsid w:val="00F0775D"/>
    <w:rsid w:val="00F36409"/>
    <w:rsid w:val="00F36595"/>
    <w:rsid w:val="00F67D51"/>
    <w:rsid w:val="00F7788F"/>
    <w:rsid w:val="00F81DBD"/>
    <w:rsid w:val="00F90EDB"/>
    <w:rsid w:val="00F96CAA"/>
    <w:rsid w:val="00FA155C"/>
    <w:rsid w:val="00FA56DF"/>
    <w:rsid w:val="00FA59A3"/>
    <w:rsid w:val="00FC1416"/>
    <w:rsid w:val="00FC4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E86E"/>
  <w15:chartTrackingRefBased/>
  <w15:docId w15:val="{75DFBBA3-F750-4F0B-B416-10C2508D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6061"/>
  </w:style>
  <w:style w:type="paragraph" w:styleId="Cmsor1">
    <w:name w:val="heading 1"/>
    <w:basedOn w:val="Norml"/>
    <w:next w:val="Norml"/>
    <w:link w:val="Cmsor1Char"/>
    <w:uiPriority w:val="9"/>
    <w:qFormat/>
    <w:rsid w:val="00DE7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E7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E71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E7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E71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E71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E71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E71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E71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E71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E71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E71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E714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E714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E714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E714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E714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E714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E71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E7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E7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E71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E7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E714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E714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E714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E71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E714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E7142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BD4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65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5429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65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65429"/>
  </w:style>
  <w:style w:type="paragraph" w:styleId="llb">
    <w:name w:val="footer"/>
    <w:basedOn w:val="Norml"/>
    <w:link w:val="llbChar"/>
    <w:uiPriority w:val="99"/>
    <w:unhideWhenUsed/>
    <w:rsid w:val="00565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65429"/>
  </w:style>
  <w:style w:type="character" w:styleId="Jegyzethivatkozs">
    <w:name w:val="annotation reference"/>
    <w:basedOn w:val="Bekezdsalapbettpusa"/>
    <w:uiPriority w:val="99"/>
    <w:semiHidden/>
    <w:unhideWhenUsed/>
    <w:rsid w:val="000960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960F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960F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60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960FF"/>
    <w:rPr>
      <w:b/>
      <w:bCs/>
      <w:sz w:val="20"/>
      <w:szCs w:val="20"/>
    </w:rPr>
  </w:style>
  <w:style w:type="character" w:styleId="Hiperhivatkozs">
    <w:name w:val="Hyperlink"/>
    <w:rsid w:val="006D20C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7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_x0020_Development xmlns="de407167-03b1-4141-b664-d77fa54c626f" xsi:nil="true"/>
    <lcf76f155ced4ddcb4097134ff3c332f xmlns="de407167-03b1-4141-b664-d77fa54c626f">
      <Terms xmlns="http://schemas.microsoft.com/office/infopath/2007/PartnerControls"/>
    </lcf76f155ced4ddcb4097134ff3c332f>
    <TaxCatchAll xmlns="1bfd66ec-8fa5-492f-9f2f-311844ab8b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07C055B71CD4F97ED5E2295DD4594" ma:contentTypeVersion="20" ma:contentTypeDescription="Create a new document." ma:contentTypeScope="" ma:versionID="225ed1aaa7f36b9a7e767a7a1a8b0b82">
  <xsd:schema xmlns:xsd="http://www.w3.org/2001/XMLSchema" xmlns:xs="http://www.w3.org/2001/XMLSchema" xmlns:p="http://schemas.microsoft.com/office/2006/metadata/properties" xmlns:ns2="de407167-03b1-4141-b664-d77fa54c626f" xmlns:ns3="1bfd66ec-8fa5-492f-9f2f-311844ab8b46" targetNamespace="http://schemas.microsoft.com/office/2006/metadata/properties" ma:root="true" ma:fieldsID="010e48e3073b487fcfcbee5f7718d747" ns2:_="" ns3:_="">
    <xsd:import namespace="de407167-03b1-4141-b664-d77fa54c626f"/>
    <xsd:import namespace="1bfd66ec-8fa5-492f-9f2f-311844ab8b46"/>
    <xsd:element name="properties">
      <xsd:complexType>
        <xsd:sequence>
          <xsd:element name="documentManagement">
            <xsd:complexType>
              <xsd:all>
                <xsd:element ref="ns2:Business_x0020_Development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07167-03b1-4141-b664-d77fa54c626f" elementFormDefault="qualified">
    <xsd:import namespace="http://schemas.microsoft.com/office/2006/documentManagement/types"/>
    <xsd:import namespace="http://schemas.microsoft.com/office/infopath/2007/PartnerControls"/>
    <xsd:element name="Business_x0020_Development" ma:index="8" nillable="true" ma:displayName="Business Development" ma:format="Dropdown" ma:internalName="Business_x0020_Development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6e2f4b-01cf-49f2-9900-a702ab0232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d66ec-8fa5-492f-9f2f-311844ab8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b720901-4258-43ec-905f-f031de3b7eea}" ma:internalName="TaxCatchAll" ma:showField="CatchAllData" ma:web="1bfd66ec-8fa5-492f-9f2f-311844ab8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4C94DC-AB1E-409B-97A0-D7CA4FAC70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BACB8A-F3A7-4416-9B12-A129B58E71D2}">
  <ds:schemaRefs>
    <ds:schemaRef ds:uri="http://schemas.microsoft.com/office/2006/metadata/properties"/>
    <ds:schemaRef ds:uri="http://schemas.microsoft.com/office/infopath/2007/PartnerControls"/>
    <ds:schemaRef ds:uri="de407167-03b1-4141-b664-d77fa54c626f"/>
    <ds:schemaRef ds:uri="1bfd66ec-8fa5-492f-9f2f-311844ab8b46"/>
  </ds:schemaRefs>
</ds:datastoreItem>
</file>

<file path=customXml/itemProps3.xml><?xml version="1.0" encoding="utf-8"?>
<ds:datastoreItem xmlns:ds="http://schemas.openxmlformats.org/officeDocument/2006/customXml" ds:itemID="{EB5AE3E0-61B7-41A1-8462-8CBF9A497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407167-03b1-4141-b664-d77fa54c626f"/>
    <ds:schemaRef ds:uri="1bfd66ec-8fa5-492f-9f2f-311844ab8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15</Pages>
  <Words>5538</Words>
  <Characters>38216</Characters>
  <Application>Microsoft Office Word</Application>
  <DocSecurity>0</DocSecurity>
  <Lines>318</Lines>
  <Paragraphs>87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jagan yuvan</dc:creator>
  <cp:keywords/>
  <dc:description/>
  <cp:lastModifiedBy>HU_OGYI_45.1</cp:lastModifiedBy>
  <cp:revision>225</cp:revision>
  <dcterms:created xsi:type="dcterms:W3CDTF">2025-07-27T05:35:00Z</dcterms:created>
  <dcterms:modified xsi:type="dcterms:W3CDTF">2026-08-03T12:05:00Z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0x0101004B607C055B71CD4F97ED5E2295DD4594</vt:lpwstr>
  </property>
  <property fmtid="{D5CDD505-2E9C-101B-9397-08002B2CF9AE}" pid="3" name="MediaServiceImageTags">
    <vt:lpwstr/>
  </property>
</Properties>
</file>