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08AD" w14:textId="4452C507" w:rsidR="00DD077B" w:rsidRPr="003834C8" w:rsidRDefault="00CC41A1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1.</w:t>
      </w:r>
      <w:r w:rsidRPr="003834C8">
        <w:tab/>
      </w:r>
      <w:r w:rsidR="0043432F" w:rsidRPr="003834C8">
        <w:t>A GYÓGYSZER NEVE</w:t>
      </w:r>
    </w:p>
    <w:p w14:paraId="725F08A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31433898" w14:textId="58A75177" w:rsidR="00CC41A1" w:rsidRPr="00D046BF" w:rsidRDefault="00A44772" w:rsidP="003834C8">
      <w:pPr>
        <w:pStyle w:val="Szvegtrzs"/>
        <w:tabs>
          <w:tab w:val="left" w:pos="0"/>
          <w:tab w:val="left" w:pos="1560"/>
        </w:tabs>
      </w:pPr>
      <w:r w:rsidRPr="00D046BF">
        <w:t>Oblonela</w:t>
      </w:r>
      <w:r w:rsidR="0043432F" w:rsidRPr="00D046BF">
        <w:t xml:space="preserve"> 15</w:t>
      </w:r>
      <w:r w:rsidR="0050166E">
        <w:t> mg</w:t>
      </w:r>
      <w:r w:rsidR="0043432F" w:rsidRPr="00D046BF">
        <w:t xml:space="preserve"> filmtabletta </w:t>
      </w:r>
    </w:p>
    <w:p w14:paraId="55BDD4DD" w14:textId="15660430" w:rsidR="00CC41A1" w:rsidRPr="00D046BF" w:rsidRDefault="00A44772" w:rsidP="003834C8">
      <w:pPr>
        <w:pStyle w:val="Szvegtrzs"/>
        <w:tabs>
          <w:tab w:val="left" w:pos="0"/>
          <w:tab w:val="left" w:pos="1560"/>
        </w:tabs>
      </w:pPr>
      <w:r w:rsidRPr="00D046BF">
        <w:t>Oblonela</w:t>
      </w:r>
      <w:r w:rsidR="0043432F" w:rsidRPr="00D046BF">
        <w:t xml:space="preserve"> 30</w:t>
      </w:r>
      <w:r w:rsidR="0050166E">
        <w:t> mg</w:t>
      </w:r>
      <w:r w:rsidR="0043432F" w:rsidRPr="00D046BF">
        <w:t xml:space="preserve"> filmtabletta</w:t>
      </w:r>
    </w:p>
    <w:p w14:paraId="725F08AF" w14:textId="7F4BFACE" w:rsidR="00DD077B" w:rsidRPr="003834C8" w:rsidRDefault="00A44772" w:rsidP="003834C8">
      <w:pPr>
        <w:pStyle w:val="Szvegtrzs"/>
        <w:tabs>
          <w:tab w:val="left" w:pos="0"/>
          <w:tab w:val="left" w:pos="1560"/>
        </w:tabs>
      </w:pPr>
      <w:r w:rsidRPr="00D046BF">
        <w:t>Oblonela</w:t>
      </w:r>
      <w:r w:rsidR="0043432F" w:rsidRPr="00D046BF">
        <w:t xml:space="preserve"> 60</w:t>
      </w:r>
      <w:r w:rsidR="0050166E">
        <w:t> mg</w:t>
      </w:r>
      <w:r w:rsidR="0043432F" w:rsidRPr="00D046BF">
        <w:t xml:space="preserve"> filmtabletta</w:t>
      </w:r>
    </w:p>
    <w:p w14:paraId="725F08B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B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B2" w14:textId="5FA5C5D3" w:rsidR="00DD077B" w:rsidRPr="003834C8" w:rsidRDefault="00CC41A1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2.</w:t>
      </w:r>
      <w:r w:rsidRPr="003834C8">
        <w:tab/>
      </w:r>
      <w:r w:rsidR="0043432F" w:rsidRPr="003834C8">
        <w:t>MINŐSÉGI ÉS MENNYISÉGI ÖSSZETÉTEL</w:t>
      </w:r>
    </w:p>
    <w:p w14:paraId="725F08B3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B4" w14:textId="0DDE77F9" w:rsidR="00DD077B" w:rsidRPr="003834C8" w:rsidRDefault="00A44772" w:rsidP="003834C8">
      <w:pPr>
        <w:pStyle w:val="Szvegtrzs"/>
        <w:tabs>
          <w:tab w:val="left" w:pos="0"/>
        </w:tabs>
      </w:pPr>
      <w:r>
        <w:rPr>
          <w:u w:val="single"/>
        </w:rPr>
        <w:t>Oblonela</w:t>
      </w:r>
      <w:r w:rsidR="0043432F" w:rsidRPr="003834C8">
        <w:rPr>
          <w:u w:val="single"/>
        </w:rPr>
        <w:t xml:space="preserve"> 15</w:t>
      </w:r>
      <w:r w:rsidR="0050166E">
        <w:rPr>
          <w:u w:val="single"/>
        </w:rPr>
        <w:t> mg</w:t>
      </w:r>
      <w:r w:rsidR="0043432F" w:rsidRPr="003834C8">
        <w:rPr>
          <w:u w:val="single"/>
        </w:rPr>
        <w:t xml:space="preserve"> filmtabletta</w:t>
      </w:r>
    </w:p>
    <w:p w14:paraId="4B06B031" w14:textId="5D80B6AA" w:rsidR="00366C32" w:rsidRPr="003834C8" w:rsidRDefault="0043432F" w:rsidP="003834C8">
      <w:pPr>
        <w:pStyle w:val="Szvegtrzs"/>
        <w:tabs>
          <w:tab w:val="left" w:pos="0"/>
        </w:tabs>
      </w:pPr>
      <w:r w:rsidRPr="003834C8">
        <w:t>15</w:t>
      </w:r>
      <w:r w:rsidR="0050166E">
        <w:t> mg</w:t>
      </w:r>
      <w:r w:rsidRPr="003834C8">
        <w:t xml:space="preserve"> edoxabánt tartalmaz (</w:t>
      </w:r>
      <w:r w:rsidR="00A570C5" w:rsidRPr="00A570C5">
        <w:t>tozilát-monohidrát formájában</w:t>
      </w:r>
      <w:r w:rsidRPr="003834C8">
        <w:t>)</w:t>
      </w:r>
      <w:r w:rsidR="00A772FC">
        <w:t xml:space="preserve"> </w:t>
      </w:r>
      <w:r w:rsidRPr="003834C8">
        <w:t>filmtablettánként</w:t>
      </w:r>
      <w:r w:rsidR="00E07DBC">
        <w:t>.</w:t>
      </w:r>
    </w:p>
    <w:p w14:paraId="1BF69F77" w14:textId="77777777" w:rsidR="00366C32" w:rsidRPr="003834C8" w:rsidRDefault="00366C32" w:rsidP="003834C8">
      <w:pPr>
        <w:pStyle w:val="Szvegtrzs"/>
        <w:tabs>
          <w:tab w:val="left" w:pos="0"/>
        </w:tabs>
      </w:pPr>
    </w:p>
    <w:p w14:paraId="725F08B6" w14:textId="46AF01AE" w:rsidR="00DD077B" w:rsidRPr="003834C8" w:rsidRDefault="00A44772" w:rsidP="003834C8">
      <w:pPr>
        <w:pStyle w:val="Szvegtrzs"/>
        <w:tabs>
          <w:tab w:val="left" w:pos="0"/>
        </w:tabs>
      </w:pPr>
      <w:r>
        <w:rPr>
          <w:u w:val="single"/>
        </w:rPr>
        <w:t>Oblonela</w:t>
      </w:r>
      <w:r w:rsidR="0043432F" w:rsidRPr="003834C8">
        <w:rPr>
          <w:u w:val="single"/>
        </w:rPr>
        <w:t xml:space="preserve"> 30</w:t>
      </w:r>
      <w:r w:rsidR="0050166E">
        <w:rPr>
          <w:u w:val="single"/>
        </w:rPr>
        <w:t> mg</w:t>
      </w:r>
      <w:r w:rsidR="0043432F" w:rsidRPr="003834C8">
        <w:rPr>
          <w:u w:val="single"/>
        </w:rPr>
        <w:t xml:space="preserve"> filmtabletta</w:t>
      </w:r>
    </w:p>
    <w:p w14:paraId="3FFF7ACF" w14:textId="22DA4094" w:rsidR="00366C32" w:rsidRPr="003834C8" w:rsidRDefault="0043432F" w:rsidP="003834C8">
      <w:pPr>
        <w:pStyle w:val="Szvegtrzs"/>
        <w:tabs>
          <w:tab w:val="left" w:pos="0"/>
        </w:tabs>
      </w:pPr>
      <w:r w:rsidRPr="003834C8">
        <w:t>30</w:t>
      </w:r>
      <w:r w:rsidR="0050166E">
        <w:t> mg</w:t>
      </w:r>
      <w:r w:rsidRPr="003834C8">
        <w:t xml:space="preserve"> edoxabánt tartalmaz (</w:t>
      </w:r>
      <w:r w:rsidR="00A772FC" w:rsidRPr="00A772FC">
        <w:t>tozilát-monohidrát formájában</w:t>
      </w:r>
      <w:r w:rsidRPr="003834C8">
        <w:t>)</w:t>
      </w:r>
      <w:r w:rsidR="00A772FC">
        <w:t xml:space="preserve"> </w:t>
      </w:r>
      <w:r w:rsidRPr="003834C8">
        <w:t>filmtablettánként</w:t>
      </w:r>
      <w:r w:rsidR="00E07DBC">
        <w:t>.</w:t>
      </w:r>
    </w:p>
    <w:p w14:paraId="6ED0D16B" w14:textId="77777777" w:rsidR="00366C32" w:rsidRPr="003834C8" w:rsidRDefault="00366C32" w:rsidP="003834C8">
      <w:pPr>
        <w:pStyle w:val="Szvegtrzs"/>
        <w:tabs>
          <w:tab w:val="left" w:pos="0"/>
        </w:tabs>
      </w:pPr>
    </w:p>
    <w:p w14:paraId="725F08B7" w14:textId="376FD9DB" w:rsidR="00DD077B" w:rsidRPr="003834C8" w:rsidRDefault="00A44772" w:rsidP="003834C8">
      <w:pPr>
        <w:pStyle w:val="Szvegtrzs"/>
        <w:tabs>
          <w:tab w:val="left" w:pos="0"/>
        </w:tabs>
      </w:pPr>
      <w:r>
        <w:rPr>
          <w:u w:val="single"/>
        </w:rPr>
        <w:t>Oblonela</w:t>
      </w:r>
      <w:r w:rsidR="0043432F" w:rsidRPr="003834C8">
        <w:rPr>
          <w:u w:val="single"/>
        </w:rPr>
        <w:t xml:space="preserve"> 60</w:t>
      </w:r>
      <w:r w:rsidR="0050166E">
        <w:rPr>
          <w:u w:val="single"/>
        </w:rPr>
        <w:t> mg</w:t>
      </w:r>
      <w:r w:rsidR="0043432F" w:rsidRPr="003834C8">
        <w:rPr>
          <w:u w:val="single"/>
        </w:rPr>
        <w:t xml:space="preserve"> filmtabletta</w:t>
      </w:r>
    </w:p>
    <w:p w14:paraId="7BAA11BA" w14:textId="036AD185" w:rsidR="00366C32" w:rsidRPr="003834C8" w:rsidRDefault="0043432F" w:rsidP="003834C8">
      <w:pPr>
        <w:pStyle w:val="Szvegtrzs"/>
        <w:tabs>
          <w:tab w:val="left" w:pos="0"/>
        </w:tabs>
      </w:pPr>
      <w:r w:rsidRPr="003834C8">
        <w:t>60</w:t>
      </w:r>
      <w:r w:rsidR="0050166E">
        <w:t> mg</w:t>
      </w:r>
      <w:r w:rsidRPr="003834C8">
        <w:t xml:space="preserve"> edoxabánt tartalmaz (</w:t>
      </w:r>
      <w:r w:rsidR="00A772FC" w:rsidRPr="00A772FC">
        <w:t>tozilát-monohidrát formájában</w:t>
      </w:r>
      <w:r w:rsidRPr="003834C8">
        <w:t>) filmtablettánként</w:t>
      </w:r>
      <w:r w:rsidR="00E07DBC">
        <w:t>.</w:t>
      </w:r>
    </w:p>
    <w:p w14:paraId="61822A78" w14:textId="77777777" w:rsidR="00366C32" w:rsidRPr="003834C8" w:rsidRDefault="00366C32" w:rsidP="003834C8">
      <w:pPr>
        <w:pStyle w:val="Szvegtrzs"/>
        <w:tabs>
          <w:tab w:val="left" w:pos="0"/>
        </w:tabs>
      </w:pPr>
    </w:p>
    <w:p w14:paraId="48CDC392" w14:textId="77777777" w:rsidR="00C9473A" w:rsidRPr="00C9473A" w:rsidRDefault="00187CBB" w:rsidP="003834C8">
      <w:pPr>
        <w:pStyle w:val="Szvegtrzs"/>
        <w:tabs>
          <w:tab w:val="left" w:pos="0"/>
        </w:tabs>
      </w:pPr>
      <w:r w:rsidRPr="00C9473A">
        <w:t>Ismert hatású segédanyag:</w:t>
      </w:r>
    </w:p>
    <w:p w14:paraId="3574D14E" w14:textId="64E5623A" w:rsidR="00C9473A" w:rsidRDefault="00F26DEA" w:rsidP="003834C8">
      <w:pPr>
        <w:pStyle w:val="Szvegtrzs"/>
        <w:tabs>
          <w:tab w:val="left" w:pos="0"/>
        </w:tabs>
      </w:pPr>
      <w:r>
        <w:t>g</w:t>
      </w:r>
      <w:r w:rsidR="0089369B">
        <w:t>lükóz</w:t>
      </w:r>
      <w:r w:rsidR="00C9473A" w:rsidRPr="00C9473A">
        <w:t>-monohidrát</w:t>
      </w:r>
    </w:p>
    <w:p w14:paraId="2E26B3D3" w14:textId="4EF63C83" w:rsidR="00C9473A" w:rsidRDefault="00B61447" w:rsidP="003834C8">
      <w:pPr>
        <w:pStyle w:val="Szvegtrzs"/>
        <w:tabs>
          <w:tab w:val="left" w:pos="0"/>
        </w:tabs>
      </w:pPr>
      <w:r>
        <w:t>15</w:t>
      </w:r>
      <w:r w:rsidR="0050166E">
        <w:t> mg</w:t>
      </w:r>
      <w:r>
        <w:t xml:space="preserve"> filmtabletta 0.7000</w:t>
      </w:r>
      <w:r w:rsidR="0050166E">
        <w:t> mg</w:t>
      </w:r>
      <w:r>
        <w:t xml:space="preserve"> </w:t>
      </w:r>
      <w:r w:rsidR="0089369B">
        <w:t>glükóz</w:t>
      </w:r>
      <w:r>
        <w:t>-monohidrát</w:t>
      </w:r>
      <w:r w:rsidR="00B12819">
        <w:t>ot tartalmaz.</w:t>
      </w:r>
    </w:p>
    <w:p w14:paraId="27D0A4DD" w14:textId="577C4794" w:rsidR="00B12819" w:rsidRDefault="00B12819" w:rsidP="003834C8">
      <w:pPr>
        <w:pStyle w:val="Szvegtrzs"/>
        <w:tabs>
          <w:tab w:val="left" w:pos="0"/>
        </w:tabs>
      </w:pPr>
      <w:r>
        <w:t>30</w:t>
      </w:r>
      <w:r w:rsidR="0050166E">
        <w:t> mg</w:t>
      </w:r>
      <w:r>
        <w:t xml:space="preserve"> filmtabletta 1.4000</w:t>
      </w:r>
      <w:r w:rsidR="0050166E">
        <w:t> mg</w:t>
      </w:r>
      <w:r>
        <w:t xml:space="preserve"> </w:t>
      </w:r>
      <w:r w:rsidR="0089369B">
        <w:t>glükóz</w:t>
      </w:r>
      <w:r>
        <w:t>-monohidrátot tartalmaz.</w:t>
      </w:r>
    </w:p>
    <w:p w14:paraId="3EF6C165" w14:textId="55D2D860" w:rsidR="00B12819" w:rsidRPr="00C9473A" w:rsidRDefault="00B12819" w:rsidP="003834C8">
      <w:pPr>
        <w:pStyle w:val="Szvegtrzs"/>
        <w:tabs>
          <w:tab w:val="left" w:pos="0"/>
        </w:tabs>
      </w:pPr>
      <w:r>
        <w:t>60</w:t>
      </w:r>
      <w:r w:rsidR="0050166E">
        <w:t> mg</w:t>
      </w:r>
      <w:r>
        <w:t xml:space="preserve"> filmtabletta 2.2400</w:t>
      </w:r>
      <w:r w:rsidR="0050166E">
        <w:t> mg</w:t>
      </w:r>
      <w:r>
        <w:t xml:space="preserve"> </w:t>
      </w:r>
      <w:r w:rsidR="0089369B">
        <w:t>glükóz</w:t>
      </w:r>
      <w:r>
        <w:t>-monohidrátot tartalmaz.</w:t>
      </w:r>
    </w:p>
    <w:p w14:paraId="38AC7717" w14:textId="7797DA51" w:rsidR="00187CBB" w:rsidRDefault="00187CBB" w:rsidP="003834C8">
      <w:pPr>
        <w:pStyle w:val="Szvegtrzs"/>
        <w:tabs>
          <w:tab w:val="left" w:pos="0"/>
        </w:tabs>
      </w:pPr>
    </w:p>
    <w:p w14:paraId="725F08B8" w14:textId="2867076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segédanyagok teljes listáját lásd a 6.1 pontban.</w:t>
      </w:r>
    </w:p>
    <w:p w14:paraId="725F08B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5C222C88" w14:textId="77777777" w:rsidR="008A41B5" w:rsidRPr="003834C8" w:rsidRDefault="008A41B5" w:rsidP="003834C8">
      <w:pPr>
        <w:pStyle w:val="Szvegtrzs"/>
        <w:tabs>
          <w:tab w:val="left" w:pos="0"/>
        </w:tabs>
      </w:pPr>
    </w:p>
    <w:p w14:paraId="725F08BA" w14:textId="5D69FD23" w:rsidR="00DD077B" w:rsidRPr="003834C8" w:rsidRDefault="008A41B5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3</w:t>
      </w:r>
      <w:r w:rsidR="00366C32" w:rsidRPr="003834C8">
        <w:t>.</w:t>
      </w:r>
      <w:r w:rsidRPr="003834C8">
        <w:tab/>
      </w:r>
      <w:r w:rsidR="0043432F" w:rsidRPr="003834C8">
        <w:t>GYÓGYSZERFORMA</w:t>
      </w:r>
    </w:p>
    <w:p w14:paraId="725F08BB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BC" w14:textId="2E4BEB6D" w:rsidR="00DD077B" w:rsidRPr="003834C8" w:rsidRDefault="0043432F" w:rsidP="003834C8">
      <w:pPr>
        <w:pStyle w:val="Szvegtrzs"/>
        <w:tabs>
          <w:tab w:val="left" w:pos="0"/>
        </w:tabs>
      </w:pPr>
      <w:r w:rsidRPr="003834C8">
        <w:t>Filmtabletta</w:t>
      </w:r>
      <w:r w:rsidR="00D94333">
        <w:t>.</w:t>
      </w:r>
    </w:p>
    <w:p w14:paraId="725F08B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BE" w14:textId="02FC37E8" w:rsidR="00DD077B" w:rsidRPr="003834C8" w:rsidRDefault="00A44772" w:rsidP="003834C8">
      <w:pPr>
        <w:pStyle w:val="Szvegtrzs"/>
        <w:tabs>
          <w:tab w:val="left" w:pos="0"/>
        </w:tabs>
        <w:rPr>
          <w:u w:val="single"/>
        </w:rPr>
      </w:pPr>
      <w:r>
        <w:rPr>
          <w:u w:val="single"/>
        </w:rPr>
        <w:t>Oblonela</w:t>
      </w:r>
      <w:r w:rsidR="0043432F" w:rsidRPr="003834C8">
        <w:rPr>
          <w:u w:val="single"/>
        </w:rPr>
        <w:t xml:space="preserve"> 15</w:t>
      </w:r>
      <w:r w:rsidR="0050166E">
        <w:rPr>
          <w:u w:val="single"/>
        </w:rPr>
        <w:t> mg</w:t>
      </w:r>
      <w:r w:rsidR="0043432F" w:rsidRPr="003834C8">
        <w:rPr>
          <w:u w:val="single"/>
        </w:rPr>
        <w:t xml:space="preserve"> filmtabletta</w:t>
      </w:r>
    </w:p>
    <w:p w14:paraId="2AB55015" w14:textId="47904F3E" w:rsidR="00213B3B" w:rsidRPr="003834C8" w:rsidRDefault="00F26DEA" w:rsidP="003834C8">
      <w:r w:rsidRPr="00F26DEA">
        <w:t>Narancssárga, kerek, az egyik oldalon mélynyomású „15” jelzéssel ellátott, a másik oldalon jelzés nélküli, 6,6 mm ± 5% átmérőjű filmtabletta.</w:t>
      </w:r>
    </w:p>
    <w:p w14:paraId="0FAE7C09" w14:textId="77777777" w:rsidR="008A41B5" w:rsidRPr="003834C8" w:rsidRDefault="008A41B5" w:rsidP="003834C8">
      <w:pPr>
        <w:pStyle w:val="Szvegtrzs"/>
        <w:tabs>
          <w:tab w:val="left" w:pos="0"/>
        </w:tabs>
      </w:pPr>
    </w:p>
    <w:p w14:paraId="725F08C0" w14:textId="1AAC0590" w:rsidR="00DD077B" w:rsidRPr="003834C8" w:rsidRDefault="00A44772" w:rsidP="003834C8">
      <w:pPr>
        <w:pStyle w:val="Szvegtrzs"/>
        <w:tabs>
          <w:tab w:val="left" w:pos="0"/>
        </w:tabs>
        <w:rPr>
          <w:u w:val="single"/>
        </w:rPr>
      </w:pPr>
      <w:r>
        <w:rPr>
          <w:u w:val="single"/>
        </w:rPr>
        <w:t>Oblonela</w:t>
      </w:r>
      <w:r w:rsidR="0043432F" w:rsidRPr="003834C8">
        <w:rPr>
          <w:u w:val="single"/>
        </w:rPr>
        <w:t xml:space="preserve"> 30</w:t>
      </w:r>
      <w:r w:rsidR="0050166E">
        <w:rPr>
          <w:u w:val="single"/>
        </w:rPr>
        <w:t> mg</w:t>
      </w:r>
      <w:r w:rsidR="0043432F" w:rsidRPr="003834C8">
        <w:rPr>
          <w:u w:val="single"/>
        </w:rPr>
        <w:t xml:space="preserve"> filmtabletta</w:t>
      </w:r>
    </w:p>
    <w:p w14:paraId="7CFBA7F6" w14:textId="2A37BBD8" w:rsidR="00DE7B99" w:rsidRPr="003834C8" w:rsidRDefault="00740358" w:rsidP="00DE7B99">
      <w:r w:rsidRPr="00740358">
        <w:t>Rózsaszínű, kerek, az egyik oldalon mélynyomású „30” jelzéssel ellátott, a másik oldalon jelzés nélküli, 8,4 mm ± 5% átmérőjű filmtabletta</w:t>
      </w:r>
      <w:r w:rsidR="00DE7B99" w:rsidRPr="003834C8">
        <w:t>.</w:t>
      </w:r>
    </w:p>
    <w:p w14:paraId="33EA4189" w14:textId="77777777" w:rsidR="00DC32ED" w:rsidRPr="003834C8" w:rsidRDefault="00DC32ED" w:rsidP="003834C8">
      <w:pPr>
        <w:pStyle w:val="Szvegtrzs"/>
        <w:tabs>
          <w:tab w:val="left" w:pos="0"/>
        </w:tabs>
      </w:pPr>
    </w:p>
    <w:p w14:paraId="725F08C3" w14:textId="3917CCFC" w:rsidR="00DD077B" w:rsidRPr="003834C8" w:rsidRDefault="00A44772" w:rsidP="003834C8">
      <w:pPr>
        <w:pStyle w:val="Szvegtrzs"/>
        <w:tabs>
          <w:tab w:val="left" w:pos="0"/>
        </w:tabs>
        <w:rPr>
          <w:u w:val="single"/>
        </w:rPr>
      </w:pPr>
      <w:r>
        <w:rPr>
          <w:u w:val="single"/>
        </w:rPr>
        <w:t>Oblonela</w:t>
      </w:r>
      <w:r w:rsidR="0043432F" w:rsidRPr="003834C8">
        <w:rPr>
          <w:u w:val="single"/>
        </w:rPr>
        <w:t xml:space="preserve"> 60</w:t>
      </w:r>
      <w:r w:rsidR="0050166E">
        <w:rPr>
          <w:u w:val="single"/>
        </w:rPr>
        <w:t> mg</w:t>
      </w:r>
      <w:r w:rsidR="0043432F" w:rsidRPr="003834C8">
        <w:rPr>
          <w:u w:val="single"/>
        </w:rPr>
        <w:t xml:space="preserve"> filmtabletta</w:t>
      </w:r>
    </w:p>
    <w:p w14:paraId="7A630254" w14:textId="5E0D3CFF" w:rsidR="00DE7B99" w:rsidRPr="003834C8" w:rsidRDefault="005C2A10" w:rsidP="00DE7B99">
      <w:r w:rsidRPr="005C2A10">
        <w:t>Sárga, kerek, az egyik oldalon mélynyomású „60” jelzéssel ellátott, a másik oldalon jelzés nélküli, 10,4 mm ± 5% átmérőjű filmtabletta</w:t>
      </w:r>
      <w:r w:rsidR="00DE7B99" w:rsidRPr="003834C8">
        <w:t>.</w:t>
      </w:r>
    </w:p>
    <w:p w14:paraId="626BDCB8" w14:textId="77777777" w:rsidR="00F95B67" w:rsidRPr="003834C8" w:rsidRDefault="00F95B67" w:rsidP="003834C8">
      <w:pPr>
        <w:pStyle w:val="Szvegtrzs"/>
        <w:tabs>
          <w:tab w:val="left" w:pos="0"/>
        </w:tabs>
      </w:pPr>
    </w:p>
    <w:p w14:paraId="725F08C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C8" w14:textId="36504196" w:rsidR="00DD077B" w:rsidRPr="003834C8" w:rsidRDefault="008A41B5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4</w:t>
      </w:r>
      <w:r w:rsidR="00CC41A1" w:rsidRPr="003834C8">
        <w:t>.</w:t>
      </w:r>
      <w:r w:rsidR="00CC41A1" w:rsidRPr="003834C8">
        <w:tab/>
      </w:r>
      <w:r w:rsidR="0043432F" w:rsidRPr="003834C8">
        <w:t>KLINIKAI JELLEMZŐK</w:t>
      </w:r>
    </w:p>
    <w:p w14:paraId="725F08C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CA" w14:textId="186A26EF" w:rsidR="00DD077B" w:rsidRPr="003834C8" w:rsidRDefault="008A41B5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</w:t>
      </w:r>
      <w:r w:rsidR="009A02FD" w:rsidRPr="003834C8">
        <w:rPr>
          <w:b/>
        </w:rPr>
        <w:t>.1</w:t>
      </w:r>
      <w:r w:rsidR="009A02FD" w:rsidRPr="003834C8">
        <w:rPr>
          <w:b/>
        </w:rPr>
        <w:tab/>
      </w:r>
      <w:r w:rsidR="0043432F" w:rsidRPr="003834C8">
        <w:rPr>
          <w:b/>
        </w:rPr>
        <w:t>Terápiás javallatok</w:t>
      </w:r>
    </w:p>
    <w:p w14:paraId="725F08CB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CC" w14:textId="3CE9F713" w:rsidR="00DD077B" w:rsidRPr="003834C8" w:rsidRDefault="00E61485" w:rsidP="003834C8">
      <w:pPr>
        <w:pStyle w:val="Szvegtrzs"/>
        <w:tabs>
          <w:tab w:val="left" w:pos="0"/>
        </w:tabs>
      </w:pPr>
      <w:r>
        <w:t>Az Oblonel</w:t>
      </w:r>
      <w:r w:rsidR="00A44772">
        <w:t>a</w:t>
      </w:r>
      <w:r w:rsidR="0043432F" w:rsidRPr="003834C8">
        <w:t xml:space="preserve"> stroke és a szisztémás embolizáció megelőzésére javallott nem billentyű eredetű pitvarfibrillációban (non-valvular atrial fibrillation – NVAF) szenvedő, egy vagy több kockázati tényezővel rendelkező felnőtt betegeknél, amilyen például a pangásos szívelégtelenség, a hypert</w:t>
      </w:r>
      <w:r w:rsidR="006676AC" w:rsidRPr="003834C8">
        <w:t>onia</w:t>
      </w:r>
      <w:r w:rsidR="0043432F" w:rsidRPr="003834C8">
        <w:t>,</w:t>
      </w:r>
      <w:r w:rsidR="006676AC" w:rsidRPr="003834C8">
        <w:t xml:space="preserve"> </w:t>
      </w:r>
      <w:r w:rsidR="0043432F" w:rsidRPr="003834C8">
        <w:t>a 75 év vagy a</w:t>
      </w:r>
      <w:r w:rsidR="006676AC" w:rsidRPr="003834C8">
        <w:t xml:space="preserve"> </w:t>
      </w:r>
      <w:r w:rsidR="0043432F" w:rsidRPr="003834C8">
        <w:t>feletti életkor, a diabetes mellitus, korábbi stroke vagy transiens ischaemiás attack (TIA).</w:t>
      </w:r>
    </w:p>
    <w:p w14:paraId="725F08C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CE" w14:textId="5D1F67ED" w:rsidR="00DD077B" w:rsidRPr="003834C8" w:rsidRDefault="00E61485" w:rsidP="003834C8">
      <w:pPr>
        <w:pStyle w:val="Szvegtrzs"/>
        <w:tabs>
          <w:tab w:val="left" w:pos="0"/>
        </w:tabs>
      </w:pPr>
      <w:r>
        <w:t>Az Oblonel</w:t>
      </w:r>
      <w:r w:rsidR="00A44772">
        <w:t>a</w:t>
      </w:r>
      <w:r w:rsidR="0043432F" w:rsidRPr="003834C8">
        <w:t xml:space="preserve"> mélyvénás thrombosis (</w:t>
      </w:r>
      <w:r w:rsidR="006676AC" w:rsidRPr="003834C8">
        <w:t xml:space="preserve">MVT, angolul </w:t>
      </w:r>
      <w:r w:rsidR="0043432F" w:rsidRPr="003834C8">
        <w:t>deep vein thrombosis – DVT) és a pulmonalis embolia (PE) kezelésére és ismétlődő DVT és PE megelőzésére javallott felnőtteknél (a hemodinamikailag instabil, PE-ban szenvedő betegeket illetően lásd 4.4 pont).</w:t>
      </w:r>
    </w:p>
    <w:p w14:paraId="153FC86B" w14:textId="77777777" w:rsidR="008A41B5" w:rsidRPr="003834C8" w:rsidRDefault="008A41B5" w:rsidP="003834C8">
      <w:pPr>
        <w:pStyle w:val="Szvegtrzs"/>
        <w:tabs>
          <w:tab w:val="left" w:pos="0"/>
        </w:tabs>
      </w:pPr>
    </w:p>
    <w:p w14:paraId="725F08D0" w14:textId="17CB8410" w:rsidR="00DD077B" w:rsidRPr="003834C8" w:rsidRDefault="008A41B5" w:rsidP="003834C8">
      <w:pPr>
        <w:pStyle w:val="Listaszerbekezds"/>
        <w:tabs>
          <w:tab w:val="left" w:pos="567"/>
        </w:tabs>
        <w:ind w:left="567"/>
        <w:rPr>
          <w:b/>
        </w:rPr>
      </w:pPr>
      <w:r w:rsidRPr="00C751EF">
        <w:rPr>
          <w:b/>
        </w:rPr>
        <w:t>4</w:t>
      </w:r>
      <w:r w:rsidR="003F04C3" w:rsidRPr="00C751EF">
        <w:rPr>
          <w:b/>
        </w:rPr>
        <w:t>.</w:t>
      </w:r>
      <w:r w:rsidRPr="00C751EF">
        <w:rPr>
          <w:b/>
        </w:rPr>
        <w:t>2</w:t>
      </w:r>
      <w:r w:rsidRPr="00C751EF">
        <w:rPr>
          <w:b/>
        </w:rPr>
        <w:tab/>
      </w:r>
      <w:r w:rsidR="0043432F" w:rsidRPr="00C751EF">
        <w:rPr>
          <w:b/>
        </w:rPr>
        <w:t>Adagolás és alkalmazás</w:t>
      </w:r>
    </w:p>
    <w:p w14:paraId="725F08D1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8D2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Adagolás</w:t>
      </w:r>
    </w:p>
    <w:p w14:paraId="725F08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D4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A stroke és a szisztémás embolizáció megelőzése</w:t>
      </w:r>
    </w:p>
    <w:p w14:paraId="725F08D5" w14:textId="1AA48AC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ajánlott napi </w:t>
      </w:r>
      <w:r w:rsidR="006676AC" w:rsidRPr="003834C8">
        <w:t>dózisa</w:t>
      </w:r>
      <w:r w:rsidRPr="003834C8">
        <w:t xml:space="preserve"> 60</w:t>
      </w:r>
      <w:r w:rsidR="0050166E">
        <w:t> mg</w:t>
      </w:r>
      <w:r w:rsidRPr="003834C8">
        <w:t>.</w:t>
      </w:r>
    </w:p>
    <w:p w14:paraId="725F08D6" w14:textId="5597512E" w:rsidR="00DD077B" w:rsidRPr="003834C8" w:rsidRDefault="0043432F" w:rsidP="003834C8">
      <w:pPr>
        <w:pStyle w:val="Szvegtrzs"/>
        <w:tabs>
          <w:tab w:val="left" w:pos="0"/>
        </w:tabs>
      </w:pPr>
      <w:r w:rsidRPr="003834C8">
        <w:t>NVAF-ban szenvedő betegeknél hossz</w:t>
      </w:r>
      <w:r w:rsidR="006676AC" w:rsidRPr="003834C8">
        <w:t>ú távú</w:t>
      </w:r>
      <w:r w:rsidRPr="003834C8">
        <w:t xml:space="preserve"> edoxabán-kezelést kell alkalmazni.</w:t>
      </w:r>
    </w:p>
    <w:p w14:paraId="725F08D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D8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DVT kezelése, PE kezelése és ismétlődő DVT és PE (VTE) megelőzése</w:t>
      </w:r>
    </w:p>
    <w:p w14:paraId="725F08D9" w14:textId="3C5D6E8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ajánlott </w:t>
      </w:r>
      <w:r w:rsidR="006676AC" w:rsidRPr="003834C8">
        <w:t>dózisa</w:t>
      </w:r>
      <w:r w:rsidRPr="003834C8">
        <w:t xml:space="preserve"> 60</w:t>
      </w:r>
      <w:r w:rsidR="0050166E">
        <w:t> mg</w:t>
      </w:r>
      <w:r w:rsidRPr="003834C8">
        <w:t xml:space="preserve"> naponta egyszer a parenterális antikoaguláns legalább 5 napon keresztül történő kezdeti alkalmazását követően (lásd 5.1 pont). Az edoxabán és a kezdeti parenterális antikoaguláns nem adható egyidejűleg.</w:t>
      </w:r>
    </w:p>
    <w:p w14:paraId="725F08DA" w14:textId="6F17232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DVT és a PE (vénás thromboembolia – VTE) kezelésének és az ismétlődő VTE megelőzésének időtartamát egyénileg, a kezelés előnyeinek és a vérzés kockázatának gondos értékelését követően kell meghatározni (lásd 4.4 pont). A rövid </w:t>
      </w:r>
      <w:r w:rsidR="006676AC" w:rsidRPr="003834C8">
        <w:t xml:space="preserve">távú </w:t>
      </w:r>
      <w:r w:rsidRPr="003834C8">
        <w:t xml:space="preserve">terápiának (legalább 3 hónap) az átmeneti rizikófaktorokon (pl. műtét a közelmúltban, trauma, immobilizáció), míg a </w:t>
      </w:r>
      <w:r w:rsidR="00E930F7" w:rsidRPr="003834C8">
        <w:t>hosszú távú</w:t>
      </w:r>
      <w:r w:rsidRPr="003834C8">
        <w:t xml:space="preserve"> kezelésnek a folyamatosan fennálló kockázati tényezőkön vagy idiopátiás DVT-n illetve PE-n kell alapulnia.</w:t>
      </w:r>
    </w:p>
    <w:p w14:paraId="725F08D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DD" w14:textId="3F495AB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NVAF és VTE esetén az edoxabán ajánlott </w:t>
      </w:r>
      <w:r w:rsidR="000D195B" w:rsidRPr="003834C8">
        <w:t xml:space="preserve">dózisa </w:t>
      </w:r>
      <w:r w:rsidRPr="003834C8">
        <w:t>naponta egyszer 30</w:t>
      </w:r>
      <w:r w:rsidR="0050166E">
        <w:t> mg</w:t>
      </w:r>
      <w:r w:rsidRPr="003834C8">
        <w:t xml:space="preserve"> azoknál a betegeknél,</w:t>
      </w:r>
      <w:r w:rsidR="00B46CE5" w:rsidRPr="003834C8">
        <w:t xml:space="preserve"> </w:t>
      </w:r>
      <w:r w:rsidRPr="003834C8">
        <w:t>akiknél a következő klinikai tényezők közül egy vagy több fennáll:</w:t>
      </w:r>
    </w:p>
    <w:p w14:paraId="725F08DE" w14:textId="0FB8991F" w:rsidR="00DD077B" w:rsidRPr="003834C8" w:rsidRDefault="0043432F" w:rsidP="003834C8">
      <w:pPr>
        <w:pStyle w:val="Listaszerbekezds"/>
        <w:numPr>
          <w:ilvl w:val="0"/>
          <w:numId w:val="18"/>
        </w:numPr>
        <w:tabs>
          <w:tab w:val="left" w:pos="567"/>
        </w:tabs>
        <w:ind w:left="567"/>
      </w:pPr>
      <w:r w:rsidRPr="003834C8">
        <w:t xml:space="preserve">Közepes vagy súlyos </w:t>
      </w:r>
      <w:r w:rsidR="000D195B" w:rsidRPr="003834C8">
        <w:t xml:space="preserve">fokú </w:t>
      </w:r>
      <w:r w:rsidRPr="003834C8">
        <w:t>vesekárosodás (kreatinin-clearance (CrCl) 15</w:t>
      </w:r>
      <w:r w:rsidR="00F33697" w:rsidRPr="003834C8">
        <w:noBreakHyphen/>
      </w:r>
      <w:r w:rsidRPr="003834C8">
        <w:t>50</w:t>
      </w:r>
      <w:r w:rsidR="00F33697" w:rsidRPr="003834C8">
        <w:t> </w:t>
      </w:r>
      <w:r w:rsidRPr="003834C8">
        <w:t>ml/perc)</w:t>
      </w:r>
    </w:p>
    <w:p w14:paraId="725F08DF" w14:textId="3A8FA8F9" w:rsidR="00DD077B" w:rsidRPr="003834C8" w:rsidRDefault="0043432F" w:rsidP="003834C8">
      <w:pPr>
        <w:pStyle w:val="Listaszerbekezds"/>
        <w:numPr>
          <w:ilvl w:val="0"/>
          <w:numId w:val="18"/>
        </w:numPr>
        <w:tabs>
          <w:tab w:val="left" w:pos="567"/>
        </w:tabs>
        <w:ind w:left="567"/>
      </w:pPr>
      <w:r w:rsidRPr="003834C8">
        <w:t>Alacsony, legfeljebb 60</w:t>
      </w:r>
      <w:r w:rsidR="00F33697" w:rsidRPr="003834C8">
        <w:t> </w:t>
      </w:r>
      <w:r w:rsidRPr="003834C8">
        <w:t>kg-os testtömeg</w:t>
      </w:r>
    </w:p>
    <w:p w14:paraId="725F08E0" w14:textId="77777777" w:rsidR="00DD077B" w:rsidRPr="003834C8" w:rsidRDefault="0043432F" w:rsidP="003834C8">
      <w:pPr>
        <w:pStyle w:val="Listaszerbekezds"/>
        <w:numPr>
          <w:ilvl w:val="0"/>
          <w:numId w:val="18"/>
        </w:numPr>
        <w:tabs>
          <w:tab w:val="left" w:pos="567"/>
        </w:tabs>
        <w:ind w:left="567"/>
      </w:pPr>
      <w:r w:rsidRPr="003834C8">
        <w:t>A következő P-glikoprotein- (P-gp) inhibitorok egyidejű alkalmazása: ciklosporin, dronedaron, eritromicin, illetve ketokonazol.</w:t>
      </w:r>
    </w:p>
    <w:p w14:paraId="725F08E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E2" w14:textId="6CDB35F7" w:rsidR="00DD077B" w:rsidRPr="003834C8" w:rsidRDefault="00B46CE5" w:rsidP="003834C8">
      <w:pPr>
        <w:pStyle w:val="Cmsor1"/>
        <w:tabs>
          <w:tab w:val="left" w:pos="0"/>
          <w:tab w:val="left" w:pos="440"/>
        </w:tabs>
        <w:spacing w:before="0"/>
        <w:ind w:left="0"/>
      </w:pPr>
      <w:r w:rsidRPr="003834C8">
        <w:t xml:space="preserve">1. </w:t>
      </w:r>
      <w:r w:rsidR="0043432F" w:rsidRPr="003834C8">
        <w:t>táblázat: Az adagolás összefoglalása NVAF és VTE (DVT és PE) esetében</w:t>
      </w:r>
    </w:p>
    <w:tbl>
      <w:tblPr>
        <w:tblStyle w:val="TableNormal"/>
        <w:tblW w:w="932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7"/>
        <w:gridCol w:w="4236"/>
        <w:gridCol w:w="2268"/>
      </w:tblGrid>
      <w:tr w:rsidR="00DD077B" w:rsidRPr="003834C8" w14:paraId="725F08E4" w14:textId="77777777" w:rsidTr="003743A2">
        <w:trPr>
          <w:trHeight w:val="284"/>
        </w:trPr>
        <w:tc>
          <w:tcPr>
            <w:tcW w:w="9321" w:type="dxa"/>
            <w:gridSpan w:val="3"/>
            <w:shd w:val="clear" w:color="auto" w:fill="D9D9D9"/>
            <w:vAlign w:val="center"/>
          </w:tcPr>
          <w:p w14:paraId="725F08E3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Adagolási útmutató összefoglalása</w:t>
            </w:r>
          </w:p>
        </w:tc>
      </w:tr>
      <w:tr w:rsidR="00DD077B" w:rsidRPr="003834C8" w14:paraId="725F08E8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E5" w14:textId="37D705F1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 xml:space="preserve">Ajánlott </w:t>
            </w:r>
            <w:r w:rsidR="000D195B" w:rsidRPr="003834C8">
              <w:t>dózis</w:t>
            </w:r>
          </w:p>
        </w:tc>
        <w:tc>
          <w:tcPr>
            <w:tcW w:w="4236" w:type="dxa"/>
            <w:vAlign w:val="center"/>
          </w:tcPr>
          <w:p w14:paraId="725F08E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268" w:type="dxa"/>
            <w:vAlign w:val="center"/>
          </w:tcPr>
          <w:p w14:paraId="725F08E7" w14:textId="1EB326EB" w:rsidR="00DD077B" w:rsidRPr="003834C8" w:rsidRDefault="0043432F" w:rsidP="005E4409">
            <w:pPr>
              <w:pStyle w:val="TableParagraph"/>
              <w:tabs>
                <w:tab w:val="left" w:pos="0"/>
              </w:tabs>
            </w:pPr>
            <w:r w:rsidRPr="003834C8">
              <w:t>60</w:t>
            </w:r>
            <w:r w:rsidR="0050166E">
              <w:t> mg</w:t>
            </w:r>
            <w:r w:rsidRPr="003834C8">
              <w:t xml:space="preserve"> edoxabán</w:t>
            </w:r>
            <w:r w:rsidR="0007412D" w:rsidRPr="003834C8">
              <w:t xml:space="preserve"> n</w:t>
            </w:r>
            <w:r w:rsidRPr="003834C8">
              <w:t>aponta egyszer</w:t>
            </w:r>
          </w:p>
        </w:tc>
      </w:tr>
      <w:tr w:rsidR="00DD077B" w:rsidRPr="003834C8" w14:paraId="725F08EB" w14:textId="77777777" w:rsidTr="003743A2">
        <w:trPr>
          <w:trHeight w:val="284"/>
        </w:trPr>
        <w:tc>
          <w:tcPr>
            <w:tcW w:w="9321" w:type="dxa"/>
            <w:gridSpan w:val="3"/>
            <w:shd w:val="clear" w:color="auto" w:fill="D9D9D9"/>
            <w:vAlign w:val="center"/>
          </w:tcPr>
          <w:p w14:paraId="725F08EA" w14:textId="69E0653A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Adagolási javaslat azoknál a betegeknél, akiknél az alábbi klinikai tényezők közül egy vagy több</w:t>
            </w:r>
            <w:r w:rsidR="000F3C16" w:rsidRPr="003834C8">
              <w:t xml:space="preserve"> </w:t>
            </w:r>
            <w:r w:rsidRPr="003834C8">
              <w:t>fennáll:</w:t>
            </w:r>
          </w:p>
        </w:tc>
      </w:tr>
      <w:tr w:rsidR="00DD077B" w:rsidRPr="003834C8" w14:paraId="725F08F1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EC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Vesekárosodás</w:t>
            </w:r>
          </w:p>
        </w:tc>
        <w:tc>
          <w:tcPr>
            <w:tcW w:w="4236" w:type="dxa"/>
            <w:vAlign w:val="center"/>
          </w:tcPr>
          <w:p w14:paraId="725F08ED" w14:textId="4F0BB38F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i/>
              </w:rPr>
            </w:pPr>
            <w:r w:rsidRPr="003834C8">
              <w:rPr>
                <w:i/>
              </w:rPr>
              <w:t xml:space="preserve">Közepes vagy súlyos </w:t>
            </w:r>
            <w:r w:rsidR="009D6BB9" w:rsidRPr="003834C8">
              <w:rPr>
                <w:i/>
              </w:rPr>
              <w:t xml:space="preserve">fokú </w:t>
            </w:r>
            <w:r w:rsidRPr="003834C8">
              <w:rPr>
                <w:i/>
              </w:rPr>
              <w:t>(CrC</w:t>
            </w:r>
            <w:r w:rsidR="00F33697" w:rsidRPr="003834C8">
              <w:rPr>
                <w:i/>
              </w:rPr>
              <w:t>l 15</w:t>
            </w:r>
            <w:r w:rsidR="00F33697" w:rsidRPr="003834C8">
              <w:rPr>
                <w:i/>
              </w:rPr>
              <w:noBreakHyphen/>
            </w:r>
            <w:r w:rsidRPr="003834C8">
              <w:rPr>
                <w:i/>
              </w:rPr>
              <w:t>50</w:t>
            </w:r>
            <w:r w:rsidR="00F33697" w:rsidRPr="003834C8">
              <w:rPr>
                <w:i/>
              </w:rPr>
              <w:t> </w:t>
            </w:r>
            <w:r w:rsidRPr="003834C8">
              <w:rPr>
                <w:i/>
              </w:rPr>
              <w:t>ml/perc)</w:t>
            </w:r>
          </w:p>
        </w:tc>
        <w:tc>
          <w:tcPr>
            <w:tcW w:w="2268" w:type="dxa"/>
            <w:vMerge w:val="restart"/>
            <w:vAlign w:val="center"/>
          </w:tcPr>
          <w:p w14:paraId="725F08F0" w14:textId="51B19B5D" w:rsidR="00DD077B" w:rsidRPr="003834C8" w:rsidRDefault="0043432F" w:rsidP="005E4409">
            <w:pPr>
              <w:pStyle w:val="TableParagraph"/>
              <w:tabs>
                <w:tab w:val="left" w:pos="0"/>
              </w:tabs>
            </w:pPr>
            <w:r w:rsidRPr="003834C8">
              <w:t>30</w:t>
            </w:r>
            <w:r w:rsidR="0050166E">
              <w:t> mg</w:t>
            </w:r>
            <w:r w:rsidRPr="003834C8">
              <w:t xml:space="preserve"> edoxabán</w:t>
            </w:r>
            <w:r w:rsidR="0007412D" w:rsidRPr="003834C8">
              <w:t xml:space="preserve"> </w:t>
            </w:r>
            <w:r w:rsidRPr="003834C8">
              <w:t>naponta egyszer</w:t>
            </w:r>
          </w:p>
        </w:tc>
      </w:tr>
      <w:tr w:rsidR="00DD077B" w:rsidRPr="003834C8" w14:paraId="725F08F5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F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Alacsony testtömeg</w:t>
            </w:r>
          </w:p>
        </w:tc>
        <w:tc>
          <w:tcPr>
            <w:tcW w:w="4236" w:type="dxa"/>
            <w:vAlign w:val="center"/>
          </w:tcPr>
          <w:p w14:paraId="725F08F3" w14:textId="68EBD4C8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i/>
              </w:rPr>
            </w:pPr>
            <w:r w:rsidRPr="003834C8">
              <w:t>≤</w:t>
            </w:r>
            <w:r w:rsidR="00BA2141" w:rsidRPr="003834C8">
              <w:t> </w:t>
            </w:r>
            <w:r w:rsidRPr="003834C8">
              <w:rPr>
                <w:i/>
              </w:rPr>
              <w:t>60</w:t>
            </w:r>
            <w:r w:rsidR="00BA2141" w:rsidRPr="003834C8">
              <w:rPr>
                <w:i/>
              </w:rPr>
              <w:t> </w:t>
            </w:r>
            <w:r w:rsidRPr="003834C8">
              <w:rPr>
                <w:i/>
              </w:rPr>
              <w:t>kg</w:t>
            </w:r>
          </w:p>
        </w:tc>
        <w:tc>
          <w:tcPr>
            <w:tcW w:w="2268" w:type="dxa"/>
            <w:vMerge/>
            <w:tcBorders>
              <w:top w:val="nil"/>
            </w:tcBorders>
            <w:vAlign w:val="center"/>
          </w:tcPr>
          <w:p w14:paraId="725F08F4" w14:textId="77777777" w:rsidR="00DD077B" w:rsidRPr="003834C8" w:rsidRDefault="00DD077B" w:rsidP="003834C8">
            <w:pPr>
              <w:tabs>
                <w:tab w:val="left" w:pos="0"/>
              </w:tabs>
            </w:pPr>
          </w:p>
        </w:tc>
      </w:tr>
      <w:tr w:rsidR="00DD077B" w:rsidRPr="003834C8" w14:paraId="725F08F9" w14:textId="77777777" w:rsidTr="003743A2">
        <w:trPr>
          <w:trHeight w:val="284"/>
        </w:trPr>
        <w:tc>
          <w:tcPr>
            <w:tcW w:w="2817" w:type="dxa"/>
            <w:vAlign w:val="center"/>
          </w:tcPr>
          <w:p w14:paraId="725F08F6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P-gp-inhibitorok</w:t>
            </w:r>
          </w:p>
        </w:tc>
        <w:tc>
          <w:tcPr>
            <w:tcW w:w="4236" w:type="dxa"/>
            <w:vAlign w:val="center"/>
          </w:tcPr>
          <w:p w14:paraId="725F08F7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i/>
              </w:rPr>
            </w:pPr>
            <w:r w:rsidRPr="003834C8">
              <w:rPr>
                <w:i/>
              </w:rPr>
              <w:t>Ciklosporin, dronedaron, eritromicin, ketokonazol</w:t>
            </w:r>
          </w:p>
        </w:tc>
        <w:tc>
          <w:tcPr>
            <w:tcW w:w="2268" w:type="dxa"/>
            <w:vMerge/>
            <w:tcBorders>
              <w:top w:val="nil"/>
            </w:tcBorders>
            <w:vAlign w:val="center"/>
          </w:tcPr>
          <w:p w14:paraId="725F08F8" w14:textId="77777777" w:rsidR="00DD077B" w:rsidRPr="003834C8" w:rsidRDefault="00DD077B" w:rsidP="003834C8">
            <w:pPr>
              <w:tabs>
                <w:tab w:val="left" w:pos="0"/>
              </w:tabs>
            </w:pPr>
          </w:p>
        </w:tc>
      </w:tr>
    </w:tbl>
    <w:p w14:paraId="725F08FA" w14:textId="77777777" w:rsidR="00DD077B" w:rsidRPr="003834C8" w:rsidRDefault="00DD077B" w:rsidP="003834C8">
      <w:pPr>
        <w:pStyle w:val="Szvegtrzs"/>
        <w:tabs>
          <w:tab w:val="left" w:pos="0"/>
        </w:tabs>
        <w:rPr>
          <w:b/>
        </w:rPr>
      </w:pPr>
    </w:p>
    <w:p w14:paraId="725F08FB" w14:textId="0EF459F5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 xml:space="preserve">Kihagyott </w:t>
      </w:r>
      <w:r w:rsidR="00960D87" w:rsidRPr="003834C8">
        <w:rPr>
          <w:i/>
        </w:rPr>
        <w:t>dózis</w:t>
      </w:r>
    </w:p>
    <w:p w14:paraId="725F08FC" w14:textId="76B8781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Ha egy </w:t>
      </w:r>
      <w:r w:rsidR="00960D87" w:rsidRPr="003834C8">
        <w:t>dózis</w:t>
      </w:r>
      <w:r w:rsidRPr="003834C8">
        <w:t xml:space="preserve"> edoxabán kimarad, akkor a betegnek azonnal be kell azt vennie, és a következő napon a javallatnak megfelelően a napi egyszeri </w:t>
      </w:r>
      <w:r w:rsidR="00960D87" w:rsidRPr="003834C8">
        <w:t>dózis</w:t>
      </w:r>
      <w:r w:rsidRPr="003834C8">
        <w:t xml:space="preserve"> szedését kell folytatni. A betegnek nem szabad </w:t>
      </w:r>
      <w:r w:rsidR="00F24812">
        <w:t>ugyanazon a napon</w:t>
      </w:r>
      <w:r w:rsidRPr="003834C8">
        <w:t xml:space="preserve"> kétszeres </w:t>
      </w:r>
      <w:r w:rsidR="00960D87" w:rsidRPr="003834C8">
        <w:t>dózis</w:t>
      </w:r>
      <w:r w:rsidRPr="003834C8">
        <w:t xml:space="preserve">t bevennie a kihagyott </w:t>
      </w:r>
      <w:r w:rsidR="00960D87" w:rsidRPr="003834C8">
        <w:t>dózis</w:t>
      </w:r>
      <w:r w:rsidRPr="003834C8">
        <w:t xml:space="preserve"> pótlására.</w:t>
      </w:r>
    </w:p>
    <w:p w14:paraId="725F08F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8FE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Átállás edoxabánra és edoxabánról</w:t>
      </w:r>
    </w:p>
    <w:p w14:paraId="725F0900" w14:textId="4A5F627F" w:rsidR="00DD077B" w:rsidRPr="003834C8" w:rsidRDefault="0043432F" w:rsidP="003834C8">
      <w:pPr>
        <w:pStyle w:val="Szvegtrzs"/>
        <w:tabs>
          <w:tab w:val="left" w:pos="0"/>
        </w:tabs>
      </w:pPr>
      <w:r w:rsidRPr="003834C8">
        <w:t>NVAF-ban és VTE-ban szenvedő betegeknél fontos a folyamatos antikoaguláns kezelés. Előfordulhat</w:t>
      </w:r>
      <w:r w:rsidR="00B46CE5" w:rsidRPr="003834C8">
        <w:t xml:space="preserve"> </w:t>
      </w:r>
      <w:r w:rsidRPr="003834C8">
        <w:t>olyan helyzet, amikor indokolt az antikoaguláns kezelés módosítása (2. táblázat).</w:t>
      </w:r>
    </w:p>
    <w:p w14:paraId="5193A452" w14:textId="77777777" w:rsidR="00DD077B" w:rsidRPr="003834C8" w:rsidRDefault="00DD077B" w:rsidP="003834C8">
      <w:pPr>
        <w:tabs>
          <w:tab w:val="left" w:pos="0"/>
        </w:tabs>
      </w:pPr>
    </w:p>
    <w:p w14:paraId="5DCEEEE1" w14:textId="1A362F13" w:rsidR="00507477" w:rsidRPr="003834C8" w:rsidRDefault="00507477" w:rsidP="003834C8">
      <w:pPr>
        <w:pStyle w:val="Cmsor1"/>
        <w:keepNext/>
        <w:keepLines/>
        <w:tabs>
          <w:tab w:val="left" w:pos="0"/>
          <w:tab w:val="left" w:pos="440"/>
        </w:tabs>
        <w:spacing w:before="0"/>
        <w:ind w:left="0"/>
      </w:pPr>
      <w:r w:rsidRPr="003834C8">
        <w:t>2. táblázat: Antikoaguláns kezelés</w:t>
      </w:r>
      <w:r w:rsidR="00AD211E" w:rsidRPr="003834C8">
        <w:t>re való</w:t>
      </w:r>
      <w:r w:rsidRPr="003834C8">
        <w:t xml:space="preserve"> átállítás NVAF-ban és VTE-ban (DVT és PE)</w:t>
      </w:r>
    </w:p>
    <w:tbl>
      <w:tblPr>
        <w:tblW w:w="921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"/>
        <w:gridCol w:w="2485"/>
        <w:gridCol w:w="10"/>
        <w:gridCol w:w="2108"/>
        <w:gridCol w:w="7"/>
        <w:gridCol w:w="4586"/>
      </w:tblGrid>
      <w:tr w:rsidR="00B2466F" w:rsidRPr="003834C8" w14:paraId="5881A5AB" w14:textId="77777777" w:rsidTr="00DD20C5">
        <w:trPr>
          <w:trHeight w:val="57"/>
          <w:tblHeader/>
        </w:trPr>
        <w:tc>
          <w:tcPr>
            <w:tcW w:w="9211" w:type="dxa"/>
            <w:gridSpan w:val="6"/>
            <w:shd w:val="clear" w:color="auto" w:fill="D9D9D9"/>
            <w:vAlign w:val="center"/>
          </w:tcPr>
          <w:p w14:paraId="70064BA3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>Átállás edoxabánra</w:t>
            </w:r>
          </w:p>
        </w:tc>
      </w:tr>
      <w:tr w:rsidR="00B2466F" w:rsidRPr="003834C8" w14:paraId="373B71AF" w14:textId="77777777" w:rsidTr="00DD20C5">
        <w:trPr>
          <w:trHeight w:val="57"/>
          <w:tblHeader/>
        </w:trPr>
        <w:tc>
          <w:tcPr>
            <w:tcW w:w="2500" w:type="dxa"/>
            <w:gridSpan w:val="2"/>
            <w:vAlign w:val="center"/>
          </w:tcPr>
          <w:p w14:paraId="139B28FC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>Erről a gyógyszerről</w:t>
            </w:r>
          </w:p>
        </w:tc>
        <w:tc>
          <w:tcPr>
            <w:tcW w:w="2118" w:type="dxa"/>
            <w:gridSpan w:val="2"/>
            <w:vAlign w:val="center"/>
          </w:tcPr>
          <w:p w14:paraId="42800F48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>Erre a gyógyszerre</w:t>
            </w:r>
          </w:p>
        </w:tc>
        <w:tc>
          <w:tcPr>
            <w:tcW w:w="4593" w:type="dxa"/>
            <w:gridSpan w:val="2"/>
            <w:vAlign w:val="center"/>
          </w:tcPr>
          <w:p w14:paraId="45D71ECA" w14:textId="77777777" w:rsidR="00EE620B" w:rsidRPr="003834C8" w:rsidRDefault="00EE620B" w:rsidP="003834C8">
            <w:pPr>
              <w:widowControl/>
              <w:autoSpaceDE/>
              <w:autoSpaceDN/>
              <w:rPr>
                <w:b/>
              </w:rPr>
            </w:pPr>
            <w:r w:rsidRPr="003834C8">
              <w:rPr>
                <w:b/>
              </w:rPr>
              <w:t>Ajánlás</w:t>
            </w:r>
          </w:p>
        </w:tc>
      </w:tr>
      <w:tr w:rsidR="00B2466F" w:rsidRPr="003834C8" w14:paraId="1874468F" w14:textId="77777777" w:rsidTr="00DD20C5">
        <w:trPr>
          <w:trHeight w:val="57"/>
        </w:trPr>
        <w:tc>
          <w:tcPr>
            <w:tcW w:w="2500" w:type="dxa"/>
            <w:gridSpan w:val="2"/>
            <w:vAlign w:val="center"/>
          </w:tcPr>
          <w:p w14:paraId="678BE2B7" w14:textId="2BB8B0FD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K-vitamin</w:t>
            </w:r>
            <w:r w:rsidR="001E446C" w:rsidRPr="003834C8">
              <w:t>-</w:t>
            </w:r>
            <w:r w:rsidRPr="003834C8">
              <w:t>antagonista (KVA)</w:t>
            </w:r>
          </w:p>
        </w:tc>
        <w:tc>
          <w:tcPr>
            <w:tcW w:w="2118" w:type="dxa"/>
            <w:gridSpan w:val="2"/>
            <w:vAlign w:val="center"/>
          </w:tcPr>
          <w:p w14:paraId="7C857BAA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Edoxabán</w:t>
            </w:r>
          </w:p>
        </w:tc>
        <w:tc>
          <w:tcPr>
            <w:tcW w:w="4593" w:type="dxa"/>
            <w:gridSpan w:val="2"/>
            <w:vAlign w:val="center"/>
          </w:tcPr>
          <w:p w14:paraId="27E62C42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KVA leállítása, és az edoxabán-kezelés megkezdése, amikor a nemzetközi normalizált arány (INR) ≤ 2,5.</w:t>
            </w:r>
          </w:p>
        </w:tc>
      </w:tr>
      <w:tr w:rsidR="00B2466F" w:rsidRPr="003834C8" w14:paraId="518DFC8A" w14:textId="77777777" w:rsidTr="00DD20C5">
        <w:trPr>
          <w:trHeight w:val="57"/>
        </w:trPr>
        <w:tc>
          <w:tcPr>
            <w:tcW w:w="2500" w:type="dxa"/>
            <w:gridSpan w:val="2"/>
            <w:vAlign w:val="center"/>
          </w:tcPr>
          <w:p w14:paraId="676F6714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Orális antikoaguláns, a KVA kivételével</w:t>
            </w:r>
          </w:p>
          <w:p w14:paraId="37D26B38" w14:textId="77777777" w:rsidR="00EE620B" w:rsidRPr="003834C8" w:rsidRDefault="00EE620B" w:rsidP="003834C8">
            <w:pPr>
              <w:widowControl/>
              <w:numPr>
                <w:ilvl w:val="0"/>
                <w:numId w:val="13"/>
              </w:numPr>
              <w:autoSpaceDE/>
              <w:autoSpaceDN/>
            </w:pPr>
            <w:r w:rsidRPr="003834C8">
              <w:t>dabigatrán</w:t>
            </w:r>
          </w:p>
          <w:p w14:paraId="1E680DFA" w14:textId="77777777" w:rsidR="00EE620B" w:rsidRPr="003834C8" w:rsidRDefault="00EE620B" w:rsidP="003834C8">
            <w:pPr>
              <w:widowControl/>
              <w:numPr>
                <w:ilvl w:val="0"/>
                <w:numId w:val="13"/>
              </w:numPr>
              <w:autoSpaceDE/>
              <w:autoSpaceDN/>
            </w:pPr>
            <w:r w:rsidRPr="003834C8">
              <w:t>rivaroxabán</w:t>
            </w:r>
          </w:p>
          <w:p w14:paraId="18ECE000" w14:textId="77777777" w:rsidR="00EE620B" w:rsidRPr="003834C8" w:rsidRDefault="00EE620B" w:rsidP="003834C8">
            <w:pPr>
              <w:widowControl/>
              <w:numPr>
                <w:ilvl w:val="0"/>
                <w:numId w:val="13"/>
              </w:numPr>
              <w:autoSpaceDE/>
              <w:autoSpaceDN/>
            </w:pPr>
            <w:r w:rsidRPr="003834C8">
              <w:lastRenderedPageBreak/>
              <w:t>apixabán</w:t>
            </w:r>
          </w:p>
        </w:tc>
        <w:tc>
          <w:tcPr>
            <w:tcW w:w="2118" w:type="dxa"/>
            <w:gridSpan w:val="2"/>
            <w:vAlign w:val="center"/>
          </w:tcPr>
          <w:p w14:paraId="525A31F9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lastRenderedPageBreak/>
              <w:t>Edoxabán</w:t>
            </w:r>
          </w:p>
        </w:tc>
        <w:tc>
          <w:tcPr>
            <w:tcW w:w="4593" w:type="dxa"/>
            <w:gridSpan w:val="2"/>
            <w:vAlign w:val="center"/>
          </w:tcPr>
          <w:p w14:paraId="693BEC5B" w14:textId="676A9F84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Dabigatrán, rivaroxabán vagy apixabán leállítása, és az edoxabán-kezelés megkezdése a következő </w:t>
            </w:r>
            <w:r w:rsidR="00AD211E" w:rsidRPr="003834C8">
              <w:t>dózis</w:t>
            </w:r>
            <w:r w:rsidRPr="003834C8">
              <w:t xml:space="preserve"> orális antikoaguláns időpontjában (lásd 5.1 pont).</w:t>
            </w:r>
          </w:p>
        </w:tc>
      </w:tr>
      <w:tr w:rsidR="00B2466F" w:rsidRPr="003834C8" w14:paraId="2BDFCCF9" w14:textId="77777777" w:rsidTr="00DD20C5">
        <w:trPr>
          <w:trHeight w:val="57"/>
        </w:trPr>
        <w:tc>
          <w:tcPr>
            <w:tcW w:w="2500" w:type="dxa"/>
            <w:gridSpan w:val="2"/>
            <w:vMerge w:val="restart"/>
            <w:vAlign w:val="center"/>
          </w:tcPr>
          <w:p w14:paraId="55086F82" w14:textId="1DE391DA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Parenterális antikoaguláns</w:t>
            </w:r>
          </w:p>
        </w:tc>
        <w:tc>
          <w:tcPr>
            <w:tcW w:w="2118" w:type="dxa"/>
            <w:gridSpan w:val="2"/>
            <w:vMerge w:val="restart"/>
            <w:vAlign w:val="center"/>
          </w:tcPr>
          <w:p w14:paraId="3FAAB27B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Edoxabán</w:t>
            </w:r>
          </w:p>
        </w:tc>
        <w:tc>
          <w:tcPr>
            <w:tcW w:w="4593" w:type="dxa"/>
            <w:gridSpan w:val="2"/>
            <w:vAlign w:val="center"/>
          </w:tcPr>
          <w:p w14:paraId="128DF3E0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Ezeket a gyógyszereket nem szabad egyidejűleg alkalmazni.</w:t>
            </w:r>
          </w:p>
          <w:p w14:paraId="6AD18E05" w14:textId="60410C4B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Subcutan antikoaguláns (</w:t>
            </w:r>
            <w:r w:rsidR="0034089B">
              <w:t>például</w:t>
            </w:r>
            <w:r w:rsidRPr="003834C8">
              <w:t xml:space="preserve"> </w:t>
            </w:r>
            <w:r w:rsidR="007D5AB9">
              <w:t xml:space="preserve">kis molekulatömegű </w:t>
            </w:r>
            <w:r w:rsidRPr="003834C8">
              <w:t xml:space="preserve">heparin [LMWH], fondaparinux): Subcutan antikoaguláns leállítása, és az edoxabán-kezelés megkezdése a subcutan antikoaguláns következő tervezett </w:t>
            </w:r>
            <w:r w:rsidR="001E446C" w:rsidRPr="003834C8">
              <w:t>dózis</w:t>
            </w:r>
            <w:r w:rsidRPr="003834C8">
              <w:t>ának időpontjában.</w:t>
            </w:r>
          </w:p>
        </w:tc>
      </w:tr>
      <w:tr w:rsidR="00B2466F" w:rsidRPr="003834C8" w14:paraId="24D2A114" w14:textId="77777777" w:rsidTr="00DD20C5">
        <w:trPr>
          <w:trHeight w:val="905"/>
        </w:trPr>
        <w:tc>
          <w:tcPr>
            <w:tcW w:w="2500" w:type="dxa"/>
            <w:gridSpan w:val="2"/>
            <w:vMerge/>
            <w:tcBorders>
              <w:top w:val="nil"/>
            </w:tcBorders>
            <w:vAlign w:val="center"/>
          </w:tcPr>
          <w:p w14:paraId="003B4BF2" w14:textId="77777777" w:rsidR="00EE620B" w:rsidRPr="003834C8" w:rsidRDefault="00EE620B" w:rsidP="003834C8">
            <w:pPr>
              <w:widowControl/>
              <w:autoSpaceDE/>
              <w:autoSpaceDN/>
            </w:pPr>
          </w:p>
        </w:tc>
        <w:tc>
          <w:tcPr>
            <w:tcW w:w="2118" w:type="dxa"/>
            <w:gridSpan w:val="2"/>
            <w:vMerge/>
            <w:tcBorders>
              <w:top w:val="nil"/>
            </w:tcBorders>
            <w:vAlign w:val="center"/>
          </w:tcPr>
          <w:p w14:paraId="7DDD3C9B" w14:textId="77777777" w:rsidR="00EE620B" w:rsidRPr="003834C8" w:rsidRDefault="00EE620B" w:rsidP="003834C8">
            <w:pPr>
              <w:widowControl/>
              <w:autoSpaceDE/>
              <w:autoSpaceDN/>
            </w:pPr>
          </w:p>
        </w:tc>
        <w:tc>
          <w:tcPr>
            <w:tcW w:w="4593" w:type="dxa"/>
            <w:gridSpan w:val="2"/>
            <w:vAlign w:val="center"/>
          </w:tcPr>
          <w:p w14:paraId="2B6B0145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Intravénás nem frakcionált heparin (UFH): Infúzió leállítása, és 4 óra múlva az edoxabán-kezelés megkezdése.</w:t>
            </w:r>
          </w:p>
        </w:tc>
      </w:tr>
      <w:tr w:rsidR="00DD20C5" w:rsidRPr="003834C8" w14:paraId="7833E9CD" w14:textId="77777777" w:rsidTr="00DD20C5">
        <w:trPr>
          <w:trHeight w:val="187"/>
        </w:trPr>
        <w:tc>
          <w:tcPr>
            <w:tcW w:w="9211" w:type="dxa"/>
            <w:gridSpan w:val="6"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14:paraId="4973BD59" w14:textId="6DDA56A0" w:rsidR="00DD20C5" w:rsidRPr="00DD20C5" w:rsidRDefault="00DD20C5" w:rsidP="00DD20C5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>Átállás edoxabánról</w:t>
            </w:r>
          </w:p>
        </w:tc>
      </w:tr>
      <w:tr w:rsidR="00DD20C5" w:rsidRPr="003834C8" w14:paraId="34DF5ABF" w14:textId="77777777" w:rsidTr="00DD20C5">
        <w:trPr>
          <w:trHeight w:val="278"/>
        </w:trPr>
        <w:tc>
          <w:tcPr>
            <w:tcW w:w="2500" w:type="dxa"/>
            <w:gridSpan w:val="2"/>
            <w:tcBorders>
              <w:top w:val="nil"/>
            </w:tcBorders>
          </w:tcPr>
          <w:p w14:paraId="3A06F369" w14:textId="586F8A2E" w:rsidR="00DD20C5" w:rsidRPr="00DD20C5" w:rsidRDefault="00DD20C5" w:rsidP="00DD20C5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Erről a gyógyszerről </w:t>
            </w:r>
          </w:p>
        </w:tc>
        <w:tc>
          <w:tcPr>
            <w:tcW w:w="2118" w:type="dxa"/>
            <w:gridSpan w:val="2"/>
            <w:tcBorders>
              <w:top w:val="nil"/>
            </w:tcBorders>
          </w:tcPr>
          <w:p w14:paraId="37B4D8DD" w14:textId="6167CF55" w:rsidR="00DD20C5" w:rsidRPr="00DD20C5" w:rsidRDefault="00DD20C5" w:rsidP="00DD20C5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Erre a gyógyszerre </w:t>
            </w:r>
          </w:p>
        </w:tc>
        <w:tc>
          <w:tcPr>
            <w:tcW w:w="4593" w:type="dxa"/>
            <w:gridSpan w:val="2"/>
          </w:tcPr>
          <w:p w14:paraId="2FF06855" w14:textId="4799EF0C" w:rsidR="00DD20C5" w:rsidRPr="00DD20C5" w:rsidRDefault="00DD20C5" w:rsidP="00DD20C5">
            <w:pPr>
              <w:pStyle w:val="Default"/>
              <w:rPr>
                <w:color w:val="auto"/>
                <w:sz w:val="22"/>
                <w:szCs w:val="22"/>
                <w:lang w:val="hu-HU"/>
              </w:rPr>
            </w:pPr>
            <w:r w:rsidRPr="003834C8"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Ajánlás </w:t>
            </w:r>
          </w:p>
        </w:tc>
      </w:tr>
      <w:tr w:rsidR="00B2466F" w:rsidRPr="003834C8" w14:paraId="76B1FB50" w14:textId="77777777" w:rsidTr="00B2466F">
        <w:trPr>
          <w:trHeight w:val="57"/>
        </w:trPr>
        <w:tc>
          <w:tcPr>
            <w:tcW w:w="2510" w:type="dxa"/>
            <w:gridSpan w:val="3"/>
            <w:vAlign w:val="center"/>
          </w:tcPr>
          <w:p w14:paraId="3251C0CB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Edoxabán</w:t>
            </w:r>
          </w:p>
        </w:tc>
        <w:tc>
          <w:tcPr>
            <w:tcW w:w="2115" w:type="dxa"/>
            <w:gridSpan w:val="2"/>
            <w:vAlign w:val="center"/>
          </w:tcPr>
          <w:p w14:paraId="26DCDDF3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KVA</w:t>
            </w:r>
          </w:p>
        </w:tc>
        <w:tc>
          <w:tcPr>
            <w:tcW w:w="4586" w:type="dxa"/>
            <w:tcBorders>
              <w:bottom w:val="single" w:sz="4" w:space="0" w:color="000000"/>
            </w:tcBorders>
            <w:vAlign w:val="center"/>
          </w:tcPr>
          <w:p w14:paraId="023B6EB3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Az edoxabánról KVA-ra történő átállás során fennáll az elégtelen véralvadásgátlás lehetősége. Egy másik antikoagulánsra történő átállás alatt folyamatos, megfelelő véralvadásgátlást kell biztosítani.</w:t>
            </w:r>
          </w:p>
          <w:p w14:paraId="3D127E14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097B8FD3" w14:textId="192B200E" w:rsidR="00EE620B" w:rsidRPr="003834C8" w:rsidRDefault="00FA376B" w:rsidP="003834C8">
            <w:pPr>
              <w:widowControl/>
              <w:autoSpaceDE/>
              <w:autoSpaceDN/>
            </w:pPr>
            <w:r w:rsidRPr="005E4409">
              <w:rPr>
                <w:i/>
                <w:iCs/>
              </w:rPr>
              <w:t>Szájon át történő adagolás</w:t>
            </w:r>
            <w:r w:rsidR="00EE620B" w:rsidRPr="003834C8">
              <w:t>: a jelenleg 60</w:t>
            </w:r>
            <w:r w:rsidR="0050166E">
              <w:t> mg</w:t>
            </w:r>
            <w:r w:rsidR="00EE620B" w:rsidRPr="003834C8">
              <w:t xml:space="preserve">-os </w:t>
            </w:r>
            <w:r w:rsidR="00292D22" w:rsidRPr="003834C8">
              <w:t>dózis</w:t>
            </w:r>
            <w:r w:rsidR="00EE620B" w:rsidRPr="003834C8">
              <w:t>t szedő betegeknek napi egyszer 30</w:t>
            </w:r>
            <w:r w:rsidR="0050166E">
              <w:t> mg</w:t>
            </w:r>
            <w:r w:rsidR="00EE620B" w:rsidRPr="003834C8">
              <w:t xml:space="preserve"> edoxabánt és a megfelelő </w:t>
            </w:r>
            <w:r w:rsidR="00292D22" w:rsidRPr="003834C8">
              <w:t>dózis</w:t>
            </w:r>
            <w:r w:rsidR="00EE620B" w:rsidRPr="003834C8">
              <w:t>ú KVA-t kell adni.</w:t>
            </w:r>
          </w:p>
          <w:p w14:paraId="644951DD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6BD67EAC" w14:textId="62A6A4FE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 jelenleg (az alábbi klinikai tényezők közül egy vagy több miatt: közepes vagy súlyos </w:t>
            </w:r>
            <w:r w:rsidR="00292D22" w:rsidRPr="003834C8">
              <w:t xml:space="preserve">fokú </w:t>
            </w:r>
            <w:r w:rsidRPr="003834C8">
              <w:t>vesekárosodás (CrCl 15–50 ml/perc), alacsony testtömeg vagy bizonyos P-gp-inhibitorokkal való együttadás) 30</w:t>
            </w:r>
            <w:r w:rsidR="0050166E">
              <w:t> mg</w:t>
            </w:r>
            <w:r w:rsidRPr="003834C8">
              <w:t xml:space="preserve">-os </w:t>
            </w:r>
            <w:r w:rsidR="00724BE0" w:rsidRPr="003834C8">
              <w:t>dózis</w:t>
            </w:r>
            <w:r w:rsidRPr="003834C8">
              <w:t>t szedő betegeknek napi egyszer 15</w:t>
            </w:r>
            <w:r w:rsidR="0050166E">
              <w:t> mg</w:t>
            </w:r>
            <w:r w:rsidRPr="003834C8">
              <w:t xml:space="preserve"> edoxabánt és megfelelő </w:t>
            </w:r>
            <w:r w:rsidR="00724BE0" w:rsidRPr="003834C8">
              <w:t>dózis</w:t>
            </w:r>
            <w:r w:rsidRPr="003834C8">
              <w:t>ú KVA-t kell adni.</w:t>
            </w:r>
          </w:p>
          <w:p w14:paraId="1EC68233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407D9FCA" w14:textId="2F8BA674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A betegek a 2 és 3 közötti stabil INR-érték gyors elérése érdekében nem vehetnek be telítő KVA</w:t>
            </w:r>
            <w:r w:rsidR="00724BE0" w:rsidRPr="003834C8">
              <w:t>-</w:t>
            </w:r>
            <w:r w:rsidRPr="003834C8">
              <w:t xml:space="preserve">dózist. A KVA fenntartó </w:t>
            </w:r>
            <w:r w:rsidR="00724BE0" w:rsidRPr="003834C8">
              <w:t>dózis</w:t>
            </w:r>
            <w:r w:rsidRPr="003834C8">
              <w:t>át, és azt, hogy a beteg korábban szedett-e KVA-t, ajánlott figyelembe venni, vagy a helyi gyakorlatnak megfelelő, érvényben lévő INR-alapú</w:t>
            </w:r>
          </w:p>
          <w:p w14:paraId="2E67EA3E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KVA-kezelési algoritmust kell alkalmazni.</w:t>
            </w:r>
          </w:p>
          <w:p w14:paraId="6392088A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745E82ED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Az edoxabán adását abba kell hagyni, ha elérték a ≥ 2,0 INR-értéket. A legtöbb betegnél (85%) sikerül elérni a ≥ 2,0 INR-értéket az edoxabán és KVA 14 napig történő egyidejű alkalmazásával. 14 nap után ajánlott az edoxabán leállítása, és a KVA titrálásának a 2 és 3 közötti INR-érték eléréséig történő folytatása.</w:t>
            </w:r>
          </w:p>
          <w:p w14:paraId="68D1B468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5002F2CA" w14:textId="1B7D8AE2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Az egyidejű kezelés első 14 napja alatt ajánlott az INR értékét legalább háromszor, közvetlenül az edoxabán napi </w:t>
            </w:r>
            <w:r w:rsidR="00724BE0" w:rsidRPr="003834C8">
              <w:t>dózisá</w:t>
            </w:r>
            <w:r w:rsidRPr="003834C8">
              <w:t xml:space="preserve">nak bevétele előtt meghatározni, hogy az edoxabán INR-értékre </w:t>
            </w:r>
            <w:r w:rsidRPr="003834C8">
              <w:lastRenderedPageBreak/>
              <w:t>gyakorolt hatása minimális legyen. Edoxabán és KVA egyidejű alkalmazása akár 46%-kal is növelheti az edoxabán adagolását követően mért INR értékét.</w:t>
            </w:r>
          </w:p>
          <w:p w14:paraId="1C2916A3" w14:textId="77777777" w:rsidR="00EE620B" w:rsidRPr="003834C8" w:rsidRDefault="00EE620B" w:rsidP="003834C8">
            <w:pPr>
              <w:widowControl/>
              <w:autoSpaceDE/>
              <w:autoSpaceDN/>
            </w:pPr>
          </w:p>
          <w:p w14:paraId="6F562A3A" w14:textId="1ED628A3" w:rsidR="00EE620B" w:rsidRPr="003834C8" w:rsidRDefault="00EE620B" w:rsidP="003834C8">
            <w:pPr>
              <w:widowControl/>
              <w:autoSpaceDE/>
              <w:autoSpaceDN/>
            </w:pPr>
            <w:r w:rsidRPr="005E4409">
              <w:rPr>
                <w:i/>
                <w:iCs/>
              </w:rPr>
              <w:t xml:space="preserve">Parenterális </w:t>
            </w:r>
            <w:r w:rsidR="00724BE0" w:rsidRPr="005E4409">
              <w:rPr>
                <w:i/>
                <w:iCs/>
              </w:rPr>
              <w:t>adagolás</w:t>
            </w:r>
            <w:r w:rsidRPr="003834C8">
              <w:t xml:space="preserve">: Az edoxabán alkalmazását le kell állítani, és az edoxabán következő tervezett </w:t>
            </w:r>
            <w:r w:rsidR="005539D1" w:rsidRPr="003834C8">
              <w:t>dózis</w:t>
            </w:r>
            <w:r w:rsidRPr="003834C8">
              <w:t>ának időpontjában egy parenterális antikoagulánst és KVA-t kell alkalmazni. Ha az INR már stabilan ≥ 2,0, a parenterális antikoagulánst le kell állítani, és a KVA adását folytatni kell.</w:t>
            </w:r>
          </w:p>
        </w:tc>
      </w:tr>
      <w:tr w:rsidR="00B2466F" w:rsidRPr="003834C8" w14:paraId="6EDEC4C9" w14:textId="77777777" w:rsidTr="00B2466F">
        <w:trPr>
          <w:gridBefore w:val="1"/>
          <w:wBefore w:w="15" w:type="dxa"/>
          <w:trHeight w:val="57"/>
        </w:trPr>
        <w:tc>
          <w:tcPr>
            <w:tcW w:w="2495" w:type="dxa"/>
            <w:gridSpan w:val="2"/>
            <w:tcBorders>
              <w:bottom w:val="single" w:sz="4" w:space="0" w:color="000000"/>
            </w:tcBorders>
            <w:vAlign w:val="center"/>
          </w:tcPr>
          <w:p w14:paraId="5EA15C48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lastRenderedPageBreak/>
              <w:t>Edoxabán</w:t>
            </w:r>
          </w:p>
        </w:tc>
        <w:tc>
          <w:tcPr>
            <w:tcW w:w="2115" w:type="dxa"/>
            <w:gridSpan w:val="2"/>
            <w:vAlign w:val="center"/>
          </w:tcPr>
          <w:p w14:paraId="09729A77" w14:textId="12F526FF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Orális antikoaguláns KVA kivételével</w:t>
            </w:r>
          </w:p>
        </w:tc>
        <w:tc>
          <w:tcPr>
            <w:tcW w:w="4586" w:type="dxa"/>
            <w:vAlign w:val="center"/>
          </w:tcPr>
          <w:p w14:paraId="0C9C6F52" w14:textId="18E1C7F0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Az edoxabán alkalmazását le kell állítani, és az edoxabán következő tervezett </w:t>
            </w:r>
            <w:r w:rsidR="005539D1" w:rsidRPr="003834C8">
              <w:t>dózis</w:t>
            </w:r>
            <w:r w:rsidRPr="003834C8">
              <w:t>ának időpontjában el kell kezdeni a nem KVA antikoaguláns alkalmazását.</w:t>
            </w:r>
          </w:p>
        </w:tc>
      </w:tr>
      <w:tr w:rsidR="00B2466F" w:rsidRPr="003834C8" w14:paraId="1B3ED325" w14:textId="77777777" w:rsidTr="00B2466F">
        <w:trPr>
          <w:gridBefore w:val="1"/>
          <w:wBefore w:w="15" w:type="dxa"/>
          <w:trHeight w:val="57"/>
        </w:trPr>
        <w:tc>
          <w:tcPr>
            <w:tcW w:w="2495" w:type="dxa"/>
            <w:gridSpan w:val="2"/>
            <w:tcBorders>
              <w:top w:val="single" w:sz="4" w:space="0" w:color="000000"/>
            </w:tcBorders>
            <w:vAlign w:val="center"/>
          </w:tcPr>
          <w:p w14:paraId="1B136F62" w14:textId="77777777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Edoxabán</w:t>
            </w:r>
          </w:p>
        </w:tc>
        <w:tc>
          <w:tcPr>
            <w:tcW w:w="2115" w:type="dxa"/>
            <w:gridSpan w:val="2"/>
            <w:vAlign w:val="center"/>
          </w:tcPr>
          <w:p w14:paraId="7287DC50" w14:textId="61E5B51D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>Parenterális antikoaguláns</w:t>
            </w:r>
          </w:p>
        </w:tc>
        <w:tc>
          <w:tcPr>
            <w:tcW w:w="4586" w:type="dxa"/>
            <w:vAlign w:val="center"/>
          </w:tcPr>
          <w:p w14:paraId="611BD6D5" w14:textId="28C00A0C" w:rsidR="00EE620B" w:rsidRPr="003834C8" w:rsidRDefault="00EE620B" w:rsidP="003834C8">
            <w:pPr>
              <w:widowControl/>
              <w:autoSpaceDE/>
              <w:autoSpaceDN/>
            </w:pPr>
            <w:r w:rsidRPr="003834C8">
              <w:t xml:space="preserve">Ezeket a gyógyszereket nem szabad egyidejűleg alkalmazni. Az edoxabán alkalmazását le kell állítani, és az edoxabán következő tervezett </w:t>
            </w:r>
            <w:r w:rsidR="00003D77" w:rsidRPr="003834C8">
              <w:t>dózis</w:t>
            </w:r>
            <w:r w:rsidRPr="003834C8">
              <w:t>ának időpontjában el kell kezdeni a parenterális antikoaguláns alkalmazását.</w:t>
            </w:r>
          </w:p>
        </w:tc>
      </w:tr>
    </w:tbl>
    <w:p w14:paraId="70C52942" w14:textId="77777777" w:rsidR="00EE620B" w:rsidRPr="003834C8" w:rsidRDefault="00EE620B" w:rsidP="003834C8">
      <w:pPr>
        <w:pStyle w:val="TableParagraph"/>
        <w:tabs>
          <w:tab w:val="left" w:pos="170"/>
          <w:tab w:val="left" w:pos="284"/>
        </w:tabs>
      </w:pPr>
    </w:p>
    <w:p w14:paraId="725F098A" w14:textId="79814F1E" w:rsidR="00DD077B" w:rsidRPr="005E4409" w:rsidRDefault="0043432F" w:rsidP="003834C8">
      <w:pPr>
        <w:pStyle w:val="TableParagraph"/>
        <w:tabs>
          <w:tab w:val="left" w:pos="170"/>
          <w:tab w:val="left" w:pos="284"/>
        </w:tabs>
        <w:rPr>
          <w:i/>
          <w:iCs/>
          <w:u w:val="single"/>
        </w:rPr>
      </w:pPr>
      <w:r w:rsidRPr="005E4409">
        <w:rPr>
          <w:i/>
          <w:iCs/>
          <w:u w:val="single"/>
        </w:rPr>
        <w:t>Különleges betegcsoportok</w:t>
      </w:r>
    </w:p>
    <w:p w14:paraId="725F098B" w14:textId="77777777" w:rsidR="00DD077B" w:rsidRPr="003834C8" w:rsidRDefault="00DD077B" w:rsidP="003834C8">
      <w:pPr>
        <w:pStyle w:val="TableParagraph"/>
        <w:tabs>
          <w:tab w:val="left" w:pos="170"/>
          <w:tab w:val="left" w:pos="284"/>
        </w:tabs>
      </w:pPr>
    </w:p>
    <w:p w14:paraId="725F098C" w14:textId="77777777" w:rsidR="00DD077B" w:rsidRPr="003834C8" w:rsidRDefault="0043432F" w:rsidP="003834C8">
      <w:pPr>
        <w:pStyle w:val="TableParagraph"/>
        <w:tabs>
          <w:tab w:val="left" w:pos="170"/>
          <w:tab w:val="left" w:pos="284"/>
        </w:tabs>
        <w:rPr>
          <w:i/>
          <w:iCs/>
        </w:rPr>
      </w:pPr>
      <w:r w:rsidRPr="003834C8">
        <w:rPr>
          <w:i/>
          <w:iCs/>
        </w:rPr>
        <w:t>Idősek</w:t>
      </w:r>
    </w:p>
    <w:p w14:paraId="725F098D" w14:textId="44620761" w:rsidR="00DD077B" w:rsidRPr="003834C8" w:rsidRDefault="0043432F" w:rsidP="003834C8">
      <w:pPr>
        <w:pStyle w:val="TableParagraph"/>
        <w:tabs>
          <w:tab w:val="left" w:pos="170"/>
          <w:tab w:val="left" w:pos="284"/>
        </w:tabs>
      </w:pPr>
      <w:r w:rsidRPr="003834C8">
        <w:t xml:space="preserve">Nem szükséges a </w:t>
      </w:r>
      <w:r w:rsidR="00632AFD" w:rsidRPr="003834C8">
        <w:t xml:space="preserve">dózis </w:t>
      </w:r>
      <w:r w:rsidRPr="003834C8">
        <w:t>módosítása (lásd 5.2 pont).</w:t>
      </w:r>
    </w:p>
    <w:p w14:paraId="725F098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8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Vesekárosodás</w:t>
      </w:r>
    </w:p>
    <w:p w14:paraId="725F0992" w14:textId="3AF1A29D" w:rsidR="00DD077B" w:rsidRPr="003834C8" w:rsidRDefault="001659DB" w:rsidP="003834C8">
      <w:pPr>
        <w:pStyle w:val="Szvegtrzs"/>
        <w:tabs>
          <w:tab w:val="left" w:pos="0"/>
        </w:tabs>
      </w:pPr>
      <w:r>
        <w:t>A</w:t>
      </w:r>
      <w:r w:rsidR="0043432F" w:rsidRPr="003834C8">
        <w:t xml:space="preserve">z edoxabán-kezelés megkezdése előtt </w:t>
      </w:r>
      <w:r w:rsidRPr="001659DB">
        <w:t xml:space="preserve">a CrCl kiszámításával minden betegnél </w:t>
      </w:r>
      <w:r w:rsidR="0034089B">
        <w:t>ellenőrizni kell</w:t>
      </w:r>
      <w:r w:rsidRPr="001659DB">
        <w:t xml:space="preserve"> a vesefu</w:t>
      </w:r>
      <w:r w:rsidR="0034089B">
        <w:t>n</w:t>
      </w:r>
      <w:r w:rsidRPr="001659DB">
        <w:t>kciót</w:t>
      </w:r>
      <w:r>
        <w:t xml:space="preserve">, </w:t>
      </w:r>
      <w:r w:rsidR="0043432F" w:rsidRPr="003834C8">
        <w:t>végstádiumú vesebetegségben szenvedő betegek (vagyis CrCl</w:t>
      </w:r>
      <w:r w:rsidR="00436938" w:rsidRPr="003834C8">
        <w:t> </w:t>
      </w:r>
      <w:r w:rsidR="0043432F" w:rsidRPr="003834C8">
        <w:t>&lt;</w:t>
      </w:r>
      <w:r w:rsidR="00436938" w:rsidRPr="003834C8">
        <w:t> </w:t>
      </w:r>
      <w:r w:rsidR="0043432F" w:rsidRPr="003834C8">
        <w:t>15</w:t>
      </w:r>
      <w:r w:rsidR="00436938" w:rsidRPr="003834C8">
        <w:t> </w:t>
      </w:r>
      <w:r w:rsidR="0043432F" w:rsidRPr="003834C8">
        <w:t>ml/perc) kizárása érdekében, a 15</w:t>
      </w:r>
      <w:r w:rsidR="00436938" w:rsidRPr="003834C8">
        <w:noBreakHyphen/>
      </w:r>
      <w:r w:rsidR="0043432F" w:rsidRPr="003834C8">
        <w:t>50</w:t>
      </w:r>
      <w:r w:rsidR="00436938" w:rsidRPr="003834C8">
        <w:t> </w:t>
      </w:r>
      <w:r w:rsidR="0043432F" w:rsidRPr="003834C8">
        <w:t>ml/perc közötti, valamint az 50</w:t>
      </w:r>
      <w:r w:rsidR="00436938" w:rsidRPr="003834C8">
        <w:t> </w:t>
      </w:r>
      <w:r w:rsidR="0043432F" w:rsidRPr="003834C8">
        <w:t xml:space="preserve">ml/perc </w:t>
      </w:r>
      <w:r w:rsidR="002710E6" w:rsidRPr="003834C8">
        <w:t xml:space="preserve">feletti </w:t>
      </w:r>
      <w:r w:rsidR="0043432F" w:rsidRPr="003834C8">
        <w:t>CrCl-értékkel rendelkező betegeknél a helyes edoxabán dózis alkalmazása érdekében (előbbieknél 30</w:t>
      </w:r>
      <w:r w:rsidR="0050166E">
        <w:t> mg</w:t>
      </w:r>
      <w:r w:rsidR="0043432F" w:rsidRPr="003834C8">
        <w:t xml:space="preserve"> naponta egyszer, utóbbiaknál</w:t>
      </w:r>
      <w:r w:rsidR="00B46CE5" w:rsidRPr="003834C8">
        <w:t xml:space="preserve"> </w:t>
      </w:r>
      <w:r w:rsidR="0043432F" w:rsidRPr="003834C8">
        <w:t>60</w:t>
      </w:r>
      <w:r w:rsidR="0050166E">
        <w:t> mg</w:t>
      </w:r>
      <w:r w:rsidR="0043432F" w:rsidRPr="003834C8">
        <w:t xml:space="preserve"> naponta egyszer), valamint ha emelkedett CrCl-ű betegeknél döntenek az edoxabán</w:t>
      </w:r>
      <w:r w:rsidR="00B46CE5" w:rsidRPr="003834C8">
        <w:t xml:space="preserve"> </w:t>
      </w:r>
      <w:r w:rsidR="0043432F" w:rsidRPr="003834C8">
        <w:t>alkalmazásáról (lásd 4.4 pont).</w:t>
      </w:r>
    </w:p>
    <w:p w14:paraId="725F099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4" w14:textId="62F83F9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veseműködést akkor is </w:t>
      </w:r>
      <w:r w:rsidR="00A60892">
        <w:t>ellenőrizni kell</w:t>
      </w:r>
      <w:r w:rsidRPr="003834C8">
        <w:t>, ha a kezelés során a veseműködésben bekövetkezett változás feltételezhető (például hypovolaemia, dehidráció és bizonyos gyógyszerek egyidejű alkalmazása esetén).</w:t>
      </w:r>
    </w:p>
    <w:p w14:paraId="725F099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klinikai fejlesztése során a veseműködés (CrCl ml/percben) becslésére alkalmazott módszer a Cockcroft-Gault módszer volt. A képlet a következő:</w:t>
      </w:r>
    </w:p>
    <w:p w14:paraId="725F099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8" w14:textId="77777777" w:rsidR="00DD077B" w:rsidRPr="003834C8" w:rsidRDefault="0043432F" w:rsidP="003834C8">
      <w:pPr>
        <w:pStyle w:val="Listaszerbekezds"/>
        <w:numPr>
          <w:ilvl w:val="0"/>
          <w:numId w:val="19"/>
        </w:numPr>
        <w:tabs>
          <w:tab w:val="left" w:pos="567"/>
        </w:tabs>
        <w:ind w:left="567" w:hanging="567"/>
      </w:pPr>
      <w:r w:rsidRPr="003834C8">
        <w:t>Ha a kreatinin µmol/l-ben van megadva:</w:t>
      </w:r>
    </w:p>
    <w:p w14:paraId="6580F9FD" w14:textId="77777777" w:rsidR="00E8585D" w:rsidRPr="003834C8" w:rsidRDefault="00E8585D" w:rsidP="003834C8">
      <w:pPr>
        <w:tabs>
          <w:tab w:val="left" w:pos="567"/>
        </w:tabs>
      </w:pPr>
    </w:p>
    <w:p w14:paraId="725F0999" w14:textId="1DB6D132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1,23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(140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-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életkor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[évek])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testtömeg [kg]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(×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0,85, ha nőről van szó)</w:t>
      </w:r>
    </w:p>
    <w:p w14:paraId="725F099A" w14:textId="0E0D0F14" w:rsidR="00DD077B" w:rsidRPr="003834C8" w:rsidRDefault="0043432F" w:rsidP="00DE1690">
      <w:pPr>
        <w:pStyle w:val="Szvegtrzs"/>
        <w:ind w:left="1560"/>
      </w:pPr>
      <w:r w:rsidRPr="003834C8">
        <w:t>szérumkreatinin [µmol/l]</w:t>
      </w:r>
    </w:p>
    <w:p w14:paraId="725F099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9C" w14:textId="312818B7" w:rsidR="00DD077B" w:rsidRPr="003834C8" w:rsidRDefault="0043432F" w:rsidP="003834C8">
      <w:pPr>
        <w:pStyle w:val="Listaszerbekezds"/>
        <w:numPr>
          <w:ilvl w:val="0"/>
          <w:numId w:val="19"/>
        </w:numPr>
        <w:tabs>
          <w:tab w:val="left" w:pos="567"/>
        </w:tabs>
        <w:ind w:left="567" w:hanging="567"/>
      </w:pPr>
      <w:r w:rsidRPr="003834C8">
        <w:t>Ha a kreatinin</w:t>
      </w:r>
      <w:r w:rsidR="0050166E">
        <w:t> mg</w:t>
      </w:r>
      <w:r w:rsidRPr="003834C8">
        <w:t>/dl-ben van megadva:</w:t>
      </w:r>
    </w:p>
    <w:p w14:paraId="58A387AA" w14:textId="77777777" w:rsidR="00E8585D" w:rsidRPr="003834C8" w:rsidRDefault="00E8585D" w:rsidP="003834C8">
      <w:pPr>
        <w:tabs>
          <w:tab w:val="left" w:pos="567"/>
        </w:tabs>
      </w:pPr>
    </w:p>
    <w:p w14:paraId="725F099D" w14:textId="47508E05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(140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-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életkor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[évek])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testtömeg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[kg]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(×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0,85,</w:t>
      </w:r>
      <w:r w:rsidR="009C3AD4" w:rsidRPr="003834C8">
        <w:rPr>
          <w:u w:val="single"/>
        </w:rPr>
        <w:t> </w:t>
      </w:r>
      <w:r w:rsidRPr="003834C8">
        <w:rPr>
          <w:u w:val="single"/>
        </w:rPr>
        <w:t>ha nőről van szó)</w:t>
      </w:r>
    </w:p>
    <w:p w14:paraId="725F099E" w14:textId="260818DB" w:rsidR="00DD077B" w:rsidRPr="003834C8" w:rsidRDefault="0043432F" w:rsidP="00DE1690">
      <w:pPr>
        <w:pStyle w:val="Szvegtrzs"/>
        <w:ind w:left="1560"/>
      </w:pPr>
      <w:r w:rsidRPr="003834C8">
        <w:t>72</w:t>
      </w:r>
      <w:r w:rsidR="009C3AD4" w:rsidRPr="003834C8">
        <w:t> </w:t>
      </w:r>
      <w:r w:rsidRPr="003834C8">
        <w:t>×</w:t>
      </w:r>
      <w:r w:rsidR="009C3AD4" w:rsidRPr="003834C8">
        <w:t> </w:t>
      </w:r>
      <w:r w:rsidRPr="003834C8">
        <w:t>szérumkreatinin [mg/dl]</w:t>
      </w:r>
    </w:p>
    <w:p w14:paraId="725F099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Ez a módszer ajánlott a betegek CrCl-értékének meghatározásához az edoxabán-kezelés előtt és alatt.</w:t>
      </w:r>
    </w:p>
    <w:p w14:paraId="725F09A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2" w14:textId="70AE4285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Enyhe </w:t>
      </w:r>
      <w:r w:rsidR="00A60892">
        <w:t xml:space="preserve">fokú </w:t>
      </w:r>
      <w:r w:rsidRPr="003834C8">
        <w:t>vesekárosodásban szenvedő betegeknél (CrCl</w:t>
      </w:r>
      <w:r w:rsidR="009E43BF" w:rsidRPr="003834C8">
        <w:t> </w:t>
      </w:r>
      <w:r w:rsidRPr="003834C8">
        <w:t>&gt;</w:t>
      </w:r>
      <w:r w:rsidR="009E43BF" w:rsidRPr="003834C8">
        <w:t> </w:t>
      </w:r>
      <w:r w:rsidRPr="003834C8">
        <w:t>50–80</w:t>
      </w:r>
      <w:r w:rsidR="009E43BF" w:rsidRPr="003834C8">
        <w:t> </w:t>
      </w:r>
      <w:r w:rsidRPr="003834C8">
        <w:t xml:space="preserve">ml/perc) az ajánlott </w:t>
      </w:r>
      <w:r w:rsidR="002710E6" w:rsidRPr="003834C8">
        <w:t>dózis</w:t>
      </w:r>
      <w:r w:rsidRPr="003834C8">
        <w:t xml:space="preserve"> napi egysze</w:t>
      </w:r>
      <w:r w:rsidR="009E43BF" w:rsidRPr="003834C8">
        <w:t xml:space="preserve">r </w:t>
      </w:r>
      <w:r w:rsidRPr="003834C8">
        <w:t>60</w:t>
      </w:r>
      <w:r w:rsidR="0050166E">
        <w:t> mg</w:t>
      </w:r>
      <w:r w:rsidRPr="003834C8">
        <w:t xml:space="preserve"> edoxabán.</w:t>
      </w:r>
    </w:p>
    <w:p w14:paraId="725F09A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4" w14:textId="1B9BEFA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Közepes vagy súlyos </w:t>
      </w:r>
      <w:r w:rsidR="002710E6" w:rsidRPr="003834C8">
        <w:t xml:space="preserve">fokú </w:t>
      </w:r>
      <w:r w:rsidRPr="003834C8">
        <w:t>vesekárosodásban szenvedő betegeknél (CrCl 15–50</w:t>
      </w:r>
      <w:r w:rsidR="009E43BF" w:rsidRPr="003834C8">
        <w:t> </w:t>
      </w:r>
      <w:r w:rsidRPr="003834C8">
        <w:t>ml/perc) az</w:t>
      </w:r>
      <w:r w:rsidR="002710E6" w:rsidRPr="003834C8">
        <w:t xml:space="preserve"> </w:t>
      </w:r>
      <w:r w:rsidRPr="003834C8">
        <w:t xml:space="preserve"> </w:t>
      </w:r>
      <w:r w:rsidR="002710E6" w:rsidRPr="003834C8">
        <w:t xml:space="preserve">  </w:t>
      </w:r>
      <w:r w:rsidRPr="003834C8">
        <w:t xml:space="preserve">ajánlott </w:t>
      </w:r>
      <w:r w:rsidR="00BB1C16" w:rsidRPr="003834C8">
        <w:t xml:space="preserve">dózis </w:t>
      </w:r>
      <w:r w:rsidRPr="003834C8">
        <w:t>napi egyszer 30</w:t>
      </w:r>
      <w:r w:rsidR="0050166E">
        <w:t> mg</w:t>
      </w:r>
      <w:r w:rsidRPr="003834C8">
        <w:t xml:space="preserve"> edoxabán (lásd 5.2 pont).</w:t>
      </w:r>
    </w:p>
    <w:p w14:paraId="725F09A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6" w14:textId="0C093C94" w:rsidR="00DD077B" w:rsidRPr="003834C8" w:rsidRDefault="0043432F" w:rsidP="003834C8">
      <w:pPr>
        <w:pStyle w:val="Szvegtrzs"/>
        <w:tabs>
          <w:tab w:val="left" w:pos="0"/>
        </w:tabs>
      </w:pPr>
      <w:r w:rsidRPr="003834C8">
        <w:t>Végstádiumú vesebetegségben (End Stage Renal Disease – ESRD) szenvedő (CrCl &lt;</w:t>
      </w:r>
      <w:r w:rsidR="009E43BF" w:rsidRPr="003834C8">
        <w:t> </w:t>
      </w:r>
      <w:r w:rsidRPr="003834C8">
        <w:t>15</w:t>
      </w:r>
      <w:r w:rsidR="009E43BF" w:rsidRPr="003834C8">
        <w:t> </w:t>
      </w:r>
      <w:r w:rsidRPr="003834C8">
        <w:t>ml/perc) vagy dializált betegeknél az edoxabán alkalmazása nem ajánlott (lásd 4.4 és 5.2 pont).</w:t>
      </w:r>
    </w:p>
    <w:p w14:paraId="725F09A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8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Májkárosodás</w:t>
      </w:r>
    </w:p>
    <w:p w14:paraId="725F09A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ellenjavallt olyan betegeknél, akik véralvadási zavarral és klinikailag releváns vérzési kockázattal járó májbetegségben szenvednek (lásd 4.3 pont).</w:t>
      </w:r>
    </w:p>
    <w:p w14:paraId="6C58D1A6" w14:textId="77777777" w:rsidR="00DD077B" w:rsidRPr="003834C8" w:rsidRDefault="00DD077B" w:rsidP="003834C8">
      <w:pPr>
        <w:tabs>
          <w:tab w:val="left" w:pos="0"/>
        </w:tabs>
      </w:pPr>
    </w:p>
    <w:p w14:paraId="725F09AC" w14:textId="6210620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alkalmazása súlyos májkárosodásban szenvedő betegeknél nem ajánlott (lásd 4.4 és</w:t>
      </w:r>
      <w:r w:rsidR="00B46CE5" w:rsidRPr="003834C8">
        <w:t xml:space="preserve"> </w:t>
      </w:r>
      <w:r w:rsidRPr="003834C8">
        <w:t>5.2 pont).</w:t>
      </w:r>
    </w:p>
    <w:p w14:paraId="725F09A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AE" w14:textId="096D1EC1" w:rsidR="00DD077B" w:rsidRPr="003834C8" w:rsidRDefault="0043432F" w:rsidP="003834C8">
      <w:pPr>
        <w:pStyle w:val="Szvegtrzs"/>
        <w:tabs>
          <w:tab w:val="left" w:pos="0"/>
        </w:tabs>
      </w:pPr>
      <w:r w:rsidRPr="003834C8">
        <w:t>Enyhe</w:t>
      </w:r>
      <w:r w:rsidR="00A60892">
        <w:t xml:space="preserve"> és </w:t>
      </w:r>
      <w:r w:rsidRPr="003834C8">
        <w:t xml:space="preserve">közepesen súlyos </w:t>
      </w:r>
      <w:r w:rsidR="00BB1C16" w:rsidRPr="003834C8">
        <w:t xml:space="preserve">fokú </w:t>
      </w:r>
      <w:r w:rsidRPr="003834C8">
        <w:t xml:space="preserve">májkárosodásban szenvedő betegeknél az ajánlott </w:t>
      </w:r>
      <w:r w:rsidR="00BB1C16" w:rsidRPr="003834C8">
        <w:t>dózis</w:t>
      </w:r>
      <w:r w:rsidRPr="003834C8">
        <w:t xml:space="preserve"> napi egyszer 60</w:t>
      </w:r>
      <w:r w:rsidR="0050166E">
        <w:t> mg</w:t>
      </w:r>
      <w:r w:rsidRPr="003834C8">
        <w:t xml:space="preserve"> edoxabán (lásd 5.2 pont). Enyhe</w:t>
      </w:r>
      <w:r w:rsidR="00A60892">
        <w:t xml:space="preserve"> és </w:t>
      </w:r>
      <w:r w:rsidRPr="003834C8">
        <w:t xml:space="preserve">közepesen súlyos </w:t>
      </w:r>
      <w:r w:rsidR="00BB1C16" w:rsidRPr="003834C8">
        <w:t xml:space="preserve">fokú </w:t>
      </w:r>
      <w:r w:rsidRPr="003834C8">
        <w:t xml:space="preserve">májkárosodásban szenvedő betegeknél az edoxabánt </w:t>
      </w:r>
      <w:r w:rsidR="00BB1C16" w:rsidRPr="003834C8">
        <w:t>elővigyázatosan</w:t>
      </w:r>
      <w:r w:rsidRPr="003834C8">
        <w:t xml:space="preserve"> kell alkalmazni (lásd 4.4 pont).</w:t>
      </w:r>
    </w:p>
    <w:p w14:paraId="725F09A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0" w14:textId="530DFD3C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Azokat a betegeket, akiknél a májenzimek szintje emelkedett volt (glutamát-piruvát-transzamináz [GPT] vagy glutamát-oxálacetát-transzamináz [GOT] 2-szer magasabb, mint a normálérték felső határa), vagy az összbilirubin szintje legalább 1,5-szer magasabb volt, mint a normálérték felső határa, kizárták a klinikai vizsgálatokból. Ezért az edoxabánt ebben a betegcsoportban</w:t>
      </w:r>
      <w:r w:rsidR="007D6F1D" w:rsidRPr="003834C8">
        <w:t xml:space="preserve"> elővigyázatosan</w:t>
      </w:r>
      <w:r w:rsidRPr="003834C8">
        <w:t xml:space="preserve"> kell alkalmazni (lásd 4.4 és 5.2 pont). Az edoxabán</w:t>
      </w:r>
      <w:r w:rsidR="007D6F1D" w:rsidRPr="003834C8">
        <w:t>-kezelés</w:t>
      </w:r>
      <w:r w:rsidRPr="003834C8">
        <w:t xml:space="preserve"> elkezdése előtt májfunkciós vizsgálatot kell végezni.</w:t>
      </w:r>
    </w:p>
    <w:p w14:paraId="725F09B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2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Testtömeg</w:t>
      </w:r>
    </w:p>
    <w:p w14:paraId="725F09B3" w14:textId="3A417FD2" w:rsidR="00DD077B" w:rsidRPr="003834C8" w:rsidRDefault="0043432F" w:rsidP="003834C8">
      <w:pPr>
        <w:pStyle w:val="Szvegtrzs"/>
        <w:tabs>
          <w:tab w:val="left" w:pos="0"/>
        </w:tabs>
      </w:pPr>
      <w:r w:rsidRPr="003834C8">
        <w:t>60</w:t>
      </w:r>
      <w:r w:rsidR="009E43BF" w:rsidRPr="003834C8">
        <w:t> </w:t>
      </w:r>
      <w:r w:rsidRPr="003834C8">
        <w:t xml:space="preserve">kg, vagy az alatti </w:t>
      </w:r>
      <w:r w:rsidR="00F56D48">
        <w:rPr>
          <w:noProof/>
          <w:szCs w:val="24"/>
        </w:rPr>
        <w:t>testtömegű</w:t>
      </w:r>
      <w:r w:rsidR="00F56D48" w:rsidRPr="003834C8">
        <w:t xml:space="preserve"> </w:t>
      </w:r>
      <w:r w:rsidRPr="003834C8">
        <w:t xml:space="preserve">betegeknél az ajánlott </w:t>
      </w:r>
      <w:r w:rsidR="007D6F1D" w:rsidRPr="003834C8">
        <w:t>dózis</w:t>
      </w:r>
      <w:r w:rsidRPr="003834C8">
        <w:t xml:space="preserve"> napi egyszer 30</w:t>
      </w:r>
      <w:r w:rsidR="0050166E">
        <w:t> mg</w:t>
      </w:r>
      <w:r w:rsidRPr="003834C8">
        <w:t xml:space="preserve"> edoxabán (lásd 5.2 pont).</w:t>
      </w:r>
    </w:p>
    <w:p w14:paraId="725F09B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5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Nemi különbségek</w:t>
      </w:r>
    </w:p>
    <w:p w14:paraId="725F09B6" w14:textId="7BA66BB0" w:rsidR="00DD077B" w:rsidRPr="003834C8" w:rsidRDefault="0043432F" w:rsidP="003834C8">
      <w:pPr>
        <w:pStyle w:val="Szvegtrzs"/>
        <w:tabs>
          <w:tab w:val="left" w:pos="0"/>
        </w:tabs>
      </w:pPr>
      <w:r w:rsidRPr="003834C8">
        <w:t>Nem szükséges a</w:t>
      </w:r>
      <w:r w:rsidR="007D6F1D" w:rsidRPr="003834C8">
        <w:t xml:space="preserve"> dózis</w:t>
      </w:r>
      <w:r w:rsidRPr="003834C8">
        <w:t xml:space="preserve"> módosítása (lásd 5.2 pont).</w:t>
      </w:r>
    </w:p>
    <w:p w14:paraId="725F09B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8" w14:textId="07493E25" w:rsidR="00DD077B" w:rsidRPr="003834C8" w:rsidRDefault="00A44772" w:rsidP="003834C8">
      <w:pPr>
        <w:tabs>
          <w:tab w:val="left" w:pos="0"/>
        </w:tabs>
        <w:rPr>
          <w:i/>
        </w:rPr>
      </w:pPr>
      <w:r>
        <w:rPr>
          <w:i/>
        </w:rPr>
        <w:t>Oblonela</w:t>
      </w:r>
      <w:r w:rsidR="0043432F" w:rsidRPr="003834C8">
        <w:rPr>
          <w:i/>
        </w:rPr>
        <w:t xml:space="preserve"> és P-glikoprotein- (P-gp) inhibitorok egyidejű alkalmazása</w:t>
      </w:r>
    </w:p>
    <w:p w14:paraId="725F09B9" w14:textId="32E0386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Azoknál a betegeknél, akik </w:t>
      </w:r>
      <w:r w:rsidR="00E61485">
        <w:t>az Oblonelá</w:t>
      </w:r>
      <w:r w:rsidRPr="003834C8">
        <w:t xml:space="preserve">t egyidejűleg szedik a következő P-gp-inhibitorokkal: ciklosporin, dronedaron, eritromicin, vagy ketokonazol, </w:t>
      </w:r>
      <w:r w:rsidR="00E61485">
        <w:t>az Oblonel</w:t>
      </w:r>
      <w:r w:rsidR="00A44772">
        <w:t>a</w:t>
      </w:r>
      <w:r w:rsidRPr="003834C8">
        <w:t xml:space="preserve"> ajánlott </w:t>
      </w:r>
      <w:r w:rsidR="00181FE3" w:rsidRPr="003834C8">
        <w:t>dózis</w:t>
      </w:r>
      <w:r w:rsidRPr="003834C8">
        <w:t>a napi egyszer 30</w:t>
      </w:r>
      <w:r w:rsidR="0050166E">
        <w:t> mg</w:t>
      </w:r>
      <w:r w:rsidRPr="003834C8">
        <w:t xml:space="preserve"> (lásd 4.5 pont).</w:t>
      </w:r>
    </w:p>
    <w:p w14:paraId="725F09BB" w14:textId="161E52DD" w:rsidR="00DD077B" w:rsidRPr="003834C8" w:rsidRDefault="0043432F" w:rsidP="003834C8">
      <w:pPr>
        <w:pStyle w:val="Szvegtrzs"/>
        <w:tabs>
          <w:tab w:val="left" w:pos="0"/>
        </w:tabs>
      </w:pPr>
      <w:r w:rsidRPr="003834C8">
        <w:t>Nincs szükség a</w:t>
      </w:r>
      <w:r w:rsidR="00181FE3" w:rsidRPr="003834C8">
        <w:t xml:space="preserve"> dózis</w:t>
      </w:r>
      <w:r w:rsidRPr="003834C8">
        <w:t xml:space="preserve"> csökkentésére amiodaronnal, kinidinnel vagy verapamillal való egyidejű</w:t>
      </w:r>
      <w:r w:rsidR="00B46CE5" w:rsidRPr="003834C8">
        <w:t xml:space="preserve"> </w:t>
      </w:r>
      <w:r w:rsidRPr="003834C8">
        <w:t>alkalmazás során (lásd 4.5 pont).</w:t>
      </w:r>
    </w:p>
    <w:p w14:paraId="725F09BC" w14:textId="49534FDD" w:rsidR="00DD077B" w:rsidRPr="003834C8" w:rsidRDefault="00E61485" w:rsidP="003834C8">
      <w:pPr>
        <w:pStyle w:val="Szvegtrzs"/>
        <w:tabs>
          <w:tab w:val="left" w:pos="0"/>
        </w:tabs>
      </w:pPr>
      <w:r>
        <w:t>Az Oblonel</w:t>
      </w:r>
      <w:r w:rsidR="00A44772">
        <w:t>a</w:t>
      </w:r>
      <w:r w:rsidR="0043432F" w:rsidRPr="003834C8">
        <w:t xml:space="preserve"> alkalmazását más P-gp-inhibitorokkal (beleértve a HIV</w:t>
      </w:r>
      <w:r w:rsidR="00181FE3" w:rsidRPr="003834C8">
        <w:t>-</w:t>
      </w:r>
      <w:r w:rsidR="0043432F" w:rsidRPr="003834C8">
        <w:t>proteáz-inhibitorokat) nem vizsgálták.</w:t>
      </w:r>
    </w:p>
    <w:p w14:paraId="725F09B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BE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Cardioversión áteső betegek</w:t>
      </w:r>
    </w:p>
    <w:p w14:paraId="725F09BF" w14:textId="259A7312" w:rsidR="00DD077B" w:rsidRPr="003834C8" w:rsidRDefault="00E61485" w:rsidP="003834C8">
      <w:pPr>
        <w:pStyle w:val="Szvegtrzs"/>
        <w:tabs>
          <w:tab w:val="left" w:pos="0"/>
        </w:tabs>
      </w:pPr>
      <w:r>
        <w:t>Az Oblonel</w:t>
      </w:r>
      <w:r w:rsidR="00A44772">
        <w:t>a</w:t>
      </w:r>
      <w:r w:rsidR="0043432F" w:rsidRPr="003834C8">
        <w:t xml:space="preserve"> alkalmazása megkezdhető, illetve folytatható azoknál a betegeknél, akik esetlegesen cardioversiót igényelnek. Amennyiben a transoesophagealis echocardiographiával (TEE) vezérelt cardioversión áteső beteg korábban nem részesült antikoaguláns kezelésben, </w:t>
      </w:r>
      <w:r>
        <w:t>az Oblonel</w:t>
      </w:r>
      <w:r w:rsidR="00A44772">
        <w:t>a</w:t>
      </w:r>
      <w:r w:rsidR="0043432F" w:rsidRPr="003834C8">
        <w:t xml:space="preserve">-kezelést a megfelelő antikoaguláció biztosítása érdekében legalább </w:t>
      </w:r>
      <w:r w:rsidR="0043432F" w:rsidRPr="003834C8">
        <w:rPr>
          <w:b/>
        </w:rPr>
        <w:t xml:space="preserve">2 órával </w:t>
      </w:r>
      <w:r w:rsidR="0043432F" w:rsidRPr="003834C8">
        <w:t xml:space="preserve">a cardioversio előtt meg kell kezdeni (lásd 5.1 és 5.2 pont). A cardioversiót legkésőbb 12 órával </w:t>
      </w:r>
      <w:r>
        <w:t>az Oblonel</w:t>
      </w:r>
      <w:r w:rsidR="00A44772">
        <w:t>a</w:t>
      </w:r>
      <w:r w:rsidR="0043432F" w:rsidRPr="003834C8">
        <w:t xml:space="preserve"> </w:t>
      </w:r>
      <w:r w:rsidR="00632AFD" w:rsidRPr="003834C8">
        <w:t xml:space="preserve">dózisának </w:t>
      </w:r>
      <w:r w:rsidR="0043432F" w:rsidRPr="003834C8">
        <w:t xml:space="preserve">a beavatkozás </w:t>
      </w:r>
      <w:r w:rsidR="00181FE3" w:rsidRPr="003834C8">
        <w:t xml:space="preserve"> </w:t>
      </w:r>
      <w:r w:rsidR="0043432F" w:rsidRPr="003834C8">
        <w:t>napján történt beadása után el kell végezni.</w:t>
      </w:r>
    </w:p>
    <w:p w14:paraId="725F09C0" w14:textId="7DD16D7B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b/>
        </w:rPr>
        <w:t xml:space="preserve">Cardioversión áteső valamennyi beteg esetében: </w:t>
      </w:r>
      <w:r w:rsidR="00F56D48">
        <w:t>a</w:t>
      </w:r>
      <w:r w:rsidRPr="003834C8">
        <w:t xml:space="preserve"> cardioversio előtt meg kell győződni róla, hogy</w:t>
      </w:r>
      <w:r w:rsidR="00B46CE5" w:rsidRPr="003834C8">
        <w:t xml:space="preserve"> </w:t>
      </w:r>
      <w:r w:rsidRPr="003834C8">
        <w:t xml:space="preserve">a beteg az előírásnak megfelelően szedte </w:t>
      </w:r>
      <w:r w:rsidR="00E61485">
        <w:t>az Oblonel</w:t>
      </w:r>
      <w:r w:rsidR="00A44772">
        <w:t>a</w:t>
      </w:r>
      <w:r w:rsidR="004F1C54">
        <w:t>-</w:t>
      </w:r>
      <w:r w:rsidRPr="003834C8">
        <w:t>t. A kezelés megkezdésére és időtartamára vonatkozó döntést a cardioversión áteső betegek antikoaguláns kezelésére vonatkozó elfogadott irányelvek alapján kell meghozni.</w:t>
      </w:r>
    </w:p>
    <w:p w14:paraId="725F09C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2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Gyermekek és serdülők</w:t>
      </w:r>
    </w:p>
    <w:p w14:paraId="725F09C3" w14:textId="666211D9" w:rsidR="00DD077B" w:rsidRPr="003834C8" w:rsidRDefault="0043432F" w:rsidP="003834C8">
      <w:pPr>
        <w:pStyle w:val="Szvegtrzs"/>
        <w:tabs>
          <w:tab w:val="left" w:pos="0"/>
          <w:tab w:val="left" w:pos="709"/>
        </w:tabs>
      </w:pPr>
      <w:r w:rsidRPr="003834C8">
        <w:t xml:space="preserve">Az edoxabán alkalmazása nem ajánlott gyermekeknél és serdülőknél </w:t>
      </w:r>
      <w:r w:rsidR="002F6792" w:rsidRPr="003834C8">
        <w:t>(</w:t>
      </w:r>
      <w:r w:rsidRPr="003834C8">
        <w:t>születéstől 18 éves korig</w:t>
      </w:r>
      <w:r w:rsidR="002F6792" w:rsidRPr="003834C8">
        <w:t>)</w:t>
      </w:r>
      <w:r w:rsidRPr="003834C8">
        <w:t xml:space="preserve">, </w:t>
      </w:r>
      <w:r w:rsidRPr="003834C8">
        <w:lastRenderedPageBreak/>
        <w:t>igazolt VTE (PE és/vagy DVT) esemény esetén, mivel hatásossága nem bizonyított. A VTE-ben szenvedő betegekkel kapcsolatosan rendelkezésre álló adatok a 4.8, 5.1 és 5.2 pontban vannak feltüntetve.</w:t>
      </w:r>
    </w:p>
    <w:p w14:paraId="725F09C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Az alkalmazás módja</w:t>
      </w:r>
    </w:p>
    <w:p w14:paraId="725F09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Szájon át történő alkalmazásra.</w:t>
      </w:r>
    </w:p>
    <w:p w14:paraId="725F09C8" w14:textId="0AA3994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edoxabánt </w:t>
      </w:r>
      <w:r w:rsidR="00114A49" w:rsidRPr="003834C8">
        <w:t xml:space="preserve">étkezés közben vagy attól függetlenül </w:t>
      </w:r>
      <w:r w:rsidRPr="003834C8">
        <w:t>is be lehet venni (lásd 5.2 pont).</w:t>
      </w:r>
    </w:p>
    <w:p w14:paraId="725F09C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CA" w14:textId="0692AE2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Azoknak a betegeknek, akik nem tudják egészben lenyelni a tablettát, </w:t>
      </w:r>
      <w:r w:rsidR="00E61485">
        <w:t>az Oblonel</w:t>
      </w:r>
      <w:r w:rsidR="00A44772">
        <w:t>a</w:t>
      </w:r>
      <w:r w:rsidRPr="003834C8">
        <w:t xml:space="preserve"> tabletta porrá törhet</w:t>
      </w:r>
      <w:r w:rsidR="004B5031" w:rsidRPr="003834C8">
        <w:t xml:space="preserve">ő és 75 ml </w:t>
      </w:r>
      <w:r w:rsidRPr="003834C8">
        <w:t xml:space="preserve">vízbe vagy </w:t>
      </w:r>
      <w:r w:rsidR="00B34F14" w:rsidRPr="003834C8">
        <w:t xml:space="preserve">2 evőkanál (30 ml) </w:t>
      </w:r>
      <w:r w:rsidRPr="003834C8">
        <w:t>almapürébe keverhető, majd azonnal be kell adni szájon át (lásd 5.2 pont).</w:t>
      </w:r>
    </w:p>
    <w:p w14:paraId="725F09C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0" w14:textId="7E3D56E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Másik lehetőségként </w:t>
      </w:r>
      <w:r w:rsidR="00E61485">
        <w:t>az Oblonel</w:t>
      </w:r>
      <w:r w:rsidR="00A44772">
        <w:t>a</w:t>
      </w:r>
      <w:r w:rsidRPr="003834C8">
        <w:t xml:space="preserve"> tabletta porrá törhető és </w:t>
      </w:r>
      <w:r w:rsidR="00810112" w:rsidRPr="003834C8">
        <w:t xml:space="preserve">75 ml </w:t>
      </w:r>
      <w:r w:rsidRPr="003834C8">
        <w:t>vízben szuszpendálható, majd</w:t>
      </w:r>
      <w:r w:rsidR="00B46CE5" w:rsidRPr="003834C8">
        <w:t xml:space="preserve"> </w:t>
      </w:r>
      <w:r w:rsidRPr="003834C8">
        <w:t xml:space="preserve">azonnal be kell adni nasogastricus szondán vagy gyomortápszondán keresztül, amit ezután </w:t>
      </w:r>
      <w:r w:rsidR="00B866DD" w:rsidRPr="003834C8">
        <w:t xml:space="preserve">55 ml </w:t>
      </w:r>
      <w:r w:rsidRPr="003834C8">
        <w:t>vízzel át</w:t>
      </w:r>
      <w:r w:rsidR="003A0230" w:rsidRPr="003834C8">
        <w:t xml:space="preserve"> </w:t>
      </w:r>
      <w:r w:rsidRPr="003834C8">
        <w:t xml:space="preserve">kell öblíteni (lásd 5.2 pont). A porrá tört </w:t>
      </w:r>
      <w:r w:rsidR="00A44772">
        <w:t>Oblonela</w:t>
      </w:r>
      <w:r w:rsidRPr="003834C8">
        <w:t xml:space="preserve"> tabletta vízben és almapürében legfeljebb 4 órán át</w:t>
      </w:r>
      <w:r w:rsidR="00F716E4" w:rsidRPr="003834C8">
        <w:t xml:space="preserve"> </w:t>
      </w:r>
      <w:r w:rsidRPr="003834C8">
        <w:t>őrzi meg stabilitását.</w:t>
      </w:r>
    </w:p>
    <w:p w14:paraId="725F09D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2" w14:textId="071F522C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4.3</w:t>
      </w:r>
      <w:r w:rsidRPr="003834C8">
        <w:rPr>
          <w:b/>
        </w:rPr>
        <w:tab/>
      </w:r>
      <w:r w:rsidR="0043432F" w:rsidRPr="003834C8">
        <w:rPr>
          <w:b/>
        </w:rPr>
        <w:t>Ellenjavallatok</w:t>
      </w:r>
    </w:p>
    <w:p w14:paraId="725F09D3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9D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készítmény hatóanyagával vagy a 6.1 pontban felsorolt bármely segédanyagával szembeni túlérzékenység.</w:t>
      </w:r>
    </w:p>
    <w:p w14:paraId="725F09D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Aktív, klinikailag jelentős vérzés.</w:t>
      </w:r>
    </w:p>
    <w:p w14:paraId="725F09D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Véralvadási zavarral és klinikailag releváns vérzési kockázattal járó májbetegség.</w:t>
      </w:r>
    </w:p>
    <w:p w14:paraId="725F09D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A" w14:textId="4EF8F819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Olyan </w:t>
      </w:r>
      <w:r w:rsidR="005E3D4F">
        <w:t>laesio</w:t>
      </w:r>
      <w:r w:rsidR="005E3D4F" w:rsidRPr="003834C8">
        <w:t xml:space="preserve"> </w:t>
      </w:r>
      <w:r w:rsidRPr="003834C8">
        <w:t xml:space="preserve">vagy állapot, amelyet a </w:t>
      </w:r>
      <w:r w:rsidR="0013541C">
        <w:t>súlyos</w:t>
      </w:r>
      <w:r w:rsidRPr="003834C8">
        <w:t xml:space="preserve"> vérzés jelentős kockázatának tartanak. Ide tartozhatnak a fennálló vagy a közelmúltban kialakult gastrointestinalis fekélyek, magas vérzési kockázatú malignus neoplasmák jelenléte, agy- vagy gerincsérülés a közelmúltban, agy-, gerinc- vagy szemészeti műtét a közelmúltban, intracranialis vérzés a közelmúltban, ismert vagy gyanított oesophagus varicositás, arteriovenosus malformatiók, vascularis aneurysmák vagy nagy intraspinalis vagy intracerebralis vascularis rendellenességek.</w:t>
      </w:r>
    </w:p>
    <w:p w14:paraId="725F09D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Kezeletlen súlyos hypertonia.</w:t>
      </w:r>
    </w:p>
    <w:p w14:paraId="725F09D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DE" w14:textId="4052B8B7" w:rsidR="00DD077B" w:rsidRPr="003834C8" w:rsidRDefault="0043432F" w:rsidP="003834C8">
      <w:pPr>
        <w:pStyle w:val="Szvegtrzs"/>
        <w:tabs>
          <w:tab w:val="left" w:pos="0"/>
        </w:tabs>
      </w:pPr>
      <w:r w:rsidRPr="003834C8">
        <w:t>Bármely más antikoagulánssal való együttes kezelés, p</w:t>
      </w:r>
      <w:r w:rsidR="00224F25">
        <w:t>éldául</w:t>
      </w:r>
      <w:r w:rsidRPr="003834C8">
        <w:t xml:space="preserve"> UFH, LMWH (enoxaparin, dalteparin, stb.), heparin</w:t>
      </w:r>
      <w:r w:rsidR="00343AC7" w:rsidRPr="003834C8">
        <w:t>-származéko</w:t>
      </w:r>
      <w:r w:rsidRPr="003834C8">
        <w:t>k (fondaparinux, stb.), orális antikoagulánsok (warfarin, dabigatrán-etexilát, rivaroxabán, apixabán stb.), kivéve abban a speciális esetben, ha orális antikoaguláns terápiaváltás történik (lásd 4.2 pont), vagy ha az UFH-t olyan dózisban adják, amely egy centrális vénás vagy artériás kanül átjárhatóságának fenntartásához szükséges (lásd 4.5 pont).</w:t>
      </w:r>
    </w:p>
    <w:p w14:paraId="725F09D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Terhesség és szoptatás (lásd 4.6 pont).</w:t>
      </w:r>
    </w:p>
    <w:p w14:paraId="725F09E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2" w14:textId="68F27F75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4.4</w:t>
      </w:r>
      <w:r w:rsidRPr="003834C8">
        <w:rPr>
          <w:b/>
        </w:rPr>
        <w:tab/>
      </w:r>
      <w:r w:rsidR="0043432F" w:rsidRPr="003834C8">
        <w:rPr>
          <w:b/>
        </w:rPr>
        <w:t>Különleges figyelmeztetések és az alkalmazással kapcsolatos óvintézkedések</w:t>
      </w:r>
    </w:p>
    <w:p w14:paraId="725F09E3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9E4" w14:textId="1770182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15</w:t>
      </w:r>
      <w:r w:rsidR="0050166E">
        <w:t> mg</w:t>
      </w:r>
      <w:r w:rsidRPr="003834C8">
        <w:t xml:space="preserve"> monoterápiában nem javallott, mivel ez csökkent hatásosságot eredményezhet. Kizárólag az edoxabán 30</w:t>
      </w:r>
      <w:r w:rsidR="0050166E">
        <w:t> mg</w:t>
      </w:r>
      <w:r w:rsidRPr="003834C8">
        <w:t>-ról KVA-ra történő átállítás folyamata során (a fokozott expozícióra hajlamosító egy vagy több klinikai tényezővel rendelkező betegeknél; lásd 1. táblázat) javallott, a KVA megfelelő dózisával együtt alkalmazva (lásd 2. táblázat, 4.2 pont).</w:t>
      </w:r>
    </w:p>
    <w:p w14:paraId="725F09E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7" w14:textId="44AD4D89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Vérzés kockázata</w:t>
      </w:r>
    </w:p>
    <w:p w14:paraId="725F09E8" w14:textId="408511F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fokozza a vérzés kockázatát, és súlyos, akár halálos kimenetelű vérzést okozhat. Más antikoagulánsokhoz hasonlóan az edoxabánt </w:t>
      </w:r>
      <w:r w:rsidR="004F6A54" w:rsidRPr="003834C8">
        <w:t>elővigyázatosan</w:t>
      </w:r>
      <w:r w:rsidRPr="003834C8">
        <w:t xml:space="preserve"> kell alkalmazni fokozott vérzésveszéllyel járó állapotokban. Az edoxabán alkalmazását abba kell hagyni, ha </w:t>
      </w:r>
      <w:r w:rsidR="00224F25">
        <w:t>súlyos</w:t>
      </w:r>
      <w:r w:rsidRPr="003834C8">
        <w:t xml:space="preserve"> vérzés lép fel (lásd 4.8 és 4.9 pont).</w:t>
      </w:r>
    </w:p>
    <w:p w14:paraId="725F09E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A" w14:textId="70D12D18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A klinikai vizsgálatok alatt, a KVA kezeléshez képest gyakrabban észleltek nyálkahártyavérzést (epistaxis, gastrointestinalis, urogenitalis) és anaemiát a </w:t>
      </w:r>
      <w:r w:rsidR="004F6A54" w:rsidRPr="003834C8">
        <w:t>hosszú távú</w:t>
      </w:r>
      <w:r w:rsidRPr="003834C8">
        <w:t xml:space="preserve"> edoxabán-kezelés során. Így a megfelelő klinikai megfigyelésen felül a haemoglobin</w:t>
      </w:r>
      <w:r w:rsidR="004F6A54" w:rsidRPr="003834C8">
        <w:t>-szint</w:t>
      </w:r>
      <w:r w:rsidRPr="003834C8">
        <w:t>/haematocrit-érték laboratóriumi vizsgálata értékes lehet az okkult vérzés detektálásában, amennyiben szükségesnek ítélik.</w:t>
      </w:r>
    </w:p>
    <w:p w14:paraId="725F09E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C" w14:textId="4C0EB6C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Bizonyos, az alábbiakban részletezett betegcsoportok esetén fokozott a vérzés kockázata. Ezen betegek esetén a vérzéses szövődmények és az anaemia okozta </w:t>
      </w:r>
      <w:r w:rsidR="00224F25">
        <w:t>jelek</w:t>
      </w:r>
      <w:r w:rsidRPr="003834C8">
        <w:t xml:space="preserve"> és tünetek gondos monitorozása szükséges a kezelés megkezdése után (lásd 4.8 pont). A haemoglobinszint vagy a vérnyomás bármely nem megmagyarázható esése esetén vérzésforrást kell keresni.</w:t>
      </w:r>
    </w:p>
    <w:p w14:paraId="725F09E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EE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antikoaguláns hatását nem lehet megbízhatóan monitorozni a szokásos laboratóriumi vizsgálatokkal.</w:t>
      </w:r>
    </w:p>
    <w:p w14:paraId="725F09F0" w14:textId="1DEB22FB" w:rsidR="00DD077B" w:rsidRPr="003834C8" w:rsidRDefault="0043432F" w:rsidP="003834C8">
      <w:pPr>
        <w:pStyle w:val="Szvegtrzs"/>
        <w:tabs>
          <w:tab w:val="left" w:pos="0"/>
        </w:tabs>
      </w:pPr>
      <w:r w:rsidRPr="003834C8">
        <w:t>Edoxabán esetében nem áll rendelkezésre specifikus antikoaguláns hatást felfüggesztő szer (lásd</w:t>
      </w:r>
      <w:r w:rsidR="00F716E4" w:rsidRPr="003834C8">
        <w:t xml:space="preserve"> </w:t>
      </w:r>
      <w:r w:rsidRPr="003834C8">
        <w:t>4.9 pont).</w:t>
      </w:r>
    </w:p>
    <w:p w14:paraId="5181182E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9F2" w14:textId="1103953E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hemodialízis nem befolyásolja számottevően az edoxabán clearance-ét (lásd 5.2 pont).</w:t>
      </w:r>
    </w:p>
    <w:p w14:paraId="725F09F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Idősek</w:t>
      </w:r>
    </w:p>
    <w:p w14:paraId="725F09F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6" w14:textId="78DB837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potenciálisan magasabb vérzési kockázat miatt idős betegeknél az edoxabán és acetilszalicilsav kombinációt </w:t>
      </w:r>
      <w:r w:rsidR="00D70EF6" w:rsidRPr="003834C8">
        <w:t>elővigyázatosan</w:t>
      </w:r>
      <w:r w:rsidRPr="003834C8">
        <w:t xml:space="preserve"> kell alkalmazni (lásd 4.5 pont).</w:t>
      </w:r>
    </w:p>
    <w:p w14:paraId="725F09F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Vesekárosodás</w:t>
      </w:r>
    </w:p>
    <w:p w14:paraId="725F09F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A" w14:textId="0FA6FEE9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Enyhe </w:t>
      </w:r>
      <w:r w:rsidR="00C237DA">
        <w:t xml:space="preserve">fokú </w:t>
      </w:r>
      <w:r w:rsidRPr="003834C8">
        <w:t>(CrCl &gt;</w:t>
      </w:r>
      <w:r w:rsidR="000D6BDE" w:rsidRPr="003834C8">
        <w:t> </w:t>
      </w:r>
      <w:r w:rsidRPr="003834C8">
        <w:t>50</w:t>
      </w:r>
      <w:r w:rsidR="000D6BDE" w:rsidRPr="003834C8">
        <w:noBreakHyphen/>
      </w:r>
      <w:r w:rsidRPr="003834C8">
        <w:t>80</w:t>
      </w:r>
      <w:r w:rsidR="000D6BDE" w:rsidRPr="003834C8">
        <w:t> </w:t>
      </w:r>
      <w:r w:rsidRPr="003834C8">
        <w:t xml:space="preserve">ml/perc), közepes </w:t>
      </w:r>
      <w:r w:rsidR="00FB566C">
        <w:t>fokú</w:t>
      </w:r>
      <w:r w:rsidR="00FB566C" w:rsidRPr="003834C8">
        <w:t xml:space="preserve"> </w:t>
      </w:r>
      <w:r w:rsidRPr="003834C8">
        <w:t>(CrCl 30</w:t>
      </w:r>
      <w:r w:rsidR="000D6BDE" w:rsidRPr="003834C8">
        <w:noBreakHyphen/>
      </w:r>
      <w:r w:rsidRPr="003834C8">
        <w:t>50</w:t>
      </w:r>
      <w:r w:rsidR="000D6BDE" w:rsidRPr="003834C8">
        <w:t> </w:t>
      </w:r>
      <w:r w:rsidRPr="003834C8">
        <w:t xml:space="preserve">ml/perc) és súlyos </w:t>
      </w:r>
      <w:r w:rsidR="00C237DA">
        <w:t xml:space="preserve">fokú </w:t>
      </w:r>
      <w:r w:rsidRPr="003834C8">
        <w:t>(CrCl &lt;</w:t>
      </w:r>
      <w:r w:rsidR="000D6BDE" w:rsidRPr="003834C8">
        <w:t> </w:t>
      </w:r>
      <w:r w:rsidRPr="003834C8">
        <w:t>30</w:t>
      </w:r>
      <w:r w:rsidR="000D6BDE" w:rsidRPr="003834C8">
        <w:t> </w:t>
      </w:r>
      <w:r w:rsidRPr="003834C8">
        <w:t xml:space="preserve">ml/perc, de nem dializált) vesekárosodásban szenvedő betegeknél a plazma görbe alatti terület (AUC) </w:t>
      </w:r>
      <w:r w:rsidR="00C237DA">
        <w:t xml:space="preserve">sorrendben </w:t>
      </w:r>
      <w:r w:rsidRPr="003834C8">
        <w:t>32%, 74%, illetve 72%-kal emelkedett a normális veseműködésű betegekhez viszonyítva (a</w:t>
      </w:r>
      <w:r w:rsidR="001E2B79" w:rsidRPr="003834C8">
        <w:t xml:space="preserve"> dózis</w:t>
      </w:r>
      <w:r w:rsidRPr="003834C8">
        <w:t xml:space="preserve"> csökkentését lásd a 4.2 pontban).</w:t>
      </w:r>
    </w:p>
    <w:p w14:paraId="725F09F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D" w14:textId="75C9EC0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Végstádiumú vesebetegségben szenvedő vagy dializált betegeknél </w:t>
      </w:r>
      <w:r w:rsidR="00E61485">
        <w:t>az Oblonel</w:t>
      </w:r>
      <w:r w:rsidR="00A44772">
        <w:t>a</w:t>
      </w:r>
      <w:r w:rsidRPr="003834C8">
        <w:t xml:space="preserve"> alkalmazása nem javasolt</w:t>
      </w:r>
      <w:r w:rsidR="002F7D2F" w:rsidRPr="003834C8">
        <w:t xml:space="preserve"> </w:t>
      </w:r>
      <w:r w:rsidRPr="003834C8">
        <w:t>(lásd 4.2 és 5.2 pont).</w:t>
      </w:r>
    </w:p>
    <w:p w14:paraId="725F09F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9F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Veseműködés NVAF esetén</w:t>
      </w:r>
    </w:p>
    <w:p w14:paraId="725F0A00" w14:textId="2612B45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esetében a CrCl növekedésével párhuzamosan tendenciózusan csökkent hatásosságot figyeltek meg a jól beállított warfarinhoz képest (lásd 5.1 pont az ENGAGE AF-TIMI 48 </w:t>
      </w:r>
      <w:r w:rsidR="00C237DA">
        <w:t xml:space="preserve">vizsgálat </w:t>
      </w:r>
      <w:r w:rsidRPr="003834C8">
        <w:t>tekintetében, valamint az E314 és ETNA-AF vizsgálatból származó további információkat illetően).</w:t>
      </w:r>
    </w:p>
    <w:p w14:paraId="725F0A02" w14:textId="0E2257DA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edoxabánt NVAF-ban szenvedő, magas CrCl-ű betegeknél csak az egyéni thromoboemboliás és</w:t>
      </w:r>
      <w:r w:rsidR="002F7D2F" w:rsidRPr="003834C8">
        <w:t xml:space="preserve"> </w:t>
      </w:r>
      <w:r w:rsidRPr="003834C8">
        <w:t>vérzési kockázat gondos értékelését követően szabad alkalmazni.</w:t>
      </w:r>
    </w:p>
    <w:p w14:paraId="725F0A0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67CDE6ED" w14:textId="3111BBBE" w:rsidR="002F7D2F" w:rsidRPr="003834C8" w:rsidRDefault="0043432F" w:rsidP="003834C8">
      <w:pPr>
        <w:pStyle w:val="Szvegtrzs"/>
        <w:tabs>
          <w:tab w:val="left" w:pos="0"/>
        </w:tabs>
      </w:pPr>
      <w:r w:rsidRPr="003834C8">
        <w:t>A veseműködés meghatározása: a CrCl-t minden betegnél monitorozni kell a kezelés kezdetén, azt</w:t>
      </w:r>
      <w:r w:rsidR="002F7D2F" w:rsidRPr="003834C8">
        <w:t xml:space="preserve"> </w:t>
      </w:r>
      <w:r w:rsidRPr="003834C8">
        <w:t>követően pedig, amikor klinikailag indokolt (lásd 4.2 pont).</w:t>
      </w:r>
    </w:p>
    <w:p w14:paraId="4A5821B5" w14:textId="77777777" w:rsidR="002F7D2F" w:rsidRPr="003834C8" w:rsidRDefault="002F7D2F" w:rsidP="003834C8">
      <w:pPr>
        <w:pStyle w:val="Szvegtrzs"/>
        <w:tabs>
          <w:tab w:val="left" w:pos="0"/>
        </w:tabs>
      </w:pPr>
    </w:p>
    <w:p w14:paraId="43A19C8C" w14:textId="2F63BFFA" w:rsidR="002F7D2F" w:rsidRDefault="0043432F" w:rsidP="003834C8">
      <w:pPr>
        <w:pStyle w:val="Szvegtrzs"/>
        <w:tabs>
          <w:tab w:val="left" w:pos="0"/>
        </w:tabs>
      </w:pPr>
      <w:r w:rsidRPr="003834C8">
        <w:t xml:space="preserve"> </w:t>
      </w:r>
      <w:r w:rsidRPr="003834C8">
        <w:rPr>
          <w:u w:val="single"/>
        </w:rPr>
        <w:t>Májkárosodás</w:t>
      </w:r>
    </w:p>
    <w:p w14:paraId="4A965AA0" w14:textId="77777777" w:rsidR="00473074" w:rsidRPr="003834C8" w:rsidRDefault="00473074" w:rsidP="003834C8">
      <w:pPr>
        <w:pStyle w:val="Szvegtrzs"/>
        <w:tabs>
          <w:tab w:val="left" w:pos="0"/>
        </w:tabs>
      </w:pPr>
    </w:p>
    <w:p w14:paraId="725F0A07" w14:textId="659C98DF" w:rsidR="00DD077B" w:rsidRPr="003834C8" w:rsidRDefault="0043432F" w:rsidP="003834C8">
      <w:pPr>
        <w:pStyle w:val="Szvegtrzs"/>
        <w:tabs>
          <w:tab w:val="left" w:pos="0"/>
        </w:tabs>
      </w:pPr>
      <w:r w:rsidRPr="003834C8">
        <w:t>Súlyos májkárosodásban szenvedő betegeknél az edoxabán alkalmazása nem javasolt (lásd 4.2 és</w:t>
      </w:r>
      <w:r w:rsidR="002F7D2F" w:rsidRPr="003834C8">
        <w:t xml:space="preserve"> </w:t>
      </w:r>
      <w:r w:rsidRPr="003834C8">
        <w:t>5.2 pont).</w:t>
      </w:r>
    </w:p>
    <w:p w14:paraId="725F0A0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09" w14:textId="6B87A54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edoxabánt enyhe vagy közepesen súlyos </w:t>
      </w:r>
      <w:r w:rsidR="00C237DA">
        <w:t xml:space="preserve">fokú </w:t>
      </w:r>
      <w:r w:rsidRPr="003834C8">
        <w:t xml:space="preserve">májkárosodásban szenvedő betegeknél </w:t>
      </w:r>
      <w:r w:rsidR="001E2B79" w:rsidRPr="003834C8">
        <w:t>elővigyázatosan</w:t>
      </w:r>
      <w:r w:rsidRPr="003834C8">
        <w:t xml:space="preserve"> kell</w:t>
      </w:r>
      <w:r w:rsidR="001E2B79" w:rsidRPr="003834C8">
        <w:t xml:space="preserve"> </w:t>
      </w:r>
      <w:r w:rsidRPr="003834C8">
        <w:t>alkalmazni (lásd 4.2 pont).</w:t>
      </w:r>
    </w:p>
    <w:p w14:paraId="725F0A0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0B" w14:textId="39CA3DD6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Azokat a betegeket, akiknél a májenzimek szintje emelkedett volt (GPT</w:t>
      </w:r>
      <w:r w:rsidR="004F1CF8" w:rsidRPr="003834C8">
        <w:t>[</w:t>
      </w:r>
      <w:r w:rsidRPr="003834C8">
        <w:t>ALAT</w:t>
      </w:r>
      <w:r w:rsidR="004F1CF8" w:rsidRPr="003834C8">
        <w:t>]</w:t>
      </w:r>
      <w:r w:rsidRPr="003834C8">
        <w:t>/GOT</w:t>
      </w:r>
      <w:r w:rsidR="004F1CF8" w:rsidRPr="003834C8">
        <w:t>[</w:t>
      </w:r>
      <w:r w:rsidRPr="003834C8">
        <w:t>ASAT</w:t>
      </w:r>
      <w:r w:rsidR="004F1CF8" w:rsidRPr="003834C8">
        <w:t>]</w:t>
      </w:r>
      <w:r w:rsidRPr="003834C8">
        <w:t xml:space="preserve"> </w:t>
      </w:r>
      <w:r w:rsidR="00077430">
        <w:t xml:space="preserve">több mint </w:t>
      </w:r>
      <w:r w:rsidRPr="003834C8">
        <w:t>2-szer magasabb, a normálérték felső határ</w:t>
      </w:r>
      <w:r w:rsidR="00077430">
        <w:t>ánál</w:t>
      </w:r>
      <w:r w:rsidRPr="003834C8">
        <w:t xml:space="preserve">), vagy az összbilirubin szintje legalább 1,5-szer magasabb volt, mint a normálérték felső határa, kizárták a klinikai vizsgálatokból. Ezért az edoxabánt ebben a betegcsoportban </w:t>
      </w:r>
      <w:r w:rsidR="004F1CF8" w:rsidRPr="003834C8">
        <w:t xml:space="preserve">elővigyázatosan </w:t>
      </w:r>
      <w:r w:rsidRPr="003834C8">
        <w:t>kell alkalmazni (lásd 4.2 és 5.2 pont). Az edoxabán</w:t>
      </w:r>
      <w:r w:rsidR="004F1CF8" w:rsidRPr="003834C8">
        <w:t>-kezelés</w:t>
      </w:r>
      <w:r w:rsidRPr="003834C8">
        <w:t xml:space="preserve"> elkezdése előtt májfunkciós vizsgálatot kell végezni.</w:t>
      </w:r>
    </w:p>
    <w:p w14:paraId="66890C49" w14:textId="77777777" w:rsidR="00BA26ED" w:rsidRPr="003834C8" w:rsidRDefault="0043432F" w:rsidP="003834C8">
      <w:pPr>
        <w:pStyle w:val="Szvegtrzs"/>
        <w:tabs>
          <w:tab w:val="left" w:pos="0"/>
        </w:tabs>
      </w:pPr>
      <w:r w:rsidRPr="003834C8">
        <w:t>Egy évnél hosszabb edoxabán-kezelés esetén ajánlott a májfunkció rendszeres ellenőrzése.</w:t>
      </w:r>
    </w:p>
    <w:p w14:paraId="2133C670" w14:textId="77777777" w:rsidR="00BA26ED" w:rsidRPr="003834C8" w:rsidRDefault="00BA26ED" w:rsidP="003834C8">
      <w:pPr>
        <w:pStyle w:val="Szvegtrzs"/>
        <w:tabs>
          <w:tab w:val="left" w:pos="0"/>
        </w:tabs>
      </w:pPr>
    </w:p>
    <w:p w14:paraId="725F0A0C" w14:textId="0A5E810A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 </w:t>
      </w:r>
      <w:r w:rsidRPr="00C751EF">
        <w:rPr>
          <w:u w:val="single"/>
        </w:rPr>
        <w:t>Kezelés megszakítása műtét vagy egyéb beavatkozás miatt</w:t>
      </w:r>
    </w:p>
    <w:p w14:paraId="5B2AD1BD" w14:textId="77777777" w:rsidR="00BA26ED" w:rsidRPr="003834C8" w:rsidRDefault="00BA26ED" w:rsidP="003834C8">
      <w:pPr>
        <w:pStyle w:val="Szvegtrzs"/>
        <w:tabs>
          <w:tab w:val="left" w:pos="0"/>
        </w:tabs>
      </w:pPr>
    </w:p>
    <w:p w14:paraId="725F0A0D" w14:textId="5A5071CE" w:rsidR="00DD077B" w:rsidRPr="003834C8" w:rsidRDefault="0043432F" w:rsidP="003834C8">
      <w:pPr>
        <w:pStyle w:val="Szvegtrzs"/>
        <w:tabs>
          <w:tab w:val="left" w:pos="0"/>
        </w:tabs>
      </w:pPr>
      <w:r w:rsidRPr="003834C8">
        <w:t>Amennyiben műtéti vagy egyéb beavatkozás miatti vérzés kockázatának csökkentése érdekében meg kell szakítani az antikoaguláns kezelést, az edoxabán alkalmazását a lehető leghamarabb, de legalább 24 órával a beavatkozás előtt le kell állítani.</w:t>
      </w:r>
    </w:p>
    <w:p w14:paraId="725F0A0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0F" w14:textId="1EB2FF3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Annak eldöntésekor, hogy a beavatkozás elhalasztható-e az edoxabán utolsó </w:t>
      </w:r>
      <w:r w:rsidR="00827FBF" w:rsidRPr="003834C8">
        <w:t>dózisá</w:t>
      </w:r>
      <w:r w:rsidRPr="003834C8">
        <w:t>t követő 24 órával, mérlegelni kell a vérzés fokozott kockázatát a beavatkozás sürgősségével szemben. Az edoxabán újbóli alkalmazását a műtéti vagy egyéb beavatkozás után a lehető leghamarabb el kell kezdeni, am</w:t>
      </w:r>
      <w:r w:rsidR="00077430">
        <w:t>int a</w:t>
      </w:r>
      <w:r w:rsidRPr="003834C8">
        <w:t xml:space="preserve"> megfelelő haemostasis kialakult, figyelembe véve, hogy az edoxabán antikoaguláns hatásának kialakulásához 1</w:t>
      </w:r>
      <w:r w:rsidR="000D6BDE" w:rsidRPr="003834C8">
        <w:noBreakHyphen/>
      </w:r>
      <w:r w:rsidRPr="003834C8">
        <w:t xml:space="preserve">2 óra szükséges. Ha a sebészeti beavatkozás alatt vagy után nem alkalmazható </w:t>
      </w:r>
      <w:r w:rsidRPr="003834C8">
        <w:rPr>
          <w:i/>
        </w:rPr>
        <w:t xml:space="preserve">per os </w:t>
      </w:r>
      <w:r w:rsidRPr="003834C8">
        <w:t xml:space="preserve">gyógyszer, mérlegelni kell a parenterális antikoaguláns alkalmazását, majd visszaállni a napi egyszeri edoxabán </w:t>
      </w:r>
      <w:r w:rsidR="00827FBF" w:rsidRPr="003834C8">
        <w:t>szájon át történő</w:t>
      </w:r>
      <w:r w:rsidRPr="003834C8">
        <w:t xml:space="preserve"> alkalmazására (lásd 4.2 pont).</w:t>
      </w:r>
    </w:p>
    <w:p w14:paraId="16113FD4" w14:textId="77777777" w:rsidR="00DD077B" w:rsidRPr="003834C8" w:rsidRDefault="00DD077B" w:rsidP="003834C8">
      <w:pPr>
        <w:tabs>
          <w:tab w:val="left" w:pos="0"/>
        </w:tabs>
      </w:pPr>
    </w:p>
    <w:p w14:paraId="725F0A1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Kölcsönhatás a hemosztázist befolyásoló egyéb gyógyszerekkel</w:t>
      </w:r>
    </w:p>
    <w:p w14:paraId="725F0A1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3" w14:textId="53F62EA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haemostasist befolyásoló egyéb gyógyszerekkel való egyidejű alkalmazás fokozhatja a vérzés kockázatát. Ezek közé tartozik az </w:t>
      </w:r>
      <w:r w:rsidR="00D8131F">
        <w:t>acetilszalicilsav</w:t>
      </w:r>
      <w:r w:rsidRPr="003834C8">
        <w:t>, a P2Y12 thrombocytaaggregáció-gátlók, egyéb antithromboticus szerek, fibrinolyticus kezelés, szelektív szerotonin-visszavétel gátlók (SSRI-k) vagy szerotonin-noradrenalin-visszavétel gátlók (SNRI-k) és nem</w:t>
      </w:r>
      <w:r w:rsidR="005859B0" w:rsidRPr="003834C8">
        <w:t>-</w:t>
      </w:r>
      <w:r w:rsidRPr="003834C8">
        <w:t>szteroid gyulladásgátlók (NSAID-ok) (lásd 4.5 pont).</w:t>
      </w:r>
    </w:p>
    <w:p w14:paraId="725F0A1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Műbillentyűvel élő és közepesen súlyos – súlyos mitralis stenosisban szenvedő betegek</w:t>
      </w:r>
    </w:p>
    <w:p w14:paraId="725F0A1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7" w14:textId="2F89DA16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edoxabánt nem vizsgálták mechanikus műbillentyűs betegeknél, bioprotheticus szívbillentyű beültetését követő első 3 hónapban pitvarfibrillációban szenvedő vagy a</w:t>
      </w:r>
      <w:r w:rsidR="005859B0" w:rsidRPr="003834C8">
        <w:t xml:space="preserve"> </w:t>
      </w:r>
      <w:r w:rsidRPr="003834C8">
        <w:t>nélküli betegeknél, illetve közepesen súlyos - súlyos mitralis stenosisban szenvedő betegeknél. Emiatt az edoxabán alkalmazása ezeknél a betegeknél nem javasolt.</w:t>
      </w:r>
    </w:p>
    <w:p w14:paraId="725F0A1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Hemodinamikailag instabil, PE-ban szenvedő betegek, illetve thrombolysist vagy pulmonalis</w:t>
      </w:r>
      <w:r w:rsidRPr="003834C8">
        <w:t xml:space="preserve"> </w:t>
      </w:r>
      <w:r w:rsidRPr="003834C8">
        <w:rPr>
          <w:u w:val="single"/>
        </w:rPr>
        <w:t>embolectomiát igénylő betegek</w:t>
      </w:r>
    </w:p>
    <w:p w14:paraId="725F0A1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nem javasolt UFH alternatívájaként olyan pulmonalis emboliában szenvedő betegeknél, akiknél hemodinamikai instabilitás áll fenn, illetve akiknél thrombolysisre vagy pulmonalis embolectomiára van lehetőség, mivel az edoxabán biztonságosságát és hatásosságát ezekben a klinikai helyzetekben nem igazolták.</w:t>
      </w:r>
    </w:p>
    <w:p w14:paraId="725F0A1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Aktív daganatos betegségben szenvedő betegek</w:t>
      </w:r>
    </w:p>
    <w:p w14:paraId="725F0A1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1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hatásosságát és biztonságosságát VTE kezelésében és/vagy megelőzésében aktív dagantos betegségben szenvedő betegeknél nem igazolták.</w:t>
      </w:r>
    </w:p>
    <w:p w14:paraId="725F0A2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Antifoszfolipid szindrómában szenvedő betegek</w:t>
      </w:r>
    </w:p>
    <w:p w14:paraId="725F0A2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direkt hatású orális antikoagulánsok (DOAC), köztük az edoxabán, nem javasoltak olyan, korábban thrombosison átesett betegeknél, akiknél antifoszfolipid szindrómát diagnosztizáltak. Különösen tripla pozitív betegeknél (lupusz antikoaguláns, antikardiolipin antitestek és anti-béta-2-glikoprotein-I antitestek) a DOAC-kezelés visszatérő thromboticus események magasabb gyakoriságával társulhat a K-vitamin antagonistákhoz képest.</w:t>
      </w:r>
    </w:p>
    <w:p w14:paraId="725F0A2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Laboratóriumi véralvadási paraméterek</w:t>
      </w:r>
    </w:p>
    <w:p w14:paraId="725F0A2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7" w14:textId="2668D406" w:rsidR="00DD077B" w:rsidRPr="003834C8" w:rsidRDefault="0043432F" w:rsidP="003834C8">
      <w:pPr>
        <w:pStyle w:val="Szvegtrzs"/>
        <w:tabs>
          <w:tab w:val="left" w:pos="0"/>
        </w:tabs>
      </w:pPr>
      <w:r w:rsidRPr="003834C8">
        <w:t>Bár az edoxabán-kezelés alatt nem szükséges a rutinszerű monitorozás, a véralvadásgátlásra gyakorolt hatás kalibrált kvantitatív anti-Xa faktor (anti-FXa) teszttel becsülhető, ami bizonyos helyzetekben segíthet a klinikai döntésekben, p</w:t>
      </w:r>
      <w:r w:rsidR="000F2472">
        <w:t>éldául</w:t>
      </w:r>
      <w:r w:rsidRPr="003834C8">
        <w:t xml:space="preserve"> túladagolás és sürgős műtét esetén (lásd még 5.2 pont).</w:t>
      </w:r>
    </w:p>
    <w:p w14:paraId="725F0A2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9" w14:textId="1E9AC0B9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Xa faktor (FXa)</w:t>
      </w:r>
      <w:r w:rsidR="003D7B59" w:rsidRPr="003834C8">
        <w:t>-</w:t>
      </w:r>
      <w:r w:rsidRPr="003834C8">
        <w:t xml:space="preserve">gátlás eredményeképpen az edoxabán megnyújtja a standard véralvadási </w:t>
      </w:r>
      <w:r w:rsidR="003D7B59" w:rsidRPr="003834C8">
        <w:lastRenderedPageBreak/>
        <w:t xml:space="preserve">vizsgálatok </w:t>
      </w:r>
      <w:r w:rsidRPr="003834C8">
        <w:t>idejét, mint amilyen a prothrombinidő (PT), az INR és az aktivált parciális thromboplastinidő (aPTT). A véralvadási vizsgálatok eredményeiben megfigyelt változások az elvárt terápiás adagolás</w:t>
      </w:r>
      <w:r w:rsidR="00F313DC" w:rsidRPr="003834C8">
        <w:t xml:space="preserve"> </w:t>
      </w:r>
      <w:r w:rsidRPr="003834C8">
        <w:t>mellett ugyanakkor mérsékeltek, nagy variabilitást mutatnak, és nem alkalmasak az edoxabán antikoaguláns hatásának monitorozására.</w:t>
      </w:r>
    </w:p>
    <w:p w14:paraId="725F0A2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2B" w14:textId="77777777" w:rsidR="00DD077B" w:rsidRPr="003834C8" w:rsidRDefault="0043432F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4.5</w:t>
      </w:r>
      <w:r w:rsidRPr="003834C8">
        <w:rPr>
          <w:b/>
        </w:rPr>
        <w:tab/>
        <w:t>Gyógyszerkölcsönhatások és egyéb interakciók</w:t>
      </w:r>
    </w:p>
    <w:p w14:paraId="725F0A2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2D" w14:textId="13582EC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túlnyomórészt a gastrointestinális (GI) traktus felső szakaszából szívódik fel. </w:t>
      </w:r>
      <w:r w:rsidR="008C09CB">
        <w:t xml:space="preserve">Ezért </w:t>
      </w:r>
      <w:r w:rsidRPr="003834C8">
        <w:t xml:space="preserve">azok a gyógyszerek vagy betegségek, amelyek fokozzák a gyomor kiürülését és a bélmozgást, csökkenthetik az edoxabán </w:t>
      </w:r>
      <w:r w:rsidR="00C20D49" w:rsidRPr="003834C8">
        <w:t>ki</w:t>
      </w:r>
      <w:r w:rsidRPr="003834C8">
        <w:t>oldódását és felszívódását.</w:t>
      </w:r>
    </w:p>
    <w:p w14:paraId="653EC130" w14:textId="77777777" w:rsidR="00DD077B" w:rsidRPr="003834C8" w:rsidRDefault="00DD077B" w:rsidP="003834C8">
      <w:pPr>
        <w:tabs>
          <w:tab w:val="left" w:pos="0"/>
        </w:tabs>
      </w:pPr>
    </w:p>
    <w:p w14:paraId="725F0A2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P-gp-inhibitorok</w:t>
      </w:r>
    </w:p>
    <w:p w14:paraId="725F0A3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33" w14:textId="36B107B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az efflux transzporter P-gp szubsztrátja. Farmakokinetikai (PK) vizsgálatokban az edoxabán és a ciklosporin, dronedaron, eritromicin, ketokonazol, kinidin vagy verapamil</w:t>
      </w:r>
      <w:r w:rsidR="00F716E4" w:rsidRPr="003834C8">
        <w:t xml:space="preserve"> </w:t>
      </w:r>
      <w:r w:rsidRPr="003834C8">
        <w:t xml:space="preserve">P-gp-inhibitorok egyidejű alkalmazása emelkedett edoxabán plazmakoncentrációkat eredményezett. Edoxabán és ciklosporin, dronedaron, eritromicin vagy ketokonazol egyidejű alkalmazásakor az </w:t>
      </w:r>
      <w:r w:rsidR="00C20D49" w:rsidRPr="003834C8">
        <w:t>dózist</w:t>
      </w:r>
      <w:r w:rsidRPr="003834C8">
        <w:t xml:space="preserve"> napi egyszer 30</w:t>
      </w:r>
      <w:r w:rsidR="0050166E">
        <w:t> mg</w:t>
      </w:r>
      <w:r w:rsidRPr="003834C8">
        <w:t>-ra kell csökkenteni. Az edoxabán kinidinnel, verapamillal vagy amiodaronnal való együttadásakor a klinikai adatok alapján nem szükséges a</w:t>
      </w:r>
      <w:r w:rsidR="00C20D49" w:rsidRPr="003834C8">
        <w:t xml:space="preserve"> dózis</w:t>
      </w:r>
      <w:r w:rsidRPr="003834C8">
        <w:t xml:space="preserve"> csökkentése (lásd</w:t>
      </w:r>
      <w:r w:rsidR="00F716E4" w:rsidRPr="003834C8">
        <w:t xml:space="preserve"> </w:t>
      </w:r>
      <w:r w:rsidRPr="003834C8">
        <w:t>4.2 pont).</w:t>
      </w:r>
    </w:p>
    <w:p w14:paraId="725F0A3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alkalmazását más P-gp-inhibitorokkal (beleértve a humán immundeficiencia vírus [HIV] proteáz-inhibitorokat) nem vizsgálták.</w:t>
      </w:r>
    </w:p>
    <w:p w14:paraId="725F0A3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36" w14:textId="3907558B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következő P-gp-inhibitorokkal való együttadás során napi egyszer 30</w:t>
      </w:r>
      <w:r w:rsidR="0050166E">
        <w:t> mg</w:t>
      </w:r>
      <w:r w:rsidRPr="003834C8">
        <w:t xml:space="preserve"> edoxabánt </w:t>
      </w:r>
      <w:r w:rsidR="00601221">
        <w:t>javallott</w:t>
      </w:r>
      <w:r w:rsidRPr="003834C8">
        <w:t xml:space="preserve"> alkalmazni:</w:t>
      </w:r>
    </w:p>
    <w:p w14:paraId="725F0A37" w14:textId="7ECA9310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r w:rsidRPr="003834C8">
        <w:rPr>
          <w:i/>
        </w:rPr>
        <w:t xml:space="preserve">Ciklosporin: </w:t>
      </w:r>
      <w:r w:rsidRPr="003834C8">
        <w:t>egyszeri 500</w:t>
      </w:r>
      <w:r w:rsidR="0050166E">
        <w:t> mg</w:t>
      </w:r>
      <w:r w:rsidRPr="003834C8">
        <w:t xml:space="preserve"> ciklosporin és egyszeri 60</w:t>
      </w:r>
      <w:r w:rsidR="0050166E">
        <w:t> mg</w:t>
      </w:r>
      <w:r w:rsidRPr="003834C8">
        <w:t xml:space="preserve"> edoxabán egyidejű alkalmazását követően az edoxabán AUC-értéke és a maximális szérumkoncentráció (C</w:t>
      </w:r>
      <w:r w:rsidR="001D1678" w:rsidRPr="003834C8">
        <w:rPr>
          <w:vertAlign w:val="subscript"/>
        </w:rPr>
        <w:t>max</w:t>
      </w:r>
      <w:r w:rsidRPr="003834C8">
        <w:t>) értéke sorrendben 73%-kal, illetve 74%-kal emelkedett.</w:t>
      </w:r>
    </w:p>
    <w:p w14:paraId="725F0A38" w14:textId="05244184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r w:rsidRPr="003834C8">
        <w:rPr>
          <w:i/>
        </w:rPr>
        <w:t xml:space="preserve">Dronedaron: </w:t>
      </w:r>
      <w:r w:rsidRPr="003834C8">
        <w:t>7 napon keresztül napi kétszer 400</w:t>
      </w:r>
      <w:r w:rsidR="0050166E">
        <w:t> mg</w:t>
      </w:r>
      <w:r w:rsidRPr="003834C8">
        <w:t xml:space="preserve"> dronedaron alkalmazását és az 5. napo</w:t>
      </w:r>
      <w:r w:rsidR="001D1678" w:rsidRPr="003834C8">
        <w:t>n 6</w:t>
      </w:r>
      <w:r w:rsidRPr="003834C8">
        <w:t>0</w:t>
      </w:r>
      <w:r w:rsidR="0050166E">
        <w:t> mg</w:t>
      </w:r>
      <w:r w:rsidRPr="003834C8">
        <w:t xml:space="preserve"> edoxabán egyszeri </w:t>
      </w:r>
      <w:r w:rsidR="00C20D49" w:rsidRPr="003834C8">
        <w:t>dózisban</w:t>
      </w:r>
      <w:r w:rsidRPr="003834C8">
        <w:t xml:space="preserve"> történő egyidejű alkalmazását követően az edoxabán AUC-értéke és C</w:t>
      </w:r>
      <w:r w:rsidR="001D1678" w:rsidRPr="003834C8">
        <w:rPr>
          <w:vertAlign w:val="subscript"/>
        </w:rPr>
        <w:t>max</w:t>
      </w:r>
      <w:r w:rsidRPr="003834C8">
        <w:t>-értéke sorrendben 85%-kal, illetve 46%-kal emelkedett.</w:t>
      </w:r>
    </w:p>
    <w:p w14:paraId="725F0A39" w14:textId="72C603C1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r w:rsidRPr="003834C8">
        <w:rPr>
          <w:i/>
        </w:rPr>
        <w:t xml:space="preserve">Eritromicin: </w:t>
      </w:r>
      <w:r w:rsidRPr="003834C8">
        <w:t>8 napon keresztül napi négyszer 500</w:t>
      </w:r>
      <w:r w:rsidR="0050166E">
        <w:t> mg</w:t>
      </w:r>
      <w:r w:rsidRPr="003834C8">
        <w:t xml:space="preserve"> eritromicin alkalmazását és a 7. napo</w:t>
      </w:r>
      <w:r w:rsidR="001D1678" w:rsidRPr="003834C8">
        <w:t>n 60</w:t>
      </w:r>
      <w:r w:rsidR="0050166E">
        <w:t> mg</w:t>
      </w:r>
      <w:r w:rsidRPr="003834C8">
        <w:t xml:space="preserve"> edoxabán egyszeri </w:t>
      </w:r>
      <w:r w:rsidR="00C20D49" w:rsidRPr="003834C8">
        <w:t>dózis</w:t>
      </w:r>
      <w:r w:rsidRPr="003834C8">
        <w:t>ban történő egyidejű alkalmazását követően az edoxabán AUC-értéke és C</w:t>
      </w:r>
      <w:r w:rsidRPr="005E4409">
        <w:rPr>
          <w:vertAlign w:val="subscript"/>
        </w:rPr>
        <w:t>max</w:t>
      </w:r>
      <w:r w:rsidRPr="003834C8">
        <w:t>-értéke sorrendben 85%-kal, illetve 68%-kal emelkedett.</w:t>
      </w:r>
    </w:p>
    <w:p w14:paraId="725F0A3A" w14:textId="2DAC82F1" w:rsidR="00DD077B" w:rsidRPr="003834C8" w:rsidRDefault="0043432F" w:rsidP="003834C8">
      <w:pPr>
        <w:pStyle w:val="Listaszerbekezds"/>
        <w:numPr>
          <w:ilvl w:val="0"/>
          <w:numId w:val="20"/>
        </w:numPr>
        <w:tabs>
          <w:tab w:val="left" w:pos="567"/>
        </w:tabs>
        <w:ind w:left="567"/>
      </w:pPr>
      <w:r w:rsidRPr="003834C8">
        <w:rPr>
          <w:i/>
        </w:rPr>
        <w:t xml:space="preserve">Ketokonazol: </w:t>
      </w:r>
      <w:r w:rsidRPr="003834C8">
        <w:t>7 napon keresztül napi egyszer 400</w:t>
      </w:r>
      <w:r w:rsidR="0050166E">
        <w:t> mg</w:t>
      </w:r>
      <w:r w:rsidRPr="003834C8">
        <w:t xml:space="preserve"> ketokonazol alkalmazását és a 4. napo</w:t>
      </w:r>
      <w:r w:rsidR="001D1678" w:rsidRPr="003834C8">
        <w:t>n 60</w:t>
      </w:r>
      <w:r w:rsidR="0050166E">
        <w:t> mg</w:t>
      </w:r>
      <w:r w:rsidRPr="003834C8">
        <w:t xml:space="preserve"> edoxabán egyszeri </w:t>
      </w:r>
      <w:r w:rsidR="00514673" w:rsidRPr="003834C8">
        <w:t>dózis</w:t>
      </w:r>
      <w:r w:rsidRPr="003834C8">
        <w:t>ban történő egyidejű alkalmazását követően az edoxabán AUC-értéke és C</w:t>
      </w:r>
      <w:r w:rsidRPr="005E4409">
        <w:rPr>
          <w:vertAlign w:val="subscript"/>
        </w:rPr>
        <w:t>max</w:t>
      </w:r>
      <w:r w:rsidRPr="003834C8">
        <w:t>-értéke sorrendben 87%-kal, illetve 89%-kal emelkedett.</w:t>
      </w:r>
    </w:p>
    <w:p w14:paraId="725F0A3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3C" w14:textId="696999BF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következő P-gp-inhibitorokkal való együttadás során napi egyszer 60</w:t>
      </w:r>
      <w:r w:rsidR="0050166E">
        <w:t> mg</w:t>
      </w:r>
      <w:r w:rsidRPr="003834C8">
        <w:t xml:space="preserve"> edoxabánt </w:t>
      </w:r>
      <w:r w:rsidR="00B8017F">
        <w:t>javallott</w:t>
      </w:r>
      <w:r w:rsidRPr="003834C8">
        <w:t xml:space="preserve"> alkalmazni:</w:t>
      </w:r>
    </w:p>
    <w:p w14:paraId="725F0A3E" w14:textId="7F911206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r w:rsidRPr="003834C8">
        <w:rPr>
          <w:i/>
        </w:rPr>
        <w:t xml:space="preserve">Kinidin: </w:t>
      </w:r>
      <w:r w:rsidRPr="003834C8">
        <w:t>napi egyszeri 300</w:t>
      </w:r>
      <w:r w:rsidR="0050166E">
        <w:t> mg</w:t>
      </w:r>
      <w:r w:rsidRPr="003834C8">
        <w:t xml:space="preserve"> kinidin az 1. és a 4. napon, illetve napi háromszor a 2. és </w:t>
      </w:r>
      <w:r w:rsidR="0054173B" w:rsidRPr="003834C8">
        <w:t xml:space="preserve">a 3. </w:t>
      </w:r>
      <w:r w:rsidRPr="003834C8">
        <w:t>napon</w:t>
      </w:r>
      <w:r w:rsidR="00472593">
        <w:t xml:space="preserve">, </w:t>
      </w:r>
      <w:r w:rsidR="00472593" w:rsidRPr="001363C9">
        <w:rPr>
          <w:noProof/>
        </w:rPr>
        <w:t>valamint a 3</w:t>
      </w:r>
      <w:r w:rsidR="00472593">
        <w:rPr>
          <w:noProof/>
        </w:rPr>
        <w:t>.</w:t>
      </w:r>
      <w:r w:rsidR="00472593" w:rsidRPr="00BC6A2D">
        <w:t xml:space="preserve"> </w:t>
      </w:r>
      <w:r w:rsidR="00472593">
        <w:t>napon</w:t>
      </w:r>
      <w:r w:rsidRPr="003834C8">
        <w:t xml:space="preserve"> 60</w:t>
      </w:r>
      <w:r w:rsidR="0050166E">
        <w:t> mg</w:t>
      </w:r>
      <w:r w:rsidRPr="003834C8">
        <w:t xml:space="preserve"> edoxabán egyszeri </w:t>
      </w:r>
      <w:r w:rsidR="00632AFD" w:rsidRPr="003834C8">
        <w:t xml:space="preserve">dózisban </w:t>
      </w:r>
      <w:r w:rsidRPr="003834C8">
        <w:t>történő egyidejű alkalmazását követően 24 óra alatt az edoxabán AUC-értéke 77%-kal, C</w:t>
      </w:r>
      <w:r w:rsidR="001D1678" w:rsidRPr="003834C8">
        <w:rPr>
          <w:vertAlign w:val="subscript"/>
        </w:rPr>
        <w:t>max</w:t>
      </w:r>
      <w:r w:rsidRPr="003834C8">
        <w:t>-értéke 85%-kal emelkedett.</w:t>
      </w:r>
    </w:p>
    <w:p w14:paraId="725F0A3F" w14:textId="76AB154F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r w:rsidRPr="003834C8">
        <w:rPr>
          <w:i/>
        </w:rPr>
        <w:t xml:space="preserve">Verapamil: </w:t>
      </w:r>
      <w:r w:rsidRPr="003834C8">
        <w:t>11 napon keresztül napi egyszer 240</w:t>
      </w:r>
      <w:r w:rsidR="0050166E">
        <w:t> mg</w:t>
      </w:r>
      <w:r w:rsidRPr="003834C8">
        <w:t xml:space="preserve"> verapamil alkalmazását és a 10. napo</w:t>
      </w:r>
      <w:r w:rsidR="001D1678" w:rsidRPr="003834C8">
        <w:t>n 60</w:t>
      </w:r>
      <w:r w:rsidR="0050166E">
        <w:t> mg</w:t>
      </w:r>
      <w:r w:rsidRPr="003834C8">
        <w:t xml:space="preserve"> edoxabán egyszeri </w:t>
      </w:r>
      <w:r w:rsidR="008F4DCC" w:rsidRPr="003834C8">
        <w:t>dózis</w:t>
      </w:r>
      <w:r w:rsidRPr="003834C8">
        <w:t>ban történő egyidejű alkalmazását követően az edoxabán AUC-értéke és C</w:t>
      </w:r>
      <w:r w:rsidR="001D1678" w:rsidRPr="003834C8">
        <w:rPr>
          <w:vertAlign w:val="subscript"/>
        </w:rPr>
        <w:t>max</w:t>
      </w:r>
      <w:r w:rsidRPr="003834C8">
        <w:t>-értéke körülbelül 53%-kal emelkedett.</w:t>
      </w:r>
    </w:p>
    <w:p w14:paraId="725F0A42" w14:textId="1C924796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r w:rsidRPr="003834C8">
        <w:rPr>
          <w:i/>
        </w:rPr>
        <w:t xml:space="preserve">Amiodaron: </w:t>
      </w:r>
      <w:r w:rsidRPr="003834C8">
        <w:t>Naponta egyszer 400</w:t>
      </w:r>
      <w:r w:rsidR="0050166E">
        <w:t> mg</w:t>
      </w:r>
      <w:r w:rsidRPr="003834C8">
        <w:t xml:space="preserve"> amiodaron naponta egyszer 60</w:t>
      </w:r>
      <w:r w:rsidR="0050166E">
        <w:t> mg</w:t>
      </w:r>
      <w:r w:rsidRPr="003834C8">
        <w:t xml:space="preserve"> edoxabánnal együtt történő alkalmazása az AUC-értéket 40%-kal, míg a C</w:t>
      </w:r>
      <w:r w:rsidR="001D1678" w:rsidRPr="003834C8">
        <w:rPr>
          <w:vertAlign w:val="subscript"/>
        </w:rPr>
        <w:t>max</w:t>
      </w:r>
      <w:r w:rsidRPr="003834C8">
        <w:t>-értéket 66%-kal növelte. Ezt nem tekintették klinikailag jelentősnek. Az NVAF indikációban végzett ENGAGE</w:t>
      </w:r>
      <w:r w:rsidR="003841A2" w:rsidRPr="003834C8">
        <w:t xml:space="preserve"> </w:t>
      </w:r>
      <w:r w:rsidRPr="003834C8">
        <w:t>AF-TIMI 48 vizsgálatban a biztonságossági és hatásossági eredmények hasonlóak voltak az</w:t>
      </w:r>
      <w:r w:rsidR="00F716E4" w:rsidRPr="003834C8">
        <w:t xml:space="preserve"> </w:t>
      </w:r>
      <w:r w:rsidRPr="003834C8">
        <w:t>egyidejűleg amiodaronnal kezelt és amiodaronnal nem kezelt betegeknél.</w:t>
      </w:r>
    </w:p>
    <w:p w14:paraId="725F0A43" w14:textId="4578BDBC" w:rsidR="00DD077B" w:rsidRPr="003834C8" w:rsidRDefault="0043432F" w:rsidP="003834C8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r w:rsidRPr="003834C8">
        <w:rPr>
          <w:i/>
        </w:rPr>
        <w:t xml:space="preserve">Klaritromicin: </w:t>
      </w:r>
      <w:r w:rsidRPr="003834C8">
        <w:t>10 napon keresztül klaritromicin (napi kétszer 500</w:t>
      </w:r>
      <w:r w:rsidR="0050166E">
        <w:t> mg</w:t>
      </w:r>
      <w:r w:rsidRPr="003834C8">
        <w:t>) és a 9. napon 60</w:t>
      </w:r>
      <w:r w:rsidR="0050166E">
        <w:t> mg</w:t>
      </w:r>
      <w:r w:rsidRPr="003834C8">
        <w:t xml:space="preserve"> edoxabán egyszeri </w:t>
      </w:r>
      <w:r w:rsidR="00632AFD" w:rsidRPr="003834C8">
        <w:t xml:space="preserve">dózisban </w:t>
      </w:r>
      <w:r w:rsidRPr="003834C8">
        <w:t>történő egyidejű alkalmazását követően az edoxabán AUC-értéke körülbelül 53%-kal, C</w:t>
      </w:r>
      <w:r w:rsidR="003841A2" w:rsidRPr="003834C8">
        <w:rPr>
          <w:vertAlign w:val="subscript"/>
        </w:rPr>
        <w:t>max</w:t>
      </w:r>
      <w:r w:rsidRPr="003834C8">
        <w:t>-értéke körülbelül 27%-kal emelkedett.</w:t>
      </w:r>
    </w:p>
    <w:p w14:paraId="725F0A4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P-gp-induktorok</w:t>
      </w:r>
    </w:p>
    <w:p w14:paraId="725F0A4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7" w14:textId="133C35F1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és a P-gp-induktor rifampicin egyidejű alkalmazása az edoxabán átlagos AUC-értékének </w:t>
      </w:r>
      <w:r w:rsidRPr="003834C8">
        <w:lastRenderedPageBreak/>
        <w:t>csökkenését és felezési idejének lerövidülését okozta, ami a farmakodinámiás hatások csökkenéséhez vezethet. Az edoxabán együttes alkalmazása egyéb P-gp-induktorokkal (p</w:t>
      </w:r>
      <w:r w:rsidR="00472593">
        <w:t>éldául</w:t>
      </w:r>
      <w:r w:rsidRPr="003834C8">
        <w:t xml:space="preserve"> fenitoin, karbamazepin, fenobarbitál vagy közönséges orbáncfű) az edoxabán plazmakoncentrációjának csökkenéséhez vezethet. Az edoxabánt </w:t>
      </w:r>
      <w:r w:rsidR="008F4DCC" w:rsidRPr="003834C8">
        <w:t>elővigyáz</w:t>
      </w:r>
      <w:r w:rsidRPr="003834C8">
        <w:t>atosan kell alkalmazni P-gp-induktorokkal való együttadáskor.</w:t>
      </w:r>
    </w:p>
    <w:p w14:paraId="725F0A4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P-gp szubsztrátok</w:t>
      </w:r>
    </w:p>
    <w:p w14:paraId="725F0A4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4B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Digoxin</w:t>
      </w:r>
    </w:p>
    <w:p w14:paraId="725F0A4E" w14:textId="7F570EAC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1</w:t>
      </w:r>
      <w:r w:rsidR="008F4DCC" w:rsidRPr="003834C8">
        <w:t>–</w:t>
      </w:r>
      <w:r w:rsidRPr="003834C8">
        <w:t>14. napon alkalmazott napi egyszeri 60</w:t>
      </w:r>
      <w:r w:rsidR="0050166E">
        <w:t> mg</w:t>
      </w:r>
      <w:r w:rsidRPr="003834C8">
        <w:t xml:space="preserve"> edoxabán és naponta kétszer (a 8. és 9. napon), illetve naponta egyszer (a 10</w:t>
      </w:r>
      <w:r w:rsidR="003841A2" w:rsidRPr="003834C8">
        <w:noBreakHyphen/>
      </w:r>
      <w:r w:rsidRPr="003834C8">
        <w:t>14. napon) alkalmazott 0,25</w:t>
      </w:r>
      <w:r w:rsidR="0050166E">
        <w:t> mg</w:t>
      </w:r>
      <w:r w:rsidRPr="003834C8">
        <w:t xml:space="preserve"> digoxin egyidejű alkalmazását követően az edoxabán C</w:t>
      </w:r>
      <w:r w:rsidR="003841A2" w:rsidRPr="003834C8">
        <w:rPr>
          <w:vertAlign w:val="subscript"/>
        </w:rPr>
        <w:t>max</w:t>
      </w:r>
      <w:r w:rsidRPr="003834C8">
        <w:t>-értéke 17%-kal nőtt, míg az AUC és a dinamikus egyensúlyi állapot renális</w:t>
      </w:r>
      <w:r w:rsidR="003A0230" w:rsidRPr="003834C8">
        <w:t xml:space="preserve"> </w:t>
      </w:r>
      <w:r w:rsidRPr="003834C8">
        <w:t>clearance-e nem változott számottevően. Az edoxabán digoxin farmakokinetikájára gyakorolt hatásának vizsgálata során a digoxin C</w:t>
      </w:r>
      <w:r w:rsidR="009E486E" w:rsidRPr="003834C8">
        <w:rPr>
          <w:vertAlign w:val="subscript"/>
        </w:rPr>
        <w:t>max</w:t>
      </w:r>
      <w:r w:rsidRPr="003834C8">
        <w:t>-értéke körülbelül 28%-kal, AUC-értéke 7%-kal emelkedett. Ezt nem tartották klinikailag jelentősnek. Edoxabán és digoxin egyidejű alkalmazásakor nincs szükség a</w:t>
      </w:r>
      <w:r w:rsidR="00E455FD" w:rsidRPr="003834C8">
        <w:t xml:space="preserve"> dózis</w:t>
      </w:r>
      <w:r w:rsidRPr="003834C8">
        <w:t xml:space="preserve"> módosítására.</w:t>
      </w:r>
    </w:p>
    <w:p w14:paraId="725F0A4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0" w14:textId="265FB93D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 xml:space="preserve">Antikoagulánsok, thrombocytaaggregáció-gátlók, nem-szteroid gyulladáscsökkentők </w:t>
      </w:r>
      <w:r w:rsidR="008F1133">
        <w:rPr>
          <w:u w:val="single"/>
        </w:rPr>
        <w:t xml:space="preserve">( NSAID-ok) </w:t>
      </w:r>
      <w:r w:rsidRPr="003834C8">
        <w:rPr>
          <w:u w:val="single"/>
        </w:rPr>
        <w:t>és</w:t>
      </w:r>
      <w:r w:rsidRPr="003834C8">
        <w:t xml:space="preserve"> </w:t>
      </w:r>
      <w:r w:rsidRPr="003834C8">
        <w:rPr>
          <w:u w:val="single"/>
        </w:rPr>
        <w:t>SSRI-k/SNRI-k</w:t>
      </w:r>
    </w:p>
    <w:p w14:paraId="725F0A5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2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Antikoagulánsok</w:t>
      </w:r>
    </w:p>
    <w:p w14:paraId="725F0A54" w14:textId="6C5DF45A" w:rsidR="00DD077B" w:rsidRPr="003834C8" w:rsidRDefault="0043432F" w:rsidP="003834C8">
      <w:pPr>
        <w:pStyle w:val="Szvegtrzs"/>
        <w:tabs>
          <w:tab w:val="left" w:pos="0"/>
        </w:tabs>
      </w:pPr>
      <w:r w:rsidRPr="003834C8">
        <w:t>Edoxabán és más antikoaguláns szerek egyidejű alkalmazása a vérzés fokozott kockázata miatt</w:t>
      </w:r>
      <w:r w:rsidR="00F716E4" w:rsidRPr="003834C8">
        <w:t xml:space="preserve"> </w:t>
      </w:r>
      <w:r w:rsidRPr="003834C8">
        <w:t>ellenjavallt (lásd 4.3 pont).</w:t>
      </w:r>
    </w:p>
    <w:p w14:paraId="725F0A5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156B51A" w14:textId="1F879440" w:rsidR="00DE4699" w:rsidRPr="003834C8" w:rsidRDefault="00DE4699" w:rsidP="003834C8">
      <w:pPr>
        <w:tabs>
          <w:tab w:val="left" w:pos="0"/>
        </w:tabs>
        <w:rPr>
          <w:i/>
        </w:rPr>
      </w:pPr>
      <w:r w:rsidRPr="003834C8">
        <w:rPr>
          <w:rFonts w:eastAsiaTheme="minorHAnsi"/>
          <w:i/>
          <w:iCs/>
        </w:rPr>
        <w:t>Acetilszalicilsav</w:t>
      </w:r>
      <w:r w:rsidRPr="003834C8" w:rsidDel="00DE4699">
        <w:rPr>
          <w:i/>
        </w:rPr>
        <w:t xml:space="preserve"> </w:t>
      </w:r>
    </w:p>
    <w:p w14:paraId="725F0A57" w14:textId="5389C477" w:rsidR="00DD077B" w:rsidRPr="003834C8" w:rsidRDefault="00DE4699" w:rsidP="003834C8">
      <w:pPr>
        <w:pStyle w:val="Szvegtrzs"/>
        <w:tabs>
          <w:tab w:val="left" w:pos="0"/>
        </w:tabs>
        <w:rPr>
          <w:iCs/>
        </w:rPr>
      </w:pPr>
      <w:r w:rsidRPr="003834C8">
        <w:t>Acetilszalicilsav</w:t>
      </w:r>
      <w:r w:rsidR="0043432F" w:rsidRPr="003834C8">
        <w:t xml:space="preserve"> (100</w:t>
      </w:r>
      <w:r w:rsidR="0050166E">
        <w:t> mg</w:t>
      </w:r>
      <w:r w:rsidR="0043432F" w:rsidRPr="003834C8">
        <w:t xml:space="preserve"> vagy 325</w:t>
      </w:r>
      <w:r w:rsidR="0050166E">
        <w:t> mg</w:t>
      </w:r>
      <w:r w:rsidR="0043432F" w:rsidRPr="003834C8">
        <w:t xml:space="preserve">) és edoxabán egyidejű alkalmazása növelte a vérzési időt mindkét magában adott gyógyszerhez képest. </w:t>
      </w:r>
      <w:r w:rsidRPr="003834C8">
        <w:t>Nagy</w:t>
      </w:r>
      <w:r w:rsidR="0043432F" w:rsidRPr="003834C8">
        <w:t xml:space="preserve"> dózisú (325</w:t>
      </w:r>
      <w:r w:rsidR="0050166E">
        <w:t> mg</w:t>
      </w:r>
      <w:r w:rsidR="0043432F" w:rsidRPr="003834C8">
        <w:t xml:space="preserve">) </w:t>
      </w:r>
      <w:r w:rsidRPr="003834C8">
        <w:t>acetilszalicilsav</w:t>
      </w:r>
      <w:r w:rsidR="0043432F" w:rsidRPr="003834C8">
        <w:t xml:space="preserve"> egyidejű alkalmazása 35%-, illetve 32%-kal növelte az edoxabán C</w:t>
      </w:r>
      <w:r w:rsidR="009E486E" w:rsidRPr="003834C8">
        <w:rPr>
          <w:vertAlign w:val="subscript"/>
        </w:rPr>
        <w:t>max</w:t>
      </w:r>
      <w:r w:rsidR="009E486E" w:rsidRPr="003834C8">
        <w:t xml:space="preserve">- </w:t>
      </w:r>
      <w:r w:rsidR="0043432F" w:rsidRPr="003834C8">
        <w:t xml:space="preserve">és AUC-értékét dinamikus egyensúlyi állapotban. </w:t>
      </w:r>
      <w:r w:rsidR="00590B85">
        <w:t>Nagy</w:t>
      </w:r>
      <w:r w:rsidR="0043432F" w:rsidRPr="003834C8">
        <w:t xml:space="preserve"> </w:t>
      </w:r>
      <w:r w:rsidR="0043432F" w:rsidRPr="003834C8">
        <w:rPr>
          <w:iCs/>
        </w:rPr>
        <w:t>dózisú (325</w:t>
      </w:r>
      <w:r w:rsidR="0050166E">
        <w:rPr>
          <w:iCs/>
        </w:rPr>
        <w:t> mg</w:t>
      </w:r>
      <w:r w:rsidR="0043432F" w:rsidRPr="003834C8">
        <w:rPr>
          <w:iCs/>
        </w:rPr>
        <w:t xml:space="preserve">) </w:t>
      </w:r>
      <w:r w:rsidRPr="003834C8">
        <w:rPr>
          <w:iCs/>
        </w:rPr>
        <w:t>acetilszalicilsav</w:t>
      </w:r>
      <w:r w:rsidR="0043432F" w:rsidRPr="003834C8">
        <w:rPr>
          <w:iCs/>
        </w:rPr>
        <w:t xml:space="preserve"> és edoxabán egyidejű alkalmazása hosszú távon nem javasolt. 100</w:t>
      </w:r>
      <w:r w:rsidR="0050166E">
        <w:rPr>
          <w:iCs/>
        </w:rPr>
        <w:t> mg</w:t>
      </w:r>
      <w:r w:rsidR="0043432F" w:rsidRPr="003834C8">
        <w:rPr>
          <w:iCs/>
        </w:rPr>
        <w:t xml:space="preserve">-nál </w:t>
      </w:r>
      <w:r w:rsidRPr="003834C8">
        <w:rPr>
          <w:iCs/>
        </w:rPr>
        <w:t>nagyobb</w:t>
      </w:r>
      <w:r w:rsidR="0043432F" w:rsidRPr="003834C8">
        <w:rPr>
          <w:iCs/>
        </w:rPr>
        <w:t xml:space="preserve"> dózisú </w:t>
      </w:r>
      <w:r w:rsidRPr="003834C8">
        <w:rPr>
          <w:iCs/>
        </w:rPr>
        <w:t>acetilszalicilsav</w:t>
      </w:r>
      <w:r w:rsidR="0043432F" w:rsidRPr="003834C8">
        <w:rPr>
          <w:iCs/>
        </w:rPr>
        <w:t xml:space="preserve"> csak orvosi felügyelet mellett adható egyidejűleg.</w:t>
      </w:r>
    </w:p>
    <w:p w14:paraId="725F0A5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9" w14:textId="0F8A3D1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Klinikai vizsgálatokban az </w:t>
      </w:r>
      <w:r w:rsidR="00310BC3" w:rsidRPr="003834C8">
        <w:t>acetilszalicilsav</w:t>
      </w:r>
      <w:r w:rsidRPr="003834C8">
        <w:t xml:space="preserve"> (</w:t>
      </w:r>
      <w:r w:rsidR="001E672C">
        <w:t>kis</w:t>
      </w:r>
      <w:r w:rsidRPr="003834C8">
        <w:t xml:space="preserve"> dózisú ≤</w:t>
      </w:r>
      <w:r w:rsidR="009E486E" w:rsidRPr="003834C8">
        <w:t> </w:t>
      </w:r>
      <w:r w:rsidRPr="003834C8">
        <w:t>100</w:t>
      </w:r>
      <w:r w:rsidR="0050166E">
        <w:t> mg</w:t>
      </w:r>
      <w:r w:rsidRPr="003834C8">
        <w:t xml:space="preserve">/nap), egyéb thrombocytaaggregáció- gátlók és tienopiridinek egyidejű alkalmazása megengedett volt, és a </w:t>
      </w:r>
      <w:r w:rsidR="001E672C">
        <w:t>súlyos</w:t>
      </w:r>
      <w:r w:rsidRPr="003834C8">
        <w:t xml:space="preserve"> vérzések számának megduplázódását eredményezte a nem egyidejű alkalmazáshoz viszonyítva, de hasonló mértékben, mint az edoxabán- és </w:t>
      </w:r>
      <w:r w:rsidR="00310BC3" w:rsidRPr="003834C8">
        <w:t xml:space="preserve">a </w:t>
      </w:r>
      <w:r w:rsidRPr="003834C8">
        <w:t xml:space="preserve">warfarin-csoportokban (lásd 4.4 pont). </w:t>
      </w:r>
      <w:r w:rsidR="00310BC3" w:rsidRPr="003834C8">
        <w:t>Kis</w:t>
      </w:r>
      <w:r w:rsidRPr="003834C8">
        <w:t xml:space="preserve"> dózisú </w:t>
      </w:r>
      <w:r w:rsidR="00310BC3" w:rsidRPr="003834C8">
        <w:t>acetilszalicilsav</w:t>
      </w:r>
      <w:r w:rsidR="00310BC3" w:rsidRPr="003834C8" w:rsidDel="00310BC3">
        <w:t xml:space="preserve"> </w:t>
      </w:r>
      <w:r w:rsidRPr="003834C8">
        <w:t>(≤</w:t>
      </w:r>
      <w:r w:rsidR="009E486E" w:rsidRPr="003834C8">
        <w:t> </w:t>
      </w:r>
      <w:r w:rsidRPr="003834C8">
        <w:t>100</w:t>
      </w:r>
      <w:r w:rsidR="0050166E">
        <w:t> mg</w:t>
      </w:r>
      <w:r w:rsidRPr="003834C8">
        <w:t xml:space="preserve">/nap) egyidejű alkalmazása nem befolyásolta az edoxabán csúcs- vagy összexpozícióját sem egyetlen </w:t>
      </w:r>
      <w:r w:rsidR="00632AFD" w:rsidRPr="003834C8">
        <w:t xml:space="preserve">dózist </w:t>
      </w:r>
      <w:r w:rsidRPr="003834C8">
        <w:t>követően, sem dinamikus egyensúlyi állapotban.</w:t>
      </w:r>
    </w:p>
    <w:p w14:paraId="725F0A5A" w14:textId="76F644C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alkalmazható egyidejűleg kis dózisú </w:t>
      </w:r>
      <w:r w:rsidR="00310BC3" w:rsidRPr="003834C8">
        <w:t>acetilszalicilsav</w:t>
      </w:r>
      <w:r w:rsidRPr="003834C8">
        <w:t>val (≤</w:t>
      </w:r>
      <w:r w:rsidR="009E486E" w:rsidRPr="003834C8">
        <w:t> </w:t>
      </w:r>
      <w:r w:rsidRPr="003834C8">
        <w:t>100</w:t>
      </w:r>
      <w:r w:rsidR="0050166E">
        <w:t> mg</w:t>
      </w:r>
      <w:r w:rsidRPr="003834C8">
        <w:t>/nap).</w:t>
      </w:r>
    </w:p>
    <w:p w14:paraId="725F0A5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C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Thrombocytaaggregáció-gátlók</w:t>
      </w:r>
    </w:p>
    <w:p w14:paraId="725F0A5D" w14:textId="45575DC6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ENGAGE AF-TIMI 48 vizsgálatban megengedett volt a tienopiridinek (p</w:t>
      </w:r>
      <w:r w:rsidR="003B6F3D">
        <w:t>éldául</w:t>
      </w:r>
      <w:r w:rsidRPr="003834C8">
        <w:t xml:space="preserve"> klopidogr</w:t>
      </w:r>
      <w:r w:rsidR="00CF227D" w:rsidRPr="003834C8">
        <w:t>é</w:t>
      </w:r>
      <w:r w:rsidRPr="003834C8">
        <w:t>l) monoterápiás egyidejű alkalmazása, és a klinikailag releváns vérzés fokozódását eredményezte, de a vérzés kockázata kisebb volt edoxabán, mint a warfarin esetén (lásd 4.4 pont).</w:t>
      </w:r>
    </w:p>
    <w:p w14:paraId="725F0A5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5F" w14:textId="1B36C480" w:rsidR="00DD077B" w:rsidRPr="003834C8" w:rsidRDefault="0043432F" w:rsidP="003834C8">
      <w:pPr>
        <w:pStyle w:val="Szvegtrzs"/>
        <w:tabs>
          <w:tab w:val="left" w:pos="0"/>
        </w:tabs>
      </w:pPr>
      <w:r w:rsidRPr="003834C8">
        <w:t>Nagyon kevés tapasztalat áll rendelkezésre az edoxabán kettős thrombocytaaggregáció-gátl</w:t>
      </w:r>
      <w:r w:rsidR="001C5E56" w:rsidRPr="003834C8">
        <w:t>ó k</w:t>
      </w:r>
      <w:r w:rsidRPr="003834C8">
        <w:t>ezeléssel vagy fibrinolyticus szerekkel való együttadásával kapcsolatban.</w:t>
      </w:r>
    </w:p>
    <w:p w14:paraId="725F0A6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1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NSAID-ok</w:t>
      </w:r>
    </w:p>
    <w:p w14:paraId="725F0A62" w14:textId="43B53F69" w:rsidR="00DD077B" w:rsidRPr="003834C8" w:rsidRDefault="0043432F" w:rsidP="003834C8">
      <w:pPr>
        <w:pStyle w:val="Szvegtrzs"/>
        <w:tabs>
          <w:tab w:val="left" w:pos="0"/>
        </w:tabs>
      </w:pPr>
      <w:r w:rsidRPr="003834C8">
        <w:t>Naproxén és edoxabán egyidejű alkalmazása növelte a vérzési időt mindkét magában adott gyógyszerhez képest. A naproxén nem befolyásolta az edoxabán C</w:t>
      </w:r>
      <w:r w:rsidRPr="003834C8">
        <w:rPr>
          <w:vertAlign w:val="subscript"/>
        </w:rPr>
        <w:t>max</w:t>
      </w:r>
      <w:r w:rsidRPr="003834C8">
        <w:t xml:space="preserve">- és AUC-értékét. Klinikai vizsgálatokban NSAID-okkal való együttadás a klinikailag releváns vérzés fokozódását eredményezte. NSAID-ok és edoxabán </w:t>
      </w:r>
      <w:r w:rsidR="003B6F3D">
        <w:t>hosszú távú</w:t>
      </w:r>
      <w:r w:rsidRPr="003834C8">
        <w:t xml:space="preserve"> egyidejű alkalmazása nem javasolt.</w:t>
      </w:r>
    </w:p>
    <w:p w14:paraId="725F0A6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4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SSRI-k/SNRI-k</w:t>
      </w:r>
    </w:p>
    <w:p w14:paraId="725F0A66" w14:textId="20FE8581" w:rsidR="00DD077B" w:rsidRPr="003834C8" w:rsidRDefault="0043432F" w:rsidP="003834C8">
      <w:pPr>
        <w:pStyle w:val="Szvegtrzs"/>
        <w:tabs>
          <w:tab w:val="left" w:pos="0"/>
        </w:tabs>
      </w:pPr>
      <w:r w:rsidRPr="003834C8">
        <w:t>Hasonlóan a többi véralvadásgátlóhoz, fennáll a vérzés fokozott kockázatának lehetősége SSRI</w:t>
      </w:r>
      <w:r w:rsidRPr="003834C8">
        <w:rPr>
          <w:i/>
        </w:rPr>
        <w:t>-</w:t>
      </w:r>
      <w:r w:rsidRPr="003834C8">
        <w:t>k vagy SNRI</w:t>
      </w:r>
      <w:r w:rsidRPr="003834C8">
        <w:rPr>
          <w:i/>
        </w:rPr>
        <w:t>-</w:t>
      </w:r>
      <w:r w:rsidRPr="003834C8">
        <w:t>k egyidejű alkalmazásakor azoknak a jelentett, vérlemezkékre gyakorolt hatásai miatt (lásd</w:t>
      </w:r>
      <w:r w:rsidR="00F716E4" w:rsidRPr="003834C8">
        <w:t xml:space="preserve"> </w:t>
      </w:r>
      <w:r w:rsidRPr="003834C8">
        <w:t xml:space="preserve">4.4 </w:t>
      </w:r>
      <w:r w:rsidRPr="003834C8">
        <w:lastRenderedPageBreak/>
        <w:t>pont).</w:t>
      </w:r>
    </w:p>
    <w:p w14:paraId="725F0A6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Az edoxabán hatása más gyógyszerekre</w:t>
      </w:r>
    </w:p>
    <w:p w14:paraId="725F0A6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A" w14:textId="2C26421B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28%-kal növelte az egyidejűleg alkalmazott digoxin C</w:t>
      </w:r>
      <w:r w:rsidR="009E486E" w:rsidRPr="003834C8">
        <w:rPr>
          <w:vertAlign w:val="subscript"/>
        </w:rPr>
        <w:t>max</w:t>
      </w:r>
      <w:r w:rsidR="00196057" w:rsidRPr="003834C8">
        <w:t xml:space="preserve"> </w:t>
      </w:r>
      <w:r w:rsidR="009E486E" w:rsidRPr="003834C8">
        <w:t>é</w:t>
      </w:r>
      <w:r w:rsidRPr="003834C8">
        <w:t>rtékét, de az AUC-értékét</w:t>
      </w:r>
      <w:r w:rsidR="009E486E" w:rsidRPr="003834C8">
        <w:t xml:space="preserve"> </w:t>
      </w:r>
      <w:r w:rsidRPr="003834C8">
        <w:t>nem befolyásolta. Az edoxabán nem befolyásolta a kinidin C</w:t>
      </w:r>
      <w:r w:rsidR="009E486E" w:rsidRPr="005E4409">
        <w:rPr>
          <w:vertAlign w:val="subscript"/>
        </w:rPr>
        <w:t>max</w:t>
      </w:r>
      <w:r w:rsidR="009E486E" w:rsidRPr="003834C8">
        <w:t>-</w:t>
      </w:r>
      <w:r w:rsidR="004016CA" w:rsidRPr="003834C8">
        <w:t xml:space="preserve"> </w:t>
      </w:r>
      <w:r w:rsidRPr="003834C8">
        <w:t>és AUC-értékét.</w:t>
      </w:r>
    </w:p>
    <w:p w14:paraId="725F0A6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6C" w14:textId="400F369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14%</w:t>
      </w:r>
      <w:r w:rsidR="00196057" w:rsidRPr="003834C8">
        <w:t>-kal</w:t>
      </w:r>
      <w:r w:rsidRPr="003834C8">
        <w:t>, illetve 16%-kal csökkentette az egyidejűleg alkalmazott verapamil C</w:t>
      </w:r>
      <w:r w:rsidR="004016CA" w:rsidRPr="003834C8">
        <w:rPr>
          <w:vertAlign w:val="subscript"/>
        </w:rPr>
        <w:t>max</w:t>
      </w:r>
      <w:r w:rsidR="004016CA" w:rsidRPr="003834C8">
        <w:t>-</w:t>
      </w:r>
      <w:r w:rsidRPr="003834C8">
        <w:t xml:space="preserve"> és AUC-értékét.</w:t>
      </w:r>
    </w:p>
    <w:p w14:paraId="1F0CBAE5" w14:textId="77777777" w:rsidR="00DD077B" w:rsidRPr="003834C8" w:rsidRDefault="00DD077B" w:rsidP="003834C8">
      <w:pPr>
        <w:tabs>
          <w:tab w:val="left" w:pos="0"/>
        </w:tabs>
      </w:pPr>
    </w:p>
    <w:p w14:paraId="725F0A6E" w14:textId="77777777" w:rsidR="00DD077B" w:rsidRPr="003834C8" w:rsidRDefault="0043432F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4.6</w:t>
      </w:r>
      <w:r w:rsidRPr="003834C8">
        <w:rPr>
          <w:b/>
        </w:rPr>
        <w:tab/>
        <w:t>Termékenység, terhesség és szoptatás</w:t>
      </w:r>
    </w:p>
    <w:p w14:paraId="725F0A6F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7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Fogamzóképes korban lévő nők</w:t>
      </w:r>
    </w:p>
    <w:p w14:paraId="725F0A7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461BC06D" w14:textId="77777777" w:rsidR="00F716E4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Fogamzóképes korban lévő nőknek az edoxabán-kezelés során a teherbe esést el kell kerülniük. </w:t>
      </w:r>
    </w:p>
    <w:p w14:paraId="139FDD53" w14:textId="77777777" w:rsidR="00F716E4" w:rsidRPr="003834C8" w:rsidRDefault="00F716E4" w:rsidP="003834C8">
      <w:pPr>
        <w:pStyle w:val="Szvegtrzs"/>
        <w:tabs>
          <w:tab w:val="left" w:pos="0"/>
        </w:tabs>
      </w:pPr>
    </w:p>
    <w:p w14:paraId="725F0A72" w14:textId="31B1F8BB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Terhesség</w:t>
      </w:r>
    </w:p>
    <w:p w14:paraId="03FD41EF" w14:textId="77777777" w:rsidR="00F716E4" w:rsidRPr="003834C8" w:rsidRDefault="00F716E4" w:rsidP="003834C8">
      <w:pPr>
        <w:pStyle w:val="Szvegtrzs"/>
        <w:tabs>
          <w:tab w:val="left" w:pos="0"/>
        </w:tabs>
      </w:pPr>
    </w:p>
    <w:p w14:paraId="725F0A73" w14:textId="1B4E67C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biztonságosságát és hatásosságát terhes nőknél nem igazolták. Az állatokkal végzett vizsgálatok reproduk</w:t>
      </w:r>
      <w:r w:rsidR="00174CDD">
        <w:t>tív</w:t>
      </w:r>
      <w:r w:rsidRPr="003834C8">
        <w:t xml:space="preserve"> toxicitást igazoltak (lásd 5.3 pont). A potenciális reproduk</w:t>
      </w:r>
      <w:r w:rsidR="00596025" w:rsidRPr="003834C8">
        <w:t>ciós</w:t>
      </w:r>
      <w:r w:rsidRPr="003834C8">
        <w:t xml:space="preserve"> toxicitás, a vérzés intrinszik kockázata miatt, valamint abból a tényből adódóan, hogy az edoxabán átjut a placentán, </w:t>
      </w:r>
      <w:r w:rsidR="00E61485">
        <w:t>az Oblonel</w:t>
      </w:r>
      <w:r w:rsidR="00A44772">
        <w:t>a</w:t>
      </w:r>
      <w:r w:rsidRPr="003834C8">
        <w:t xml:space="preserve"> alkalmazása a terhesség alatt ellenjavallt (lásd 4.3 pont).</w:t>
      </w:r>
    </w:p>
    <w:p w14:paraId="725F0A7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Szoptatás</w:t>
      </w:r>
    </w:p>
    <w:p w14:paraId="725F0A7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7" w14:textId="4370B9B6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biztonságosságát és hatásosságát szoptató nőknél nem igazolták. Az állatokkal végzett vizsgálatokból származó adatok azt jelzik, hogy az edoxabán kiválasztódik az anyatejbe. Ezért </w:t>
      </w:r>
      <w:r w:rsidR="00E61485">
        <w:t>az Oblonel</w:t>
      </w:r>
      <w:r w:rsidR="00A44772">
        <w:t>a</w:t>
      </w:r>
      <w:r w:rsidRPr="003834C8">
        <w:t xml:space="preserve"> alkalmazása ellenjavallt szoptatás alatt (lásd 4.3 pont). El kell dönteni, hogy a szoptatást függesztik fel, vagy megszakítják a kezelést/tartózkodnak a kezeléstől.</w:t>
      </w:r>
    </w:p>
    <w:p w14:paraId="725F0A7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Termékenység</w:t>
      </w:r>
    </w:p>
    <w:p w14:paraId="725F0A7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C" w14:textId="17F6C165" w:rsidR="00DD077B" w:rsidRPr="003834C8" w:rsidRDefault="0043432F" w:rsidP="003834C8">
      <w:pPr>
        <w:pStyle w:val="Szvegtrzs"/>
        <w:tabs>
          <w:tab w:val="left" w:pos="0"/>
        </w:tabs>
      </w:pPr>
      <w:r w:rsidRPr="003834C8">
        <w:t>Nem végeztek humán termékenységre kifejtett hatásokat értékelő vizsgálatokat edoxabánnal. Egy patkányok</w:t>
      </w:r>
      <w:r w:rsidR="00596025" w:rsidRPr="003834C8">
        <w:t>kal</w:t>
      </w:r>
      <w:r w:rsidRPr="003834C8">
        <w:t xml:space="preserve"> végzett vizsgálatban nem észleltek a hím és nőstény fertilitásra gyakorolt hatásokat (lásd</w:t>
      </w:r>
      <w:r w:rsidR="00022506" w:rsidRPr="003834C8">
        <w:t xml:space="preserve"> </w:t>
      </w:r>
      <w:r w:rsidRPr="003834C8">
        <w:t>5.3 pont).</w:t>
      </w:r>
    </w:p>
    <w:p w14:paraId="725F0A7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7E" w14:textId="35F072B5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4.7</w:t>
      </w:r>
      <w:r w:rsidRPr="003834C8">
        <w:rPr>
          <w:b/>
        </w:rPr>
        <w:tab/>
      </w:r>
      <w:r w:rsidR="0043432F" w:rsidRPr="003834C8">
        <w:rPr>
          <w:b/>
        </w:rPr>
        <w:t>A készítmény hatásai a gépjárművezetéshez és a gépek kezeléséhez szükséges képességekre</w:t>
      </w:r>
    </w:p>
    <w:p w14:paraId="725F0A7F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80" w14:textId="20F666DC" w:rsidR="00DD077B" w:rsidRPr="003834C8" w:rsidRDefault="00E61485" w:rsidP="003834C8">
      <w:pPr>
        <w:pStyle w:val="Szvegtrzs"/>
        <w:tabs>
          <w:tab w:val="left" w:pos="0"/>
        </w:tabs>
      </w:pPr>
      <w:r>
        <w:t>Az Oblonel</w:t>
      </w:r>
      <w:r w:rsidR="00A44772">
        <w:t>a</w:t>
      </w:r>
      <w:r w:rsidR="0043432F" w:rsidRPr="003834C8">
        <w:t xml:space="preserve"> nem, vagy csak elhanyagolható mértékben befolyásolja a gépjárművezetéshez és a gépek</w:t>
      </w:r>
    </w:p>
    <w:p w14:paraId="725F0A8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kezeléséhez szükséges képességeket.</w:t>
      </w:r>
    </w:p>
    <w:p w14:paraId="725F0A8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83" w14:textId="0703D6DD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4.8</w:t>
      </w:r>
      <w:r w:rsidRPr="003834C8">
        <w:rPr>
          <w:b/>
        </w:rPr>
        <w:tab/>
      </w:r>
      <w:r w:rsidR="0043432F" w:rsidRPr="003834C8">
        <w:rPr>
          <w:b/>
        </w:rPr>
        <w:t>Nemkívánatos hatások, mellékhatások</w:t>
      </w:r>
    </w:p>
    <w:p w14:paraId="725F0A84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A8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 biztonságossági profil összefoglalása</w:t>
      </w:r>
    </w:p>
    <w:p w14:paraId="725F0A8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A87" w14:textId="74D7EBC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biztonságossági profilját két </w:t>
      </w:r>
      <w:r w:rsidR="00215D68" w:rsidRPr="003834C8">
        <w:t>III. fázisú klinikai</w:t>
      </w:r>
      <w:r w:rsidRPr="003834C8">
        <w:t xml:space="preserve"> vizsgálat (21</w:t>
      </w:r>
      <w:r w:rsidR="00B51BBA" w:rsidRPr="003834C8">
        <w:t> </w:t>
      </w:r>
      <w:r w:rsidRPr="003834C8">
        <w:t>105, NVAF-ban szenvedő beteg és 8</w:t>
      </w:r>
      <w:r w:rsidR="00B51BBA" w:rsidRPr="003834C8">
        <w:t> </w:t>
      </w:r>
      <w:r w:rsidRPr="003834C8">
        <w:t xml:space="preserve">292, VTE-ben </w:t>
      </w:r>
      <w:r w:rsidR="00215D68" w:rsidRPr="003834C8">
        <w:t>[</w:t>
      </w:r>
      <w:r w:rsidRPr="003834C8">
        <w:t>DVT és PE</w:t>
      </w:r>
      <w:r w:rsidR="00215D68" w:rsidRPr="003834C8">
        <w:t>]</w:t>
      </w:r>
      <w:r w:rsidRPr="003834C8">
        <w:t xml:space="preserve"> szenvedő beteg), valamint az engedélyezés utáni alkalmazás tapasztalatai alapján határozták meg.</w:t>
      </w:r>
    </w:p>
    <w:p w14:paraId="725F0A8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edoxabán-kezelés kapcsán leggyakrabban jelentett mellékhatások a következők voltak: epistaxis (7,7%), haematuria (6,9%) és anaemia (5,3%).</w:t>
      </w:r>
    </w:p>
    <w:p w14:paraId="725F0A8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6C3EB30B" w14:textId="77777777" w:rsidR="00E32670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Vérzés bárhol felléphet, és súlyos és halálos kimenetelű lehet (lásd 4.4 pont). </w:t>
      </w:r>
    </w:p>
    <w:p w14:paraId="6EDFA11E" w14:textId="77777777" w:rsidR="00E32670" w:rsidRPr="003834C8" w:rsidRDefault="00E32670" w:rsidP="003834C8">
      <w:pPr>
        <w:pStyle w:val="Szvegtrzs"/>
        <w:tabs>
          <w:tab w:val="left" w:pos="0"/>
        </w:tabs>
      </w:pPr>
    </w:p>
    <w:p w14:paraId="725F0A8A" w14:textId="3C67A2DC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A mellékhatások táblázatos felsorolása</w:t>
      </w:r>
    </w:p>
    <w:p w14:paraId="4FAFA381" w14:textId="77777777" w:rsidR="00E32670" w:rsidRPr="003834C8" w:rsidRDefault="00E32670" w:rsidP="003834C8">
      <w:pPr>
        <w:pStyle w:val="Szvegtrzs"/>
        <w:tabs>
          <w:tab w:val="left" w:pos="0"/>
        </w:tabs>
      </w:pPr>
    </w:p>
    <w:p w14:paraId="725F0A8B" w14:textId="1A7DD2AB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3. táblázatban vannak felsorolva a VTE és NVAF betegek részvételével végzett két pivotális</w:t>
      </w:r>
      <w:r w:rsidR="00215D68" w:rsidRPr="003834C8">
        <w:t xml:space="preserve"> III. fázis </w:t>
      </w:r>
      <w:r w:rsidRPr="003834C8">
        <w:t xml:space="preserve">vizsgálatból származó mellékhatások mindkét indikációra vonatkozóan, valamint a forgalomba </w:t>
      </w:r>
      <w:r w:rsidRPr="003834C8">
        <w:lastRenderedPageBreak/>
        <w:t>hozatalt követő időszakban azonosított gyógyszermellékhatások. A mellékhatásokat MedDRA szervrendszeri kategóriánként és gyakoriság szerint osztályozva, az alábbi megegyezés szerint mutatja: nagyon gyakori (≥ 1/10), gyakori (≥</w:t>
      </w:r>
      <w:r w:rsidR="004016CA" w:rsidRPr="003834C8">
        <w:t> </w:t>
      </w:r>
      <w:r w:rsidRPr="003834C8">
        <w:t>1/100</w:t>
      </w:r>
      <w:r w:rsidR="004016CA" w:rsidRPr="003834C8">
        <w:t> </w:t>
      </w:r>
      <w:r w:rsidRPr="003834C8">
        <w:t>–</w:t>
      </w:r>
      <w:r w:rsidR="004016CA" w:rsidRPr="003834C8">
        <w:t> </w:t>
      </w:r>
      <w:r w:rsidRPr="003834C8">
        <w:t>&lt;</w:t>
      </w:r>
      <w:r w:rsidR="004016CA" w:rsidRPr="003834C8">
        <w:t> </w:t>
      </w:r>
      <w:r w:rsidRPr="003834C8">
        <w:t>1/10), nem gyakori (≥</w:t>
      </w:r>
      <w:r w:rsidR="004016CA" w:rsidRPr="003834C8">
        <w:t> </w:t>
      </w:r>
      <w:r w:rsidRPr="003834C8">
        <w:t>1/1000</w:t>
      </w:r>
      <w:r w:rsidR="004016CA" w:rsidRPr="003834C8">
        <w:t> </w:t>
      </w:r>
      <w:r w:rsidRPr="003834C8">
        <w:t>–</w:t>
      </w:r>
      <w:r w:rsidR="004016CA" w:rsidRPr="003834C8">
        <w:t> </w:t>
      </w:r>
      <w:r w:rsidRPr="003834C8">
        <w:t>&lt;</w:t>
      </w:r>
      <w:r w:rsidR="004016CA" w:rsidRPr="003834C8">
        <w:t> </w:t>
      </w:r>
      <w:r w:rsidRPr="003834C8">
        <w:t>1/100), ritka (≥</w:t>
      </w:r>
      <w:r w:rsidR="004016CA" w:rsidRPr="003834C8">
        <w:t> </w:t>
      </w:r>
      <w:r w:rsidRPr="003834C8">
        <w:t>1/10</w:t>
      </w:r>
      <w:r w:rsidR="004016CA" w:rsidRPr="003834C8">
        <w:t> </w:t>
      </w:r>
      <w:r w:rsidRPr="003834C8">
        <w:t>000</w:t>
      </w:r>
      <w:r w:rsidR="004016CA" w:rsidRPr="003834C8">
        <w:t> </w:t>
      </w:r>
      <w:r w:rsidRPr="003834C8">
        <w:t>–</w:t>
      </w:r>
      <w:r w:rsidR="004016CA" w:rsidRPr="003834C8">
        <w:t> </w:t>
      </w:r>
      <w:r w:rsidRPr="003834C8">
        <w:t>&lt;</w:t>
      </w:r>
      <w:r w:rsidR="004016CA" w:rsidRPr="003834C8">
        <w:t> </w:t>
      </w:r>
      <w:r w:rsidRPr="003834C8">
        <w:t>1/1000), nagyon ritka (&lt;</w:t>
      </w:r>
      <w:r w:rsidR="004016CA" w:rsidRPr="003834C8">
        <w:t> </w:t>
      </w:r>
      <w:r w:rsidRPr="003834C8">
        <w:t>1/10</w:t>
      </w:r>
      <w:r w:rsidR="004016CA" w:rsidRPr="003834C8">
        <w:t> </w:t>
      </w:r>
      <w:r w:rsidRPr="003834C8">
        <w:t>000) és nem ismert (a gyakoriság a rendelkezésre álló adatokból nem állapítható meg).</w:t>
      </w:r>
    </w:p>
    <w:p w14:paraId="228B5B98" w14:textId="77777777" w:rsidR="003A0230" w:rsidRPr="003834C8" w:rsidRDefault="003A0230" w:rsidP="003834C8">
      <w:pPr>
        <w:pStyle w:val="Cmsor1"/>
        <w:tabs>
          <w:tab w:val="left" w:pos="0"/>
        </w:tabs>
        <w:spacing w:before="0"/>
        <w:ind w:left="0"/>
        <w:rPr>
          <w:b w:val="0"/>
          <w:bCs w:val="0"/>
        </w:rPr>
      </w:pPr>
    </w:p>
    <w:p w14:paraId="725F0A8D" w14:textId="2A4B370B" w:rsidR="00DD077B" w:rsidRPr="003834C8" w:rsidRDefault="0043432F" w:rsidP="003834C8">
      <w:pPr>
        <w:pStyle w:val="Cmsor1"/>
        <w:tabs>
          <w:tab w:val="left" w:pos="0"/>
        </w:tabs>
        <w:spacing w:before="0"/>
        <w:ind w:left="0"/>
      </w:pPr>
      <w:r w:rsidRPr="003834C8">
        <w:t>3. táblázat: NVAF és VTE esetében tapasztalt mellékhatások</w:t>
      </w:r>
    </w:p>
    <w:tbl>
      <w:tblPr>
        <w:tblStyle w:val="TableNormal"/>
        <w:tblW w:w="893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3"/>
        <w:gridCol w:w="16"/>
        <w:gridCol w:w="2536"/>
        <w:gridCol w:w="16"/>
      </w:tblGrid>
      <w:tr w:rsidR="00EA597C" w:rsidRPr="003834C8" w14:paraId="039A4C5E" w14:textId="77777777" w:rsidTr="003743A2">
        <w:trPr>
          <w:trHeight w:val="333"/>
          <w:tblHeader/>
        </w:trPr>
        <w:tc>
          <w:tcPr>
            <w:tcW w:w="6379" w:type="dxa"/>
            <w:gridSpan w:val="2"/>
            <w:shd w:val="clear" w:color="auto" w:fill="D9D9D9"/>
          </w:tcPr>
          <w:p w14:paraId="2CF72DE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Szervrendszeri kategória</w:t>
            </w:r>
          </w:p>
        </w:tc>
        <w:tc>
          <w:tcPr>
            <w:tcW w:w="2552" w:type="dxa"/>
            <w:gridSpan w:val="2"/>
            <w:shd w:val="clear" w:color="auto" w:fill="D9D9D9"/>
          </w:tcPr>
          <w:p w14:paraId="21A9A13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Gyakoriság</w:t>
            </w:r>
          </w:p>
        </w:tc>
      </w:tr>
      <w:tr w:rsidR="00EA597C" w:rsidRPr="003834C8" w14:paraId="60C6737C" w14:textId="77777777" w:rsidTr="001E446C">
        <w:trPr>
          <w:trHeight w:val="332"/>
        </w:trPr>
        <w:tc>
          <w:tcPr>
            <w:tcW w:w="8931" w:type="dxa"/>
            <w:gridSpan w:val="4"/>
          </w:tcPr>
          <w:p w14:paraId="51706B0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Vérképzőszervi és nyirokrendszeri betegségek és tünetek</w:t>
            </w:r>
          </w:p>
        </w:tc>
      </w:tr>
      <w:tr w:rsidR="00EA597C" w:rsidRPr="003834C8" w14:paraId="373738E4" w14:textId="77777777" w:rsidTr="001E446C">
        <w:trPr>
          <w:trHeight w:val="332"/>
        </w:trPr>
        <w:tc>
          <w:tcPr>
            <w:tcW w:w="6379" w:type="dxa"/>
            <w:gridSpan w:val="2"/>
          </w:tcPr>
          <w:p w14:paraId="38493FA1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Anaemia</w:t>
            </w:r>
          </w:p>
        </w:tc>
        <w:tc>
          <w:tcPr>
            <w:tcW w:w="2552" w:type="dxa"/>
            <w:gridSpan w:val="2"/>
          </w:tcPr>
          <w:p w14:paraId="6D1AC65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3233EFE3" w14:textId="77777777" w:rsidTr="001E446C">
        <w:trPr>
          <w:trHeight w:val="332"/>
        </w:trPr>
        <w:tc>
          <w:tcPr>
            <w:tcW w:w="6379" w:type="dxa"/>
            <w:gridSpan w:val="2"/>
          </w:tcPr>
          <w:p w14:paraId="5C8E5B7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Thrombocytopenia</w:t>
            </w:r>
          </w:p>
        </w:tc>
        <w:tc>
          <w:tcPr>
            <w:tcW w:w="2552" w:type="dxa"/>
            <w:gridSpan w:val="2"/>
          </w:tcPr>
          <w:p w14:paraId="5C57DFD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00A94D67" w14:textId="77777777" w:rsidTr="001E446C">
        <w:trPr>
          <w:trHeight w:val="332"/>
        </w:trPr>
        <w:tc>
          <w:tcPr>
            <w:tcW w:w="8931" w:type="dxa"/>
            <w:gridSpan w:val="4"/>
          </w:tcPr>
          <w:p w14:paraId="0D869FB3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Immunrendszeri betegségek és tünetek</w:t>
            </w:r>
          </w:p>
        </w:tc>
      </w:tr>
      <w:tr w:rsidR="00EA597C" w:rsidRPr="003834C8" w14:paraId="67BBC946" w14:textId="77777777" w:rsidTr="001E446C">
        <w:trPr>
          <w:trHeight w:val="333"/>
        </w:trPr>
        <w:tc>
          <w:tcPr>
            <w:tcW w:w="6379" w:type="dxa"/>
            <w:gridSpan w:val="2"/>
          </w:tcPr>
          <w:p w14:paraId="7A0B24C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Túlérzékenység</w:t>
            </w:r>
          </w:p>
        </w:tc>
        <w:tc>
          <w:tcPr>
            <w:tcW w:w="2552" w:type="dxa"/>
            <w:gridSpan w:val="2"/>
          </w:tcPr>
          <w:p w14:paraId="1890027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43849D4E" w14:textId="77777777" w:rsidTr="001E446C">
        <w:trPr>
          <w:trHeight w:val="332"/>
        </w:trPr>
        <w:tc>
          <w:tcPr>
            <w:tcW w:w="6379" w:type="dxa"/>
            <w:gridSpan w:val="2"/>
          </w:tcPr>
          <w:p w14:paraId="2A25832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Anafilaxiás reakció</w:t>
            </w:r>
          </w:p>
        </w:tc>
        <w:tc>
          <w:tcPr>
            <w:tcW w:w="2552" w:type="dxa"/>
            <w:gridSpan w:val="2"/>
          </w:tcPr>
          <w:p w14:paraId="7C25719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54ECB153" w14:textId="77777777" w:rsidTr="001E446C">
        <w:trPr>
          <w:trHeight w:val="332"/>
        </w:trPr>
        <w:tc>
          <w:tcPr>
            <w:tcW w:w="6379" w:type="dxa"/>
            <w:gridSpan w:val="2"/>
          </w:tcPr>
          <w:p w14:paraId="51938A2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Allergiás oedema</w:t>
            </w:r>
          </w:p>
        </w:tc>
        <w:tc>
          <w:tcPr>
            <w:tcW w:w="2552" w:type="dxa"/>
            <w:gridSpan w:val="2"/>
          </w:tcPr>
          <w:p w14:paraId="2429068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32C19D28" w14:textId="77777777" w:rsidTr="001E446C">
        <w:trPr>
          <w:trHeight w:val="332"/>
        </w:trPr>
        <w:tc>
          <w:tcPr>
            <w:tcW w:w="8931" w:type="dxa"/>
            <w:gridSpan w:val="4"/>
          </w:tcPr>
          <w:p w14:paraId="175BAB2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Idegrendszeri betegségek és tünetek</w:t>
            </w:r>
          </w:p>
        </w:tc>
      </w:tr>
      <w:tr w:rsidR="00EA597C" w:rsidRPr="003834C8" w14:paraId="319D1453" w14:textId="77777777" w:rsidTr="001E446C">
        <w:trPr>
          <w:trHeight w:val="332"/>
        </w:trPr>
        <w:tc>
          <w:tcPr>
            <w:tcW w:w="6379" w:type="dxa"/>
            <w:gridSpan w:val="2"/>
          </w:tcPr>
          <w:p w14:paraId="48B6E4E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Szédülés</w:t>
            </w:r>
          </w:p>
        </w:tc>
        <w:tc>
          <w:tcPr>
            <w:tcW w:w="2552" w:type="dxa"/>
            <w:gridSpan w:val="2"/>
          </w:tcPr>
          <w:p w14:paraId="2B77E5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1484A6B6" w14:textId="77777777" w:rsidTr="001E446C">
        <w:trPr>
          <w:trHeight w:val="333"/>
        </w:trPr>
        <w:tc>
          <w:tcPr>
            <w:tcW w:w="6379" w:type="dxa"/>
            <w:gridSpan w:val="2"/>
          </w:tcPr>
          <w:p w14:paraId="722193F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Fejfájás</w:t>
            </w:r>
          </w:p>
        </w:tc>
        <w:tc>
          <w:tcPr>
            <w:tcW w:w="2552" w:type="dxa"/>
            <w:gridSpan w:val="2"/>
          </w:tcPr>
          <w:p w14:paraId="0D37109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51E47A13" w14:textId="77777777" w:rsidTr="001E446C">
        <w:trPr>
          <w:trHeight w:val="332"/>
        </w:trPr>
        <w:tc>
          <w:tcPr>
            <w:tcW w:w="6379" w:type="dxa"/>
            <w:gridSpan w:val="2"/>
          </w:tcPr>
          <w:p w14:paraId="3FFC418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Koponyaűri vérzés (Intracranial haemorrhage – ICH)</w:t>
            </w:r>
          </w:p>
        </w:tc>
        <w:tc>
          <w:tcPr>
            <w:tcW w:w="2552" w:type="dxa"/>
            <w:gridSpan w:val="2"/>
          </w:tcPr>
          <w:p w14:paraId="4B6A8E5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3772B14D" w14:textId="77777777" w:rsidTr="001E446C">
        <w:trPr>
          <w:trHeight w:val="332"/>
        </w:trPr>
        <w:tc>
          <w:tcPr>
            <w:tcW w:w="6379" w:type="dxa"/>
            <w:gridSpan w:val="2"/>
          </w:tcPr>
          <w:p w14:paraId="452C012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Subarachnoidealis vérzés</w:t>
            </w:r>
          </w:p>
        </w:tc>
        <w:tc>
          <w:tcPr>
            <w:tcW w:w="2552" w:type="dxa"/>
            <w:gridSpan w:val="2"/>
          </w:tcPr>
          <w:p w14:paraId="4434C4E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57C43E1A" w14:textId="77777777" w:rsidTr="001E446C">
        <w:trPr>
          <w:trHeight w:val="332"/>
        </w:trPr>
        <w:tc>
          <w:tcPr>
            <w:tcW w:w="8931" w:type="dxa"/>
            <w:gridSpan w:val="4"/>
          </w:tcPr>
          <w:p w14:paraId="4608B99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Szembetegségek és szemészeti tünetek</w:t>
            </w:r>
          </w:p>
        </w:tc>
      </w:tr>
      <w:tr w:rsidR="00EA597C" w:rsidRPr="003834C8" w14:paraId="5612C6AF" w14:textId="77777777" w:rsidTr="001E446C">
        <w:trPr>
          <w:trHeight w:val="333"/>
        </w:trPr>
        <w:tc>
          <w:tcPr>
            <w:tcW w:w="6379" w:type="dxa"/>
            <w:gridSpan w:val="2"/>
          </w:tcPr>
          <w:p w14:paraId="1E8F556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Conjunctivalis/scleralis vérzés</w:t>
            </w:r>
          </w:p>
        </w:tc>
        <w:tc>
          <w:tcPr>
            <w:tcW w:w="2552" w:type="dxa"/>
            <w:gridSpan w:val="2"/>
          </w:tcPr>
          <w:p w14:paraId="7BCBD76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4D60E679" w14:textId="77777777" w:rsidTr="001E446C">
        <w:trPr>
          <w:trHeight w:val="332"/>
        </w:trPr>
        <w:tc>
          <w:tcPr>
            <w:tcW w:w="6379" w:type="dxa"/>
            <w:gridSpan w:val="2"/>
          </w:tcPr>
          <w:p w14:paraId="295CF99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Intraocularis vérzés</w:t>
            </w:r>
          </w:p>
        </w:tc>
        <w:tc>
          <w:tcPr>
            <w:tcW w:w="2552" w:type="dxa"/>
            <w:gridSpan w:val="2"/>
          </w:tcPr>
          <w:p w14:paraId="6EE11EA1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71BF7DBB" w14:textId="77777777" w:rsidTr="001E446C">
        <w:trPr>
          <w:trHeight w:val="332"/>
        </w:trPr>
        <w:tc>
          <w:tcPr>
            <w:tcW w:w="8931" w:type="dxa"/>
            <w:gridSpan w:val="4"/>
          </w:tcPr>
          <w:p w14:paraId="19767DA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Szívbetegségek és a szívvel kapcsolatos tünetek</w:t>
            </w:r>
          </w:p>
        </w:tc>
      </w:tr>
      <w:tr w:rsidR="00EA597C" w:rsidRPr="003834C8" w14:paraId="29467857" w14:textId="77777777" w:rsidTr="001E446C">
        <w:trPr>
          <w:trHeight w:val="333"/>
        </w:trPr>
        <w:tc>
          <w:tcPr>
            <w:tcW w:w="6379" w:type="dxa"/>
            <w:gridSpan w:val="2"/>
          </w:tcPr>
          <w:p w14:paraId="5A4757C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Pericardialis vérzés</w:t>
            </w:r>
          </w:p>
        </w:tc>
        <w:tc>
          <w:tcPr>
            <w:tcW w:w="2552" w:type="dxa"/>
            <w:gridSpan w:val="2"/>
          </w:tcPr>
          <w:p w14:paraId="7DFE8BC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3F88B417" w14:textId="77777777" w:rsidTr="001E446C">
        <w:trPr>
          <w:trHeight w:val="332"/>
        </w:trPr>
        <w:tc>
          <w:tcPr>
            <w:tcW w:w="8931" w:type="dxa"/>
            <w:gridSpan w:val="4"/>
          </w:tcPr>
          <w:p w14:paraId="0F836A10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Érbetegségek és tünetek</w:t>
            </w:r>
          </w:p>
        </w:tc>
      </w:tr>
      <w:tr w:rsidR="00EA597C" w:rsidRPr="003834C8" w14:paraId="06D3C72A" w14:textId="77777777" w:rsidTr="001E446C">
        <w:trPr>
          <w:trHeight w:val="333"/>
        </w:trPr>
        <w:tc>
          <w:tcPr>
            <w:tcW w:w="6379" w:type="dxa"/>
            <w:gridSpan w:val="2"/>
          </w:tcPr>
          <w:p w14:paraId="7A71ACB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Egyéb vérzés</w:t>
            </w:r>
          </w:p>
        </w:tc>
        <w:tc>
          <w:tcPr>
            <w:tcW w:w="2552" w:type="dxa"/>
            <w:gridSpan w:val="2"/>
          </w:tcPr>
          <w:p w14:paraId="75FD05C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7365726A" w14:textId="77777777" w:rsidTr="001E446C">
        <w:trPr>
          <w:trHeight w:val="332"/>
        </w:trPr>
        <w:tc>
          <w:tcPr>
            <w:tcW w:w="8931" w:type="dxa"/>
            <w:gridSpan w:val="4"/>
          </w:tcPr>
          <w:p w14:paraId="058C535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Légzőrendszeri, mellkasi és mediastinalis betegségek és tünetek</w:t>
            </w:r>
          </w:p>
        </w:tc>
      </w:tr>
      <w:tr w:rsidR="00EA597C" w:rsidRPr="003834C8" w14:paraId="1F75B449" w14:textId="77777777" w:rsidTr="001E446C">
        <w:trPr>
          <w:trHeight w:val="332"/>
        </w:trPr>
        <w:tc>
          <w:tcPr>
            <w:tcW w:w="6379" w:type="dxa"/>
            <w:gridSpan w:val="2"/>
          </w:tcPr>
          <w:p w14:paraId="15E32F7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Epistaxis</w:t>
            </w:r>
          </w:p>
        </w:tc>
        <w:tc>
          <w:tcPr>
            <w:tcW w:w="2552" w:type="dxa"/>
            <w:gridSpan w:val="2"/>
          </w:tcPr>
          <w:p w14:paraId="47A1A64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1AA8B5B" w14:textId="77777777" w:rsidTr="001E446C">
        <w:trPr>
          <w:trHeight w:val="333"/>
        </w:trPr>
        <w:tc>
          <w:tcPr>
            <w:tcW w:w="6379" w:type="dxa"/>
            <w:gridSpan w:val="2"/>
          </w:tcPr>
          <w:p w14:paraId="019225F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Haemoptoe</w:t>
            </w:r>
          </w:p>
        </w:tc>
        <w:tc>
          <w:tcPr>
            <w:tcW w:w="2552" w:type="dxa"/>
            <w:gridSpan w:val="2"/>
          </w:tcPr>
          <w:p w14:paraId="5EC75F9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6E2CBEB1" w14:textId="77777777" w:rsidTr="001E446C">
        <w:trPr>
          <w:trHeight w:val="332"/>
        </w:trPr>
        <w:tc>
          <w:tcPr>
            <w:tcW w:w="8931" w:type="dxa"/>
            <w:gridSpan w:val="4"/>
          </w:tcPr>
          <w:p w14:paraId="26B0F82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Emésztőrendszeri betegségek és tünetek</w:t>
            </w:r>
          </w:p>
        </w:tc>
      </w:tr>
      <w:tr w:rsidR="00EA597C" w:rsidRPr="003834C8" w14:paraId="20844EE5" w14:textId="77777777" w:rsidTr="001E446C">
        <w:trPr>
          <w:trHeight w:val="333"/>
        </w:trPr>
        <w:tc>
          <w:tcPr>
            <w:tcW w:w="6379" w:type="dxa"/>
            <w:gridSpan w:val="2"/>
          </w:tcPr>
          <w:p w14:paraId="459C73E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Hasi fájdalom</w:t>
            </w:r>
          </w:p>
        </w:tc>
        <w:tc>
          <w:tcPr>
            <w:tcW w:w="2552" w:type="dxa"/>
            <w:gridSpan w:val="2"/>
          </w:tcPr>
          <w:p w14:paraId="1E182D0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4AC1E27D" w14:textId="77777777" w:rsidTr="001E446C">
        <w:trPr>
          <w:trHeight w:val="332"/>
        </w:trPr>
        <w:tc>
          <w:tcPr>
            <w:tcW w:w="6379" w:type="dxa"/>
            <w:gridSpan w:val="2"/>
          </w:tcPr>
          <w:p w14:paraId="0ED3698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A gastrointestinalis traktus alsó részéből eredő vérzés</w:t>
            </w:r>
          </w:p>
        </w:tc>
        <w:tc>
          <w:tcPr>
            <w:tcW w:w="2552" w:type="dxa"/>
            <w:gridSpan w:val="2"/>
          </w:tcPr>
          <w:p w14:paraId="5F834A2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57EE38CA" w14:textId="77777777" w:rsidTr="001E446C">
        <w:trPr>
          <w:trHeight w:val="332"/>
        </w:trPr>
        <w:tc>
          <w:tcPr>
            <w:tcW w:w="6379" w:type="dxa"/>
            <w:gridSpan w:val="2"/>
          </w:tcPr>
          <w:p w14:paraId="0B1AA11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A gastrointestinalis traktus felső részéből eredő vérzés</w:t>
            </w:r>
          </w:p>
        </w:tc>
        <w:tc>
          <w:tcPr>
            <w:tcW w:w="2552" w:type="dxa"/>
            <w:gridSpan w:val="2"/>
          </w:tcPr>
          <w:p w14:paraId="17A2B45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7C3CDF0" w14:textId="77777777" w:rsidTr="001E446C">
        <w:trPr>
          <w:trHeight w:val="333"/>
        </w:trPr>
        <w:tc>
          <w:tcPr>
            <w:tcW w:w="6379" w:type="dxa"/>
            <w:gridSpan w:val="2"/>
          </w:tcPr>
          <w:p w14:paraId="6905718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Oralis/pharyngealis vérzés</w:t>
            </w:r>
          </w:p>
        </w:tc>
        <w:tc>
          <w:tcPr>
            <w:tcW w:w="2552" w:type="dxa"/>
            <w:gridSpan w:val="2"/>
          </w:tcPr>
          <w:p w14:paraId="10E12136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1E5B53E3" w14:textId="77777777" w:rsidTr="001E446C">
        <w:trPr>
          <w:trHeight w:val="332"/>
        </w:trPr>
        <w:tc>
          <w:tcPr>
            <w:tcW w:w="6379" w:type="dxa"/>
            <w:gridSpan w:val="2"/>
          </w:tcPr>
          <w:p w14:paraId="1DC0484E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Hányinger</w:t>
            </w:r>
          </w:p>
        </w:tc>
        <w:tc>
          <w:tcPr>
            <w:tcW w:w="2552" w:type="dxa"/>
            <w:gridSpan w:val="2"/>
          </w:tcPr>
          <w:p w14:paraId="74A2A330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11DC726C" w14:textId="77777777" w:rsidTr="001E446C">
        <w:trPr>
          <w:trHeight w:val="333"/>
        </w:trPr>
        <w:tc>
          <w:tcPr>
            <w:tcW w:w="6379" w:type="dxa"/>
            <w:gridSpan w:val="2"/>
          </w:tcPr>
          <w:p w14:paraId="30ADF13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Retroperitonealis vérzés</w:t>
            </w:r>
          </w:p>
        </w:tc>
        <w:tc>
          <w:tcPr>
            <w:tcW w:w="2552" w:type="dxa"/>
            <w:gridSpan w:val="2"/>
          </w:tcPr>
          <w:p w14:paraId="1C0BF5A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12E78E7D" w14:textId="77777777" w:rsidTr="001E446C">
        <w:trPr>
          <w:trHeight w:val="332"/>
        </w:trPr>
        <w:tc>
          <w:tcPr>
            <w:tcW w:w="8931" w:type="dxa"/>
            <w:gridSpan w:val="4"/>
          </w:tcPr>
          <w:p w14:paraId="511E4FC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Máj- és epebetegségek, illetve tünetek</w:t>
            </w:r>
          </w:p>
        </w:tc>
      </w:tr>
      <w:tr w:rsidR="00EA597C" w:rsidRPr="003834C8" w14:paraId="1C70A76A" w14:textId="77777777" w:rsidTr="001E446C">
        <w:trPr>
          <w:trHeight w:val="333"/>
        </w:trPr>
        <w:tc>
          <w:tcPr>
            <w:tcW w:w="6379" w:type="dxa"/>
            <w:gridSpan w:val="2"/>
          </w:tcPr>
          <w:p w14:paraId="58521B4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Emelkedett bilirubinszint a vérben</w:t>
            </w:r>
          </w:p>
        </w:tc>
        <w:tc>
          <w:tcPr>
            <w:tcW w:w="2552" w:type="dxa"/>
            <w:gridSpan w:val="2"/>
          </w:tcPr>
          <w:p w14:paraId="60EDC37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619B542E" w14:textId="77777777" w:rsidTr="001E446C">
        <w:trPr>
          <w:trHeight w:val="332"/>
        </w:trPr>
        <w:tc>
          <w:tcPr>
            <w:tcW w:w="6379" w:type="dxa"/>
            <w:gridSpan w:val="2"/>
          </w:tcPr>
          <w:p w14:paraId="28D358A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Emelkedett gamma-glutamil-transzferázszint</w:t>
            </w:r>
          </w:p>
        </w:tc>
        <w:tc>
          <w:tcPr>
            <w:tcW w:w="2552" w:type="dxa"/>
            <w:gridSpan w:val="2"/>
          </w:tcPr>
          <w:p w14:paraId="4EFD2C5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522AC4BC" w14:textId="77777777" w:rsidTr="001E446C">
        <w:trPr>
          <w:trHeight w:val="332"/>
        </w:trPr>
        <w:tc>
          <w:tcPr>
            <w:tcW w:w="6379" w:type="dxa"/>
            <w:gridSpan w:val="2"/>
          </w:tcPr>
          <w:p w14:paraId="1EF9609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Emelkedett alkalikus foszfatáz szint</w:t>
            </w:r>
          </w:p>
        </w:tc>
        <w:tc>
          <w:tcPr>
            <w:tcW w:w="2552" w:type="dxa"/>
            <w:gridSpan w:val="2"/>
          </w:tcPr>
          <w:p w14:paraId="5FFB990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0802EB07" w14:textId="77777777" w:rsidTr="001E446C">
        <w:trPr>
          <w:trHeight w:val="333"/>
        </w:trPr>
        <w:tc>
          <w:tcPr>
            <w:tcW w:w="6379" w:type="dxa"/>
            <w:gridSpan w:val="2"/>
          </w:tcPr>
          <w:p w14:paraId="4DCA51A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Emelkedett transzamináz szintek</w:t>
            </w:r>
          </w:p>
        </w:tc>
        <w:tc>
          <w:tcPr>
            <w:tcW w:w="2552" w:type="dxa"/>
            <w:gridSpan w:val="2"/>
          </w:tcPr>
          <w:p w14:paraId="65ABB9C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3EFA0423" w14:textId="77777777" w:rsidTr="001E446C">
        <w:trPr>
          <w:trHeight w:val="332"/>
        </w:trPr>
        <w:tc>
          <w:tcPr>
            <w:tcW w:w="8931" w:type="dxa"/>
            <w:gridSpan w:val="4"/>
          </w:tcPr>
          <w:p w14:paraId="72FF15F3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A bőr és a bőr alatti szövet betegségei és tünetei</w:t>
            </w:r>
          </w:p>
        </w:tc>
      </w:tr>
      <w:tr w:rsidR="00EA597C" w:rsidRPr="003834C8" w14:paraId="4F784305" w14:textId="77777777" w:rsidTr="001E446C">
        <w:trPr>
          <w:trHeight w:val="333"/>
        </w:trPr>
        <w:tc>
          <w:tcPr>
            <w:tcW w:w="6379" w:type="dxa"/>
            <w:gridSpan w:val="2"/>
          </w:tcPr>
          <w:p w14:paraId="187D8C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lastRenderedPageBreak/>
              <w:t>Bőr- és lágyrész vérzés</w:t>
            </w:r>
          </w:p>
        </w:tc>
        <w:tc>
          <w:tcPr>
            <w:tcW w:w="2552" w:type="dxa"/>
            <w:gridSpan w:val="2"/>
          </w:tcPr>
          <w:p w14:paraId="2374B60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0EDCB07" w14:textId="77777777" w:rsidTr="001E446C">
        <w:trPr>
          <w:trHeight w:val="332"/>
        </w:trPr>
        <w:tc>
          <w:tcPr>
            <w:tcW w:w="6379" w:type="dxa"/>
            <w:gridSpan w:val="2"/>
          </w:tcPr>
          <w:p w14:paraId="53B0092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Bőrkiütés</w:t>
            </w:r>
          </w:p>
        </w:tc>
        <w:tc>
          <w:tcPr>
            <w:tcW w:w="2552" w:type="dxa"/>
            <w:gridSpan w:val="2"/>
          </w:tcPr>
          <w:p w14:paraId="235C246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40C896F1" w14:textId="77777777" w:rsidTr="001E446C">
        <w:trPr>
          <w:trHeight w:val="333"/>
        </w:trPr>
        <w:tc>
          <w:tcPr>
            <w:tcW w:w="6379" w:type="dxa"/>
            <w:gridSpan w:val="2"/>
          </w:tcPr>
          <w:p w14:paraId="5D92A12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Pruritus</w:t>
            </w:r>
          </w:p>
        </w:tc>
        <w:tc>
          <w:tcPr>
            <w:tcW w:w="2552" w:type="dxa"/>
            <w:gridSpan w:val="2"/>
          </w:tcPr>
          <w:p w14:paraId="5D3E798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3D065F9" w14:textId="77777777" w:rsidTr="001E446C">
        <w:trPr>
          <w:trHeight w:val="333"/>
        </w:trPr>
        <w:tc>
          <w:tcPr>
            <w:tcW w:w="6379" w:type="dxa"/>
            <w:gridSpan w:val="2"/>
          </w:tcPr>
          <w:p w14:paraId="6A537B2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Urticaria</w:t>
            </w:r>
          </w:p>
        </w:tc>
        <w:tc>
          <w:tcPr>
            <w:tcW w:w="2552" w:type="dxa"/>
            <w:gridSpan w:val="2"/>
          </w:tcPr>
          <w:p w14:paraId="1FA8A50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3F9328C0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0CE4C62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A csont- és izomrendszer, valamint a kötőszövet betegségei és tünetei</w:t>
            </w:r>
          </w:p>
        </w:tc>
      </w:tr>
      <w:tr w:rsidR="00EA597C" w:rsidRPr="003834C8" w14:paraId="1DB9ADB1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0B8F326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Intramuscularis vérzés (kompartment szindróma nélkül)</w:t>
            </w:r>
          </w:p>
        </w:tc>
        <w:tc>
          <w:tcPr>
            <w:tcW w:w="2552" w:type="dxa"/>
            <w:gridSpan w:val="2"/>
          </w:tcPr>
          <w:p w14:paraId="0F8C8AE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2B1E2267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774916B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Intraarticularis vérzés</w:t>
            </w:r>
          </w:p>
        </w:tc>
        <w:tc>
          <w:tcPr>
            <w:tcW w:w="2552" w:type="dxa"/>
            <w:gridSpan w:val="2"/>
          </w:tcPr>
          <w:p w14:paraId="49FA871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1B7DB49D" w14:textId="77777777" w:rsidTr="001E446C">
        <w:trPr>
          <w:gridAfter w:val="1"/>
          <w:wAfter w:w="16" w:type="dxa"/>
          <w:trHeight w:val="333"/>
        </w:trPr>
        <w:tc>
          <w:tcPr>
            <w:tcW w:w="8915" w:type="dxa"/>
            <w:gridSpan w:val="3"/>
          </w:tcPr>
          <w:p w14:paraId="3E1A8C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Vese- és húgyúti betegségek és tünetek</w:t>
            </w:r>
          </w:p>
        </w:tc>
      </w:tr>
      <w:tr w:rsidR="00EA597C" w:rsidRPr="003834C8" w14:paraId="44DF3090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4086A57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Macroscopos haematuria/urethralis vérzés</w:t>
            </w:r>
          </w:p>
        </w:tc>
        <w:tc>
          <w:tcPr>
            <w:tcW w:w="2552" w:type="dxa"/>
            <w:gridSpan w:val="2"/>
          </w:tcPr>
          <w:p w14:paraId="08872D3D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43953695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4156CF0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Antikoagulánssal összefüggő nephropathia</w:t>
            </w:r>
          </w:p>
        </w:tc>
        <w:tc>
          <w:tcPr>
            <w:tcW w:w="2552" w:type="dxa"/>
            <w:gridSpan w:val="2"/>
          </w:tcPr>
          <w:p w14:paraId="3A50A9F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ismert</w:t>
            </w:r>
          </w:p>
        </w:tc>
      </w:tr>
      <w:tr w:rsidR="00EA597C" w:rsidRPr="003834C8" w14:paraId="31176D00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4E5BC167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A nemi szervekkel és az emlőkkel kapcsolatos betegségek és tünetek</w:t>
            </w:r>
          </w:p>
        </w:tc>
      </w:tr>
      <w:tr w:rsidR="00EA597C" w:rsidRPr="003834C8" w14:paraId="1CBFFD24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6ABD7802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Hüvelyi vérzés</w:t>
            </w:r>
            <w:r w:rsidRPr="003834C8">
              <w:rPr>
                <w:vertAlign w:val="superscript"/>
              </w:rPr>
              <w:t>1</w:t>
            </w:r>
          </w:p>
        </w:tc>
        <w:tc>
          <w:tcPr>
            <w:tcW w:w="2552" w:type="dxa"/>
            <w:gridSpan w:val="2"/>
          </w:tcPr>
          <w:p w14:paraId="01B1CAD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35EDB4B1" w14:textId="77777777" w:rsidTr="001E446C">
        <w:trPr>
          <w:gridAfter w:val="1"/>
          <w:wAfter w:w="16" w:type="dxa"/>
          <w:trHeight w:val="333"/>
        </w:trPr>
        <w:tc>
          <w:tcPr>
            <w:tcW w:w="8915" w:type="dxa"/>
            <w:gridSpan w:val="3"/>
          </w:tcPr>
          <w:p w14:paraId="0C5F0FCC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Általános tünetek, az alkalmazás helyén fellépő reakciók</w:t>
            </w:r>
          </w:p>
        </w:tc>
      </w:tr>
      <w:tr w:rsidR="00EA597C" w:rsidRPr="003834C8" w14:paraId="1C28BC10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7B39AAE3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Vérzés a szúrás helyén</w:t>
            </w:r>
          </w:p>
        </w:tc>
        <w:tc>
          <w:tcPr>
            <w:tcW w:w="2552" w:type="dxa"/>
            <w:gridSpan w:val="2"/>
          </w:tcPr>
          <w:p w14:paraId="6E5DB65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375B280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61C37BE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Laboratóriumi és egyéb vizsgálatok eredményei</w:t>
            </w:r>
          </w:p>
        </w:tc>
      </w:tr>
      <w:tr w:rsidR="00EA597C" w:rsidRPr="003834C8" w14:paraId="1E98D7B3" w14:textId="77777777" w:rsidTr="001E446C">
        <w:trPr>
          <w:gridAfter w:val="1"/>
          <w:wAfter w:w="16" w:type="dxa"/>
          <w:trHeight w:val="332"/>
        </w:trPr>
        <w:tc>
          <w:tcPr>
            <w:tcW w:w="6363" w:type="dxa"/>
          </w:tcPr>
          <w:p w14:paraId="754DA0F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Kóros májfunkciós vizsgálati eredmények</w:t>
            </w:r>
          </w:p>
        </w:tc>
        <w:tc>
          <w:tcPr>
            <w:tcW w:w="2552" w:type="dxa"/>
            <w:gridSpan w:val="2"/>
          </w:tcPr>
          <w:p w14:paraId="3E24A348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Gyakori</w:t>
            </w:r>
          </w:p>
        </w:tc>
      </w:tr>
      <w:tr w:rsidR="00EA597C" w:rsidRPr="003834C8" w14:paraId="20AD8EE7" w14:textId="77777777" w:rsidTr="001E446C">
        <w:trPr>
          <w:gridAfter w:val="1"/>
          <w:wAfter w:w="16" w:type="dxa"/>
          <w:trHeight w:val="332"/>
        </w:trPr>
        <w:tc>
          <w:tcPr>
            <w:tcW w:w="8915" w:type="dxa"/>
            <w:gridSpan w:val="3"/>
          </w:tcPr>
          <w:p w14:paraId="6897BFFF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Sérülés, mérgezés és a beavatkozással kapcsolatos szövődmények</w:t>
            </w:r>
          </w:p>
        </w:tc>
      </w:tr>
      <w:tr w:rsidR="00EA597C" w:rsidRPr="003834C8" w14:paraId="18707733" w14:textId="77777777" w:rsidTr="001E446C">
        <w:trPr>
          <w:gridAfter w:val="1"/>
          <w:wAfter w:w="16" w:type="dxa"/>
          <w:trHeight w:val="333"/>
        </w:trPr>
        <w:tc>
          <w:tcPr>
            <w:tcW w:w="6363" w:type="dxa"/>
          </w:tcPr>
          <w:p w14:paraId="3D4FF1A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Vérzés a műtéti területen</w:t>
            </w:r>
          </w:p>
        </w:tc>
        <w:tc>
          <w:tcPr>
            <w:tcW w:w="2552" w:type="dxa"/>
            <w:gridSpan w:val="2"/>
          </w:tcPr>
          <w:p w14:paraId="3EF6ADA5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Nem gyakori</w:t>
            </w:r>
          </w:p>
        </w:tc>
      </w:tr>
      <w:tr w:rsidR="00EA597C" w:rsidRPr="003834C8" w14:paraId="78A327B0" w14:textId="77777777" w:rsidTr="001E446C">
        <w:trPr>
          <w:gridAfter w:val="1"/>
          <w:wAfter w:w="16" w:type="dxa"/>
          <w:trHeight w:val="373"/>
        </w:trPr>
        <w:tc>
          <w:tcPr>
            <w:tcW w:w="6363" w:type="dxa"/>
          </w:tcPr>
          <w:p w14:paraId="2D99945A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Subduralis vérzés</w:t>
            </w:r>
          </w:p>
        </w:tc>
        <w:tc>
          <w:tcPr>
            <w:tcW w:w="2552" w:type="dxa"/>
            <w:gridSpan w:val="2"/>
          </w:tcPr>
          <w:p w14:paraId="77DD1CB4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  <w:tr w:rsidR="00EA597C" w:rsidRPr="003834C8" w14:paraId="0DA5C703" w14:textId="77777777" w:rsidTr="001E446C">
        <w:trPr>
          <w:gridAfter w:val="1"/>
          <w:wAfter w:w="16" w:type="dxa"/>
          <w:trHeight w:val="371"/>
        </w:trPr>
        <w:tc>
          <w:tcPr>
            <w:tcW w:w="6363" w:type="dxa"/>
          </w:tcPr>
          <w:p w14:paraId="26368659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Orvosi beavatkozást követő vérzés</w:t>
            </w:r>
          </w:p>
        </w:tc>
        <w:tc>
          <w:tcPr>
            <w:tcW w:w="2552" w:type="dxa"/>
            <w:gridSpan w:val="2"/>
          </w:tcPr>
          <w:p w14:paraId="14CCBE1B" w14:textId="77777777" w:rsidR="00EA597C" w:rsidRPr="003834C8" w:rsidRDefault="00EA597C" w:rsidP="003834C8">
            <w:pPr>
              <w:pStyle w:val="TableParagraph"/>
              <w:tabs>
                <w:tab w:val="left" w:pos="0"/>
              </w:tabs>
            </w:pPr>
            <w:r w:rsidRPr="003834C8">
              <w:t>Ritka</w:t>
            </w:r>
          </w:p>
        </w:tc>
      </w:tr>
    </w:tbl>
    <w:p w14:paraId="725F0B2B" w14:textId="14BFDD4F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1</w:t>
      </w:r>
      <w:r w:rsidRPr="003834C8">
        <w:rPr>
          <w:szCs w:val="20"/>
        </w:rPr>
        <w:t xml:space="preserve"> A jelentési gyakoriságok a klinikai vizsgálatokban résztvevő női populáción alapulnak. Hüvelyi</w:t>
      </w:r>
      <w:r w:rsidR="00022506" w:rsidRPr="003834C8">
        <w:rPr>
          <w:szCs w:val="20"/>
        </w:rPr>
        <w:t xml:space="preserve"> </w:t>
      </w:r>
      <w:r w:rsidRPr="003834C8">
        <w:rPr>
          <w:szCs w:val="20"/>
        </w:rPr>
        <w:t>vérzés gyakran előfordult 50 év alatti nőknél, míg 50 év felettieknél nem volt gyakori.</w:t>
      </w:r>
    </w:p>
    <w:p w14:paraId="725F0B2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2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Kiválasztott mellékhatások leírása</w:t>
      </w:r>
    </w:p>
    <w:p w14:paraId="725F0B2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2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Haemorrhagiás anaemia</w:t>
      </w:r>
    </w:p>
    <w:p w14:paraId="725F0B31" w14:textId="29EF0AF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Farmakológiai hatásmechanizmusa miatt az edoxabán alkalmazása kapcsolatba hozható bármely szövetből vagy szervből származó okkult vagy nyilvánvaló vérzés kockázatának növekedésével, ami posthaemorrhagiás anaemiához vezethet. A </w:t>
      </w:r>
      <w:r w:rsidR="001F1AF6" w:rsidRPr="003834C8">
        <w:t>jelek</w:t>
      </w:r>
      <w:r w:rsidRPr="003834C8">
        <w:t xml:space="preserve">, a tünetek és a súlyosság (beleértve a halálos kimenetelt is) ilyenkor a vérzés és/vagy anaemia helyének és fokának, illetve kiterjedésének megfelelően változnak (lásd 4.9 pont). A klinikai vizsgálatok </w:t>
      </w:r>
      <w:r w:rsidR="001F1AF6" w:rsidRPr="003834C8">
        <w:t>során</w:t>
      </w:r>
      <w:r w:rsidRPr="003834C8">
        <w:t xml:space="preserve"> gyakrabban észleltek nyálkahártyavérzést (epistaxis, gastrointestinalis, urogenitalis) és anaemiát a hossz</w:t>
      </w:r>
      <w:r w:rsidR="00EC1B9D" w:rsidRPr="003834C8">
        <w:t>ú távú</w:t>
      </w:r>
      <w:r w:rsidR="00022506" w:rsidRPr="003834C8">
        <w:t xml:space="preserve"> </w:t>
      </w:r>
      <w:r w:rsidRPr="003834C8">
        <w:t>edoxabán-kezelés során, mint a KVA kezelés mellett. Így a megfelelő klinikai megfigyelésen felül a haemoglobin</w:t>
      </w:r>
      <w:r w:rsidR="00BF3809" w:rsidRPr="003834C8">
        <w:t>-szint</w:t>
      </w:r>
      <w:r w:rsidRPr="003834C8">
        <w:t>/haematocrit-érték laboratóriumi vizsgálata értékes lehet az okkult vérzés detektálásában, amennyiben szükségesnek ítélik. A vérzések kockázata bizonyos betegcsoportokban megnövekedhet, p</w:t>
      </w:r>
      <w:r w:rsidR="00174CDD">
        <w:t>éldául</w:t>
      </w:r>
      <w:r w:rsidRPr="003834C8">
        <w:t xml:space="preserve"> a nem beállított, súlyos artériás hypertoniában szenvedő és/vagy a haemostasist befolyásoló gyógyszerekkel végzett egyidejű kezelés esetén (lásd 4.4 pont). A menstruációs vérzés erősödhet és/vagy elhúzódhat. A vérzéses szövődmények gyengeség, sápadtság, szédülés, fejfájás vagy megmagyarázhatatlan duzzanat, dyspnoe és megmagyarázhatatlan sokk formájában jelentkeznek.</w:t>
      </w:r>
    </w:p>
    <w:p w14:paraId="725F0B32" w14:textId="528473E1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r w:rsidR="00174CDD">
        <w:t>súlyos</w:t>
      </w:r>
      <w:r w:rsidRPr="003834C8">
        <w:t xml:space="preserve"> vérzés ismert másodlagos komplikációit, mint kompartment szindrómát vagy a hipoperfúzió következtében fellépő veseelégtelenséget, illetve antikoagulánssal összefüggő nephropathiát jelentették az edoxabánnal kapcsolatban. Ezért a vérzés lehetőségét minden antikoagulált beteg állapotának értékelésekor figyelembe kell venni.</w:t>
      </w:r>
    </w:p>
    <w:p w14:paraId="725F0B3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Gyermekek és serdülők</w:t>
      </w:r>
    </w:p>
    <w:p w14:paraId="725F0B3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7" w14:textId="21661FB3" w:rsidR="00DD077B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 xml:space="preserve">Az edoxabán biztonságosságát két </w:t>
      </w:r>
      <w:r w:rsidR="00556C99" w:rsidRPr="003834C8">
        <w:t xml:space="preserve">III. fázisú </w:t>
      </w:r>
      <w:r w:rsidRPr="003834C8">
        <w:t>vizsgálatban (Hokusai VTE PEDIATRICS és ENNOBLE-ATE) értékelték VTE-ben (286 beteg, 145, edoxabánnal kezelt beteg) és thromboticus események kockázatának kitett szívbetegségben szenvedő (167 beteg, 109, edoxabánnal kezelt beteg) gyermekeknél és serdülőknél, újszülött kortól betöltött 18 éves korig. Összességében a gyermekeknél</w:t>
      </w:r>
      <w:r w:rsidR="00556C99" w:rsidRPr="003834C8">
        <w:t xml:space="preserve"> és serdülőknél</w:t>
      </w:r>
      <w:r w:rsidRPr="003834C8">
        <w:t xml:space="preserve"> a biztonságossági profil hasonló volt, mint a felnőtt betegpopulációban (lásd</w:t>
      </w:r>
      <w:r w:rsidR="00022506" w:rsidRPr="003834C8">
        <w:t xml:space="preserve"> </w:t>
      </w:r>
      <w:r w:rsidRPr="003834C8">
        <w:t>3. táblázat). Összesen a VTE miatt edoxabánnal kezelt gyermekek 16,6%-a tapasztalt mellékhatásokat.</w:t>
      </w:r>
    </w:p>
    <w:p w14:paraId="65588955" w14:textId="77777777" w:rsidR="00DD077B" w:rsidRPr="003834C8" w:rsidRDefault="00DD077B" w:rsidP="003834C8">
      <w:pPr>
        <w:tabs>
          <w:tab w:val="left" w:pos="0"/>
        </w:tabs>
      </w:pPr>
    </w:p>
    <w:p w14:paraId="725F0B3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Feltételezett mellékhatások bejelentése</w:t>
      </w:r>
    </w:p>
    <w:p w14:paraId="725F0B3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B" w14:textId="65DAE3B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>
        <w:r w:rsidRPr="003834C8">
          <w:rPr>
            <w:u w:val="single" w:color="0000FF"/>
            <w:shd w:val="clear" w:color="auto" w:fill="D2D2D2"/>
          </w:rPr>
          <w:t xml:space="preserve">V. függelékben </w:t>
        </w:r>
      </w:hyperlink>
      <w:r w:rsidRPr="003834C8">
        <w:rPr>
          <w:shd w:val="clear" w:color="auto" w:fill="D2D2D2"/>
        </w:rPr>
        <w:t>található elérhetőségek valamelyikén keresztül</w:t>
      </w:r>
      <w:r w:rsidRPr="003834C8">
        <w:t>.</w:t>
      </w:r>
    </w:p>
    <w:p w14:paraId="725F0B3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3D" w14:textId="25C9997D" w:rsidR="00DD077B" w:rsidRPr="003834C8" w:rsidRDefault="003F04C3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4.9</w:t>
      </w:r>
      <w:r w:rsidRPr="003834C8">
        <w:rPr>
          <w:b/>
        </w:rPr>
        <w:tab/>
      </w:r>
      <w:r w:rsidR="0043432F" w:rsidRPr="003834C8">
        <w:rPr>
          <w:b/>
        </w:rPr>
        <w:t>Túladagolás</w:t>
      </w:r>
    </w:p>
    <w:p w14:paraId="725F0B3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B3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túladagolása vérzést okozhat. A túladagolásos esetekkel kapcsolatos tapasztalat nagyon korlátozott.</w:t>
      </w:r>
    </w:p>
    <w:p w14:paraId="6FBBB595" w14:textId="77777777" w:rsidR="00E32670" w:rsidRPr="003834C8" w:rsidRDefault="00E32670" w:rsidP="003834C8">
      <w:pPr>
        <w:pStyle w:val="Szvegtrzs"/>
        <w:tabs>
          <w:tab w:val="left" w:pos="0"/>
        </w:tabs>
      </w:pPr>
    </w:p>
    <w:p w14:paraId="725F0B4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farmakodinámiás hatását antagonizáló specifikus ellenszer nem áll rendelkezésre. Edoxabán túladagolás esetén orvosi szén korai alkalmazása mérlegelhető a felszívódás csökkentésére.</w:t>
      </w:r>
    </w:p>
    <w:p w14:paraId="465F85A0" w14:textId="3E9EBEE3" w:rsidR="00C8546B" w:rsidRPr="003834C8" w:rsidRDefault="0043432F" w:rsidP="003834C8">
      <w:pPr>
        <w:pStyle w:val="Szvegtrzs"/>
        <w:tabs>
          <w:tab w:val="left" w:pos="0"/>
        </w:tabs>
      </w:pPr>
      <w:r w:rsidRPr="003834C8">
        <w:t>Ez az ajánlás a gyógyszertúladagolás szokásos kezelésén és hasonló vegyületekkel kapcsolatban</w:t>
      </w:r>
      <w:r w:rsidR="00022506" w:rsidRPr="003834C8">
        <w:t xml:space="preserve"> </w:t>
      </w:r>
      <w:r w:rsidRPr="003834C8">
        <w:t>rendelkezésre álló adatokon alapul, mivel az edoxabán felszívódásának csökkentésére alkalmazott</w:t>
      </w:r>
      <w:r w:rsidR="00022506" w:rsidRPr="003834C8">
        <w:t xml:space="preserve"> </w:t>
      </w:r>
      <w:r w:rsidRPr="003834C8">
        <w:t xml:space="preserve">orvosi szén hatását az edoxabán klinikai programban konkrétan nem vizsgálták. </w:t>
      </w:r>
    </w:p>
    <w:p w14:paraId="329EB43A" w14:textId="77777777" w:rsidR="00C8546B" w:rsidRPr="003834C8" w:rsidRDefault="00C8546B" w:rsidP="003834C8">
      <w:pPr>
        <w:pStyle w:val="Szvegtrzs"/>
        <w:tabs>
          <w:tab w:val="left" w:pos="0"/>
        </w:tabs>
      </w:pPr>
    </w:p>
    <w:p w14:paraId="725F0B43" w14:textId="4874DD6D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Vérzés kezelése</w:t>
      </w:r>
    </w:p>
    <w:p w14:paraId="58B6810F" w14:textId="77777777" w:rsidR="00C8546B" w:rsidRPr="003834C8" w:rsidRDefault="00C8546B" w:rsidP="003834C8">
      <w:pPr>
        <w:pStyle w:val="Szvegtrzs"/>
        <w:tabs>
          <w:tab w:val="left" w:pos="0"/>
        </w:tabs>
      </w:pPr>
    </w:p>
    <w:p w14:paraId="725F0B44" w14:textId="3E5E69E3" w:rsidR="00DD077B" w:rsidRPr="003834C8" w:rsidRDefault="0043432F" w:rsidP="003834C8">
      <w:pPr>
        <w:pStyle w:val="Szvegtrzs"/>
        <w:tabs>
          <w:tab w:val="left" w:pos="0"/>
        </w:tabs>
      </w:pPr>
      <w:r w:rsidRPr="003834C8">
        <w:t>Amennyiben vérzéses szövődmény lép fel egy, edoxabánt kapó betegnél, akkor az edoxabán következő alkalmazását szükség szerint el kell halasztani vagy a kezelést fel kell függeszteni. Az edoxabán felezési ideje körülbelül 10 és 14 óra között van (lásd 5.2 pont). A kezelést a vérzés súlyosságának és lokalizációjának függvényében, személyre szabottan kell végezni. Szükség esetén megfelelő tüneti kezelés alkalmazható, például mechanikus kompresszió (p</w:t>
      </w:r>
      <w:r w:rsidR="00847C48">
        <w:t>éldául</w:t>
      </w:r>
      <w:r w:rsidRPr="003834C8">
        <w:t xml:space="preserve"> súlyos orrvérzés esetén), műtéti vérzéscsillapítás vérzéscsillapító eljárásokkal, folyadékpótlás és hemodinamikai támogatás, vérkészítmények (a társuló anaemia vagy coagulopathia függvényében vörösvértest-koncentrátum vagy friss fagyasztott plazma) vagy thrombocyta-transzfúzió.</w:t>
      </w:r>
    </w:p>
    <w:p w14:paraId="725F0B4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6" w14:textId="3983B8A1" w:rsidR="00DD077B" w:rsidRPr="003834C8" w:rsidRDefault="0043432F" w:rsidP="003834C8">
      <w:pPr>
        <w:pStyle w:val="Szvegtrzs"/>
        <w:tabs>
          <w:tab w:val="left" w:pos="0"/>
        </w:tabs>
      </w:pPr>
      <w:r w:rsidRPr="003834C8">
        <w:t>Transzfúzióval vagy hemosztázissal nem kontrollálható életveszélyes vérzés esetében 50 NE/</w:t>
      </w:r>
      <w:r w:rsidR="00D5190D">
        <w:t>tt</w:t>
      </w:r>
      <w:r w:rsidRPr="003834C8">
        <w:t>kg faktor 4 prothrombin-komplex koncentrátum (PCC) adása az infúzió befejezése után 30 perccel visszafordította az edoxabán hatásait.</w:t>
      </w:r>
    </w:p>
    <w:p w14:paraId="725F0B4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Rekombináns VIIa faktor (r-FVIIa) adása is megfontolandó. Azonban korlátozott tapasztalat áll rendelkezésre ezen készítmények edoxabánt kapó betegeknél történő alkalmazásával kapcsolatban.</w:t>
      </w:r>
    </w:p>
    <w:p w14:paraId="725F0B4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A" w14:textId="7142E9D1" w:rsidR="00DD077B" w:rsidRPr="003834C8" w:rsidRDefault="00A66D64" w:rsidP="003834C8">
      <w:pPr>
        <w:pStyle w:val="Szvegtrzs"/>
        <w:tabs>
          <w:tab w:val="left" w:pos="0"/>
        </w:tabs>
      </w:pPr>
      <w:r>
        <w:t>Súlyos</w:t>
      </w:r>
      <w:r w:rsidR="0043432F" w:rsidRPr="003834C8">
        <w:t xml:space="preserve"> vérzés esetén fontolóra kell venni egy </w:t>
      </w:r>
      <w:r w:rsidR="00F9324E" w:rsidRPr="00F9324E">
        <w:t xml:space="preserve">véralvadással kapcsolatos betegségek kezelésében jártas szakemberrel </w:t>
      </w:r>
      <w:r w:rsidR="0043432F" w:rsidRPr="003834C8">
        <w:t>történő konzultációt, amennyiben helyileg elérhető.</w:t>
      </w:r>
    </w:p>
    <w:p w14:paraId="725F0B4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protamin-szulfát és a K-vitamin várhatóan nem befolyásolják az edoxabán antikoaguláns hatását.</w:t>
      </w:r>
    </w:p>
    <w:p w14:paraId="725F0B4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4E" w14:textId="0E0B2562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edoxabánt kapó egyéneknél nincs tapasztal</w:t>
      </w:r>
      <w:r w:rsidR="00D35CA6" w:rsidRPr="003834C8">
        <w:t>a</w:t>
      </w:r>
      <w:r w:rsidRPr="003834C8">
        <w:t>t antifibrinolyticus szerekkel (tranexámsav, aminokapronsav) kapcsolatban. Az edoxabánt kapó betegeknél a szisztémás haemostaticumok (dezmopresszin, aprotinin) alkalmazásának hasznossága tudományosan nem megalapozott, és ezzel kapcsolatban tapasztalatok sincsenek. A plazmafehérjékhez való nagyfokú kötődése miatt az edoxabán várhatóan nem dializálható.</w:t>
      </w:r>
    </w:p>
    <w:p w14:paraId="725F0B4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1" w14:textId="1DCB1490" w:rsidR="00DD077B" w:rsidRPr="003834C8" w:rsidRDefault="002C3E4A" w:rsidP="003834C8">
      <w:pPr>
        <w:pStyle w:val="Cmsor1"/>
        <w:tabs>
          <w:tab w:val="left" w:pos="0"/>
          <w:tab w:val="left" w:pos="567"/>
        </w:tabs>
        <w:spacing w:before="0"/>
        <w:ind w:left="0"/>
      </w:pPr>
      <w:r w:rsidRPr="003834C8">
        <w:t>5.</w:t>
      </w:r>
      <w:r w:rsidRPr="003834C8">
        <w:tab/>
      </w:r>
      <w:r w:rsidR="0043432F" w:rsidRPr="003834C8">
        <w:t>FARMAKOLÓGIAI TULAJDONSÁGOK</w:t>
      </w:r>
    </w:p>
    <w:p w14:paraId="725F0B52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B53" w14:textId="22772BCD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lastRenderedPageBreak/>
        <w:t>5.1</w:t>
      </w:r>
      <w:r w:rsidRPr="003834C8">
        <w:rPr>
          <w:b/>
        </w:rPr>
        <w:tab/>
      </w:r>
      <w:r w:rsidR="0043432F" w:rsidRPr="003834C8">
        <w:rPr>
          <w:b/>
        </w:rPr>
        <w:t>Farmakodinámiás tulajdonságok</w:t>
      </w:r>
    </w:p>
    <w:p w14:paraId="725F0B54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34C1AD35" w14:textId="77777777" w:rsidR="003A0230" w:rsidRPr="003834C8" w:rsidRDefault="0043432F" w:rsidP="003834C8">
      <w:pPr>
        <w:pStyle w:val="Szvegtrzs"/>
        <w:tabs>
          <w:tab w:val="left" w:pos="0"/>
        </w:tabs>
      </w:pPr>
      <w:r w:rsidRPr="003834C8">
        <w:t>Farmakoterápiás csoport: Véralvadásgátló szerek, direkt Xa-faktor inhibitorok; ATC kód: B01AF03</w:t>
      </w:r>
    </w:p>
    <w:p w14:paraId="027EAA6C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B57" w14:textId="051E9D21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Hatásmechanizmus</w:t>
      </w:r>
    </w:p>
    <w:p w14:paraId="725F0B5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a véralvadási kaszkád végső, közös szakaszában található szerin-proteáz FXa nagy szelektivitású, közvetlen és reverzibilis inhibitora. Az edoxabán gátolja a szabad FXa-t és a prothrombináz aktivitást. Az FXa gátlása a véralvadási kaszkádban csökkenti a thrombinképződést, meghosszabbítja az alvadási időt, és csökkenti a vérrögképződés kockázatát.</w:t>
      </w:r>
    </w:p>
    <w:p w14:paraId="725F0B5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Farmakodinámiás hatások</w:t>
      </w:r>
    </w:p>
    <w:p w14:paraId="725F0B5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D" w14:textId="2F10F55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farmakodinámiás hatása gyorsan, 1</w:t>
      </w:r>
      <w:r w:rsidR="006265BA" w:rsidRPr="003834C8">
        <w:noBreakHyphen/>
      </w:r>
      <w:r w:rsidRPr="003834C8">
        <w:t>2 órán belül kialakul, ami megfelel az edoxabán csúcsexpozíciójának (C</w:t>
      </w:r>
      <w:r w:rsidR="004E60AD" w:rsidRPr="003834C8">
        <w:rPr>
          <w:vertAlign w:val="subscript"/>
        </w:rPr>
        <w:t>max</w:t>
      </w:r>
      <w:r w:rsidRPr="003834C8">
        <w:t xml:space="preserve">). Az anti-FXa meghatározással mért farmakodinámiás hatások megjósolhatók és megfelelnek az edoxabán </w:t>
      </w:r>
      <w:r w:rsidR="00632AFD" w:rsidRPr="003834C8">
        <w:t xml:space="preserve">dózisának </w:t>
      </w:r>
      <w:r w:rsidRPr="003834C8">
        <w:t>és koncentrációjának. Az FXa gátlás eredményeképpen az edoxabán megnyújtja a véralvadási tesztek – p</w:t>
      </w:r>
      <w:r w:rsidR="0067301A">
        <w:t>éldául</w:t>
      </w:r>
      <w:r w:rsidRPr="003834C8">
        <w:t xml:space="preserve"> PT és aPTT – idejét. A véralvadási vizsgálatok eredményeiben megfigyelt változások a terápiás </w:t>
      </w:r>
      <w:r w:rsidR="00632AFD" w:rsidRPr="003834C8">
        <w:t xml:space="preserve">dózis </w:t>
      </w:r>
      <w:r w:rsidRPr="003834C8">
        <w:t>esetén várhatóak, viszont a változások csekélyek és nagy variabilitást mutatnak, így nem alkalmasak az edoxabán antikoaguláns hatásának monitorozására.</w:t>
      </w:r>
    </w:p>
    <w:p w14:paraId="725F0B5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5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A koagulációs markerek hatásai rivaroxabánról, dabigatránról vagy apixabánról edoxabánra való átállás esetén</w:t>
      </w:r>
    </w:p>
    <w:p w14:paraId="725F0B60" w14:textId="38A081D7" w:rsidR="00DD077B" w:rsidRPr="003834C8" w:rsidRDefault="0043432F" w:rsidP="003834C8">
      <w:pPr>
        <w:pStyle w:val="Szvegtrzs"/>
        <w:tabs>
          <w:tab w:val="left" w:pos="0"/>
        </w:tabs>
      </w:pPr>
      <w:r w:rsidRPr="003834C8">
        <w:t>Klinikai farmakológiai vizsgálatokban egészséges vizsgálati alanyok napi egyszer 20</w:t>
      </w:r>
      <w:r w:rsidR="0050166E">
        <w:t> mg</w:t>
      </w:r>
      <w:r w:rsidRPr="003834C8">
        <w:t xml:space="preserve"> rivaroxabánt, napi kétszer 150</w:t>
      </w:r>
      <w:r w:rsidR="0050166E">
        <w:t> mg</w:t>
      </w:r>
      <w:r w:rsidRPr="003834C8">
        <w:t xml:space="preserve"> dabigatránt, vagy napi kétszer 5</w:t>
      </w:r>
      <w:r w:rsidR="0050166E">
        <w:t> mg</w:t>
      </w:r>
      <w:r w:rsidRPr="003834C8">
        <w:t xml:space="preserve"> apixabánt, majd a 4. napon 60</w:t>
      </w:r>
      <w:r w:rsidR="0050166E">
        <w:t> mg</w:t>
      </w:r>
      <w:r w:rsidRPr="003834C8">
        <w:t xml:space="preserve"> egyszeri </w:t>
      </w:r>
      <w:r w:rsidR="00632AFD" w:rsidRPr="003834C8">
        <w:t xml:space="preserve">dózis </w:t>
      </w:r>
      <w:r w:rsidRPr="003834C8">
        <w:t>edoxabánt kaptak. A PT-re és egyéb koagulációs markerekre (p</w:t>
      </w:r>
      <w:r w:rsidR="0067301A">
        <w:t>éldául</w:t>
      </w:r>
      <w:r w:rsidRPr="003834C8">
        <w:t xml:space="preserve"> anti-FXa, aPTT) gyakorolt hatást meghatározták. A 4. napon az edoxabánra való átállást követően a PT azonos volt a rivaroxabán és apixabán kezelés 3. napján mérttel. A dabigatrán esetében magasabb aPTT aktivitást figyeltek meg, amikor az edoxabán alkalmazását dabigatrán kezelés előzte meg, mint csak edoxabán kezelést követően. Ezt a dabigatrán áthúzódó hatásának tulajdonítják, de nem nyújtotta meg a vérzési időt.</w:t>
      </w:r>
    </w:p>
    <w:p w14:paraId="725F0B62" w14:textId="0766766E" w:rsidR="00DD077B" w:rsidRPr="003834C8" w:rsidRDefault="0043432F" w:rsidP="003834C8">
      <w:pPr>
        <w:pStyle w:val="Szvegtrzs"/>
        <w:tabs>
          <w:tab w:val="left" w:pos="0"/>
        </w:tabs>
      </w:pPr>
      <w:r w:rsidRPr="003834C8">
        <w:t>Ezen adatok alapján ezekről az antikoagulánsokról edoxabánra való átálláskor az edoxabán első</w:t>
      </w:r>
      <w:r w:rsidR="00632AFD" w:rsidRPr="003834C8">
        <w:t xml:space="preserve"> dózisát </w:t>
      </w:r>
      <w:r w:rsidRPr="003834C8">
        <w:t xml:space="preserve">be lehet adni az előző antikoaguláns következő tervezett </w:t>
      </w:r>
      <w:r w:rsidR="00274D3B" w:rsidRPr="003834C8">
        <w:t xml:space="preserve">dózisának </w:t>
      </w:r>
      <w:r w:rsidRPr="003834C8">
        <w:t>időpontjában (lásd</w:t>
      </w:r>
      <w:r w:rsidR="004E60AD" w:rsidRPr="003834C8">
        <w:t xml:space="preserve"> </w:t>
      </w:r>
      <w:r w:rsidRPr="003834C8">
        <w:t>4.2 pont).</w:t>
      </w:r>
    </w:p>
    <w:p w14:paraId="725F0B6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Klinikai hatásosság és biztonságosság</w:t>
      </w:r>
    </w:p>
    <w:p w14:paraId="725F0B6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6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Stroke és szisztémás embolizáció megelőzése</w:t>
      </w:r>
    </w:p>
    <w:p w14:paraId="725F0B6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pitvarfibrillációs klinikai programot arra tervezték, hogy kimutassa az edoxabán két dóziscsoportjának a stroke és szisztémás embolizáció megelőzésében, NVAF-ban szenvedő, olyan betegeknél mutatott, warfarinhoz viszonyított hatásosságát és biztonságosságát, akiknél a stroke és a szisztémás embóliás események (SEE) kockázata közepes vagy magas.</w:t>
      </w:r>
    </w:p>
    <w:p w14:paraId="725F0B6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9" w14:textId="00A1E54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pivotális ENGAGE AF-TIMI 48 vizsgálatban (eseményvezérelt, </w:t>
      </w:r>
      <w:r w:rsidR="00D47DB7">
        <w:t>III. fázisú</w:t>
      </w:r>
      <w:r w:rsidRPr="003834C8">
        <w:t xml:space="preserve">, multicentrikus, randomizált, kettős vak, a gyógyszerformára nézve is kettős vak, párhuzamos csoportos vizsgálat) 2,8-os átlag pangásos szívelégtelenség, hypertonia, életkor </w:t>
      </w:r>
      <w:r w:rsidR="009B5EEB" w:rsidRPr="003834C8">
        <w:t>≥</w:t>
      </w:r>
      <w:r w:rsidR="009B5EEB" w:rsidRPr="003834C8">
        <w:rPr>
          <w:b/>
        </w:rPr>
        <w:t> </w:t>
      </w:r>
      <w:r w:rsidRPr="003834C8">
        <w:t>75 év, diabetes mellitus, stroke (CHADS2) pontszám mellett 21</w:t>
      </w:r>
      <w:r w:rsidR="004E60AD" w:rsidRPr="003834C8">
        <w:t> </w:t>
      </w:r>
      <w:r w:rsidRPr="003834C8">
        <w:t>105 beteget randomizáltak napi egyszer 30</w:t>
      </w:r>
      <w:r w:rsidR="0050166E">
        <w:t> mg</w:t>
      </w:r>
      <w:r w:rsidRPr="003834C8">
        <w:t xml:space="preserve"> edoxabán kezelésre vagy napi egyszer 60</w:t>
      </w:r>
      <w:r w:rsidR="0050166E">
        <w:t> mg</w:t>
      </w:r>
      <w:r w:rsidRPr="003834C8">
        <w:t xml:space="preserve"> edoxabán kezelésre vagy warfarin kezelésre. A betegek </w:t>
      </w:r>
      <w:r w:rsidR="00274D3B" w:rsidRPr="003834C8">
        <w:t xml:space="preserve">dózisát </w:t>
      </w:r>
      <w:r w:rsidRPr="003834C8">
        <w:t xml:space="preserve">mindkét edoxabán kezelési csoportban megfelezték, ha az alábbi klinikai faktorok közül egy vagy több fennállt: közepes </w:t>
      </w:r>
      <w:r w:rsidR="00FB566C">
        <w:t>fokú</w:t>
      </w:r>
      <w:r w:rsidRPr="003834C8">
        <w:t xml:space="preserve"> vesekárosodás (CrCl 30</w:t>
      </w:r>
      <w:r w:rsidR="00FB25C1" w:rsidRPr="003834C8">
        <w:noBreakHyphen/>
      </w:r>
      <w:r w:rsidRPr="003834C8">
        <w:t>50</w:t>
      </w:r>
      <w:r w:rsidR="00FB25C1" w:rsidRPr="003834C8">
        <w:t> </w:t>
      </w:r>
      <w:r w:rsidRPr="003834C8">
        <w:t>ml/perc), alacsony testtömeg (</w:t>
      </w:r>
      <w:r w:rsidR="0036702E" w:rsidRPr="003834C8">
        <w:t>≤ </w:t>
      </w:r>
      <w:r w:rsidRPr="003834C8">
        <w:t>60</w:t>
      </w:r>
      <w:r w:rsidR="00FB25C1" w:rsidRPr="003834C8">
        <w:t> </w:t>
      </w:r>
      <w:r w:rsidRPr="003834C8">
        <w:t>kg) vagy bizonyos P-gp-inhibitorok (verapamil, kinidin, dronedaron) egyidejű alkalmazása.</w:t>
      </w:r>
    </w:p>
    <w:p w14:paraId="725F0B6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6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hatásossági végpont a stroke és SEE alkotta összetett végpont volt. Másodlagos hatásossági végpontok voltak többek között: stroke, SEE és cardiovascularis (CV) mortalitás alkotta összetett végpont, a jelentős cardiovascularis nemkívánatos esemény (major adverse cardiovascular event – MACE), amelynek összetevői a nem halálos myocardialis infarctus, nem halálos stroke, nem halálos SEE, CV vagy vérzés eredetű halálozás; illetve a stroke, SEE és összmortalitás alkotta összetett végpont.</w:t>
      </w:r>
    </w:p>
    <w:p w14:paraId="725F0B6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0" w14:textId="1941BC3A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vizsgálati készítmény medián expozíciója a 60</w:t>
      </w:r>
      <w:r w:rsidR="0050166E">
        <w:t> mg</w:t>
      </w:r>
      <w:r w:rsidRPr="003834C8">
        <w:t xml:space="preserve"> és 30</w:t>
      </w:r>
      <w:r w:rsidR="0050166E">
        <w:t> mg</w:t>
      </w:r>
      <w:r w:rsidRPr="003834C8">
        <w:t xml:space="preserve"> edoxabán kezelési csoportban egyaránt 2,5 év volt. A medián utánkövetés a 60</w:t>
      </w:r>
      <w:r w:rsidR="0050166E">
        <w:t> mg</w:t>
      </w:r>
      <w:r w:rsidRPr="003834C8">
        <w:t xml:space="preserve"> és 30</w:t>
      </w:r>
      <w:r w:rsidR="0050166E">
        <w:t> mg</w:t>
      </w:r>
      <w:r w:rsidRPr="003834C8">
        <w:t xml:space="preserve"> edoxabán kezelési csoportban egyaránt 2,8 év volt. A medián vizsgálati alany-év expozíció 15 471 volt a 60</w:t>
      </w:r>
      <w:r w:rsidR="0050166E">
        <w:t> mg</w:t>
      </w:r>
      <w:r w:rsidRPr="003834C8">
        <w:t xml:space="preserve"> kezelési csoportban, és 15</w:t>
      </w:r>
      <w:r w:rsidR="00FB25C1" w:rsidRPr="003834C8">
        <w:t> </w:t>
      </w:r>
      <w:r w:rsidRPr="003834C8">
        <w:t>840 a</w:t>
      </w:r>
      <w:r w:rsidR="003A0230" w:rsidRPr="003834C8">
        <w:t xml:space="preserve"> </w:t>
      </w:r>
      <w:r w:rsidRPr="003834C8">
        <w:t>30</w:t>
      </w:r>
      <w:r w:rsidR="0050166E">
        <w:t> mg</w:t>
      </w:r>
      <w:r w:rsidRPr="003834C8">
        <w:t xml:space="preserve"> kezelési csoportban, illetve a medián vizsgálati alany-év utánkövetés 19</w:t>
      </w:r>
      <w:r w:rsidR="00FB25C1" w:rsidRPr="003834C8">
        <w:t> </w:t>
      </w:r>
      <w:r w:rsidRPr="003834C8">
        <w:t>191 volt a 60</w:t>
      </w:r>
      <w:r w:rsidR="0050166E">
        <w:t> mg</w:t>
      </w:r>
      <w:r w:rsidR="00F92A23" w:rsidRPr="003834C8">
        <w:t xml:space="preserve"> </w:t>
      </w:r>
      <w:r w:rsidRPr="003834C8">
        <w:t>kezelési csoportban és 19</w:t>
      </w:r>
      <w:r w:rsidR="00FB25C1" w:rsidRPr="003834C8">
        <w:t> </w:t>
      </w:r>
      <w:r w:rsidRPr="003834C8">
        <w:t>216 a 30</w:t>
      </w:r>
      <w:r w:rsidR="0050166E">
        <w:t> mg</w:t>
      </w:r>
      <w:r w:rsidRPr="003834C8">
        <w:t xml:space="preserve"> kezelési csoportban.</w:t>
      </w:r>
    </w:p>
    <w:p w14:paraId="725F0B7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3" w14:textId="5FF2A64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warfarin-csoportban a medián TTR (terápiás tartományban töltött idő, INR 2,0 és 3,0 között) 68,4%</w:t>
      </w:r>
      <w:r w:rsidR="00A6497F" w:rsidRPr="003834C8">
        <w:t xml:space="preserve"> </w:t>
      </w:r>
      <w:r w:rsidRPr="003834C8">
        <w:t>volt.</w:t>
      </w:r>
    </w:p>
    <w:p w14:paraId="725F0B7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5" w14:textId="4357EC4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hatásosság fő elemzésének célja az edoxabán warfarinnal szembeni non-inferioritásának igazolása volt a kezelés alatt vagy az utolsó </w:t>
      </w:r>
      <w:r w:rsidR="00274D3B" w:rsidRPr="003834C8">
        <w:t xml:space="preserve">dózis </w:t>
      </w:r>
      <w:r w:rsidRPr="003834C8">
        <w:t>bevételétől számított 3 napon belül előforduló első stroke vagy SEE tekintetében, a kezelésbe bevont módosított (modified intention to treat, mITT) populációban. A 60</w:t>
      </w:r>
      <w:r w:rsidR="0050166E">
        <w:t> mg</w:t>
      </w:r>
      <w:r w:rsidRPr="003834C8">
        <w:t xml:space="preserve"> edoxabán nem volt rosszabb, mint a warfarin, a stroke vagy SEE, mint elsődleges hatásossági végpont tekintetében (a relatív hazárd (HR) 97,5%-os konfidencia intervallumának (CI) felső határértéke az előre meghatározott 1,38-os non-inferioritási küszöb alatt volt) (4. táblázat).</w:t>
      </w:r>
    </w:p>
    <w:p w14:paraId="725F0B7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77" w14:textId="45D6B546" w:rsidR="00DD077B" w:rsidRPr="003834C8" w:rsidRDefault="0043432F" w:rsidP="003834C8">
      <w:pPr>
        <w:pStyle w:val="Cmsor1"/>
        <w:keepNext/>
        <w:tabs>
          <w:tab w:val="left" w:pos="0"/>
        </w:tabs>
        <w:spacing w:before="0"/>
        <w:ind w:left="0"/>
      </w:pPr>
      <w:r w:rsidRPr="003834C8">
        <w:t xml:space="preserve">4. táblázat: </w:t>
      </w:r>
      <w:r w:rsidR="00545387">
        <w:t xml:space="preserve">Stroke és </w:t>
      </w:r>
      <w:r w:rsidRPr="003834C8">
        <w:t>SEE az ENGAGE AF-TIMI 48 vizsgálatban (mITT, kezelés alatti időszak)</w:t>
      </w:r>
    </w:p>
    <w:tbl>
      <w:tblPr>
        <w:tblStyle w:val="TableNormal"/>
        <w:tblW w:w="929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8"/>
        <w:gridCol w:w="2976"/>
        <w:gridCol w:w="2928"/>
      </w:tblGrid>
      <w:tr w:rsidR="00DD077B" w:rsidRPr="003834C8" w14:paraId="725F0B7F" w14:textId="77777777" w:rsidTr="003743A2">
        <w:trPr>
          <w:trHeight w:val="798"/>
        </w:trPr>
        <w:tc>
          <w:tcPr>
            <w:tcW w:w="338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25F0B7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Elsődleges végpont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25F0B7A" w14:textId="6308E9F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60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 xml:space="preserve"> edoxabán</w:t>
            </w:r>
          </w:p>
          <w:p w14:paraId="725F0B7B" w14:textId="1253B2B8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(30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 xml:space="preserve">-os csökkentett </w:t>
            </w:r>
            <w:r w:rsidR="00274D3B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B7C" w14:textId="311EFCF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28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25F0B7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B7E" w14:textId="58EF31E4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55D8A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</w:tr>
      <w:tr w:rsidR="00DD077B" w:rsidRPr="003834C8" w14:paraId="725F0B83" w14:textId="77777777" w:rsidTr="003743A2">
        <w:trPr>
          <w:trHeight w:val="294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F0B8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rPr>
                <w:b/>
              </w:rPr>
              <w:t>Első stroke/SEE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F0B81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5F0B8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87" w14:textId="77777777" w:rsidTr="003743A2">
        <w:trPr>
          <w:trHeight w:val="292"/>
        </w:trPr>
        <w:tc>
          <w:tcPr>
            <w:tcW w:w="3388" w:type="dxa"/>
            <w:tcBorders>
              <w:top w:val="single" w:sz="4" w:space="0" w:color="000000"/>
            </w:tcBorders>
            <w:vAlign w:val="center"/>
          </w:tcPr>
          <w:p w14:paraId="725F0B8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</w:t>
            </w:r>
          </w:p>
        </w:tc>
        <w:tc>
          <w:tcPr>
            <w:tcW w:w="2976" w:type="dxa"/>
            <w:tcBorders>
              <w:top w:val="single" w:sz="4" w:space="0" w:color="000000"/>
            </w:tcBorders>
            <w:vAlign w:val="center"/>
          </w:tcPr>
          <w:p w14:paraId="725F0B8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182</w:t>
            </w:r>
          </w:p>
        </w:tc>
        <w:tc>
          <w:tcPr>
            <w:tcW w:w="2928" w:type="dxa"/>
            <w:tcBorders>
              <w:top w:val="single" w:sz="4" w:space="0" w:color="000000"/>
            </w:tcBorders>
            <w:vAlign w:val="center"/>
          </w:tcPr>
          <w:p w14:paraId="725F0B8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232</w:t>
            </w:r>
          </w:p>
        </w:tc>
      </w:tr>
      <w:tr w:rsidR="00DD077B" w:rsidRPr="003834C8" w14:paraId="725F0B8B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8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b</w:t>
            </w:r>
          </w:p>
        </w:tc>
        <w:tc>
          <w:tcPr>
            <w:tcW w:w="2976" w:type="dxa"/>
            <w:vAlign w:val="center"/>
          </w:tcPr>
          <w:p w14:paraId="725F0B8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1,18</w:t>
            </w:r>
          </w:p>
        </w:tc>
        <w:tc>
          <w:tcPr>
            <w:tcW w:w="2928" w:type="dxa"/>
            <w:vAlign w:val="center"/>
          </w:tcPr>
          <w:p w14:paraId="725F0B8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1,50</w:t>
            </w:r>
          </w:p>
        </w:tc>
      </w:tr>
      <w:tr w:rsidR="00DD077B" w:rsidRPr="003834C8" w14:paraId="725F0B8F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8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(97,5%-os CI)</w:t>
            </w:r>
          </w:p>
        </w:tc>
        <w:tc>
          <w:tcPr>
            <w:tcW w:w="2976" w:type="dxa"/>
            <w:vAlign w:val="center"/>
          </w:tcPr>
          <w:p w14:paraId="725F0B8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0,79 (0,63; 0,99)</w:t>
            </w:r>
          </w:p>
        </w:tc>
        <w:tc>
          <w:tcPr>
            <w:tcW w:w="2928" w:type="dxa"/>
            <w:vAlign w:val="center"/>
          </w:tcPr>
          <w:p w14:paraId="725F0B8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93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9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Non-inferioritási p-érték</w:t>
            </w:r>
            <w:r w:rsidRPr="003834C8">
              <w:rPr>
                <w:vertAlign w:val="superscript"/>
              </w:rPr>
              <w:t>c</w:t>
            </w:r>
          </w:p>
        </w:tc>
        <w:tc>
          <w:tcPr>
            <w:tcW w:w="2976" w:type="dxa"/>
            <w:vAlign w:val="center"/>
          </w:tcPr>
          <w:p w14:paraId="725F0B9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&lt;0,0001</w:t>
            </w:r>
          </w:p>
        </w:tc>
        <w:tc>
          <w:tcPr>
            <w:tcW w:w="2928" w:type="dxa"/>
            <w:vAlign w:val="center"/>
          </w:tcPr>
          <w:p w14:paraId="725F0B9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97" w14:textId="77777777" w:rsidTr="003743A2">
        <w:trPr>
          <w:trHeight w:val="292"/>
        </w:trPr>
        <w:tc>
          <w:tcPr>
            <w:tcW w:w="3388" w:type="dxa"/>
            <w:shd w:val="clear" w:color="auto" w:fill="D9D9D9"/>
            <w:vAlign w:val="center"/>
          </w:tcPr>
          <w:p w14:paraId="725F0B9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Első ischaemiás stroke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25F0B9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shd w:val="clear" w:color="auto" w:fill="D9D9D9"/>
            <w:vAlign w:val="center"/>
          </w:tcPr>
          <w:p w14:paraId="725F0B9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9B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9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</w:t>
            </w:r>
          </w:p>
        </w:tc>
        <w:tc>
          <w:tcPr>
            <w:tcW w:w="2976" w:type="dxa"/>
            <w:vAlign w:val="center"/>
          </w:tcPr>
          <w:p w14:paraId="725F0B9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135</w:t>
            </w:r>
          </w:p>
        </w:tc>
        <w:tc>
          <w:tcPr>
            <w:tcW w:w="2928" w:type="dxa"/>
            <w:vAlign w:val="center"/>
          </w:tcPr>
          <w:p w14:paraId="725F0B9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144</w:t>
            </w:r>
          </w:p>
        </w:tc>
      </w:tr>
      <w:tr w:rsidR="00DD077B" w:rsidRPr="003834C8" w14:paraId="725F0B9F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9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b</w:t>
            </w:r>
          </w:p>
        </w:tc>
        <w:tc>
          <w:tcPr>
            <w:tcW w:w="2976" w:type="dxa"/>
            <w:vAlign w:val="center"/>
          </w:tcPr>
          <w:p w14:paraId="725F0B9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0,87</w:t>
            </w:r>
          </w:p>
        </w:tc>
        <w:tc>
          <w:tcPr>
            <w:tcW w:w="2928" w:type="dxa"/>
            <w:vAlign w:val="center"/>
          </w:tcPr>
          <w:p w14:paraId="725F0B9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0,93</w:t>
            </w:r>
          </w:p>
        </w:tc>
      </w:tr>
      <w:tr w:rsidR="00DD077B" w:rsidRPr="003834C8" w14:paraId="725F0BA3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A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(95%-os CI)</w:t>
            </w:r>
          </w:p>
        </w:tc>
        <w:tc>
          <w:tcPr>
            <w:tcW w:w="2976" w:type="dxa"/>
            <w:vAlign w:val="center"/>
          </w:tcPr>
          <w:p w14:paraId="725F0BA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0,94 (0,75; 1,19)</w:t>
            </w:r>
          </w:p>
        </w:tc>
        <w:tc>
          <w:tcPr>
            <w:tcW w:w="2928" w:type="dxa"/>
            <w:vAlign w:val="center"/>
          </w:tcPr>
          <w:p w14:paraId="725F0BA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A7" w14:textId="77777777" w:rsidTr="003743A2">
        <w:trPr>
          <w:trHeight w:val="292"/>
        </w:trPr>
        <w:tc>
          <w:tcPr>
            <w:tcW w:w="3388" w:type="dxa"/>
            <w:shd w:val="clear" w:color="auto" w:fill="D9D9D9"/>
            <w:vAlign w:val="center"/>
          </w:tcPr>
          <w:p w14:paraId="725F0BA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Első vérzéses stroke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25F0BA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shd w:val="clear" w:color="auto" w:fill="D9D9D9"/>
            <w:vAlign w:val="center"/>
          </w:tcPr>
          <w:p w14:paraId="725F0BA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AB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A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</w:t>
            </w:r>
          </w:p>
        </w:tc>
        <w:tc>
          <w:tcPr>
            <w:tcW w:w="2976" w:type="dxa"/>
            <w:vAlign w:val="center"/>
          </w:tcPr>
          <w:p w14:paraId="725F0BA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40</w:t>
            </w:r>
          </w:p>
        </w:tc>
        <w:tc>
          <w:tcPr>
            <w:tcW w:w="2928" w:type="dxa"/>
            <w:vAlign w:val="center"/>
          </w:tcPr>
          <w:p w14:paraId="725F0BA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76</w:t>
            </w:r>
          </w:p>
        </w:tc>
      </w:tr>
      <w:tr w:rsidR="00DD077B" w:rsidRPr="003834C8" w14:paraId="725F0BAF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A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b</w:t>
            </w:r>
          </w:p>
        </w:tc>
        <w:tc>
          <w:tcPr>
            <w:tcW w:w="2976" w:type="dxa"/>
            <w:vAlign w:val="center"/>
          </w:tcPr>
          <w:p w14:paraId="725F0BA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2928" w:type="dxa"/>
            <w:vAlign w:val="center"/>
          </w:tcPr>
          <w:p w14:paraId="725F0BA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0,49</w:t>
            </w:r>
          </w:p>
        </w:tc>
      </w:tr>
      <w:tr w:rsidR="00DD077B" w:rsidRPr="003834C8" w14:paraId="725F0BB3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B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(95%-os CI)</w:t>
            </w:r>
          </w:p>
        </w:tc>
        <w:tc>
          <w:tcPr>
            <w:tcW w:w="2976" w:type="dxa"/>
            <w:vAlign w:val="center"/>
          </w:tcPr>
          <w:p w14:paraId="725F0BB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0,53 (0,36; 0,78)</w:t>
            </w:r>
          </w:p>
        </w:tc>
        <w:tc>
          <w:tcPr>
            <w:tcW w:w="2928" w:type="dxa"/>
            <w:vAlign w:val="center"/>
          </w:tcPr>
          <w:p w14:paraId="725F0BB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B7" w14:textId="77777777" w:rsidTr="003743A2">
        <w:trPr>
          <w:trHeight w:val="294"/>
        </w:trPr>
        <w:tc>
          <w:tcPr>
            <w:tcW w:w="3388" w:type="dxa"/>
            <w:shd w:val="clear" w:color="auto" w:fill="D9D9D9"/>
            <w:vAlign w:val="center"/>
          </w:tcPr>
          <w:p w14:paraId="725F0BB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Első SEE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725F0BB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928" w:type="dxa"/>
            <w:shd w:val="clear" w:color="auto" w:fill="D9D9D9"/>
            <w:vAlign w:val="center"/>
          </w:tcPr>
          <w:p w14:paraId="725F0BB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BB" w14:textId="77777777" w:rsidTr="003743A2">
        <w:trPr>
          <w:trHeight w:val="292"/>
        </w:trPr>
        <w:tc>
          <w:tcPr>
            <w:tcW w:w="3388" w:type="dxa"/>
            <w:vAlign w:val="center"/>
          </w:tcPr>
          <w:p w14:paraId="725F0BB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n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976" w:type="dxa"/>
            <w:vAlign w:val="center"/>
          </w:tcPr>
          <w:p w14:paraId="725F0BB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 (0,05)</w:t>
            </w:r>
          </w:p>
        </w:tc>
        <w:tc>
          <w:tcPr>
            <w:tcW w:w="2928" w:type="dxa"/>
            <w:vAlign w:val="center"/>
          </w:tcPr>
          <w:p w14:paraId="725F0BB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 (0,08)</w:t>
            </w:r>
          </w:p>
        </w:tc>
      </w:tr>
      <w:tr w:rsidR="00DD077B" w:rsidRPr="003834C8" w14:paraId="725F0BBF" w14:textId="77777777" w:rsidTr="003743A2">
        <w:trPr>
          <w:trHeight w:val="294"/>
        </w:trPr>
        <w:tc>
          <w:tcPr>
            <w:tcW w:w="3388" w:type="dxa"/>
            <w:vAlign w:val="center"/>
          </w:tcPr>
          <w:p w14:paraId="725F0BB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HR (95%-os CI)</w:t>
            </w:r>
          </w:p>
        </w:tc>
        <w:tc>
          <w:tcPr>
            <w:tcW w:w="2976" w:type="dxa"/>
            <w:vAlign w:val="center"/>
          </w:tcPr>
          <w:p w14:paraId="725F0BB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0,62 (0,26; 1,50)</w:t>
            </w:r>
          </w:p>
        </w:tc>
        <w:tc>
          <w:tcPr>
            <w:tcW w:w="2928" w:type="dxa"/>
            <w:vAlign w:val="center"/>
          </w:tcPr>
          <w:p w14:paraId="725F0BB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</w:tbl>
    <w:p w14:paraId="725F0BC0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Rövidítések: HR = relatív hazárd (Hazard Ratio) a warfarinnal szemben, CI = konfidencia intervallum, n = események száma, mITT = kezelésbe bevont, módosított, N = vizsgálati alanyok száma a mITT populációban, SEE = szisztémás embóliás esemény (Systemic Embolic Event).</w:t>
      </w:r>
    </w:p>
    <w:p w14:paraId="725F0BC1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ab/>
        <w:t>Egy vizsgálati alany több sorban szerepelhet.</w:t>
      </w:r>
    </w:p>
    <w:p w14:paraId="725F0BC2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ab/>
        <w:t>Az eseményhányados (%/év) az események száma/betegévenkénti expozíció hányadossal kerül kiszámításra.</w:t>
      </w:r>
    </w:p>
    <w:p w14:paraId="725F0BC3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c</w:t>
      </w:r>
      <w:r w:rsidRPr="003834C8">
        <w:rPr>
          <w:szCs w:val="20"/>
        </w:rPr>
        <w:tab/>
        <w:t>A kétoldalas p-érték alapja az 1,38-os non-inferioritási küszöb.</w:t>
      </w:r>
    </w:p>
    <w:p w14:paraId="725F0BC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C5" w14:textId="22F2965E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teljes vizsgálati időszakban az ITT populációban (az előnyösebb hatás kimutatására összeállított elemzés) 296 vizsgálati alanynál fordult elő megállapított stroke vagy SEE (1,57% évente) a 60</w:t>
      </w:r>
      <w:r w:rsidR="0050166E">
        <w:t> mg</w:t>
      </w:r>
      <w:r w:rsidRPr="003834C8">
        <w:t xml:space="preserve"> edoxabánnal kezeltek csoportjában, míg a warfarin-csoportban 337 vizsgálati alanynál (1,80% évente). A warfarinnal kezelt vizsgálati alanyokhoz képest a 60</w:t>
      </w:r>
      <w:r w:rsidR="0050166E">
        <w:t> mg</w:t>
      </w:r>
      <w:r w:rsidRPr="003834C8">
        <w:t xml:space="preserve"> edoxabánnal kezeltek csoportjában a relatív hazárd 0,87 volt (99%-os CI: 0,71; 1,07; p</w:t>
      </w:r>
      <w:r w:rsidR="00375BE2" w:rsidRPr="003834C8">
        <w:t> </w:t>
      </w:r>
      <w:r w:rsidRPr="003834C8">
        <w:t>=</w:t>
      </w:r>
      <w:r w:rsidR="00375BE2" w:rsidRPr="003834C8">
        <w:t> </w:t>
      </w:r>
      <w:r w:rsidRPr="003834C8">
        <w:t>0,08 a szuperioritás tekintetében).</w:t>
      </w:r>
    </w:p>
    <w:p w14:paraId="725F0B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C7" w14:textId="5932518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Alcsoport analízisekben a 60</w:t>
      </w:r>
      <w:r w:rsidR="0050166E">
        <w:t> mg</w:t>
      </w:r>
      <w:r w:rsidRPr="003834C8">
        <w:t>-os kezelési csoportban azoknál a betegeknél, akiknél 30</w:t>
      </w:r>
      <w:r w:rsidR="0050166E">
        <w:t> mg</w:t>
      </w:r>
      <w:r w:rsidRPr="003834C8">
        <w:t xml:space="preserve">-ra csökkentették a </w:t>
      </w:r>
      <w:r w:rsidR="00274D3B" w:rsidRPr="003834C8">
        <w:t xml:space="preserve">dózist </w:t>
      </w:r>
      <w:r w:rsidRPr="003834C8">
        <w:t>az ENGAGE AF-TIMI 48 vizsgálatban (testtömeg ≤</w:t>
      </w:r>
      <w:r w:rsidR="00375BE2" w:rsidRPr="003834C8">
        <w:t> </w:t>
      </w:r>
      <w:r w:rsidRPr="003834C8">
        <w:t>60</w:t>
      </w:r>
      <w:r w:rsidR="00375BE2" w:rsidRPr="003834C8">
        <w:t> </w:t>
      </w:r>
      <w:r w:rsidRPr="003834C8">
        <w:t xml:space="preserve">kg, közepes </w:t>
      </w:r>
      <w:r w:rsidR="00FB566C">
        <w:t xml:space="preserve">fokú </w:t>
      </w:r>
      <w:r w:rsidRPr="003834C8">
        <w:lastRenderedPageBreak/>
        <w:t>vesekárosodás vagy P-gp-inhibitorok egyidejű alkalmazása miatt), az eseményhányados 2,29% volt évente az elsődleges végpontig, összehasonlítva a warfarin-csoportban kezelt vizsgálati alanyok 2,66%-os évi eseményhányadosával [HR (95%</w:t>
      </w:r>
      <w:r w:rsidR="002A1637" w:rsidRPr="003834C8">
        <w:t>-os</w:t>
      </w:r>
      <w:r w:rsidRPr="003834C8">
        <w:t xml:space="preserve"> CI): 0,86 (0,66; 1,13)].</w:t>
      </w:r>
    </w:p>
    <w:p w14:paraId="004576A1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BCB" w14:textId="550D42E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előre meghatározott fő alcsoportok (szükség szerinti </w:t>
      </w:r>
      <w:r w:rsidR="00274D3B" w:rsidRPr="003834C8">
        <w:t>dóziscsökkentéssel</w:t>
      </w:r>
      <w:r w:rsidRPr="003834C8">
        <w:t>) hatásossági eredményei – beleértve az életkort, testtömeget, nemet, vesefunkciót, korábbi stroke-ot vagy TIA-t, diabetest és</w:t>
      </w:r>
      <w:r w:rsidR="00D24A89" w:rsidRPr="003834C8">
        <w:t xml:space="preserve"> </w:t>
      </w:r>
      <w:r w:rsidRPr="003834C8">
        <w:t>P-gp-inhibitorokat – általában konzisztensek voltak a vizsgálatban értékelt összpopuláció elsődleges</w:t>
      </w:r>
      <w:r w:rsidR="00D24A89" w:rsidRPr="003834C8">
        <w:t xml:space="preserve"> </w:t>
      </w:r>
      <w:r w:rsidRPr="003834C8">
        <w:t>hatásossági eredményeivel.</w:t>
      </w:r>
    </w:p>
    <w:p w14:paraId="725F0BC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CE" w14:textId="75248138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végpont HR értéke (60</w:t>
      </w:r>
      <w:r w:rsidR="0050166E">
        <w:t> mg</w:t>
      </w:r>
      <w:r w:rsidRPr="003834C8">
        <w:t xml:space="preserve"> edoxabán warfarinnal szemben) a warfarinra vonatkozóan 0,73</w:t>
      </w:r>
      <w:r w:rsidR="00375BE2" w:rsidRPr="003834C8">
        <w:noBreakHyphen/>
      </w:r>
      <w:r w:rsidRPr="003834C8">
        <w:t>0,80 volt a 3 legalacsonyabb kvartilisben (INR TTR ≤</w:t>
      </w:r>
      <w:r w:rsidR="00375BE2" w:rsidRPr="003834C8">
        <w:t> </w:t>
      </w:r>
      <w:r w:rsidRPr="003834C8">
        <w:t>57,7% és ≤</w:t>
      </w:r>
      <w:r w:rsidR="00375BE2" w:rsidRPr="003834C8">
        <w:t> </w:t>
      </w:r>
      <w:r w:rsidRPr="003834C8">
        <w:t>73,9% között) a terápiás tartományba eső (INR TTR – INR in the target range), alacsonyabb átlagos INR idővel rendelkező vizsgálóhelyeken. Az érték 1,07 volt a warfarin kezeléssel legjobb kontrollt elérő vizsgálóhelyeken (a</w:t>
      </w:r>
      <w:r w:rsidR="00D24A89" w:rsidRPr="003834C8">
        <w:t xml:space="preserve"> </w:t>
      </w:r>
      <w:r w:rsidRPr="003834C8">
        <w:t>kvartilisban az INR-értékek &gt;</w:t>
      </w:r>
      <w:r w:rsidR="00375BE2" w:rsidRPr="003834C8">
        <w:t> </w:t>
      </w:r>
      <w:r w:rsidRPr="003834C8">
        <w:t>73,9%-a a terápiás tartományban volt).</w:t>
      </w:r>
    </w:p>
    <w:p w14:paraId="725F0BC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D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Statisztikailag szignifikáns kölcsönhatás volt az edoxabán és a warfarin fő vizsgálati végpontra (stroke/SEE) és veseműködésre (p-érték: 0,0042; mITT, teljes vizsgálati időszak) gyakorolt hatása között.</w:t>
      </w:r>
    </w:p>
    <w:p w14:paraId="725F0BD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D2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5. táblázat mutatja be az ischaemiás stroke/SEE előfordulását CrCl kategóriák szerint az ENGAGE AF-TIMI 48 vizsgálat NVAF-ban szenvedő betegei esetében. A CrCl növekedésével mindkét kezelési csoportban csökkent az események gyakorisága.</w:t>
      </w:r>
    </w:p>
    <w:p w14:paraId="725F0B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BD4" w14:textId="2E93E6A7" w:rsidR="00DD077B" w:rsidRPr="003834C8" w:rsidRDefault="00605FC5" w:rsidP="003834C8">
      <w:pPr>
        <w:pStyle w:val="Cmsor1"/>
        <w:keepNext/>
        <w:tabs>
          <w:tab w:val="left" w:pos="0"/>
          <w:tab w:val="left" w:pos="439"/>
        </w:tabs>
        <w:spacing w:before="0"/>
        <w:ind w:left="0"/>
      </w:pPr>
      <w:r w:rsidRPr="003834C8">
        <w:t xml:space="preserve">5. </w:t>
      </w:r>
      <w:r w:rsidR="0043432F" w:rsidRPr="003834C8">
        <w:t>táblázat: Ischaemiás stroke/SEE esetek száma CrCl kategóriák szerint az ENGAGE AF-TIMI 48 vizsgálatban, mITT elemzési adatkészlet a teljes vizsgálati időszak alatt</w:t>
      </w:r>
    </w:p>
    <w:tbl>
      <w:tblPr>
        <w:tblStyle w:val="TableNormal"/>
        <w:tblW w:w="94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57"/>
      </w:tblGrid>
      <w:tr w:rsidR="00DD077B" w:rsidRPr="003834C8" w14:paraId="725F0BDB" w14:textId="77777777" w:rsidTr="003743A2">
        <w:trPr>
          <w:trHeight w:val="558"/>
        </w:trPr>
        <w:tc>
          <w:tcPr>
            <w:tcW w:w="1750" w:type="dxa"/>
            <w:vMerge w:val="restart"/>
            <w:shd w:val="clear" w:color="auto" w:fill="D9D9D9"/>
            <w:vAlign w:val="center"/>
          </w:tcPr>
          <w:p w14:paraId="725F0BD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CrCl alcsoport (ml/perc)</w:t>
            </w:r>
          </w:p>
        </w:tc>
        <w:tc>
          <w:tcPr>
            <w:tcW w:w="2926" w:type="dxa"/>
            <w:gridSpan w:val="3"/>
            <w:shd w:val="clear" w:color="auto" w:fill="D9D9D9"/>
            <w:vAlign w:val="center"/>
          </w:tcPr>
          <w:p w14:paraId="725F0BD6" w14:textId="4B6EA08E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Edoxabán 60</w:t>
            </w:r>
            <w:r w:rsidR="0050166E">
              <w:rPr>
                <w:b/>
              </w:rPr>
              <w:t> mg</w:t>
            </w:r>
          </w:p>
          <w:p w14:paraId="725F0BD7" w14:textId="70B07493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  <w:vAlign w:val="center"/>
          </w:tcPr>
          <w:p w14:paraId="725F0BD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BD9" w14:textId="733C8BE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AF0EB1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57" w:type="dxa"/>
            <w:shd w:val="clear" w:color="auto" w:fill="D9D9D9"/>
            <w:vAlign w:val="center"/>
          </w:tcPr>
          <w:p w14:paraId="725F0BDA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BE5" w14:textId="77777777" w:rsidTr="003743A2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  <w:vAlign w:val="center"/>
          </w:tcPr>
          <w:p w14:paraId="725F0BDC" w14:textId="77777777" w:rsidR="00DD077B" w:rsidRPr="003834C8" w:rsidRDefault="00DD077B" w:rsidP="003834C8">
            <w:pPr>
              <w:keepNext/>
              <w:tabs>
                <w:tab w:val="left" w:pos="0"/>
              </w:tabs>
            </w:pPr>
          </w:p>
        </w:tc>
        <w:tc>
          <w:tcPr>
            <w:tcW w:w="744" w:type="dxa"/>
            <w:shd w:val="clear" w:color="auto" w:fill="D9D9D9"/>
            <w:vAlign w:val="center"/>
          </w:tcPr>
          <w:p w14:paraId="725F0BD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  <w:vAlign w:val="center"/>
          </w:tcPr>
          <w:p w14:paraId="725F0BD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725F0BE0" w14:textId="4E3DCF09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</w:t>
            </w:r>
            <w:r w:rsidR="00375BE2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  <w:vAlign w:val="center"/>
          </w:tcPr>
          <w:p w14:paraId="725F0BE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  <w:vAlign w:val="center"/>
          </w:tcPr>
          <w:p w14:paraId="725F0BE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725F0BE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 (%/év)</w:t>
            </w:r>
          </w:p>
        </w:tc>
        <w:tc>
          <w:tcPr>
            <w:tcW w:w="1757" w:type="dxa"/>
            <w:shd w:val="clear" w:color="auto" w:fill="D9D9D9"/>
            <w:vAlign w:val="center"/>
          </w:tcPr>
          <w:p w14:paraId="725F0BE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BEE" w14:textId="77777777" w:rsidTr="003743A2">
        <w:trPr>
          <w:trHeight w:val="302"/>
        </w:trPr>
        <w:tc>
          <w:tcPr>
            <w:tcW w:w="1750" w:type="dxa"/>
            <w:vAlign w:val="center"/>
          </w:tcPr>
          <w:p w14:paraId="725F0BE6" w14:textId="3B7AFD0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≥</w:t>
            </w:r>
            <w:r w:rsidR="00375BE2" w:rsidRPr="003834C8">
              <w:t> </w:t>
            </w:r>
            <w:r w:rsidRPr="003834C8">
              <w:t>30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 xml:space="preserve"> ≤</w:t>
            </w:r>
            <w:r w:rsidR="00375BE2" w:rsidRPr="003834C8">
              <w:t> </w:t>
            </w:r>
            <w:r w:rsidRPr="003834C8">
              <w:t>50</w:t>
            </w:r>
          </w:p>
        </w:tc>
        <w:tc>
          <w:tcPr>
            <w:tcW w:w="744" w:type="dxa"/>
            <w:vAlign w:val="center"/>
          </w:tcPr>
          <w:p w14:paraId="725F0BE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  <w:vAlign w:val="center"/>
          </w:tcPr>
          <w:p w14:paraId="725F0BE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63</w:t>
            </w:r>
          </w:p>
        </w:tc>
        <w:tc>
          <w:tcPr>
            <w:tcW w:w="1133" w:type="dxa"/>
            <w:vAlign w:val="center"/>
          </w:tcPr>
          <w:p w14:paraId="725F0BE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1,89</w:t>
            </w:r>
          </w:p>
        </w:tc>
        <w:tc>
          <w:tcPr>
            <w:tcW w:w="730" w:type="dxa"/>
            <w:vAlign w:val="center"/>
          </w:tcPr>
          <w:p w14:paraId="725F0BE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  <w:vAlign w:val="center"/>
          </w:tcPr>
          <w:p w14:paraId="725F0BE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67</w:t>
            </w:r>
          </w:p>
        </w:tc>
        <w:tc>
          <w:tcPr>
            <w:tcW w:w="1133" w:type="dxa"/>
            <w:vAlign w:val="center"/>
          </w:tcPr>
          <w:p w14:paraId="725F0BE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2,05</w:t>
            </w:r>
          </w:p>
        </w:tc>
        <w:tc>
          <w:tcPr>
            <w:tcW w:w="1757" w:type="dxa"/>
            <w:vAlign w:val="center"/>
          </w:tcPr>
          <w:p w14:paraId="725F0BE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0,93 (0,66; 1,31)</w:t>
            </w:r>
          </w:p>
        </w:tc>
      </w:tr>
      <w:tr w:rsidR="00DD077B" w:rsidRPr="003834C8" w14:paraId="725F0BF7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BEF" w14:textId="5CE1D50A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50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70</w:t>
            </w:r>
          </w:p>
        </w:tc>
        <w:tc>
          <w:tcPr>
            <w:tcW w:w="744" w:type="dxa"/>
            <w:vAlign w:val="center"/>
          </w:tcPr>
          <w:p w14:paraId="725F0BF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  <w:vAlign w:val="center"/>
          </w:tcPr>
          <w:p w14:paraId="725F0BF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85</w:t>
            </w:r>
          </w:p>
        </w:tc>
        <w:tc>
          <w:tcPr>
            <w:tcW w:w="1133" w:type="dxa"/>
            <w:vAlign w:val="center"/>
          </w:tcPr>
          <w:p w14:paraId="725F0BF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1,51</w:t>
            </w:r>
          </w:p>
        </w:tc>
        <w:tc>
          <w:tcPr>
            <w:tcW w:w="730" w:type="dxa"/>
            <w:vAlign w:val="center"/>
          </w:tcPr>
          <w:p w14:paraId="725F0BF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  <w:vAlign w:val="center"/>
          </w:tcPr>
          <w:p w14:paraId="725F0BF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95</w:t>
            </w:r>
          </w:p>
        </w:tc>
        <w:tc>
          <w:tcPr>
            <w:tcW w:w="1133" w:type="dxa"/>
            <w:vAlign w:val="center"/>
          </w:tcPr>
          <w:p w14:paraId="725F0BF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1,70</w:t>
            </w:r>
          </w:p>
        </w:tc>
        <w:tc>
          <w:tcPr>
            <w:tcW w:w="1757" w:type="dxa"/>
            <w:vAlign w:val="center"/>
          </w:tcPr>
          <w:p w14:paraId="725F0BF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0,88 (0,66; 1,18)</w:t>
            </w:r>
          </w:p>
        </w:tc>
      </w:tr>
      <w:tr w:rsidR="00DD077B" w:rsidRPr="003834C8" w14:paraId="725F0C00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BF8" w14:textId="2BD747EF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70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90</w:t>
            </w:r>
          </w:p>
        </w:tc>
        <w:tc>
          <w:tcPr>
            <w:tcW w:w="744" w:type="dxa"/>
            <w:vAlign w:val="center"/>
          </w:tcPr>
          <w:p w14:paraId="725F0BF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  <w:vAlign w:val="center"/>
          </w:tcPr>
          <w:p w14:paraId="725F0BF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45</w:t>
            </w:r>
          </w:p>
        </w:tc>
        <w:tc>
          <w:tcPr>
            <w:tcW w:w="1133" w:type="dxa"/>
            <w:vAlign w:val="center"/>
          </w:tcPr>
          <w:p w14:paraId="725F0BF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0,99</w:t>
            </w:r>
          </w:p>
        </w:tc>
        <w:tc>
          <w:tcPr>
            <w:tcW w:w="730" w:type="dxa"/>
            <w:vAlign w:val="center"/>
          </w:tcPr>
          <w:p w14:paraId="725F0BF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  <w:vAlign w:val="center"/>
          </w:tcPr>
          <w:p w14:paraId="725F0BF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50</w:t>
            </w:r>
          </w:p>
        </w:tc>
        <w:tc>
          <w:tcPr>
            <w:tcW w:w="1133" w:type="dxa"/>
            <w:vAlign w:val="center"/>
          </w:tcPr>
          <w:p w14:paraId="725F0BF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1,08</w:t>
            </w:r>
          </w:p>
        </w:tc>
        <w:tc>
          <w:tcPr>
            <w:tcW w:w="1757" w:type="dxa"/>
            <w:vAlign w:val="center"/>
          </w:tcPr>
          <w:p w14:paraId="725F0BF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0,92 (0,61; 1,37)</w:t>
            </w:r>
          </w:p>
        </w:tc>
      </w:tr>
      <w:tr w:rsidR="00DD077B" w:rsidRPr="003834C8" w14:paraId="725F0C09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C01" w14:textId="0E2A722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90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110</w:t>
            </w:r>
          </w:p>
        </w:tc>
        <w:tc>
          <w:tcPr>
            <w:tcW w:w="744" w:type="dxa"/>
            <w:vAlign w:val="center"/>
          </w:tcPr>
          <w:p w14:paraId="725F0C0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  <w:vAlign w:val="center"/>
          </w:tcPr>
          <w:p w14:paraId="725F0C0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27</w:t>
            </w:r>
          </w:p>
        </w:tc>
        <w:tc>
          <w:tcPr>
            <w:tcW w:w="1133" w:type="dxa"/>
            <w:vAlign w:val="center"/>
          </w:tcPr>
          <w:p w14:paraId="725F0C0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1,08</w:t>
            </w:r>
          </w:p>
        </w:tc>
        <w:tc>
          <w:tcPr>
            <w:tcW w:w="730" w:type="dxa"/>
            <w:vAlign w:val="center"/>
          </w:tcPr>
          <w:p w14:paraId="725F0C0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  <w:vAlign w:val="center"/>
          </w:tcPr>
          <w:p w14:paraId="725F0C0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26</w:t>
            </w:r>
          </w:p>
        </w:tc>
        <w:tc>
          <w:tcPr>
            <w:tcW w:w="1133" w:type="dxa"/>
            <w:vAlign w:val="center"/>
          </w:tcPr>
          <w:p w14:paraId="725F0C0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0,98</w:t>
            </w:r>
          </w:p>
        </w:tc>
        <w:tc>
          <w:tcPr>
            <w:tcW w:w="1757" w:type="dxa"/>
            <w:vAlign w:val="center"/>
          </w:tcPr>
          <w:p w14:paraId="725F0C0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1,10 (0,64; 1,89)</w:t>
            </w:r>
          </w:p>
        </w:tc>
      </w:tr>
      <w:tr w:rsidR="00DD077B" w:rsidRPr="003834C8" w14:paraId="725F0C12" w14:textId="77777777" w:rsidTr="003743A2">
        <w:trPr>
          <w:trHeight w:val="299"/>
        </w:trPr>
        <w:tc>
          <w:tcPr>
            <w:tcW w:w="1750" w:type="dxa"/>
            <w:vAlign w:val="center"/>
          </w:tcPr>
          <w:p w14:paraId="725F0C0A" w14:textId="507B3CB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110</w:t>
            </w:r>
            <w:r w:rsidR="00375BE2" w:rsidRPr="003834C8">
              <w:t> </w:t>
            </w:r>
            <w:r w:rsidR="00375BE2" w:rsidRPr="003834C8">
              <w:noBreakHyphen/>
              <w:t> </w:t>
            </w:r>
            <w:r w:rsidRPr="003834C8">
              <w:t>≤</w:t>
            </w:r>
            <w:r w:rsidR="00375BE2" w:rsidRPr="003834C8">
              <w:t> </w:t>
            </w:r>
            <w:r w:rsidRPr="003834C8">
              <w:t>130</w:t>
            </w:r>
          </w:p>
        </w:tc>
        <w:tc>
          <w:tcPr>
            <w:tcW w:w="744" w:type="dxa"/>
            <w:vAlign w:val="center"/>
          </w:tcPr>
          <w:p w14:paraId="725F0C0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  <w:vAlign w:val="center"/>
          </w:tcPr>
          <w:p w14:paraId="725F0C0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14</w:t>
            </w:r>
          </w:p>
        </w:tc>
        <w:tc>
          <w:tcPr>
            <w:tcW w:w="1133" w:type="dxa"/>
            <w:vAlign w:val="center"/>
          </w:tcPr>
          <w:p w14:paraId="725F0C0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1,01</w:t>
            </w:r>
          </w:p>
        </w:tc>
        <w:tc>
          <w:tcPr>
            <w:tcW w:w="730" w:type="dxa"/>
            <w:vAlign w:val="center"/>
          </w:tcPr>
          <w:p w14:paraId="725F0C0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  <w:vAlign w:val="center"/>
          </w:tcPr>
          <w:p w14:paraId="725F0C0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</w:t>
            </w:r>
          </w:p>
        </w:tc>
        <w:tc>
          <w:tcPr>
            <w:tcW w:w="1133" w:type="dxa"/>
            <w:vAlign w:val="center"/>
          </w:tcPr>
          <w:p w14:paraId="725F0C1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0,78</w:t>
            </w:r>
          </w:p>
        </w:tc>
        <w:tc>
          <w:tcPr>
            <w:tcW w:w="1757" w:type="dxa"/>
            <w:vAlign w:val="center"/>
          </w:tcPr>
          <w:p w14:paraId="725F0C1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1,27 (0,57; 2,85)</w:t>
            </w:r>
          </w:p>
        </w:tc>
      </w:tr>
      <w:tr w:rsidR="00DD077B" w:rsidRPr="003834C8" w14:paraId="725F0C1B" w14:textId="77777777" w:rsidTr="003743A2">
        <w:trPr>
          <w:trHeight w:val="301"/>
        </w:trPr>
        <w:tc>
          <w:tcPr>
            <w:tcW w:w="1750" w:type="dxa"/>
            <w:vAlign w:val="center"/>
          </w:tcPr>
          <w:p w14:paraId="725F0C13" w14:textId="22D4C64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&gt;</w:t>
            </w:r>
            <w:r w:rsidR="00375BE2" w:rsidRPr="003834C8">
              <w:t> </w:t>
            </w:r>
            <w:r w:rsidRPr="003834C8">
              <w:t>130</w:t>
            </w:r>
          </w:p>
        </w:tc>
        <w:tc>
          <w:tcPr>
            <w:tcW w:w="744" w:type="dxa"/>
            <w:vAlign w:val="center"/>
          </w:tcPr>
          <w:p w14:paraId="725F0C1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  <w:vAlign w:val="center"/>
          </w:tcPr>
          <w:p w14:paraId="725F0C1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</w:t>
            </w:r>
          </w:p>
        </w:tc>
        <w:tc>
          <w:tcPr>
            <w:tcW w:w="1133" w:type="dxa"/>
            <w:vAlign w:val="center"/>
          </w:tcPr>
          <w:p w14:paraId="725F0C1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0,78</w:t>
            </w:r>
          </w:p>
        </w:tc>
        <w:tc>
          <w:tcPr>
            <w:tcW w:w="730" w:type="dxa"/>
            <w:vAlign w:val="center"/>
          </w:tcPr>
          <w:p w14:paraId="725F0C1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  <w:vAlign w:val="center"/>
          </w:tcPr>
          <w:p w14:paraId="725F0C1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</w:t>
            </w:r>
          </w:p>
        </w:tc>
        <w:tc>
          <w:tcPr>
            <w:tcW w:w="1133" w:type="dxa"/>
            <w:vAlign w:val="center"/>
          </w:tcPr>
          <w:p w14:paraId="725F0C1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0,25</w:t>
            </w:r>
          </w:p>
        </w:tc>
        <w:tc>
          <w:tcPr>
            <w:tcW w:w="1757" w:type="dxa"/>
            <w:vAlign w:val="center"/>
          </w:tcPr>
          <w:p w14:paraId="725F0C1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</w:tbl>
    <w:p w14:paraId="725F0C1C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Rövidítések: CrCl = kreatinin-clearance; N = vizsgálati alanyok száma az mITT-populációban a teljes vizsgálati időszak alatt; mITT = kezelésbe bevont, módosított; n = betegek száma az alcsoportban; HR = relatív hazárd (Hazard Ratio) a warfarinnal szemben, CI = konfidencia intervallum.</w:t>
      </w:r>
    </w:p>
    <w:p w14:paraId="725F0C1D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*HR-t nem számítottak, ha az eseményszám 5 alatti volt egy kezelési csoportban.</w:t>
      </w:r>
    </w:p>
    <w:p w14:paraId="725F0C1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1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veseműködési alcsoportokon belül a másodlagos hatásossági végpontok tekintetében kapott eredmények összehangban voltak az elsődleges végpontok eredményeivel.</w:t>
      </w:r>
    </w:p>
    <w:p w14:paraId="725F0C2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2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Szuperioritási próbát az ITT összesített vizsgálati időszakon végeztek.</w:t>
      </w:r>
    </w:p>
    <w:p w14:paraId="725F0C22" w14:textId="4B623B6B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60</w:t>
      </w:r>
      <w:r w:rsidR="0050166E">
        <w:t> mg</w:t>
      </w:r>
      <w:r w:rsidRPr="003834C8">
        <w:t>-os edoxabán kezelési csoportban kevesebb vizsgálati alanynál fordult elő stroke és SEE, mint a warfarin-csoportban (1,57%, illetve 1,80% évente); a HR 0,87 volt (99%</w:t>
      </w:r>
      <w:r w:rsidR="002A1637" w:rsidRPr="003834C8">
        <w:t>-os</w:t>
      </w:r>
      <w:r w:rsidRPr="003834C8">
        <w:t xml:space="preserve"> CI: 0,71; 1,07, szuperioritási p = 0,0807).</w:t>
      </w:r>
    </w:p>
    <w:p w14:paraId="725F0C2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25" w14:textId="7A23764D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előre meghatározott összesített végpontokat illetően a 60</w:t>
      </w:r>
      <w:r w:rsidR="0050166E">
        <w:t> mg</w:t>
      </w:r>
      <w:r w:rsidRPr="003834C8">
        <w:t>-os edoxabán kezelési csoportnak a warfarinnal való összehasonlításakor a HR-értékek (99%</w:t>
      </w:r>
      <w:r w:rsidR="00C92FA0" w:rsidRPr="003834C8">
        <w:t>-os</w:t>
      </w:r>
      <w:r w:rsidRPr="003834C8">
        <w:t xml:space="preserve"> CI) a következők voltak: stroke, SEE és CV mortalitás esetében 0,87 (0,76; 0,99), MACE esetében 0,89 (0,78; 1,00), illetve stroke, SEE és</w:t>
      </w:r>
      <w:r w:rsidR="0096009B" w:rsidRPr="003834C8">
        <w:t xml:space="preserve"> </w:t>
      </w:r>
      <w:r w:rsidRPr="003834C8">
        <w:t>összmortalitás esetében 0,90 (0,80; 1,01).</w:t>
      </w:r>
    </w:p>
    <w:p w14:paraId="725F0C2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194C2501" w14:textId="69D6F1E8" w:rsidR="003A0230" w:rsidRPr="003834C8" w:rsidRDefault="0043432F" w:rsidP="003834C8">
      <w:pPr>
        <w:pStyle w:val="Szvegtrzs"/>
        <w:tabs>
          <w:tab w:val="left" w:pos="0"/>
        </w:tabs>
      </w:pPr>
      <w:r w:rsidRPr="003834C8">
        <w:lastRenderedPageBreak/>
        <w:t>Az összmortalitás (megállapított halálesetek) az ENGAGE AF-TIMI 48 vizsgálatban 769 volt (3,99% évente) a 60</w:t>
      </w:r>
      <w:r w:rsidR="0050166E">
        <w:t> mg</w:t>
      </w:r>
      <w:r w:rsidRPr="003834C8">
        <w:t xml:space="preserve"> (30</w:t>
      </w:r>
      <w:r w:rsidR="0050166E">
        <w:t> mg</w:t>
      </w:r>
      <w:r w:rsidRPr="003834C8">
        <w:t xml:space="preserve">-os csökkentett </w:t>
      </w:r>
      <w:r w:rsidR="00EF3356" w:rsidRPr="003834C8">
        <w:t>dózis</w:t>
      </w:r>
      <w:r w:rsidRPr="003834C8">
        <w:t>) edoxabánt szedő vizsgálati alanyok esetében a</w:t>
      </w:r>
      <w:r w:rsidR="00540256" w:rsidRPr="003834C8">
        <w:t xml:space="preserve"> </w:t>
      </w:r>
      <w:r w:rsidRPr="003834C8">
        <w:t>warfarin-csoportban észlelt 836-tal szemben (4,35% évente) [HR (95%</w:t>
      </w:r>
      <w:r w:rsidR="00C61B83" w:rsidRPr="003834C8">
        <w:t>-os</w:t>
      </w:r>
      <w:r w:rsidRPr="003834C8">
        <w:t xml:space="preserve"> CI): 0,91 (0,83, 1,01).</w:t>
      </w:r>
    </w:p>
    <w:p w14:paraId="0522578D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C2B" w14:textId="4CB46D3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összmortalitás (megállapított halálesetek) veseműködési alcsoportonként (edoxabán vs. warfarin): CrCl 30</w:t>
      </w:r>
      <w:r w:rsidR="0075061A" w:rsidRPr="003834C8">
        <w:t> </w:t>
      </w:r>
      <w:r w:rsidR="0075061A" w:rsidRPr="003834C8">
        <w:noBreakHyphen/>
        <w:t> </w:t>
      </w:r>
      <w:r w:rsidRPr="003834C8">
        <w:t>≤</w:t>
      </w:r>
      <w:r w:rsidR="0075061A" w:rsidRPr="003834C8">
        <w:t> </w:t>
      </w:r>
      <w:r w:rsidRPr="003834C8">
        <w:t>50</w:t>
      </w:r>
      <w:r w:rsidR="0075061A" w:rsidRPr="003834C8">
        <w:t> </w:t>
      </w:r>
      <w:r w:rsidRPr="003834C8">
        <w:t>ml/perc [HR (95%</w:t>
      </w:r>
      <w:r w:rsidR="00E202C8" w:rsidRPr="003834C8">
        <w:t>-os</w:t>
      </w:r>
      <w:r w:rsidRPr="003834C8">
        <w:t xml:space="preserve"> CI): 0,81 (0,68, 0,97)]; CrCl &gt;</w:t>
      </w:r>
      <w:r w:rsidR="0075061A" w:rsidRPr="003834C8">
        <w:t> </w:t>
      </w:r>
      <w:r w:rsidRPr="003834C8">
        <w:t>50</w:t>
      </w:r>
      <w:r w:rsidR="0075061A" w:rsidRPr="003834C8">
        <w:t> </w:t>
      </w:r>
      <w:r w:rsidR="0075061A" w:rsidRPr="003834C8">
        <w:noBreakHyphen/>
        <w:t> </w:t>
      </w:r>
      <w:r w:rsidRPr="003834C8">
        <w:t>&lt;</w:t>
      </w:r>
      <w:r w:rsidR="0075061A" w:rsidRPr="003834C8">
        <w:t> </w:t>
      </w:r>
      <w:r w:rsidRPr="003834C8">
        <w:t>80 ml/perc [HR (95%</w:t>
      </w:r>
      <w:r w:rsidR="00E202C8" w:rsidRPr="003834C8">
        <w:t>-os</w:t>
      </w:r>
      <w:r w:rsidRPr="003834C8">
        <w:t xml:space="preserve"> CI): 0,87</w:t>
      </w:r>
      <w:r w:rsidR="00540256" w:rsidRPr="003834C8">
        <w:t xml:space="preserve"> </w:t>
      </w:r>
      <w:r w:rsidRPr="003834C8">
        <w:t>(0,75, 1,02)]; CrCl ≥</w:t>
      </w:r>
      <w:r w:rsidR="0075061A" w:rsidRPr="003834C8">
        <w:t> </w:t>
      </w:r>
      <w:r w:rsidRPr="003834C8">
        <w:t>80</w:t>
      </w:r>
      <w:r w:rsidR="0075061A" w:rsidRPr="003834C8">
        <w:t> </w:t>
      </w:r>
      <w:r w:rsidRPr="003834C8">
        <w:t>ml/perc [HR (95%</w:t>
      </w:r>
      <w:r w:rsidR="00E202C8" w:rsidRPr="003834C8">
        <w:t>-os</w:t>
      </w:r>
      <w:r w:rsidRPr="003834C8">
        <w:t xml:space="preserve"> CI): 1,15 (0,95, 1,40)].</w:t>
      </w:r>
    </w:p>
    <w:p w14:paraId="725F0C2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2D" w14:textId="3AB35FD1" w:rsidR="00DD077B" w:rsidRPr="003834C8" w:rsidRDefault="0043432F" w:rsidP="003834C8">
      <w:pPr>
        <w:pStyle w:val="Szvegtrzs"/>
        <w:tabs>
          <w:tab w:val="left" w:pos="0"/>
        </w:tabs>
      </w:pPr>
      <w:r w:rsidRPr="003834C8">
        <w:t>60</w:t>
      </w:r>
      <w:r w:rsidR="0050166E">
        <w:t> mg</w:t>
      </w:r>
      <w:r w:rsidRPr="003834C8">
        <w:t xml:space="preserve"> edoxabán (30</w:t>
      </w:r>
      <w:r w:rsidR="0050166E">
        <w:t> mg</w:t>
      </w:r>
      <w:r w:rsidRPr="003834C8">
        <w:t xml:space="preserve">-os csökkentett </w:t>
      </w:r>
      <w:r w:rsidR="00EF3356" w:rsidRPr="003834C8">
        <w:t>dózis</w:t>
      </w:r>
      <w:r w:rsidRPr="003834C8">
        <w:t>) a warfarinhoz viszonyítva alacsonyabb cardiovascularis mortalitási arányt eredményezett [HR (95%</w:t>
      </w:r>
      <w:r w:rsidR="005E48BA" w:rsidRPr="003834C8">
        <w:t>-os</w:t>
      </w:r>
      <w:r w:rsidRPr="003834C8">
        <w:t xml:space="preserve"> CI): 0,86 (0,77; 0,97)].</w:t>
      </w:r>
    </w:p>
    <w:p w14:paraId="725F0C31" w14:textId="43E79D20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cardiovascularis mortalitásra vonatkozóan megállapított hatásossági adatok veseműködési</w:t>
      </w:r>
      <w:r w:rsidR="0088616A" w:rsidRPr="003834C8">
        <w:t xml:space="preserve"> </w:t>
      </w:r>
      <w:r w:rsidRPr="003834C8">
        <w:t>alcsoportonként (edoxabán vs. warfarin): CrCl 30</w:t>
      </w:r>
      <w:r w:rsidR="0088616A" w:rsidRPr="003834C8">
        <w:t> </w:t>
      </w:r>
      <w:r w:rsidR="0088616A" w:rsidRPr="003834C8">
        <w:noBreakHyphen/>
        <w:t> </w:t>
      </w:r>
      <w:r w:rsidRPr="003834C8">
        <w:t>≤</w:t>
      </w:r>
      <w:r w:rsidR="0088616A" w:rsidRPr="003834C8">
        <w:t> </w:t>
      </w:r>
      <w:r w:rsidRPr="003834C8">
        <w:t>50</w:t>
      </w:r>
      <w:r w:rsidR="0088616A" w:rsidRPr="003834C8">
        <w:t> </w:t>
      </w:r>
      <w:r w:rsidRPr="003834C8">
        <w:t>ml/perc [HR (95%</w:t>
      </w:r>
      <w:r w:rsidR="005E48BA" w:rsidRPr="003834C8">
        <w:t>-os</w:t>
      </w:r>
      <w:r w:rsidRPr="003834C8">
        <w:t xml:space="preserve"> CI): 0,80 (0,65, 0,99)];</w:t>
      </w:r>
      <w:r w:rsidR="00540256" w:rsidRPr="003834C8">
        <w:t xml:space="preserve"> </w:t>
      </w:r>
      <w:r w:rsidRPr="003834C8">
        <w:t>CrCl &gt;</w:t>
      </w:r>
      <w:r w:rsidR="0088616A" w:rsidRPr="003834C8">
        <w:t> </w:t>
      </w:r>
      <w:r w:rsidRPr="003834C8">
        <w:t>50</w:t>
      </w:r>
      <w:r w:rsidR="0088616A" w:rsidRPr="003834C8">
        <w:t> </w:t>
      </w:r>
      <w:r w:rsidR="0088616A" w:rsidRPr="003834C8">
        <w:noBreakHyphen/>
        <w:t> </w:t>
      </w:r>
      <w:r w:rsidRPr="003834C8">
        <w:t>&lt;</w:t>
      </w:r>
      <w:r w:rsidR="0088616A" w:rsidRPr="003834C8">
        <w:t> </w:t>
      </w:r>
      <w:r w:rsidRPr="003834C8">
        <w:t>80</w:t>
      </w:r>
      <w:r w:rsidR="0088616A" w:rsidRPr="003834C8">
        <w:t> </w:t>
      </w:r>
      <w:r w:rsidRPr="003834C8">
        <w:t>ml/perc [HR (95%</w:t>
      </w:r>
      <w:r w:rsidR="005E48BA" w:rsidRPr="003834C8">
        <w:t>-os</w:t>
      </w:r>
      <w:r w:rsidRPr="003834C8">
        <w:t xml:space="preserve"> CI): 0,75 (0,62, 0,90)]; CrCl ≥</w:t>
      </w:r>
      <w:r w:rsidR="0088616A" w:rsidRPr="003834C8">
        <w:t> </w:t>
      </w:r>
      <w:r w:rsidRPr="003834C8">
        <w:t>80</w:t>
      </w:r>
      <w:r w:rsidR="0088616A" w:rsidRPr="003834C8">
        <w:t> </w:t>
      </w:r>
      <w:r w:rsidRPr="003834C8">
        <w:t>ml/perc [HR (95%</w:t>
      </w:r>
      <w:r w:rsidR="005E48BA" w:rsidRPr="003834C8">
        <w:t>-os</w:t>
      </w:r>
      <w:r w:rsidRPr="003834C8">
        <w:t xml:space="preserve"> CI): 1,16</w:t>
      </w:r>
      <w:r w:rsidR="00540256" w:rsidRPr="003834C8">
        <w:t xml:space="preserve"> </w:t>
      </w:r>
      <w:r w:rsidRPr="003834C8">
        <w:t>(0,92, 1,46)].</w:t>
      </w:r>
    </w:p>
    <w:p w14:paraId="725F0C3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33" w14:textId="5DE5BC44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elsődleges biztonságossági végpont a </w:t>
      </w:r>
      <w:r w:rsidR="00BB3D74">
        <w:t>súlyos</w:t>
      </w:r>
      <w:r w:rsidRPr="003834C8">
        <w:t xml:space="preserve"> vérzés volt.</w:t>
      </w:r>
    </w:p>
    <w:p w14:paraId="725F0C3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37" w14:textId="517476F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</w:t>
      </w:r>
      <w:r w:rsidR="00BB3D74">
        <w:t>súlyos</w:t>
      </w:r>
      <w:r w:rsidRPr="003834C8">
        <w:t xml:space="preserve"> vérzés és egyéb vérzések kockázata a 60</w:t>
      </w:r>
      <w:r w:rsidR="0050166E">
        <w:t> mg</w:t>
      </w:r>
      <w:r w:rsidRPr="003834C8">
        <w:t>-os edoxabán kezelési csoportban jelentősen csökkent a warfarin-csoporthoz viszonyítva (2,75%, illetve 3,43% évente) [HR (95%</w:t>
      </w:r>
      <w:r w:rsidR="007A0316" w:rsidRPr="003834C8">
        <w:t>-os</w:t>
      </w:r>
      <w:r w:rsidRPr="003834C8">
        <w:t xml:space="preserve"> CI): 0,80 (0,71;</w:t>
      </w:r>
      <w:r w:rsidR="00540256" w:rsidRPr="003834C8">
        <w:t xml:space="preserve"> </w:t>
      </w:r>
      <w:r w:rsidRPr="003834C8">
        <w:t>0,91); p</w:t>
      </w:r>
      <w:r w:rsidR="0088616A" w:rsidRPr="003834C8">
        <w:t> </w:t>
      </w:r>
      <w:r w:rsidRPr="003834C8">
        <w:t>=</w:t>
      </w:r>
      <w:r w:rsidR="0088616A" w:rsidRPr="003834C8">
        <w:t> </w:t>
      </w:r>
      <w:r w:rsidRPr="003834C8">
        <w:t>0,0009], ICH (intracranialis vérzés) (0,39%, illetve 0,85% évente) [HR (95%</w:t>
      </w:r>
      <w:r w:rsidR="007A0316" w:rsidRPr="003834C8">
        <w:t>-os</w:t>
      </w:r>
      <w:r w:rsidRPr="003834C8">
        <w:t xml:space="preserve"> CI): 0,47</w:t>
      </w:r>
      <w:r w:rsidR="00540256" w:rsidRPr="003834C8">
        <w:t xml:space="preserve"> </w:t>
      </w:r>
      <w:r w:rsidRPr="003834C8">
        <w:t>(0,34; 0,63); p</w:t>
      </w:r>
      <w:r w:rsidR="0088616A" w:rsidRPr="003834C8">
        <w:t> </w:t>
      </w:r>
      <w:r w:rsidRPr="003834C8">
        <w:t>&lt;</w:t>
      </w:r>
      <w:r w:rsidR="0088616A" w:rsidRPr="003834C8">
        <w:t> </w:t>
      </w:r>
      <w:r w:rsidRPr="003834C8">
        <w:t>0,0001] (6. táblázat).</w:t>
      </w:r>
    </w:p>
    <w:p w14:paraId="725F0C3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39" w14:textId="2FD187CA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halálos kimenetelű vérzések előfordulása szintén jelentősen csökkent a 60</w:t>
      </w:r>
      <w:r w:rsidR="0050166E">
        <w:t> mg</w:t>
      </w:r>
      <w:r w:rsidRPr="003834C8">
        <w:t>-os edoxabán kezelési csoportban a warfarin-csoporthoz viszonyítva (0,21% és 0,38%) [HR (95%</w:t>
      </w:r>
      <w:r w:rsidR="007A0316" w:rsidRPr="003834C8">
        <w:t>-os</w:t>
      </w:r>
      <w:r w:rsidRPr="003834C8">
        <w:t xml:space="preserve"> CI): 0,55 (0,36; 0,84); szuperioritási p</w:t>
      </w:r>
      <w:r w:rsidR="0088616A" w:rsidRPr="003834C8">
        <w:t> </w:t>
      </w:r>
      <w:r w:rsidRPr="003834C8">
        <w:t>=</w:t>
      </w:r>
      <w:r w:rsidR="0088616A" w:rsidRPr="003834C8">
        <w:t> </w:t>
      </w:r>
      <w:r w:rsidRPr="003834C8">
        <w:t>0,0059], főként a halálos kimenetelű ICH vérzések csökkenésének köszönhetően [HR (95%</w:t>
      </w:r>
      <w:r w:rsidR="007A0316" w:rsidRPr="003834C8">
        <w:t>-os</w:t>
      </w:r>
      <w:r w:rsidRPr="003834C8">
        <w:t xml:space="preserve"> CI): 0,58 (0,35; 0,95); p</w:t>
      </w:r>
      <w:r w:rsidR="0088616A" w:rsidRPr="003834C8">
        <w:t> </w:t>
      </w:r>
      <w:r w:rsidRPr="003834C8">
        <w:t>=</w:t>
      </w:r>
      <w:r w:rsidR="0088616A" w:rsidRPr="003834C8">
        <w:t> </w:t>
      </w:r>
      <w:r w:rsidRPr="003834C8">
        <w:t>0,0312].</w:t>
      </w:r>
    </w:p>
    <w:p w14:paraId="45BF2759" w14:textId="77777777" w:rsidR="00DD077B" w:rsidRPr="003834C8" w:rsidRDefault="00DD077B" w:rsidP="003834C8">
      <w:pPr>
        <w:tabs>
          <w:tab w:val="left" w:pos="0"/>
        </w:tabs>
      </w:pPr>
    </w:p>
    <w:p w14:paraId="725F0C3B" w14:textId="13690661" w:rsidR="00DD077B" w:rsidRPr="003834C8" w:rsidRDefault="00605FC5" w:rsidP="003834C8">
      <w:pPr>
        <w:pStyle w:val="Cmsor1"/>
        <w:tabs>
          <w:tab w:val="left" w:pos="0"/>
          <w:tab w:val="left" w:pos="440"/>
        </w:tabs>
        <w:spacing w:before="0"/>
        <w:ind w:left="0"/>
      </w:pPr>
      <w:r w:rsidRPr="003834C8">
        <w:t xml:space="preserve">6. </w:t>
      </w:r>
      <w:r w:rsidR="0043432F" w:rsidRPr="003834C8">
        <w:t>táblázat: Vérzéses események az ENGAGE AF-TIMI 48 vizsgálatban – kezelés közben végzett biztonságossági analízis</w:t>
      </w:r>
    </w:p>
    <w:tbl>
      <w:tblPr>
        <w:tblStyle w:val="TableNormal"/>
        <w:tblW w:w="928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2"/>
        <w:gridCol w:w="2786"/>
        <w:gridCol w:w="2776"/>
      </w:tblGrid>
      <w:tr w:rsidR="00DD077B" w:rsidRPr="003834C8" w14:paraId="725F0C43" w14:textId="77777777" w:rsidTr="009B550C">
        <w:trPr>
          <w:trHeight w:val="1091"/>
          <w:tblHeader/>
        </w:trPr>
        <w:tc>
          <w:tcPr>
            <w:tcW w:w="3722" w:type="dxa"/>
            <w:shd w:val="clear" w:color="auto" w:fill="D9D9D9"/>
            <w:vAlign w:val="center"/>
          </w:tcPr>
          <w:p w14:paraId="725F0C3C" w14:textId="77777777" w:rsidR="00DD077B" w:rsidRPr="003834C8" w:rsidRDefault="00DD077B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2786" w:type="dxa"/>
            <w:shd w:val="clear" w:color="auto" w:fill="D9D9D9"/>
            <w:vAlign w:val="center"/>
          </w:tcPr>
          <w:p w14:paraId="725F0C3D" w14:textId="52E13CE6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60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 xml:space="preserve"> edoxabán</w:t>
            </w:r>
          </w:p>
          <w:p w14:paraId="725F0C3E" w14:textId="236AA6DD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(30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>-os csökkentett</w:t>
            </w:r>
            <w:r w:rsidR="00EF3356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 xml:space="preserve"> </w:t>
            </w:r>
            <w:r w:rsidR="00EF3356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C3F" w14:textId="2F70C6AE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776" w:type="dxa"/>
            <w:shd w:val="clear" w:color="auto" w:fill="D9D9D9"/>
            <w:vAlign w:val="center"/>
          </w:tcPr>
          <w:p w14:paraId="725F0C4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C42" w14:textId="7934893F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96009B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</w:tr>
      <w:tr w:rsidR="00DD077B" w:rsidRPr="003834C8" w14:paraId="725F0C47" w14:textId="77777777" w:rsidTr="003743A2">
        <w:trPr>
          <w:trHeight w:val="294"/>
        </w:trPr>
        <w:tc>
          <w:tcPr>
            <w:tcW w:w="3722" w:type="dxa"/>
            <w:shd w:val="clear" w:color="auto" w:fill="D9D9D9"/>
            <w:vAlign w:val="center"/>
          </w:tcPr>
          <w:p w14:paraId="725F0C44" w14:textId="7C0597A1" w:rsidR="00DD077B" w:rsidRPr="003834C8" w:rsidRDefault="00BB3D74" w:rsidP="00DE1690">
            <w:pPr>
              <w:pStyle w:val="TableParagraph"/>
              <w:tabs>
                <w:tab w:val="left" w:pos="142"/>
              </w:tabs>
              <w:rPr>
                <w:b/>
              </w:rPr>
            </w:pPr>
            <w:r>
              <w:rPr>
                <w:b/>
              </w:rPr>
              <w:t xml:space="preserve"> Súlyos</w:t>
            </w:r>
            <w:r w:rsidR="0043432F" w:rsidRPr="003834C8">
              <w:rPr>
                <w:b/>
              </w:rPr>
              <w:t xml:space="preserve"> vérzés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45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4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4B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4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49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2776" w:type="dxa"/>
            <w:vAlign w:val="center"/>
          </w:tcPr>
          <w:p w14:paraId="725F0C4A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524</w:t>
            </w:r>
          </w:p>
        </w:tc>
      </w:tr>
      <w:tr w:rsidR="00DD077B" w:rsidRPr="003834C8" w14:paraId="725F0C4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4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4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2,75</w:t>
            </w:r>
          </w:p>
        </w:tc>
        <w:tc>
          <w:tcPr>
            <w:tcW w:w="2776" w:type="dxa"/>
            <w:vAlign w:val="center"/>
          </w:tcPr>
          <w:p w14:paraId="725F0C4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3,43</w:t>
            </w:r>
          </w:p>
        </w:tc>
      </w:tr>
      <w:tr w:rsidR="00DD077B" w:rsidRPr="003834C8" w14:paraId="725F0C5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50" w14:textId="1D8FD882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5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0,80 (0,71; 0,91)</w:t>
            </w:r>
          </w:p>
        </w:tc>
        <w:tc>
          <w:tcPr>
            <w:tcW w:w="2776" w:type="dxa"/>
            <w:vAlign w:val="center"/>
          </w:tcPr>
          <w:p w14:paraId="725F0C52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5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54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p-érték</w:t>
            </w:r>
          </w:p>
        </w:tc>
        <w:tc>
          <w:tcPr>
            <w:tcW w:w="2786" w:type="dxa"/>
            <w:vAlign w:val="center"/>
          </w:tcPr>
          <w:p w14:paraId="725F0C5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0,0009</w:t>
            </w:r>
          </w:p>
        </w:tc>
        <w:tc>
          <w:tcPr>
            <w:tcW w:w="2776" w:type="dxa"/>
            <w:vAlign w:val="center"/>
          </w:tcPr>
          <w:p w14:paraId="725F0C5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5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5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ICH</w:t>
            </w:r>
            <w:r w:rsidRPr="003834C8">
              <w:rPr>
                <w:vertAlign w:val="superscript"/>
              </w:rPr>
              <w:t>b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5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5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5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5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5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61</w:t>
            </w:r>
          </w:p>
        </w:tc>
        <w:tc>
          <w:tcPr>
            <w:tcW w:w="2776" w:type="dxa"/>
            <w:vAlign w:val="center"/>
          </w:tcPr>
          <w:p w14:paraId="725F0C5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132</w:t>
            </w:r>
          </w:p>
        </w:tc>
      </w:tr>
      <w:tr w:rsidR="00DD077B" w:rsidRPr="003834C8" w14:paraId="725F0C6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6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6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0,39</w:t>
            </w:r>
          </w:p>
        </w:tc>
        <w:tc>
          <w:tcPr>
            <w:tcW w:w="2776" w:type="dxa"/>
            <w:vAlign w:val="center"/>
          </w:tcPr>
          <w:p w14:paraId="725F0C6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0,85</w:t>
            </w:r>
          </w:p>
        </w:tc>
      </w:tr>
      <w:tr w:rsidR="00DD077B" w:rsidRPr="003834C8" w14:paraId="725F0C6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64" w14:textId="01D3370C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6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0,47 (0,34; 0,63)</w:t>
            </w:r>
          </w:p>
        </w:tc>
        <w:tc>
          <w:tcPr>
            <w:tcW w:w="2776" w:type="dxa"/>
            <w:vAlign w:val="center"/>
          </w:tcPr>
          <w:p w14:paraId="725F0C6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6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6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Halálos kimenetelű vérzés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6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6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6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6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6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32</w:t>
            </w:r>
          </w:p>
        </w:tc>
        <w:tc>
          <w:tcPr>
            <w:tcW w:w="2776" w:type="dxa"/>
            <w:vAlign w:val="center"/>
          </w:tcPr>
          <w:p w14:paraId="725F0C6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59</w:t>
            </w:r>
          </w:p>
        </w:tc>
      </w:tr>
      <w:tr w:rsidR="00DD077B" w:rsidRPr="003834C8" w14:paraId="725F0C7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7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7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0,21</w:t>
            </w:r>
          </w:p>
        </w:tc>
        <w:tc>
          <w:tcPr>
            <w:tcW w:w="2776" w:type="dxa"/>
            <w:vAlign w:val="center"/>
          </w:tcPr>
          <w:p w14:paraId="725F0C7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0,38</w:t>
            </w:r>
          </w:p>
        </w:tc>
      </w:tr>
      <w:tr w:rsidR="00DD077B" w:rsidRPr="003834C8" w14:paraId="725F0C7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74" w14:textId="23300CFC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7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0,55 (0,36; 0,84)</w:t>
            </w:r>
          </w:p>
        </w:tc>
        <w:tc>
          <w:tcPr>
            <w:tcW w:w="2776" w:type="dxa"/>
            <w:vAlign w:val="center"/>
          </w:tcPr>
          <w:p w14:paraId="725F0C7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7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7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CRNM vérzés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7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7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7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7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7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1214</w:t>
            </w:r>
          </w:p>
        </w:tc>
        <w:tc>
          <w:tcPr>
            <w:tcW w:w="2776" w:type="dxa"/>
            <w:vAlign w:val="center"/>
          </w:tcPr>
          <w:p w14:paraId="725F0C7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1396</w:t>
            </w:r>
          </w:p>
        </w:tc>
      </w:tr>
      <w:tr w:rsidR="00DD077B" w:rsidRPr="003834C8" w14:paraId="725F0C8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8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8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8,67</w:t>
            </w:r>
          </w:p>
        </w:tc>
        <w:tc>
          <w:tcPr>
            <w:tcW w:w="2776" w:type="dxa"/>
            <w:vAlign w:val="center"/>
          </w:tcPr>
          <w:p w14:paraId="725F0C8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10,15</w:t>
            </w:r>
          </w:p>
        </w:tc>
      </w:tr>
      <w:tr w:rsidR="00DD077B" w:rsidRPr="003834C8" w14:paraId="725F0C8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84" w14:textId="3D3D520A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8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0,86 (0,80; 0,93)</w:t>
            </w:r>
          </w:p>
        </w:tc>
        <w:tc>
          <w:tcPr>
            <w:tcW w:w="2776" w:type="dxa"/>
            <w:vAlign w:val="center"/>
          </w:tcPr>
          <w:p w14:paraId="725F0C8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8B" w14:textId="77777777" w:rsidTr="003743A2">
        <w:trPr>
          <w:trHeight w:val="292"/>
        </w:trPr>
        <w:tc>
          <w:tcPr>
            <w:tcW w:w="3722" w:type="dxa"/>
            <w:shd w:val="clear" w:color="auto" w:fill="D9D9D9"/>
            <w:vAlign w:val="center"/>
          </w:tcPr>
          <w:p w14:paraId="725F0C88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Bármely igazolt vérzés</w:t>
            </w:r>
            <w:r w:rsidRPr="003834C8">
              <w:rPr>
                <w:b/>
                <w:vertAlign w:val="superscript"/>
              </w:rPr>
              <w:t>c</w:t>
            </w:r>
          </w:p>
        </w:tc>
        <w:tc>
          <w:tcPr>
            <w:tcW w:w="2786" w:type="dxa"/>
            <w:shd w:val="clear" w:color="auto" w:fill="D9D9D9"/>
            <w:vAlign w:val="center"/>
          </w:tcPr>
          <w:p w14:paraId="725F0C89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776" w:type="dxa"/>
            <w:shd w:val="clear" w:color="auto" w:fill="D9D9D9"/>
            <w:vAlign w:val="center"/>
          </w:tcPr>
          <w:p w14:paraId="725F0C8A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  <w:tr w:rsidR="00DD077B" w:rsidRPr="003834C8" w14:paraId="725F0C8F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8C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n</w:t>
            </w:r>
          </w:p>
        </w:tc>
        <w:tc>
          <w:tcPr>
            <w:tcW w:w="2786" w:type="dxa"/>
            <w:vAlign w:val="center"/>
          </w:tcPr>
          <w:p w14:paraId="725F0C8D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1865</w:t>
            </w:r>
          </w:p>
        </w:tc>
        <w:tc>
          <w:tcPr>
            <w:tcW w:w="2776" w:type="dxa"/>
            <w:vAlign w:val="center"/>
          </w:tcPr>
          <w:p w14:paraId="725F0C8E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2114</w:t>
            </w:r>
          </w:p>
        </w:tc>
      </w:tr>
      <w:tr w:rsidR="00DD077B" w:rsidRPr="003834C8" w14:paraId="725F0C93" w14:textId="77777777" w:rsidTr="003743A2">
        <w:trPr>
          <w:trHeight w:val="292"/>
        </w:trPr>
        <w:tc>
          <w:tcPr>
            <w:tcW w:w="3722" w:type="dxa"/>
            <w:vAlign w:val="center"/>
          </w:tcPr>
          <w:p w14:paraId="725F0C90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lastRenderedPageBreak/>
              <w:t>Eseményhányados (%/év)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786" w:type="dxa"/>
            <w:vAlign w:val="center"/>
          </w:tcPr>
          <w:p w14:paraId="725F0C91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14,15</w:t>
            </w:r>
          </w:p>
        </w:tc>
        <w:tc>
          <w:tcPr>
            <w:tcW w:w="2776" w:type="dxa"/>
            <w:vAlign w:val="center"/>
          </w:tcPr>
          <w:p w14:paraId="725F0C92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16,40</w:t>
            </w:r>
          </w:p>
        </w:tc>
      </w:tr>
      <w:tr w:rsidR="00DD077B" w:rsidRPr="003834C8" w14:paraId="725F0C97" w14:textId="77777777" w:rsidTr="003743A2">
        <w:trPr>
          <w:trHeight w:val="294"/>
        </w:trPr>
        <w:tc>
          <w:tcPr>
            <w:tcW w:w="3722" w:type="dxa"/>
            <w:vAlign w:val="center"/>
          </w:tcPr>
          <w:p w14:paraId="725F0C94" w14:textId="4D5DC418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HR (95%</w:t>
            </w:r>
            <w:r w:rsidR="00FE69C9" w:rsidRPr="003834C8">
              <w:t>-os</w:t>
            </w:r>
            <w:r w:rsidRPr="003834C8">
              <w:t xml:space="preserve"> CI)</w:t>
            </w:r>
          </w:p>
        </w:tc>
        <w:tc>
          <w:tcPr>
            <w:tcW w:w="2786" w:type="dxa"/>
            <w:vAlign w:val="center"/>
          </w:tcPr>
          <w:p w14:paraId="725F0C95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0,87 (0,82; 0,92)</w:t>
            </w:r>
          </w:p>
        </w:tc>
        <w:tc>
          <w:tcPr>
            <w:tcW w:w="2776" w:type="dxa"/>
            <w:vAlign w:val="center"/>
          </w:tcPr>
          <w:p w14:paraId="725F0C96" w14:textId="77777777" w:rsidR="00DD077B" w:rsidRPr="003834C8" w:rsidRDefault="00DD077B" w:rsidP="003834C8">
            <w:pPr>
              <w:pStyle w:val="TableParagraph"/>
              <w:tabs>
                <w:tab w:val="left" w:pos="0"/>
              </w:tabs>
            </w:pPr>
          </w:p>
        </w:tc>
      </w:tr>
    </w:tbl>
    <w:p w14:paraId="725F0C98" w14:textId="7D9705E1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Rövidítések: ICH = intracranialis vérzés, HR = relatív hazárd warfarinnal szemben, CI = konfidencia intervallum, CRNM = klinikailag releváns, nem </w:t>
      </w:r>
      <w:r w:rsidR="00C35191">
        <w:rPr>
          <w:szCs w:val="20"/>
        </w:rPr>
        <w:t>súlyos</w:t>
      </w:r>
      <w:r w:rsidRPr="003834C8">
        <w:rPr>
          <w:szCs w:val="20"/>
        </w:rPr>
        <w:t>, n = vizsgálati alanyok száma, akiknél esemény fordult elő, N = vizsgálati alanyok száma a biztonságossági populációban.</w:t>
      </w:r>
    </w:p>
    <w:p w14:paraId="725F0C99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Az eseményhányados (%/év) az események száma/vizsgálati alany-év expozíció képlettel kerül kiszámításra.</w:t>
      </w:r>
    </w:p>
    <w:p w14:paraId="725F0C9A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 xml:space="preserve"> ICH közé tartozik az elsődleges vérzéses stroke, a subarachnoidealis vérzés, az epi/subduralis vérzés és az ischaemiás stroke jelentős haemorrhagiás conversióval. Az ICH szám tartalmaz minden, a megállapított cerebrovascularis és nem intracranialis vérzések elektronikus adatlap (eCRF) adatlapjain rögzített ICH-t, amelyet az értékelők igazoltak.</w:t>
      </w:r>
    </w:p>
    <w:p w14:paraId="725F0C9B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c</w:t>
      </w:r>
      <w:r w:rsidRPr="003834C8">
        <w:rPr>
          <w:szCs w:val="20"/>
        </w:rPr>
        <w:t xml:space="preserve"> 'Bármely igazolt vérzés' kategóriájába tartozik minden, az értékelő által klinikailag nyilvánvalónak minősített vérzés.</w:t>
      </w:r>
    </w:p>
    <w:p w14:paraId="725F0C9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9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Megjegyzés: egy vizsgálati alany több alkategóriában is szerepelhet, ha abba a kategóriába tartozó esemény fordult nála elő. Minden kategória első eseménye szerepel az elemzésben.</w:t>
      </w:r>
    </w:p>
    <w:p w14:paraId="725F0C9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C9F" w14:textId="25C97576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7., 8. és 9. táblázatok mutatják be a </w:t>
      </w:r>
      <w:r w:rsidR="00C35191">
        <w:t>súlyos</w:t>
      </w:r>
      <w:r w:rsidRPr="003834C8">
        <w:t xml:space="preserve"> vérzés, halálos kimenetelű vérzés és intracranialis vérzés előfordulását CrCl kategóriák szerint az ENGAGE AF-TIMI 48 vizsgálat NVAF-ban szenvedő betegei esetében. A CrCl növekedésével mindkét kezelési csoportban csökkent az események gyakorisága.</w:t>
      </w:r>
    </w:p>
    <w:p w14:paraId="0171D866" w14:textId="77777777" w:rsidR="003A0230" w:rsidRPr="003834C8" w:rsidRDefault="003A0230" w:rsidP="003834C8">
      <w:pPr>
        <w:pStyle w:val="Szvegtrzs"/>
        <w:tabs>
          <w:tab w:val="left" w:pos="0"/>
        </w:tabs>
      </w:pPr>
    </w:p>
    <w:p w14:paraId="725F0CA1" w14:textId="3CABF8EC" w:rsidR="00DD077B" w:rsidRPr="003834C8" w:rsidRDefault="008431C7" w:rsidP="003834C8">
      <w:pPr>
        <w:pStyle w:val="Cmsor1"/>
        <w:keepNext/>
        <w:tabs>
          <w:tab w:val="left" w:pos="0"/>
          <w:tab w:val="left" w:pos="440"/>
        </w:tabs>
        <w:spacing w:before="0"/>
        <w:ind w:left="0"/>
      </w:pPr>
      <w:r w:rsidRPr="003834C8">
        <w:t xml:space="preserve">7. </w:t>
      </w:r>
      <w:r w:rsidR="0043432F" w:rsidRPr="003834C8">
        <w:t xml:space="preserve">táblázat: </w:t>
      </w:r>
      <w:r w:rsidR="00C35191">
        <w:t>Súlyos</w:t>
      </w:r>
      <w:r w:rsidR="0043432F" w:rsidRPr="003834C8">
        <w:t xml:space="preserve"> vérzéssel járó esetek száma CrCl kategóriák szerint az ENGAGE AF-TIMI 48 vizsgálatban, a kezelés alatti időszakra vonatkozó biztonságossági elemzés</w:t>
      </w:r>
      <w:r w:rsidR="0043432F" w:rsidRPr="003834C8">
        <w:rPr>
          <w:vertAlign w:val="superscript"/>
        </w:rPr>
        <w:t>a</w:t>
      </w:r>
    </w:p>
    <w:tbl>
      <w:tblPr>
        <w:tblStyle w:val="TableNormal"/>
        <w:tblW w:w="942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71"/>
      </w:tblGrid>
      <w:tr w:rsidR="00DD077B" w:rsidRPr="003834C8" w14:paraId="725F0CA8" w14:textId="77777777" w:rsidTr="00605FC5">
        <w:trPr>
          <w:trHeight w:val="561"/>
        </w:trPr>
        <w:tc>
          <w:tcPr>
            <w:tcW w:w="1750" w:type="dxa"/>
            <w:vMerge w:val="restart"/>
            <w:shd w:val="clear" w:color="auto" w:fill="D9D9D9"/>
          </w:tcPr>
          <w:p w14:paraId="725F0CA2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CrCl alcsoport (ml/perc)</w:t>
            </w:r>
          </w:p>
        </w:tc>
        <w:tc>
          <w:tcPr>
            <w:tcW w:w="2926" w:type="dxa"/>
            <w:gridSpan w:val="3"/>
            <w:shd w:val="clear" w:color="auto" w:fill="D9D9D9"/>
          </w:tcPr>
          <w:p w14:paraId="725F0CA3" w14:textId="2ED439DB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Edoxabán 60</w:t>
            </w:r>
            <w:r w:rsidR="0050166E">
              <w:rPr>
                <w:b/>
              </w:rPr>
              <w:t> mg</w:t>
            </w:r>
          </w:p>
          <w:p w14:paraId="725F0CA4" w14:textId="7233B89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</w:tcPr>
          <w:p w14:paraId="725F0CA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CA6" w14:textId="57B500CC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71" w:type="dxa"/>
            <w:shd w:val="clear" w:color="auto" w:fill="D9D9D9"/>
          </w:tcPr>
          <w:p w14:paraId="725F0CA7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CB2" w14:textId="77777777" w:rsidTr="00605FC5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</w:tcPr>
          <w:p w14:paraId="725F0CA9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/>
            </w:pPr>
          </w:p>
        </w:tc>
        <w:tc>
          <w:tcPr>
            <w:tcW w:w="744" w:type="dxa"/>
            <w:shd w:val="clear" w:color="auto" w:fill="D9D9D9"/>
          </w:tcPr>
          <w:p w14:paraId="725F0CA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</w:tcPr>
          <w:p w14:paraId="725F0CAB" w14:textId="2B872E4A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Esemény-szám</w:t>
            </w:r>
          </w:p>
        </w:tc>
        <w:tc>
          <w:tcPr>
            <w:tcW w:w="1133" w:type="dxa"/>
            <w:shd w:val="clear" w:color="auto" w:fill="D9D9D9"/>
          </w:tcPr>
          <w:p w14:paraId="725F0CAC" w14:textId="7C078AD8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Esemény-hányados</w:t>
            </w:r>
          </w:p>
          <w:p w14:paraId="725F0CAD" w14:textId="77777777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</w:tcPr>
          <w:p w14:paraId="725F0CAE" w14:textId="77777777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</w:tcPr>
          <w:p w14:paraId="725F0CAF" w14:textId="486688FD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Esemény-szám</w:t>
            </w:r>
          </w:p>
        </w:tc>
        <w:tc>
          <w:tcPr>
            <w:tcW w:w="1133" w:type="dxa"/>
            <w:shd w:val="clear" w:color="auto" w:fill="D9D9D9"/>
          </w:tcPr>
          <w:p w14:paraId="725F0CB0" w14:textId="20A229F4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Esemény-hányados (%/év)</w:t>
            </w:r>
          </w:p>
        </w:tc>
        <w:tc>
          <w:tcPr>
            <w:tcW w:w="1771" w:type="dxa"/>
            <w:shd w:val="clear" w:color="auto" w:fill="D9D9D9"/>
          </w:tcPr>
          <w:p w14:paraId="725F0CB1" w14:textId="77777777" w:rsidR="00DD077B" w:rsidRPr="003834C8" w:rsidRDefault="0043432F" w:rsidP="003834C8">
            <w:pPr>
              <w:pStyle w:val="TableParagraph"/>
              <w:keepNext/>
              <w:tabs>
                <w:tab w:val="left" w:pos="202"/>
              </w:tabs>
              <w:ind w:left="60" w:right="142"/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CBB" w14:textId="77777777" w:rsidTr="00605FC5">
        <w:trPr>
          <w:trHeight w:val="299"/>
        </w:trPr>
        <w:tc>
          <w:tcPr>
            <w:tcW w:w="1750" w:type="dxa"/>
          </w:tcPr>
          <w:p w14:paraId="725F0CB3" w14:textId="5E893013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≥</w:t>
            </w:r>
            <w:r w:rsidR="00FE186A" w:rsidRPr="003834C8">
              <w:t> </w:t>
            </w:r>
            <w:r w:rsidRPr="003834C8">
              <w:t>30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50</w:t>
            </w:r>
          </w:p>
        </w:tc>
        <w:tc>
          <w:tcPr>
            <w:tcW w:w="744" w:type="dxa"/>
          </w:tcPr>
          <w:p w14:paraId="725F0CB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</w:tcPr>
          <w:p w14:paraId="725F0CB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</w:t>
            </w:r>
          </w:p>
        </w:tc>
        <w:tc>
          <w:tcPr>
            <w:tcW w:w="1133" w:type="dxa"/>
          </w:tcPr>
          <w:p w14:paraId="725F0CB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3,91</w:t>
            </w:r>
          </w:p>
        </w:tc>
        <w:tc>
          <w:tcPr>
            <w:tcW w:w="730" w:type="dxa"/>
          </w:tcPr>
          <w:p w14:paraId="725F0CB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</w:tcPr>
          <w:p w14:paraId="725F0CB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128</w:t>
            </w:r>
          </w:p>
        </w:tc>
        <w:tc>
          <w:tcPr>
            <w:tcW w:w="1133" w:type="dxa"/>
          </w:tcPr>
          <w:p w14:paraId="725F0CB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5,23</w:t>
            </w:r>
          </w:p>
        </w:tc>
        <w:tc>
          <w:tcPr>
            <w:tcW w:w="1771" w:type="dxa"/>
          </w:tcPr>
          <w:p w14:paraId="725F0CB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0,75 (0,58; 0,98)</w:t>
            </w:r>
          </w:p>
        </w:tc>
      </w:tr>
      <w:tr w:rsidR="00DD077B" w:rsidRPr="003834C8" w14:paraId="725F0CC4" w14:textId="77777777" w:rsidTr="00605FC5">
        <w:trPr>
          <w:trHeight w:val="299"/>
        </w:trPr>
        <w:tc>
          <w:tcPr>
            <w:tcW w:w="1750" w:type="dxa"/>
          </w:tcPr>
          <w:p w14:paraId="725F0CBC" w14:textId="0444676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50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70</w:t>
            </w:r>
          </w:p>
        </w:tc>
        <w:tc>
          <w:tcPr>
            <w:tcW w:w="744" w:type="dxa"/>
          </w:tcPr>
          <w:p w14:paraId="725F0CB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</w:tcPr>
          <w:p w14:paraId="725F0CB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148</w:t>
            </w:r>
          </w:p>
        </w:tc>
        <w:tc>
          <w:tcPr>
            <w:tcW w:w="1133" w:type="dxa"/>
          </w:tcPr>
          <w:p w14:paraId="725F0CB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3,31</w:t>
            </w:r>
          </w:p>
        </w:tc>
        <w:tc>
          <w:tcPr>
            <w:tcW w:w="730" w:type="dxa"/>
          </w:tcPr>
          <w:p w14:paraId="725F0CC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</w:tcPr>
          <w:p w14:paraId="725F0CC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171</w:t>
            </w:r>
          </w:p>
        </w:tc>
        <w:tc>
          <w:tcPr>
            <w:tcW w:w="1133" w:type="dxa"/>
          </w:tcPr>
          <w:p w14:paraId="725F0CC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3,77</w:t>
            </w:r>
          </w:p>
        </w:tc>
        <w:tc>
          <w:tcPr>
            <w:tcW w:w="1771" w:type="dxa"/>
          </w:tcPr>
          <w:p w14:paraId="725F0CC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0,88 (0,71; 1,10)</w:t>
            </w:r>
          </w:p>
        </w:tc>
      </w:tr>
      <w:tr w:rsidR="00DD077B" w:rsidRPr="003834C8" w14:paraId="725F0CCD" w14:textId="77777777" w:rsidTr="00605FC5">
        <w:trPr>
          <w:trHeight w:val="299"/>
        </w:trPr>
        <w:tc>
          <w:tcPr>
            <w:tcW w:w="1750" w:type="dxa"/>
          </w:tcPr>
          <w:p w14:paraId="725F0CC5" w14:textId="61918DCE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70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90</w:t>
            </w:r>
          </w:p>
        </w:tc>
        <w:tc>
          <w:tcPr>
            <w:tcW w:w="744" w:type="dxa"/>
          </w:tcPr>
          <w:p w14:paraId="725F0CC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</w:tcPr>
          <w:p w14:paraId="725F0CC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108</w:t>
            </w:r>
          </w:p>
        </w:tc>
        <w:tc>
          <w:tcPr>
            <w:tcW w:w="1133" w:type="dxa"/>
          </w:tcPr>
          <w:p w14:paraId="725F0CC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2,88</w:t>
            </w:r>
          </w:p>
        </w:tc>
        <w:tc>
          <w:tcPr>
            <w:tcW w:w="730" w:type="dxa"/>
          </w:tcPr>
          <w:p w14:paraId="725F0CC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</w:tcPr>
          <w:p w14:paraId="725F0CC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119</w:t>
            </w:r>
          </w:p>
        </w:tc>
        <w:tc>
          <w:tcPr>
            <w:tcW w:w="1133" w:type="dxa"/>
          </w:tcPr>
          <w:p w14:paraId="725F0CC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3,08</w:t>
            </w:r>
          </w:p>
        </w:tc>
        <w:tc>
          <w:tcPr>
            <w:tcW w:w="1771" w:type="dxa"/>
          </w:tcPr>
          <w:p w14:paraId="725F0CC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0,93 (0,72; 1,21)</w:t>
            </w:r>
          </w:p>
        </w:tc>
      </w:tr>
      <w:tr w:rsidR="00DD077B" w:rsidRPr="003834C8" w14:paraId="725F0CD6" w14:textId="77777777" w:rsidTr="00605FC5">
        <w:trPr>
          <w:trHeight w:val="302"/>
        </w:trPr>
        <w:tc>
          <w:tcPr>
            <w:tcW w:w="1750" w:type="dxa"/>
          </w:tcPr>
          <w:p w14:paraId="725F0CCE" w14:textId="34768E6C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90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110</w:t>
            </w:r>
          </w:p>
        </w:tc>
        <w:tc>
          <w:tcPr>
            <w:tcW w:w="744" w:type="dxa"/>
          </w:tcPr>
          <w:p w14:paraId="725F0CC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</w:tcPr>
          <w:p w14:paraId="725F0CD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29</w:t>
            </w:r>
          </w:p>
        </w:tc>
        <w:tc>
          <w:tcPr>
            <w:tcW w:w="1133" w:type="dxa"/>
          </w:tcPr>
          <w:p w14:paraId="725F0CD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1,33</w:t>
            </w:r>
          </w:p>
        </w:tc>
        <w:tc>
          <w:tcPr>
            <w:tcW w:w="730" w:type="dxa"/>
          </w:tcPr>
          <w:p w14:paraId="725F0CD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</w:tcPr>
          <w:p w14:paraId="725F0CD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56</w:t>
            </w:r>
          </w:p>
        </w:tc>
        <w:tc>
          <w:tcPr>
            <w:tcW w:w="1133" w:type="dxa"/>
          </w:tcPr>
          <w:p w14:paraId="725F0CD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2,48</w:t>
            </w:r>
          </w:p>
        </w:tc>
        <w:tc>
          <w:tcPr>
            <w:tcW w:w="1771" w:type="dxa"/>
          </w:tcPr>
          <w:p w14:paraId="725F0CD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0,54 (0,34; 0,84)</w:t>
            </w:r>
          </w:p>
        </w:tc>
      </w:tr>
      <w:tr w:rsidR="00DD077B" w:rsidRPr="003834C8" w14:paraId="725F0CDF" w14:textId="77777777" w:rsidTr="00605FC5">
        <w:trPr>
          <w:trHeight w:val="299"/>
        </w:trPr>
        <w:tc>
          <w:tcPr>
            <w:tcW w:w="1750" w:type="dxa"/>
          </w:tcPr>
          <w:p w14:paraId="725F0CD7" w14:textId="6C46F310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110</w:t>
            </w:r>
            <w:r w:rsidR="00FE186A" w:rsidRPr="003834C8">
              <w:t> </w:t>
            </w:r>
            <w:r w:rsidR="00FE186A" w:rsidRPr="003834C8">
              <w:noBreakHyphen/>
              <w:t> </w:t>
            </w:r>
            <w:r w:rsidRPr="003834C8">
              <w:t>≤</w:t>
            </w:r>
            <w:r w:rsidR="00FE186A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CD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</w:tcPr>
          <w:p w14:paraId="725F0CD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</w:t>
            </w:r>
          </w:p>
        </w:tc>
        <w:tc>
          <w:tcPr>
            <w:tcW w:w="1133" w:type="dxa"/>
          </w:tcPr>
          <w:p w14:paraId="725F0CD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1,70</w:t>
            </w:r>
          </w:p>
        </w:tc>
        <w:tc>
          <w:tcPr>
            <w:tcW w:w="730" w:type="dxa"/>
          </w:tcPr>
          <w:p w14:paraId="725F0CD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</w:tcPr>
          <w:p w14:paraId="725F0CD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24</w:t>
            </w:r>
          </w:p>
        </w:tc>
        <w:tc>
          <w:tcPr>
            <w:tcW w:w="1133" w:type="dxa"/>
          </w:tcPr>
          <w:p w14:paraId="725F0CD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2,14</w:t>
            </w:r>
          </w:p>
        </w:tc>
        <w:tc>
          <w:tcPr>
            <w:tcW w:w="1771" w:type="dxa"/>
          </w:tcPr>
          <w:p w14:paraId="725F0CD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0,79 (0,44; 1,42)</w:t>
            </w:r>
          </w:p>
        </w:tc>
      </w:tr>
      <w:tr w:rsidR="00DD077B" w:rsidRPr="003834C8" w14:paraId="725F0CE8" w14:textId="77777777" w:rsidTr="00605FC5">
        <w:trPr>
          <w:trHeight w:val="299"/>
        </w:trPr>
        <w:tc>
          <w:tcPr>
            <w:tcW w:w="1750" w:type="dxa"/>
          </w:tcPr>
          <w:p w14:paraId="725F0CE0" w14:textId="78E7993B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E186A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CE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</w:tcPr>
          <w:p w14:paraId="725F0CE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</w:t>
            </w:r>
          </w:p>
        </w:tc>
        <w:tc>
          <w:tcPr>
            <w:tcW w:w="1133" w:type="dxa"/>
          </w:tcPr>
          <w:p w14:paraId="725F0CE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1,18</w:t>
            </w:r>
          </w:p>
        </w:tc>
        <w:tc>
          <w:tcPr>
            <w:tcW w:w="730" w:type="dxa"/>
          </w:tcPr>
          <w:p w14:paraId="725F0CE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</w:tcPr>
          <w:p w14:paraId="725F0CE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</w:t>
            </w:r>
          </w:p>
        </w:tc>
        <w:tc>
          <w:tcPr>
            <w:tcW w:w="1133" w:type="dxa"/>
          </w:tcPr>
          <w:p w14:paraId="725F0CE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2,08</w:t>
            </w:r>
          </w:p>
        </w:tc>
        <w:tc>
          <w:tcPr>
            <w:tcW w:w="1771" w:type="dxa"/>
          </w:tcPr>
          <w:p w14:paraId="725F0CE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0,58 (0,29; 1,15)</w:t>
            </w:r>
          </w:p>
        </w:tc>
      </w:tr>
    </w:tbl>
    <w:p w14:paraId="725F0CE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CEA" w14:textId="49477D5E" w:rsidR="00DD077B" w:rsidRPr="003834C8" w:rsidRDefault="008431C7" w:rsidP="003834C8">
      <w:pPr>
        <w:pStyle w:val="Listaszerbekezds"/>
        <w:keepNext/>
        <w:tabs>
          <w:tab w:val="left" w:pos="0"/>
          <w:tab w:val="left" w:pos="440"/>
        </w:tabs>
        <w:ind w:left="0" w:firstLine="0"/>
        <w:rPr>
          <w:b/>
        </w:rPr>
      </w:pPr>
      <w:r w:rsidRPr="003834C8">
        <w:rPr>
          <w:b/>
        </w:rPr>
        <w:t xml:space="preserve">8. </w:t>
      </w:r>
      <w:r w:rsidR="0043432F" w:rsidRPr="003834C8">
        <w:rPr>
          <w:b/>
        </w:rPr>
        <w:t xml:space="preserve">táblázat: Halálos kimenetelű vérzéssel járó esetek száma CrCl kategóriák szerint az ENGAGE AF-TIMI 48 vizsgálatban, a kezelés alatti időszakra vonatkozó biztonságossági </w:t>
      </w:r>
      <w:r w:rsidR="0043432F" w:rsidRPr="003834C8">
        <w:rPr>
          <w:b/>
        </w:rPr>
        <w:lastRenderedPageBreak/>
        <w:t>elemzés</w:t>
      </w:r>
      <w:r w:rsidR="0043432F" w:rsidRPr="003834C8">
        <w:rPr>
          <w:b/>
          <w:vertAlign w:val="superscript"/>
        </w:rPr>
        <w:t>a</w:t>
      </w:r>
    </w:p>
    <w:tbl>
      <w:tblPr>
        <w:tblStyle w:val="TableNormal"/>
        <w:tblW w:w="94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57"/>
      </w:tblGrid>
      <w:tr w:rsidR="00DD077B" w:rsidRPr="003834C8" w14:paraId="725F0CF1" w14:textId="77777777" w:rsidTr="008431C7">
        <w:trPr>
          <w:trHeight w:val="558"/>
        </w:trPr>
        <w:tc>
          <w:tcPr>
            <w:tcW w:w="1750" w:type="dxa"/>
            <w:vMerge w:val="restart"/>
            <w:shd w:val="clear" w:color="auto" w:fill="D9D9D9"/>
          </w:tcPr>
          <w:p w14:paraId="725F0CE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CrCl alcsoport (ml/perc)</w:t>
            </w:r>
          </w:p>
        </w:tc>
        <w:tc>
          <w:tcPr>
            <w:tcW w:w="2926" w:type="dxa"/>
            <w:gridSpan w:val="3"/>
            <w:shd w:val="clear" w:color="auto" w:fill="D9D9D9"/>
          </w:tcPr>
          <w:p w14:paraId="725F0CEC" w14:textId="39D6D13B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Edoxabán 60</w:t>
            </w:r>
            <w:r w:rsidR="0050166E">
              <w:rPr>
                <w:b/>
              </w:rPr>
              <w:t> mg</w:t>
            </w:r>
          </w:p>
          <w:p w14:paraId="725F0CED" w14:textId="69FEBA8F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</w:tcPr>
          <w:p w14:paraId="725F0CE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CEF" w14:textId="1F4F1FF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57" w:type="dxa"/>
            <w:shd w:val="clear" w:color="auto" w:fill="D9D9D9"/>
          </w:tcPr>
          <w:p w14:paraId="725F0CF0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CFB" w14:textId="77777777" w:rsidTr="008431C7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</w:tcPr>
          <w:p w14:paraId="725F0CF2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/>
            </w:pPr>
          </w:p>
        </w:tc>
        <w:tc>
          <w:tcPr>
            <w:tcW w:w="744" w:type="dxa"/>
            <w:shd w:val="clear" w:color="auto" w:fill="D9D9D9"/>
          </w:tcPr>
          <w:p w14:paraId="725F0CF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</w:tcPr>
          <w:p w14:paraId="725F0CF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CF6" w14:textId="4062AD5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</w:t>
            </w:r>
            <w:r w:rsidR="00B2644C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</w:tcPr>
          <w:p w14:paraId="725F0CF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</w:tcPr>
          <w:p w14:paraId="725F0CF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CF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 (%/év)</w:t>
            </w:r>
          </w:p>
        </w:tc>
        <w:tc>
          <w:tcPr>
            <w:tcW w:w="1757" w:type="dxa"/>
            <w:shd w:val="clear" w:color="auto" w:fill="D9D9D9"/>
          </w:tcPr>
          <w:p w14:paraId="725F0CF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D04" w14:textId="77777777" w:rsidTr="008431C7">
        <w:trPr>
          <w:trHeight w:val="301"/>
        </w:trPr>
        <w:tc>
          <w:tcPr>
            <w:tcW w:w="1750" w:type="dxa"/>
          </w:tcPr>
          <w:p w14:paraId="725F0CFC" w14:textId="2BBB1F23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≥</w:t>
            </w:r>
            <w:r w:rsidR="00F62B44" w:rsidRPr="003834C8">
              <w:t> </w:t>
            </w:r>
            <w:r w:rsidRPr="003834C8">
              <w:t>30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50</w:t>
            </w:r>
          </w:p>
        </w:tc>
        <w:tc>
          <w:tcPr>
            <w:tcW w:w="744" w:type="dxa"/>
          </w:tcPr>
          <w:p w14:paraId="725F0CF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</w:tcPr>
          <w:p w14:paraId="725F0CF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</w:t>
            </w:r>
          </w:p>
        </w:tc>
        <w:tc>
          <w:tcPr>
            <w:tcW w:w="1133" w:type="dxa"/>
          </w:tcPr>
          <w:p w14:paraId="725F0CF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0,36</w:t>
            </w:r>
          </w:p>
        </w:tc>
        <w:tc>
          <w:tcPr>
            <w:tcW w:w="730" w:type="dxa"/>
          </w:tcPr>
          <w:p w14:paraId="725F0D0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</w:tcPr>
          <w:p w14:paraId="725F0D0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18</w:t>
            </w:r>
          </w:p>
        </w:tc>
        <w:tc>
          <w:tcPr>
            <w:tcW w:w="1133" w:type="dxa"/>
          </w:tcPr>
          <w:p w14:paraId="725F0D0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0,72</w:t>
            </w:r>
          </w:p>
        </w:tc>
        <w:tc>
          <w:tcPr>
            <w:tcW w:w="1757" w:type="dxa"/>
          </w:tcPr>
          <w:p w14:paraId="725F0D0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0,51 (0,23; 1,14)</w:t>
            </w:r>
          </w:p>
        </w:tc>
      </w:tr>
      <w:tr w:rsidR="00DD077B" w:rsidRPr="003834C8" w14:paraId="725F0D0D" w14:textId="77777777" w:rsidTr="008431C7">
        <w:trPr>
          <w:trHeight w:val="299"/>
        </w:trPr>
        <w:tc>
          <w:tcPr>
            <w:tcW w:w="1750" w:type="dxa"/>
          </w:tcPr>
          <w:p w14:paraId="725F0D05" w14:textId="21F8020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50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70</w:t>
            </w:r>
          </w:p>
        </w:tc>
        <w:tc>
          <w:tcPr>
            <w:tcW w:w="744" w:type="dxa"/>
          </w:tcPr>
          <w:p w14:paraId="725F0D0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</w:tcPr>
          <w:p w14:paraId="725F0D0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</w:t>
            </w:r>
          </w:p>
        </w:tc>
        <w:tc>
          <w:tcPr>
            <w:tcW w:w="1133" w:type="dxa"/>
          </w:tcPr>
          <w:p w14:paraId="725F0D0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0,18</w:t>
            </w:r>
          </w:p>
        </w:tc>
        <w:tc>
          <w:tcPr>
            <w:tcW w:w="730" w:type="dxa"/>
          </w:tcPr>
          <w:p w14:paraId="725F0D0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</w:tcPr>
          <w:p w14:paraId="725F0D0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23</w:t>
            </w:r>
          </w:p>
        </w:tc>
        <w:tc>
          <w:tcPr>
            <w:tcW w:w="1133" w:type="dxa"/>
          </w:tcPr>
          <w:p w14:paraId="725F0D0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0,50</w:t>
            </w:r>
          </w:p>
        </w:tc>
        <w:tc>
          <w:tcPr>
            <w:tcW w:w="1757" w:type="dxa"/>
          </w:tcPr>
          <w:p w14:paraId="725F0D0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0,35 (0,16; 0,79)</w:t>
            </w:r>
          </w:p>
        </w:tc>
      </w:tr>
      <w:tr w:rsidR="00DD077B" w:rsidRPr="003834C8" w14:paraId="725F0D16" w14:textId="77777777" w:rsidTr="008431C7">
        <w:trPr>
          <w:trHeight w:val="299"/>
        </w:trPr>
        <w:tc>
          <w:tcPr>
            <w:tcW w:w="1750" w:type="dxa"/>
          </w:tcPr>
          <w:p w14:paraId="725F0D0E" w14:textId="321E0AB8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70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90</w:t>
            </w:r>
          </w:p>
        </w:tc>
        <w:tc>
          <w:tcPr>
            <w:tcW w:w="744" w:type="dxa"/>
          </w:tcPr>
          <w:p w14:paraId="725F0D0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</w:tcPr>
          <w:p w14:paraId="725F0D1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</w:t>
            </w:r>
          </w:p>
        </w:tc>
        <w:tc>
          <w:tcPr>
            <w:tcW w:w="1133" w:type="dxa"/>
          </w:tcPr>
          <w:p w14:paraId="725F0D1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730" w:type="dxa"/>
          </w:tcPr>
          <w:p w14:paraId="725F0D1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</w:tcPr>
          <w:p w14:paraId="725F0D1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</w:t>
            </w:r>
          </w:p>
        </w:tc>
        <w:tc>
          <w:tcPr>
            <w:tcW w:w="1133" w:type="dxa"/>
          </w:tcPr>
          <w:p w14:paraId="725F0D1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0,23</w:t>
            </w:r>
          </w:p>
        </w:tc>
        <w:tc>
          <w:tcPr>
            <w:tcW w:w="1757" w:type="dxa"/>
          </w:tcPr>
          <w:p w14:paraId="725F0D1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1,14 (0,46; 2,82)</w:t>
            </w:r>
          </w:p>
        </w:tc>
      </w:tr>
      <w:tr w:rsidR="00DD077B" w:rsidRPr="003834C8" w14:paraId="725F0D1F" w14:textId="77777777" w:rsidTr="008431C7">
        <w:trPr>
          <w:trHeight w:val="299"/>
        </w:trPr>
        <w:tc>
          <w:tcPr>
            <w:tcW w:w="1750" w:type="dxa"/>
          </w:tcPr>
          <w:p w14:paraId="725F0D17" w14:textId="09E23DF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90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>≤</w:t>
            </w:r>
            <w:r w:rsidR="00F62B44" w:rsidRPr="003834C8">
              <w:t> </w:t>
            </w:r>
            <w:r w:rsidRPr="003834C8">
              <w:t>110</w:t>
            </w:r>
          </w:p>
        </w:tc>
        <w:tc>
          <w:tcPr>
            <w:tcW w:w="744" w:type="dxa"/>
          </w:tcPr>
          <w:p w14:paraId="725F0D1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</w:tcPr>
          <w:p w14:paraId="725F0D1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</w:t>
            </w:r>
          </w:p>
        </w:tc>
        <w:tc>
          <w:tcPr>
            <w:tcW w:w="1133" w:type="dxa"/>
          </w:tcPr>
          <w:p w14:paraId="725F0D1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0,09</w:t>
            </w:r>
          </w:p>
        </w:tc>
        <w:tc>
          <w:tcPr>
            <w:tcW w:w="730" w:type="dxa"/>
          </w:tcPr>
          <w:p w14:paraId="725F0D1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</w:tcPr>
          <w:p w14:paraId="725F0D1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</w:t>
            </w:r>
          </w:p>
        </w:tc>
        <w:tc>
          <w:tcPr>
            <w:tcW w:w="1133" w:type="dxa"/>
          </w:tcPr>
          <w:p w14:paraId="725F0D1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0,13</w:t>
            </w:r>
          </w:p>
        </w:tc>
        <w:tc>
          <w:tcPr>
            <w:tcW w:w="1757" w:type="dxa"/>
          </w:tcPr>
          <w:p w14:paraId="725F0D1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  <w:tr w:rsidR="00DD077B" w:rsidRPr="003834C8" w14:paraId="725F0D28" w14:textId="77777777" w:rsidTr="008431C7">
        <w:trPr>
          <w:trHeight w:val="299"/>
        </w:trPr>
        <w:tc>
          <w:tcPr>
            <w:tcW w:w="1750" w:type="dxa"/>
          </w:tcPr>
          <w:p w14:paraId="725F0D20" w14:textId="18C5022B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110</w:t>
            </w:r>
            <w:r w:rsidR="00F62B44" w:rsidRPr="003834C8">
              <w:t> </w:t>
            </w:r>
            <w:r w:rsidR="00F62B44" w:rsidRPr="003834C8">
              <w:noBreakHyphen/>
              <w:t> </w:t>
            </w:r>
            <w:r w:rsidRPr="003834C8">
              <w:t xml:space="preserve"> ≤</w:t>
            </w:r>
            <w:r w:rsidR="00F62B44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2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</w:tcPr>
          <w:p w14:paraId="725F0D2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</w:t>
            </w:r>
          </w:p>
        </w:tc>
        <w:tc>
          <w:tcPr>
            <w:tcW w:w="1133" w:type="dxa"/>
          </w:tcPr>
          <w:p w14:paraId="725F0D2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0,08</w:t>
            </w:r>
          </w:p>
        </w:tc>
        <w:tc>
          <w:tcPr>
            <w:tcW w:w="730" w:type="dxa"/>
          </w:tcPr>
          <w:p w14:paraId="725F0D2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</w:tcPr>
          <w:p w14:paraId="725F0D2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</w:t>
            </w:r>
          </w:p>
        </w:tc>
        <w:tc>
          <w:tcPr>
            <w:tcW w:w="1133" w:type="dxa"/>
          </w:tcPr>
          <w:p w14:paraId="725F0D2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0,44</w:t>
            </w:r>
          </w:p>
        </w:tc>
        <w:tc>
          <w:tcPr>
            <w:tcW w:w="1757" w:type="dxa"/>
          </w:tcPr>
          <w:p w14:paraId="725F0D2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  <w:tr w:rsidR="00DD077B" w:rsidRPr="003834C8" w14:paraId="725F0D31" w14:textId="77777777" w:rsidTr="008431C7">
        <w:trPr>
          <w:trHeight w:val="302"/>
        </w:trPr>
        <w:tc>
          <w:tcPr>
            <w:tcW w:w="1750" w:type="dxa"/>
          </w:tcPr>
          <w:p w14:paraId="725F0D29" w14:textId="4CBDE32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F62B44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2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</w:tcPr>
          <w:p w14:paraId="725F0D2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</w:t>
            </w:r>
          </w:p>
        </w:tc>
        <w:tc>
          <w:tcPr>
            <w:tcW w:w="1133" w:type="dxa"/>
          </w:tcPr>
          <w:p w14:paraId="725F0D2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0,18</w:t>
            </w:r>
          </w:p>
        </w:tc>
        <w:tc>
          <w:tcPr>
            <w:tcW w:w="730" w:type="dxa"/>
          </w:tcPr>
          <w:p w14:paraId="725F0D2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</w:tcPr>
          <w:p w14:paraId="725F0D2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</w:t>
            </w:r>
          </w:p>
        </w:tc>
        <w:tc>
          <w:tcPr>
            <w:tcW w:w="1133" w:type="dxa"/>
          </w:tcPr>
          <w:p w14:paraId="725F0D2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0,00</w:t>
            </w:r>
          </w:p>
        </w:tc>
        <w:tc>
          <w:tcPr>
            <w:tcW w:w="1757" w:type="dxa"/>
          </w:tcPr>
          <w:p w14:paraId="725F0D3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</w:tbl>
    <w:p w14:paraId="725F0D32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D34" w14:textId="3C6B0267" w:rsidR="00DD077B" w:rsidRPr="003834C8" w:rsidRDefault="008431C7" w:rsidP="003834C8">
      <w:pPr>
        <w:pStyle w:val="Cmsor1"/>
        <w:keepNext/>
        <w:tabs>
          <w:tab w:val="left" w:pos="0"/>
          <w:tab w:val="left" w:pos="440"/>
        </w:tabs>
        <w:spacing w:before="0"/>
        <w:ind w:left="0"/>
        <w:rPr>
          <w:b w:val="0"/>
        </w:rPr>
      </w:pPr>
      <w:r w:rsidRPr="003834C8">
        <w:t xml:space="preserve">9. </w:t>
      </w:r>
      <w:r w:rsidR="0043432F" w:rsidRPr="003834C8">
        <w:t>táblázat: Intracranialis vérzés eseteinek száma CrCl kategóriák szerint az ENGAGE</w:t>
      </w:r>
      <w:r w:rsidRPr="003834C8">
        <w:t xml:space="preserve"> </w:t>
      </w:r>
      <w:r w:rsidR="0043432F" w:rsidRPr="003834C8">
        <w:t>AF-TIMI 48 vizsgálatban, a kezelés alatti időszakra vonatkozó biztonságossági</w:t>
      </w:r>
    </w:p>
    <w:p w14:paraId="725F0D35" w14:textId="77777777" w:rsidR="00DD077B" w:rsidRPr="003834C8" w:rsidRDefault="0043432F" w:rsidP="003834C8">
      <w:pPr>
        <w:pStyle w:val="Cmsor1"/>
        <w:keepNext/>
        <w:tabs>
          <w:tab w:val="left" w:pos="0"/>
        </w:tabs>
        <w:spacing w:before="0"/>
        <w:ind w:left="0"/>
      </w:pPr>
      <w:r w:rsidRPr="003834C8">
        <w:t>elemzés</w:t>
      </w:r>
      <w:r w:rsidRPr="003834C8">
        <w:rPr>
          <w:vertAlign w:val="superscript"/>
        </w:rPr>
        <w:t>a</w:t>
      </w:r>
    </w:p>
    <w:tbl>
      <w:tblPr>
        <w:tblStyle w:val="TableNormal"/>
        <w:tblW w:w="941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744"/>
        <w:gridCol w:w="1049"/>
        <w:gridCol w:w="1133"/>
        <w:gridCol w:w="730"/>
        <w:gridCol w:w="1114"/>
        <w:gridCol w:w="1133"/>
        <w:gridCol w:w="1757"/>
      </w:tblGrid>
      <w:tr w:rsidR="00DD077B" w:rsidRPr="003834C8" w14:paraId="725F0D3C" w14:textId="77777777" w:rsidTr="008431C7">
        <w:trPr>
          <w:trHeight w:val="561"/>
        </w:trPr>
        <w:tc>
          <w:tcPr>
            <w:tcW w:w="1750" w:type="dxa"/>
            <w:vMerge w:val="restart"/>
            <w:shd w:val="clear" w:color="auto" w:fill="D9D9D9"/>
          </w:tcPr>
          <w:p w14:paraId="725F0D36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CrCl alcsoport (ml/perc)</w:t>
            </w:r>
          </w:p>
        </w:tc>
        <w:tc>
          <w:tcPr>
            <w:tcW w:w="2926" w:type="dxa"/>
            <w:gridSpan w:val="3"/>
            <w:shd w:val="clear" w:color="auto" w:fill="D9D9D9"/>
          </w:tcPr>
          <w:p w14:paraId="725F0D37" w14:textId="195E4A50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Edoxabán 60</w:t>
            </w:r>
            <w:r w:rsidR="0050166E">
              <w:rPr>
                <w:b/>
              </w:rPr>
              <w:t> mg</w:t>
            </w:r>
          </w:p>
          <w:p w14:paraId="725F0D38" w14:textId="79297EB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2977" w:type="dxa"/>
            <w:gridSpan w:val="3"/>
            <w:shd w:val="clear" w:color="auto" w:fill="D9D9D9"/>
          </w:tcPr>
          <w:p w14:paraId="725F0D3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D3A" w14:textId="39F1C95D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7</w:t>
            </w:r>
            <w:r w:rsidR="00B2644C" w:rsidRPr="003834C8">
              <w:rPr>
                <w:b/>
              </w:rPr>
              <w:t> </w:t>
            </w:r>
            <w:r w:rsidRPr="003834C8">
              <w:rPr>
                <w:b/>
              </w:rPr>
              <w:t>012)</w:t>
            </w:r>
          </w:p>
        </w:tc>
        <w:tc>
          <w:tcPr>
            <w:tcW w:w="1757" w:type="dxa"/>
            <w:shd w:val="clear" w:color="auto" w:fill="D9D9D9"/>
          </w:tcPr>
          <w:p w14:paraId="725F0D3B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46" w14:textId="77777777" w:rsidTr="008431C7">
        <w:trPr>
          <w:trHeight w:val="899"/>
        </w:trPr>
        <w:tc>
          <w:tcPr>
            <w:tcW w:w="1750" w:type="dxa"/>
            <w:vMerge/>
            <w:tcBorders>
              <w:top w:val="nil"/>
            </w:tcBorders>
            <w:shd w:val="clear" w:color="auto" w:fill="D9D9D9"/>
          </w:tcPr>
          <w:p w14:paraId="725F0D3D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/>
            </w:pPr>
          </w:p>
        </w:tc>
        <w:tc>
          <w:tcPr>
            <w:tcW w:w="744" w:type="dxa"/>
            <w:shd w:val="clear" w:color="auto" w:fill="D9D9D9"/>
          </w:tcPr>
          <w:p w14:paraId="725F0D3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049" w:type="dxa"/>
            <w:shd w:val="clear" w:color="auto" w:fill="D9D9D9"/>
          </w:tcPr>
          <w:p w14:paraId="725F0D3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D41" w14:textId="3E2E0EDD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</w:t>
            </w:r>
            <w:r w:rsidR="00B2644C" w:rsidRPr="003834C8">
              <w:rPr>
                <w:b/>
              </w:rPr>
              <w:t xml:space="preserve"> </w:t>
            </w:r>
            <w:r w:rsidRPr="003834C8">
              <w:rPr>
                <w:b/>
              </w:rPr>
              <w:t>(%/év)</w:t>
            </w:r>
          </w:p>
        </w:tc>
        <w:tc>
          <w:tcPr>
            <w:tcW w:w="730" w:type="dxa"/>
            <w:shd w:val="clear" w:color="auto" w:fill="D9D9D9"/>
          </w:tcPr>
          <w:p w14:paraId="725F0D4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n</w:t>
            </w:r>
          </w:p>
        </w:tc>
        <w:tc>
          <w:tcPr>
            <w:tcW w:w="1114" w:type="dxa"/>
            <w:shd w:val="clear" w:color="auto" w:fill="D9D9D9"/>
          </w:tcPr>
          <w:p w14:paraId="725F0D4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szám</w:t>
            </w:r>
          </w:p>
        </w:tc>
        <w:tc>
          <w:tcPr>
            <w:tcW w:w="1133" w:type="dxa"/>
            <w:shd w:val="clear" w:color="auto" w:fill="D9D9D9"/>
          </w:tcPr>
          <w:p w14:paraId="725F0D4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Esemény- hányados (%/év)</w:t>
            </w:r>
          </w:p>
        </w:tc>
        <w:tc>
          <w:tcPr>
            <w:tcW w:w="1757" w:type="dxa"/>
            <w:shd w:val="clear" w:color="auto" w:fill="D9D9D9"/>
          </w:tcPr>
          <w:p w14:paraId="725F0D4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HR (95%-os CI)</w:t>
            </w:r>
          </w:p>
        </w:tc>
      </w:tr>
      <w:tr w:rsidR="00DD077B" w:rsidRPr="003834C8" w14:paraId="725F0D4F" w14:textId="77777777" w:rsidTr="008431C7">
        <w:trPr>
          <w:trHeight w:val="299"/>
        </w:trPr>
        <w:tc>
          <w:tcPr>
            <w:tcW w:w="1750" w:type="dxa"/>
          </w:tcPr>
          <w:p w14:paraId="725F0D47" w14:textId="137BD281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≥</w:t>
            </w:r>
            <w:r w:rsidR="00DD4899" w:rsidRPr="003834C8">
              <w:t> </w:t>
            </w:r>
            <w:r w:rsidRPr="003834C8">
              <w:t>30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50</w:t>
            </w:r>
          </w:p>
        </w:tc>
        <w:tc>
          <w:tcPr>
            <w:tcW w:w="744" w:type="dxa"/>
          </w:tcPr>
          <w:p w14:paraId="725F0D4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1302</w:t>
            </w:r>
          </w:p>
        </w:tc>
        <w:tc>
          <w:tcPr>
            <w:tcW w:w="1049" w:type="dxa"/>
          </w:tcPr>
          <w:p w14:paraId="725F0D4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</w:t>
            </w:r>
          </w:p>
        </w:tc>
        <w:tc>
          <w:tcPr>
            <w:tcW w:w="1133" w:type="dxa"/>
          </w:tcPr>
          <w:p w14:paraId="725F0D4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0,64</w:t>
            </w:r>
          </w:p>
        </w:tc>
        <w:tc>
          <w:tcPr>
            <w:tcW w:w="730" w:type="dxa"/>
          </w:tcPr>
          <w:p w14:paraId="725F0D4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1305</w:t>
            </w:r>
          </w:p>
        </w:tc>
        <w:tc>
          <w:tcPr>
            <w:tcW w:w="1114" w:type="dxa"/>
          </w:tcPr>
          <w:p w14:paraId="725F0D4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35</w:t>
            </w:r>
          </w:p>
        </w:tc>
        <w:tc>
          <w:tcPr>
            <w:tcW w:w="1133" w:type="dxa"/>
          </w:tcPr>
          <w:p w14:paraId="725F0D4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1,40</w:t>
            </w:r>
          </w:p>
        </w:tc>
        <w:tc>
          <w:tcPr>
            <w:tcW w:w="1757" w:type="dxa"/>
          </w:tcPr>
          <w:p w14:paraId="725F0D4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0,45 (0,25; 0,81)</w:t>
            </w:r>
          </w:p>
        </w:tc>
      </w:tr>
      <w:tr w:rsidR="00DD077B" w:rsidRPr="003834C8" w14:paraId="725F0D58" w14:textId="77777777" w:rsidTr="008431C7">
        <w:trPr>
          <w:trHeight w:val="299"/>
        </w:trPr>
        <w:tc>
          <w:tcPr>
            <w:tcW w:w="1750" w:type="dxa"/>
          </w:tcPr>
          <w:p w14:paraId="725F0D50" w14:textId="416389B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50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70</w:t>
            </w:r>
          </w:p>
        </w:tc>
        <w:tc>
          <w:tcPr>
            <w:tcW w:w="744" w:type="dxa"/>
          </w:tcPr>
          <w:p w14:paraId="725F0D5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2093</w:t>
            </w:r>
          </w:p>
        </w:tc>
        <w:tc>
          <w:tcPr>
            <w:tcW w:w="1049" w:type="dxa"/>
          </w:tcPr>
          <w:p w14:paraId="725F0D5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19</w:t>
            </w:r>
          </w:p>
        </w:tc>
        <w:tc>
          <w:tcPr>
            <w:tcW w:w="1133" w:type="dxa"/>
          </w:tcPr>
          <w:p w14:paraId="725F0D5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0,42</w:t>
            </w:r>
          </w:p>
        </w:tc>
        <w:tc>
          <w:tcPr>
            <w:tcW w:w="730" w:type="dxa"/>
          </w:tcPr>
          <w:p w14:paraId="725F0D5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2106</w:t>
            </w:r>
          </w:p>
        </w:tc>
        <w:tc>
          <w:tcPr>
            <w:tcW w:w="1114" w:type="dxa"/>
          </w:tcPr>
          <w:p w14:paraId="725F0D5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51</w:t>
            </w:r>
          </w:p>
        </w:tc>
        <w:tc>
          <w:tcPr>
            <w:tcW w:w="1133" w:type="dxa"/>
          </w:tcPr>
          <w:p w14:paraId="725F0D5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1,10</w:t>
            </w:r>
          </w:p>
        </w:tc>
        <w:tc>
          <w:tcPr>
            <w:tcW w:w="1757" w:type="dxa"/>
          </w:tcPr>
          <w:p w14:paraId="725F0D5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0,38 (0,22; 0,64)</w:t>
            </w:r>
          </w:p>
        </w:tc>
      </w:tr>
      <w:tr w:rsidR="00DD077B" w:rsidRPr="003834C8" w14:paraId="725F0D61" w14:textId="77777777" w:rsidTr="008431C7">
        <w:trPr>
          <w:trHeight w:val="299"/>
        </w:trPr>
        <w:tc>
          <w:tcPr>
            <w:tcW w:w="1750" w:type="dxa"/>
          </w:tcPr>
          <w:p w14:paraId="725F0D59" w14:textId="68739414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70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90</w:t>
            </w:r>
          </w:p>
        </w:tc>
        <w:tc>
          <w:tcPr>
            <w:tcW w:w="744" w:type="dxa"/>
          </w:tcPr>
          <w:p w14:paraId="725F0D5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1661</w:t>
            </w:r>
          </w:p>
        </w:tc>
        <w:tc>
          <w:tcPr>
            <w:tcW w:w="1049" w:type="dxa"/>
          </w:tcPr>
          <w:p w14:paraId="725F0D5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</w:t>
            </w:r>
          </w:p>
        </w:tc>
        <w:tc>
          <w:tcPr>
            <w:tcW w:w="1133" w:type="dxa"/>
          </w:tcPr>
          <w:p w14:paraId="725F0D5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0,44</w:t>
            </w:r>
          </w:p>
        </w:tc>
        <w:tc>
          <w:tcPr>
            <w:tcW w:w="730" w:type="dxa"/>
          </w:tcPr>
          <w:p w14:paraId="725F0D5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1703</w:t>
            </w:r>
          </w:p>
        </w:tc>
        <w:tc>
          <w:tcPr>
            <w:tcW w:w="1114" w:type="dxa"/>
          </w:tcPr>
          <w:p w14:paraId="725F0D5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35</w:t>
            </w:r>
          </w:p>
        </w:tc>
        <w:tc>
          <w:tcPr>
            <w:tcW w:w="1133" w:type="dxa"/>
          </w:tcPr>
          <w:p w14:paraId="725F0D5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0,89</w:t>
            </w:r>
          </w:p>
        </w:tc>
        <w:tc>
          <w:tcPr>
            <w:tcW w:w="1757" w:type="dxa"/>
          </w:tcPr>
          <w:p w14:paraId="725F0D6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0,50 (0,28; 0,89)</w:t>
            </w:r>
          </w:p>
        </w:tc>
      </w:tr>
      <w:tr w:rsidR="00DD077B" w:rsidRPr="003834C8" w14:paraId="725F0D6A" w14:textId="77777777" w:rsidTr="008431C7">
        <w:trPr>
          <w:trHeight w:val="301"/>
        </w:trPr>
        <w:tc>
          <w:tcPr>
            <w:tcW w:w="1750" w:type="dxa"/>
          </w:tcPr>
          <w:p w14:paraId="725F0D62" w14:textId="66A237E1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90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110</w:t>
            </w:r>
          </w:p>
        </w:tc>
        <w:tc>
          <w:tcPr>
            <w:tcW w:w="744" w:type="dxa"/>
          </w:tcPr>
          <w:p w14:paraId="725F0D63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927</w:t>
            </w:r>
          </w:p>
        </w:tc>
        <w:tc>
          <w:tcPr>
            <w:tcW w:w="1049" w:type="dxa"/>
          </w:tcPr>
          <w:p w14:paraId="725F0D64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</w:t>
            </w:r>
          </w:p>
        </w:tc>
        <w:tc>
          <w:tcPr>
            <w:tcW w:w="1133" w:type="dxa"/>
          </w:tcPr>
          <w:p w14:paraId="725F0D6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0,23</w:t>
            </w:r>
          </w:p>
        </w:tc>
        <w:tc>
          <w:tcPr>
            <w:tcW w:w="730" w:type="dxa"/>
          </w:tcPr>
          <w:p w14:paraId="725F0D6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960</w:t>
            </w:r>
          </w:p>
        </w:tc>
        <w:tc>
          <w:tcPr>
            <w:tcW w:w="1114" w:type="dxa"/>
          </w:tcPr>
          <w:p w14:paraId="725F0D6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</w:t>
            </w:r>
          </w:p>
        </w:tc>
        <w:tc>
          <w:tcPr>
            <w:tcW w:w="1133" w:type="dxa"/>
          </w:tcPr>
          <w:p w14:paraId="725F0D6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1757" w:type="dxa"/>
          </w:tcPr>
          <w:p w14:paraId="725F0D6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0,87 (0,27; 2,86)</w:t>
            </w:r>
          </w:p>
        </w:tc>
      </w:tr>
      <w:tr w:rsidR="00DD077B" w:rsidRPr="003834C8" w14:paraId="725F0D73" w14:textId="77777777" w:rsidTr="008431C7">
        <w:trPr>
          <w:trHeight w:val="299"/>
        </w:trPr>
        <w:tc>
          <w:tcPr>
            <w:tcW w:w="1750" w:type="dxa"/>
          </w:tcPr>
          <w:p w14:paraId="725F0D6B" w14:textId="73D68BF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110</w:t>
            </w:r>
            <w:r w:rsidR="00DD4899" w:rsidRPr="003834C8">
              <w:t> </w:t>
            </w:r>
            <w:r w:rsidR="00DD4899" w:rsidRPr="003834C8">
              <w:noBreakHyphen/>
              <w:t> </w:t>
            </w:r>
            <w:r w:rsidRPr="003834C8">
              <w:t>≤</w:t>
            </w:r>
            <w:r w:rsidR="00DD4899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6C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497</w:t>
            </w:r>
          </w:p>
        </w:tc>
        <w:tc>
          <w:tcPr>
            <w:tcW w:w="1049" w:type="dxa"/>
          </w:tcPr>
          <w:p w14:paraId="725F0D6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</w:t>
            </w:r>
          </w:p>
        </w:tc>
        <w:tc>
          <w:tcPr>
            <w:tcW w:w="1133" w:type="dxa"/>
          </w:tcPr>
          <w:p w14:paraId="725F0D6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0,17</w:t>
            </w:r>
          </w:p>
        </w:tc>
        <w:tc>
          <w:tcPr>
            <w:tcW w:w="730" w:type="dxa"/>
          </w:tcPr>
          <w:p w14:paraId="725F0D6F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469</w:t>
            </w:r>
          </w:p>
        </w:tc>
        <w:tc>
          <w:tcPr>
            <w:tcW w:w="1114" w:type="dxa"/>
          </w:tcPr>
          <w:p w14:paraId="725F0D7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</w:t>
            </w:r>
          </w:p>
        </w:tc>
        <w:tc>
          <w:tcPr>
            <w:tcW w:w="1133" w:type="dxa"/>
          </w:tcPr>
          <w:p w14:paraId="725F0D7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0,26</w:t>
            </w:r>
          </w:p>
        </w:tc>
        <w:tc>
          <w:tcPr>
            <w:tcW w:w="1757" w:type="dxa"/>
          </w:tcPr>
          <w:p w14:paraId="725F0D7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  <w:tr w:rsidR="00DD077B" w:rsidRPr="003834C8" w14:paraId="725F0D7C" w14:textId="77777777" w:rsidTr="008431C7">
        <w:trPr>
          <w:trHeight w:val="299"/>
        </w:trPr>
        <w:tc>
          <w:tcPr>
            <w:tcW w:w="1750" w:type="dxa"/>
          </w:tcPr>
          <w:p w14:paraId="725F0D74" w14:textId="59DF358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&gt;</w:t>
            </w:r>
            <w:r w:rsidR="00DD4899" w:rsidRPr="003834C8">
              <w:t> </w:t>
            </w:r>
            <w:r w:rsidRPr="003834C8">
              <w:t>130</w:t>
            </w:r>
          </w:p>
        </w:tc>
        <w:tc>
          <w:tcPr>
            <w:tcW w:w="744" w:type="dxa"/>
          </w:tcPr>
          <w:p w14:paraId="725F0D7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462</w:t>
            </w:r>
          </w:p>
        </w:tc>
        <w:tc>
          <w:tcPr>
            <w:tcW w:w="1049" w:type="dxa"/>
          </w:tcPr>
          <w:p w14:paraId="725F0D7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</w:t>
            </w:r>
          </w:p>
        </w:tc>
        <w:tc>
          <w:tcPr>
            <w:tcW w:w="1133" w:type="dxa"/>
          </w:tcPr>
          <w:p w14:paraId="725F0D77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0,09</w:t>
            </w:r>
          </w:p>
        </w:tc>
        <w:tc>
          <w:tcPr>
            <w:tcW w:w="730" w:type="dxa"/>
          </w:tcPr>
          <w:p w14:paraId="725F0D78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418</w:t>
            </w:r>
          </w:p>
        </w:tc>
        <w:tc>
          <w:tcPr>
            <w:tcW w:w="1114" w:type="dxa"/>
          </w:tcPr>
          <w:p w14:paraId="725F0D7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</w:t>
            </w:r>
          </w:p>
        </w:tc>
        <w:tc>
          <w:tcPr>
            <w:tcW w:w="1133" w:type="dxa"/>
          </w:tcPr>
          <w:p w14:paraId="725F0D7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0,10</w:t>
            </w:r>
          </w:p>
        </w:tc>
        <w:tc>
          <w:tcPr>
            <w:tcW w:w="1757" w:type="dxa"/>
          </w:tcPr>
          <w:p w14:paraId="725F0D7B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--</w:t>
            </w:r>
            <w:r w:rsidRPr="003834C8">
              <w:rPr>
                <w:vertAlign w:val="superscript"/>
              </w:rPr>
              <w:t>*</w:t>
            </w:r>
          </w:p>
        </w:tc>
      </w:tr>
    </w:tbl>
    <w:p w14:paraId="725F0D7D" w14:textId="31191902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Rövidítések: N = vizsgálati alanyok száma az mITT-populációban a teljes vizsgálati időszak alatt</w:t>
      </w:r>
      <w:r w:rsidR="00540256" w:rsidRPr="003834C8">
        <w:rPr>
          <w:szCs w:val="20"/>
        </w:rPr>
        <w:t xml:space="preserve">, </w:t>
      </w:r>
      <w:r w:rsidRPr="003834C8">
        <w:rPr>
          <w:szCs w:val="20"/>
        </w:rPr>
        <w:t>mITT = kezelésbe bevont, módosított; n = betegek száma az alcsoportban; HR = relatív hazárd warfarinnal szemben; CI = konfidencia intervallum</w:t>
      </w:r>
    </w:p>
    <w:p w14:paraId="725F0D7E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*HR-t nem számítottak, ha az eseményszám 5 alatti volt egy kezelési csoportban.</w:t>
      </w:r>
    </w:p>
    <w:p w14:paraId="725F0D7F" w14:textId="20F5B2F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A kezelés alatti időszak: a vizsgálati készítmény első </w:t>
      </w:r>
      <w:r w:rsidR="00EF3356" w:rsidRPr="003834C8">
        <w:rPr>
          <w:szCs w:val="20"/>
        </w:rPr>
        <w:t xml:space="preserve">dózisától </w:t>
      </w:r>
      <w:r w:rsidRPr="003834C8">
        <w:rPr>
          <w:szCs w:val="20"/>
        </w:rPr>
        <w:t xml:space="preserve">az utolsó </w:t>
      </w:r>
      <w:r w:rsidR="00EF3356" w:rsidRPr="003834C8">
        <w:rPr>
          <w:szCs w:val="20"/>
        </w:rPr>
        <w:t>dózis</w:t>
      </w:r>
      <w:r w:rsidRPr="003834C8">
        <w:rPr>
          <w:szCs w:val="20"/>
        </w:rPr>
        <w:t>ig eltelt idő plusz 3 nap.</w:t>
      </w:r>
    </w:p>
    <w:p w14:paraId="71A5818D" w14:textId="77777777" w:rsidR="00DD077B" w:rsidRPr="003834C8" w:rsidRDefault="00DD077B" w:rsidP="003834C8">
      <w:pPr>
        <w:tabs>
          <w:tab w:val="left" w:pos="0"/>
        </w:tabs>
      </w:pPr>
    </w:p>
    <w:p w14:paraId="725F0D82" w14:textId="2C79536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Alcsoport analízisekben a 60</w:t>
      </w:r>
      <w:r w:rsidR="0050166E">
        <w:t> mg</w:t>
      </w:r>
      <w:r w:rsidRPr="003834C8">
        <w:t>-os kezelési csoport azon vizsgálati alanyainál, akiknél az ENGAGE AF-TIMI 48 vizsgálatban 60</w:t>
      </w:r>
      <w:r w:rsidR="00DD4899" w:rsidRPr="003834C8">
        <w:t> </w:t>
      </w:r>
      <w:r w:rsidRPr="003834C8">
        <w:t xml:space="preserve">kg vagy annál alacsonyabb testtömeg, közepes </w:t>
      </w:r>
      <w:r w:rsidR="00490E89">
        <w:t>fokú</w:t>
      </w:r>
      <w:r w:rsidR="00540256" w:rsidRPr="003834C8">
        <w:t xml:space="preserve"> </w:t>
      </w:r>
      <w:r w:rsidRPr="003834C8">
        <w:t xml:space="preserve">vesekárosodás vagy P-gp-inhibitorok egyidejű alkalmazása miatt a </w:t>
      </w:r>
      <w:r w:rsidR="00EF3356" w:rsidRPr="003834C8">
        <w:t xml:space="preserve">dózist </w:t>
      </w:r>
      <w:r w:rsidRPr="003834C8">
        <w:t>30</w:t>
      </w:r>
      <w:r w:rsidR="0050166E">
        <w:t> mg</w:t>
      </w:r>
      <w:r w:rsidRPr="003834C8">
        <w:t>-ra csökkentették, a</w:t>
      </w:r>
      <w:r w:rsidR="00DD4899" w:rsidRPr="003834C8">
        <w:t xml:space="preserve"> 3</w:t>
      </w:r>
      <w:r w:rsidRPr="003834C8">
        <w:t>0</w:t>
      </w:r>
      <w:r w:rsidR="0050166E">
        <w:t> mg</w:t>
      </w:r>
      <w:r w:rsidRPr="003834C8">
        <w:t xml:space="preserve">-os csökkentett edoxabán </w:t>
      </w:r>
      <w:r w:rsidR="00EF3356" w:rsidRPr="003834C8">
        <w:t xml:space="preserve">dózist </w:t>
      </w:r>
      <w:r w:rsidRPr="003834C8">
        <w:t xml:space="preserve">szedő betegek közül 104-nél (3,05% évente), a csökkentett </w:t>
      </w:r>
      <w:r w:rsidR="00EF3356" w:rsidRPr="003834C8">
        <w:t xml:space="preserve">dózisú </w:t>
      </w:r>
      <w:r w:rsidRPr="003834C8">
        <w:t xml:space="preserve">warfarint szedők közül 166-nál (4,85% évente) fordult elő </w:t>
      </w:r>
      <w:r w:rsidR="00A0408F">
        <w:t>súlyos</w:t>
      </w:r>
      <w:r w:rsidRPr="003834C8">
        <w:t xml:space="preserve"> vérzéses esemény [HR (95%</w:t>
      </w:r>
      <w:r w:rsidR="004A0620" w:rsidRPr="003834C8">
        <w:t>-os</w:t>
      </w:r>
      <w:r w:rsidRPr="003834C8">
        <w:t xml:space="preserve"> CI): 0,63 (0,50; 0,81)].</w:t>
      </w:r>
    </w:p>
    <w:p w14:paraId="725F0D8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4" w14:textId="4581257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ENGAGE-AF-TIMI 48 vizsgálatban az összesített klinikai kimenetel (első stroke, SEE, </w:t>
      </w:r>
      <w:r w:rsidR="00FD680B">
        <w:t>súlyos</w:t>
      </w:r>
      <w:r w:rsidRPr="003834C8">
        <w:t xml:space="preserve"> vérzés és bármely eredetű halálozás; mITT populáció, a vizsgálat teljes időtartama) jelentős javulást mutatott az edoxabán javára, amikor a 60</w:t>
      </w:r>
      <w:r w:rsidR="0050166E">
        <w:t> mg</w:t>
      </w:r>
      <w:r w:rsidRPr="003834C8">
        <w:t>-os edoxabán-csoportot warfarinnal hasonlították össze (HR (95%</w:t>
      </w:r>
      <w:r w:rsidR="004A0620" w:rsidRPr="003834C8">
        <w:t>-os</w:t>
      </w:r>
      <w:r w:rsidRPr="003834C8">
        <w:t xml:space="preserve"> CI): 0,89 (0,83; 0,96) p</w:t>
      </w:r>
      <w:r w:rsidR="003A79A9" w:rsidRPr="003834C8">
        <w:t> </w:t>
      </w:r>
      <w:r w:rsidRPr="003834C8">
        <w:t>=</w:t>
      </w:r>
      <w:r w:rsidR="003A79A9" w:rsidRPr="003834C8">
        <w:t> </w:t>
      </w:r>
      <w:r w:rsidRPr="003834C8">
        <w:t>0,0024).</w:t>
      </w:r>
    </w:p>
    <w:p w14:paraId="725F0D8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6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DVT kezelése, PE kezelése és ismétlődő DVT és PE (VTE) megelőzése</w:t>
      </w:r>
    </w:p>
    <w:p w14:paraId="725F0D8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vénás thromboembolia (VTE) klinikai programot arra tervezték, hogy kimutassa az edoxabán hatásosságát és biztonságosságát DVT és PE kezelésében, illetve az ismétlődő DVT és PE megelőzésében.</w:t>
      </w:r>
    </w:p>
    <w:p w14:paraId="725F0D8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9" w14:textId="0C12A3D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pivotális Hokusai-VTE vizsgálatban 8292 vizsgálati alanyt randomizáltak kezdeti heparin kezelésre </w:t>
      </w:r>
      <w:r w:rsidRPr="003834C8">
        <w:lastRenderedPageBreak/>
        <w:t>(enoxaparinra vagy nem frakcionált heparinra), amelyet napi egyszer 60</w:t>
      </w:r>
      <w:r w:rsidR="0050166E">
        <w:t> mg</w:t>
      </w:r>
      <w:r w:rsidRPr="003834C8">
        <w:t xml:space="preserve"> edoxabán vagy komparátor kezelés követett. A komparátor karon a vizsgálati alanyok egyszerre kaptak kezdeti heparin kezelést és warfarint 2,0 és 3,0 közötti INR-értékre titrálva, ezután csak warfarint kaptak. A kezelés időtartama 3 és 12 hónap között volt, a vizsgálóorvos elbírálásának megfelelően, amelyet a beteg klinikai jellemzői alapján állapított meg.</w:t>
      </w:r>
    </w:p>
    <w:p w14:paraId="725F0D8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B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edoxabánnal kezelt betegek többsége fehér bőrű (69,6%) és ázsiai (21,0%) volt, 3,8%-uk volt fekete bőrű, és 5,3%-ukat egyéb rasszhoz tartozóként kategorizálták.</w:t>
      </w:r>
    </w:p>
    <w:p w14:paraId="725F0D8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kezelés időtartama legalább 3 hónap volt 3718 (91,6%), edoxabánt kapó vizsgálati alany esetében, szemben 3727 (91,4%), warfarint kapó alannyal, illetve legalább 6 hónap volt 3495 (86,1%) edoxabánt kapó vizsgálati alany esetében, szemben 3491 (85,6%) warfarin alannyal, valamint legalább 12 hónap volt 1643 (40,5%), edoxabánt kapó vizsgálati alany esetében, szemben 1659 (40,4%), warfarint kapó vizsgálati alannyal.</w:t>
      </w:r>
    </w:p>
    <w:p w14:paraId="725F0D8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8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hatásossági végpont a tünetekkel járó VTE ismétlődése volt, amelyet az ismétlődő, tünetekkel járó DVT, a nem halálos, tünetekkel járó PE és a halálos kimenetelű PE alkotta összetett végpontként definiáltak a 12 hónapos vizsgálati időszak alatt. Másodlagos hatásossági összetett végpont volt az ismétlődő VTE klinikai kimenetele és az összmortalitás.</w:t>
      </w:r>
    </w:p>
    <w:p w14:paraId="725F0D9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91" w14:textId="103E3CC8" w:rsidR="00DD077B" w:rsidRPr="003834C8" w:rsidRDefault="0043432F" w:rsidP="003834C8">
      <w:pPr>
        <w:pStyle w:val="Szvegtrzs"/>
        <w:tabs>
          <w:tab w:val="left" w:pos="0"/>
        </w:tabs>
      </w:pPr>
      <w:r w:rsidRPr="003834C8">
        <w:t>Napi egyszer 30</w:t>
      </w:r>
      <w:r w:rsidR="0050166E">
        <w:t> mg</w:t>
      </w:r>
      <w:r w:rsidRPr="003834C8">
        <w:t xml:space="preserve"> edoxabánt alkalmaztak azoknál a vizsgálati alanyoknál, akiknél az alábbi klinikai jellemzők közül egy vagy több előfordult: közepes </w:t>
      </w:r>
      <w:r w:rsidR="00D51385">
        <w:t>fokú</w:t>
      </w:r>
      <w:r w:rsidR="00D51385" w:rsidRPr="003834C8">
        <w:t xml:space="preserve"> </w:t>
      </w:r>
      <w:r w:rsidRPr="003834C8">
        <w:t>vesekárosodás (CrCl 30</w:t>
      </w:r>
      <w:r w:rsidR="00D02309" w:rsidRPr="003834C8">
        <w:noBreakHyphen/>
      </w:r>
      <w:r w:rsidRPr="003834C8">
        <w:t>50</w:t>
      </w:r>
      <w:r w:rsidR="00D02309" w:rsidRPr="003834C8">
        <w:t> </w:t>
      </w:r>
      <w:r w:rsidRPr="003834C8">
        <w:t>ml/perc), testtömeg ≤</w:t>
      </w:r>
      <w:r w:rsidR="00D02309" w:rsidRPr="003834C8">
        <w:t> </w:t>
      </w:r>
      <w:r w:rsidRPr="003834C8">
        <w:t>60</w:t>
      </w:r>
      <w:r w:rsidR="00D02309" w:rsidRPr="003834C8">
        <w:t> </w:t>
      </w:r>
      <w:r w:rsidRPr="003834C8">
        <w:t>kg, bizonyos P-gp-inhibitorok egyidejű alkalmazása.</w:t>
      </w:r>
    </w:p>
    <w:p w14:paraId="725F0D9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95" w14:textId="63F96A9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Hokusai-VTE vizsgálatban (10. táblázat) az edoxabán nem bizonyult rosszabbnak a warfarinnál az</w:t>
      </w:r>
      <w:r w:rsidR="003824DD" w:rsidRPr="003834C8">
        <w:t xml:space="preserve"> </w:t>
      </w:r>
      <w:r w:rsidRPr="003834C8">
        <w:t>elsődleges hatásossági végpontot, az ismétlődő VTE-t tekintve, amely az edoxabán-csoportba</w:t>
      </w:r>
      <w:r w:rsidR="00EC6960" w:rsidRPr="003834C8">
        <w:t>n 4</w:t>
      </w:r>
      <w:r w:rsidR="00B97F63" w:rsidRPr="003834C8">
        <w:t> </w:t>
      </w:r>
      <w:r w:rsidRPr="003834C8">
        <w:t>118 vizsgálati alany közül 130-nál fordult elő (3,2%), szemben a warfarin-csoporttal, ahol 4</w:t>
      </w:r>
      <w:r w:rsidR="00B97F63" w:rsidRPr="003834C8">
        <w:t> </w:t>
      </w:r>
      <w:r w:rsidRPr="003834C8">
        <w:t>122 vizsgálati alany közül 146-nál fordult elő (3,5%) [HR (95%</w:t>
      </w:r>
      <w:r w:rsidR="004A0620" w:rsidRPr="003834C8">
        <w:t>-os</w:t>
      </w:r>
      <w:r w:rsidRPr="003834C8">
        <w:t xml:space="preserve"> CI): 0,89 (0,70; 1,13);</w:t>
      </w:r>
      <w:r w:rsidR="00D02309" w:rsidRPr="003834C8">
        <w:t xml:space="preserve"> </w:t>
      </w:r>
      <w:r w:rsidRPr="003834C8">
        <w:t>non-inferioritási p</w:t>
      </w:r>
      <w:r w:rsidR="00D02309" w:rsidRPr="003834C8">
        <w:t> </w:t>
      </w:r>
      <w:r w:rsidRPr="003834C8">
        <w:t>&lt;</w:t>
      </w:r>
      <w:r w:rsidR="00D02309" w:rsidRPr="003834C8">
        <w:t> </w:t>
      </w:r>
      <w:r w:rsidRPr="003834C8">
        <w:t>0,0001]. A warfarin-csoportban a medián TTR (INR 2,0 és 3,0 között) 65,6% volt. A PE-ban szenvedő vizsgálati alanyok (DVT-vel vagy a</w:t>
      </w:r>
      <w:r w:rsidR="00FD680B">
        <w:t xml:space="preserve"> </w:t>
      </w:r>
      <w:r w:rsidRPr="003834C8">
        <w:t>nélkül) közül 47 edoxabánt (2,8%) és 65 warfarint kapó vizsgálati alanynál (3,9%) fordult elő ismétlődő VTE [HR (95%</w:t>
      </w:r>
      <w:r w:rsidR="004A0620" w:rsidRPr="003834C8">
        <w:t>-os</w:t>
      </w:r>
      <w:r w:rsidRPr="003834C8">
        <w:t xml:space="preserve"> CI): 0,73 (0,50; 1,06)].</w:t>
      </w:r>
    </w:p>
    <w:p w14:paraId="286150CE" w14:textId="77777777" w:rsidR="006C2806" w:rsidRPr="003834C8" w:rsidRDefault="006C2806" w:rsidP="003834C8">
      <w:pPr>
        <w:pStyle w:val="Szvegtrzs"/>
        <w:tabs>
          <w:tab w:val="left" w:pos="0"/>
        </w:tabs>
      </w:pPr>
    </w:p>
    <w:p w14:paraId="725F0D97" w14:textId="0297356D" w:rsidR="00DD077B" w:rsidRPr="003834C8" w:rsidRDefault="0076694B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</w:pPr>
      <w:r w:rsidRPr="003834C8">
        <w:t xml:space="preserve">10. </w:t>
      </w:r>
      <w:r w:rsidR="0043432F" w:rsidRPr="003834C8">
        <w:t>táblázat: Hokusai-VTE vizsgálat hatásossági eredményei – mITT populáció, teljes vizsgálati időszak</w:t>
      </w:r>
    </w:p>
    <w:tbl>
      <w:tblPr>
        <w:tblStyle w:val="TableNormal"/>
        <w:tblW w:w="93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11"/>
        <w:gridCol w:w="2837"/>
        <w:gridCol w:w="1483"/>
        <w:gridCol w:w="2093"/>
      </w:tblGrid>
      <w:tr w:rsidR="00DD077B" w:rsidRPr="003834C8" w14:paraId="725F0DA2" w14:textId="77777777" w:rsidTr="003743A2">
        <w:trPr>
          <w:trHeight w:val="1093"/>
        </w:trPr>
        <w:tc>
          <w:tcPr>
            <w:tcW w:w="2911" w:type="dxa"/>
            <w:shd w:val="clear" w:color="auto" w:fill="D9D9D9"/>
          </w:tcPr>
          <w:p w14:paraId="725F0D9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  <w:rPr>
                <w:b/>
              </w:rPr>
            </w:pPr>
            <w:r w:rsidRPr="003834C8">
              <w:rPr>
                <w:b/>
              </w:rPr>
              <w:t>Elsődleges végpont</w:t>
            </w:r>
          </w:p>
        </w:tc>
        <w:tc>
          <w:tcPr>
            <w:tcW w:w="2837" w:type="dxa"/>
            <w:shd w:val="clear" w:color="auto" w:fill="D9D9D9"/>
          </w:tcPr>
          <w:p w14:paraId="725F0D99" w14:textId="463DC248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60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 xml:space="preserve"> edoxabán</w:t>
            </w:r>
          </w:p>
          <w:p w14:paraId="725F0D9A" w14:textId="72DD83DB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(30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 xml:space="preserve">-os csökkentett </w:t>
            </w:r>
            <w:r w:rsidR="00EF3356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D9B" w14:textId="684B485C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(N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118)</w:t>
            </w:r>
          </w:p>
        </w:tc>
        <w:tc>
          <w:tcPr>
            <w:tcW w:w="1483" w:type="dxa"/>
            <w:shd w:val="clear" w:color="auto" w:fill="D9D9D9"/>
          </w:tcPr>
          <w:p w14:paraId="725F0D9D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D9E" w14:textId="18648D91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(N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6C2806" w:rsidRPr="003834C8">
              <w:rPr>
                <w:b/>
              </w:rPr>
              <w:t> </w:t>
            </w:r>
            <w:r w:rsidRPr="003834C8">
              <w:rPr>
                <w:b/>
              </w:rPr>
              <w:t>122)</w:t>
            </w:r>
          </w:p>
        </w:tc>
        <w:tc>
          <w:tcPr>
            <w:tcW w:w="2093" w:type="dxa"/>
            <w:shd w:val="clear" w:color="auto" w:fill="D9D9D9"/>
          </w:tcPr>
          <w:p w14:paraId="725F0D9F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Edoxabán vs warfarin</w:t>
            </w:r>
          </w:p>
          <w:p w14:paraId="725F0DA0" w14:textId="6469FCA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HR (95%</w:t>
            </w:r>
            <w:r w:rsidR="004A0620" w:rsidRPr="003834C8">
              <w:rPr>
                <w:b/>
              </w:rPr>
              <w:t>-os</w:t>
            </w:r>
            <w:r w:rsidRPr="003834C8">
              <w:rPr>
                <w:b/>
              </w:rPr>
              <w:t xml:space="preserve"> CI)</w:t>
            </w:r>
            <w:r w:rsidRPr="003834C8">
              <w:rPr>
                <w:b/>
                <w:vertAlign w:val="superscript"/>
              </w:rPr>
              <w:t>b</w:t>
            </w:r>
          </w:p>
          <w:p w14:paraId="725F0DA1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  <w:rPr>
                <w:b/>
              </w:rPr>
            </w:pPr>
            <w:r w:rsidRPr="003834C8">
              <w:rPr>
                <w:b/>
              </w:rPr>
              <w:t>p-érték</w:t>
            </w:r>
          </w:p>
        </w:tc>
      </w:tr>
      <w:tr w:rsidR="00DD077B" w:rsidRPr="003834C8" w14:paraId="725F0DAA" w14:textId="77777777" w:rsidTr="003743A2">
        <w:trPr>
          <w:trHeight w:val="798"/>
        </w:trPr>
        <w:tc>
          <w:tcPr>
            <w:tcW w:w="2911" w:type="dxa"/>
          </w:tcPr>
          <w:p w14:paraId="725F0DA5" w14:textId="27E62100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Összes vizsgálati alany</w:t>
            </w:r>
            <w:r w:rsidR="00EC6960" w:rsidRPr="003834C8">
              <w:t xml:space="preserve"> </w:t>
            </w:r>
            <w:r w:rsidRPr="003834C8">
              <w:t>ismétlődő, tünetekkel járó</w:t>
            </w:r>
            <w:r w:rsidR="00EC6960" w:rsidRPr="003834C8">
              <w:t xml:space="preserve"> </w:t>
            </w:r>
            <w:r w:rsidRPr="003834C8">
              <w:t>VTE-vel,</w:t>
            </w:r>
            <w:r w:rsidRPr="003834C8">
              <w:rPr>
                <w:b/>
                <w:vertAlign w:val="superscript"/>
              </w:rPr>
              <w:t>c</w:t>
            </w:r>
            <w:r w:rsidR="002402B8" w:rsidRPr="003834C8">
              <w:t xml:space="preserve"> n</w:t>
            </w:r>
            <w:r w:rsidRPr="003834C8">
              <w:t xml:space="preserve"> (%)</w:t>
            </w:r>
          </w:p>
        </w:tc>
        <w:tc>
          <w:tcPr>
            <w:tcW w:w="2837" w:type="dxa"/>
          </w:tcPr>
          <w:p w14:paraId="725F0DA6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130 (3,2)</w:t>
            </w:r>
          </w:p>
        </w:tc>
        <w:tc>
          <w:tcPr>
            <w:tcW w:w="1483" w:type="dxa"/>
          </w:tcPr>
          <w:p w14:paraId="725F0DA7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146 (3,5)</w:t>
            </w:r>
          </w:p>
        </w:tc>
        <w:tc>
          <w:tcPr>
            <w:tcW w:w="2093" w:type="dxa"/>
          </w:tcPr>
          <w:p w14:paraId="725F0DA8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0,89 (0,70; 1,13)</w:t>
            </w:r>
          </w:p>
          <w:p w14:paraId="725F0DA9" w14:textId="38BBBD38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p-érték &lt;</w:t>
            </w:r>
            <w:r w:rsidR="00EC6960" w:rsidRPr="003834C8">
              <w:t> </w:t>
            </w:r>
            <w:r w:rsidRPr="003834C8">
              <w:t>0,0001 (non-inferioritási)</w:t>
            </w:r>
          </w:p>
        </w:tc>
      </w:tr>
      <w:tr w:rsidR="00DD077B" w:rsidRPr="003834C8" w14:paraId="725F0DAF" w14:textId="77777777" w:rsidTr="003743A2">
        <w:trPr>
          <w:trHeight w:val="292"/>
        </w:trPr>
        <w:tc>
          <w:tcPr>
            <w:tcW w:w="2911" w:type="dxa"/>
          </w:tcPr>
          <w:p w14:paraId="725F0DA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PE DVT-vel vagy anélkül</w:t>
            </w:r>
          </w:p>
        </w:tc>
        <w:tc>
          <w:tcPr>
            <w:tcW w:w="2837" w:type="dxa"/>
          </w:tcPr>
          <w:p w14:paraId="725F0DAC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73 (1,8)</w:t>
            </w:r>
          </w:p>
        </w:tc>
        <w:tc>
          <w:tcPr>
            <w:tcW w:w="1483" w:type="dxa"/>
          </w:tcPr>
          <w:p w14:paraId="725F0DAD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83 (2,0)</w:t>
            </w:r>
          </w:p>
        </w:tc>
        <w:tc>
          <w:tcPr>
            <w:tcW w:w="2093" w:type="dxa"/>
          </w:tcPr>
          <w:p w14:paraId="725F0DAE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  <w:tr w:rsidR="00DD077B" w:rsidRPr="003834C8" w14:paraId="725F0DB4" w14:textId="77777777" w:rsidTr="003743A2">
        <w:trPr>
          <w:trHeight w:val="546"/>
        </w:trPr>
        <w:tc>
          <w:tcPr>
            <w:tcW w:w="2911" w:type="dxa"/>
          </w:tcPr>
          <w:p w14:paraId="725F0DB0" w14:textId="50D067EF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Halálos PE vagy halálese</w:t>
            </w:r>
            <w:r w:rsidR="00EC6960" w:rsidRPr="003834C8">
              <w:t>t a</w:t>
            </w:r>
            <w:r w:rsidRPr="003834C8">
              <w:t>hol a PE nem zárható ki</w:t>
            </w:r>
          </w:p>
        </w:tc>
        <w:tc>
          <w:tcPr>
            <w:tcW w:w="2837" w:type="dxa"/>
          </w:tcPr>
          <w:p w14:paraId="725F0DB1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24 (0,6)</w:t>
            </w:r>
          </w:p>
        </w:tc>
        <w:tc>
          <w:tcPr>
            <w:tcW w:w="1483" w:type="dxa"/>
          </w:tcPr>
          <w:p w14:paraId="725F0DB2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24 (0,6)</w:t>
            </w:r>
          </w:p>
        </w:tc>
        <w:tc>
          <w:tcPr>
            <w:tcW w:w="2093" w:type="dxa"/>
          </w:tcPr>
          <w:p w14:paraId="725F0DB3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  <w:tr w:rsidR="00DD077B" w:rsidRPr="003834C8" w14:paraId="725F0DB9" w14:textId="77777777" w:rsidTr="003743A2">
        <w:trPr>
          <w:trHeight w:val="292"/>
        </w:trPr>
        <w:tc>
          <w:tcPr>
            <w:tcW w:w="2911" w:type="dxa"/>
          </w:tcPr>
          <w:p w14:paraId="725F0DB5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Nem halálos PE</w:t>
            </w:r>
          </w:p>
        </w:tc>
        <w:tc>
          <w:tcPr>
            <w:tcW w:w="2837" w:type="dxa"/>
          </w:tcPr>
          <w:p w14:paraId="725F0DB6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49 (1,2)</w:t>
            </w:r>
          </w:p>
        </w:tc>
        <w:tc>
          <w:tcPr>
            <w:tcW w:w="1483" w:type="dxa"/>
          </w:tcPr>
          <w:p w14:paraId="725F0DB7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59 (1,4)</w:t>
            </w:r>
          </w:p>
        </w:tc>
        <w:tc>
          <w:tcPr>
            <w:tcW w:w="2093" w:type="dxa"/>
          </w:tcPr>
          <w:p w14:paraId="725F0DB8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  <w:tr w:rsidR="00DD077B" w:rsidRPr="003834C8" w14:paraId="725F0DBE" w14:textId="77777777" w:rsidTr="003743A2">
        <w:trPr>
          <w:trHeight w:val="294"/>
        </w:trPr>
        <w:tc>
          <w:tcPr>
            <w:tcW w:w="2911" w:type="dxa"/>
          </w:tcPr>
          <w:p w14:paraId="725F0DBA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0"/>
            </w:pPr>
            <w:r w:rsidRPr="003834C8">
              <w:t>Csak DVT</w:t>
            </w:r>
          </w:p>
        </w:tc>
        <w:tc>
          <w:tcPr>
            <w:tcW w:w="2837" w:type="dxa"/>
          </w:tcPr>
          <w:p w14:paraId="725F0DBB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57 (1,4)</w:t>
            </w:r>
          </w:p>
        </w:tc>
        <w:tc>
          <w:tcPr>
            <w:tcW w:w="1483" w:type="dxa"/>
          </w:tcPr>
          <w:p w14:paraId="725F0DBC" w14:textId="77777777" w:rsidR="00DD077B" w:rsidRPr="003834C8" w:rsidRDefault="0043432F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  <w:r w:rsidRPr="003834C8">
              <w:t>63 (1,5)</w:t>
            </w:r>
          </w:p>
        </w:tc>
        <w:tc>
          <w:tcPr>
            <w:tcW w:w="2093" w:type="dxa"/>
          </w:tcPr>
          <w:p w14:paraId="725F0DBD" w14:textId="77777777" w:rsidR="00DD077B" w:rsidRPr="003834C8" w:rsidRDefault="00DD077B" w:rsidP="003834C8">
            <w:pPr>
              <w:pStyle w:val="TableParagraph"/>
              <w:keepNext/>
              <w:tabs>
                <w:tab w:val="left" w:pos="72"/>
              </w:tabs>
              <w:ind w:left="72" w:right="65"/>
            </w:pPr>
          </w:p>
        </w:tc>
      </w:tr>
    </w:tbl>
    <w:p w14:paraId="725F0DBF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Rövidítések: CI = konfidencia intervallum; DVT = mélyvénás thrombosis (deep venous thrombosis); mITT = kezelésbe bevont, módosított (modified intent-to-treat); HR = relatív hazárd (hazard ratio); N = vizsgálati alanyok száma az mITT populációban; PE = pulmonalis embolia; VTE = vénás thromboemboliás események.</w:t>
      </w:r>
    </w:p>
    <w:p w14:paraId="725F0DC1" w14:textId="4E1F492B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ab/>
        <w:t>Az elsődleges hatásossági végpont a megállapított, tünetekkel járó, visszatérő VTE (vagyis a</w:t>
      </w:r>
      <w:r w:rsidR="002A13FC" w:rsidRPr="003834C8">
        <w:rPr>
          <w:szCs w:val="20"/>
        </w:rPr>
        <w:t xml:space="preserve"> </w:t>
      </w:r>
      <w:r w:rsidRPr="003834C8">
        <w:rPr>
          <w:szCs w:val="20"/>
        </w:rPr>
        <w:t>DVT-ból, nem halálos kimenetelű PE-ból és halálos kimenetelű PE-ból álló összetett végpont).</w:t>
      </w:r>
    </w:p>
    <w:p w14:paraId="725F0DC2" w14:textId="0687A6B8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ab/>
        <w:t>A HR, kétoldalas CI Cox-féle arányos regressziós hazárd modellen alapul, amely kovariánsként magába foglalja a kezelést, valamint a következő randomizációs rétegzési tényezőket: fennálló diagnózis (PE DVT-</w:t>
      </w:r>
      <w:r w:rsidR="00FD680B">
        <w:rPr>
          <w:szCs w:val="20"/>
        </w:rPr>
        <w:t>vel</w:t>
      </w:r>
      <w:r w:rsidRPr="003834C8">
        <w:rPr>
          <w:szCs w:val="20"/>
        </w:rPr>
        <w:t xml:space="preserve"> vagy a</w:t>
      </w:r>
      <w:r w:rsidR="00FD680B">
        <w:rPr>
          <w:szCs w:val="20"/>
        </w:rPr>
        <w:t xml:space="preserve"> </w:t>
      </w:r>
      <w:r w:rsidRPr="003834C8">
        <w:rPr>
          <w:szCs w:val="20"/>
        </w:rPr>
        <w:t xml:space="preserve">nélkül, csak DVT), kiindulási kockázati tényezők (átmeneti tényezők, </w:t>
      </w:r>
      <w:r w:rsidRPr="003834C8">
        <w:rPr>
          <w:szCs w:val="20"/>
        </w:rPr>
        <w:lastRenderedPageBreak/>
        <w:t>összes egyéb) és 30</w:t>
      </w:r>
      <w:r w:rsidR="0050166E">
        <w:rPr>
          <w:szCs w:val="20"/>
        </w:rPr>
        <w:t> mg</w:t>
      </w:r>
      <w:r w:rsidRPr="003834C8">
        <w:rPr>
          <w:szCs w:val="20"/>
        </w:rPr>
        <w:t>-os edoxabán/edoxabán placebo dózis alkalmazásának szükségessége a randomizáláskor (igen/nem).</w:t>
      </w:r>
    </w:p>
    <w:p w14:paraId="725F0DC3" w14:textId="77777777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c</w:t>
      </w:r>
      <w:r w:rsidRPr="003834C8">
        <w:rPr>
          <w:szCs w:val="20"/>
        </w:rPr>
        <w:tab/>
        <w:t>Az előre meghatározott 1,5-es non-inferioritási küszöbre vonatkozó p-érték.</w:t>
      </w:r>
    </w:p>
    <w:p w14:paraId="725F0DC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5" w14:textId="1D139BD1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Azoknál a vizsgálati alanyoknál, akiknél a </w:t>
      </w:r>
      <w:r w:rsidR="00EF3356" w:rsidRPr="003834C8">
        <w:t xml:space="preserve">dózist </w:t>
      </w:r>
      <w:r w:rsidRPr="003834C8">
        <w:t>30</w:t>
      </w:r>
      <w:r w:rsidR="0050166E">
        <w:t> mg</w:t>
      </w:r>
      <w:r w:rsidRPr="003834C8">
        <w:t xml:space="preserve">-ra csökkentették (jellemzően alacsony testtömeg vagy </w:t>
      </w:r>
      <w:r w:rsidR="0056412E">
        <w:t>vesekárosodás</w:t>
      </w:r>
      <w:r w:rsidR="0056412E" w:rsidRPr="003834C8">
        <w:t xml:space="preserve"> </w:t>
      </w:r>
      <w:r w:rsidRPr="003834C8">
        <w:t>miatt), 15 edoxabánt szedő (2,1%) és 22 warfarint szedő (3,1%) vizsgálati alanynál fordult elő ismétlődő VTE [HR (95%</w:t>
      </w:r>
      <w:r w:rsidR="00EA5EC8" w:rsidRPr="003834C8">
        <w:t>-os</w:t>
      </w:r>
      <w:r w:rsidRPr="003834C8">
        <w:t xml:space="preserve"> CI): 0,69 (0,36; 1,34)].</w:t>
      </w:r>
    </w:p>
    <w:p w14:paraId="725F0D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9" w14:textId="1355129D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ismétlődő VTE és az összmortalitás másodlagos összetett végpont az edoxabán-csoportban</w:t>
      </w:r>
      <w:r w:rsidR="003824DD" w:rsidRPr="003834C8">
        <w:t xml:space="preserve"> </w:t>
      </w:r>
      <w:r w:rsidRPr="003834C8">
        <w:t>138 vizsgálati alanynál (3,4%), a warfarin-csoportban 158 vizsgálati alanynál (3,9%) fordult elő [HR</w:t>
      </w:r>
      <w:r w:rsidR="003824DD" w:rsidRPr="003834C8">
        <w:t xml:space="preserve"> </w:t>
      </w:r>
      <w:r w:rsidRPr="003834C8">
        <w:t>(95%</w:t>
      </w:r>
      <w:r w:rsidR="00EA5EC8" w:rsidRPr="003834C8">
        <w:t>-os</w:t>
      </w:r>
      <w:r w:rsidRPr="003834C8">
        <w:t xml:space="preserve"> CI): 0,87 (0,70; 1,10)].</w:t>
      </w:r>
    </w:p>
    <w:p w14:paraId="725F0DC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B" w14:textId="6F1833C8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Hokusai-VTE vizsgálatban az összmortalitás (megállapított halálesetek) 136 volt (3,3%) a 60</w:t>
      </w:r>
      <w:r w:rsidR="0050166E">
        <w:t> mg</w:t>
      </w:r>
      <w:r w:rsidRPr="003834C8">
        <w:t xml:space="preserve"> edoxabánt (30</w:t>
      </w:r>
      <w:r w:rsidR="0050166E">
        <w:t> mg</w:t>
      </w:r>
      <w:r w:rsidRPr="003834C8">
        <w:t xml:space="preserve">-os csökkentett </w:t>
      </w:r>
      <w:r w:rsidR="00EF3356" w:rsidRPr="003834C8">
        <w:t>dózist</w:t>
      </w:r>
      <w:r w:rsidRPr="003834C8">
        <w:t>) szedő vizsgálati alanyok esetében, míg a warfarin esetében 130 (3,2%) volt.</w:t>
      </w:r>
    </w:p>
    <w:p w14:paraId="725F0DC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CE" w14:textId="2DDFB9B9" w:rsidR="00DD077B" w:rsidRPr="003834C8" w:rsidRDefault="0043432F" w:rsidP="003834C8">
      <w:pPr>
        <w:pStyle w:val="Szvegtrzs"/>
        <w:tabs>
          <w:tab w:val="left" w:pos="0"/>
        </w:tabs>
      </w:pPr>
      <w:r w:rsidRPr="003834C8">
        <w:t>PE-ban szenvedő vizsgálati alanyok egy előre meghatározott alcsoport analízisében 447 (30,6%) edoxabánnal, illetve 483 (32,2%) warfarinnal kezelt vizsgálati alanynál igazolták PE és N-terminális pro-B-típusú natriuretikus peptid (NT-proBNP) ≥</w:t>
      </w:r>
      <w:r w:rsidR="002A13FC" w:rsidRPr="003834C8">
        <w:t> </w:t>
      </w:r>
      <w:r w:rsidRPr="003834C8">
        <w:t>500</w:t>
      </w:r>
      <w:r w:rsidR="002A13FC" w:rsidRPr="003834C8">
        <w:t> </w:t>
      </w:r>
      <w:r w:rsidRPr="003834C8">
        <w:t>pg/ml előfordulását. Az elsődleges hatásossági végpont 14, edoxabánnal (3,1%), illetve 30, warfarinnal kezelt vizsgálati alanynál (6,2%) fordult elő</w:t>
      </w:r>
      <w:r w:rsidR="003824DD" w:rsidRPr="003834C8">
        <w:t xml:space="preserve"> </w:t>
      </w:r>
      <w:r w:rsidRPr="003834C8">
        <w:t>[HR (95%</w:t>
      </w:r>
      <w:r w:rsidR="00EA5EC8" w:rsidRPr="003834C8">
        <w:t>-os</w:t>
      </w:r>
      <w:r w:rsidRPr="003834C8">
        <w:t xml:space="preserve"> CI): 0,50 (0,26; 0,94)].</w:t>
      </w:r>
    </w:p>
    <w:p w14:paraId="725F0DC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0" w14:textId="1C0D980E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előre meghatározott fő alcsoportok (szükség szerinti </w:t>
      </w:r>
      <w:r w:rsidR="00EF3356" w:rsidRPr="003834C8">
        <w:t>dóziscsökkentéssel</w:t>
      </w:r>
      <w:r w:rsidRPr="003834C8">
        <w:t>) biztonságossági eredményei – beleértve az életkort, testtömeget, nemet és vesefunkciót – összhangban voltak a vizsgálat során tanulmányozott összpopuláció elsődleges biztonságossági eredményeivel.</w:t>
      </w:r>
    </w:p>
    <w:p w14:paraId="725F0DD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2" w14:textId="7563E852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biztonságossági végpont a klinikailag releváns vérzés (</w:t>
      </w:r>
      <w:r w:rsidR="00FC752E">
        <w:t>súlyos</w:t>
      </w:r>
      <w:r w:rsidRPr="003834C8">
        <w:t xml:space="preserve"> vagy klinikailag releváns, nem </w:t>
      </w:r>
      <w:r w:rsidR="00FC752E">
        <w:t>súlyos</w:t>
      </w:r>
      <w:r w:rsidRPr="003834C8">
        <w:t>) volt.</w:t>
      </w:r>
    </w:p>
    <w:p w14:paraId="725F0D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11. táblázat összefoglalja a kezelési szakaszban végzett biztonságossági analízis során megállapított vérzéses eseményeket.</w:t>
      </w:r>
    </w:p>
    <w:p w14:paraId="725F0DD8" w14:textId="3811848B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klinikailag releváns vérzés (</w:t>
      </w:r>
      <w:r w:rsidR="00FA70D2">
        <w:t>súlyos</w:t>
      </w:r>
      <w:r w:rsidRPr="003834C8">
        <w:t xml:space="preserve"> vagy klinikailag releváns, nem </w:t>
      </w:r>
      <w:r w:rsidR="00FA70D2">
        <w:t>súlyos</w:t>
      </w:r>
      <w:r w:rsidRPr="003834C8">
        <w:t xml:space="preserve"> (CRNM) vérzések alkotta</w:t>
      </w:r>
      <w:r w:rsidR="003824DD" w:rsidRPr="003834C8">
        <w:t xml:space="preserve"> </w:t>
      </w:r>
      <w:r w:rsidRPr="003834C8">
        <w:t>összetett végpont) elsődleges biztonságossági végpont tekintetében az edoxabán-csoportban jelentősen</w:t>
      </w:r>
      <w:r w:rsidR="00490300" w:rsidRPr="003834C8">
        <w:t xml:space="preserve"> </w:t>
      </w:r>
      <w:r w:rsidRPr="003834C8">
        <w:t>csökkent a kockázat a warfarinhoz viszonyítva, mivel az edoxabán-csoportban 4</w:t>
      </w:r>
      <w:r w:rsidR="00B97F63" w:rsidRPr="003834C8">
        <w:t> </w:t>
      </w:r>
      <w:r w:rsidRPr="003834C8">
        <w:t>118 vizsgálati alany közül 349-nél (8,5%), a warfarin-csoportban 4</w:t>
      </w:r>
      <w:r w:rsidR="00B97F63" w:rsidRPr="003834C8">
        <w:t> </w:t>
      </w:r>
      <w:r w:rsidRPr="003834C8">
        <w:t>122 vizsgálati alany közül 423-nál (10,3%) fordult elő [HR (95% CI): 0,81 (0,71; 0,94); szuperioritási p</w:t>
      </w:r>
      <w:r w:rsidR="002A13FC" w:rsidRPr="003834C8">
        <w:t> </w:t>
      </w:r>
      <w:r w:rsidRPr="003834C8">
        <w:t>=</w:t>
      </w:r>
      <w:r w:rsidR="002A13FC" w:rsidRPr="003834C8">
        <w:t> </w:t>
      </w:r>
      <w:r w:rsidRPr="003834C8">
        <w:t>0,004].</w:t>
      </w:r>
    </w:p>
    <w:p w14:paraId="725F0DD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DDA" w14:textId="3BD55EAE" w:rsidR="00DD077B" w:rsidRPr="003834C8" w:rsidRDefault="0076694B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</w:pPr>
      <w:r w:rsidRPr="003834C8">
        <w:lastRenderedPageBreak/>
        <w:t xml:space="preserve">11. </w:t>
      </w:r>
      <w:r w:rsidR="0043432F" w:rsidRPr="003834C8">
        <w:t>táblázat: Vérzéses események a Hokusai-VTE vizsgálatban – kezelés alatti időszak</w:t>
      </w:r>
    </w:p>
    <w:p w14:paraId="725F0DDB" w14:textId="77777777" w:rsidR="00DD077B" w:rsidRPr="003834C8" w:rsidRDefault="0043432F" w:rsidP="003834C8">
      <w:pPr>
        <w:keepNext/>
        <w:tabs>
          <w:tab w:val="left" w:pos="0"/>
        </w:tabs>
        <w:rPr>
          <w:b/>
        </w:rPr>
      </w:pPr>
      <w:r w:rsidRPr="003834C8">
        <w:rPr>
          <w:b/>
        </w:rPr>
        <w:t>biztonságossági analízise</w:t>
      </w:r>
      <w:r w:rsidRPr="003834C8">
        <w:rPr>
          <w:b/>
          <w:vertAlign w:val="superscript"/>
        </w:rPr>
        <w:t>a</w:t>
      </w:r>
    </w:p>
    <w:tbl>
      <w:tblPr>
        <w:tblStyle w:val="TableNormal"/>
        <w:tblW w:w="930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45"/>
        <w:gridCol w:w="3665"/>
        <w:gridCol w:w="2290"/>
      </w:tblGrid>
      <w:tr w:rsidR="00DD077B" w:rsidRPr="003834C8" w14:paraId="725F0DE2" w14:textId="77777777" w:rsidTr="009B550C">
        <w:trPr>
          <w:trHeight w:val="817"/>
          <w:tblHeader/>
        </w:trPr>
        <w:tc>
          <w:tcPr>
            <w:tcW w:w="3345" w:type="dxa"/>
            <w:shd w:val="clear" w:color="auto" w:fill="D9D9D9"/>
          </w:tcPr>
          <w:p w14:paraId="725F0DDC" w14:textId="77777777" w:rsidR="00DD077B" w:rsidRPr="003834C8" w:rsidRDefault="00DD077B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</w:p>
        </w:tc>
        <w:tc>
          <w:tcPr>
            <w:tcW w:w="3665" w:type="dxa"/>
            <w:shd w:val="clear" w:color="auto" w:fill="D9D9D9"/>
          </w:tcPr>
          <w:p w14:paraId="725F0DDD" w14:textId="7E861525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60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 xml:space="preserve"> edoxabán</w:t>
            </w:r>
          </w:p>
          <w:p w14:paraId="725F0DDE" w14:textId="333711A6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(30</w:t>
            </w:r>
            <w:r w:rsidR="0050166E">
              <w:rPr>
                <w:b/>
              </w:rPr>
              <w:t> mg</w:t>
            </w:r>
            <w:r w:rsidRPr="003834C8">
              <w:rPr>
                <w:b/>
              </w:rPr>
              <w:t xml:space="preserve">-os csökkentett </w:t>
            </w:r>
            <w:r w:rsidR="00EF3356" w:rsidRPr="003834C8">
              <w:rPr>
                <w:b/>
              </w:rPr>
              <w:t>dózis</w:t>
            </w:r>
            <w:r w:rsidRPr="003834C8">
              <w:rPr>
                <w:b/>
              </w:rPr>
              <w:t>)</w:t>
            </w:r>
          </w:p>
          <w:p w14:paraId="725F0DDF" w14:textId="2AD9844E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118)</w:t>
            </w:r>
          </w:p>
        </w:tc>
        <w:tc>
          <w:tcPr>
            <w:tcW w:w="2290" w:type="dxa"/>
            <w:shd w:val="clear" w:color="auto" w:fill="D9D9D9"/>
          </w:tcPr>
          <w:p w14:paraId="725F0DE0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Warfarin</w:t>
            </w:r>
          </w:p>
          <w:p w14:paraId="725F0DE1" w14:textId="4A77C6E8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(N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=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4</w:t>
            </w:r>
            <w:r w:rsidR="002402B8" w:rsidRPr="003834C8">
              <w:rPr>
                <w:b/>
              </w:rPr>
              <w:t> </w:t>
            </w:r>
            <w:r w:rsidRPr="003834C8">
              <w:rPr>
                <w:b/>
              </w:rPr>
              <w:t>122)</w:t>
            </w:r>
          </w:p>
        </w:tc>
      </w:tr>
      <w:tr w:rsidR="00DD077B" w:rsidRPr="003834C8" w14:paraId="725F0DE7" w14:textId="77777777" w:rsidTr="0076694B">
        <w:trPr>
          <w:trHeight w:val="546"/>
        </w:trPr>
        <w:tc>
          <w:tcPr>
            <w:tcW w:w="3345" w:type="dxa"/>
            <w:shd w:val="clear" w:color="auto" w:fill="D9D9D9"/>
          </w:tcPr>
          <w:p w14:paraId="725F0DE3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  <w:rPr>
                <w:b/>
              </w:rPr>
            </w:pPr>
            <w:r w:rsidRPr="003834C8">
              <w:rPr>
                <w:b/>
              </w:rPr>
              <w:t>Klinikailag releváns vérzés</w:t>
            </w:r>
          </w:p>
          <w:p w14:paraId="725F0DE4" w14:textId="13169F91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(</w:t>
            </w:r>
            <w:r w:rsidR="00FA70D2">
              <w:t>Súlyos</w:t>
            </w:r>
            <w:r w:rsidRPr="003834C8">
              <w:t xml:space="preserve"> és CRNM),</w:t>
            </w:r>
            <w:r w:rsidRPr="003834C8">
              <w:rPr>
                <w:b/>
                <w:vertAlign w:val="superscript"/>
              </w:rPr>
              <w:t>b</w:t>
            </w:r>
            <w:r w:rsidRPr="003834C8">
              <w:t xml:space="preserve"> </w:t>
            </w:r>
            <w:r w:rsidR="00A26AC0" w:rsidRPr="003834C8">
              <w:t xml:space="preserve">n </w:t>
            </w:r>
            <w:r w:rsidRPr="003834C8">
              <w:t>(%)</w:t>
            </w:r>
          </w:p>
        </w:tc>
        <w:tc>
          <w:tcPr>
            <w:tcW w:w="3665" w:type="dxa"/>
            <w:shd w:val="clear" w:color="auto" w:fill="D9D9D9"/>
          </w:tcPr>
          <w:p w14:paraId="725F0DE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DE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EB" w14:textId="77777777" w:rsidTr="0076694B">
        <w:trPr>
          <w:trHeight w:val="292"/>
        </w:trPr>
        <w:tc>
          <w:tcPr>
            <w:tcW w:w="3345" w:type="dxa"/>
          </w:tcPr>
          <w:p w14:paraId="725F0DE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DE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349 (8,5)</w:t>
            </w:r>
          </w:p>
        </w:tc>
        <w:tc>
          <w:tcPr>
            <w:tcW w:w="2290" w:type="dxa"/>
          </w:tcPr>
          <w:p w14:paraId="725F0DE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423 (10,3)</w:t>
            </w:r>
          </w:p>
        </w:tc>
      </w:tr>
      <w:tr w:rsidR="00DD077B" w:rsidRPr="003834C8" w14:paraId="725F0DEF" w14:textId="77777777" w:rsidTr="0076694B">
        <w:trPr>
          <w:trHeight w:val="294"/>
        </w:trPr>
        <w:tc>
          <w:tcPr>
            <w:tcW w:w="3345" w:type="dxa"/>
          </w:tcPr>
          <w:p w14:paraId="725F0DEC" w14:textId="5781A452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DE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0,81 (0,71; 0,94)</w:t>
            </w:r>
          </w:p>
        </w:tc>
        <w:tc>
          <w:tcPr>
            <w:tcW w:w="2290" w:type="dxa"/>
          </w:tcPr>
          <w:p w14:paraId="725F0DE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F3" w14:textId="77777777" w:rsidTr="0076694B">
        <w:trPr>
          <w:trHeight w:val="292"/>
        </w:trPr>
        <w:tc>
          <w:tcPr>
            <w:tcW w:w="3345" w:type="dxa"/>
          </w:tcPr>
          <w:p w14:paraId="725F0DF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p-érték</w:t>
            </w:r>
          </w:p>
        </w:tc>
        <w:tc>
          <w:tcPr>
            <w:tcW w:w="3665" w:type="dxa"/>
          </w:tcPr>
          <w:p w14:paraId="725F0DF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0,004 (szuperioritási próba)</w:t>
            </w:r>
          </w:p>
        </w:tc>
        <w:tc>
          <w:tcPr>
            <w:tcW w:w="2290" w:type="dxa"/>
          </w:tcPr>
          <w:p w14:paraId="725F0DF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F7" w14:textId="77777777" w:rsidTr="0076694B">
        <w:trPr>
          <w:trHeight w:val="292"/>
        </w:trPr>
        <w:tc>
          <w:tcPr>
            <w:tcW w:w="3345" w:type="dxa"/>
            <w:shd w:val="clear" w:color="auto" w:fill="D9D9D9"/>
          </w:tcPr>
          <w:p w14:paraId="725F0DF4" w14:textId="65F433B2" w:rsidR="00DD077B" w:rsidRPr="003834C8" w:rsidRDefault="00FA70D2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>
              <w:rPr>
                <w:b/>
              </w:rPr>
              <w:t>Súlyos</w:t>
            </w:r>
            <w:r w:rsidR="0043432F" w:rsidRPr="003834C8">
              <w:rPr>
                <w:b/>
              </w:rPr>
              <w:t xml:space="preserve"> vérzés </w:t>
            </w:r>
            <w:r w:rsidR="0043432F" w:rsidRPr="003834C8">
              <w:t>n (%)</w:t>
            </w:r>
          </w:p>
        </w:tc>
        <w:tc>
          <w:tcPr>
            <w:tcW w:w="3665" w:type="dxa"/>
            <w:shd w:val="clear" w:color="auto" w:fill="D9D9D9"/>
          </w:tcPr>
          <w:p w14:paraId="725F0DF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DF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DFB" w14:textId="77777777" w:rsidTr="0076694B">
        <w:trPr>
          <w:trHeight w:val="294"/>
        </w:trPr>
        <w:tc>
          <w:tcPr>
            <w:tcW w:w="3345" w:type="dxa"/>
          </w:tcPr>
          <w:p w14:paraId="725F0DF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DF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56 (1,4)</w:t>
            </w:r>
          </w:p>
        </w:tc>
        <w:tc>
          <w:tcPr>
            <w:tcW w:w="2290" w:type="dxa"/>
          </w:tcPr>
          <w:p w14:paraId="725F0DF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66 (1,6)</w:t>
            </w:r>
          </w:p>
        </w:tc>
      </w:tr>
      <w:tr w:rsidR="00DD077B" w:rsidRPr="003834C8" w14:paraId="725F0DFF" w14:textId="77777777" w:rsidTr="0076694B">
        <w:trPr>
          <w:trHeight w:val="292"/>
        </w:trPr>
        <w:tc>
          <w:tcPr>
            <w:tcW w:w="3345" w:type="dxa"/>
          </w:tcPr>
          <w:p w14:paraId="725F0DFC" w14:textId="07313B49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DF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0,84 (0,59; 1,21)</w:t>
            </w:r>
          </w:p>
        </w:tc>
        <w:tc>
          <w:tcPr>
            <w:tcW w:w="2290" w:type="dxa"/>
          </w:tcPr>
          <w:p w14:paraId="725F0DF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03" w14:textId="77777777" w:rsidTr="0076694B">
        <w:trPr>
          <w:trHeight w:val="292"/>
        </w:trPr>
        <w:tc>
          <w:tcPr>
            <w:tcW w:w="3345" w:type="dxa"/>
          </w:tcPr>
          <w:p w14:paraId="725F0E0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Végzetes ICH</w:t>
            </w:r>
          </w:p>
        </w:tc>
        <w:tc>
          <w:tcPr>
            <w:tcW w:w="3665" w:type="dxa"/>
          </w:tcPr>
          <w:p w14:paraId="725F0E0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</w:t>
            </w:r>
          </w:p>
        </w:tc>
        <w:tc>
          <w:tcPr>
            <w:tcW w:w="2290" w:type="dxa"/>
          </w:tcPr>
          <w:p w14:paraId="725F0E02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6 (0,1)</w:t>
            </w:r>
          </w:p>
        </w:tc>
      </w:tr>
      <w:tr w:rsidR="00DD077B" w:rsidRPr="003834C8" w14:paraId="725F0E07" w14:textId="77777777" w:rsidTr="0076694B">
        <w:trPr>
          <w:trHeight w:val="294"/>
        </w:trPr>
        <w:tc>
          <w:tcPr>
            <w:tcW w:w="3345" w:type="dxa"/>
          </w:tcPr>
          <w:p w14:paraId="725F0E0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Nem végzetes ICH</w:t>
            </w:r>
          </w:p>
        </w:tc>
        <w:tc>
          <w:tcPr>
            <w:tcW w:w="3665" w:type="dxa"/>
          </w:tcPr>
          <w:p w14:paraId="725F0E05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5 (0,1)</w:t>
            </w:r>
          </w:p>
        </w:tc>
        <w:tc>
          <w:tcPr>
            <w:tcW w:w="2290" w:type="dxa"/>
          </w:tcPr>
          <w:p w14:paraId="725F0E06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12 (0,3)</w:t>
            </w:r>
          </w:p>
        </w:tc>
      </w:tr>
      <w:tr w:rsidR="00DD077B" w:rsidRPr="003834C8" w14:paraId="725F0E0B" w14:textId="77777777" w:rsidTr="0076694B">
        <w:trPr>
          <w:trHeight w:val="292"/>
        </w:trPr>
        <w:tc>
          <w:tcPr>
            <w:tcW w:w="3345" w:type="dxa"/>
            <w:shd w:val="clear" w:color="auto" w:fill="D9D9D9"/>
          </w:tcPr>
          <w:p w14:paraId="725F0E0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  <w:rPr>
                <w:b/>
              </w:rPr>
            </w:pPr>
            <w:r w:rsidRPr="003834C8">
              <w:rPr>
                <w:b/>
              </w:rPr>
              <w:t>CRNM vérzés</w:t>
            </w:r>
          </w:p>
        </w:tc>
        <w:tc>
          <w:tcPr>
            <w:tcW w:w="3665" w:type="dxa"/>
            <w:shd w:val="clear" w:color="auto" w:fill="D9D9D9"/>
          </w:tcPr>
          <w:p w14:paraId="725F0E09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E0A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0F" w14:textId="77777777" w:rsidTr="0076694B">
        <w:trPr>
          <w:trHeight w:val="292"/>
        </w:trPr>
        <w:tc>
          <w:tcPr>
            <w:tcW w:w="3345" w:type="dxa"/>
          </w:tcPr>
          <w:p w14:paraId="725F0E0C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E0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298 (7,2)</w:t>
            </w:r>
          </w:p>
        </w:tc>
        <w:tc>
          <w:tcPr>
            <w:tcW w:w="2290" w:type="dxa"/>
          </w:tcPr>
          <w:p w14:paraId="725F0E0E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368 (8,9)</w:t>
            </w:r>
          </w:p>
        </w:tc>
      </w:tr>
      <w:tr w:rsidR="00DD077B" w:rsidRPr="003834C8" w14:paraId="725F0E13" w14:textId="77777777" w:rsidTr="0076694B">
        <w:trPr>
          <w:trHeight w:val="294"/>
        </w:trPr>
        <w:tc>
          <w:tcPr>
            <w:tcW w:w="3345" w:type="dxa"/>
          </w:tcPr>
          <w:p w14:paraId="725F0E10" w14:textId="0B5E78F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E11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0,80 (0,68; 0,93)</w:t>
            </w:r>
          </w:p>
        </w:tc>
        <w:tc>
          <w:tcPr>
            <w:tcW w:w="2290" w:type="dxa"/>
          </w:tcPr>
          <w:p w14:paraId="725F0E12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17" w14:textId="77777777" w:rsidTr="0076694B">
        <w:trPr>
          <w:trHeight w:val="292"/>
        </w:trPr>
        <w:tc>
          <w:tcPr>
            <w:tcW w:w="3345" w:type="dxa"/>
            <w:shd w:val="clear" w:color="auto" w:fill="D9D9D9"/>
          </w:tcPr>
          <w:p w14:paraId="725F0E1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  <w:rPr>
                <w:b/>
              </w:rPr>
            </w:pPr>
            <w:r w:rsidRPr="003834C8">
              <w:rPr>
                <w:b/>
              </w:rPr>
              <w:t>Összes vérzés</w:t>
            </w:r>
          </w:p>
        </w:tc>
        <w:tc>
          <w:tcPr>
            <w:tcW w:w="3665" w:type="dxa"/>
            <w:shd w:val="clear" w:color="auto" w:fill="D9D9D9"/>
          </w:tcPr>
          <w:p w14:paraId="725F0E15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  <w:tc>
          <w:tcPr>
            <w:tcW w:w="2290" w:type="dxa"/>
            <w:shd w:val="clear" w:color="auto" w:fill="D9D9D9"/>
          </w:tcPr>
          <w:p w14:paraId="725F0E16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  <w:tr w:rsidR="00DD077B" w:rsidRPr="003834C8" w14:paraId="725F0E1B" w14:textId="77777777" w:rsidTr="0076694B">
        <w:trPr>
          <w:trHeight w:val="292"/>
        </w:trPr>
        <w:tc>
          <w:tcPr>
            <w:tcW w:w="3345" w:type="dxa"/>
          </w:tcPr>
          <w:p w14:paraId="725F0E1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n</w:t>
            </w:r>
          </w:p>
        </w:tc>
        <w:tc>
          <w:tcPr>
            <w:tcW w:w="3665" w:type="dxa"/>
          </w:tcPr>
          <w:p w14:paraId="725F0E19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895 (21,7)</w:t>
            </w:r>
          </w:p>
        </w:tc>
        <w:tc>
          <w:tcPr>
            <w:tcW w:w="2290" w:type="dxa"/>
          </w:tcPr>
          <w:p w14:paraId="725F0E1A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1056 (25,6)</w:t>
            </w:r>
          </w:p>
        </w:tc>
      </w:tr>
      <w:tr w:rsidR="00DD077B" w:rsidRPr="003834C8" w14:paraId="725F0E1F" w14:textId="77777777" w:rsidTr="0076694B">
        <w:trPr>
          <w:trHeight w:val="294"/>
        </w:trPr>
        <w:tc>
          <w:tcPr>
            <w:tcW w:w="3345" w:type="dxa"/>
          </w:tcPr>
          <w:p w14:paraId="725F0E1C" w14:textId="57B1ADB1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82"/>
            </w:pPr>
            <w:r w:rsidRPr="003834C8">
              <w:t>HR (95%</w:t>
            </w:r>
            <w:r w:rsidR="00EA5EC8" w:rsidRPr="003834C8">
              <w:t>-os</w:t>
            </w:r>
            <w:r w:rsidRPr="003834C8">
              <w:t xml:space="preserve"> CI)</w:t>
            </w:r>
          </w:p>
        </w:tc>
        <w:tc>
          <w:tcPr>
            <w:tcW w:w="3665" w:type="dxa"/>
          </w:tcPr>
          <w:p w14:paraId="725F0E1D" w14:textId="77777777" w:rsidR="00DD077B" w:rsidRPr="003834C8" w:rsidRDefault="0043432F" w:rsidP="003834C8">
            <w:pPr>
              <w:pStyle w:val="TableParagraph"/>
              <w:keepNext/>
              <w:tabs>
                <w:tab w:val="left" w:pos="0"/>
              </w:tabs>
            </w:pPr>
            <w:r w:rsidRPr="003834C8">
              <w:t>0,82 (0,75; 0,90)</w:t>
            </w:r>
          </w:p>
        </w:tc>
        <w:tc>
          <w:tcPr>
            <w:tcW w:w="2290" w:type="dxa"/>
          </w:tcPr>
          <w:p w14:paraId="725F0E1E" w14:textId="77777777" w:rsidR="00DD077B" w:rsidRPr="003834C8" w:rsidRDefault="00DD077B" w:rsidP="003834C8">
            <w:pPr>
              <w:pStyle w:val="TableParagraph"/>
              <w:keepNext/>
              <w:tabs>
                <w:tab w:val="left" w:pos="0"/>
              </w:tabs>
            </w:pPr>
          </w:p>
        </w:tc>
      </w:tr>
    </w:tbl>
    <w:p w14:paraId="725F0E21" w14:textId="64703271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</w:rPr>
        <w:t>Rövidítések: ICH = intracranialis vérzés, HR = relatív hazárd warfarinnal szemben, CI = konfidencia intervallum, N = vizsgálati alanyok száma a biztonságossági populációban, n = események száma,</w:t>
      </w:r>
      <w:r w:rsidR="00E73AEC" w:rsidRPr="003834C8">
        <w:rPr>
          <w:szCs w:val="20"/>
        </w:rPr>
        <w:t xml:space="preserve"> </w:t>
      </w:r>
      <w:r w:rsidRPr="003834C8">
        <w:rPr>
          <w:szCs w:val="20"/>
        </w:rPr>
        <w:t xml:space="preserve">CRNM = klinikailag releváns, nem </w:t>
      </w:r>
      <w:r w:rsidR="00FA70D2">
        <w:rPr>
          <w:szCs w:val="20"/>
        </w:rPr>
        <w:t>súlyos</w:t>
      </w:r>
    </w:p>
    <w:p w14:paraId="725F0E23" w14:textId="500EBD8C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75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ab/>
        <w:t xml:space="preserve">Kezelés alatti időszak: a vizsgálati készítmény első </w:t>
      </w:r>
      <w:r w:rsidR="00EF3356" w:rsidRPr="003834C8">
        <w:rPr>
          <w:szCs w:val="20"/>
        </w:rPr>
        <w:t xml:space="preserve">dózisától </w:t>
      </w:r>
      <w:r w:rsidRPr="003834C8">
        <w:rPr>
          <w:szCs w:val="20"/>
        </w:rPr>
        <w:t xml:space="preserve">az utolsó </w:t>
      </w:r>
      <w:r w:rsidR="00EF3356" w:rsidRPr="003834C8">
        <w:rPr>
          <w:szCs w:val="20"/>
        </w:rPr>
        <w:t xml:space="preserve">dózisig </w:t>
      </w:r>
      <w:r w:rsidRPr="003834C8">
        <w:rPr>
          <w:szCs w:val="20"/>
        </w:rPr>
        <w:t>eltelt idő plusz</w:t>
      </w:r>
      <w:r w:rsidR="003824DD" w:rsidRPr="003834C8">
        <w:rPr>
          <w:szCs w:val="20"/>
        </w:rPr>
        <w:t xml:space="preserve"> </w:t>
      </w:r>
      <w:r w:rsidRPr="003834C8">
        <w:rPr>
          <w:szCs w:val="20"/>
        </w:rPr>
        <w:t>3 nap.</w:t>
      </w:r>
    </w:p>
    <w:p w14:paraId="725F0E24" w14:textId="61A05041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75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ab/>
        <w:t>Elsődleges biztonságossági végpont: klinikailag releváns vérzés (</w:t>
      </w:r>
      <w:r w:rsidR="00FA70D2">
        <w:rPr>
          <w:szCs w:val="20"/>
        </w:rPr>
        <w:t>súlyos</w:t>
      </w:r>
      <w:r w:rsidRPr="003834C8">
        <w:rPr>
          <w:szCs w:val="20"/>
        </w:rPr>
        <w:t xml:space="preserve"> és klinikailag releváns, nem </w:t>
      </w:r>
      <w:r w:rsidR="00FA70D2">
        <w:rPr>
          <w:szCs w:val="20"/>
        </w:rPr>
        <w:t>súlyos</w:t>
      </w:r>
      <w:r w:rsidRPr="003834C8">
        <w:rPr>
          <w:szCs w:val="20"/>
        </w:rPr>
        <w:t xml:space="preserve"> vérzések alkotta összetett végpont).</w:t>
      </w:r>
    </w:p>
    <w:p w14:paraId="725F0E2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26" w14:textId="5E33BB15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Alcsoport analízisekben azoknál a vizsgálati alanyoknál, akiknél a </w:t>
      </w:r>
      <w:r w:rsidR="00EF3356" w:rsidRPr="003834C8">
        <w:t xml:space="preserve">dózist </w:t>
      </w:r>
      <w:r w:rsidRPr="003834C8">
        <w:t>30</w:t>
      </w:r>
      <w:r w:rsidR="0050166E">
        <w:t> mg</w:t>
      </w:r>
      <w:r w:rsidRPr="003834C8">
        <w:t>-ra csökkentették a Hokusai-VTE vizsgálatban 60</w:t>
      </w:r>
      <w:r w:rsidR="00E73AEC" w:rsidRPr="003834C8">
        <w:t> </w:t>
      </w:r>
      <w:r w:rsidRPr="003834C8">
        <w:t xml:space="preserve">kg vagy annál alacsonyabb testtömeg, közepes </w:t>
      </w:r>
      <w:r w:rsidR="00D51385">
        <w:t>fokú</w:t>
      </w:r>
      <w:r w:rsidR="00D51385" w:rsidRPr="003834C8">
        <w:t xml:space="preserve"> </w:t>
      </w:r>
      <w:r w:rsidRPr="003834C8">
        <w:t>vesekárosodás vagy P-gp-inhibitorok egyidejű alkalmazása miatt, a 30</w:t>
      </w:r>
      <w:r w:rsidR="0050166E">
        <w:t> mg</w:t>
      </w:r>
      <w:r w:rsidRPr="003834C8">
        <w:t xml:space="preserve">-os csökkentett edoxabán </w:t>
      </w:r>
      <w:r w:rsidR="00EF3356" w:rsidRPr="003834C8">
        <w:t xml:space="preserve">dózist </w:t>
      </w:r>
      <w:r w:rsidRPr="003834C8">
        <w:t xml:space="preserve">szedő betegek közül 58-nál (7,9%), a warfarint szedők közül 92-nél (12,8%) fordult elő </w:t>
      </w:r>
      <w:r w:rsidR="00FA70D2">
        <w:t>súlyos</w:t>
      </w:r>
      <w:r w:rsidRPr="003834C8">
        <w:t xml:space="preserve"> vérzéses vagy CRNM esemény [HR (95%): 0,62 (0,44, 0,86)].</w:t>
      </w:r>
    </w:p>
    <w:p w14:paraId="725F0E2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28" w14:textId="019CFCEF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Hokusai-VTE vizsgálatban az összesített klinikai kimenetel (ismétlődő VTE, </w:t>
      </w:r>
      <w:r w:rsidR="00E35685">
        <w:t>súlyos</w:t>
      </w:r>
      <w:r w:rsidRPr="003834C8">
        <w:t xml:space="preserve"> vérzés és összmortalitás; mITT populáció, a vizsgálat teljes időtartama) HR-értéke 1,00 volt (0,85, 1,18) (95%</w:t>
      </w:r>
      <w:r w:rsidR="000C68BF" w:rsidRPr="003834C8">
        <w:t xml:space="preserve">-os </w:t>
      </w:r>
      <w:r w:rsidRPr="003834C8">
        <w:t>CI), amikor az edoxabánt warfarinnal hasonlították össze.</w:t>
      </w:r>
    </w:p>
    <w:p w14:paraId="725F0E2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2B" w14:textId="6A171D3D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A stroke és a szisztémás embolizáció prevenciója NVAF-ban szenvedő, magas CrCl-ű</w:t>
      </w:r>
      <w:r w:rsidR="00E73AEC" w:rsidRPr="003834C8">
        <w:rPr>
          <w:i/>
        </w:rPr>
        <w:t xml:space="preserve"> </w:t>
      </w:r>
      <w:r w:rsidRPr="003834C8">
        <w:rPr>
          <w:i/>
        </w:rPr>
        <w:t>(CrCl</w:t>
      </w:r>
      <w:r w:rsidR="00E73AEC" w:rsidRPr="003834C8">
        <w:rPr>
          <w:i/>
        </w:rPr>
        <w:t> </w:t>
      </w:r>
      <w:r w:rsidRPr="003834C8">
        <w:rPr>
          <w:i/>
        </w:rPr>
        <w:t>&gt;</w:t>
      </w:r>
      <w:r w:rsidR="00E73AEC" w:rsidRPr="003834C8">
        <w:rPr>
          <w:i/>
        </w:rPr>
        <w:t> </w:t>
      </w:r>
      <w:r w:rsidRPr="003834C8">
        <w:rPr>
          <w:i/>
        </w:rPr>
        <w:t>100</w:t>
      </w:r>
      <w:r w:rsidR="00E73AEC" w:rsidRPr="003834C8">
        <w:rPr>
          <w:i/>
        </w:rPr>
        <w:t> </w:t>
      </w:r>
      <w:r w:rsidRPr="003834C8">
        <w:rPr>
          <w:i/>
        </w:rPr>
        <w:t>ml/perc) betegeknél</w:t>
      </w:r>
    </w:p>
    <w:p w14:paraId="725F0E2C" w14:textId="62BF70E4" w:rsidR="00DD077B" w:rsidRPr="003834C8" w:rsidRDefault="0043432F" w:rsidP="003834C8">
      <w:pPr>
        <w:pStyle w:val="Szvegtrzs"/>
        <w:tabs>
          <w:tab w:val="left" w:pos="0"/>
        </w:tabs>
      </w:pPr>
      <w:r w:rsidRPr="003834C8">
        <w:t>Elvégeztek egy specifikus, randomizált, kettős-vak vizsgálatot (E314) 607, NVAF-ban szenvedő, magas CrCl-ű (a Cockcroft-Gault-képlet alapján mérve CrCl</w:t>
      </w:r>
      <w:r w:rsidR="00F321B4" w:rsidRPr="003834C8">
        <w:t> </w:t>
      </w:r>
      <w:r w:rsidRPr="003834C8">
        <w:t>&gt;</w:t>
      </w:r>
      <w:r w:rsidR="00F321B4" w:rsidRPr="003834C8">
        <w:t> </w:t>
      </w:r>
      <w:r w:rsidRPr="003834C8">
        <w:t>100</w:t>
      </w:r>
      <w:r w:rsidR="00F321B4" w:rsidRPr="003834C8">
        <w:t> </w:t>
      </w:r>
      <w:r w:rsidRPr="003834C8">
        <w:t>ml/perc) betegnél, melynek elsődleges célja a naponta egyszer alkalmazott 60</w:t>
      </w:r>
      <w:r w:rsidR="0050166E">
        <w:t> mg</w:t>
      </w:r>
      <w:r w:rsidRPr="003834C8">
        <w:t xml:space="preserve"> edoxabán PK/PD paramétereinek értékelése vol</w:t>
      </w:r>
      <w:r w:rsidR="00F321B4" w:rsidRPr="003834C8">
        <w:t>t 7</w:t>
      </w:r>
      <w:r w:rsidRPr="003834C8">
        <w:t>5</w:t>
      </w:r>
      <w:r w:rsidR="0050166E">
        <w:t> mg</w:t>
      </w:r>
      <w:r w:rsidRPr="003834C8">
        <w:t xml:space="preserve"> napi egyszeri alkalmazásával összevetve. Az elsődleges PK/PD végponton kívül a vizsgálatban a 12 hónapos kezelési szakasz során előfordult stroke és vérzés is klinikai végpontként szerepelt.</w:t>
      </w:r>
    </w:p>
    <w:p w14:paraId="129633D5" w14:textId="77777777" w:rsidR="00DD077B" w:rsidRPr="003834C8" w:rsidRDefault="00DD077B" w:rsidP="003834C8">
      <w:pPr>
        <w:tabs>
          <w:tab w:val="left" w:pos="0"/>
        </w:tabs>
      </w:pPr>
    </w:p>
    <w:p w14:paraId="725F0E2E" w14:textId="2216FA98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magas CrCl-ű (&gt;</w:t>
      </w:r>
      <w:r w:rsidR="00F321B4" w:rsidRPr="003834C8">
        <w:t> </w:t>
      </w:r>
      <w:r w:rsidRPr="003834C8">
        <w:t>100</w:t>
      </w:r>
      <w:r w:rsidR="00F321B4" w:rsidRPr="003834C8">
        <w:t> </w:t>
      </w:r>
      <w:r w:rsidRPr="003834C8">
        <w:t>ml/perc) alcsoportban a napi egyszeri 75</w:t>
      </w:r>
      <w:r w:rsidR="0050166E">
        <w:t> mg</w:t>
      </w:r>
      <w:r w:rsidRPr="003834C8">
        <w:t>-os edoxabán-dózis a vártnak megfelelően kb. 25%-os növekedést eredményezett az expozícióban a napi egyszeri 60</w:t>
      </w:r>
      <w:r w:rsidR="0050166E">
        <w:t> mg</w:t>
      </w:r>
      <w:r w:rsidRPr="003834C8">
        <w:t>-os edoxabán-dózishoz képest.</w:t>
      </w:r>
    </w:p>
    <w:p w14:paraId="725F0E2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0" w14:textId="4805815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igazolt esetnek minősített, a biztonságosságot jelző eseményként stroke-ból/tranziens ischaemiás attackból (TIA)/szisztémás emboliás eseményből (SEE) álló összetett végpontot tapasztaló vizsgálati </w:t>
      </w:r>
      <w:r w:rsidRPr="003834C8">
        <w:lastRenderedPageBreak/>
        <w:t>alanyok száma kevés volt; 2 stroke-os eset fordult elő a 60</w:t>
      </w:r>
      <w:r w:rsidR="0050166E">
        <w:t> mg</w:t>
      </w:r>
      <w:r w:rsidRPr="003834C8">
        <w:t>-os edoxabán-csoportban (0,7%; 95%-os CI: 0,1</w:t>
      </w:r>
      <w:r w:rsidR="00F321B4" w:rsidRPr="003834C8">
        <w:noBreakHyphen/>
      </w:r>
      <w:r w:rsidRPr="003834C8">
        <w:t>2,4%), és 3 stroke-os eset a 75</w:t>
      </w:r>
      <w:r w:rsidR="0050166E">
        <w:t> mg</w:t>
      </w:r>
      <w:r w:rsidRPr="003834C8">
        <w:t>-os edoxabán csoportban (1%; 95%-os CI: 0,2</w:t>
      </w:r>
      <w:r w:rsidR="00F321B4" w:rsidRPr="003834C8">
        <w:noBreakHyphen/>
      </w:r>
      <w:r w:rsidRPr="003834C8">
        <w:t>2,9%).</w:t>
      </w:r>
    </w:p>
    <w:p w14:paraId="725F0E3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2" w14:textId="13C8FE35" w:rsidR="00DD077B" w:rsidRPr="003834C8" w:rsidRDefault="00E35685" w:rsidP="003834C8">
      <w:pPr>
        <w:pStyle w:val="Szvegtrzs"/>
        <w:tabs>
          <w:tab w:val="left" w:pos="0"/>
        </w:tabs>
      </w:pPr>
      <w:r>
        <w:t>Súlyos</w:t>
      </w:r>
      <w:r w:rsidR="0043432F" w:rsidRPr="003834C8">
        <w:t xml:space="preserve"> vérzésnek ítélt esemény 2 (0,7%; 95%-os CI: 0,1</w:t>
      </w:r>
      <w:r w:rsidR="00F321B4" w:rsidRPr="003834C8">
        <w:noBreakHyphen/>
      </w:r>
      <w:r w:rsidR="0043432F" w:rsidRPr="003834C8">
        <w:t>2,4%) vizsgálati alanynál fordult elő a 60</w:t>
      </w:r>
      <w:r w:rsidR="0050166E">
        <w:t> mg</w:t>
      </w:r>
      <w:r w:rsidR="0043432F" w:rsidRPr="003834C8">
        <w:t xml:space="preserve"> edoxabánnal kezelt csoportban, ezzel szemben 3 (1,0%; 95%-os CI: 0,2</w:t>
      </w:r>
      <w:r w:rsidR="00F321B4" w:rsidRPr="003834C8">
        <w:noBreakHyphen/>
      </w:r>
      <w:r w:rsidR="0043432F" w:rsidRPr="003834C8">
        <w:t>2,9%) vizsgálati alanynál a 75</w:t>
      </w:r>
      <w:r w:rsidR="0050166E">
        <w:t> mg</w:t>
      </w:r>
      <w:r w:rsidR="0043432F" w:rsidRPr="003834C8">
        <w:t xml:space="preserve"> edoxabánnal kezelt csoportban. A 60</w:t>
      </w:r>
      <w:r w:rsidR="0050166E">
        <w:t> mg</w:t>
      </w:r>
      <w:r w:rsidR="0043432F" w:rsidRPr="003834C8">
        <w:t xml:space="preserve">-os edoxabán-csoportban észlelt 2 </w:t>
      </w:r>
      <w:r>
        <w:t>súlyos</w:t>
      </w:r>
      <w:r w:rsidR="0043432F" w:rsidRPr="003834C8">
        <w:t xml:space="preserve"> vérzés közül az egyik kritikus területen/szervben (intraocularisan) lépett fel, míg a másik </w:t>
      </w:r>
      <w:r>
        <w:t>súlyos</w:t>
      </w:r>
      <w:r w:rsidR="0043432F" w:rsidRPr="003834C8">
        <w:t xml:space="preserve"> vérzés intramuscularis vérzés volt. A 75</w:t>
      </w:r>
      <w:r w:rsidR="0050166E">
        <w:t> mg</w:t>
      </w:r>
      <w:r w:rsidR="0043432F" w:rsidRPr="003834C8">
        <w:t xml:space="preserve">-os edoxabán-csoportban észlelt 3 </w:t>
      </w:r>
      <w:r>
        <w:t>súlyos</w:t>
      </w:r>
      <w:r w:rsidR="0043432F" w:rsidRPr="003834C8">
        <w:t xml:space="preserve"> vérzés közül kettő kritikus területen/szervben (intracerebralisan/1 végzetes kimenetelű volt) lépett fel, egy pedig felső gastrointestinalis (GI) vérzés volt (életveszélyes). Fellépett továbbá 9 (3%) klinikailag releváns nem </w:t>
      </w:r>
      <w:r>
        <w:t>súlyos</w:t>
      </w:r>
      <w:r w:rsidR="0043432F" w:rsidRPr="003834C8">
        <w:t xml:space="preserve"> (CRNM) vérzés a 60</w:t>
      </w:r>
      <w:r w:rsidR="0050166E">
        <w:t> mg</w:t>
      </w:r>
      <w:r w:rsidR="0043432F" w:rsidRPr="003834C8">
        <w:t>-os edoxabán-csoportban és 7 (2,3%) CRNM vérzés a 75</w:t>
      </w:r>
      <w:r w:rsidR="0050166E">
        <w:t> mg</w:t>
      </w:r>
      <w:r w:rsidR="0043432F" w:rsidRPr="003834C8">
        <w:t>-os edoxabán-csoportban.</w:t>
      </w:r>
    </w:p>
    <w:p w14:paraId="725F0E3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4" w14:textId="20CCEF0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E314 klinikai vizsgálaton kívül végeztek egy prospektív, multinacionális, multicentrikus, forgalomba hozatal utáni obszervációs vizsgálatot is (ETNA-AF) 10 európai országban, amelybe 13</w:t>
      </w:r>
      <w:r w:rsidR="00F321B4" w:rsidRPr="003834C8">
        <w:t> </w:t>
      </w:r>
      <w:r w:rsidRPr="003834C8">
        <w:t>980 vizsgálati alanyt vontak be. Ebben a populációban 1826 vizsgálati alanynál volt 100</w:t>
      </w:r>
      <w:r w:rsidR="00F321B4" w:rsidRPr="003834C8">
        <w:t> </w:t>
      </w:r>
      <w:r w:rsidRPr="003834C8">
        <w:t>ml/perc feletti a CrCl, és a betegek 60</w:t>
      </w:r>
      <w:r w:rsidR="0050166E">
        <w:t> mg</w:t>
      </w:r>
      <w:r w:rsidRPr="003834C8">
        <w:t xml:space="preserve"> edoxabánt kaptak az alkalmazási előírásban szereplő adagolási kritériumoknak megfelelően. Az ischaemiás stroke-ból, illetve szisztémás embóliából álló összetett végpont éves előfordulási gyakorisága 0,39%/év volt, </w:t>
      </w:r>
      <w:r w:rsidR="00E35685">
        <w:t>súlyos</w:t>
      </w:r>
      <w:r w:rsidRPr="003834C8">
        <w:t xml:space="preserve"> vérzés pedig 0,73%/év gyakorisággal lépett fel.</w:t>
      </w:r>
    </w:p>
    <w:p w14:paraId="725F0E3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7" w14:textId="61A5D022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ENGAGE AF, az E314 és az ETNA-AF vizsgálatokból származó adatok összességét tekintve, a</w:t>
      </w:r>
      <w:r w:rsidR="003824DD" w:rsidRPr="003834C8">
        <w:t xml:space="preserve"> </w:t>
      </w:r>
      <w:r w:rsidRPr="003834C8">
        <w:t>60</w:t>
      </w:r>
      <w:r w:rsidR="0050166E">
        <w:t> mg</w:t>
      </w:r>
      <w:r w:rsidRPr="003834C8">
        <w:t xml:space="preserve"> edoxabánnal kezelt, NVAF-ban szenvedő, magas CrCl-ű betegeknél az ischaemiás stroke/szisztémás embólia várható éves előfordulási gyakorisága ≤</w:t>
      </w:r>
      <w:r w:rsidR="00F321B4" w:rsidRPr="003834C8">
        <w:t> </w:t>
      </w:r>
      <w:r w:rsidRPr="003834C8">
        <w:t>1%. A NVAF-ban szenvedő, magas CrCl-ű (&gt;</w:t>
      </w:r>
      <w:r w:rsidR="00F321B4" w:rsidRPr="003834C8">
        <w:t> </w:t>
      </w:r>
      <w:r w:rsidRPr="003834C8">
        <w:t>100 ml/perc) betegeknél a dózis 60</w:t>
      </w:r>
      <w:r w:rsidR="0050166E">
        <w:t> mg</w:t>
      </w:r>
      <w:r w:rsidRPr="003834C8">
        <w:t xml:space="preserve"> fölé történő emelése várhatóan nem biztosít további védelmet a stroke ellen, és a nemkívánatos események fokozott előfordulásával társulhat. Ennélfogva ezeknél a betegeknél az egyéni thromboemboliás kockázat és a vérzési kockázat gondos értékelése után a naponta egyszer 60</w:t>
      </w:r>
      <w:r w:rsidR="0050166E">
        <w:t> mg</w:t>
      </w:r>
      <w:r w:rsidRPr="003834C8">
        <w:t>-os adagolás ajánlott (lásd 4.4 pont).</w:t>
      </w:r>
    </w:p>
    <w:p w14:paraId="725F0E3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3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Cardioversión áteső betegek</w:t>
      </w:r>
    </w:p>
    <w:p w14:paraId="725F0E3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1" w14:textId="4130CDD2" w:rsidR="00DD077B" w:rsidRPr="003834C8" w:rsidRDefault="0043432F" w:rsidP="003834C8">
      <w:pPr>
        <w:pStyle w:val="Szvegtrzs"/>
        <w:tabs>
          <w:tab w:val="left" w:pos="0"/>
        </w:tabs>
      </w:pPr>
      <w:r w:rsidRPr="003834C8">
        <w:t>Elvégeztek egy multicentrikus, prospektív, randomizált, nyílt elrendezésű, maszkolt</w:t>
      </w:r>
      <w:r w:rsidR="003824DD" w:rsidRPr="003834C8">
        <w:t xml:space="preserve"> </w:t>
      </w:r>
      <w:r w:rsidRPr="003834C8">
        <w:t>végpont-értékelésű vizsgálatot (ENSURE-AF) 2199 (oralis antikoaguláns kezelésben korábban nem részesült, illetve korábban már kezelt), NVAF-ban szenvedő, cardioversióra előjegyzett vizsgálati alany randomizálásával a naponta egyszer alkalmazott 60</w:t>
      </w:r>
      <w:r w:rsidR="0050166E">
        <w:t> mg</w:t>
      </w:r>
      <w:r w:rsidRPr="003834C8">
        <w:t xml:space="preserve"> edoxabán és a 2,0</w:t>
      </w:r>
      <w:r w:rsidR="00F321B4" w:rsidRPr="003834C8">
        <w:noBreakHyphen/>
      </w:r>
      <w:r w:rsidRPr="003834C8">
        <w:t>3,0 közötti terápiás INR-érték fenntartására beállított enoxaparin/warfarin (randomizálási arány 1:1) összehasonlítására, amelynek során warfarin mellett az átlagos TTR 70,8% volt. Összesen 2149 vizsgálati alanyt kezeltek edoxabánnal (N = 1067) vagy enoxaparin/warfarinnal (N = 1082). Az edoxabán kezelési csoportba tartozó vizsgálati alanyok naponta 30</w:t>
      </w:r>
      <w:r w:rsidR="0050166E">
        <w:t> mg</w:t>
      </w:r>
      <w:r w:rsidRPr="003834C8">
        <w:t>-ot kaptak, amennyiben a következő klinikai tényezők közül egy vagy több fennállt: közepes fokú vesekárosodás (CrCl 30</w:t>
      </w:r>
      <w:r w:rsidR="00F321B4" w:rsidRPr="003834C8">
        <w:noBreakHyphen/>
      </w:r>
      <w:r w:rsidRPr="003834C8">
        <w:t>50</w:t>
      </w:r>
      <w:r w:rsidR="00F321B4" w:rsidRPr="003834C8">
        <w:t> </w:t>
      </w:r>
      <w:r w:rsidRPr="003834C8">
        <w:t>ml/perc), alacsony testtömeg</w:t>
      </w:r>
      <w:r w:rsidR="003824DD" w:rsidRPr="003834C8">
        <w:t xml:space="preserve"> </w:t>
      </w:r>
      <w:r w:rsidRPr="003834C8">
        <w:t>(</w:t>
      </w:r>
      <w:r w:rsidR="00946120" w:rsidRPr="003834C8">
        <w:t>≤ </w:t>
      </w:r>
      <w:r w:rsidRPr="003834C8">
        <w:t>60</w:t>
      </w:r>
      <w:r w:rsidR="00946120" w:rsidRPr="003834C8">
        <w:t> </w:t>
      </w:r>
      <w:r w:rsidRPr="003834C8">
        <w:t>kg) vagy specifikus P-gp-inhibitorok egyidejű alkalmazása. Az edoxabán- és a warfarin-csoport</w:t>
      </w:r>
      <w:r w:rsidR="003824DD" w:rsidRPr="003834C8">
        <w:t xml:space="preserve"> </w:t>
      </w:r>
      <w:r w:rsidRPr="003834C8">
        <w:t>betegeinek többségénél cardioversiót végeztek (az edoxabán-csoportban 83,7%-uknál, a</w:t>
      </w:r>
      <w:r w:rsidR="003824DD" w:rsidRPr="003834C8">
        <w:t xml:space="preserve"> </w:t>
      </w:r>
      <w:r w:rsidRPr="003834C8">
        <w:t>warfarin-csoportban 78,9%-uknál) vagy spontán visszatért a sinus ritmusuk (az edoxabán-csoportban</w:t>
      </w:r>
      <w:r w:rsidR="003824DD" w:rsidRPr="003834C8">
        <w:t xml:space="preserve"> </w:t>
      </w:r>
      <w:r w:rsidRPr="003834C8">
        <w:t>6,6%-uknál, a warfarin-csoportban 8,6%-uknál). TEE-vezérelt (a kezelés megkezdésétől számított</w:t>
      </w:r>
      <w:r w:rsidR="003824DD" w:rsidRPr="003834C8">
        <w:t xml:space="preserve"> </w:t>
      </w:r>
      <w:r w:rsidRPr="003834C8">
        <w:t>3 napon belül) vagy hagyományos cardioversiót (legalább 21 napos előzetes kezelés) alkalmaztak. A cardioversiót követő 28 napon át folytatták a kezelést a vizsgálati alanyoknál.</w:t>
      </w:r>
    </w:p>
    <w:p w14:paraId="725F0E4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5" w14:textId="3F3C2A42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összetett elsődleges hatásossági végpont a stroke-ból, SEE-ből, MI-ból és CV összmortalitásból állt. Összesen 5 esemény (0,5%, 95%-os CI: 0,15%-1,06%) lépett fel az edoxabán-csoportba tartozó</w:t>
      </w:r>
      <w:r w:rsidR="00490300" w:rsidRPr="003834C8">
        <w:t xml:space="preserve"> </w:t>
      </w:r>
      <w:r w:rsidRPr="003834C8">
        <w:t>betegeknél (N</w:t>
      </w:r>
      <w:r w:rsidR="00CD6B02" w:rsidRPr="003834C8">
        <w:t> </w:t>
      </w:r>
      <w:r w:rsidRPr="003834C8">
        <w:t>=</w:t>
      </w:r>
      <w:r w:rsidR="00CD6B02" w:rsidRPr="003834C8">
        <w:t> </w:t>
      </w:r>
      <w:r w:rsidRPr="003834C8">
        <w:t>1095) és 11 esemény (1,0%, 95%-os CI: 0,50%-1,78%) a warfarin-csoportban (N</w:t>
      </w:r>
      <w:r w:rsidR="00CD6B02" w:rsidRPr="003834C8">
        <w:t> </w:t>
      </w:r>
      <w:r w:rsidRPr="003834C8">
        <w:t>=</w:t>
      </w:r>
      <w:r w:rsidR="00CD6B02" w:rsidRPr="003834C8">
        <w:t> </w:t>
      </w:r>
      <w:r w:rsidRPr="003834C8">
        <w:t>1104); esélyhányados (odds ratio, OR): 0,46 (95%-os CI: 0,12</w:t>
      </w:r>
      <w:r w:rsidR="00CD6B02" w:rsidRPr="003834C8">
        <w:noBreakHyphen/>
      </w:r>
      <w:r w:rsidRPr="003834C8">
        <w:t>1,43); ITT adatkészlet a teljes vizsgálati időszakban, melynek átlagos időtartama 66 nap.</w:t>
      </w:r>
    </w:p>
    <w:p w14:paraId="725F0E4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8" w14:textId="70F9B23B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összetett elsődleges biztonságossági végpont a </w:t>
      </w:r>
      <w:r w:rsidR="00044A25">
        <w:t>súlyos</w:t>
      </w:r>
      <w:r w:rsidRPr="003834C8">
        <w:t xml:space="preserve"> és CRNM vérzésből állt. Összesen</w:t>
      </w:r>
      <w:r w:rsidR="003A0752" w:rsidRPr="003834C8">
        <w:t xml:space="preserve"> </w:t>
      </w:r>
      <w:r w:rsidRPr="003834C8">
        <w:t>16 esemény (1,5%, 95%-os CI: 0,86%</w:t>
      </w:r>
      <w:r w:rsidR="00CD6B02" w:rsidRPr="003834C8">
        <w:t> </w:t>
      </w:r>
      <w:r w:rsidR="00CD6B02" w:rsidRPr="003834C8">
        <w:noBreakHyphen/>
        <w:t> </w:t>
      </w:r>
      <w:r w:rsidRPr="003834C8">
        <w:t>2,42%) lépett fel az edoxabán-csoportba (N</w:t>
      </w:r>
      <w:r w:rsidR="00D66386" w:rsidRPr="003834C8">
        <w:t> </w:t>
      </w:r>
      <w:r w:rsidRPr="003834C8">
        <w:t>=</w:t>
      </w:r>
      <w:r w:rsidR="00D66386" w:rsidRPr="003834C8">
        <w:t> </w:t>
      </w:r>
      <w:r w:rsidRPr="003834C8">
        <w:t>1067) tartozó betegeknél és 11 esemény (1,0%, 95%-os CI: 0</w:t>
      </w:r>
      <w:r w:rsidR="00452353" w:rsidRPr="003834C8">
        <w:noBreakHyphen/>
      </w:r>
      <w:r w:rsidRPr="003834C8">
        <w:t>51%</w:t>
      </w:r>
      <w:r w:rsidR="00D66386" w:rsidRPr="003834C8">
        <w:t> </w:t>
      </w:r>
      <w:r w:rsidR="00D66386" w:rsidRPr="003834C8">
        <w:noBreakHyphen/>
        <w:t> </w:t>
      </w:r>
      <w:r w:rsidRPr="003834C8">
        <w:t>1,81%) a warfarin-csoportban (N</w:t>
      </w:r>
      <w:r w:rsidR="00D66386" w:rsidRPr="003834C8">
        <w:t> </w:t>
      </w:r>
      <w:r w:rsidRPr="003834C8">
        <w:t>=</w:t>
      </w:r>
      <w:r w:rsidR="00D66386" w:rsidRPr="003834C8">
        <w:t> </w:t>
      </w:r>
      <w:r w:rsidRPr="003834C8">
        <w:t>1082); OR: 1,48 (95%-os CI: 0,64</w:t>
      </w:r>
      <w:r w:rsidR="00452353" w:rsidRPr="003834C8">
        <w:t> </w:t>
      </w:r>
      <w:r w:rsidR="00452353" w:rsidRPr="003834C8">
        <w:noBreakHyphen/>
        <w:t> </w:t>
      </w:r>
      <w:r w:rsidRPr="003834C8">
        <w:t>3,55); biztonságossági elemzési adatkészlet a kezelés alatti időszakban.</w:t>
      </w:r>
    </w:p>
    <w:p w14:paraId="725F0E4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A" w14:textId="36377C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Ez a feltáró jellegű vizsgálat azt igazolta, hogy cardioversio végzésekor a </w:t>
      </w:r>
      <w:r w:rsidR="00044A25">
        <w:t>súlyos</w:t>
      </w:r>
      <w:r w:rsidRPr="003834C8">
        <w:t xml:space="preserve"> és CRNM vérzések, valamint a thromboembolia előfordulási gyakoriságai alacsonyak a két kezelési csoportban.</w:t>
      </w:r>
    </w:p>
    <w:p w14:paraId="725F0E4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Gyermekek és serdülők</w:t>
      </w:r>
    </w:p>
    <w:p w14:paraId="725F0E4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4E" w14:textId="545F754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edoxabán biztonságosságát, hatásosságát, farmakokinetikáját és farmakodinamikáját két 3-as fázisú vizsgálatban, a Hokusai VTE PEDIATRICS és az ENNOBLE-ATE (lásd 4.2 pont) során vizsgálták </w:t>
      </w:r>
      <w:r w:rsidR="00E147E0" w:rsidRPr="003834C8">
        <w:t xml:space="preserve">újszülött kor és betöltött </w:t>
      </w:r>
      <w:r w:rsidRPr="003834C8">
        <w:t>18 éves kor közötti, VTE-ben és thromboticus események kockázatának kitett szívbetegségben szenvedő gyermek- és serdülőkorú alanyoknál (lásd 4.2 pont). A Hokusai VTE PEDIATRICS elnevezésű pivotális gyermekgyógyászati vizsgálatot az alábbiakban ismertetjük.</w:t>
      </w:r>
    </w:p>
    <w:p w14:paraId="725F0E4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50" w14:textId="09AEC4F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pivotális vizsgálat (Hokusai VTE PEDIATRICS) egy </w:t>
      </w:r>
      <w:r w:rsidR="00044A25">
        <w:t>III.</w:t>
      </w:r>
      <w:r w:rsidRPr="003834C8">
        <w:t xml:space="preserve"> fázisú, nyílt elrendezésű, randomizált, multicentrikus, kontrollos vizsgálat volt, amelynek célja az edoxabán farmakokinetikájának és farmakodinamikájának értékelése, valamint az edoxabán hatásosságának és biztonságosságának összehasonlítása a standard (kontrollcsoport) véralvadásgátló kezeléssel a születés és a 18 évesnél fiatalabb kor közötti, igazolt vénás thromboemboliában (VTE) szenvedő gyermekeknél.</w:t>
      </w:r>
    </w:p>
    <w:p w14:paraId="725F0E5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52" w14:textId="272A6BA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hatásossági végpont a tüneteket okozó recidív vénás thromboemboliás betegség, a VTE következtében bekövetkező halálozás, valamint a thromboticus terhelés változatlansága vagy kiterjedése által alkotott összetett végpont volt az első 3 hónapos időszak alatt (a kezelés tervezett időtartama 6</w:t>
      </w:r>
      <w:r w:rsidR="00720657" w:rsidRPr="003834C8">
        <w:noBreakHyphen/>
      </w:r>
      <w:r w:rsidRPr="003834C8">
        <w:t>12 hét volt a születés és 6 hónaposnál fiatalabb kor közötti gyermekek esetében).</w:t>
      </w:r>
    </w:p>
    <w:p w14:paraId="725F0E5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5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Hokusai VTE PEDIATRICS vizsgálatban vizsgált edoxabán dózisokat életkor és testtömeg szerint állapították meg. A dóziscsökkentést a klinikai tényezők alapján javasolták, beleértve a vesefunkciót és a P-gp-inhibitorok egyidejű alkalmazását (12. táblázat).</w:t>
      </w:r>
    </w:p>
    <w:p w14:paraId="7FFF5AF1" w14:textId="77777777" w:rsidR="00DD077B" w:rsidRPr="003834C8" w:rsidRDefault="00DD077B" w:rsidP="003834C8">
      <w:pPr>
        <w:keepNext/>
        <w:tabs>
          <w:tab w:val="left" w:pos="0"/>
        </w:tabs>
      </w:pPr>
    </w:p>
    <w:p w14:paraId="725F0E56" w14:textId="6060A830" w:rsidR="00DD077B" w:rsidRPr="003834C8" w:rsidRDefault="004C5E69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</w:pPr>
      <w:r w:rsidRPr="003834C8">
        <w:t>12- t</w:t>
      </w:r>
      <w:r w:rsidR="0043432F" w:rsidRPr="003834C8">
        <w:t>áblázat: A Hokusai VTE PEDIATRICS vizsgálatban értékelt edoxab</w:t>
      </w:r>
      <w:r w:rsidR="003A0752" w:rsidRPr="003834C8">
        <w:t>á</w:t>
      </w:r>
      <w:r w:rsidR="0043432F" w:rsidRPr="003834C8">
        <w:t>n dózisok</w:t>
      </w:r>
    </w:p>
    <w:tbl>
      <w:tblPr>
        <w:tblStyle w:val="TableNormal"/>
        <w:tblW w:w="947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843"/>
        <w:gridCol w:w="1492"/>
        <w:gridCol w:w="2128"/>
        <w:gridCol w:w="2022"/>
      </w:tblGrid>
      <w:tr w:rsidR="00DD077B" w:rsidRPr="003834C8" w14:paraId="725F0E5D" w14:textId="77777777" w:rsidTr="003743A2">
        <w:trPr>
          <w:trHeight w:val="793"/>
        </w:trPr>
        <w:tc>
          <w:tcPr>
            <w:tcW w:w="1985" w:type="dxa"/>
            <w:shd w:val="clear" w:color="auto" w:fill="D9D9D9"/>
          </w:tcPr>
          <w:p w14:paraId="725F0E5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  <w:rPr>
                <w:b/>
              </w:rPr>
            </w:pPr>
            <w:r w:rsidRPr="003834C8">
              <w:rPr>
                <w:b/>
              </w:rPr>
              <w:t>Életkor a</w:t>
            </w:r>
          </w:p>
          <w:p w14:paraId="725F0E5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  <w:rPr>
                <w:b/>
              </w:rPr>
            </w:pPr>
            <w:r w:rsidRPr="003834C8">
              <w:rPr>
                <w:b/>
              </w:rPr>
              <w:t>beleegyezés időpontjában</w:t>
            </w:r>
          </w:p>
        </w:tc>
        <w:tc>
          <w:tcPr>
            <w:tcW w:w="1843" w:type="dxa"/>
            <w:shd w:val="clear" w:color="auto" w:fill="D9D9D9"/>
          </w:tcPr>
          <w:p w14:paraId="725F0E59" w14:textId="77777777" w:rsidR="00DD077B" w:rsidRPr="003834C8" w:rsidRDefault="0043432F" w:rsidP="003834C8">
            <w:pPr>
              <w:pStyle w:val="TableParagraph"/>
              <w:keepNext/>
              <w:tabs>
                <w:tab w:val="left" w:pos="137"/>
              </w:tabs>
              <w:ind w:left="65" w:right="138"/>
              <w:rPr>
                <w:b/>
              </w:rPr>
            </w:pPr>
            <w:r w:rsidRPr="003834C8">
              <w:rPr>
                <w:b/>
              </w:rPr>
              <w:t>Testtömeg</w:t>
            </w:r>
          </w:p>
        </w:tc>
        <w:tc>
          <w:tcPr>
            <w:tcW w:w="1492" w:type="dxa"/>
            <w:shd w:val="clear" w:color="auto" w:fill="D9D9D9"/>
          </w:tcPr>
          <w:p w14:paraId="725F0E5A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/>
              <w:rPr>
                <w:b/>
              </w:rPr>
            </w:pPr>
            <w:r w:rsidRPr="003834C8">
              <w:rPr>
                <w:b/>
              </w:rPr>
              <w:t>Dózis (tabletta)</w:t>
            </w:r>
            <w:r w:rsidRPr="003834C8">
              <w:rPr>
                <w:b/>
                <w:vertAlign w:val="superscript"/>
              </w:rPr>
              <w:t>a</w:t>
            </w:r>
          </w:p>
        </w:tc>
        <w:tc>
          <w:tcPr>
            <w:tcW w:w="2128" w:type="dxa"/>
            <w:shd w:val="clear" w:color="auto" w:fill="D9D9D9"/>
          </w:tcPr>
          <w:p w14:paraId="725F0E5B" w14:textId="77777777" w:rsidR="00DD077B" w:rsidRPr="003834C8" w:rsidRDefault="0043432F" w:rsidP="003834C8">
            <w:pPr>
              <w:pStyle w:val="TableParagraph"/>
              <w:keepNext/>
              <w:tabs>
                <w:tab w:val="left" w:pos="66"/>
                <w:tab w:val="left" w:pos="137"/>
              </w:tabs>
              <w:ind w:left="66"/>
              <w:rPr>
                <w:b/>
              </w:rPr>
            </w:pPr>
            <w:r w:rsidRPr="003834C8">
              <w:rPr>
                <w:b/>
              </w:rPr>
              <w:t>Dózis (szuszpenzió)</w:t>
            </w:r>
            <w:r w:rsidRPr="003834C8">
              <w:rPr>
                <w:b/>
                <w:vertAlign w:val="superscript"/>
              </w:rPr>
              <w:t>a</w:t>
            </w:r>
          </w:p>
        </w:tc>
        <w:tc>
          <w:tcPr>
            <w:tcW w:w="2022" w:type="dxa"/>
            <w:shd w:val="clear" w:color="auto" w:fill="D9D9D9"/>
          </w:tcPr>
          <w:p w14:paraId="725F0E5C" w14:textId="77777777" w:rsidR="00DD077B" w:rsidRPr="003834C8" w:rsidRDefault="0043432F" w:rsidP="003834C8">
            <w:pPr>
              <w:pStyle w:val="TableParagraph"/>
              <w:keepNext/>
              <w:tabs>
                <w:tab w:val="left" w:pos="137"/>
                <w:tab w:val="left" w:pos="205"/>
              </w:tabs>
              <w:ind w:left="63"/>
              <w:rPr>
                <w:b/>
              </w:rPr>
            </w:pPr>
            <w:r w:rsidRPr="003834C8">
              <w:rPr>
                <w:b/>
              </w:rPr>
              <w:t>Dóziscsökkentés</w:t>
            </w:r>
            <w:r w:rsidRPr="003834C8">
              <w:rPr>
                <w:b/>
                <w:vertAlign w:val="superscript"/>
              </w:rPr>
              <w:t>b</w:t>
            </w:r>
          </w:p>
        </w:tc>
      </w:tr>
      <w:tr w:rsidR="00DD077B" w:rsidRPr="003834C8" w14:paraId="725F0E63" w14:textId="77777777" w:rsidTr="003743A2">
        <w:trPr>
          <w:trHeight w:val="275"/>
        </w:trPr>
        <w:tc>
          <w:tcPr>
            <w:tcW w:w="1985" w:type="dxa"/>
            <w:vMerge w:val="restart"/>
          </w:tcPr>
          <w:p w14:paraId="725F0E5E" w14:textId="21704F7E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12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18 év</w:t>
            </w:r>
          </w:p>
        </w:tc>
        <w:tc>
          <w:tcPr>
            <w:tcW w:w="1843" w:type="dxa"/>
          </w:tcPr>
          <w:p w14:paraId="725F0E5F" w14:textId="6CA6513D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≥</w:t>
            </w:r>
            <w:r w:rsidR="00794E7F" w:rsidRPr="003834C8">
              <w:t> </w:t>
            </w:r>
            <w:r w:rsidRPr="003834C8">
              <w:t>60</w:t>
            </w:r>
            <w:r w:rsidR="00794E7F" w:rsidRPr="003834C8">
              <w:t> </w:t>
            </w:r>
            <w:r w:rsidRPr="003834C8">
              <w:t>kg</w:t>
            </w:r>
          </w:p>
        </w:tc>
        <w:tc>
          <w:tcPr>
            <w:tcW w:w="1492" w:type="dxa"/>
          </w:tcPr>
          <w:p w14:paraId="725F0E60" w14:textId="37F6032E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60</w:t>
            </w:r>
            <w:r w:rsidR="0050166E">
              <w:t> mg</w:t>
            </w:r>
          </w:p>
        </w:tc>
        <w:tc>
          <w:tcPr>
            <w:tcW w:w="2128" w:type="dxa"/>
          </w:tcPr>
          <w:p w14:paraId="725F0E61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022" w:type="dxa"/>
          </w:tcPr>
          <w:p w14:paraId="725F0E62" w14:textId="2988BA6F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45</w:t>
            </w:r>
            <w:r w:rsidR="0050166E">
              <w:t> mg</w:t>
            </w:r>
          </w:p>
        </w:tc>
      </w:tr>
      <w:tr w:rsidR="00DD077B" w:rsidRPr="003834C8" w14:paraId="725F0E69" w14:textId="77777777" w:rsidTr="003743A2">
        <w:trPr>
          <w:trHeight w:val="275"/>
        </w:trPr>
        <w:tc>
          <w:tcPr>
            <w:tcW w:w="1985" w:type="dxa"/>
            <w:vMerge/>
            <w:tcBorders>
              <w:top w:val="nil"/>
            </w:tcBorders>
          </w:tcPr>
          <w:p w14:paraId="725F0E64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 w:right="77"/>
            </w:pPr>
          </w:p>
        </w:tc>
        <w:tc>
          <w:tcPr>
            <w:tcW w:w="1843" w:type="dxa"/>
          </w:tcPr>
          <w:p w14:paraId="725F0E65" w14:textId="7669FCEC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≥</w:t>
            </w:r>
            <w:r w:rsidR="00794E7F" w:rsidRPr="003834C8">
              <w:t> </w:t>
            </w:r>
            <w:r w:rsidRPr="003834C8">
              <w:t>30 és &lt;</w:t>
            </w:r>
            <w:r w:rsidR="00794E7F" w:rsidRPr="003834C8">
              <w:t> </w:t>
            </w:r>
            <w:r w:rsidRPr="003834C8">
              <w:t>60</w:t>
            </w:r>
            <w:r w:rsidR="00794E7F" w:rsidRPr="003834C8">
              <w:t> </w:t>
            </w:r>
            <w:r w:rsidRPr="003834C8">
              <w:t>kg</w:t>
            </w:r>
          </w:p>
        </w:tc>
        <w:tc>
          <w:tcPr>
            <w:tcW w:w="1492" w:type="dxa"/>
          </w:tcPr>
          <w:p w14:paraId="725F0E66" w14:textId="28DD32EE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45</w:t>
            </w:r>
            <w:r w:rsidR="0050166E">
              <w:t> mg</w:t>
            </w:r>
          </w:p>
        </w:tc>
        <w:tc>
          <w:tcPr>
            <w:tcW w:w="2128" w:type="dxa"/>
          </w:tcPr>
          <w:p w14:paraId="725F0E67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022" w:type="dxa"/>
          </w:tcPr>
          <w:p w14:paraId="725F0E68" w14:textId="60DB1229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30</w:t>
            </w:r>
            <w:r w:rsidR="0050166E">
              <w:t> mg</w:t>
            </w:r>
          </w:p>
        </w:tc>
      </w:tr>
      <w:tr w:rsidR="00DD077B" w:rsidRPr="003834C8" w14:paraId="725F0E6F" w14:textId="77777777" w:rsidTr="003743A2">
        <w:trPr>
          <w:trHeight w:val="534"/>
        </w:trPr>
        <w:tc>
          <w:tcPr>
            <w:tcW w:w="1985" w:type="dxa"/>
            <w:vMerge/>
            <w:tcBorders>
              <w:top w:val="nil"/>
            </w:tcBorders>
          </w:tcPr>
          <w:p w14:paraId="725F0E6A" w14:textId="77777777" w:rsidR="00DD077B" w:rsidRPr="003834C8" w:rsidRDefault="00DD077B" w:rsidP="003834C8">
            <w:pPr>
              <w:keepNext/>
              <w:tabs>
                <w:tab w:val="left" w:pos="142"/>
              </w:tabs>
              <w:ind w:left="142" w:right="77"/>
            </w:pPr>
          </w:p>
        </w:tc>
        <w:tc>
          <w:tcPr>
            <w:tcW w:w="1843" w:type="dxa"/>
          </w:tcPr>
          <w:p w14:paraId="725F0E6B" w14:textId="224BD922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&lt;</w:t>
            </w:r>
            <w:r w:rsidR="00911BAC" w:rsidRPr="003834C8">
              <w:t> </w:t>
            </w:r>
            <w:r w:rsidRPr="003834C8">
              <w:t>5. korosztályi</w:t>
            </w:r>
            <w:r w:rsidR="00911BAC" w:rsidRPr="003834C8">
              <w:t xml:space="preserve"> p</w:t>
            </w:r>
            <w:r w:rsidRPr="003834C8">
              <w:t>ercentilis</w:t>
            </w:r>
          </w:p>
        </w:tc>
        <w:tc>
          <w:tcPr>
            <w:tcW w:w="1492" w:type="dxa"/>
          </w:tcPr>
          <w:p w14:paraId="725F0E6C" w14:textId="7B758A4A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30</w:t>
            </w:r>
            <w:r w:rsidR="0050166E">
              <w:t> mg</w:t>
            </w:r>
          </w:p>
        </w:tc>
        <w:tc>
          <w:tcPr>
            <w:tcW w:w="2128" w:type="dxa"/>
          </w:tcPr>
          <w:p w14:paraId="725F0E6D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022" w:type="dxa"/>
          </w:tcPr>
          <w:p w14:paraId="725F0E6E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</w:tr>
      <w:tr w:rsidR="00DD077B" w:rsidRPr="003834C8" w14:paraId="725F0E77" w14:textId="77777777" w:rsidTr="003743A2">
        <w:trPr>
          <w:trHeight w:val="534"/>
        </w:trPr>
        <w:tc>
          <w:tcPr>
            <w:tcW w:w="1985" w:type="dxa"/>
          </w:tcPr>
          <w:p w14:paraId="725F0E70" w14:textId="6CBDA630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6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12 év</w:t>
            </w:r>
          </w:p>
        </w:tc>
        <w:tc>
          <w:tcPr>
            <w:tcW w:w="1843" w:type="dxa"/>
          </w:tcPr>
          <w:p w14:paraId="725F0E71" w14:textId="3265D2BD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&lt;</w:t>
            </w:r>
            <w:r w:rsidR="00911BAC" w:rsidRPr="003834C8">
              <w:t> </w:t>
            </w:r>
            <w:r w:rsidRPr="003834C8">
              <w:t>60</w:t>
            </w:r>
            <w:r w:rsidR="00911BAC" w:rsidRPr="003834C8">
              <w:t> </w:t>
            </w:r>
            <w:r w:rsidRPr="003834C8">
              <w:t>kg;</w:t>
            </w:r>
            <w:r w:rsidR="0050166E">
              <w:t> mg</w:t>
            </w:r>
            <w:r w:rsidRPr="003834C8">
              <w:t>/kg alapján</w:t>
            </w:r>
            <w:r w:rsidR="00EF3356" w:rsidRPr="003834C8">
              <w:t xml:space="preserve"> </w:t>
            </w:r>
            <w:r w:rsidRPr="003834C8">
              <w:t xml:space="preserve"> adagolva</w:t>
            </w:r>
          </w:p>
        </w:tc>
        <w:tc>
          <w:tcPr>
            <w:tcW w:w="1492" w:type="dxa"/>
          </w:tcPr>
          <w:p w14:paraId="725F0E72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74" w14:textId="31CCCDBF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1,2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45</w:t>
            </w:r>
            <w:r w:rsidR="0050166E">
              <w:t> mg</w:t>
            </w:r>
            <w:r w:rsidRPr="003834C8">
              <w:t>)</w:t>
            </w:r>
          </w:p>
        </w:tc>
        <w:tc>
          <w:tcPr>
            <w:tcW w:w="2022" w:type="dxa"/>
          </w:tcPr>
          <w:p w14:paraId="725F0E76" w14:textId="1D1D5878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0,8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45</w:t>
            </w:r>
            <w:r w:rsidR="0050166E">
              <w:t> mg</w:t>
            </w:r>
            <w:r w:rsidRPr="003834C8">
              <w:t>)</w:t>
            </w:r>
          </w:p>
        </w:tc>
      </w:tr>
      <w:tr w:rsidR="00DD077B" w:rsidRPr="003834C8" w14:paraId="725F0E7F" w14:textId="77777777" w:rsidTr="003743A2">
        <w:trPr>
          <w:trHeight w:val="707"/>
        </w:trPr>
        <w:tc>
          <w:tcPr>
            <w:tcW w:w="1985" w:type="dxa"/>
          </w:tcPr>
          <w:p w14:paraId="725F0E78" w14:textId="640E18F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2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6 év</w:t>
            </w:r>
          </w:p>
        </w:tc>
        <w:tc>
          <w:tcPr>
            <w:tcW w:w="1843" w:type="dxa"/>
          </w:tcPr>
          <w:p w14:paraId="725F0E79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7A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7C" w14:textId="7DE235D8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1,4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45</w:t>
            </w:r>
            <w:r w:rsidR="0050166E">
              <w:t> mg</w:t>
            </w:r>
            <w:r w:rsidRPr="003834C8">
              <w:t>)</w:t>
            </w:r>
          </w:p>
        </w:tc>
        <w:tc>
          <w:tcPr>
            <w:tcW w:w="2022" w:type="dxa"/>
          </w:tcPr>
          <w:p w14:paraId="725F0E7E" w14:textId="0D237191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0,7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24</w:t>
            </w:r>
            <w:r w:rsidR="0050166E">
              <w:t> mg</w:t>
            </w:r>
            <w:r w:rsidRPr="003834C8">
              <w:t>)</w:t>
            </w:r>
          </w:p>
        </w:tc>
      </w:tr>
      <w:tr w:rsidR="00DD077B" w:rsidRPr="003834C8" w14:paraId="725F0E87" w14:textId="77777777" w:rsidTr="003743A2">
        <w:trPr>
          <w:trHeight w:val="721"/>
        </w:trPr>
        <w:tc>
          <w:tcPr>
            <w:tcW w:w="1985" w:type="dxa"/>
          </w:tcPr>
          <w:p w14:paraId="725F0E80" w14:textId="157BD12D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6 hónap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527712" w:rsidRPr="003834C8">
              <w:t> </w:t>
            </w:r>
            <w:r w:rsidRPr="003834C8">
              <w:t>2 év</w:t>
            </w:r>
          </w:p>
        </w:tc>
        <w:tc>
          <w:tcPr>
            <w:tcW w:w="1843" w:type="dxa"/>
          </w:tcPr>
          <w:p w14:paraId="725F0E81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82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84" w14:textId="2FC095BE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1,5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45</w:t>
            </w:r>
            <w:r w:rsidR="0050166E">
              <w:t> mg</w:t>
            </w:r>
            <w:r w:rsidRPr="003834C8">
              <w:t>)</w:t>
            </w:r>
          </w:p>
        </w:tc>
        <w:tc>
          <w:tcPr>
            <w:tcW w:w="2022" w:type="dxa"/>
          </w:tcPr>
          <w:p w14:paraId="725F0E86" w14:textId="41AF7DAF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0,75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24</w:t>
            </w:r>
            <w:r w:rsidR="0050166E">
              <w:t> mg</w:t>
            </w:r>
            <w:r w:rsidRPr="003834C8">
              <w:t>)</w:t>
            </w:r>
          </w:p>
        </w:tc>
      </w:tr>
      <w:tr w:rsidR="00DD077B" w:rsidRPr="003834C8" w14:paraId="725F0E90" w14:textId="77777777" w:rsidTr="003743A2">
        <w:trPr>
          <w:trHeight w:val="707"/>
        </w:trPr>
        <w:tc>
          <w:tcPr>
            <w:tcW w:w="1985" w:type="dxa"/>
          </w:tcPr>
          <w:p w14:paraId="725F0E89" w14:textId="116792C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&gt;</w:t>
            </w:r>
            <w:r w:rsidR="00794E7F" w:rsidRPr="003834C8">
              <w:t> </w:t>
            </w:r>
            <w:r w:rsidRPr="003834C8">
              <w:t>28 nap</w:t>
            </w:r>
            <w:r w:rsidR="00527712" w:rsidRPr="003834C8">
              <w:t> </w:t>
            </w:r>
            <w:r w:rsidR="00527712" w:rsidRPr="003834C8">
              <w:noBreakHyphen/>
              <w:t> </w:t>
            </w:r>
            <w:r w:rsidRPr="003834C8">
              <w:t>&lt;</w:t>
            </w:r>
            <w:r w:rsidR="00794E7F" w:rsidRPr="003834C8">
              <w:t> </w:t>
            </w:r>
            <w:r w:rsidRPr="003834C8">
              <w:t>6 hónap</w:t>
            </w:r>
          </w:p>
        </w:tc>
        <w:tc>
          <w:tcPr>
            <w:tcW w:w="1843" w:type="dxa"/>
          </w:tcPr>
          <w:p w14:paraId="725F0E8A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8B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8D" w14:textId="0E29670A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0,8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12</w:t>
            </w:r>
            <w:r w:rsidR="0050166E">
              <w:t> mg</w:t>
            </w:r>
            <w:r w:rsidRPr="003834C8">
              <w:t>)</w:t>
            </w:r>
          </w:p>
        </w:tc>
        <w:tc>
          <w:tcPr>
            <w:tcW w:w="2022" w:type="dxa"/>
          </w:tcPr>
          <w:p w14:paraId="725F0E8F" w14:textId="582C501A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0,4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6</w:t>
            </w:r>
            <w:r w:rsidR="0050166E">
              <w:t> mg</w:t>
            </w:r>
            <w:r w:rsidRPr="003834C8">
              <w:t>)</w:t>
            </w:r>
          </w:p>
        </w:tc>
      </w:tr>
      <w:tr w:rsidR="00DD077B" w:rsidRPr="003834C8" w14:paraId="725F0E98" w14:textId="77777777" w:rsidTr="003743A2">
        <w:trPr>
          <w:trHeight w:val="796"/>
        </w:trPr>
        <w:tc>
          <w:tcPr>
            <w:tcW w:w="1985" w:type="dxa"/>
          </w:tcPr>
          <w:p w14:paraId="725F0E91" w14:textId="3A69F6B3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 w:right="77"/>
            </w:pPr>
            <w:r w:rsidRPr="003834C8">
              <w:t>Születés (38. gesztációs hét)</w:t>
            </w:r>
            <w:r w:rsidR="00794E7F" w:rsidRPr="003834C8">
              <w:t> </w:t>
            </w:r>
            <w:r w:rsidR="00794E7F" w:rsidRPr="003834C8">
              <w:noBreakHyphen/>
              <w:t> </w:t>
            </w:r>
            <w:r w:rsidRPr="003834C8">
              <w:t>≤</w:t>
            </w:r>
            <w:r w:rsidR="00794E7F" w:rsidRPr="003834C8">
              <w:t> </w:t>
            </w:r>
            <w:r w:rsidRPr="003834C8">
              <w:t>28 nap</w:t>
            </w:r>
          </w:p>
        </w:tc>
        <w:tc>
          <w:tcPr>
            <w:tcW w:w="1843" w:type="dxa"/>
          </w:tcPr>
          <w:p w14:paraId="725F0E92" w14:textId="77777777" w:rsidR="00DD077B" w:rsidRPr="003834C8" w:rsidRDefault="0043432F" w:rsidP="003834C8">
            <w:pPr>
              <w:pStyle w:val="TableParagraph"/>
              <w:keepNext/>
              <w:tabs>
                <w:tab w:val="left" w:pos="65"/>
              </w:tabs>
              <w:ind w:left="65" w:right="138"/>
            </w:pPr>
            <w:r w:rsidRPr="003834C8">
              <w:t>mg/kg alapján adagolva</w:t>
            </w:r>
          </w:p>
        </w:tc>
        <w:tc>
          <w:tcPr>
            <w:tcW w:w="1492" w:type="dxa"/>
          </w:tcPr>
          <w:p w14:paraId="725F0E93" w14:textId="77777777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NA</w:t>
            </w:r>
          </w:p>
        </w:tc>
        <w:tc>
          <w:tcPr>
            <w:tcW w:w="2128" w:type="dxa"/>
          </w:tcPr>
          <w:p w14:paraId="725F0E95" w14:textId="0EAAFBC1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0,4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6</w:t>
            </w:r>
            <w:r w:rsidR="0050166E">
              <w:t> mg</w:t>
            </w:r>
            <w:r w:rsidRPr="003834C8">
              <w:t>)</w:t>
            </w:r>
          </w:p>
        </w:tc>
        <w:tc>
          <w:tcPr>
            <w:tcW w:w="2022" w:type="dxa"/>
          </w:tcPr>
          <w:p w14:paraId="725F0E97" w14:textId="68162915" w:rsidR="00DD077B" w:rsidRPr="003834C8" w:rsidRDefault="0043432F" w:rsidP="003834C8">
            <w:pPr>
              <w:pStyle w:val="TableParagraph"/>
              <w:keepNext/>
              <w:tabs>
                <w:tab w:val="left" w:pos="146"/>
              </w:tabs>
              <w:ind w:left="146" w:right="64"/>
            </w:pPr>
            <w:r w:rsidRPr="003834C8">
              <w:t>0,4</w:t>
            </w:r>
            <w:r w:rsidR="0050166E">
              <w:t> mg</w:t>
            </w:r>
            <w:r w:rsidRPr="003834C8">
              <w:t>/kg</w:t>
            </w:r>
            <w:r w:rsidR="00A26AC0" w:rsidRPr="003834C8">
              <w:t xml:space="preserve"> </w:t>
            </w:r>
            <w:r w:rsidRPr="003834C8">
              <w:t>(maximum 6</w:t>
            </w:r>
            <w:r w:rsidR="0050166E">
              <w:t> mg</w:t>
            </w:r>
            <w:r w:rsidRPr="003834C8">
              <w:t>)</w:t>
            </w:r>
          </w:p>
        </w:tc>
      </w:tr>
    </w:tbl>
    <w:p w14:paraId="725F0E99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NA = nem értelmezhető</w:t>
      </w:r>
    </w:p>
    <w:p w14:paraId="725F0E9A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Az alanyokat arra utasították, hogy az edoxabánt (tabletta vagy granulátum) naponta egyszer, minden nap ugyanabban az időben, szájon át, étkezés közben vagy attól függetlenül vegyék be. A tablettákat egy pohár vízzel kellett lenyelni.</w:t>
      </w:r>
    </w:p>
    <w:p w14:paraId="725F0E9D" w14:textId="30729882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b</w:t>
      </w:r>
      <w:r w:rsidRPr="003834C8">
        <w:rPr>
          <w:szCs w:val="20"/>
        </w:rPr>
        <w:t xml:space="preserve"> klinikai tényezők, beleértve a veseműködést (közepesen súlyos</w:t>
      </w:r>
      <w:r w:rsidR="004504EA" w:rsidRPr="003834C8">
        <w:rPr>
          <w:szCs w:val="20"/>
        </w:rPr>
        <w:t xml:space="preserve"> fokú</w:t>
      </w:r>
      <w:r w:rsidRPr="003834C8">
        <w:rPr>
          <w:szCs w:val="20"/>
        </w:rPr>
        <w:t xml:space="preserve"> vesekárosodás becsült glomerulus</w:t>
      </w:r>
      <w:r w:rsidR="004C5E69" w:rsidRPr="003834C8">
        <w:rPr>
          <w:szCs w:val="20"/>
        </w:rPr>
        <w:t xml:space="preserve"> </w:t>
      </w:r>
      <w:r w:rsidRPr="003834C8">
        <w:rPr>
          <w:szCs w:val="20"/>
        </w:rPr>
        <w:t>filtrációs rátával (eGFR) 10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20, 20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35, 30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50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ml/perc/1,73 m</w:t>
      </w:r>
      <w:r w:rsidRPr="003834C8">
        <w:rPr>
          <w:szCs w:val="20"/>
          <w:vertAlign w:val="superscript"/>
        </w:rPr>
        <w:t>2</w:t>
      </w:r>
      <w:r w:rsidRPr="003834C8">
        <w:rPr>
          <w:szCs w:val="20"/>
        </w:rPr>
        <w:t xml:space="preserve"> a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4 és ≤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8 hét,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8 hét és ≤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2 év,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2 és</w:t>
      </w:r>
      <w:r w:rsidR="004C5E69" w:rsidRPr="003834C8">
        <w:rPr>
          <w:szCs w:val="20"/>
        </w:rPr>
        <w:t xml:space="preserve"> </w:t>
      </w:r>
      <w:r w:rsidRPr="003834C8">
        <w:rPr>
          <w:szCs w:val="20"/>
        </w:rPr>
        <w:t>≤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12 év életkorú betegeknél; eGFR 35</w:t>
      </w:r>
      <w:r w:rsidR="00911BAC" w:rsidRPr="003834C8">
        <w:rPr>
          <w:szCs w:val="20"/>
        </w:rPr>
        <w:noBreakHyphen/>
      </w:r>
      <w:r w:rsidRPr="003834C8">
        <w:rPr>
          <w:szCs w:val="20"/>
        </w:rPr>
        <w:t>55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ml/perc/1,73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</w:t>
      </w:r>
      <w:r w:rsidRPr="003834C8">
        <w:rPr>
          <w:szCs w:val="20"/>
          <w:vertAlign w:val="superscript"/>
        </w:rPr>
        <w:t>2</w:t>
      </w:r>
      <w:r w:rsidRPr="003834C8">
        <w:rPr>
          <w:szCs w:val="20"/>
        </w:rPr>
        <w:t xml:space="preserve"> a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12 és &lt;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 xml:space="preserve">18 év közötti </w:t>
      </w:r>
      <w:r w:rsidRPr="003834C8">
        <w:rPr>
          <w:szCs w:val="20"/>
        </w:rPr>
        <w:lastRenderedPageBreak/>
        <w:t>fiúknál; és eGFR</w:t>
      </w:r>
      <w:r w:rsidR="00911BAC" w:rsidRPr="003834C8">
        <w:rPr>
          <w:szCs w:val="20"/>
        </w:rPr>
        <w:t xml:space="preserve"> 3</w:t>
      </w:r>
      <w:r w:rsidRPr="003834C8">
        <w:rPr>
          <w:szCs w:val="20"/>
        </w:rPr>
        <w:t>0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50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ml/perc/1,73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m</w:t>
      </w:r>
      <w:r w:rsidRPr="003834C8">
        <w:rPr>
          <w:szCs w:val="20"/>
          <w:vertAlign w:val="superscript"/>
        </w:rPr>
        <w:t>2</w:t>
      </w:r>
      <w:r w:rsidRPr="003834C8">
        <w:rPr>
          <w:szCs w:val="20"/>
        </w:rPr>
        <w:t xml:space="preserve"> a &gt;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12 és &lt;</w:t>
      </w:r>
      <w:r w:rsidR="00911BAC" w:rsidRPr="003834C8">
        <w:rPr>
          <w:szCs w:val="20"/>
        </w:rPr>
        <w:t> </w:t>
      </w:r>
      <w:r w:rsidRPr="003834C8">
        <w:rPr>
          <w:szCs w:val="20"/>
        </w:rPr>
        <w:t>18 év közötti lányoknál), illetve P-gp inhibitorok (pl. ciklosporin, dronedaron, eritromicin, ketokonazol) egyidejű alkalmazása alapján.</w:t>
      </w:r>
    </w:p>
    <w:p w14:paraId="725F0E9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A1" w14:textId="6D232C43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vizsgálatba összesen 290 alanyt randomizáltak: 147-et az edoxabán-csoportba és 143-at a standard ellátást kapó kontrollcsoportba, közülük 286-an (145 alany az edoxabán-csoportban és 141 alany a kontrollcsoportban) bevett legalább egy </w:t>
      </w:r>
      <w:r w:rsidR="00EF3356" w:rsidRPr="003834C8">
        <w:t xml:space="preserve">dózis </w:t>
      </w:r>
      <w:r w:rsidRPr="003834C8">
        <w:t>vizsgálati készítményt (mITT). Az összes alany körülbelül fele férfi volt (52,4%), és a kezelt alanyok többsége fehérbőrű volt (177 [61,9%] alany). Az átlagos testtömeg 45,35</w:t>
      </w:r>
      <w:r w:rsidR="00CA7A63" w:rsidRPr="003834C8">
        <w:t> </w:t>
      </w:r>
      <w:r w:rsidRPr="003834C8">
        <w:t>kg, az átlagos BMI pedig 20,4</w:t>
      </w:r>
      <w:r w:rsidR="00CA7A63" w:rsidRPr="003834C8">
        <w:t> </w:t>
      </w:r>
      <w:r w:rsidRPr="003834C8">
        <w:t>kg/m</w:t>
      </w:r>
      <w:r w:rsidRPr="003834C8">
        <w:rPr>
          <w:vertAlign w:val="superscript"/>
        </w:rPr>
        <w:t>2</w:t>
      </w:r>
      <w:r w:rsidRPr="003834C8">
        <w:t xml:space="preserve"> volt. Összesen 167 (58,4%) alany tartozott a 12 és &lt;</w:t>
      </w:r>
      <w:r w:rsidR="00CA7A63" w:rsidRPr="003834C8">
        <w:t> </w:t>
      </w:r>
      <w:r w:rsidRPr="003834C8">
        <w:t>18 év közötti kohorszba, 44 (15,4%) alany a 6 és &lt;</w:t>
      </w:r>
      <w:r w:rsidR="00CA7A63" w:rsidRPr="003834C8">
        <w:t> </w:t>
      </w:r>
      <w:r w:rsidRPr="003834C8">
        <w:t>12 év közötti kohorszba, 31</w:t>
      </w:r>
      <w:r w:rsidR="00644547" w:rsidRPr="003834C8">
        <w:t xml:space="preserve"> </w:t>
      </w:r>
      <w:r w:rsidRPr="003834C8">
        <w:t>(10,8%) alany a 2 és &lt;</w:t>
      </w:r>
      <w:r w:rsidR="00CA7A63" w:rsidRPr="003834C8">
        <w:t> </w:t>
      </w:r>
      <w:r w:rsidRPr="003834C8">
        <w:t>6 év közötti kohorszba, 28 (9,8%) alany a 6 hónap és &lt;</w:t>
      </w:r>
      <w:r w:rsidR="00CA7A63" w:rsidRPr="003834C8">
        <w:t> </w:t>
      </w:r>
      <w:r w:rsidRPr="003834C8">
        <w:t>2 év közötti kohorszba,</w:t>
      </w:r>
      <w:r w:rsidR="00644547" w:rsidRPr="003834C8">
        <w:t xml:space="preserve"> </w:t>
      </w:r>
      <w:r w:rsidRPr="003834C8">
        <w:t>és 16 (5,6%) alany a 0 és &lt;</w:t>
      </w:r>
      <w:r w:rsidR="00CA7A63" w:rsidRPr="003834C8">
        <w:t> </w:t>
      </w:r>
      <w:r w:rsidRPr="003834C8">
        <w:t>6 hónap közötti kohorszba. Összesen 28 (19,3%) gyermeknek és serdülőnek az edoxabán-csoportban és 31 (22,0%) gyermeknek és serdülőnek a kontrollcsoportban szerepelt daganatos megbetegedés a kórtörténetében. Az indexesemény típusa az edoxabán-csoport 145 betege közül 125 (86,2%) esetben és a kontrollcsoport 141 betege közül 121 (85,8%) esetben volt DVT, PE-vel vagy anélkül, míg a fennmaradó esetekben, az edoxabán-csoportban 20 (13,8%) és a kontrollcsoportban 20 (14,2%) esetben volt DVT nélküli PE. A DVT leggyakrabban az alsó végtagokon (50 [34,5%]) eset az edoxabán- és 44 [31,2%] a kontrollcsoportban), a felső végtagokon (22 [15,2%] vs. 24 [17,0%]) és az agyi vénás sinusban (27 [18,6%] vs. 21 [14,9%]) alakult ki.</w:t>
      </w:r>
    </w:p>
    <w:p w14:paraId="725F0EA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A3" w14:textId="1FC02C2A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HR az edoxabán csoportban a standard ellátást kapó kontrollcsoporthoz képest 1,01 volt (95%-o</w:t>
      </w:r>
      <w:r w:rsidR="00644547" w:rsidRPr="003834C8">
        <w:t xml:space="preserve">s </w:t>
      </w:r>
      <w:r w:rsidRPr="003834C8">
        <w:t>CI: 0,59</w:t>
      </w:r>
      <w:r w:rsidR="00CA5D2B" w:rsidRPr="003834C8">
        <w:noBreakHyphen/>
      </w:r>
      <w:r w:rsidRPr="003834C8">
        <w:t>1,72). A 95%-os CI felső határa (1,72) meghaladta az előre meghatározott 1,5 értékű non inferioritási határértéket, ezért az edoxabán standard ellátáshoz viszonyított non inferioritását nem sikerült igazolni (lásd 13. táblázat).</w:t>
      </w:r>
    </w:p>
    <w:p w14:paraId="54D07FAE" w14:textId="77777777" w:rsidR="00DD077B" w:rsidRPr="003834C8" w:rsidRDefault="00DD077B" w:rsidP="003834C8">
      <w:pPr>
        <w:tabs>
          <w:tab w:val="left" w:pos="0"/>
        </w:tabs>
      </w:pPr>
    </w:p>
    <w:p w14:paraId="725F0EA6" w14:textId="3EB55C2D" w:rsidR="00DD077B" w:rsidRPr="003834C8" w:rsidRDefault="004C5E69" w:rsidP="003834C8">
      <w:pPr>
        <w:pStyle w:val="Cmsor1"/>
        <w:keepNext/>
        <w:tabs>
          <w:tab w:val="left" w:pos="0"/>
          <w:tab w:val="left" w:pos="550"/>
        </w:tabs>
        <w:spacing w:before="0"/>
        <w:ind w:left="0"/>
        <w:rPr>
          <w:b w:val="0"/>
        </w:rPr>
      </w:pPr>
      <w:r w:rsidRPr="003834C8">
        <w:t xml:space="preserve">13- </w:t>
      </w:r>
      <w:r w:rsidR="0043432F" w:rsidRPr="003834C8">
        <w:t>táblázat: Megállapított összetett elsődleges hatásossági végpont – Fő kezelési szakasz (mITT</w:t>
      </w:r>
      <w:r w:rsidR="00644547" w:rsidRPr="003834C8">
        <w:t xml:space="preserve"> </w:t>
      </w:r>
      <w:r w:rsidR="0043432F" w:rsidRPr="003834C8">
        <w:t>elemzési adatkészlet)</w:t>
      </w:r>
    </w:p>
    <w:tbl>
      <w:tblPr>
        <w:tblStyle w:val="TableNormal"/>
        <w:tblW w:w="9290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5"/>
        <w:gridCol w:w="2268"/>
        <w:gridCol w:w="2767"/>
      </w:tblGrid>
      <w:tr w:rsidR="00DD077B" w:rsidRPr="003834C8" w14:paraId="725F0EAD" w14:textId="77777777" w:rsidTr="004C5E69">
        <w:trPr>
          <w:trHeight w:val="640"/>
        </w:trPr>
        <w:tc>
          <w:tcPr>
            <w:tcW w:w="4255" w:type="dxa"/>
            <w:shd w:val="clear" w:color="auto" w:fill="D9D9D9"/>
          </w:tcPr>
          <w:p w14:paraId="725F0EA8" w14:textId="77777777" w:rsidR="00DD077B" w:rsidRPr="003834C8" w:rsidRDefault="00DD077B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</w:p>
        </w:tc>
        <w:tc>
          <w:tcPr>
            <w:tcW w:w="2268" w:type="dxa"/>
            <w:shd w:val="clear" w:color="auto" w:fill="D9D9D9"/>
          </w:tcPr>
          <w:p w14:paraId="725F0EA9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r w:rsidRPr="003834C8">
              <w:rPr>
                <w:b/>
                <w:bCs/>
              </w:rPr>
              <w:t>Edoxabán</w:t>
            </w:r>
          </w:p>
          <w:p w14:paraId="725F0EAA" w14:textId="49DB88B5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r w:rsidRPr="003834C8">
              <w:rPr>
                <w:b/>
                <w:bCs/>
              </w:rPr>
              <w:t>(N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=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145)</w:t>
            </w:r>
          </w:p>
        </w:tc>
        <w:tc>
          <w:tcPr>
            <w:tcW w:w="2767" w:type="dxa"/>
            <w:shd w:val="clear" w:color="auto" w:fill="D9D9D9"/>
          </w:tcPr>
          <w:p w14:paraId="725F0EA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r w:rsidRPr="003834C8">
              <w:rPr>
                <w:b/>
                <w:bCs/>
              </w:rPr>
              <w:t>Standard ellátás</w:t>
            </w:r>
          </w:p>
          <w:p w14:paraId="725F0EAC" w14:textId="6E8A8B3A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  <w:rPr>
                <w:b/>
                <w:bCs/>
              </w:rPr>
            </w:pPr>
            <w:r w:rsidRPr="003834C8">
              <w:rPr>
                <w:b/>
                <w:bCs/>
              </w:rPr>
              <w:t>(N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=</w:t>
            </w:r>
            <w:r w:rsidR="002D3EC3" w:rsidRPr="003834C8">
              <w:rPr>
                <w:b/>
                <w:bCs/>
              </w:rPr>
              <w:t> </w:t>
            </w:r>
            <w:r w:rsidRPr="003834C8">
              <w:rPr>
                <w:b/>
                <w:bCs/>
              </w:rPr>
              <w:t>141)</w:t>
            </w:r>
          </w:p>
        </w:tc>
      </w:tr>
      <w:tr w:rsidR="00DD077B" w:rsidRPr="003834C8" w14:paraId="725F0EB1" w14:textId="77777777" w:rsidTr="004C5E69">
        <w:trPr>
          <w:trHeight w:val="378"/>
        </w:trPr>
        <w:tc>
          <w:tcPr>
            <w:tcW w:w="4255" w:type="dxa"/>
          </w:tcPr>
          <w:p w14:paraId="725F0EAE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Eseményeket tapasztaló alanyok (n, %)</w:t>
            </w:r>
          </w:p>
        </w:tc>
        <w:tc>
          <w:tcPr>
            <w:tcW w:w="2268" w:type="dxa"/>
          </w:tcPr>
          <w:p w14:paraId="725F0EAF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26 (17,9)</w:t>
            </w:r>
          </w:p>
        </w:tc>
        <w:tc>
          <w:tcPr>
            <w:tcW w:w="2767" w:type="dxa"/>
          </w:tcPr>
          <w:p w14:paraId="725F0EB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31 (22,0)</w:t>
            </w:r>
          </w:p>
        </w:tc>
      </w:tr>
      <w:tr w:rsidR="00DD077B" w:rsidRPr="003834C8" w14:paraId="725F0EB5" w14:textId="77777777" w:rsidTr="004C5E69">
        <w:trPr>
          <w:trHeight w:val="380"/>
        </w:trPr>
        <w:tc>
          <w:tcPr>
            <w:tcW w:w="4255" w:type="dxa"/>
          </w:tcPr>
          <w:p w14:paraId="725F0EB2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Tünetekkel járó, recidív VTE (n, %)</w:t>
            </w:r>
          </w:p>
        </w:tc>
        <w:tc>
          <w:tcPr>
            <w:tcW w:w="2268" w:type="dxa"/>
          </w:tcPr>
          <w:p w14:paraId="725F0EB3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5 (3,4)</w:t>
            </w:r>
          </w:p>
        </w:tc>
        <w:tc>
          <w:tcPr>
            <w:tcW w:w="2767" w:type="dxa"/>
          </w:tcPr>
          <w:p w14:paraId="725F0EB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 (1,4)</w:t>
            </w:r>
          </w:p>
        </w:tc>
      </w:tr>
      <w:tr w:rsidR="00DD077B" w:rsidRPr="003834C8" w14:paraId="725F0EB9" w14:textId="77777777" w:rsidTr="004C5E69">
        <w:trPr>
          <w:trHeight w:val="380"/>
        </w:trPr>
        <w:tc>
          <w:tcPr>
            <w:tcW w:w="4255" w:type="dxa"/>
          </w:tcPr>
          <w:p w14:paraId="725F0EB6" w14:textId="77777777" w:rsidR="00DD077B" w:rsidRPr="003834C8" w:rsidRDefault="0043432F" w:rsidP="003834C8">
            <w:pPr>
              <w:pStyle w:val="TableParagraph"/>
              <w:keepNext/>
              <w:tabs>
                <w:tab w:val="left" w:pos="426"/>
              </w:tabs>
              <w:ind w:left="426"/>
            </w:pPr>
            <w:r w:rsidRPr="003834C8">
              <w:t>PE DTV-vel vagy anélkül (n, %)</w:t>
            </w:r>
          </w:p>
        </w:tc>
        <w:tc>
          <w:tcPr>
            <w:tcW w:w="2268" w:type="dxa"/>
          </w:tcPr>
          <w:p w14:paraId="725F0EB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B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BD" w14:textId="77777777" w:rsidTr="004C5E69">
        <w:trPr>
          <w:trHeight w:val="378"/>
        </w:trPr>
        <w:tc>
          <w:tcPr>
            <w:tcW w:w="4255" w:type="dxa"/>
          </w:tcPr>
          <w:p w14:paraId="725F0EBA" w14:textId="77777777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Halálos kimenetelű PE (n, %)</w:t>
            </w:r>
          </w:p>
        </w:tc>
        <w:tc>
          <w:tcPr>
            <w:tcW w:w="2268" w:type="dxa"/>
          </w:tcPr>
          <w:p w14:paraId="725F0EB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BC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</w:tr>
      <w:tr w:rsidR="00DD077B" w:rsidRPr="003834C8" w14:paraId="725F0EC1" w14:textId="77777777" w:rsidTr="004C5E69">
        <w:trPr>
          <w:trHeight w:val="380"/>
        </w:trPr>
        <w:tc>
          <w:tcPr>
            <w:tcW w:w="4255" w:type="dxa"/>
          </w:tcPr>
          <w:p w14:paraId="725F0EBE" w14:textId="77777777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Nem halálos kimenetelű PE (n, %)</w:t>
            </w:r>
          </w:p>
        </w:tc>
        <w:tc>
          <w:tcPr>
            <w:tcW w:w="2268" w:type="dxa"/>
          </w:tcPr>
          <w:p w14:paraId="725F0EBF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C0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C5" w14:textId="77777777" w:rsidTr="004C5E69">
        <w:trPr>
          <w:trHeight w:val="380"/>
        </w:trPr>
        <w:tc>
          <w:tcPr>
            <w:tcW w:w="4255" w:type="dxa"/>
          </w:tcPr>
          <w:p w14:paraId="725F0EC2" w14:textId="77777777" w:rsidR="00DD077B" w:rsidRPr="003834C8" w:rsidRDefault="0043432F" w:rsidP="003834C8">
            <w:pPr>
              <w:pStyle w:val="TableParagraph"/>
              <w:keepNext/>
              <w:tabs>
                <w:tab w:val="left" w:pos="426"/>
              </w:tabs>
              <w:ind w:left="426"/>
            </w:pPr>
            <w:r w:rsidRPr="003834C8">
              <w:t>Csak DVT (n, %)</w:t>
            </w:r>
          </w:p>
        </w:tc>
        <w:tc>
          <w:tcPr>
            <w:tcW w:w="2268" w:type="dxa"/>
          </w:tcPr>
          <w:p w14:paraId="725F0EC3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5 (3,4)</w:t>
            </w:r>
          </w:p>
        </w:tc>
        <w:tc>
          <w:tcPr>
            <w:tcW w:w="2767" w:type="dxa"/>
          </w:tcPr>
          <w:p w14:paraId="725F0EC4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C9" w14:textId="77777777" w:rsidTr="004C5E69">
        <w:trPr>
          <w:trHeight w:val="378"/>
        </w:trPr>
        <w:tc>
          <w:tcPr>
            <w:tcW w:w="4255" w:type="dxa"/>
          </w:tcPr>
          <w:p w14:paraId="725F0EC6" w14:textId="77777777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Halálos kimenetelű DVT (n, %)</w:t>
            </w:r>
          </w:p>
        </w:tc>
        <w:tc>
          <w:tcPr>
            <w:tcW w:w="2268" w:type="dxa"/>
          </w:tcPr>
          <w:p w14:paraId="725F0EC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  <w:tc>
          <w:tcPr>
            <w:tcW w:w="2767" w:type="dxa"/>
          </w:tcPr>
          <w:p w14:paraId="725F0EC8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</w:tr>
      <w:tr w:rsidR="00DD077B" w:rsidRPr="003834C8" w14:paraId="725F0ECE" w14:textId="77777777" w:rsidTr="004C5E69">
        <w:trPr>
          <w:trHeight w:val="639"/>
        </w:trPr>
        <w:tc>
          <w:tcPr>
            <w:tcW w:w="4255" w:type="dxa"/>
          </w:tcPr>
          <w:p w14:paraId="725F0ECB" w14:textId="028E46C5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Nem halálos kimenetelű DVT (n,</w:t>
            </w:r>
            <w:r w:rsidR="00CA5D2B" w:rsidRPr="003834C8">
              <w:t xml:space="preserve"> </w:t>
            </w:r>
            <w:r w:rsidRPr="003834C8">
              <w:t>%)</w:t>
            </w:r>
          </w:p>
        </w:tc>
        <w:tc>
          <w:tcPr>
            <w:tcW w:w="2268" w:type="dxa"/>
          </w:tcPr>
          <w:p w14:paraId="725F0ECC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4 (2,8)</w:t>
            </w:r>
          </w:p>
        </w:tc>
        <w:tc>
          <w:tcPr>
            <w:tcW w:w="2767" w:type="dxa"/>
          </w:tcPr>
          <w:p w14:paraId="725F0ECD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0</w:t>
            </w:r>
          </w:p>
        </w:tc>
      </w:tr>
      <w:tr w:rsidR="00DD077B" w:rsidRPr="003834C8" w14:paraId="725F0ED3" w14:textId="77777777" w:rsidTr="004C5E69">
        <w:trPr>
          <w:trHeight w:val="901"/>
        </w:trPr>
        <w:tc>
          <w:tcPr>
            <w:tcW w:w="4255" w:type="dxa"/>
          </w:tcPr>
          <w:p w14:paraId="725F0ED0" w14:textId="77E51EDF" w:rsidR="00DD077B" w:rsidRPr="003834C8" w:rsidRDefault="0043432F" w:rsidP="003834C8">
            <w:pPr>
              <w:pStyle w:val="TableParagraph"/>
              <w:keepNext/>
              <w:tabs>
                <w:tab w:val="left" w:pos="709"/>
              </w:tabs>
              <w:ind w:left="709"/>
            </w:pPr>
            <w:r w:rsidRPr="003834C8">
              <w:t>Megmagyarázhatatlan halálozás, amelynél nem zárható ki a VTE (n,</w:t>
            </w:r>
            <w:r w:rsidR="00CA5D2B" w:rsidRPr="003834C8">
              <w:t xml:space="preserve"> </w:t>
            </w:r>
            <w:r w:rsidRPr="003834C8">
              <w:t>%)</w:t>
            </w:r>
          </w:p>
        </w:tc>
        <w:tc>
          <w:tcPr>
            <w:tcW w:w="2268" w:type="dxa"/>
          </w:tcPr>
          <w:p w14:paraId="725F0ED1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  <w:tc>
          <w:tcPr>
            <w:tcW w:w="2767" w:type="dxa"/>
          </w:tcPr>
          <w:p w14:paraId="725F0ED2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 (0,7)</w:t>
            </w:r>
          </w:p>
        </w:tc>
      </w:tr>
      <w:tr w:rsidR="00DD077B" w:rsidRPr="003834C8" w14:paraId="725F0ED8" w14:textId="77777777" w:rsidTr="004C5E69">
        <w:trPr>
          <w:trHeight w:val="640"/>
        </w:trPr>
        <w:tc>
          <w:tcPr>
            <w:tcW w:w="4255" w:type="dxa"/>
          </w:tcPr>
          <w:p w14:paraId="725F0ED5" w14:textId="7F1D87C6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A thromboticus teher változatlan vagy</w:t>
            </w:r>
            <w:r w:rsidR="00CA5D2B" w:rsidRPr="003834C8">
              <w:t xml:space="preserve"> </w:t>
            </w:r>
            <w:r w:rsidRPr="003834C8">
              <w:t>kiterjedt a képalkotás alapján (n, %)</w:t>
            </w:r>
          </w:p>
        </w:tc>
        <w:tc>
          <w:tcPr>
            <w:tcW w:w="2268" w:type="dxa"/>
          </w:tcPr>
          <w:p w14:paraId="725F0ED6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21 (14,5)</w:t>
            </w:r>
          </w:p>
        </w:tc>
        <w:tc>
          <w:tcPr>
            <w:tcW w:w="2767" w:type="dxa"/>
          </w:tcPr>
          <w:p w14:paraId="725F0ED7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29 (20,6)</w:t>
            </w:r>
          </w:p>
        </w:tc>
      </w:tr>
      <w:tr w:rsidR="00DD077B" w:rsidRPr="003834C8" w14:paraId="725F0EDC" w14:textId="77777777" w:rsidTr="004C5E69">
        <w:trPr>
          <w:trHeight w:val="378"/>
        </w:trPr>
        <w:tc>
          <w:tcPr>
            <w:tcW w:w="4255" w:type="dxa"/>
          </w:tcPr>
          <w:p w14:paraId="725F0ED9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Relatív hazárd</w:t>
            </w:r>
            <w:r w:rsidRPr="003834C8">
              <w:rPr>
                <w:vertAlign w:val="superscript"/>
              </w:rPr>
              <w:t>a</w:t>
            </w:r>
          </w:p>
        </w:tc>
        <w:tc>
          <w:tcPr>
            <w:tcW w:w="2268" w:type="dxa"/>
          </w:tcPr>
          <w:p w14:paraId="725F0EDA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1,01</w:t>
            </w:r>
          </w:p>
        </w:tc>
        <w:tc>
          <w:tcPr>
            <w:tcW w:w="2767" w:type="dxa"/>
          </w:tcPr>
          <w:p w14:paraId="725F0EDB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-</w:t>
            </w:r>
          </w:p>
        </w:tc>
      </w:tr>
      <w:tr w:rsidR="00DD077B" w:rsidRPr="003834C8" w14:paraId="725F0EE0" w14:textId="77777777" w:rsidTr="004C5E69">
        <w:trPr>
          <w:trHeight w:val="380"/>
        </w:trPr>
        <w:tc>
          <w:tcPr>
            <w:tcW w:w="4255" w:type="dxa"/>
          </w:tcPr>
          <w:p w14:paraId="725F0EDD" w14:textId="77777777" w:rsidR="00DD077B" w:rsidRPr="003834C8" w:rsidRDefault="0043432F" w:rsidP="003834C8">
            <w:pPr>
              <w:pStyle w:val="TableParagraph"/>
              <w:keepNext/>
              <w:tabs>
                <w:tab w:val="left" w:pos="567"/>
              </w:tabs>
              <w:ind w:left="426"/>
            </w:pPr>
            <w:r w:rsidRPr="003834C8">
              <w:t>2 oldalas 95%-os CI a relatív hazárdhoz</w:t>
            </w:r>
          </w:p>
        </w:tc>
        <w:tc>
          <w:tcPr>
            <w:tcW w:w="2268" w:type="dxa"/>
          </w:tcPr>
          <w:p w14:paraId="725F0EDE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(0,59; 1,72)</w:t>
            </w:r>
          </w:p>
        </w:tc>
        <w:tc>
          <w:tcPr>
            <w:tcW w:w="2767" w:type="dxa"/>
          </w:tcPr>
          <w:p w14:paraId="725F0EDF" w14:textId="77777777" w:rsidR="00DD077B" w:rsidRPr="003834C8" w:rsidRDefault="0043432F" w:rsidP="003834C8">
            <w:pPr>
              <w:pStyle w:val="TableParagraph"/>
              <w:keepNext/>
              <w:tabs>
                <w:tab w:val="left" w:pos="142"/>
              </w:tabs>
              <w:ind w:left="142"/>
            </w:pPr>
            <w:r w:rsidRPr="003834C8">
              <w:t>-</w:t>
            </w:r>
          </w:p>
        </w:tc>
      </w:tr>
    </w:tbl>
    <w:p w14:paraId="725F0EE1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CI = konfidencia intervallum; DVT = mélyvénás thrombosis (deep venous thrombosis); mITT = kezelésbe bevont, módosított (modified intent to treat); PE = pulmonalis embolia; VTE = vénás thromboemboliás események.</w:t>
      </w:r>
    </w:p>
    <w:p w14:paraId="725F0EE2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  <w:vertAlign w:val="superscript"/>
        </w:rPr>
        <w:t>a</w:t>
      </w:r>
      <w:r w:rsidRPr="003834C8">
        <w:rPr>
          <w:szCs w:val="20"/>
        </w:rPr>
        <w:t xml:space="preserve"> Edoxabán és standard ellátás közötti relatív hazárd</w:t>
      </w:r>
    </w:p>
    <w:p w14:paraId="725F0EE3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 xml:space="preserve">Megjegyzés: A megállapított összetett elsődleges hatásossági végpont összetevői: tüneteket okozó </w:t>
      </w:r>
      <w:r w:rsidRPr="003834C8">
        <w:rPr>
          <w:szCs w:val="20"/>
        </w:rPr>
        <w:lastRenderedPageBreak/>
        <w:t>recidív VTE, a VTE miatti halálozás, valamint a thromboticus terhelés, képalkotó vizsgálat alapján meghatározott változatlansága vagy kiterjedése.</w:t>
      </w:r>
    </w:p>
    <w:p w14:paraId="725F0EE4" w14:textId="77777777" w:rsidR="00DD077B" w:rsidRPr="003834C8" w:rsidRDefault="0043432F" w:rsidP="003834C8">
      <w:pPr>
        <w:pStyle w:val="Szvegtrzs"/>
        <w:tabs>
          <w:tab w:val="left" w:pos="0"/>
        </w:tabs>
        <w:rPr>
          <w:szCs w:val="20"/>
        </w:rPr>
      </w:pPr>
      <w:r w:rsidRPr="003834C8">
        <w:rPr>
          <w:szCs w:val="20"/>
        </w:rPr>
        <w:t>Megjegyzés: Meghatározás szerint a fő kezelési szakasz a randomizálástól a 3. havi vizitig + 3 nap tart.</w:t>
      </w:r>
    </w:p>
    <w:p w14:paraId="725F0EE5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7" w14:textId="7626FE43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elsődleges biztonságossági végpont a fő kezelési időszak (3 hónap + 3 nap) alatt bekövetkezett</w:t>
      </w:r>
      <w:r w:rsidR="00644547" w:rsidRPr="003834C8">
        <w:t xml:space="preserve"> </w:t>
      </w:r>
      <w:r w:rsidRPr="003834C8">
        <w:t>súlyos és CRNM vérzéses események kombinációja volt.</w:t>
      </w:r>
    </w:p>
    <w:p w14:paraId="725F0EE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9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biztonságossági eredmények hasonlóak voltak az edoxabán- és a standard ellátást kapó kontrollcsoportban. Az edoxabán csoportban összesen 3 (2,1%), a kontrollcsoportban pedig 5 (3,5%) alanynál fordult elő legalább 1 megállapított, igazolt súlyos és CRNM vérzéses esemény a fő kezelési szakaszban és kezelés alatt [HR (95%-os CI): 0,60 (0,139, 2,597)].</w:t>
      </w:r>
    </w:p>
    <w:p w14:paraId="725F0EE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B" w14:textId="66402E0D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5.2</w:t>
      </w:r>
      <w:r w:rsidRPr="003834C8">
        <w:rPr>
          <w:b/>
        </w:rPr>
        <w:tab/>
      </w:r>
      <w:r w:rsidR="0043432F" w:rsidRPr="003834C8">
        <w:rPr>
          <w:b/>
        </w:rPr>
        <w:t>Farmakokinetikai tulajdonságok</w:t>
      </w:r>
    </w:p>
    <w:p w14:paraId="725F0EE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EE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Felszívódás</w:t>
      </w:r>
    </w:p>
    <w:p w14:paraId="725F0EE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EF" w14:textId="38DE5193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felszívódás után 1</w:t>
      </w:r>
      <w:r w:rsidR="00FD4931" w:rsidRPr="003834C8">
        <w:noBreakHyphen/>
      </w:r>
      <w:r w:rsidRPr="003834C8">
        <w:t>2 óra múlva éri el a csúcs plazmakoncentrációt az edoxabán tabletták. szájon át történő alkalmazása után. Az abszolút biohasznosulás körülbelül 62%. Az edoxabán tabletták ét</w:t>
      </w:r>
      <w:r w:rsidR="00F42597" w:rsidRPr="003834C8">
        <w:t>kezés közben</w:t>
      </w:r>
      <w:r w:rsidRPr="003834C8">
        <w:t xml:space="preserve"> történő bevétele a csúcsexpozíciót változó mértékben növeli, de elenyésző hatása van az összexpozícióra. Az ENGAGE AF-TIMI 48 és a Hokusai-VTE vizsgálatokban, valamint gyermekgyógyászati hatásossági és biztonságossági vizsgálatokban az edoxabánt ét</w:t>
      </w:r>
      <w:r w:rsidR="003D1839">
        <w:t>kezés közben és attól függetlenül is</w:t>
      </w:r>
      <w:r w:rsidRPr="003834C8">
        <w:t xml:space="preserve"> alkalmazták. Az edoxabán 6,0-os vagy magasabb pH-n rosszul oldódik. Protonpumpa-gátlókkal való együttadásnak nem volt jelentős hatása az edoxabán expozíciójára.</w:t>
      </w:r>
    </w:p>
    <w:p w14:paraId="626CDD33" w14:textId="77777777" w:rsidR="00DD077B" w:rsidRPr="003834C8" w:rsidRDefault="00DD077B" w:rsidP="003834C8">
      <w:pPr>
        <w:tabs>
          <w:tab w:val="left" w:pos="0"/>
        </w:tabs>
      </w:pPr>
    </w:p>
    <w:p w14:paraId="725F0EF1" w14:textId="7F0303C7" w:rsidR="00DD077B" w:rsidRPr="003834C8" w:rsidRDefault="0043432F" w:rsidP="003834C8">
      <w:pPr>
        <w:pStyle w:val="Szvegtrzs"/>
        <w:tabs>
          <w:tab w:val="left" w:pos="0"/>
        </w:tabs>
      </w:pPr>
      <w:r w:rsidRPr="003834C8">
        <w:t>Egy vizsgálatban, amelybe 30 egészséges egyént vontak be, a porrá tört, almapürébe kevert és szájon át alkalmazott, illetve a vízben szuszpendált és nasogastricus szondán keresztül alkalmazott 60</w:t>
      </w:r>
      <w:r w:rsidR="0050166E">
        <w:t> mg</w:t>
      </w:r>
      <w:r w:rsidRPr="003834C8">
        <w:t xml:space="preserve"> edoxabánnak mind az átlagos AUC-, mind az átlagos C</w:t>
      </w:r>
      <w:r w:rsidRPr="005E4409">
        <w:rPr>
          <w:vertAlign w:val="subscript"/>
        </w:rPr>
        <w:t>max</w:t>
      </w:r>
      <w:r w:rsidRPr="003834C8">
        <w:t>-értéke bioekvivalens volt az ép tablettáéval. Tekintettel az edoxabán kiszámítható, dózisarányos farmakokinetikai profiljára, a vizsgálatból származó biohasznosulási eredmények nagy valószínűséggel az edoxabán alacsonyabb dózisaira is alkalmazhatóak.</w:t>
      </w:r>
    </w:p>
    <w:p w14:paraId="725F0EF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Eloszlás</w:t>
      </w:r>
    </w:p>
    <w:p w14:paraId="725F0EF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5" w14:textId="1D2D8F5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eloszlás kétfázisú. Az eloszlási térfogat átlaga (SD) 107 (19,9)</w:t>
      </w:r>
      <w:r w:rsidR="001A0C1A" w:rsidRPr="003834C8">
        <w:t> </w:t>
      </w:r>
      <w:r w:rsidRPr="003834C8">
        <w:t>l.</w:t>
      </w:r>
    </w:p>
    <w:p w14:paraId="725F0EF6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</w:t>
      </w:r>
      <w:r w:rsidRPr="003834C8">
        <w:rPr>
          <w:i/>
        </w:rPr>
        <w:t xml:space="preserve">in vitro </w:t>
      </w:r>
      <w:r w:rsidRPr="003834C8">
        <w:t>plazma fehérjekötődés körülbelül 55%. Napi egyszeri alkalmazás esetén az edoxabán nem kumulálódik (akkumulációs arány 1,14). A dinamikus egyensúlyi állapotú koncentrációk 3 napon belül alakulnak ki.</w:t>
      </w:r>
    </w:p>
    <w:p w14:paraId="725F0EF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Biotranszformáció</w:t>
      </w:r>
    </w:p>
    <w:p w14:paraId="725F0EF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A" w14:textId="77E0B74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plazmában a változatlan edoxabán a meghatározó forma. Az edoxabán (a karboxilészteráz 1 által mediált) hidrolízis, konjugáció vagy CYP3A4/5 általi oxidáció (&lt;</w:t>
      </w:r>
      <w:r w:rsidR="001A0C1A" w:rsidRPr="003834C8">
        <w:t> </w:t>
      </w:r>
      <w:r w:rsidRPr="003834C8">
        <w:t>10%) útján metabolizálódik. Az edoxabánnak három aktív metabolitja van, a hidrolízis során keletkező fő metabolit (M-4) aktív, és egészséges vizsgálati alanyokban az anyavegyület expozíciójának kevesebb mint 10%-át éri el. Az egyéb metabolitok expozíciója kevesebb mint 5%. Az edoxabán az efflux transzporter P-gp szubsztrátja, de nem szubsztrátja az uptake transzportereknek, mint amilyen a szerves anion polipeptid transzporter OATP1B1, a szerves anion transzporter OAT1 és OAT3, vagy a szerves kation transzporter OCT2. Aktív metabolitja az OATP1B1 szubsztrátja.</w:t>
      </w:r>
    </w:p>
    <w:p w14:paraId="725F0EFB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C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Elimináció</w:t>
      </w:r>
    </w:p>
    <w:p w14:paraId="725F0EF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EFE" w14:textId="56ABFB8F" w:rsidR="00DD077B" w:rsidRPr="003834C8" w:rsidRDefault="0043432F" w:rsidP="003834C8">
      <w:pPr>
        <w:pStyle w:val="Szvegtrzs"/>
        <w:tabs>
          <w:tab w:val="left" w:pos="0"/>
        </w:tabs>
      </w:pPr>
      <w:r w:rsidRPr="003834C8">
        <w:t>Egészséges vizsgálati alanyokban a becsült totális clearance 22</w:t>
      </w:r>
      <w:r w:rsidR="00541129" w:rsidRPr="003834C8">
        <w:t> </w:t>
      </w:r>
      <w:r w:rsidRPr="003834C8">
        <w:t>(±3)</w:t>
      </w:r>
      <w:r w:rsidR="00541129" w:rsidRPr="003834C8">
        <w:t> </w:t>
      </w:r>
      <w:r w:rsidRPr="003834C8">
        <w:t>l/óra, 50%-a a vesén keresztül</w:t>
      </w:r>
      <w:r w:rsidRPr="005E4409">
        <w:t xml:space="preserve"> </w:t>
      </w:r>
      <w:r w:rsidRPr="003834C8">
        <w:t>ürül (11</w:t>
      </w:r>
      <w:r w:rsidR="00541129" w:rsidRPr="003834C8">
        <w:t> </w:t>
      </w:r>
      <w:r w:rsidRPr="003834C8">
        <w:t xml:space="preserve">l/óra). Az alkalmazott </w:t>
      </w:r>
      <w:r w:rsidR="00EF3356" w:rsidRPr="003834C8">
        <w:t xml:space="preserve">dózis </w:t>
      </w:r>
      <w:r w:rsidRPr="003834C8">
        <w:t>körülbelül 35%-a ürül a vesén keresztül. A fennmaradó clearance-ért a metabolizmus és a biliáris/emésztőrendszeri kiválasztás felelős. Szájon át történő</w:t>
      </w:r>
      <w:r w:rsidRPr="005E4409">
        <w:t xml:space="preserve"> alkalmazás esetén a</w:t>
      </w:r>
      <w:r w:rsidRPr="003834C8">
        <w:t xml:space="preserve"> t</w:t>
      </w:r>
      <w:r w:rsidRPr="003834C8">
        <w:rPr>
          <w:vertAlign w:val="subscript"/>
        </w:rPr>
        <w:t>½</w:t>
      </w:r>
      <w:r w:rsidR="00541129" w:rsidRPr="003834C8">
        <w:t> 1</w:t>
      </w:r>
      <w:r w:rsidRPr="003834C8">
        <w:t>0</w:t>
      </w:r>
      <w:r w:rsidR="00541129" w:rsidRPr="003834C8">
        <w:noBreakHyphen/>
      </w:r>
      <w:r w:rsidRPr="003834C8">
        <w:t>14 óra.</w:t>
      </w:r>
    </w:p>
    <w:p w14:paraId="725F0EF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lastRenderedPageBreak/>
        <w:t>Linearitás/nonlinearitás</w:t>
      </w:r>
    </w:p>
    <w:p w14:paraId="725F0F01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3" w14:textId="0188E04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15 és 60</w:t>
      </w:r>
      <w:r w:rsidR="0050166E">
        <w:t> mg</w:t>
      </w:r>
      <w:r w:rsidRPr="003834C8">
        <w:t xml:space="preserve"> közötti </w:t>
      </w:r>
      <w:r w:rsidR="00EF3356" w:rsidRPr="003834C8">
        <w:t xml:space="preserve">dózisok </w:t>
      </w:r>
      <w:r w:rsidRPr="003834C8">
        <w:t>esetén egészséges vizsgálati alanyokban megközelítőleg a</w:t>
      </w:r>
      <w:r w:rsidR="00644547" w:rsidRPr="003834C8">
        <w:t xml:space="preserve"> </w:t>
      </w:r>
      <w:r w:rsidRPr="003834C8">
        <w:t>dózissal arányos farmakokinetikát mutat.</w:t>
      </w:r>
    </w:p>
    <w:p w14:paraId="725F0F0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5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Különleges betegcsoportok</w:t>
      </w:r>
    </w:p>
    <w:p w14:paraId="725F0F0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7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Idősek</w:t>
      </w:r>
    </w:p>
    <w:p w14:paraId="725F0F08" w14:textId="7AB48D18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veseműködés és a testtömeg figyelembevétele után az életkornak nem volt további, klinikailag jelentős befolyása az edoxabán farmakokinetikájára a NVAF </w:t>
      </w:r>
      <w:r w:rsidR="003834C8" w:rsidRPr="003834C8">
        <w:t xml:space="preserve">pivotális III. fázisú </w:t>
      </w:r>
      <w:r w:rsidRPr="003834C8">
        <w:t>vizsgálatának populációs farmakokinetikai analízise során (ENGAGE AF-TIMI 48).</w:t>
      </w:r>
    </w:p>
    <w:p w14:paraId="725F0F0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0A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Vesekárosodás</w:t>
      </w:r>
    </w:p>
    <w:p w14:paraId="725F0F0C" w14:textId="7B95CBB3" w:rsidR="00DD077B" w:rsidRPr="003834C8" w:rsidRDefault="0043432F" w:rsidP="003834C8">
      <w:pPr>
        <w:pStyle w:val="Szvegtrzs"/>
        <w:tabs>
          <w:tab w:val="left" w:pos="0"/>
        </w:tabs>
      </w:pPr>
      <w:r w:rsidRPr="003834C8">
        <w:t>Enyhe (CrCl &gt;</w:t>
      </w:r>
      <w:r w:rsidR="00541129" w:rsidRPr="003834C8">
        <w:t> </w:t>
      </w:r>
      <w:r w:rsidRPr="003834C8">
        <w:t>50</w:t>
      </w:r>
      <w:r w:rsidR="00541129" w:rsidRPr="003834C8">
        <w:t> </w:t>
      </w:r>
      <w:r w:rsidR="00541129" w:rsidRPr="003834C8">
        <w:noBreakHyphen/>
        <w:t> </w:t>
      </w:r>
      <w:r w:rsidRPr="003834C8">
        <w:t>80</w:t>
      </w:r>
      <w:r w:rsidR="00541129" w:rsidRPr="003834C8">
        <w:t> </w:t>
      </w:r>
      <w:r w:rsidRPr="003834C8">
        <w:t xml:space="preserve">ml/perc), közepes </w:t>
      </w:r>
      <w:r w:rsidR="00D51385">
        <w:t>fokú</w:t>
      </w:r>
      <w:r w:rsidR="00D51385" w:rsidRPr="003834C8">
        <w:t xml:space="preserve"> </w:t>
      </w:r>
      <w:r w:rsidRPr="003834C8">
        <w:t>(CrCl 30</w:t>
      </w:r>
      <w:r w:rsidR="00541129" w:rsidRPr="003834C8">
        <w:t> </w:t>
      </w:r>
      <w:r w:rsidR="00541129" w:rsidRPr="003834C8">
        <w:noBreakHyphen/>
        <w:t> </w:t>
      </w:r>
      <w:r w:rsidRPr="003834C8">
        <w:t>50</w:t>
      </w:r>
      <w:r w:rsidR="00541129" w:rsidRPr="003834C8">
        <w:t> </w:t>
      </w:r>
      <w:r w:rsidRPr="003834C8">
        <w:t>ml/perc) és súlyos fokú (CrCl</w:t>
      </w:r>
      <w:r w:rsidR="004C5E69" w:rsidRPr="003834C8">
        <w:t xml:space="preserve"> </w:t>
      </w:r>
      <w:r w:rsidRPr="003834C8">
        <w:t>&lt;</w:t>
      </w:r>
      <w:r w:rsidR="00541129" w:rsidRPr="003834C8">
        <w:t> </w:t>
      </w:r>
      <w:r w:rsidRPr="003834C8">
        <w:t>30</w:t>
      </w:r>
      <w:r w:rsidR="00541129" w:rsidRPr="003834C8">
        <w:t> </w:t>
      </w:r>
      <w:r w:rsidRPr="003834C8">
        <w:t>ml/perc, de nem dializált) vesekárosodásban szenvedő betegeknél a plazma AUC 32%, 74%, illetve 72%-kal emelkedett a normális veseműködésű betegekhez viszonyítva. Vesekárosodásban szenvedő betegeknél megváltozik a metabolikus profil, és nagyobb mennyiségű aktív metabolit képződik.</w:t>
      </w:r>
    </w:p>
    <w:p w14:paraId="725F0F0E" w14:textId="5883175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plazmakoncentrációja és az anti-Xa faktor aktivitás között lineáris összefüggés áll fenn a</w:t>
      </w:r>
      <w:r w:rsidR="004C5E69" w:rsidRPr="003834C8">
        <w:t xml:space="preserve"> </w:t>
      </w:r>
      <w:r w:rsidRPr="003834C8">
        <w:t>veseműködéstől függetlenül.</w:t>
      </w:r>
    </w:p>
    <w:p w14:paraId="725F0F0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Végstádiumú vesebetegségben szenvedő, peritoneális dialízissel kezelt betegeknél az összexpozíció 93%-kal magasabb volt, mint egészséges vizsgálati alanyoknál.</w:t>
      </w:r>
    </w:p>
    <w:p w14:paraId="632E17B9" w14:textId="77777777" w:rsidR="00DD077B" w:rsidRPr="003834C8" w:rsidRDefault="00DD077B" w:rsidP="003834C8">
      <w:pPr>
        <w:tabs>
          <w:tab w:val="left" w:pos="0"/>
        </w:tabs>
      </w:pPr>
    </w:p>
    <w:p w14:paraId="725F0F11" w14:textId="14291326" w:rsidR="00DD077B" w:rsidRPr="003834C8" w:rsidRDefault="0043432F" w:rsidP="003834C8">
      <w:pPr>
        <w:pStyle w:val="Szvegtrzs"/>
        <w:tabs>
          <w:tab w:val="left" w:pos="0"/>
        </w:tabs>
      </w:pPr>
      <w:r w:rsidRPr="003834C8">
        <w:t>Populációs farmakokinetikai modellezés azt igazolja, hogy az expozíció körülbelül megduplázódik súlyos vesekárosodásban szenvedő betegek (CrCl 15</w:t>
      </w:r>
      <w:r w:rsidR="001B4758" w:rsidRPr="003834C8">
        <w:noBreakHyphen/>
      </w:r>
      <w:r w:rsidRPr="003834C8">
        <w:t>29</w:t>
      </w:r>
      <w:r w:rsidR="001B4758" w:rsidRPr="003834C8">
        <w:t> </w:t>
      </w:r>
      <w:r w:rsidRPr="003834C8">
        <w:t>ml/perc) esetében a normális veseműködésű betegekhez viszonyítva.</w:t>
      </w:r>
    </w:p>
    <w:p w14:paraId="725F0F1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13" w14:textId="06F02C7A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Az alábbi, 14. táblázat mutatja be az edoxabán anti-Xa </w:t>
      </w:r>
      <w:r w:rsidR="00A51F26">
        <w:t xml:space="preserve">faktor </w:t>
      </w:r>
      <w:r w:rsidRPr="003834C8">
        <w:t>aktivitását CrCl kategóriák szerint az egyes javallatok esetében.</w:t>
      </w:r>
    </w:p>
    <w:p w14:paraId="725F0F14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15" w14:textId="372C81E7" w:rsidR="00DD077B" w:rsidRPr="003834C8" w:rsidRDefault="004C5E69" w:rsidP="003834C8">
      <w:pPr>
        <w:pStyle w:val="Cmsor1"/>
        <w:tabs>
          <w:tab w:val="left" w:pos="0"/>
          <w:tab w:val="left" w:pos="551"/>
        </w:tabs>
        <w:spacing w:before="0"/>
        <w:ind w:left="0"/>
      </w:pPr>
      <w:r w:rsidRPr="003834C8">
        <w:t xml:space="preserve">14. </w:t>
      </w:r>
      <w:r w:rsidR="0043432F" w:rsidRPr="003834C8">
        <w:t>táblázat: Az edoxabán anti-Xa faktor aktivitása CrCl szerint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1"/>
        <w:gridCol w:w="1701"/>
        <w:gridCol w:w="2409"/>
        <w:gridCol w:w="2409"/>
      </w:tblGrid>
      <w:tr w:rsidR="00DD077B" w:rsidRPr="003834C8" w14:paraId="725F0F1D" w14:textId="77777777" w:rsidTr="009B550C">
        <w:trPr>
          <w:trHeight w:val="1074"/>
          <w:tblHeader/>
        </w:trPr>
        <w:tc>
          <w:tcPr>
            <w:tcW w:w="1941" w:type="dxa"/>
            <w:shd w:val="clear" w:color="auto" w:fill="D9D9D9"/>
          </w:tcPr>
          <w:p w14:paraId="725F0F16" w14:textId="3CB48724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  <w:rPr>
                <w:b/>
              </w:rPr>
            </w:pPr>
            <w:r w:rsidRPr="003834C8">
              <w:rPr>
                <w:b/>
              </w:rPr>
              <w:t>Edoxabán</w:t>
            </w:r>
            <w:r w:rsidR="001B4758" w:rsidRPr="003834C8">
              <w:rPr>
                <w:b/>
              </w:rPr>
              <w:t xml:space="preserve"> </w:t>
            </w:r>
            <w:r w:rsidR="00EF3356" w:rsidRPr="003834C8">
              <w:rPr>
                <w:b/>
              </w:rPr>
              <w:t>dózis</w:t>
            </w:r>
          </w:p>
        </w:tc>
        <w:tc>
          <w:tcPr>
            <w:tcW w:w="1701" w:type="dxa"/>
            <w:shd w:val="clear" w:color="auto" w:fill="D9D9D9"/>
          </w:tcPr>
          <w:p w14:paraId="725F0F17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CrCl</w:t>
            </w:r>
          </w:p>
          <w:p w14:paraId="725F0F18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(ml/perc)</w:t>
            </w:r>
          </w:p>
        </w:tc>
        <w:tc>
          <w:tcPr>
            <w:tcW w:w="2409" w:type="dxa"/>
            <w:shd w:val="clear" w:color="auto" w:fill="D9D9D9"/>
          </w:tcPr>
          <w:p w14:paraId="725F0F19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Edoxabán</w:t>
            </w:r>
          </w:p>
          <w:p w14:paraId="725F0F1A" w14:textId="4FE39440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 xml:space="preserve">anti-Xa faktor aktivitás a </w:t>
            </w:r>
            <w:r w:rsidR="00EF3356" w:rsidRPr="003834C8">
              <w:rPr>
                <w:b/>
              </w:rPr>
              <w:t xml:space="preserve">a dózis </w:t>
            </w:r>
            <w:r w:rsidRPr="003834C8">
              <w:rPr>
                <w:b/>
              </w:rPr>
              <w:t>beadása után (NE/ml)</w:t>
            </w:r>
            <w:r w:rsidRPr="003834C8">
              <w:rPr>
                <w:b/>
                <w:vertAlign w:val="superscript"/>
              </w:rPr>
              <w:t>1</w:t>
            </w:r>
          </w:p>
        </w:tc>
        <w:tc>
          <w:tcPr>
            <w:tcW w:w="2409" w:type="dxa"/>
            <w:shd w:val="clear" w:color="auto" w:fill="D9D9D9"/>
          </w:tcPr>
          <w:p w14:paraId="725F0F1B" w14:textId="77777777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>Edoxabán</w:t>
            </w:r>
          </w:p>
          <w:p w14:paraId="725F0F1C" w14:textId="71CAFB32" w:rsidR="00DD077B" w:rsidRPr="003834C8" w:rsidRDefault="0043432F" w:rsidP="003834C8">
            <w:pPr>
              <w:pStyle w:val="TableParagraph"/>
              <w:tabs>
                <w:tab w:val="left" w:pos="0"/>
              </w:tabs>
              <w:rPr>
                <w:b/>
              </w:rPr>
            </w:pPr>
            <w:r w:rsidRPr="003834C8">
              <w:rPr>
                <w:b/>
              </w:rPr>
              <w:t xml:space="preserve">anti-Xa faktor aktivitás a </w:t>
            </w:r>
            <w:r w:rsidR="00EF3356" w:rsidRPr="003834C8">
              <w:rPr>
                <w:b/>
              </w:rPr>
              <w:t xml:space="preserve">a dózis </w:t>
            </w:r>
            <w:r w:rsidRPr="003834C8">
              <w:rPr>
                <w:b/>
              </w:rPr>
              <w:t>beadása előtt (NE/ml)</w:t>
            </w:r>
            <w:r w:rsidRPr="003834C8">
              <w:rPr>
                <w:b/>
                <w:vertAlign w:val="superscript"/>
              </w:rPr>
              <w:t>2</w:t>
            </w:r>
          </w:p>
        </w:tc>
      </w:tr>
      <w:tr w:rsidR="00DD077B" w:rsidRPr="003834C8" w14:paraId="725F0F20" w14:textId="77777777" w:rsidTr="004C5E69">
        <w:trPr>
          <w:trHeight w:val="297"/>
        </w:trPr>
        <w:tc>
          <w:tcPr>
            <w:tcW w:w="1941" w:type="dxa"/>
          </w:tcPr>
          <w:p w14:paraId="725F0F1E" w14:textId="77777777" w:rsidR="00DD077B" w:rsidRPr="003834C8" w:rsidRDefault="00DD077B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6519" w:type="dxa"/>
            <w:gridSpan w:val="3"/>
          </w:tcPr>
          <w:p w14:paraId="725F0F1F" w14:textId="0321B444" w:rsidR="00DD077B" w:rsidRPr="003834C8" w:rsidRDefault="0043432F" w:rsidP="003834C8">
            <w:pPr>
              <w:pStyle w:val="TableParagraph"/>
              <w:tabs>
                <w:tab w:val="left" w:pos="0"/>
              </w:tabs>
            </w:pPr>
            <w:r w:rsidRPr="003834C8">
              <w:t>Medián [2,5</w:t>
            </w:r>
            <w:r w:rsidR="001B4758" w:rsidRPr="003834C8">
              <w:noBreakHyphen/>
            </w:r>
            <w:r w:rsidRPr="003834C8">
              <w:t>97,5%-os tartomány]</w:t>
            </w:r>
          </w:p>
        </w:tc>
      </w:tr>
      <w:tr w:rsidR="00DD077B" w:rsidRPr="003834C8" w14:paraId="725F0F22" w14:textId="77777777" w:rsidTr="004C5E69">
        <w:trPr>
          <w:trHeight w:val="294"/>
        </w:trPr>
        <w:tc>
          <w:tcPr>
            <w:tcW w:w="8460" w:type="dxa"/>
            <w:gridSpan w:val="4"/>
            <w:shd w:val="clear" w:color="auto" w:fill="D9D9D9"/>
          </w:tcPr>
          <w:p w14:paraId="725F0F21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Stroke és szisztémás embólia megelőzése: NVAF</w:t>
            </w:r>
          </w:p>
        </w:tc>
      </w:tr>
      <w:tr w:rsidR="00751BFD" w:rsidRPr="003834C8" w14:paraId="725F0F27" w14:textId="77777777" w:rsidTr="003743A2">
        <w:trPr>
          <w:trHeight w:val="282"/>
        </w:trPr>
        <w:tc>
          <w:tcPr>
            <w:tcW w:w="1941" w:type="dxa"/>
            <w:vMerge w:val="restart"/>
          </w:tcPr>
          <w:p w14:paraId="725F0F23" w14:textId="282B98A9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30</w:t>
            </w:r>
            <w:r w:rsidR="0050166E">
              <w:t> mg</w:t>
            </w:r>
            <w:r w:rsidRPr="003834C8">
              <w:t xml:space="preserve"> naponta egyszer</w:t>
            </w:r>
          </w:p>
        </w:tc>
        <w:tc>
          <w:tcPr>
            <w:tcW w:w="1701" w:type="dxa"/>
            <w:vMerge w:val="restart"/>
            <w:vAlign w:val="center"/>
          </w:tcPr>
          <w:p w14:paraId="725F0F24" w14:textId="0E73CB4F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≥ 30 - ≤ 50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25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2,92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26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0,53</w:t>
            </w:r>
          </w:p>
        </w:tc>
      </w:tr>
      <w:tr w:rsidR="00751BFD" w:rsidRPr="003834C8" w14:paraId="725F0F2C" w14:textId="77777777" w:rsidTr="003743A2">
        <w:trPr>
          <w:trHeight w:val="273"/>
        </w:trPr>
        <w:tc>
          <w:tcPr>
            <w:tcW w:w="1941" w:type="dxa"/>
            <w:vMerge/>
          </w:tcPr>
          <w:p w14:paraId="725F0F28" w14:textId="614B9E7F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29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2A" w14:textId="0B4B420F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[0,33</w:t>
            </w:r>
            <w:r w:rsidRPr="003834C8">
              <w:noBreakHyphen/>
              <w:t>5,88]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2B" w14:textId="6132014E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[0,11</w:t>
            </w:r>
            <w:r w:rsidRPr="003834C8">
              <w:noBreakHyphen/>
              <w:t>2,06]</w:t>
            </w:r>
          </w:p>
        </w:tc>
      </w:tr>
      <w:tr w:rsidR="00751BFD" w:rsidRPr="003834C8" w14:paraId="725F0F31" w14:textId="77777777" w:rsidTr="003743A2">
        <w:trPr>
          <w:trHeight w:val="282"/>
        </w:trPr>
        <w:tc>
          <w:tcPr>
            <w:tcW w:w="1941" w:type="dxa"/>
            <w:vMerge w:val="restart"/>
          </w:tcPr>
          <w:p w14:paraId="725F0F2D" w14:textId="41F2590A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60</w:t>
            </w:r>
            <w:r w:rsidR="0050166E">
              <w:t> mg</w:t>
            </w:r>
            <w:r w:rsidRPr="003834C8">
              <w:t xml:space="preserve"> naponta egyszer</w:t>
            </w:r>
            <w:r w:rsidRPr="003834C8">
              <w:rPr>
                <w:vertAlign w:val="superscript"/>
              </w:rPr>
              <w:t>*</w:t>
            </w:r>
          </w:p>
        </w:tc>
        <w:tc>
          <w:tcPr>
            <w:tcW w:w="1701" w:type="dxa"/>
            <w:vMerge w:val="restart"/>
            <w:vAlign w:val="center"/>
          </w:tcPr>
          <w:p w14:paraId="725F0F2E" w14:textId="676EEB8D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50 </w:t>
            </w:r>
            <w:r w:rsidRPr="003834C8">
              <w:noBreakHyphen/>
              <w:t> ≤ 70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2F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4,52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30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0,83</w:t>
            </w:r>
          </w:p>
        </w:tc>
      </w:tr>
      <w:tr w:rsidR="00751BFD" w:rsidRPr="003834C8" w14:paraId="725F0F36" w14:textId="77777777" w:rsidTr="003743A2">
        <w:trPr>
          <w:trHeight w:val="273"/>
        </w:trPr>
        <w:tc>
          <w:tcPr>
            <w:tcW w:w="1941" w:type="dxa"/>
            <w:vMerge/>
          </w:tcPr>
          <w:p w14:paraId="725F0F32" w14:textId="1DA976BD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33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34" w14:textId="254F6EF8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[0,38</w:t>
            </w:r>
            <w:r w:rsidRPr="003834C8">
              <w:noBreakHyphen/>
              <w:t>7,64]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35" w14:textId="7360E566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[0,16</w:t>
            </w:r>
            <w:r w:rsidRPr="003834C8">
              <w:noBreakHyphen/>
              <w:t>2,61]</w:t>
            </w:r>
          </w:p>
        </w:tc>
      </w:tr>
      <w:tr w:rsidR="00751BFD" w:rsidRPr="003834C8" w14:paraId="725F0F3B" w14:textId="77777777" w:rsidTr="003743A2">
        <w:trPr>
          <w:trHeight w:val="282"/>
        </w:trPr>
        <w:tc>
          <w:tcPr>
            <w:tcW w:w="1941" w:type="dxa"/>
            <w:vMerge/>
          </w:tcPr>
          <w:p w14:paraId="725F0F37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38" w14:textId="06A3FDB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70 </w:t>
            </w:r>
            <w:r w:rsidRPr="003834C8">
              <w:noBreakHyphen/>
              <w:t> ≤ 90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39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4,12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3A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0,68</w:t>
            </w:r>
          </w:p>
        </w:tc>
      </w:tr>
      <w:tr w:rsidR="00751BFD" w:rsidRPr="003834C8" w14:paraId="725F0F40" w14:textId="77777777" w:rsidTr="003743A2">
        <w:trPr>
          <w:trHeight w:val="273"/>
        </w:trPr>
        <w:tc>
          <w:tcPr>
            <w:tcW w:w="1941" w:type="dxa"/>
            <w:vMerge/>
          </w:tcPr>
          <w:p w14:paraId="725F0F3C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3D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3E" w14:textId="5C4900B6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[0,19</w:t>
            </w:r>
            <w:r w:rsidRPr="003834C8">
              <w:noBreakHyphen/>
              <w:t>7,55]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3F" w14:textId="77AD3EE6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[0,05</w:t>
            </w:r>
            <w:r w:rsidRPr="003834C8">
              <w:noBreakHyphen/>
              <w:t>2,33]</w:t>
            </w:r>
          </w:p>
        </w:tc>
      </w:tr>
      <w:tr w:rsidR="00751BFD" w:rsidRPr="003834C8" w14:paraId="725F0F45" w14:textId="77777777" w:rsidTr="003743A2">
        <w:trPr>
          <w:trHeight w:val="281"/>
        </w:trPr>
        <w:tc>
          <w:tcPr>
            <w:tcW w:w="1941" w:type="dxa"/>
            <w:vMerge/>
          </w:tcPr>
          <w:p w14:paraId="725F0F41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42" w14:textId="12958700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90 </w:t>
            </w:r>
            <w:r w:rsidRPr="003834C8">
              <w:noBreakHyphen/>
              <w:t> ≤ 110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3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3,82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4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0,60</w:t>
            </w:r>
          </w:p>
        </w:tc>
      </w:tr>
      <w:tr w:rsidR="00751BFD" w:rsidRPr="003834C8" w14:paraId="725F0F4A" w14:textId="77777777" w:rsidTr="003743A2">
        <w:trPr>
          <w:trHeight w:val="274"/>
        </w:trPr>
        <w:tc>
          <w:tcPr>
            <w:tcW w:w="1941" w:type="dxa"/>
            <w:vMerge/>
          </w:tcPr>
          <w:p w14:paraId="725F0F46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47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48" w14:textId="0D68D602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[0,36</w:t>
            </w:r>
            <w:r w:rsidRPr="003834C8">
              <w:noBreakHyphen/>
              <w:t>7,39]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49" w14:textId="09E6B763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[0,14</w:t>
            </w:r>
            <w:r w:rsidRPr="003834C8">
              <w:noBreakHyphen/>
              <w:t>3,57]</w:t>
            </w:r>
          </w:p>
        </w:tc>
      </w:tr>
      <w:tr w:rsidR="00751BFD" w:rsidRPr="003834C8" w14:paraId="725F0F4F" w14:textId="77777777" w:rsidTr="003743A2">
        <w:trPr>
          <w:trHeight w:val="281"/>
        </w:trPr>
        <w:tc>
          <w:tcPr>
            <w:tcW w:w="1941" w:type="dxa"/>
            <w:vMerge/>
          </w:tcPr>
          <w:p w14:paraId="725F0F4B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4C" w14:textId="5FC16C19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110 </w:t>
            </w:r>
            <w:r w:rsidRPr="003834C8">
              <w:noBreakHyphen/>
              <w:t> ≤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D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3,16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4E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0,41</w:t>
            </w:r>
          </w:p>
        </w:tc>
      </w:tr>
      <w:tr w:rsidR="00751BFD" w:rsidRPr="003834C8" w14:paraId="725F0F54" w14:textId="77777777" w:rsidTr="003743A2">
        <w:trPr>
          <w:trHeight w:val="272"/>
        </w:trPr>
        <w:tc>
          <w:tcPr>
            <w:tcW w:w="1941" w:type="dxa"/>
            <w:vMerge/>
          </w:tcPr>
          <w:p w14:paraId="725F0F50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51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52" w14:textId="1A5CE70E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[0,28</w:t>
            </w:r>
            <w:r w:rsidRPr="003834C8">
              <w:noBreakHyphen/>
              <w:t>6,71]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53" w14:textId="7918D41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[0,15</w:t>
            </w:r>
            <w:r w:rsidRPr="003834C8">
              <w:noBreakHyphen/>
              <w:t>1,51]</w:t>
            </w:r>
          </w:p>
        </w:tc>
      </w:tr>
      <w:tr w:rsidR="00751BFD" w:rsidRPr="003834C8" w14:paraId="725F0F59" w14:textId="77777777" w:rsidTr="003743A2">
        <w:trPr>
          <w:trHeight w:val="282"/>
        </w:trPr>
        <w:tc>
          <w:tcPr>
            <w:tcW w:w="1941" w:type="dxa"/>
            <w:vMerge/>
          </w:tcPr>
          <w:p w14:paraId="725F0F55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56" w14:textId="488E0FB6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57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2,76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58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0,45</w:t>
            </w:r>
          </w:p>
        </w:tc>
      </w:tr>
      <w:tr w:rsidR="00751BFD" w:rsidRPr="003834C8" w14:paraId="725F0F5E" w14:textId="77777777" w:rsidTr="001E446C">
        <w:trPr>
          <w:trHeight w:val="273"/>
        </w:trPr>
        <w:tc>
          <w:tcPr>
            <w:tcW w:w="1941" w:type="dxa"/>
            <w:vMerge/>
          </w:tcPr>
          <w:p w14:paraId="725F0F5A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</w:tcPr>
          <w:p w14:paraId="725F0F5B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5C" w14:textId="0CFD955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[0,12</w:t>
            </w:r>
            <w:r w:rsidRPr="003834C8">
              <w:noBreakHyphen/>
              <w:t>6,10]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5D" w14:textId="77578E89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3,10]</w:t>
            </w:r>
          </w:p>
        </w:tc>
      </w:tr>
      <w:tr w:rsidR="00DD077B" w:rsidRPr="003834C8" w14:paraId="725F0F60" w14:textId="77777777" w:rsidTr="004C5E69">
        <w:trPr>
          <w:trHeight w:val="297"/>
        </w:trPr>
        <w:tc>
          <w:tcPr>
            <w:tcW w:w="8460" w:type="dxa"/>
            <w:gridSpan w:val="4"/>
            <w:shd w:val="clear" w:color="auto" w:fill="D9D9D9"/>
          </w:tcPr>
          <w:p w14:paraId="725F0F5F" w14:textId="77777777" w:rsidR="00DD077B" w:rsidRPr="003834C8" w:rsidRDefault="0043432F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DVT kezelése, PE kezelése és ismétlődő DVT és PE (VTE) megelőzése</w:t>
            </w:r>
          </w:p>
        </w:tc>
      </w:tr>
      <w:tr w:rsidR="00751BFD" w:rsidRPr="003834C8" w14:paraId="725F0F65" w14:textId="77777777" w:rsidTr="003743A2">
        <w:trPr>
          <w:trHeight w:val="281"/>
        </w:trPr>
        <w:tc>
          <w:tcPr>
            <w:tcW w:w="1941" w:type="dxa"/>
            <w:tcBorders>
              <w:bottom w:val="nil"/>
            </w:tcBorders>
          </w:tcPr>
          <w:p w14:paraId="725F0F61" w14:textId="2CD28F3F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30</w:t>
            </w:r>
            <w:r w:rsidR="0050166E">
              <w:t> mg</w:t>
            </w:r>
            <w:r w:rsidRPr="003834C8">
              <w:t xml:space="preserve"> naponta</w:t>
            </w:r>
          </w:p>
        </w:tc>
        <w:tc>
          <w:tcPr>
            <w:tcW w:w="1701" w:type="dxa"/>
            <w:vMerge w:val="restart"/>
            <w:vAlign w:val="center"/>
          </w:tcPr>
          <w:p w14:paraId="725F0F62" w14:textId="2EA0949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≥ 30 </w:t>
            </w:r>
            <w:r w:rsidRPr="003834C8">
              <w:noBreakHyphen/>
              <w:t> ≤ 50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3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2,21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4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0,22</w:t>
            </w:r>
          </w:p>
        </w:tc>
      </w:tr>
      <w:tr w:rsidR="00751BFD" w:rsidRPr="003834C8" w14:paraId="725F0F6A" w14:textId="77777777" w:rsidTr="003743A2">
        <w:trPr>
          <w:trHeight w:val="274"/>
        </w:trPr>
        <w:tc>
          <w:tcPr>
            <w:tcW w:w="1941" w:type="dxa"/>
            <w:tcBorders>
              <w:top w:val="nil"/>
            </w:tcBorders>
          </w:tcPr>
          <w:p w14:paraId="725F0F66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egyszer</w:t>
            </w:r>
          </w:p>
        </w:tc>
        <w:tc>
          <w:tcPr>
            <w:tcW w:w="1701" w:type="dxa"/>
            <w:vMerge/>
            <w:vAlign w:val="center"/>
          </w:tcPr>
          <w:p w14:paraId="725F0F67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68" w14:textId="61713135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[0,14</w:t>
            </w:r>
            <w:r w:rsidRPr="003834C8">
              <w:noBreakHyphen/>
              <w:t>4,47]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69" w14:textId="4E799B9D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1,09]</w:t>
            </w:r>
          </w:p>
        </w:tc>
      </w:tr>
      <w:tr w:rsidR="00751BFD" w:rsidRPr="003834C8" w14:paraId="725F0F6F" w14:textId="77777777" w:rsidTr="003743A2">
        <w:trPr>
          <w:trHeight w:val="281"/>
        </w:trPr>
        <w:tc>
          <w:tcPr>
            <w:tcW w:w="1941" w:type="dxa"/>
            <w:vMerge w:val="restart"/>
          </w:tcPr>
          <w:p w14:paraId="725F0F6B" w14:textId="17901555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  <w:r w:rsidRPr="003834C8">
              <w:t>60</w:t>
            </w:r>
            <w:r w:rsidR="0050166E">
              <w:t> mg</w:t>
            </w:r>
            <w:r w:rsidRPr="003834C8">
              <w:t xml:space="preserve"> naponta egyszer</w:t>
            </w:r>
            <w:r w:rsidRPr="003834C8">
              <w:rPr>
                <w:vertAlign w:val="superscript"/>
              </w:rPr>
              <w:t>*</w:t>
            </w:r>
          </w:p>
        </w:tc>
        <w:tc>
          <w:tcPr>
            <w:tcW w:w="1701" w:type="dxa"/>
            <w:vMerge w:val="restart"/>
            <w:vAlign w:val="center"/>
          </w:tcPr>
          <w:p w14:paraId="725F0F6C" w14:textId="2452ACA3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50 </w:t>
            </w:r>
            <w:r w:rsidRPr="003834C8">
              <w:noBreakHyphen/>
              <w:t> ≤ 70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D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3,42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6E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0,34</w:t>
            </w:r>
          </w:p>
        </w:tc>
      </w:tr>
      <w:tr w:rsidR="00751BFD" w:rsidRPr="003834C8" w14:paraId="725F0F74" w14:textId="77777777" w:rsidTr="003743A2">
        <w:trPr>
          <w:trHeight w:val="272"/>
        </w:trPr>
        <w:tc>
          <w:tcPr>
            <w:tcW w:w="1941" w:type="dxa"/>
            <w:vMerge/>
          </w:tcPr>
          <w:p w14:paraId="725F0F70" w14:textId="30C488E1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71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72" w14:textId="12B5ABF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[0,19</w:t>
            </w:r>
            <w:r w:rsidRPr="003834C8">
              <w:noBreakHyphen/>
              <w:t>6,13]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73" w14:textId="5E93699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3,10]</w:t>
            </w:r>
          </w:p>
        </w:tc>
      </w:tr>
      <w:tr w:rsidR="00751BFD" w:rsidRPr="003834C8" w14:paraId="725F0F79" w14:textId="77777777" w:rsidTr="003743A2">
        <w:trPr>
          <w:trHeight w:val="282"/>
        </w:trPr>
        <w:tc>
          <w:tcPr>
            <w:tcW w:w="1941" w:type="dxa"/>
            <w:vMerge/>
          </w:tcPr>
          <w:p w14:paraId="725F0F75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76" w14:textId="4770117A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70 </w:t>
            </w:r>
            <w:r w:rsidRPr="003834C8">
              <w:noBreakHyphen/>
              <w:t> ≤ 90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77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2,97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78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0,24</w:t>
            </w:r>
          </w:p>
        </w:tc>
      </w:tr>
      <w:tr w:rsidR="00751BFD" w:rsidRPr="003834C8" w14:paraId="725F0F7E" w14:textId="77777777" w:rsidTr="003743A2">
        <w:trPr>
          <w:trHeight w:val="273"/>
        </w:trPr>
        <w:tc>
          <w:tcPr>
            <w:tcW w:w="1941" w:type="dxa"/>
            <w:vMerge/>
          </w:tcPr>
          <w:p w14:paraId="725F0F7A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7B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7C" w14:textId="315B51C8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[0,24</w:t>
            </w:r>
            <w:r w:rsidRPr="003834C8">
              <w:noBreakHyphen/>
              <w:t>5,82]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7D" w14:textId="175D450B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1,77]</w:t>
            </w:r>
          </w:p>
        </w:tc>
      </w:tr>
      <w:tr w:rsidR="00751BFD" w:rsidRPr="003834C8" w14:paraId="725F0F83" w14:textId="77777777" w:rsidTr="003743A2">
        <w:trPr>
          <w:trHeight w:val="282"/>
        </w:trPr>
        <w:tc>
          <w:tcPr>
            <w:tcW w:w="1941" w:type="dxa"/>
            <w:vMerge/>
          </w:tcPr>
          <w:p w14:paraId="725F0F7F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80" w14:textId="6256E029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90 </w:t>
            </w:r>
            <w:r w:rsidRPr="003834C8">
              <w:noBreakHyphen/>
              <w:t> ≤ 110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1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2,82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2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0,20</w:t>
            </w:r>
          </w:p>
        </w:tc>
      </w:tr>
      <w:tr w:rsidR="00751BFD" w:rsidRPr="003834C8" w14:paraId="725F0F88" w14:textId="77777777" w:rsidTr="003743A2">
        <w:trPr>
          <w:trHeight w:val="273"/>
        </w:trPr>
        <w:tc>
          <w:tcPr>
            <w:tcW w:w="1941" w:type="dxa"/>
            <w:vMerge/>
          </w:tcPr>
          <w:p w14:paraId="725F0F84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85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86" w14:textId="39E25F8F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[0,14</w:t>
            </w:r>
            <w:r w:rsidRPr="003834C8">
              <w:noBreakHyphen/>
              <w:t>5,31]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87" w14:textId="3C78C28C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2,52]</w:t>
            </w:r>
          </w:p>
        </w:tc>
      </w:tr>
      <w:tr w:rsidR="00751BFD" w:rsidRPr="003834C8" w14:paraId="725F0F8D" w14:textId="77777777" w:rsidTr="003743A2">
        <w:trPr>
          <w:trHeight w:val="282"/>
        </w:trPr>
        <w:tc>
          <w:tcPr>
            <w:tcW w:w="1941" w:type="dxa"/>
            <w:vMerge/>
          </w:tcPr>
          <w:p w14:paraId="725F0F89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8A" w14:textId="14AA8B52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110 </w:t>
            </w:r>
            <w:r w:rsidRPr="003834C8">
              <w:noBreakHyphen/>
              <w:t> ≤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B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2,64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8C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0,17</w:t>
            </w:r>
          </w:p>
        </w:tc>
      </w:tr>
      <w:tr w:rsidR="00751BFD" w:rsidRPr="003834C8" w14:paraId="725F0F92" w14:textId="77777777" w:rsidTr="003743A2">
        <w:trPr>
          <w:trHeight w:val="273"/>
        </w:trPr>
        <w:tc>
          <w:tcPr>
            <w:tcW w:w="1941" w:type="dxa"/>
            <w:vMerge/>
          </w:tcPr>
          <w:p w14:paraId="725F0F8E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  <w:vAlign w:val="center"/>
          </w:tcPr>
          <w:p w14:paraId="725F0F8F" w14:textId="77777777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</w:p>
        </w:tc>
        <w:tc>
          <w:tcPr>
            <w:tcW w:w="2409" w:type="dxa"/>
            <w:tcBorders>
              <w:top w:val="nil"/>
            </w:tcBorders>
          </w:tcPr>
          <w:p w14:paraId="725F0F90" w14:textId="6DAF78E4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[0,13</w:t>
            </w:r>
            <w:r w:rsidRPr="003834C8">
              <w:noBreakHyphen/>
              <w:t>5,57]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91" w14:textId="7FBDB431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1,86]</w:t>
            </w:r>
          </w:p>
        </w:tc>
      </w:tr>
      <w:tr w:rsidR="00751BFD" w:rsidRPr="003834C8" w14:paraId="725F0F97" w14:textId="77777777" w:rsidTr="003743A2">
        <w:trPr>
          <w:trHeight w:val="281"/>
        </w:trPr>
        <w:tc>
          <w:tcPr>
            <w:tcW w:w="1941" w:type="dxa"/>
            <w:vMerge/>
          </w:tcPr>
          <w:p w14:paraId="725F0F93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 w:val="restart"/>
            <w:vAlign w:val="center"/>
          </w:tcPr>
          <w:p w14:paraId="725F0F94" w14:textId="2BB6B543" w:rsidR="00751BFD" w:rsidRPr="003834C8" w:rsidRDefault="00751BFD" w:rsidP="003834C8">
            <w:pPr>
              <w:pStyle w:val="TableParagraph"/>
              <w:tabs>
                <w:tab w:val="left" w:pos="186"/>
              </w:tabs>
              <w:ind w:left="186"/>
            </w:pPr>
            <w:r w:rsidRPr="003834C8">
              <w:t>&gt; 130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95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2,39</w:t>
            </w:r>
          </w:p>
        </w:tc>
        <w:tc>
          <w:tcPr>
            <w:tcW w:w="2409" w:type="dxa"/>
            <w:tcBorders>
              <w:bottom w:val="nil"/>
            </w:tcBorders>
          </w:tcPr>
          <w:p w14:paraId="725F0F96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0,13</w:t>
            </w:r>
          </w:p>
        </w:tc>
      </w:tr>
      <w:tr w:rsidR="00751BFD" w:rsidRPr="003834C8" w14:paraId="725F0F9C" w14:textId="77777777" w:rsidTr="001E446C">
        <w:trPr>
          <w:trHeight w:val="274"/>
        </w:trPr>
        <w:tc>
          <w:tcPr>
            <w:tcW w:w="1941" w:type="dxa"/>
            <w:vMerge/>
          </w:tcPr>
          <w:p w14:paraId="725F0F98" w14:textId="77777777" w:rsidR="00751BFD" w:rsidRPr="003834C8" w:rsidRDefault="00751BFD" w:rsidP="003834C8">
            <w:pPr>
              <w:pStyle w:val="TableParagraph"/>
              <w:tabs>
                <w:tab w:val="left" w:pos="142"/>
              </w:tabs>
              <w:ind w:left="142"/>
            </w:pPr>
          </w:p>
        </w:tc>
        <w:tc>
          <w:tcPr>
            <w:tcW w:w="1701" w:type="dxa"/>
            <w:vMerge/>
          </w:tcPr>
          <w:p w14:paraId="725F0F99" w14:textId="77777777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</w:p>
        </w:tc>
        <w:tc>
          <w:tcPr>
            <w:tcW w:w="2409" w:type="dxa"/>
            <w:tcBorders>
              <w:top w:val="nil"/>
            </w:tcBorders>
          </w:tcPr>
          <w:p w14:paraId="725F0F9A" w14:textId="1B548FC0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[0,10</w:t>
            </w:r>
            <w:r w:rsidRPr="003834C8">
              <w:noBreakHyphen/>
              <w:t>4,92]</w:t>
            </w:r>
          </w:p>
        </w:tc>
        <w:tc>
          <w:tcPr>
            <w:tcW w:w="2409" w:type="dxa"/>
            <w:tcBorders>
              <w:top w:val="nil"/>
            </w:tcBorders>
          </w:tcPr>
          <w:p w14:paraId="725F0F9B" w14:textId="161B8C5F" w:rsidR="00751BFD" w:rsidRPr="003834C8" w:rsidRDefault="00751BFD" w:rsidP="003834C8">
            <w:pPr>
              <w:pStyle w:val="TableParagraph"/>
              <w:tabs>
                <w:tab w:val="left" w:pos="0"/>
              </w:tabs>
            </w:pPr>
            <w:r w:rsidRPr="003834C8">
              <w:t>[0,00</w:t>
            </w:r>
            <w:r w:rsidRPr="003834C8">
              <w:noBreakHyphen/>
              <w:t>2,43]</w:t>
            </w:r>
          </w:p>
        </w:tc>
      </w:tr>
    </w:tbl>
    <w:p w14:paraId="725F0F9D" w14:textId="5B6E5319" w:rsidR="00DD077B" w:rsidRPr="003834C8" w:rsidRDefault="0043432F" w:rsidP="003834C8">
      <w:pPr>
        <w:pStyle w:val="Szvegtrzs"/>
        <w:tabs>
          <w:tab w:val="left" w:pos="0"/>
          <w:tab w:val="left" w:pos="284"/>
        </w:tabs>
        <w:rPr>
          <w:szCs w:val="20"/>
        </w:rPr>
      </w:pPr>
      <w:r w:rsidRPr="003834C8">
        <w:rPr>
          <w:szCs w:val="20"/>
          <w:vertAlign w:val="superscript"/>
        </w:rPr>
        <w:t>*</w:t>
      </w:r>
      <w:r w:rsidRPr="003834C8">
        <w:rPr>
          <w:szCs w:val="20"/>
        </w:rPr>
        <w:t>Alacsony, 60</w:t>
      </w:r>
      <w:r w:rsidR="001B4758" w:rsidRPr="003834C8">
        <w:rPr>
          <w:szCs w:val="20"/>
        </w:rPr>
        <w:t> </w:t>
      </w:r>
      <w:r w:rsidRPr="003834C8">
        <w:rPr>
          <w:szCs w:val="20"/>
        </w:rPr>
        <w:t>kg alatti testtömeg vagy bizonyos P-gp-gátlók egyidejű alkalmazása esetén</w:t>
      </w:r>
      <w:r w:rsidR="001B4758" w:rsidRPr="003834C8">
        <w:rPr>
          <w:szCs w:val="20"/>
        </w:rPr>
        <w:t xml:space="preserve"> </w:t>
      </w:r>
      <w:r w:rsidR="00A51F26">
        <w:rPr>
          <w:szCs w:val="20"/>
        </w:rPr>
        <w:t>dóziscsökkentés</w:t>
      </w:r>
      <w:r w:rsidR="00A51F26" w:rsidRPr="003834C8">
        <w:rPr>
          <w:szCs w:val="20"/>
        </w:rPr>
        <w:t xml:space="preserve"> </w:t>
      </w:r>
      <w:r w:rsidRPr="003834C8">
        <w:rPr>
          <w:szCs w:val="20"/>
        </w:rPr>
        <w:t>30</w:t>
      </w:r>
      <w:r w:rsidR="0050166E">
        <w:rPr>
          <w:szCs w:val="20"/>
        </w:rPr>
        <w:t> mg</w:t>
      </w:r>
      <w:r w:rsidRPr="003834C8">
        <w:rPr>
          <w:szCs w:val="20"/>
        </w:rPr>
        <w:t>-ra.</w:t>
      </w:r>
    </w:p>
    <w:p w14:paraId="725F0F9E" w14:textId="26ED4614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01"/>
        </w:tabs>
        <w:rPr>
          <w:szCs w:val="20"/>
        </w:rPr>
      </w:pPr>
      <w:r w:rsidRPr="003834C8">
        <w:rPr>
          <w:szCs w:val="20"/>
          <w:vertAlign w:val="superscript"/>
        </w:rPr>
        <w:t>1</w:t>
      </w:r>
      <w:r w:rsidR="00957969" w:rsidRPr="003834C8">
        <w:rPr>
          <w:szCs w:val="20"/>
        </w:rPr>
        <w:t xml:space="preserve"> </w:t>
      </w:r>
      <w:r w:rsidRPr="003834C8">
        <w:rPr>
          <w:szCs w:val="20"/>
        </w:rPr>
        <w:t xml:space="preserve">A </w:t>
      </w:r>
      <w:r w:rsidR="00E33640" w:rsidRPr="003834C8">
        <w:rPr>
          <w:szCs w:val="20"/>
        </w:rPr>
        <w:t xml:space="preserve">dózis </w:t>
      </w:r>
      <w:r w:rsidRPr="003834C8">
        <w:rPr>
          <w:szCs w:val="20"/>
        </w:rPr>
        <w:t>beadása után megegyezik a C</w:t>
      </w:r>
      <w:r w:rsidR="001B4758" w:rsidRPr="003834C8">
        <w:rPr>
          <w:szCs w:val="20"/>
          <w:vertAlign w:val="subscript"/>
        </w:rPr>
        <w:t>max</w:t>
      </w:r>
      <w:r w:rsidR="001B4758" w:rsidRPr="003834C8">
        <w:rPr>
          <w:szCs w:val="20"/>
        </w:rPr>
        <w:t>-</w:t>
      </w:r>
      <w:r w:rsidRPr="003834C8">
        <w:rPr>
          <w:szCs w:val="20"/>
        </w:rPr>
        <w:t xml:space="preserve">értékkel (a </w:t>
      </w:r>
      <w:r w:rsidR="00E33640" w:rsidRPr="003834C8">
        <w:rPr>
          <w:szCs w:val="20"/>
        </w:rPr>
        <w:t xml:space="preserve">dózis </w:t>
      </w:r>
      <w:r w:rsidRPr="003834C8">
        <w:rPr>
          <w:szCs w:val="20"/>
        </w:rPr>
        <w:t>beadása utáni mintákat az edoxabán alkalmazása után 1</w:t>
      </w:r>
      <w:r w:rsidR="001B4758" w:rsidRPr="003834C8">
        <w:rPr>
          <w:szCs w:val="20"/>
        </w:rPr>
        <w:noBreakHyphen/>
      </w:r>
      <w:r w:rsidRPr="003834C8">
        <w:rPr>
          <w:szCs w:val="20"/>
        </w:rPr>
        <w:t>3 órával vették le)</w:t>
      </w:r>
    </w:p>
    <w:p w14:paraId="725F0F9F" w14:textId="4075CED1" w:rsidR="00DD077B" w:rsidRPr="003834C8" w:rsidRDefault="0043432F" w:rsidP="003834C8">
      <w:pPr>
        <w:pStyle w:val="Szvegtrzs"/>
        <w:tabs>
          <w:tab w:val="left" w:pos="0"/>
          <w:tab w:val="left" w:pos="284"/>
          <w:tab w:val="left" w:pos="501"/>
        </w:tabs>
        <w:rPr>
          <w:szCs w:val="20"/>
        </w:rPr>
      </w:pPr>
      <w:r w:rsidRPr="003834C8">
        <w:rPr>
          <w:szCs w:val="20"/>
          <w:vertAlign w:val="superscript"/>
        </w:rPr>
        <w:t>2</w:t>
      </w:r>
      <w:r w:rsidR="00957969" w:rsidRPr="003834C8">
        <w:rPr>
          <w:szCs w:val="20"/>
        </w:rPr>
        <w:t xml:space="preserve"> </w:t>
      </w:r>
      <w:r w:rsidRPr="003834C8">
        <w:rPr>
          <w:szCs w:val="20"/>
        </w:rPr>
        <w:t xml:space="preserve">A </w:t>
      </w:r>
      <w:r w:rsidR="00E33640" w:rsidRPr="003834C8">
        <w:rPr>
          <w:szCs w:val="20"/>
        </w:rPr>
        <w:t xml:space="preserve">dózis </w:t>
      </w:r>
      <w:r w:rsidRPr="003834C8">
        <w:rPr>
          <w:szCs w:val="20"/>
        </w:rPr>
        <w:t>beadása előtt megegyezik a C</w:t>
      </w:r>
      <w:r w:rsidR="001B4758" w:rsidRPr="003834C8">
        <w:rPr>
          <w:szCs w:val="20"/>
          <w:vertAlign w:val="subscript"/>
        </w:rPr>
        <w:t>min</w:t>
      </w:r>
      <w:r w:rsidR="001B4758" w:rsidRPr="003834C8">
        <w:rPr>
          <w:szCs w:val="20"/>
        </w:rPr>
        <w:t>-</w:t>
      </w:r>
      <w:r w:rsidRPr="003834C8">
        <w:rPr>
          <w:szCs w:val="20"/>
        </w:rPr>
        <w:t>értékkel</w:t>
      </w:r>
    </w:p>
    <w:p w14:paraId="725F0FA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1" w14:textId="3276DC52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Bár az edoxabán-kezelés alatt nem szükséges a rutinszerű monitorozás, a véralvadásgátlásra gyakorolt hatás kalibrált kvantitatív anti-Xa </w:t>
      </w:r>
      <w:r w:rsidR="00A51F26">
        <w:t xml:space="preserve">faktor </w:t>
      </w:r>
      <w:r w:rsidRPr="003834C8">
        <w:t>teszttel becsülhető, ami bizonyos helyzetekben segíthet a klinikai döntésekben, p</w:t>
      </w:r>
      <w:r w:rsidR="00A51F26">
        <w:t>éldául</w:t>
      </w:r>
      <w:r w:rsidRPr="003834C8">
        <w:t xml:space="preserve"> túladagolás és sürgős műtét esetén (lásd még 4.4 pont).</w:t>
      </w:r>
    </w:p>
    <w:p w14:paraId="3B4D8ADA" w14:textId="77777777" w:rsidR="00802439" w:rsidRPr="003834C8" w:rsidRDefault="00802439" w:rsidP="003834C8">
      <w:pPr>
        <w:pStyle w:val="Szvegtrzs"/>
        <w:tabs>
          <w:tab w:val="left" w:pos="0"/>
        </w:tabs>
      </w:pPr>
    </w:p>
    <w:p w14:paraId="725F0FA3" w14:textId="028C0B82" w:rsidR="00DD077B" w:rsidRPr="003834C8" w:rsidRDefault="00802439" w:rsidP="003834C8">
      <w:pPr>
        <w:pStyle w:val="Szvegtrzs"/>
        <w:tabs>
          <w:tab w:val="left" w:pos="0"/>
        </w:tabs>
      </w:pPr>
      <w:r w:rsidRPr="003834C8">
        <w:t>4 órás</w:t>
      </w:r>
      <w:r w:rsidR="0043432F" w:rsidRPr="003834C8">
        <w:t xml:space="preserve"> hemodialízis kezelés kevesebb mint 9%-kal csökkentette az össz edoxabán</w:t>
      </w:r>
      <w:r w:rsidR="00E94804">
        <w:t>-</w:t>
      </w:r>
      <w:r w:rsidR="0043432F" w:rsidRPr="003834C8">
        <w:t>expozíciót.</w:t>
      </w:r>
    </w:p>
    <w:p w14:paraId="51B111DF" w14:textId="77777777" w:rsidR="00DD077B" w:rsidRPr="003834C8" w:rsidRDefault="00DD077B" w:rsidP="003834C8">
      <w:pPr>
        <w:tabs>
          <w:tab w:val="left" w:pos="0"/>
        </w:tabs>
      </w:pPr>
    </w:p>
    <w:p w14:paraId="725F0FA5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Májkárosodás</w:t>
      </w:r>
    </w:p>
    <w:p w14:paraId="725F0FA6" w14:textId="5CE1DD40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Enyhe vagy közepesen súlyos </w:t>
      </w:r>
      <w:r w:rsidR="00067884">
        <w:t xml:space="preserve">fokú </w:t>
      </w:r>
      <w:r w:rsidRPr="003834C8">
        <w:t>májkárosodásban szenvedő betegek az egészséges kontrollcsoporthoz hasonló farmakokinetikát és farmakodinámiát mutattak. Az edoxabánt nem vizsgálták súlyos májkárosodásban szenvedő betegeknél (lásd 4.2 pont).</w:t>
      </w:r>
    </w:p>
    <w:p w14:paraId="725F0FA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8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Nemek közötti különbségek</w:t>
      </w:r>
    </w:p>
    <w:p w14:paraId="725F0FA9" w14:textId="580D698D" w:rsidR="00DD077B" w:rsidRPr="003834C8" w:rsidRDefault="0043432F" w:rsidP="003834C8">
      <w:pPr>
        <w:pStyle w:val="Szvegtrzs"/>
        <w:tabs>
          <w:tab w:val="left" w:pos="0"/>
        </w:tabs>
      </w:pPr>
      <w:r w:rsidRPr="003834C8">
        <w:t xml:space="preserve">A testtömeg figyelembevétele után a nemi különbségnek nem volt klinikailag jelentős befolyása az edoxabán farmakokinetikájára a NVAF </w:t>
      </w:r>
      <w:r w:rsidR="00E94804" w:rsidRPr="00E94804">
        <w:t>III. fázisú</w:t>
      </w:r>
      <w:r w:rsidRPr="003834C8">
        <w:t xml:space="preserve"> vizsgálatának populációs farmakokinetikai analízise során (ENGAGE AF-TIMI 48).</w:t>
      </w:r>
    </w:p>
    <w:p w14:paraId="725F0FA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B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Etnikai hovatartozás</w:t>
      </w:r>
    </w:p>
    <w:p w14:paraId="725F0FAD" w14:textId="4E912221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ENGAGE AF-TIMI 48 vizsgálat populációs farmakokinetikai analízise során a csúcs- és</w:t>
      </w:r>
      <w:r w:rsidR="005A0DC3" w:rsidRPr="003834C8">
        <w:t xml:space="preserve"> </w:t>
      </w:r>
      <w:r w:rsidRPr="003834C8">
        <w:t>összexpozíció hasonló volt ázsiai és nem ázsiai betegeknél.</w:t>
      </w:r>
    </w:p>
    <w:p w14:paraId="725F0FA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AF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Gyermekek és serdülők</w:t>
      </w:r>
    </w:p>
    <w:p w14:paraId="725F0FB2" w14:textId="5339A0A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farmakokinetikáját 208 gyermekgyógyászati alanynál értékelték 3 klinikai vizsgálatban (Hokusai VTE PEDIATRICS, ENNOBLE-ATE és egy egydózisú PK/PD vizsgálat) populációs farmakokinetikai (PopPK) modell segítségével. A Hokusai VTE PEDIATRICS és az ENNOBLE-ATE vizsgálatokba bevont 141 gyermek- és serdülőkorú beteg farmakokinetikai adatait a PopPK analízis tartalmazta. Az edoxabán-expozíció a gyermek- és serdülőkorú alanyoknál általában a felnőtt betegeknél megfigyelt expozíció tartományán belül esett, de a 12 és &lt;</w:t>
      </w:r>
      <w:r w:rsidR="00752FF3" w:rsidRPr="003834C8">
        <w:t> </w:t>
      </w:r>
      <w:r w:rsidRPr="003834C8">
        <w:t>18 év közötti serdülőknél</w:t>
      </w:r>
      <w:r w:rsidR="005A0DC3" w:rsidRPr="003834C8">
        <w:t xml:space="preserve"> </w:t>
      </w:r>
      <w:r w:rsidRPr="003834C8">
        <w:t>20</w:t>
      </w:r>
      <w:r w:rsidR="00752FF3" w:rsidRPr="003834C8">
        <w:noBreakHyphen/>
      </w:r>
      <w:r w:rsidRPr="003834C8">
        <w:t>30%-ban alacsonyabb volt az expozíció, mint az edoxabán 60</w:t>
      </w:r>
      <w:r w:rsidR="0050166E">
        <w:t> mg</w:t>
      </w:r>
      <w:r w:rsidRPr="003834C8">
        <w:t xml:space="preserve"> tablettát kapó felnőtteknél. A Hokusai VTE PEDIATRICS ÉS az ENNOBLE-ATE vizsgálatokban az edoxabán minimális expozíciójának mértani átlaga a gyermekgyógyászati populációban 7,8</w:t>
      </w:r>
      <w:r w:rsidR="00752FF3" w:rsidRPr="003834C8">
        <w:t> </w:t>
      </w:r>
      <w:r w:rsidRPr="003834C8">
        <w:t>ng/ml volt a 0</w:t>
      </w:r>
      <w:r w:rsidR="00752FF3" w:rsidRPr="003834C8">
        <w:noBreakHyphen/>
      </w:r>
      <w:r w:rsidRPr="003834C8">
        <w:t>6 hónapos betegeknél (n=9), 8,6</w:t>
      </w:r>
      <w:r w:rsidR="00752FF3" w:rsidRPr="003834C8">
        <w:t> </w:t>
      </w:r>
      <w:r w:rsidRPr="003834C8">
        <w:t>ng/ml a 6 hónap és 2 év közötti betegeknél (n=19), 7,4</w:t>
      </w:r>
      <w:r w:rsidR="00752FF3" w:rsidRPr="003834C8">
        <w:t> </w:t>
      </w:r>
      <w:r w:rsidRPr="003834C8">
        <w:t>ng/ml a 2</w:t>
      </w:r>
      <w:r w:rsidR="00752FF3" w:rsidRPr="003834C8">
        <w:noBreakHyphen/>
      </w:r>
      <w:r w:rsidRPr="003834C8">
        <w:t>6 éveseknél</w:t>
      </w:r>
      <w:r w:rsidR="005A0DC3" w:rsidRPr="003834C8">
        <w:t xml:space="preserve"> </w:t>
      </w:r>
      <w:r w:rsidRPr="003834C8">
        <w:t>(n=36), 13,7</w:t>
      </w:r>
      <w:r w:rsidR="00752FF3" w:rsidRPr="003834C8">
        <w:t> </w:t>
      </w:r>
      <w:r w:rsidRPr="003834C8">
        <w:t>ng/ml a 6</w:t>
      </w:r>
      <w:r w:rsidR="00752FF3" w:rsidRPr="003834C8">
        <w:noBreakHyphen/>
      </w:r>
      <w:r w:rsidRPr="003834C8">
        <w:t>12 éveseknél (n=38) és 10,8</w:t>
      </w:r>
      <w:r w:rsidR="00752FF3" w:rsidRPr="003834C8">
        <w:t> </w:t>
      </w:r>
      <w:r w:rsidRPr="003834C8">
        <w:t>ng/ml a 12</w:t>
      </w:r>
      <w:r w:rsidR="00752FF3" w:rsidRPr="003834C8">
        <w:noBreakHyphen/>
      </w:r>
      <w:r w:rsidRPr="003834C8">
        <w:t>18 éveseknél (n=39).</w:t>
      </w:r>
    </w:p>
    <w:p w14:paraId="725F0FB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4" w14:textId="77777777" w:rsidR="00DD077B" w:rsidRPr="003834C8" w:rsidRDefault="0043432F" w:rsidP="003834C8">
      <w:pPr>
        <w:tabs>
          <w:tab w:val="left" w:pos="0"/>
        </w:tabs>
        <w:rPr>
          <w:i/>
        </w:rPr>
      </w:pPr>
      <w:r w:rsidRPr="003834C8">
        <w:rPr>
          <w:i/>
        </w:rPr>
        <w:t>Testtömeg</w:t>
      </w:r>
    </w:p>
    <w:p w14:paraId="725F0FB5" w14:textId="03DC7DBC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NVAF-ban szenvedő betegek részvételével végzett ENGAGE AF-TIMI 48 vizsgálat populációs farmakokinetikai analízise során az átlagosan alacsony testtömeg</w:t>
      </w:r>
      <w:r w:rsidR="00F54E0B">
        <w:t>ű</w:t>
      </w:r>
      <w:r w:rsidRPr="003834C8">
        <w:t xml:space="preserve"> betegek (55</w:t>
      </w:r>
      <w:r w:rsidR="00752FF3" w:rsidRPr="003834C8">
        <w:t> </w:t>
      </w:r>
      <w:r w:rsidRPr="003834C8">
        <w:t>kg) esetében a C</w:t>
      </w:r>
      <w:r w:rsidRPr="003834C8">
        <w:rPr>
          <w:vertAlign w:val="subscript"/>
        </w:rPr>
        <w:t>max</w:t>
      </w:r>
      <w:r w:rsidRPr="003834C8">
        <w:t xml:space="preserve"> és az AUC 40%-, illetve 13%-kal emelkedett az átlagosan magas testtömegű betegekhez (84</w:t>
      </w:r>
      <w:r w:rsidR="00752FF3" w:rsidRPr="003834C8">
        <w:t> </w:t>
      </w:r>
      <w:r w:rsidRPr="003834C8">
        <w:t xml:space="preserve">kg) </w:t>
      </w:r>
      <w:r w:rsidRPr="003834C8">
        <w:lastRenderedPageBreak/>
        <w:t xml:space="preserve">viszonyítva. </w:t>
      </w:r>
      <w:r w:rsidR="005D662E" w:rsidRPr="005D662E">
        <w:t>III. fázisú</w:t>
      </w:r>
      <w:r w:rsidRPr="003834C8">
        <w:t xml:space="preserve"> vizsgálatokban (NVAF és VTE javallatokban egyaránt) a 60</w:t>
      </w:r>
      <w:r w:rsidR="00752FF3" w:rsidRPr="003834C8">
        <w:t> </w:t>
      </w:r>
      <w:r w:rsidRPr="003834C8">
        <w:t xml:space="preserve">kg-os vagy az alatti testtömegű betegeknél az edoxabán </w:t>
      </w:r>
      <w:r w:rsidR="00E33640" w:rsidRPr="003834C8">
        <w:t xml:space="preserve">dózisát </w:t>
      </w:r>
      <w:r w:rsidRPr="003834C8">
        <w:t>50%-kal csökkentették, és hasonló hatásosságot, valamint kevesebb vérzést észleltek, mint a warfarinnal kezelt csoportban.</w:t>
      </w:r>
    </w:p>
    <w:p w14:paraId="725F0FB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7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Farmakokinetikai/farmakodinámiás összefüggés(ek)</w:t>
      </w:r>
    </w:p>
    <w:p w14:paraId="725F0FB8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9" w14:textId="14EF0165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PT, INR, aPTT és az anti-FXa lineárisan korrelál a felnőtteknél elért edoxabán koncentrációkkal. A születés és 18 éves kor közötti gyermek- és serdülőkorú betegeknél lineáris korrelációt figyeltek meg az anti-FXa aktivitás és az edoxabán plazmakoncentrációja között. Összességében a PK-PD összefüggések hasonlóak voltak a születés és 18 éves kor közötti gyermek- és serdülőkorú betegek és a felnőtt VTE-betegek esetében. A PD variabilitása azonban jelentős bizonytalanságot eredményezett ennek a kapcsolatnak az értékelésében.</w:t>
      </w:r>
    </w:p>
    <w:p w14:paraId="725F0FB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B" w14:textId="77777777" w:rsidR="00DD077B" w:rsidRPr="003834C8" w:rsidRDefault="0043432F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A preklinikai biztonságossági vizsgálatok eredményei</w:t>
      </w:r>
    </w:p>
    <w:p w14:paraId="725F0FB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BD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hagyományos – farmakológiai biztonságossági, ismételt adagolású dózistoxicitási, genotoxicitási, karcinogenitási vagy fotoxicitási – vizsgálatokból származó nem klinikai jellegű adatok azt igazolták, hogy a készítmény alkalmazásakor humán vonatkozásban különleges kockázat nem várható.</w:t>
      </w:r>
    </w:p>
    <w:p w14:paraId="725F0FBE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B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Reproduktív toxikológia</w:t>
      </w:r>
    </w:p>
    <w:p w14:paraId="725F0FC0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1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Az edoxabán nagyobb dózisokban patkányoknál és nyulaknál hüvelyi vérzést okozott, de nem befolyásolta a felnőtt patkányok reproduktív teljesítményét.</w:t>
      </w:r>
    </w:p>
    <w:p w14:paraId="725F0FC2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3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Patkányoknál nem észleltek a hím vagy nőstény termékenységre gyakorolt hatásokat.</w:t>
      </w:r>
    </w:p>
    <w:p w14:paraId="7B156BC0" w14:textId="77777777" w:rsidR="00DD077B" w:rsidRPr="003834C8" w:rsidRDefault="00DD077B" w:rsidP="003834C8">
      <w:pPr>
        <w:tabs>
          <w:tab w:val="left" w:pos="0"/>
        </w:tabs>
      </w:pPr>
    </w:p>
    <w:p w14:paraId="725F0FC5" w14:textId="03A2DB8A" w:rsidR="00DD077B" w:rsidRPr="003834C8" w:rsidRDefault="0043432F" w:rsidP="003834C8">
      <w:pPr>
        <w:pStyle w:val="Szvegtrzs"/>
        <w:tabs>
          <w:tab w:val="left" w:pos="0"/>
        </w:tabs>
      </w:pPr>
      <w:r w:rsidRPr="003834C8">
        <w:t>Állatok</w:t>
      </w:r>
      <w:r w:rsidR="00E17D36">
        <w:t>kal</w:t>
      </w:r>
      <w:r w:rsidRPr="003834C8">
        <w:t xml:space="preserve"> végzett reprodukciós vizsgálatok során nyulaknál az epehólyag elváltozásainak fokozott gyakoriságát észlelték 200</w:t>
      </w:r>
      <w:r w:rsidR="0050166E">
        <w:t> mg</w:t>
      </w:r>
      <w:r w:rsidRPr="003834C8">
        <w:t>/</w:t>
      </w:r>
      <w:r w:rsidR="004219F6">
        <w:t>tt</w:t>
      </w:r>
      <w:r w:rsidRPr="003834C8">
        <w:t xml:space="preserve">kg-os </w:t>
      </w:r>
      <w:r w:rsidR="00E33640" w:rsidRPr="003834C8">
        <w:t>dózisnál</w:t>
      </w:r>
      <w:r w:rsidRPr="003834C8">
        <w:t>, amely a teljes testfelszín alapján,</w:t>
      </w:r>
      <w:r w:rsidR="0050166E">
        <w:t> mg</w:t>
      </w:r>
      <w:r w:rsidRPr="003834C8">
        <w:t>/m</w:t>
      </w:r>
      <w:r w:rsidRPr="003834C8">
        <w:rPr>
          <w:vertAlign w:val="superscript"/>
        </w:rPr>
        <w:t>2</w:t>
      </w:r>
      <w:r w:rsidRPr="003834C8">
        <w:t>-ben mérve a 60</w:t>
      </w:r>
      <w:r w:rsidR="0050166E">
        <w:t> mg</w:t>
      </w:r>
      <w:r w:rsidRPr="003834C8">
        <w:t xml:space="preserve">/nap maximális javasolt humán </w:t>
      </w:r>
      <w:r w:rsidR="00E33640" w:rsidRPr="003834C8">
        <w:t xml:space="preserve">dózis </w:t>
      </w:r>
      <w:r w:rsidRPr="003834C8">
        <w:t>(maximum recommended human dose – MRHD) megközelítőleg 65-szöröse. Patkányoknál 300</w:t>
      </w:r>
      <w:r w:rsidR="0050166E">
        <w:t> mg</w:t>
      </w:r>
      <w:r w:rsidRPr="003834C8">
        <w:t>/</w:t>
      </w:r>
      <w:r w:rsidR="004219F6">
        <w:t>tt</w:t>
      </w:r>
      <w:r w:rsidRPr="003834C8">
        <w:t xml:space="preserve">kg/nap (ami az MRHD-nek körülbelül 49-szerese) </w:t>
      </w:r>
      <w:r w:rsidR="00E33640" w:rsidRPr="003834C8">
        <w:t xml:space="preserve">dózis </w:t>
      </w:r>
      <w:r w:rsidRPr="003834C8">
        <w:t>alkalmazásakor, illetve nyulaknál 200</w:t>
      </w:r>
      <w:r w:rsidR="0050166E">
        <w:t> mg</w:t>
      </w:r>
      <w:r w:rsidRPr="003834C8">
        <w:t>/</w:t>
      </w:r>
      <w:r w:rsidR="004219F6">
        <w:t>tt</w:t>
      </w:r>
      <w:r w:rsidRPr="003834C8">
        <w:t xml:space="preserve">kg/nap (ami az MRHD-nek körülbelül 65-szöröse) </w:t>
      </w:r>
      <w:r w:rsidR="00E33640" w:rsidRPr="003834C8">
        <w:t xml:space="preserve">dózis </w:t>
      </w:r>
      <w:r w:rsidRPr="003834C8">
        <w:t>alkalmazásakor emelkedett a posztimplantációs vetélések száma.</w:t>
      </w:r>
    </w:p>
    <w:p w14:paraId="725F0FC6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5003B61C" w14:textId="77777777" w:rsidR="005A0DC3" w:rsidRPr="003834C8" w:rsidRDefault="0043432F" w:rsidP="003834C8">
      <w:pPr>
        <w:pStyle w:val="Szvegtrzs"/>
        <w:tabs>
          <w:tab w:val="left" w:pos="0"/>
        </w:tabs>
      </w:pPr>
      <w:r w:rsidRPr="003834C8">
        <w:t>Az edoxabán kiválasztódott a szoptató patkányok tejébe.</w:t>
      </w:r>
    </w:p>
    <w:p w14:paraId="52B0425D" w14:textId="77777777" w:rsidR="005A0DC3" w:rsidRPr="003834C8" w:rsidRDefault="005A0DC3" w:rsidP="003834C8">
      <w:pPr>
        <w:pStyle w:val="Szvegtrzs"/>
        <w:tabs>
          <w:tab w:val="left" w:pos="0"/>
        </w:tabs>
      </w:pPr>
    </w:p>
    <w:p w14:paraId="19D570DA" w14:textId="7E1DCB37" w:rsidR="004219F6" w:rsidRPr="003834C8" w:rsidRDefault="004219F6" w:rsidP="003834C8">
      <w:pPr>
        <w:pStyle w:val="Szvegtrzs"/>
        <w:tabs>
          <w:tab w:val="left" w:pos="0"/>
        </w:tabs>
      </w:pPr>
      <w:r w:rsidRPr="004219F6">
        <w:t>Becsült környezeti kockázat</w:t>
      </w:r>
    </w:p>
    <w:p w14:paraId="725F0FC8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hatóanyag, az edoxabán-tozilát a környezetben nem bomlik le (a megsemmisítésre vonatkozó útmutatást lásd 6.6 pont).</w:t>
      </w:r>
    </w:p>
    <w:p w14:paraId="725F0FC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A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CB" w14:textId="504A3383" w:rsidR="00DD077B" w:rsidRPr="003834C8" w:rsidRDefault="002C3E4A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6.</w:t>
      </w:r>
      <w:r w:rsidRPr="003834C8">
        <w:tab/>
      </w:r>
      <w:r w:rsidR="0043432F" w:rsidRPr="003834C8">
        <w:t>GYÓGYSZERÉSZETI JELLEMZŐK</w:t>
      </w:r>
    </w:p>
    <w:p w14:paraId="725F0FCC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CD" w14:textId="53CAAE0D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6.1</w:t>
      </w:r>
      <w:r w:rsidRPr="003834C8">
        <w:rPr>
          <w:b/>
        </w:rPr>
        <w:tab/>
      </w:r>
      <w:r w:rsidR="0043432F" w:rsidRPr="003834C8">
        <w:rPr>
          <w:b/>
        </w:rPr>
        <w:t>Segédanyagok felsorolása</w:t>
      </w:r>
    </w:p>
    <w:p w14:paraId="725F0FC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C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Tablettamag</w:t>
      </w:r>
    </w:p>
    <w:p w14:paraId="002E7D68" w14:textId="580A0007" w:rsidR="004E59F0" w:rsidRDefault="004E59F0" w:rsidP="003834C8">
      <w:r>
        <w:t>mannit</w:t>
      </w:r>
    </w:p>
    <w:p w14:paraId="209417D1" w14:textId="7F4AA354" w:rsidR="004E59F0" w:rsidRDefault="004E59F0" w:rsidP="003834C8">
      <w:r>
        <w:t>hidroxipropilcell</w:t>
      </w:r>
      <w:r w:rsidR="00514447">
        <w:t>ul</w:t>
      </w:r>
      <w:r>
        <w:t>óz</w:t>
      </w:r>
    </w:p>
    <w:p w14:paraId="761B3052" w14:textId="65CBDE7E" w:rsidR="006240E8" w:rsidRDefault="00514447" w:rsidP="003834C8">
      <w:r>
        <w:t>k</w:t>
      </w:r>
      <w:r w:rsidR="006240E8">
        <w:t>ros</w:t>
      </w:r>
      <w:r>
        <w:t>z</w:t>
      </w:r>
      <w:r w:rsidR="006240E8">
        <w:t>povidon</w:t>
      </w:r>
    </w:p>
    <w:p w14:paraId="6AE1867D" w14:textId="3F97FC5C" w:rsidR="00514447" w:rsidRDefault="00514447" w:rsidP="003834C8">
      <w:r w:rsidRPr="00514447">
        <w:t>hidegen duzzadó kukoricakeményítő</w:t>
      </w:r>
      <w:r w:rsidRPr="00514447" w:rsidDel="00514447">
        <w:t xml:space="preserve"> </w:t>
      </w:r>
    </w:p>
    <w:p w14:paraId="0B1013C7" w14:textId="0EF53369" w:rsidR="00514447" w:rsidRDefault="00514447" w:rsidP="003834C8">
      <w:r w:rsidRPr="00514447">
        <w:t>vízmentes kolloid szilícium-dioxid</w:t>
      </w:r>
      <w:r w:rsidRPr="00514447" w:rsidDel="00514447">
        <w:t xml:space="preserve"> </w:t>
      </w:r>
    </w:p>
    <w:p w14:paraId="6B0F3BF0" w14:textId="6FC20F32" w:rsidR="00171EC9" w:rsidRPr="003834C8" w:rsidRDefault="00264761" w:rsidP="003834C8">
      <w:pPr>
        <w:pStyle w:val="Szvegtrzs"/>
        <w:tabs>
          <w:tab w:val="left" w:pos="0"/>
        </w:tabs>
      </w:pPr>
      <w:r w:rsidRPr="003834C8">
        <w:t>m</w:t>
      </w:r>
      <w:r w:rsidR="00171EC9" w:rsidRPr="003834C8">
        <w:t>agnézium-sztearát</w:t>
      </w:r>
    </w:p>
    <w:p w14:paraId="725F0FD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23552861" w14:textId="02B94159" w:rsidR="00163A17" w:rsidRPr="003834C8" w:rsidRDefault="00163A17" w:rsidP="00163A17">
      <w:pPr>
        <w:tabs>
          <w:tab w:val="left" w:pos="0"/>
        </w:tabs>
        <w:rPr>
          <w:iCs/>
          <w:u w:val="single"/>
        </w:rPr>
      </w:pPr>
      <w:r>
        <w:rPr>
          <w:iCs/>
          <w:u w:val="single"/>
        </w:rPr>
        <w:t>Oblonela</w:t>
      </w:r>
      <w:r w:rsidRPr="003834C8">
        <w:rPr>
          <w:iCs/>
          <w:u w:val="single"/>
        </w:rPr>
        <w:t xml:space="preserve"> 15</w:t>
      </w:r>
      <w:r w:rsidR="0050166E">
        <w:rPr>
          <w:iCs/>
          <w:u w:val="single"/>
        </w:rPr>
        <w:t> mg</w:t>
      </w:r>
      <w:r w:rsidRPr="003834C8">
        <w:rPr>
          <w:iCs/>
          <w:u w:val="single"/>
        </w:rPr>
        <w:t xml:space="preserve"> filmtabletta</w:t>
      </w:r>
    </w:p>
    <w:p w14:paraId="725F0FD4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rPr>
          <w:u w:val="single"/>
        </w:rPr>
        <w:t>Filmbevonat</w:t>
      </w:r>
    </w:p>
    <w:p w14:paraId="2FF6287F" w14:textId="007CC6F6" w:rsidR="00441BA9" w:rsidRDefault="00441BA9" w:rsidP="003834C8">
      <w:pPr>
        <w:pStyle w:val="Szvegtrzs"/>
        <w:tabs>
          <w:tab w:val="left" w:pos="0"/>
        </w:tabs>
      </w:pPr>
      <w:r w:rsidRPr="00441BA9">
        <w:t>karmellóz-nátrium</w:t>
      </w:r>
      <w:r w:rsidRPr="00441BA9" w:rsidDel="00441BA9">
        <w:t xml:space="preserve"> </w:t>
      </w:r>
    </w:p>
    <w:p w14:paraId="07F3196D" w14:textId="03AFDB7C" w:rsidR="00163A17" w:rsidRDefault="00163A17" w:rsidP="003834C8">
      <w:pPr>
        <w:pStyle w:val="Szvegtrzs"/>
        <w:tabs>
          <w:tab w:val="left" w:pos="0"/>
        </w:tabs>
      </w:pPr>
      <w:r>
        <w:t>maltodextrin</w:t>
      </w:r>
    </w:p>
    <w:p w14:paraId="37D92DE6" w14:textId="4DE97B52" w:rsidR="00163A17" w:rsidRDefault="0089369B" w:rsidP="003834C8">
      <w:pPr>
        <w:pStyle w:val="Szvegtrzs"/>
        <w:tabs>
          <w:tab w:val="left" w:pos="0"/>
        </w:tabs>
      </w:pPr>
      <w:r>
        <w:t>glükóz</w:t>
      </w:r>
      <w:r w:rsidR="00163A17">
        <w:t>-monohidrát</w:t>
      </w:r>
    </w:p>
    <w:p w14:paraId="4D198BDA" w14:textId="01093713" w:rsidR="00441BA9" w:rsidRDefault="00441BA9" w:rsidP="003834C8">
      <w:pPr>
        <w:pStyle w:val="Szvegtrzs"/>
        <w:tabs>
          <w:tab w:val="left" w:pos="0"/>
        </w:tabs>
      </w:pPr>
      <w:r w:rsidRPr="00441BA9">
        <w:lastRenderedPageBreak/>
        <w:t>szójalecitin</w:t>
      </w:r>
      <w:r w:rsidRPr="00441BA9" w:rsidDel="00441BA9">
        <w:t xml:space="preserve"> </w:t>
      </w:r>
    </w:p>
    <w:p w14:paraId="05EFE107" w14:textId="658B83F8" w:rsidR="00163A17" w:rsidRDefault="00435246" w:rsidP="003834C8">
      <w:pPr>
        <w:pStyle w:val="Szvegtrzs"/>
        <w:tabs>
          <w:tab w:val="left" w:pos="0"/>
        </w:tabs>
      </w:pPr>
      <w:r>
        <w:t>k</w:t>
      </w:r>
      <w:r w:rsidR="00441BA9">
        <w:t>a</w:t>
      </w:r>
      <w:r>
        <w:t>lcium-karbonát</w:t>
      </w:r>
    </w:p>
    <w:p w14:paraId="35007FC4" w14:textId="77777777" w:rsidR="00435246" w:rsidRPr="003834C8" w:rsidRDefault="00435246" w:rsidP="00435246">
      <w:pPr>
        <w:tabs>
          <w:tab w:val="left" w:pos="0"/>
        </w:tabs>
      </w:pPr>
      <w:r w:rsidRPr="003834C8">
        <w:t>sárga vas-oxid (E 172)</w:t>
      </w:r>
    </w:p>
    <w:p w14:paraId="6F3249FB" w14:textId="77777777" w:rsidR="00435246" w:rsidRPr="003834C8" w:rsidRDefault="00435246" w:rsidP="00435246">
      <w:pPr>
        <w:tabs>
          <w:tab w:val="left" w:pos="0"/>
        </w:tabs>
      </w:pPr>
      <w:r w:rsidRPr="003834C8">
        <w:t>vörös vas-oxid (E 172)</w:t>
      </w:r>
    </w:p>
    <w:p w14:paraId="725F0FD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DA" w14:textId="383FE6AF" w:rsidR="00DD077B" w:rsidRDefault="00A44772" w:rsidP="003834C8">
      <w:pPr>
        <w:tabs>
          <w:tab w:val="left" w:pos="0"/>
        </w:tabs>
        <w:rPr>
          <w:iCs/>
          <w:u w:val="single"/>
        </w:rPr>
      </w:pPr>
      <w:r>
        <w:rPr>
          <w:iCs/>
          <w:u w:val="single"/>
        </w:rPr>
        <w:t>Oblonela</w:t>
      </w:r>
      <w:r w:rsidR="0043432F" w:rsidRPr="003834C8">
        <w:rPr>
          <w:iCs/>
          <w:u w:val="single"/>
        </w:rPr>
        <w:t xml:space="preserve"> 30</w:t>
      </w:r>
      <w:r w:rsidR="0050166E">
        <w:rPr>
          <w:iCs/>
          <w:u w:val="single"/>
        </w:rPr>
        <w:t> mg</w:t>
      </w:r>
      <w:r w:rsidR="0043432F" w:rsidRPr="003834C8">
        <w:rPr>
          <w:iCs/>
          <w:u w:val="single"/>
        </w:rPr>
        <w:t xml:space="preserve"> filmtabletta</w:t>
      </w:r>
    </w:p>
    <w:p w14:paraId="32CEC2F5" w14:textId="74B53787" w:rsidR="00435246" w:rsidRPr="00435246" w:rsidRDefault="00435246" w:rsidP="00435246">
      <w:pPr>
        <w:pStyle w:val="Szvegtrzs"/>
        <w:tabs>
          <w:tab w:val="left" w:pos="0"/>
        </w:tabs>
      </w:pPr>
      <w:r w:rsidRPr="003834C8">
        <w:rPr>
          <w:u w:val="single"/>
        </w:rPr>
        <w:t>Filmbevonat</w:t>
      </w:r>
    </w:p>
    <w:p w14:paraId="216EA1D6" w14:textId="63F127BF" w:rsidR="00CB646C" w:rsidRDefault="00CB646C" w:rsidP="009C5423">
      <w:pPr>
        <w:pStyle w:val="Szvegtrzs"/>
        <w:tabs>
          <w:tab w:val="left" w:pos="0"/>
        </w:tabs>
      </w:pPr>
      <w:r w:rsidRPr="00CB646C">
        <w:t>karmellóz-nátrium</w:t>
      </w:r>
      <w:r w:rsidRPr="00CB646C" w:rsidDel="00CB646C">
        <w:t xml:space="preserve"> </w:t>
      </w:r>
    </w:p>
    <w:p w14:paraId="444001FF" w14:textId="77777777" w:rsidR="009C5423" w:rsidRDefault="009C5423" w:rsidP="009C5423">
      <w:pPr>
        <w:pStyle w:val="Szvegtrzs"/>
        <w:tabs>
          <w:tab w:val="left" w:pos="0"/>
        </w:tabs>
      </w:pPr>
      <w:r>
        <w:t>maltodextrin</w:t>
      </w:r>
    </w:p>
    <w:p w14:paraId="66997AAA" w14:textId="358EC3B2" w:rsidR="009C5423" w:rsidRDefault="0089369B" w:rsidP="009C5423">
      <w:pPr>
        <w:pStyle w:val="Szvegtrzs"/>
        <w:tabs>
          <w:tab w:val="left" w:pos="0"/>
        </w:tabs>
      </w:pPr>
      <w:r>
        <w:t>glükóz</w:t>
      </w:r>
      <w:r w:rsidR="009C5423">
        <w:t>-monohidrát</w:t>
      </w:r>
    </w:p>
    <w:p w14:paraId="19114779" w14:textId="46DE0A7E" w:rsidR="00CB646C" w:rsidRDefault="00CB646C" w:rsidP="009C5423">
      <w:pPr>
        <w:pStyle w:val="Szvegtrzs"/>
        <w:tabs>
          <w:tab w:val="left" w:pos="0"/>
        </w:tabs>
      </w:pPr>
      <w:r w:rsidRPr="00CB646C">
        <w:t>szójalecitin</w:t>
      </w:r>
      <w:r w:rsidRPr="00CB646C" w:rsidDel="00CB646C">
        <w:t xml:space="preserve"> </w:t>
      </w:r>
    </w:p>
    <w:p w14:paraId="0C452CA3" w14:textId="4F4555E5" w:rsidR="009C5423" w:rsidRDefault="00CB646C" w:rsidP="009C5423">
      <w:pPr>
        <w:pStyle w:val="Szvegtrzs"/>
        <w:tabs>
          <w:tab w:val="left" w:pos="0"/>
        </w:tabs>
      </w:pPr>
      <w:r w:rsidRPr="00CB646C">
        <w:t>kalcium-karbonát</w:t>
      </w:r>
    </w:p>
    <w:p w14:paraId="0212C545" w14:textId="77777777" w:rsidR="009C5423" w:rsidRPr="003834C8" w:rsidRDefault="009C5423" w:rsidP="009C5423">
      <w:pPr>
        <w:tabs>
          <w:tab w:val="left" w:pos="0"/>
        </w:tabs>
      </w:pPr>
      <w:r w:rsidRPr="003834C8">
        <w:t>vörös vas-oxid (E 172)</w:t>
      </w:r>
    </w:p>
    <w:p w14:paraId="725F0FD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DD" w14:textId="36A14B1A" w:rsidR="00DD077B" w:rsidRDefault="00A44772" w:rsidP="003834C8">
      <w:pPr>
        <w:tabs>
          <w:tab w:val="left" w:pos="0"/>
        </w:tabs>
        <w:rPr>
          <w:iCs/>
          <w:u w:val="single"/>
        </w:rPr>
      </w:pPr>
      <w:r>
        <w:rPr>
          <w:iCs/>
          <w:u w:val="single"/>
        </w:rPr>
        <w:t>Oblonela</w:t>
      </w:r>
      <w:r w:rsidR="0043432F" w:rsidRPr="003834C8">
        <w:rPr>
          <w:iCs/>
          <w:u w:val="single"/>
        </w:rPr>
        <w:t xml:space="preserve"> 60</w:t>
      </w:r>
      <w:r w:rsidR="0050166E">
        <w:rPr>
          <w:iCs/>
          <w:u w:val="single"/>
        </w:rPr>
        <w:t> mg</w:t>
      </w:r>
      <w:r w:rsidR="0043432F" w:rsidRPr="003834C8">
        <w:rPr>
          <w:iCs/>
          <w:u w:val="single"/>
        </w:rPr>
        <w:t xml:space="preserve"> filmtabletta</w:t>
      </w:r>
    </w:p>
    <w:p w14:paraId="5A6359E8" w14:textId="1563CF6A" w:rsidR="00435246" w:rsidRPr="00435246" w:rsidRDefault="00435246" w:rsidP="00435246">
      <w:pPr>
        <w:pStyle w:val="Szvegtrzs"/>
        <w:tabs>
          <w:tab w:val="left" w:pos="0"/>
        </w:tabs>
      </w:pPr>
      <w:r w:rsidRPr="003834C8">
        <w:rPr>
          <w:u w:val="single"/>
        </w:rPr>
        <w:t>Filmbevonat</w:t>
      </w:r>
    </w:p>
    <w:p w14:paraId="3666CEC1" w14:textId="54365B67" w:rsidR="00967644" w:rsidRDefault="00967644" w:rsidP="009E553C">
      <w:pPr>
        <w:pStyle w:val="Szvegtrzs"/>
        <w:tabs>
          <w:tab w:val="left" w:pos="0"/>
        </w:tabs>
      </w:pPr>
      <w:r w:rsidRPr="00967644">
        <w:t xml:space="preserve">karmellóz-nátrium </w:t>
      </w:r>
    </w:p>
    <w:p w14:paraId="00103D70" w14:textId="77777777" w:rsidR="009E553C" w:rsidRDefault="009E553C" w:rsidP="009E553C">
      <w:pPr>
        <w:pStyle w:val="Szvegtrzs"/>
        <w:tabs>
          <w:tab w:val="left" w:pos="0"/>
        </w:tabs>
      </w:pPr>
      <w:r>
        <w:t>maltodextrin</w:t>
      </w:r>
    </w:p>
    <w:p w14:paraId="0A11A0E5" w14:textId="445D72C8" w:rsidR="009E553C" w:rsidRDefault="0089369B" w:rsidP="009E553C">
      <w:pPr>
        <w:pStyle w:val="Szvegtrzs"/>
        <w:tabs>
          <w:tab w:val="left" w:pos="0"/>
        </w:tabs>
      </w:pPr>
      <w:r>
        <w:t>glükóz</w:t>
      </w:r>
      <w:r w:rsidR="009E553C">
        <w:t>-monohidrát</w:t>
      </w:r>
    </w:p>
    <w:p w14:paraId="6156354D" w14:textId="50093FDE" w:rsidR="009E553C" w:rsidRDefault="00967644" w:rsidP="009E553C">
      <w:pPr>
        <w:pStyle w:val="Szvegtrzs"/>
        <w:tabs>
          <w:tab w:val="left" w:pos="0"/>
        </w:tabs>
      </w:pPr>
      <w:r w:rsidRPr="00967644">
        <w:t>szójalecitin</w:t>
      </w:r>
    </w:p>
    <w:p w14:paraId="764A60DC" w14:textId="7EE06CAA" w:rsidR="00967644" w:rsidRDefault="00967644" w:rsidP="009E553C">
      <w:pPr>
        <w:pStyle w:val="Szvegtrzs"/>
        <w:tabs>
          <w:tab w:val="left" w:pos="0"/>
        </w:tabs>
      </w:pPr>
      <w:r w:rsidRPr="00967644">
        <w:t>kalcium-karbonát</w:t>
      </w:r>
    </w:p>
    <w:p w14:paraId="313A4A47" w14:textId="77777777" w:rsidR="009E553C" w:rsidRPr="003834C8" w:rsidRDefault="009E553C" w:rsidP="009E553C">
      <w:pPr>
        <w:tabs>
          <w:tab w:val="left" w:pos="0"/>
        </w:tabs>
      </w:pPr>
      <w:r w:rsidRPr="003834C8">
        <w:t>sárga vas-oxid (E 172)</w:t>
      </w:r>
    </w:p>
    <w:p w14:paraId="725F0FDF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E0" w14:textId="041F9FFA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6.2</w:t>
      </w:r>
      <w:r w:rsidRPr="003834C8">
        <w:rPr>
          <w:b/>
        </w:rPr>
        <w:tab/>
      </w:r>
      <w:r w:rsidR="0043432F" w:rsidRPr="003834C8">
        <w:rPr>
          <w:b/>
        </w:rPr>
        <w:t>Inkompatibilitások</w:t>
      </w:r>
    </w:p>
    <w:p w14:paraId="725F0FE1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E2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Nem értelmezhető.</w:t>
      </w:r>
    </w:p>
    <w:p w14:paraId="725F0FE3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E4" w14:textId="53055AFF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6.3</w:t>
      </w:r>
      <w:r w:rsidRPr="003834C8">
        <w:rPr>
          <w:b/>
        </w:rPr>
        <w:tab/>
      </w:r>
      <w:r w:rsidR="0043432F" w:rsidRPr="003834C8">
        <w:rPr>
          <w:b/>
        </w:rPr>
        <w:t>Felhasználhatósági időtartam</w:t>
      </w:r>
    </w:p>
    <w:p w14:paraId="78123D13" w14:textId="77777777" w:rsidR="00367DD1" w:rsidRPr="003834C8" w:rsidRDefault="00367DD1" w:rsidP="003834C8">
      <w:pPr>
        <w:pStyle w:val="Szvegtrzs"/>
        <w:tabs>
          <w:tab w:val="left" w:pos="0"/>
        </w:tabs>
      </w:pPr>
    </w:p>
    <w:p w14:paraId="1195D7E1" w14:textId="29748DF5" w:rsidR="009D6D7F" w:rsidRPr="003834C8" w:rsidRDefault="00413D42" w:rsidP="003834C8">
      <w:pPr>
        <w:pStyle w:val="Szvegtrzs"/>
        <w:tabs>
          <w:tab w:val="left" w:pos="0"/>
        </w:tabs>
      </w:pPr>
      <w:r w:rsidRPr="00413D42">
        <w:t>3 év.</w:t>
      </w:r>
    </w:p>
    <w:p w14:paraId="725F0FE6" w14:textId="11368BA4" w:rsidR="00DD077B" w:rsidRPr="003834C8" w:rsidRDefault="00DD077B" w:rsidP="003834C8">
      <w:pPr>
        <w:pStyle w:val="Szvegtrzs"/>
        <w:tabs>
          <w:tab w:val="left" w:pos="0"/>
        </w:tabs>
      </w:pPr>
    </w:p>
    <w:p w14:paraId="725F0FE7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E8" w14:textId="5D94273E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6.4</w:t>
      </w:r>
      <w:r w:rsidRPr="003834C8">
        <w:rPr>
          <w:b/>
        </w:rPr>
        <w:tab/>
      </w:r>
      <w:r w:rsidR="0043432F" w:rsidRPr="003834C8">
        <w:rPr>
          <w:b/>
        </w:rPr>
        <w:t>Különleges tárolási előírások</w:t>
      </w:r>
    </w:p>
    <w:p w14:paraId="725F0FE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EA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Ez a gyógyszer nem igényel különleges tárolást.</w:t>
      </w:r>
    </w:p>
    <w:p w14:paraId="490D0B83" w14:textId="77777777" w:rsidR="00DD077B" w:rsidRPr="003834C8" w:rsidRDefault="00DD077B" w:rsidP="003834C8">
      <w:pPr>
        <w:tabs>
          <w:tab w:val="left" w:pos="0"/>
        </w:tabs>
      </w:pPr>
    </w:p>
    <w:p w14:paraId="725F0FEC" w14:textId="3352BE24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6.5</w:t>
      </w:r>
      <w:r w:rsidRPr="003834C8">
        <w:rPr>
          <w:b/>
        </w:rPr>
        <w:tab/>
      </w:r>
      <w:r w:rsidR="0043432F" w:rsidRPr="003834C8">
        <w:rPr>
          <w:b/>
        </w:rPr>
        <w:t>Csomagolás típusa és kiszerelése</w:t>
      </w:r>
    </w:p>
    <w:p w14:paraId="725F0FED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3F95B74C" w14:textId="5A30EC33" w:rsidR="009A48E8" w:rsidRPr="00F44AB5" w:rsidRDefault="00F44AB5" w:rsidP="009A48E8">
      <w:pPr>
        <w:pStyle w:val="Szvegtrzs"/>
        <w:tabs>
          <w:tab w:val="left" w:pos="0"/>
        </w:tabs>
        <w:rPr>
          <w:u w:val="single"/>
        </w:rPr>
      </w:pPr>
      <w:r>
        <w:rPr>
          <w:u w:val="single"/>
        </w:rPr>
        <w:t>Oblonela</w:t>
      </w:r>
      <w:r w:rsidR="009A48E8" w:rsidRPr="00F44AB5">
        <w:rPr>
          <w:u w:val="single"/>
        </w:rPr>
        <w:t xml:space="preserve"> 15</w:t>
      </w:r>
      <w:r w:rsidR="0050166E">
        <w:rPr>
          <w:u w:val="single"/>
        </w:rPr>
        <w:t> mg</w:t>
      </w:r>
      <w:r w:rsidR="009A48E8" w:rsidRPr="00F44AB5">
        <w:rPr>
          <w:u w:val="single"/>
        </w:rPr>
        <w:t xml:space="preserve"> filmtabletta:</w:t>
      </w:r>
    </w:p>
    <w:p w14:paraId="1A91EF66" w14:textId="135D82DE" w:rsidR="00E227B7" w:rsidRPr="002A61B8" w:rsidRDefault="009A48E8" w:rsidP="00E227B7">
      <w:pPr>
        <w:pStyle w:val="Szvegtrzs"/>
        <w:tabs>
          <w:tab w:val="left" w:pos="0"/>
        </w:tabs>
      </w:pPr>
      <w:r w:rsidRPr="002A61B8">
        <w:t>10</w:t>
      </w:r>
      <w:r w:rsidR="00E227B7">
        <w:t xml:space="preserve"> darab </w:t>
      </w:r>
      <w:r w:rsidRPr="002A61B8">
        <w:t xml:space="preserve">filmtablettát tartalmaz </w:t>
      </w:r>
      <w:r w:rsidR="00E227B7" w:rsidRPr="00E227B7">
        <w:t>átlátszó, színtelen alum</w:t>
      </w:r>
      <w:r w:rsidR="00E227B7">
        <w:t>i</w:t>
      </w:r>
      <w:r w:rsidR="00E227B7" w:rsidRPr="00E227B7">
        <w:t>nium//PVC/PE/PVDC buborékcsomagolásban és dobozban</w:t>
      </w:r>
      <w:r w:rsidR="00E227B7" w:rsidRPr="00E227B7" w:rsidDel="00E227B7">
        <w:t xml:space="preserve"> </w:t>
      </w:r>
    </w:p>
    <w:p w14:paraId="568E9485" w14:textId="3F6314F2" w:rsidR="009A48E8" w:rsidRPr="002A61B8" w:rsidRDefault="009A48E8" w:rsidP="00E227B7">
      <w:pPr>
        <w:pStyle w:val="Szvegtrzs"/>
        <w:tabs>
          <w:tab w:val="left" w:pos="0"/>
        </w:tabs>
      </w:pPr>
      <w:r w:rsidRPr="002A61B8">
        <w:t xml:space="preserve">100 </w:t>
      </w:r>
      <w:r w:rsidR="00E227B7">
        <w:t>×</w:t>
      </w:r>
      <w:r w:rsidRPr="002A61B8">
        <w:t xml:space="preserve"> 1 </w:t>
      </w:r>
      <w:r w:rsidR="009E6312">
        <w:t xml:space="preserve">darab </w:t>
      </w:r>
      <w:r w:rsidRPr="002A61B8">
        <w:t xml:space="preserve">filmtablettát tartalmaz </w:t>
      </w:r>
      <w:r w:rsidR="00E227B7" w:rsidRPr="00E227B7">
        <w:t>átlátszó, színtelen alum</w:t>
      </w:r>
      <w:r w:rsidR="00E227B7">
        <w:t>i</w:t>
      </w:r>
      <w:r w:rsidR="00E227B7" w:rsidRPr="00E227B7">
        <w:t>nium//PVC/PE/PVDC, adagonként perforált buborékcsomagolásban és dobozban</w:t>
      </w:r>
      <w:r w:rsidRPr="002A61B8">
        <w:t>.</w:t>
      </w:r>
    </w:p>
    <w:p w14:paraId="086721C4" w14:textId="77777777" w:rsidR="00F44AB5" w:rsidRPr="009A48E8" w:rsidRDefault="00F44AB5" w:rsidP="009A48E8">
      <w:pPr>
        <w:pStyle w:val="Szvegtrzs"/>
        <w:tabs>
          <w:tab w:val="left" w:pos="0"/>
        </w:tabs>
        <w:rPr>
          <w:color w:val="FF0000"/>
        </w:rPr>
      </w:pPr>
    </w:p>
    <w:p w14:paraId="36E48437" w14:textId="5A42E07D" w:rsidR="009A48E8" w:rsidRPr="00F44AB5" w:rsidRDefault="00F44AB5" w:rsidP="009A48E8">
      <w:pPr>
        <w:pStyle w:val="Szvegtrzs"/>
        <w:tabs>
          <w:tab w:val="left" w:pos="0"/>
        </w:tabs>
        <w:rPr>
          <w:u w:val="single"/>
        </w:rPr>
      </w:pPr>
      <w:r>
        <w:rPr>
          <w:u w:val="single"/>
        </w:rPr>
        <w:t>Oblonela</w:t>
      </w:r>
      <w:r w:rsidR="009A48E8" w:rsidRPr="00F44AB5">
        <w:rPr>
          <w:u w:val="single"/>
        </w:rPr>
        <w:t xml:space="preserve"> 30</w:t>
      </w:r>
      <w:r w:rsidR="0050166E">
        <w:rPr>
          <w:u w:val="single"/>
        </w:rPr>
        <w:t> mg</w:t>
      </w:r>
      <w:r w:rsidR="009A48E8" w:rsidRPr="00F44AB5">
        <w:rPr>
          <w:u w:val="single"/>
        </w:rPr>
        <w:t xml:space="preserve"> és 60</w:t>
      </w:r>
      <w:r w:rsidR="0050166E">
        <w:rPr>
          <w:u w:val="single"/>
        </w:rPr>
        <w:t> mg</w:t>
      </w:r>
      <w:r w:rsidR="009A48E8" w:rsidRPr="00F44AB5">
        <w:rPr>
          <w:u w:val="single"/>
        </w:rPr>
        <w:t xml:space="preserve"> filmtabletta:</w:t>
      </w:r>
    </w:p>
    <w:p w14:paraId="7D8202F6" w14:textId="2A3B90CA" w:rsidR="009A48E8" w:rsidRPr="002A61B8" w:rsidRDefault="009A48E8" w:rsidP="008459B1">
      <w:pPr>
        <w:pStyle w:val="Szvegtrzs"/>
        <w:tabs>
          <w:tab w:val="left" w:pos="0"/>
        </w:tabs>
      </w:pPr>
      <w:r w:rsidRPr="002A61B8">
        <w:t xml:space="preserve">28, 30, 84, 90 vagy 98 </w:t>
      </w:r>
      <w:r w:rsidR="008459B1">
        <w:t xml:space="preserve">darab </w:t>
      </w:r>
      <w:r w:rsidRPr="002A61B8">
        <w:t xml:space="preserve">filmtablettát tartalmaz </w:t>
      </w:r>
      <w:r w:rsidR="008459B1" w:rsidRPr="008459B1">
        <w:t>átlátszó, színtelen aluminium//PVC/PE/PVDC buborékcsomagolásban és dobozban</w:t>
      </w:r>
      <w:r w:rsidRPr="002A61B8">
        <w:t>.</w:t>
      </w:r>
    </w:p>
    <w:p w14:paraId="725F0FFA" w14:textId="64DD4877" w:rsidR="00DD077B" w:rsidRPr="002A61B8" w:rsidRDefault="009A48E8" w:rsidP="005A3040">
      <w:pPr>
        <w:pStyle w:val="Szvegtrzs"/>
        <w:tabs>
          <w:tab w:val="left" w:pos="0"/>
        </w:tabs>
      </w:pPr>
      <w:r w:rsidRPr="002A61B8">
        <w:t xml:space="preserve">100 </w:t>
      </w:r>
      <w:r w:rsidR="005A3040">
        <w:t>×</w:t>
      </w:r>
      <w:r w:rsidRPr="002A61B8">
        <w:t xml:space="preserve"> 1 </w:t>
      </w:r>
      <w:r w:rsidR="005A3040">
        <w:t xml:space="preserve">darab </w:t>
      </w:r>
      <w:r w:rsidRPr="002A61B8">
        <w:t xml:space="preserve">filmtablettát tartalmaz </w:t>
      </w:r>
      <w:r w:rsidR="005A3040" w:rsidRPr="005A3040">
        <w:t>átlátszó, színtelen aluminium//PVC/PE/PVDC, adagonként perforált buborékcsomagolásban és dobozban.</w:t>
      </w:r>
    </w:p>
    <w:p w14:paraId="0C9B6F34" w14:textId="77777777" w:rsidR="00370BB4" w:rsidRPr="00F0756E" w:rsidRDefault="00370BB4" w:rsidP="003834C8">
      <w:pPr>
        <w:pStyle w:val="Szvegtrzs"/>
        <w:tabs>
          <w:tab w:val="left" w:pos="0"/>
        </w:tabs>
        <w:rPr>
          <w:color w:val="FF0000"/>
        </w:rPr>
      </w:pPr>
    </w:p>
    <w:p w14:paraId="725F0FFB" w14:textId="77777777" w:rsidR="00DD077B" w:rsidRPr="00370BB4" w:rsidRDefault="0043432F" w:rsidP="003834C8">
      <w:pPr>
        <w:pStyle w:val="Szvegtrzs"/>
        <w:tabs>
          <w:tab w:val="left" w:pos="0"/>
        </w:tabs>
      </w:pPr>
      <w:r w:rsidRPr="00370BB4">
        <w:t>Nem feltétlenül mindegyik kiszerelés kerül kereskedelmi forgalomba.</w:t>
      </w:r>
    </w:p>
    <w:p w14:paraId="725F0FF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0FFD" w14:textId="49840594" w:rsidR="00DD077B" w:rsidRPr="003834C8" w:rsidRDefault="002C3E4A" w:rsidP="003834C8">
      <w:pPr>
        <w:pStyle w:val="Listaszerbekezds"/>
        <w:tabs>
          <w:tab w:val="left" w:pos="567"/>
        </w:tabs>
        <w:ind w:left="567"/>
        <w:rPr>
          <w:b/>
        </w:rPr>
      </w:pPr>
      <w:r w:rsidRPr="003834C8">
        <w:rPr>
          <w:b/>
        </w:rPr>
        <w:t>6.6</w:t>
      </w:r>
      <w:r w:rsidRPr="003834C8">
        <w:rPr>
          <w:b/>
        </w:rPr>
        <w:tab/>
      </w:r>
      <w:r w:rsidR="0043432F" w:rsidRPr="003834C8">
        <w:rPr>
          <w:b/>
        </w:rPr>
        <w:t>A megsemmisítésre vonatkozó különleges óvintézkedések</w:t>
      </w:r>
    </w:p>
    <w:p w14:paraId="725F0FFE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0FFF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Bármilyen fel nem használt gyógyszer, illetve hulladékanyag megsemmisítését a gyógyszerekre</w:t>
      </w:r>
    </w:p>
    <w:p w14:paraId="725F1000" w14:textId="77777777" w:rsidR="00DD077B" w:rsidRPr="003834C8" w:rsidRDefault="0043432F" w:rsidP="003834C8">
      <w:pPr>
        <w:pStyle w:val="Szvegtrzs"/>
        <w:tabs>
          <w:tab w:val="left" w:pos="0"/>
        </w:tabs>
      </w:pPr>
      <w:r w:rsidRPr="003834C8">
        <w:t>vonatkozó előírások szerint kell végrehajtani.</w:t>
      </w:r>
    </w:p>
    <w:p w14:paraId="725F1001" w14:textId="77777777" w:rsidR="00DD077B" w:rsidRDefault="00DD077B" w:rsidP="003834C8">
      <w:pPr>
        <w:pStyle w:val="Szvegtrzs"/>
        <w:tabs>
          <w:tab w:val="left" w:pos="0"/>
        </w:tabs>
      </w:pPr>
    </w:p>
    <w:p w14:paraId="2FD94498" w14:textId="3B1B8D4A" w:rsidR="00621D56" w:rsidRDefault="00621D56" w:rsidP="003834C8">
      <w:pPr>
        <w:pStyle w:val="Szvegtrzs"/>
        <w:tabs>
          <w:tab w:val="left" w:pos="0"/>
        </w:tabs>
      </w:pPr>
      <w:r w:rsidRPr="00621D56">
        <w:lastRenderedPageBreak/>
        <w:t>Az enterális szondán keresztüli beadás legfeljebb 3,1</w:t>
      </w:r>
      <w:r w:rsidR="00B44922">
        <w:t> </w:t>
      </w:r>
      <w:r w:rsidRPr="00621D56">
        <w:t>m átmérőjű és 12,4</w:t>
      </w:r>
      <w:r w:rsidR="00B44922">
        <w:t> </w:t>
      </w:r>
      <w:r w:rsidRPr="00621D56">
        <w:t>cm hosszú enterális szondák használatával lehetséges. Egy edoxab</w:t>
      </w:r>
      <w:r w:rsidR="00B44922">
        <w:t>á</w:t>
      </w:r>
      <w:r w:rsidRPr="00621D56">
        <w:t>n tablettát össze kell törni, 75</w:t>
      </w:r>
      <w:r w:rsidR="00B44922">
        <w:t> </w:t>
      </w:r>
      <w:r w:rsidRPr="00621D56">
        <w:t xml:space="preserve">ml vízben kell szuszpendálni, és azonnal be kell adni egy enterális szondán keresztül, majd 3 </w:t>
      </w:r>
      <w:r w:rsidR="00B44922">
        <w:t>×</w:t>
      </w:r>
      <w:r w:rsidRPr="00621D56">
        <w:t xml:space="preserve"> 55</w:t>
      </w:r>
      <w:r w:rsidR="00B44922">
        <w:t> </w:t>
      </w:r>
      <w:r w:rsidRPr="00621D56">
        <w:t>ml vízzel át kell öblíteni a mozsártörőt. A beadást kizárólag vízzel kell végezni. Az ápolók és az egészségügyi szakemberek számára nincsenek különleges óvintézkedések.</w:t>
      </w:r>
    </w:p>
    <w:p w14:paraId="103DD883" w14:textId="77777777" w:rsidR="00621D56" w:rsidRPr="003834C8" w:rsidRDefault="00621D56" w:rsidP="003834C8">
      <w:pPr>
        <w:pStyle w:val="Szvegtrzs"/>
        <w:tabs>
          <w:tab w:val="left" w:pos="0"/>
        </w:tabs>
      </w:pPr>
    </w:p>
    <w:p w14:paraId="4B61A4A7" w14:textId="77777777" w:rsidR="0021030F" w:rsidRPr="004C00EE" w:rsidRDefault="0021030F" w:rsidP="0021030F">
      <w:pPr>
        <w:rPr>
          <w:noProof/>
        </w:rPr>
      </w:pPr>
      <w:r w:rsidRPr="004C00EE">
        <w:rPr>
          <w:b/>
          <w:bCs/>
          <w:noProof/>
        </w:rPr>
        <w:t>Megjegyzés</w:t>
      </w:r>
      <w:r w:rsidRPr="004C00EE">
        <w:rPr>
          <w:noProof/>
        </w:rPr>
        <w:t xml:space="preserve">: </w:t>
      </w:r>
      <w:r w:rsidRPr="004C00EE">
        <w:rPr>
          <w:b/>
        </w:rPr>
        <w:sym w:font="Wingdings" w:char="F058"/>
      </w:r>
      <w:r w:rsidRPr="004C00EE">
        <w:rPr>
          <w:noProof/>
        </w:rPr>
        <w:t xml:space="preserve"> (egy keresztes)</w:t>
      </w:r>
    </w:p>
    <w:p w14:paraId="7BF68194" w14:textId="77777777" w:rsidR="0021030F" w:rsidRPr="004C00EE" w:rsidRDefault="0021030F" w:rsidP="0021030F">
      <w:pPr>
        <w:rPr>
          <w:noProof/>
        </w:rPr>
      </w:pPr>
      <w:r w:rsidRPr="004C00EE">
        <w:rPr>
          <w:b/>
          <w:bCs/>
          <w:noProof/>
        </w:rPr>
        <w:t>Osztályozás</w:t>
      </w:r>
      <w:r w:rsidRPr="004C00EE">
        <w:rPr>
          <w:noProof/>
        </w:rPr>
        <w:t>: II./1 csoport</w:t>
      </w:r>
    </w:p>
    <w:p w14:paraId="3AD5F637" w14:textId="77777777" w:rsidR="0021030F" w:rsidRPr="004C00EE" w:rsidRDefault="0021030F" w:rsidP="0021030F">
      <w:pPr>
        <w:rPr>
          <w:noProof/>
        </w:rPr>
      </w:pPr>
      <w:r w:rsidRPr="004C00EE">
        <w:rPr>
          <w:noProof/>
        </w:rPr>
        <w:t>Korlátozott érvényű orvosi rendelvényhez kötött, szakorvosi/kórházi diagnózist követő járóbeteg-ellátásban alkalmazható gyógyszer (J).</w:t>
      </w:r>
    </w:p>
    <w:p w14:paraId="725F1002" w14:textId="2A4F3E10" w:rsidR="00DD077B" w:rsidRDefault="00DD077B" w:rsidP="003834C8">
      <w:pPr>
        <w:pStyle w:val="Szvegtrzs"/>
        <w:tabs>
          <w:tab w:val="left" w:pos="0"/>
        </w:tabs>
      </w:pPr>
    </w:p>
    <w:p w14:paraId="3D0CA25C" w14:textId="77777777" w:rsidR="0021030F" w:rsidRPr="003834C8" w:rsidRDefault="0021030F" w:rsidP="003834C8">
      <w:pPr>
        <w:pStyle w:val="Szvegtrzs"/>
        <w:tabs>
          <w:tab w:val="left" w:pos="0"/>
        </w:tabs>
      </w:pPr>
    </w:p>
    <w:p w14:paraId="725F1003" w14:textId="09DAB6C2" w:rsidR="00DD077B" w:rsidRPr="003834C8" w:rsidRDefault="0066645E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7.</w:t>
      </w:r>
      <w:r w:rsidRPr="003834C8">
        <w:tab/>
      </w:r>
      <w:r w:rsidR="0043432F" w:rsidRPr="003834C8">
        <w:t>A FORGALOMBA HOZATALI ENGEDÉLY JOGOSULTJA</w:t>
      </w:r>
    </w:p>
    <w:p w14:paraId="725F1004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05410E66" w14:textId="77777777" w:rsidR="001301B2" w:rsidRDefault="001301B2" w:rsidP="00C96DBB">
      <w:pPr>
        <w:pStyle w:val="Szvegtrzs"/>
        <w:tabs>
          <w:tab w:val="left" w:pos="0"/>
        </w:tabs>
      </w:pPr>
      <w:r w:rsidRPr="001301B2">
        <w:rPr>
          <w:b/>
          <w:bCs/>
        </w:rPr>
        <w:t>A forgalomba hozatali enged</w:t>
      </w:r>
      <w:r w:rsidRPr="001301B2">
        <w:rPr>
          <w:rFonts w:hint="eastAsia"/>
          <w:b/>
          <w:bCs/>
        </w:rPr>
        <w:t>é</w:t>
      </w:r>
      <w:r w:rsidRPr="001301B2">
        <w:rPr>
          <w:b/>
          <w:bCs/>
        </w:rPr>
        <w:t>ly jogosultja</w:t>
      </w:r>
      <w:r w:rsidRPr="001301B2">
        <w:t xml:space="preserve"> </w:t>
      </w:r>
    </w:p>
    <w:p w14:paraId="7DB5C6B5" w14:textId="2F23A36B" w:rsidR="00C96DBB" w:rsidRDefault="00C96DBB" w:rsidP="00C96DBB">
      <w:pPr>
        <w:pStyle w:val="Szvegtrzs"/>
        <w:tabs>
          <w:tab w:val="left" w:pos="0"/>
        </w:tabs>
      </w:pPr>
      <w:r>
        <w:t>Les Laboratoires Servier</w:t>
      </w:r>
    </w:p>
    <w:p w14:paraId="41951C0B" w14:textId="77777777" w:rsidR="00C96DBB" w:rsidRDefault="00C96DBB" w:rsidP="00C96DBB">
      <w:pPr>
        <w:pStyle w:val="Szvegtrzs"/>
        <w:tabs>
          <w:tab w:val="left" w:pos="0"/>
        </w:tabs>
      </w:pPr>
      <w:r>
        <w:t>50 rue Carnot</w:t>
      </w:r>
    </w:p>
    <w:p w14:paraId="1061A971" w14:textId="77777777" w:rsidR="00C96DBB" w:rsidRDefault="00C96DBB" w:rsidP="00C96DBB">
      <w:pPr>
        <w:pStyle w:val="Szvegtrzs"/>
        <w:tabs>
          <w:tab w:val="left" w:pos="0"/>
        </w:tabs>
      </w:pPr>
      <w:r>
        <w:t>92284 Suresnes Cedex</w:t>
      </w:r>
    </w:p>
    <w:p w14:paraId="76CBD247" w14:textId="0DAE068E" w:rsidR="0081442E" w:rsidRDefault="00C96DBB" w:rsidP="00C96DBB">
      <w:pPr>
        <w:pStyle w:val="Szvegtrzs"/>
        <w:tabs>
          <w:tab w:val="left" w:pos="0"/>
        </w:tabs>
      </w:pPr>
      <w:r>
        <w:t>Franciaország</w:t>
      </w:r>
    </w:p>
    <w:p w14:paraId="78B7598C" w14:textId="77777777" w:rsidR="00EC0710" w:rsidRDefault="00EC0710" w:rsidP="00C96DBB">
      <w:pPr>
        <w:pStyle w:val="Szvegtrzs"/>
        <w:tabs>
          <w:tab w:val="left" w:pos="0"/>
        </w:tabs>
      </w:pPr>
    </w:p>
    <w:p w14:paraId="1F202A4A" w14:textId="77777777" w:rsidR="00D17310" w:rsidRPr="00D17310" w:rsidRDefault="00D17310" w:rsidP="00D17310">
      <w:pPr>
        <w:pStyle w:val="Szvegtrzs"/>
        <w:tabs>
          <w:tab w:val="left" w:pos="0"/>
        </w:tabs>
        <w:rPr>
          <w:b/>
          <w:bCs/>
        </w:rPr>
      </w:pPr>
      <w:r w:rsidRPr="00D17310">
        <w:rPr>
          <w:b/>
          <w:bCs/>
        </w:rPr>
        <w:t>A gy</w:t>
      </w:r>
      <w:r w:rsidRPr="00D17310">
        <w:rPr>
          <w:rFonts w:hint="eastAsia"/>
          <w:b/>
          <w:bCs/>
        </w:rPr>
        <w:t>á</w:t>
      </w:r>
      <w:r w:rsidRPr="00D17310">
        <w:rPr>
          <w:b/>
          <w:bCs/>
        </w:rPr>
        <w:t>rt</w:t>
      </w:r>
      <w:r w:rsidRPr="00D17310">
        <w:rPr>
          <w:rFonts w:hint="eastAsia"/>
          <w:b/>
          <w:bCs/>
        </w:rPr>
        <w:t>ó</w:t>
      </w:r>
    </w:p>
    <w:p w14:paraId="1BDA8CEB" w14:textId="77777777" w:rsidR="001A4710" w:rsidRDefault="001A4710" w:rsidP="001A4710">
      <w:pPr>
        <w:pStyle w:val="Szvegtrzs"/>
        <w:tabs>
          <w:tab w:val="left" w:pos="0"/>
          <w:tab w:val="left" w:pos="6237"/>
        </w:tabs>
      </w:pPr>
      <w:r>
        <w:t>PharOS MT Ltd.</w:t>
      </w:r>
    </w:p>
    <w:p w14:paraId="4B67ECDF" w14:textId="77777777" w:rsidR="00B0218C" w:rsidRDefault="001A4710" w:rsidP="001A4710">
      <w:pPr>
        <w:pStyle w:val="Szvegtrzs"/>
        <w:tabs>
          <w:tab w:val="left" w:pos="0"/>
          <w:tab w:val="left" w:pos="6237"/>
        </w:tabs>
      </w:pPr>
      <w:r>
        <w:t xml:space="preserve">HF62X, Hal Far Industrial Estate, Birzebbugia BBG3000, </w:t>
      </w:r>
    </w:p>
    <w:p w14:paraId="2A5CCB32" w14:textId="2B083377" w:rsidR="001A4710" w:rsidRDefault="001A4710" w:rsidP="001A4710">
      <w:pPr>
        <w:pStyle w:val="Szvegtrzs"/>
        <w:tabs>
          <w:tab w:val="left" w:pos="0"/>
          <w:tab w:val="left" w:pos="6237"/>
        </w:tabs>
      </w:pPr>
      <w:r>
        <w:t>M</w:t>
      </w:r>
      <w:r w:rsidR="00B0218C">
        <w:t>á</w:t>
      </w:r>
      <w:r>
        <w:t>lta</w:t>
      </w:r>
    </w:p>
    <w:p w14:paraId="44EBFD01" w14:textId="77777777" w:rsidR="001A4710" w:rsidRDefault="001A4710" w:rsidP="001A4710">
      <w:pPr>
        <w:pStyle w:val="Szvegtrzs"/>
        <w:tabs>
          <w:tab w:val="left" w:pos="0"/>
          <w:tab w:val="left" w:pos="6237"/>
        </w:tabs>
      </w:pPr>
    </w:p>
    <w:p w14:paraId="2C55DFEA" w14:textId="77777777" w:rsidR="001A4710" w:rsidRDefault="001A4710" w:rsidP="001A4710">
      <w:pPr>
        <w:pStyle w:val="Szvegtrzs"/>
        <w:tabs>
          <w:tab w:val="left" w:pos="0"/>
          <w:tab w:val="left" w:pos="6237"/>
        </w:tabs>
      </w:pPr>
      <w:r>
        <w:t>Pharos Pharmaceutical Oriented Services Ltd.</w:t>
      </w:r>
    </w:p>
    <w:p w14:paraId="757BD199" w14:textId="74AB1F10" w:rsidR="001A4710" w:rsidRDefault="001A4710" w:rsidP="001A4710">
      <w:pPr>
        <w:pStyle w:val="Szvegtrzs"/>
        <w:tabs>
          <w:tab w:val="left" w:pos="0"/>
          <w:tab w:val="left" w:pos="6237"/>
        </w:tabs>
      </w:pPr>
      <w:r>
        <w:t>Lesvou Street End, Thesi Loggos Industrial Zone, Metamorfossi, 14452,</w:t>
      </w:r>
    </w:p>
    <w:p w14:paraId="028C974D" w14:textId="7C52FFEC" w:rsidR="00B0218C" w:rsidRDefault="00B0218C" w:rsidP="001A4710">
      <w:pPr>
        <w:pStyle w:val="Szvegtrzs"/>
        <w:tabs>
          <w:tab w:val="left" w:pos="0"/>
          <w:tab w:val="left" w:pos="6237"/>
        </w:tabs>
      </w:pPr>
      <w:r>
        <w:t>Görögország</w:t>
      </w:r>
    </w:p>
    <w:p w14:paraId="2A24C043" w14:textId="77777777" w:rsidR="001A4710" w:rsidRDefault="001A4710" w:rsidP="001A4710">
      <w:pPr>
        <w:pStyle w:val="Szvegtrzs"/>
        <w:tabs>
          <w:tab w:val="left" w:pos="0"/>
          <w:tab w:val="left" w:pos="6237"/>
        </w:tabs>
      </w:pPr>
    </w:p>
    <w:p w14:paraId="5EF0908C" w14:textId="77777777" w:rsidR="001A4710" w:rsidRDefault="001A4710" w:rsidP="001A4710">
      <w:pPr>
        <w:pStyle w:val="Szvegtrzs"/>
        <w:tabs>
          <w:tab w:val="left" w:pos="0"/>
          <w:tab w:val="left" w:pos="6237"/>
        </w:tabs>
      </w:pPr>
      <w:r>
        <w:t>QACS Ltd.</w:t>
      </w:r>
    </w:p>
    <w:p w14:paraId="4DE62C44" w14:textId="63D3A9E9" w:rsidR="001A4710" w:rsidRDefault="001A4710" w:rsidP="001A4710">
      <w:pPr>
        <w:pStyle w:val="Szvegtrzs"/>
        <w:tabs>
          <w:tab w:val="left" w:pos="0"/>
          <w:tab w:val="left" w:pos="6237"/>
        </w:tabs>
      </w:pPr>
      <w:r>
        <w:t>Antigonis Street 1, Metamorfossi Attiki, 14451,</w:t>
      </w:r>
    </w:p>
    <w:p w14:paraId="2B5C7AA2" w14:textId="046B4CF8" w:rsidR="00B0218C" w:rsidRDefault="00B0218C" w:rsidP="001A4710">
      <w:pPr>
        <w:pStyle w:val="Szvegtrzs"/>
        <w:tabs>
          <w:tab w:val="left" w:pos="0"/>
          <w:tab w:val="left" w:pos="6237"/>
        </w:tabs>
      </w:pPr>
      <w:r>
        <w:t>Görögország</w:t>
      </w:r>
    </w:p>
    <w:p w14:paraId="725F1009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100A" w14:textId="6A1B1057" w:rsidR="00DD077B" w:rsidRPr="003834C8" w:rsidRDefault="009B5584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8.</w:t>
      </w:r>
      <w:r w:rsidRPr="003834C8">
        <w:tab/>
      </w:r>
      <w:r w:rsidR="0043432F" w:rsidRPr="003834C8">
        <w:t>A FORGALOMBA HOZATALI ENGEDÉLY SZÁMA(I)</w:t>
      </w:r>
    </w:p>
    <w:p w14:paraId="725F100B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0648DEB3" w14:textId="70517148" w:rsidR="008F4BD7" w:rsidRPr="008F4BD7" w:rsidRDefault="008F4BD7" w:rsidP="008F4BD7">
      <w:pPr>
        <w:tabs>
          <w:tab w:val="left" w:pos="0"/>
        </w:tabs>
        <w:rPr>
          <w:u w:val="single"/>
        </w:rPr>
      </w:pPr>
      <w:r w:rsidRPr="008F4BD7">
        <w:rPr>
          <w:u w:val="single"/>
        </w:rPr>
        <w:t>Oblonela 15</w:t>
      </w:r>
      <w:r w:rsidRPr="008F4BD7">
        <w:rPr>
          <w:u w:val="single"/>
        </w:rPr>
        <w:t> </w:t>
      </w:r>
      <w:r w:rsidRPr="008F4BD7">
        <w:rPr>
          <w:u w:val="single"/>
        </w:rPr>
        <w:t>mg filmtabletta</w:t>
      </w:r>
    </w:p>
    <w:p w14:paraId="3494278F" w14:textId="1A2255DC" w:rsidR="008F4BD7" w:rsidRDefault="008F4BD7" w:rsidP="008F4BD7">
      <w:pPr>
        <w:tabs>
          <w:tab w:val="left" w:pos="0"/>
        </w:tabs>
      </w:pPr>
      <w:r>
        <w:t>OGYI-T-24743/01          10</w:t>
      </w:r>
      <w:r>
        <w:t>×</w:t>
      </w:r>
      <w:r>
        <w:t xml:space="preserve">      átlátszó, színtelen alumínium//PVC/PE/PVDC </w:t>
      </w:r>
    </w:p>
    <w:p w14:paraId="32BE6B12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4E1E6E60" w14:textId="0AF8F4A9" w:rsidR="008F4BD7" w:rsidRDefault="008F4BD7" w:rsidP="008F4BD7">
      <w:pPr>
        <w:tabs>
          <w:tab w:val="left" w:pos="0"/>
        </w:tabs>
      </w:pPr>
      <w:r>
        <w:t>OGYI-T-24743/02          100</w:t>
      </w:r>
      <w:r>
        <w:t>×</w:t>
      </w:r>
      <w:r>
        <w:t xml:space="preserve">1  átlátszó, színtelen alumínium//PVC/PE/PVDC, </w:t>
      </w:r>
    </w:p>
    <w:p w14:paraId="007D34BE" w14:textId="77777777" w:rsidR="008F4BD7" w:rsidRDefault="008F4BD7" w:rsidP="008F4BD7">
      <w:pPr>
        <w:tabs>
          <w:tab w:val="left" w:pos="0"/>
        </w:tabs>
      </w:pPr>
      <w:r>
        <w:t>adagonként perforált buborékcsomagolásban</w:t>
      </w:r>
    </w:p>
    <w:p w14:paraId="5E5D04A9" w14:textId="77777777" w:rsidR="008F4BD7" w:rsidRDefault="008F4BD7" w:rsidP="008F4BD7">
      <w:pPr>
        <w:tabs>
          <w:tab w:val="left" w:pos="0"/>
        </w:tabs>
      </w:pPr>
    </w:p>
    <w:p w14:paraId="621FB21C" w14:textId="17A505F1" w:rsidR="008F4BD7" w:rsidRPr="008F4BD7" w:rsidRDefault="008F4BD7" w:rsidP="008F4BD7">
      <w:pPr>
        <w:tabs>
          <w:tab w:val="left" w:pos="0"/>
        </w:tabs>
        <w:rPr>
          <w:u w:val="single"/>
        </w:rPr>
      </w:pPr>
      <w:r w:rsidRPr="008F4BD7">
        <w:rPr>
          <w:u w:val="single"/>
        </w:rPr>
        <w:t>Oblonela 30</w:t>
      </w:r>
      <w:r>
        <w:rPr>
          <w:u w:val="single"/>
        </w:rPr>
        <w:t> </w:t>
      </w:r>
      <w:r w:rsidRPr="008F4BD7">
        <w:rPr>
          <w:u w:val="single"/>
        </w:rPr>
        <w:t>mg filmtabletta</w:t>
      </w:r>
    </w:p>
    <w:p w14:paraId="7500DA46" w14:textId="5AE3BA48" w:rsidR="008F4BD7" w:rsidRDefault="008F4BD7" w:rsidP="008F4BD7">
      <w:pPr>
        <w:tabs>
          <w:tab w:val="left" w:pos="0"/>
        </w:tabs>
      </w:pPr>
      <w:r>
        <w:t>OGYI-T-24743/03          28</w:t>
      </w:r>
      <w:r>
        <w:t>×</w:t>
      </w:r>
      <w:r>
        <w:t xml:space="preserve">      átlátszó, színtelen alumínium//PVC/PE/PVDC </w:t>
      </w:r>
    </w:p>
    <w:p w14:paraId="3CC2A42B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1220DF77" w14:textId="3C2ADA7E" w:rsidR="008F4BD7" w:rsidRDefault="008F4BD7" w:rsidP="008F4BD7">
      <w:pPr>
        <w:tabs>
          <w:tab w:val="left" w:pos="0"/>
        </w:tabs>
      </w:pPr>
      <w:r>
        <w:t>OGYI-T-24743/04          30</w:t>
      </w:r>
      <w:r>
        <w:t>×</w:t>
      </w:r>
      <w:r>
        <w:t xml:space="preserve">      átlátszó, színtelen alumínium//PVC/PE/PVDC </w:t>
      </w:r>
    </w:p>
    <w:p w14:paraId="1229838B" w14:textId="77777777" w:rsidR="008F4BD7" w:rsidRDefault="008F4BD7" w:rsidP="008F4BD7">
      <w:pPr>
        <w:tabs>
          <w:tab w:val="left" w:pos="0"/>
        </w:tabs>
      </w:pPr>
      <w:r>
        <w:t xml:space="preserve">buborékcsomagolásban                                                               </w:t>
      </w:r>
    </w:p>
    <w:p w14:paraId="5DA81E85" w14:textId="3299EAFC" w:rsidR="008F4BD7" w:rsidRDefault="008F4BD7" w:rsidP="008F4BD7">
      <w:pPr>
        <w:tabs>
          <w:tab w:val="left" w:pos="0"/>
        </w:tabs>
      </w:pPr>
      <w:r>
        <w:t>OGYI-T-24743/05          84</w:t>
      </w:r>
      <w:r>
        <w:t>×</w:t>
      </w:r>
      <w:r>
        <w:t xml:space="preserve">      átlátszó, színtelen alumínium//PVC/PE/PVDC </w:t>
      </w:r>
    </w:p>
    <w:p w14:paraId="15A7C8E8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60D33808" w14:textId="6EF7D235" w:rsidR="008F4BD7" w:rsidRDefault="008F4BD7" w:rsidP="008F4BD7">
      <w:pPr>
        <w:tabs>
          <w:tab w:val="left" w:pos="0"/>
        </w:tabs>
      </w:pPr>
      <w:r>
        <w:t>OGYI-T-24743/06          90</w:t>
      </w:r>
      <w:r>
        <w:t>×</w:t>
      </w:r>
      <w:r>
        <w:t xml:space="preserve">      átlátszó, színtelen alumínium//PVC/PE/PVDC </w:t>
      </w:r>
    </w:p>
    <w:p w14:paraId="22197D40" w14:textId="77777777" w:rsidR="008F4BD7" w:rsidRDefault="008F4BD7" w:rsidP="008F4BD7">
      <w:pPr>
        <w:tabs>
          <w:tab w:val="left" w:pos="0"/>
        </w:tabs>
      </w:pPr>
      <w:r>
        <w:t xml:space="preserve">buborékcsomagolásban                                                               </w:t>
      </w:r>
    </w:p>
    <w:p w14:paraId="46E6BAC5" w14:textId="514ED290" w:rsidR="008F4BD7" w:rsidRDefault="008F4BD7" w:rsidP="008F4BD7">
      <w:pPr>
        <w:tabs>
          <w:tab w:val="left" w:pos="0"/>
        </w:tabs>
      </w:pPr>
      <w:r>
        <w:t>OGYI-T-24743/07          98</w:t>
      </w:r>
      <w:r>
        <w:t>×</w:t>
      </w:r>
      <w:r>
        <w:t xml:space="preserve">      átlátszó, színtelen alumínium//PVC/PE/PVDC </w:t>
      </w:r>
    </w:p>
    <w:p w14:paraId="1C97EC17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0B48DDA4" w14:textId="4848A82D" w:rsidR="008F4BD7" w:rsidRDefault="008F4BD7" w:rsidP="008F4BD7">
      <w:pPr>
        <w:tabs>
          <w:tab w:val="left" w:pos="0"/>
        </w:tabs>
      </w:pPr>
      <w:r>
        <w:t>OGYI-T-24743/08          100</w:t>
      </w:r>
      <w:r>
        <w:t>×</w:t>
      </w:r>
      <w:r>
        <w:t xml:space="preserve">1  átlátszó, színtelen alumínium//PVC/PE/PVDC, </w:t>
      </w:r>
    </w:p>
    <w:p w14:paraId="056B814C" w14:textId="77777777" w:rsidR="008F4BD7" w:rsidRDefault="008F4BD7" w:rsidP="008F4BD7">
      <w:pPr>
        <w:tabs>
          <w:tab w:val="left" w:pos="0"/>
        </w:tabs>
      </w:pPr>
      <w:r>
        <w:t>adagonként perforált buborékcsomagolásban</w:t>
      </w:r>
    </w:p>
    <w:p w14:paraId="084BF43D" w14:textId="77777777" w:rsidR="008F4BD7" w:rsidRDefault="008F4BD7" w:rsidP="008F4BD7">
      <w:pPr>
        <w:tabs>
          <w:tab w:val="left" w:pos="0"/>
        </w:tabs>
      </w:pPr>
    </w:p>
    <w:p w14:paraId="53A243ED" w14:textId="5EE5D6B0" w:rsidR="008F4BD7" w:rsidRPr="00436B4C" w:rsidRDefault="008F4BD7" w:rsidP="008F4BD7">
      <w:pPr>
        <w:tabs>
          <w:tab w:val="left" w:pos="0"/>
        </w:tabs>
        <w:rPr>
          <w:u w:val="single"/>
        </w:rPr>
      </w:pPr>
      <w:r w:rsidRPr="00436B4C">
        <w:rPr>
          <w:u w:val="single"/>
        </w:rPr>
        <w:t>Oblonela 60</w:t>
      </w:r>
      <w:r w:rsidR="00436B4C">
        <w:rPr>
          <w:u w:val="single"/>
        </w:rPr>
        <w:t> </w:t>
      </w:r>
      <w:r w:rsidRPr="00436B4C">
        <w:rPr>
          <w:u w:val="single"/>
        </w:rPr>
        <w:t>mg filmtabletta</w:t>
      </w:r>
    </w:p>
    <w:p w14:paraId="1314D070" w14:textId="2AC88BA0" w:rsidR="008F4BD7" w:rsidRDefault="008F4BD7" w:rsidP="008F4BD7">
      <w:pPr>
        <w:tabs>
          <w:tab w:val="left" w:pos="0"/>
        </w:tabs>
      </w:pPr>
      <w:r>
        <w:t>OGYI-T-24743/09          28</w:t>
      </w:r>
      <w:r w:rsidR="00436B4C">
        <w:t>×</w:t>
      </w:r>
      <w:r>
        <w:t xml:space="preserve">      átlátszó, színtelen alumínium//PVC/PE/PVDC </w:t>
      </w:r>
    </w:p>
    <w:p w14:paraId="208D1D66" w14:textId="77777777" w:rsidR="008F4BD7" w:rsidRDefault="008F4BD7" w:rsidP="008F4BD7">
      <w:pPr>
        <w:tabs>
          <w:tab w:val="left" w:pos="0"/>
        </w:tabs>
      </w:pPr>
      <w:r>
        <w:lastRenderedPageBreak/>
        <w:t>buborékcsomagolásban</w:t>
      </w:r>
    </w:p>
    <w:p w14:paraId="60AD9B2F" w14:textId="462FEAFC" w:rsidR="008F4BD7" w:rsidRDefault="008F4BD7" w:rsidP="008F4BD7">
      <w:pPr>
        <w:tabs>
          <w:tab w:val="left" w:pos="0"/>
        </w:tabs>
      </w:pPr>
      <w:r>
        <w:t>OGYI-T-24743/10          30</w:t>
      </w:r>
      <w:r w:rsidR="00436B4C">
        <w:t>×</w:t>
      </w:r>
      <w:r>
        <w:t xml:space="preserve">      átlátszó, színtelen alumínium//PVC/PE/PVDC </w:t>
      </w:r>
    </w:p>
    <w:p w14:paraId="7F273EB3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1F9D570F" w14:textId="12443E18" w:rsidR="008F4BD7" w:rsidRDefault="008F4BD7" w:rsidP="008F4BD7">
      <w:pPr>
        <w:tabs>
          <w:tab w:val="left" w:pos="0"/>
        </w:tabs>
      </w:pPr>
      <w:r>
        <w:t>OGYI-T-24743/11          84</w:t>
      </w:r>
      <w:r w:rsidR="00436B4C">
        <w:t>×</w:t>
      </w:r>
      <w:r>
        <w:t xml:space="preserve">      átlátszó, színtelen alumínium//PVC/PE/PVDC </w:t>
      </w:r>
    </w:p>
    <w:p w14:paraId="7221A201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0F50EC1D" w14:textId="59E71433" w:rsidR="008F4BD7" w:rsidRDefault="008F4BD7" w:rsidP="008F4BD7">
      <w:pPr>
        <w:tabs>
          <w:tab w:val="left" w:pos="0"/>
        </w:tabs>
      </w:pPr>
      <w:r>
        <w:t>OGYI-T-24743/12          90</w:t>
      </w:r>
      <w:r w:rsidR="00436B4C">
        <w:t>×</w:t>
      </w:r>
      <w:r>
        <w:t xml:space="preserve">      átlátszó, színtelen alumínium//PVC/PE/PVDC </w:t>
      </w:r>
    </w:p>
    <w:p w14:paraId="2E7ECFCE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51F6DF50" w14:textId="1CA39196" w:rsidR="008F4BD7" w:rsidRDefault="008F4BD7" w:rsidP="008F4BD7">
      <w:pPr>
        <w:tabs>
          <w:tab w:val="left" w:pos="0"/>
        </w:tabs>
      </w:pPr>
      <w:r>
        <w:t>OGYI-T-24743/13          98</w:t>
      </w:r>
      <w:r w:rsidR="00436B4C">
        <w:t>×</w:t>
      </w:r>
      <w:r>
        <w:t xml:space="preserve">      átlátszó, színtelen alumínium//PVC/PE/PVDC </w:t>
      </w:r>
    </w:p>
    <w:p w14:paraId="06E1D2DD" w14:textId="77777777" w:rsidR="008F4BD7" w:rsidRDefault="008F4BD7" w:rsidP="008F4BD7">
      <w:pPr>
        <w:tabs>
          <w:tab w:val="left" w:pos="0"/>
        </w:tabs>
      </w:pPr>
      <w:r>
        <w:t>buborékcsomagolásban</w:t>
      </w:r>
    </w:p>
    <w:p w14:paraId="206310C0" w14:textId="1CAB5312" w:rsidR="008F4BD7" w:rsidRDefault="008F4BD7" w:rsidP="008F4BD7">
      <w:pPr>
        <w:tabs>
          <w:tab w:val="left" w:pos="0"/>
        </w:tabs>
      </w:pPr>
      <w:r>
        <w:t>OGYI-T-24743/14          100</w:t>
      </w:r>
      <w:r w:rsidR="00436B4C">
        <w:t>×</w:t>
      </w:r>
      <w:r>
        <w:t xml:space="preserve">1  átlátszó, színtelen alumínium//PVC/PE/PVDC, </w:t>
      </w:r>
    </w:p>
    <w:p w14:paraId="3AFC6E1F" w14:textId="13864C87" w:rsidR="00020629" w:rsidRDefault="008F4BD7" w:rsidP="008F4BD7">
      <w:pPr>
        <w:tabs>
          <w:tab w:val="left" w:pos="0"/>
        </w:tabs>
      </w:pPr>
      <w:r>
        <w:t>adagonként perforált buborékcsomagolásban</w:t>
      </w:r>
    </w:p>
    <w:p w14:paraId="1D789C51" w14:textId="77777777" w:rsidR="000D2497" w:rsidRDefault="000D2497" w:rsidP="008F4BD7">
      <w:pPr>
        <w:tabs>
          <w:tab w:val="left" w:pos="0"/>
        </w:tabs>
      </w:pPr>
    </w:p>
    <w:p w14:paraId="3547F00F" w14:textId="77777777" w:rsidR="000D2497" w:rsidRPr="003834C8" w:rsidRDefault="000D2497" w:rsidP="008F4BD7">
      <w:pPr>
        <w:tabs>
          <w:tab w:val="left" w:pos="0"/>
        </w:tabs>
      </w:pPr>
    </w:p>
    <w:p w14:paraId="725F1018" w14:textId="19FC6367" w:rsidR="00DD077B" w:rsidRPr="003834C8" w:rsidRDefault="009B5584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9.</w:t>
      </w:r>
      <w:r w:rsidRPr="003834C8">
        <w:tab/>
      </w:r>
      <w:r w:rsidR="0043432F" w:rsidRPr="003834C8">
        <w:t>A FORGALOMBA HOZATALI ENGEDÉLY ELSŐ KIADÁSÁNAK/ MEGÚJÍTÁSÁNAK DÁTUMA</w:t>
      </w:r>
    </w:p>
    <w:p w14:paraId="725F1019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101A" w14:textId="7565F637" w:rsidR="00DD077B" w:rsidRPr="003834C8" w:rsidRDefault="0043432F" w:rsidP="003834C8">
      <w:pPr>
        <w:pStyle w:val="Szvegtrzs"/>
        <w:tabs>
          <w:tab w:val="left" w:pos="0"/>
        </w:tabs>
      </w:pPr>
      <w:r w:rsidRPr="003834C8">
        <w:t>A forgalomba hozatali engedély első kiadásának dátuma:</w:t>
      </w:r>
      <w:r w:rsidR="00EA21B1">
        <w:t xml:space="preserve"> 2026. </w:t>
      </w:r>
      <w:r w:rsidR="008F4BD7">
        <w:t>május 19.</w:t>
      </w:r>
    </w:p>
    <w:p w14:paraId="725F101C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101D" w14:textId="77777777" w:rsidR="00DD077B" w:rsidRPr="003834C8" w:rsidRDefault="00DD077B" w:rsidP="003834C8">
      <w:pPr>
        <w:pStyle w:val="Szvegtrzs"/>
        <w:tabs>
          <w:tab w:val="left" w:pos="0"/>
        </w:tabs>
      </w:pPr>
    </w:p>
    <w:p w14:paraId="725F101E" w14:textId="14099477" w:rsidR="00DD077B" w:rsidRPr="003834C8" w:rsidRDefault="009B5584" w:rsidP="003834C8">
      <w:pPr>
        <w:pStyle w:val="Cmsor1"/>
        <w:tabs>
          <w:tab w:val="left" w:pos="567"/>
        </w:tabs>
        <w:spacing w:before="0"/>
        <w:ind w:left="567" w:hanging="567"/>
      </w:pPr>
      <w:r w:rsidRPr="003834C8">
        <w:t>10.</w:t>
      </w:r>
      <w:r w:rsidRPr="003834C8">
        <w:tab/>
      </w:r>
      <w:r w:rsidR="0043432F" w:rsidRPr="003834C8">
        <w:t>A SZÖVEG ELLENŐRZÉSÉNEK DÁTUMA</w:t>
      </w:r>
    </w:p>
    <w:p w14:paraId="725F101F" w14:textId="77777777" w:rsidR="00DD077B" w:rsidRPr="003834C8" w:rsidRDefault="00DD077B" w:rsidP="003834C8">
      <w:pPr>
        <w:pStyle w:val="Szvegtrzs"/>
        <w:tabs>
          <w:tab w:val="left" w:pos="0"/>
        </w:tabs>
        <w:rPr>
          <w:bCs/>
        </w:rPr>
      </w:pPr>
    </w:p>
    <w:p w14:paraId="725F1023" w14:textId="722D9855" w:rsidR="00DD077B" w:rsidRPr="003834C8" w:rsidRDefault="00EA21B1" w:rsidP="003834C8">
      <w:pPr>
        <w:pStyle w:val="Szvegtrzs"/>
        <w:tabs>
          <w:tab w:val="left" w:pos="0"/>
        </w:tabs>
      </w:pPr>
      <w:r>
        <w:t xml:space="preserve">2026. </w:t>
      </w:r>
      <w:r w:rsidR="008F4BD7">
        <w:t>május 19.</w:t>
      </w:r>
    </w:p>
    <w:p w14:paraId="725F1024" w14:textId="77777777" w:rsidR="00DD077B" w:rsidRPr="003834C8" w:rsidRDefault="00DD077B" w:rsidP="003834C8">
      <w:pPr>
        <w:pStyle w:val="Szvegtrzs"/>
        <w:tabs>
          <w:tab w:val="left" w:pos="0"/>
        </w:tabs>
      </w:pPr>
    </w:p>
    <w:sectPr w:rsidR="00DD077B" w:rsidRPr="003834C8" w:rsidSect="005E44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45143" w14:textId="77777777" w:rsidR="00703CF7" w:rsidRDefault="00703CF7">
      <w:r>
        <w:separator/>
      </w:r>
    </w:p>
  </w:endnote>
  <w:endnote w:type="continuationSeparator" w:id="0">
    <w:p w14:paraId="55629241" w14:textId="77777777" w:rsidR="00703CF7" w:rsidRDefault="00703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E33B" w14:textId="77777777" w:rsidR="0097255A" w:rsidRDefault="0097255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CC4F8" w14:textId="0D14EA10" w:rsidR="00200E91" w:rsidRDefault="00200E91" w:rsidP="00B100E9">
    <w:pPr>
      <w:pStyle w:val="llb"/>
      <w:tabs>
        <w:tab w:val="clear" w:pos="4536"/>
        <w:tab w:val="center" w:pos="4535"/>
        <w:tab w:val="left" w:pos="5505"/>
      </w:tabs>
    </w:pPr>
    <w:r>
      <w:tab/>
    </w:r>
  </w:p>
  <w:p w14:paraId="725F1586" w14:textId="177D546E" w:rsidR="00200E91" w:rsidRDefault="00200E91">
    <w:pPr>
      <w:pStyle w:val="Szvegtrzs"/>
      <w:spacing w:line="14" w:lineRule="auto"/>
      <w:rPr>
        <w:sz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B8F72" w14:textId="77777777" w:rsidR="0097255A" w:rsidRPr="00DE1690" w:rsidRDefault="0097255A" w:rsidP="0097255A">
    <w:pPr>
      <w:pStyle w:val="llb"/>
      <w:rPr>
        <w:sz w:val="18"/>
        <w:szCs w:val="18"/>
      </w:rPr>
    </w:pPr>
    <w:r w:rsidRPr="00DE1690">
      <w:rPr>
        <w:sz w:val="18"/>
        <w:szCs w:val="18"/>
      </w:rPr>
      <w:t>NNGYK/ETGY/6291/2025</w:t>
    </w:r>
  </w:p>
  <w:p w14:paraId="7F1ABFA2" w14:textId="77777777" w:rsidR="0097255A" w:rsidRPr="00DE1690" w:rsidRDefault="0097255A" w:rsidP="0097255A">
    <w:pPr>
      <w:pStyle w:val="llb"/>
      <w:rPr>
        <w:sz w:val="18"/>
        <w:szCs w:val="18"/>
      </w:rPr>
    </w:pPr>
    <w:r w:rsidRPr="00DE1690">
      <w:rPr>
        <w:sz w:val="18"/>
        <w:szCs w:val="18"/>
      </w:rPr>
      <w:t>NNGYK/ETGY/6292/2024</w:t>
    </w:r>
  </w:p>
  <w:p w14:paraId="2FF07CD4" w14:textId="4036A509" w:rsidR="0097255A" w:rsidRPr="00DE1690" w:rsidRDefault="0097255A" w:rsidP="0097255A">
    <w:pPr>
      <w:pStyle w:val="llb"/>
      <w:rPr>
        <w:sz w:val="18"/>
        <w:szCs w:val="18"/>
      </w:rPr>
    </w:pPr>
    <w:r w:rsidRPr="00DE1690">
      <w:rPr>
        <w:sz w:val="18"/>
        <w:szCs w:val="18"/>
      </w:rPr>
      <w:t>NNGYK/ETGY/6294/2025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381AA" w14:textId="77777777" w:rsidR="00703CF7" w:rsidRDefault="00703CF7">
      <w:r>
        <w:separator/>
      </w:r>
    </w:p>
  </w:footnote>
  <w:footnote w:type="continuationSeparator" w:id="0">
    <w:p w14:paraId="187B3145" w14:textId="77777777" w:rsidR="00703CF7" w:rsidRDefault="00703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97952" w14:textId="77777777" w:rsidR="0097255A" w:rsidRDefault="0097255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5582489"/>
      <w:docPartObj>
        <w:docPartGallery w:val="Page Numbers (Top of Page)"/>
        <w:docPartUnique/>
      </w:docPartObj>
    </w:sdtPr>
    <w:sdtEndPr/>
    <w:sdtContent>
      <w:p w14:paraId="7C7AB0F5" w14:textId="7A6212BA" w:rsidR="00200E91" w:rsidRDefault="00200E9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2D63FA" w14:textId="511B1309" w:rsidR="00200E91" w:rsidRDefault="00200E91" w:rsidP="003743A2">
    <w:pPr>
      <w:tabs>
        <w:tab w:val="center" w:pos="4153"/>
        <w:tab w:val="right" w:pos="8306"/>
      </w:tabs>
      <w:adjustRightInd w:val="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8CBED" w14:textId="77777777" w:rsidR="0097255A" w:rsidRDefault="0097255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4157B"/>
    <w:multiLevelType w:val="multilevel"/>
    <w:tmpl w:val="A5D67092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7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BC00295"/>
    <w:multiLevelType w:val="hybridMultilevel"/>
    <w:tmpl w:val="545A9AF6"/>
    <w:lvl w:ilvl="0" w:tplc="C5D86506">
      <w:numFmt w:val="bullet"/>
      <w:lvlText w:val="•"/>
      <w:lvlJc w:val="left"/>
      <w:pPr>
        <w:ind w:left="720" w:hanging="360"/>
      </w:pPr>
      <w:rPr>
        <w:rFonts w:hint="default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E2C95"/>
    <w:multiLevelType w:val="hybridMultilevel"/>
    <w:tmpl w:val="119AC3F0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30D01BB8">
      <w:numFmt w:val="bullet"/>
      <w:lvlText w:val=""/>
      <w:lvlJc w:val="left"/>
      <w:pPr>
        <w:ind w:left="1351" w:hanging="569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BC8A9644">
      <w:numFmt w:val="bullet"/>
      <w:lvlText w:val="•"/>
      <w:lvlJc w:val="left"/>
      <w:pPr>
        <w:ind w:left="2325" w:hanging="569"/>
      </w:pPr>
      <w:rPr>
        <w:rFonts w:hint="default"/>
        <w:lang w:val="hu-HU" w:eastAsia="en-US" w:bidi="ar-SA"/>
      </w:rPr>
    </w:lvl>
    <w:lvl w:ilvl="3" w:tplc="152CBDCA">
      <w:numFmt w:val="bullet"/>
      <w:lvlText w:val="•"/>
      <w:lvlJc w:val="left"/>
      <w:pPr>
        <w:ind w:left="3290" w:hanging="569"/>
      </w:pPr>
      <w:rPr>
        <w:rFonts w:hint="default"/>
        <w:lang w:val="hu-HU" w:eastAsia="en-US" w:bidi="ar-SA"/>
      </w:rPr>
    </w:lvl>
    <w:lvl w:ilvl="4" w:tplc="642ECEF0">
      <w:numFmt w:val="bullet"/>
      <w:lvlText w:val="•"/>
      <w:lvlJc w:val="left"/>
      <w:pPr>
        <w:ind w:left="4255" w:hanging="569"/>
      </w:pPr>
      <w:rPr>
        <w:rFonts w:hint="default"/>
        <w:lang w:val="hu-HU" w:eastAsia="en-US" w:bidi="ar-SA"/>
      </w:rPr>
    </w:lvl>
    <w:lvl w:ilvl="5" w:tplc="8C44AD0E">
      <w:numFmt w:val="bullet"/>
      <w:lvlText w:val="•"/>
      <w:lvlJc w:val="left"/>
      <w:pPr>
        <w:ind w:left="5220" w:hanging="569"/>
      </w:pPr>
      <w:rPr>
        <w:rFonts w:hint="default"/>
        <w:lang w:val="hu-HU" w:eastAsia="en-US" w:bidi="ar-SA"/>
      </w:rPr>
    </w:lvl>
    <w:lvl w:ilvl="6" w:tplc="9918A02A">
      <w:numFmt w:val="bullet"/>
      <w:lvlText w:val="•"/>
      <w:lvlJc w:val="left"/>
      <w:pPr>
        <w:ind w:left="6185" w:hanging="569"/>
      </w:pPr>
      <w:rPr>
        <w:rFonts w:hint="default"/>
        <w:lang w:val="hu-HU" w:eastAsia="en-US" w:bidi="ar-SA"/>
      </w:rPr>
    </w:lvl>
    <w:lvl w:ilvl="7" w:tplc="F19A34A2">
      <w:numFmt w:val="bullet"/>
      <w:lvlText w:val="•"/>
      <w:lvlJc w:val="left"/>
      <w:pPr>
        <w:ind w:left="7150" w:hanging="569"/>
      </w:pPr>
      <w:rPr>
        <w:rFonts w:hint="default"/>
        <w:lang w:val="hu-HU" w:eastAsia="en-US" w:bidi="ar-SA"/>
      </w:rPr>
    </w:lvl>
    <w:lvl w:ilvl="8" w:tplc="824C19EA">
      <w:numFmt w:val="bullet"/>
      <w:lvlText w:val="•"/>
      <w:lvlJc w:val="left"/>
      <w:pPr>
        <w:ind w:left="8116" w:hanging="569"/>
      </w:pPr>
      <w:rPr>
        <w:rFonts w:hint="default"/>
        <w:lang w:val="hu-HU" w:eastAsia="en-US" w:bidi="ar-SA"/>
      </w:rPr>
    </w:lvl>
  </w:abstractNum>
  <w:abstractNum w:abstractNumId="3" w15:restartNumberingAfterBreak="0">
    <w:nsid w:val="168C3837"/>
    <w:multiLevelType w:val="hybridMultilevel"/>
    <w:tmpl w:val="A96C28DA"/>
    <w:lvl w:ilvl="0" w:tplc="B5A87E8E">
      <w:numFmt w:val="bullet"/>
      <w:lvlText w:val=""/>
      <w:lvlJc w:val="left"/>
      <w:pPr>
        <w:ind w:left="554" w:hanging="49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1" w:tplc="9FC83E30">
      <w:numFmt w:val="bullet"/>
      <w:lvlText w:val="•"/>
      <w:lvlJc w:val="left"/>
      <w:pPr>
        <w:ind w:left="711" w:hanging="497"/>
      </w:pPr>
      <w:rPr>
        <w:rFonts w:hint="default"/>
        <w:lang w:val="hu-HU" w:eastAsia="en-US" w:bidi="ar-SA"/>
      </w:rPr>
    </w:lvl>
    <w:lvl w:ilvl="2" w:tplc="42BE0208">
      <w:numFmt w:val="bullet"/>
      <w:lvlText w:val="•"/>
      <w:lvlJc w:val="left"/>
      <w:pPr>
        <w:ind w:left="862" w:hanging="497"/>
      </w:pPr>
      <w:rPr>
        <w:rFonts w:hint="default"/>
        <w:lang w:val="hu-HU" w:eastAsia="en-US" w:bidi="ar-SA"/>
      </w:rPr>
    </w:lvl>
    <w:lvl w:ilvl="3" w:tplc="68A86BE8">
      <w:numFmt w:val="bullet"/>
      <w:lvlText w:val="•"/>
      <w:lvlJc w:val="left"/>
      <w:pPr>
        <w:ind w:left="1013" w:hanging="497"/>
      </w:pPr>
      <w:rPr>
        <w:rFonts w:hint="default"/>
        <w:lang w:val="hu-HU" w:eastAsia="en-US" w:bidi="ar-SA"/>
      </w:rPr>
    </w:lvl>
    <w:lvl w:ilvl="4" w:tplc="0BD2E0DC">
      <w:numFmt w:val="bullet"/>
      <w:lvlText w:val="•"/>
      <w:lvlJc w:val="left"/>
      <w:pPr>
        <w:ind w:left="1164" w:hanging="497"/>
      </w:pPr>
      <w:rPr>
        <w:rFonts w:hint="default"/>
        <w:lang w:val="hu-HU" w:eastAsia="en-US" w:bidi="ar-SA"/>
      </w:rPr>
    </w:lvl>
    <w:lvl w:ilvl="5" w:tplc="ED4AC4EC">
      <w:numFmt w:val="bullet"/>
      <w:lvlText w:val="•"/>
      <w:lvlJc w:val="left"/>
      <w:pPr>
        <w:ind w:left="1315" w:hanging="497"/>
      </w:pPr>
      <w:rPr>
        <w:rFonts w:hint="default"/>
        <w:lang w:val="hu-HU" w:eastAsia="en-US" w:bidi="ar-SA"/>
      </w:rPr>
    </w:lvl>
    <w:lvl w:ilvl="6" w:tplc="36585714">
      <w:numFmt w:val="bullet"/>
      <w:lvlText w:val="•"/>
      <w:lvlJc w:val="left"/>
      <w:pPr>
        <w:ind w:left="1466" w:hanging="497"/>
      </w:pPr>
      <w:rPr>
        <w:rFonts w:hint="default"/>
        <w:lang w:val="hu-HU" w:eastAsia="en-US" w:bidi="ar-SA"/>
      </w:rPr>
    </w:lvl>
    <w:lvl w:ilvl="7" w:tplc="3376BD2A">
      <w:numFmt w:val="bullet"/>
      <w:lvlText w:val="•"/>
      <w:lvlJc w:val="left"/>
      <w:pPr>
        <w:ind w:left="1617" w:hanging="497"/>
      </w:pPr>
      <w:rPr>
        <w:rFonts w:hint="default"/>
        <w:lang w:val="hu-HU" w:eastAsia="en-US" w:bidi="ar-SA"/>
      </w:rPr>
    </w:lvl>
    <w:lvl w:ilvl="8" w:tplc="64CA2804">
      <w:numFmt w:val="bullet"/>
      <w:lvlText w:val="•"/>
      <w:lvlJc w:val="left"/>
      <w:pPr>
        <w:ind w:left="1768" w:hanging="497"/>
      </w:pPr>
      <w:rPr>
        <w:rFonts w:hint="default"/>
        <w:lang w:val="hu-HU" w:eastAsia="en-US" w:bidi="ar-SA"/>
      </w:rPr>
    </w:lvl>
  </w:abstractNum>
  <w:abstractNum w:abstractNumId="4" w15:restartNumberingAfterBreak="0">
    <w:nsid w:val="358C6A68"/>
    <w:multiLevelType w:val="hybridMultilevel"/>
    <w:tmpl w:val="335810FE"/>
    <w:lvl w:ilvl="0" w:tplc="C5D86506">
      <w:numFmt w:val="bullet"/>
      <w:lvlText w:val="•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5" w15:restartNumberingAfterBreak="0">
    <w:nsid w:val="3C037421"/>
    <w:multiLevelType w:val="multilevel"/>
    <w:tmpl w:val="C5861B60"/>
    <w:lvl w:ilvl="0">
      <w:start w:val="4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3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3C5F3A86"/>
    <w:multiLevelType w:val="hybridMultilevel"/>
    <w:tmpl w:val="E0604F10"/>
    <w:lvl w:ilvl="0" w:tplc="9E9E8900">
      <w:start w:val="1"/>
      <w:numFmt w:val="upperRoman"/>
      <w:lvlText w:val="%1."/>
      <w:lvlJc w:val="left"/>
      <w:pPr>
        <w:ind w:left="4149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3AC89A28">
      <w:numFmt w:val="bullet"/>
      <w:lvlText w:val="•"/>
      <w:lvlJc w:val="left"/>
      <w:pPr>
        <w:ind w:left="4730" w:hanging="197"/>
      </w:pPr>
      <w:rPr>
        <w:rFonts w:hint="default"/>
        <w:lang w:val="hu-HU" w:eastAsia="en-US" w:bidi="ar-SA"/>
      </w:rPr>
    </w:lvl>
    <w:lvl w:ilvl="2" w:tplc="746A8378">
      <w:numFmt w:val="bullet"/>
      <w:lvlText w:val="•"/>
      <w:lvlJc w:val="left"/>
      <w:pPr>
        <w:ind w:left="5321" w:hanging="197"/>
      </w:pPr>
      <w:rPr>
        <w:rFonts w:hint="default"/>
        <w:lang w:val="hu-HU" w:eastAsia="en-US" w:bidi="ar-SA"/>
      </w:rPr>
    </w:lvl>
    <w:lvl w:ilvl="3" w:tplc="02F4C5C4">
      <w:numFmt w:val="bullet"/>
      <w:lvlText w:val="•"/>
      <w:lvlJc w:val="left"/>
      <w:pPr>
        <w:ind w:left="5911" w:hanging="197"/>
      </w:pPr>
      <w:rPr>
        <w:rFonts w:hint="default"/>
        <w:lang w:val="hu-HU" w:eastAsia="en-US" w:bidi="ar-SA"/>
      </w:rPr>
    </w:lvl>
    <w:lvl w:ilvl="4" w:tplc="64ACAA0C">
      <w:numFmt w:val="bullet"/>
      <w:lvlText w:val="•"/>
      <w:lvlJc w:val="left"/>
      <w:pPr>
        <w:ind w:left="6502" w:hanging="197"/>
      </w:pPr>
      <w:rPr>
        <w:rFonts w:hint="default"/>
        <w:lang w:val="hu-HU" w:eastAsia="en-US" w:bidi="ar-SA"/>
      </w:rPr>
    </w:lvl>
    <w:lvl w:ilvl="5" w:tplc="263C3E94">
      <w:numFmt w:val="bullet"/>
      <w:lvlText w:val="•"/>
      <w:lvlJc w:val="left"/>
      <w:pPr>
        <w:ind w:left="7093" w:hanging="197"/>
      </w:pPr>
      <w:rPr>
        <w:rFonts w:hint="default"/>
        <w:lang w:val="hu-HU" w:eastAsia="en-US" w:bidi="ar-SA"/>
      </w:rPr>
    </w:lvl>
    <w:lvl w:ilvl="6" w:tplc="26947A16">
      <w:numFmt w:val="bullet"/>
      <w:lvlText w:val="•"/>
      <w:lvlJc w:val="left"/>
      <w:pPr>
        <w:ind w:left="7683" w:hanging="197"/>
      </w:pPr>
      <w:rPr>
        <w:rFonts w:hint="default"/>
        <w:lang w:val="hu-HU" w:eastAsia="en-US" w:bidi="ar-SA"/>
      </w:rPr>
    </w:lvl>
    <w:lvl w:ilvl="7" w:tplc="3FC6DF18">
      <w:numFmt w:val="bullet"/>
      <w:lvlText w:val="•"/>
      <w:lvlJc w:val="left"/>
      <w:pPr>
        <w:ind w:left="8274" w:hanging="197"/>
      </w:pPr>
      <w:rPr>
        <w:rFonts w:hint="default"/>
        <w:lang w:val="hu-HU" w:eastAsia="en-US" w:bidi="ar-SA"/>
      </w:rPr>
    </w:lvl>
    <w:lvl w:ilvl="8" w:tplc="458215F2">
      <w:numFmt w:val="bullet"/>
      <w:lvlText w:val="•"/>
      <w:lvlJc w:val="left"/>
      <w:pPr>
        <w:ind w:left="8865" w:hanging="197"/>
      </w:pPr>
      <w:rPr>
        <w:rFonts w:hint="default"/>
        <w:lang w:val="hu-HU" w:eastAsia="en-US" w:bidi="ar-SA"/>
      </w:rPr>
    </w:lvl>
  </w:abstractNum>
  <w:abstractNum w:abstractNumId="7" w15:restartNumberingAfterBreak="0">
    <w:nsid w:val="3C961950"/>
    <w:multiLevelType w:val="hybridMultilevel"/>
    <w:tmpl w:val="40DA6A6E"/>
    <w:lvl w:ilvl="0" w:tplc="4A26FD54">
      <w:numFmt w:val="bullet"/>
      <w:lvlText w:val="-"/>
      <w:lvlJc w:val="left"/>
      <w:pPr>
        <w:ind w:left="78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8" w15:restartNumberingAfterBreak="0">
    <w:nsid w:val="42D811C9"/>
    <w:multiLevelType w:val="hybridMultilevel"/>
    <w:tmpl w:val="1144ADF8"/>
    <w:lvl w:ilvl="0" w:tplc="9138A934">
      <w:start w:val="1"/>
      <w:numFmt w:val="decimal"/>
      <w:lvlText w:val="%1."/>
      <w:lvlJc w:val="left"/>
      <w:pPr>
        <w:ind w:left="788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 w:tplc="C5D86506">
      <w:numFmt w:val="bullet"/>
      <w:lvlText w:val="•"/>
      <w:lvlJc w:val="left"/>
      <w:pPr>
        <w:ind w:left="1706" w:hanging="572"/>
      </w:pPr>
      <w:rPr>
        <w:rFonts w:hint="default"/>
        <w:lang w:val="hu-HU" w:eastAsia="en-US" w:bidi="ar-SA"/>
      </w:rPr>
    </w:lvl>
    <w:lvl w:ilvl="2" w:tplc="32D8D522">
      <w:numFmt w:val="bullet"/>
      <w:lvlText w:val="•"/>
      <w:lvlJc w:val="left"/>
      <w:pPr>
        <w:ind w:left="2633" w:hanging="572"/>
      </w:pPr>
      <w:rPr>
        <w:rFonts w:hint="default"/>
        <w:lang w:val="hu-HU" w:eastAsia="en-US" w:bidi="ar-SA"/>
      </w:rPr>
    </w:lvl>
    <w:lvl w:ilvl="3" w:tplc="12803844">
      <w:numFmt w:val="bullet"/>
      <w:lvlText w:val="•"/>
      <w:lvlJc w:val="left"/>
      <w:pPr>
        <w:ind w:left="3559" w:hanging="572"/>
      </w:pPr>
      <w:rPr>
        <w:rFonts w:hint="default"/>
        <w:lang w:val="hu-HU" w:eastAsia="en-US" w:bidi="ar-SA"/>
      </w:rPr>
    </w:lvl>
    <w:lvl w:ilvl="4" w:tplc="F198DBAA">
      <w:numFmt w:val="bullet"/>
      <w:lvlText w:val="•"/>
      <w:lvlJc w:val="left"/>
      <w:pPr>
        <w:ind w:left="4486" w:hanging="572"/>
      </w:pPr>
      <w:rPr>
        <w:rFonts w:hint="default"/>
        <w:lang w:val="hu-HU" w:eastAsia="en-US" w:bidi="ar-SA"/>
      </w:rPr>
    </w:lvl>
    <w:lvl w:ilvl="5" w:tplc="C2387B9E">
      <w:numFmt w:val="bullet"/>
      <w:lvlText w:val="•"/>
      <w:lvlJc w:val="left"/>
      <w:pPr>
        <w:ind w:left="5413" w:hanging="572"/>
      </w:pPr>
      <w:rPr>
        <w:rFonts w:hint="default"/>
        <w:lang w:val="hu-HU" w:eastAsia="en-US" w:bidi="ar-SA"/>
      </w:rPr>
    </w:lvl>
    <w:lvl w:ilvl="6" w:tplc="C4E41A0A">
      <w:numFmt w:val="bullet"/>
      <w:lvlText w:val="•"/>
      <w:lvlJc w:val="left"/>
      <w:pPr>
        <w:ind w:left="6339" w:hanging="572"/>
      </w:pPr>
      <w:rPr>
        <w:rFonts w:hint="default"/>
        <w:lang w:val="hu-HU" w:eastAsia="en-US" w:bidi="ar-SA"/>
      </w:rPr>
    </w:lvl>
    <w:lvl w:ilvl="7" w:tplc="40905AAA">
      <w:numFmt w:val="bullet"/>
      <w:lvlText w:val="•"/>
      <w:lvlJc w:val="left"/>
      <w:pPr>
        <w:ind w:left="7266" w:hanging="572"/>
      </w:pPr>
      <w:rPr>
        <w:rFonts w:hint="default"/>
        <w:lang w:val="hu-HU" w:eastAsia="en-US" w:bidi="ar-SA"/>
      </w:rPr>
    </w:lvl>
    <w:lvl w:ilvl="8" w:tplc="990CF352">
      <w:numFmt w:val="bullet"/>
      <w:lvlText w:val="•"/>
      <w:lvlJc w:val="left"/>
      <w:pPr>
        <w:ind w:left="8193" w:hanging="572"/>
      </w:pPr>
      <w:rPr>
        <w:rFonts w:hint="default"/>
        <w:lang w:val="hu-HU" w:eastAsia="en-US" w:bidi="ar-SA"/>
      </w:rPr>
    </w:lvl>
  </w:abstractNum>
  <w:abstractNum w:abstractNumId="9" w15:restartNumberingAfterBreak="0">
    <w:nsid w:val="46A7252F"/>
    <w:multiLevelType w:val="multilevel"/>
    <w:tmpl w:val="747C23FA"/>
    <w:lvl w:ilvl="0">
      <w:start w:val="5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491F6D9A"/>
    <w:multiLevelType w:val="hybridMultilevel"/>
    <w:tmpl w:val="165C4E08"/>
    <w:lvl w:ilvl="0" w:tplc="04B62316">
      <w:start w:val="4"/>
      <w:numFmt w:val="decimal"/>
      <w:lvlText w:val="%1"/>
      <w:lvlJc w:val="left"/>
      <w:pPr>
        <w:ind w:left="384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73A63108">
      <w:numFmt w:val="bullet"/>
      <w:lvlText w:val="•"/>
      <w:lvlJc w:val="left"/>
      <w:pPr>
        <w:ind w:left="1346" w:hanging="166"/>
      </w:pPr>
      <w:rPr>
        <w:rFonts w:hint="default"/>
        <w:lang w:val="hu-HU" w:eastAsia="en-US" w:bidi="ar-SA"/>
      </w:rPr>
    </w:lvl>
    <w:lvl w:ilvl="2" w:tplc="781A0F62">
      <w:numFmt w:val="bullet"/>
      <w:lvlText w:val="•"/>
      <w:lvlJc w:val="left"/>
      <w:pPr>
        <w:ind w:left="2313" w:hanging="166"/>
      </w:pPr>
      <w:rPr>
        <w:rFonts w:hint="default"/>
        <w:lang w:val="hu-HU" w:eastAsia="en-US" w:bidi="ar-SA"/>
      </w:rPr>
    </w:lvl>
    <w:lvl w:ilvl="3" w:tplc="9BF20E14">
      <w:numFmt w:val="bullet"/>
      <w:lvlText w:val="•"/>
      <w:lvlJc w:val="left"/>
      <w:pPr>
        <w:ind w:left="3279" w:hanging="166"/>
      </w:pPr>
      <w:rPr>
        <w:rFonts w:hint="default"/>
        <w:lang w:val="hu-HU" w:eastAsia="en-US" w:bidi="ar-SA"/>
      </w:rPr>
    </w:lvl>
    <w:lvl w:ilvl="4" w:tplc="6B669548">
      <w:numFmt w:val="bullet"/>
      <w:lvlText w:val="•"/>
      <w:lvlJc w:val="left"/>
      <w:pPr>
        <w:ind w:left="4246" w:hanging="166"/>
      </w:pPr>
      <w:rPr>
        <w:rFonts w:hint="default"/>
        <w:lang w:val="hu-HU" w:eastAsia="en-US" w:bidi="ar-SA"/>
      </w:rPr>
    </w:lvl>
    <w:lvl w:ilvl="5" w:tplc="978C41F6">
      <w:numFmt w:val="bullet"/>
      <w:lvlText w:val="•"/>
      <w:lvlJc w:val="left"/>
      <w:pPr>
        <w:ind w:left="5213" w:hanging="166"/>
      </w:pPr>
      <w:rPr>
        <w:rFonts w:hint="default"/>
        <w:lang w:val="hu-HU" w:eastAsia="en-US" w:bidi="ar-SA"/>
      </w:rPr>
    </w:lvl>
    <w:lvl w:ilvl="6" w:tplc="DEB8EB0C">
      <w:numFmt w:val="bullet"/>
      <w:lvlText w:val="•"/>
      <w:lvlJc w:val="left"/>
      <w:pPr>
        <w:ind w:left="6179" w:hanging="166"/>
      </w:pPr>
      <w:rPr>
        <w:rFonts w:hint="default"/>
        <w:lang w:val="hu-HU" w:eastAsia="en-US" w:bidi="ar-SA"/>
      </w:rPr>
    </w:lvl>
    <w:lvl w:ilvl="7" w:tplc="BBE49E04">
      <w:numFmt w:val="bullet"/>
      <w:lvlText w:val="•"/>
      <w:lvlJc w:val="left"/>
      <w:pPr>
        <w:ind w:left="7146" w:hanging="166"/>
      </w:pPr>
      <w:rPr>
        <w:rFonts w:hint="default"/>
        <w:lang w:val="hu-HU" w:eastAsia="en-US" w:bidi="ar-SA"/>
      </w:rPr>
    </w:lvl>
    <w:lvl w:ilvl="8" w:tplc="A59CE91C">
      <w:numFmt w:val="bullet"/>
      <w:lvlText w:val="•"/>
      <w:lvlJc w:val="left"/>
      <w:pPr>
        <w:ind w:left="8113" w:hanging="166"/>
      </w:pPr>
      <w:rPr>
        <w:rFonts w:hint="default"/>
        <w:lang w:val="hu-HU" w:eastAsia="en-US" w:bidi="ar-SA"/>
      </w:rPr>
    </w:lvl>
  </w:abstractNum>
  <w:abstractNum w:abstractNumId="11" w15:restartNumberingAfterBreak="0">
    <w:nsid w:val="49690CD2"/>
    <w:multiLevelType w:val="hybridMultilevel"/>
    <w:tmpl w:val="F1249242"/>
    <w:lvl w:ilvl="0" w:tplc="801AF03A">
      <w:start w:val="1"/>
      <w:numFmt w:val="decimal"/>
      <w:lvlText w:val="%1."/>
      <w:lvlJc w:val="left"/>
      <w:pPr>
        <w:ind w:left="439" w:hanging="221"/>
        <w:jc w:val="right"/>
      </w:pPr>
      <w:rPr>
        <w:rFonts w:hint="default"/>
        <w:b/>
        <w:bCs/>
        <w:w w:val="100"/>
        <w:lang w:val="hu-HU" w:eastAsia="en-US" w:bidi="ar-SA"/>
      </w:rPr>
    </w:lvl>
    <w:lvl w:ilvl="1" w:tplc="73ECAE4E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8D22C456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CAD4B226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FC6669D6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AB6CED4A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B4F24C84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F962B9E0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362C7E84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2" w15:restartNumberingAfterBreak="0">
    <w:nsid w:val="50BE6155"/>
    <w:multiLevelType w:val="hybridMultilevel"/>
    <w:tmpl w:val="732CF748"/>
    <w:lvl w:ilvl="0" w:tplc="148A5D7E">
      <w:start w:val="4"/>
      <w:numFmt w:val="decimal"/>
      <w:lvlText w:val="%1."/>
      <w:lvlJc w:val="left"/>
      <w:pPr>
        <w:ind w:left="438" w:hanging="221"/>
      </w:pPr>
      <w:rPr>
        <w:rFonts w:hint="default"/>
        <w:w w:val="100"/>
        <w:lang w:val="hu-HU" w:eastAsia="en-US" w:bidi="ar-SA"/>
      </w:rPr>
    </w:lvl>
    <w:lvl w:ilvl="1" w:tplc="2CDEA06C">
      <w:numFmt w:val="bullet"/>
      <w:lvlText w:val="•"/>
      <w:lvlJc w:val="left"/>
      <w:pPr>
        <w:ind w:left="1400" w:hanging="221"/>
      </w:pPr>
      <w:rPr>
        <w:rFonts w:hint="default"/>
        <w:lang w:val="hu-HU" w:eastAsia="en-US" w:bidi="ar-SA"/>
      </w:rPr>
    </w:lvl>
    <w:lvl w:ilvl="2" w:tplc="E898B252">
      <w:numFmt w:val="bullet"/>
      <w:lvlText w:val="•"/>
      <w:lvlJc w:val="left"/>
      <w:pPr>
        <w:ind w:left="2361" w:hanging="221"/>
      </w:pPr>
      <w:rPr>
        <w:rFonts w:hint="default"/>
        <w:lang w:val="hu-HU" w:eastAsia="en-US" w:bidi="ar-SA"/>
      </w:rPr>
    </w:lvl>
    <w:lvl w:ilvl="3" w:tplc="9E220D90">
      <w:numFmt w:val="bullet"/>
      <w:lvlText w:val="•"/>
      <w:lvlJc w:val="left"/>
      <w:pPr>
        <w:ind w:left="3321" w:hanging="221"/>
      </w:pPr>
      <w:rPr>
        <w:rFonts w:hint="default"/>
        <w:lang w:val="hu-HU" w:eastAsia="en-US" w:bidi="ar-SA"/>
      </w:rPr>
    </w:lvl>
    <w:lvl w:ilvl="4" w:tplc="986E2864">
      <w:numFmt w:val="bullet"/>
      <w:lvlText w:val="•"/>
      <w:lvlJc w:val="left"/>
      <w:pPr>
        <w:ind w:left="4282" w:hanging="221"/>
      </w:pPr>
      <w:rPr>
        <w:rFonts w:hint="default"/>
        <w:lang w:val="hu-HU" w:eastAsia="en-US" w:bidi="ar-SA"/>
      </w:rPr>
    </w:lvl>
    <w:lvl w:ilvl="5" w:tplc="F684C71C">
      <w:numFmt w:val="bullet"/>
      <w:lvlText w:val="•"/>
      <w:lvlJc w:val="left"/>
      <w:pPr>
        <w:ind w:left="5243" w:hanging="221"/>
      </w:pPr>
      <w:rPr>
        <w:rFonts w:hint="default"/>
        <w:lang w:val="hu-HU" w:eastAsia="en-US" w:bidi="ar-SA"/>
      </w:rPr>
    </w:lvl>
    <w:lvl w:ilvl="6" w:tplc="F286BB1E">
      <w:numFmt w:val="bullet"/>
      <w:lvlText w:val="•"/>
      <w:lvlJc w:val="left"/>
      <w:pPr>
        <w:ind w:left="6203" w:hanging="221"/>
      </w:pPr>
      <w:rPr>
        <w:rFonts w:hint="default"/>
        <w:lang w:val="hu-HU" w:eastAsia="en-US" w:bidi="ar-SA"/>
      </w:rPr>
    </w:lvl>
    <w:lvl w:ilvl="7" w:tplc="EB8E3416">
      <w:numFmt w:val="bullet"/>
      <w:lvlText w:val="•"/>
      <w:lvlJc w:val="left"/>
      <w:pPr>
        <w:ind w:left="7164" w:hanging="221"/>
      </w:pPr>
      <w:rPr>
        <w:rFonts w:hint="default"/>
        <w:lang w:val="hu-HU" w:eastAsia="en-US" w:bidi="ar-SA"/>
      </w:rPr>
    </w:lvl>
    <w:lvl w:ilvl="8" w:tplc="A010F382">
      <w:numFmt w:val="bullet"/>
      <w:lvlText w:val="•"/>
      <w:lvlJc w:val="left"/>
      <w:pPr>
        <w:ind w:left="8125" w:hanging="221"/>
      </w:pPr>
      <w:rPr>
        <w:rFonts w:hint="default"/>
        <w:lang w:val="hu-HU" w:eastAsia="en-US" w:bidi="ar-SA"/>
      </w:rPr>
    </w:lvl>
  </w:abstractNum>
  <w:abstractNum w:abstractNumId="13" w15:restartNumberingAfterBreak="0">
    <w:nsid w:val="51817B2D"/>
    <w:multiLevelType w:val="multilevel"/>
    <w:tmpl w:val="A46A0CFE"/>
    <w:lvl w:ilvl="0">
      <w:start w:val="6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5DBA0289"/>
    <w:multiLevelType w:val="hybridMultilevel"/>
    <w:tmpl w:val="BF64F39E"/>
    <w:lvl w:ilvl="0" w:tplc="BD2251F2">
      <w:numFmt w:val="bullet"/>
      <w:lvlText w:val="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0D1E9858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CC905386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C8DE680A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A4CEFFBA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45482D78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E2267AD6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7E220FE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1D686C46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15" w15:restartNumberingAfterBreak="0">
    <w:nsid w:val="5F14583A"/>
    <w:multiLevelType w:val="hybridMultilevel"/>
    <w:tmpl w:val="F8046CE2"/>
    <w:lvl w:ilvl="0" w:tplc="B3D0E820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ADDA238A">
      <w:numFmt w:val="bullet"/>
      <w:lvlText w:val="•"/>
      <w:lvlJc w:val="left"/>
      <w:pPr>
        <w:ind w:left="4040" w:hanging="567"/>
      </w:pPr>
      <w:rPr>
        <w:rFonts w:hint="default"/>
        <w:lang w:val="hu-HU" w:eastAsia="en-US" w:bidi="ar-SA"/>
      </w:rPr>
    </w:lvl>
    <w:lvl w:ilvl="2" w:tplc="CC4E45A4">
      <w:numFmt w:val="bullet"/>
      <w:lvlText w:val="•"/>
      <w:lvlJc w:val="left"/>
      <w:pPr>
        <w:ind w:left="4707" w:hanging="567"/>
      </w:pPr>
      <w:rPr>
        <w:rFonts w:hint="default"/>
        <w:lang w:val="hu-HU" w:eastAsia="en-US" w:bidi="ar-SA"/>
      </w:rPr>
    </w:lvl>
    <w:lvl w:ilvl="3" w:tplc="275A2106">
      <w:numFmt w:val="bullet"/>
      <w:lvlText w:val="•"/>
      <w:lvlJc w:val="left"/>
      <w:pPr>
        <w:ind w:left="5374" w:hanging="567"/>
      </w:pPr>
      <w:rPr>
        <w:rFonts w:hint="default"/>
        <w:lang w:val="hu-HU" w:eastAsia="en-US" w:bidi="ar-SA"/>
      </w:rPr>
    </w:lvl>
    <w:lvl w:ilvl="4" w:tplc="573ABDFA">
      <w:numFmt w:val="bullet"/>
      <w:lvlText w:val="•"/>
      <w:lvlJc w:val="left"/>
      <w:pPr>
        <w:ind w:left="6042" w:hanging="567"/>
      </w:pPr>
      <w:rPr>
        <w:rFonts w:hint="default"/>
        <w:lang w:val="hu-HU" w:eastAsia="en-US" w:bidi="ar-SA"/>
      </w:rPr>
    </w:lvl>
    <w:lvl w:ilvl="5" w:tplc="B3F0A7A4">
      <w:numFmt w:val="bullet"/>
      <w:lvlText w:val="•"/>
      <w:lvlJc w:val="left"/>
      <w:pPr>
        <w:ind w:left="6709" w:hanging="567"/>
      </w:pPr>
      <w:rPr>
        <w:rFonts w:hint="default"/>
        <w:lang w:val="hu-HU" w:eastAsia="en-US" w:bidi="ar-SA"/>
      </w:rPr>
    </w:lvl>
    <w:lvl w:ilvl="6" w:tplc="E8EC22F4">
      <w:numFmt w:val="bullet"/>
      <w:lvlText w:val="•"/>
      <w:lvlJc w:val="left"/>
      <w:pPr>
        <w:ind w:left="7376" w:hanging="567"/>
      </w:pPr>
      <w:rPr>
        <w:rFonts w:hint="default"/>
        <w:lang w:val="hu-HU" w:eastAsia="en-US" w:bidi="ar-SA"/>
      </w:rPr>
    </w:lvl>
    <w:lvl w:ilvl="7" w:tplc="5E66CACC">
      <w:numFmt w:val="bullet"/>
      <w:lvlText w:val="•"/>
      <w:lvlJc w:val="left"/>
      <w:pPr>
        <w:ind w:left="8044" w:hanging="567"/>
      </w:pPr>
      <w:rPr>
        <w:rFonts w:hint="default"/>
        <w:lang w:val="hu-HU" w:eastAsia="en-US" w:bidi="ar-SA"/>
      </w:rPr>
    </w:lvl>
    <w:lvl w:ilvl="8" w:tplc="AD7852C8">
      <w:numFmt w:val="bullet"/>
      <w:lvlText w:val="•"/>
      <w:lvlJc w:val="left"/>
      <w:pPr>
        <w:ind w:left="8711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6023625C"/>
    <w:multiLevelType w:val="multilevel"/>
    <w:tmpl w:val="61E64E44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67FA398D"/>
    <w:multiLevelType w:val="hybridMultilevel"/>
    <w:tmpl w:val="200CE50E"/>
    <w:lvl w:ilvl="0" w:tplc="C96A96EE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987E8F6C">
      <w:numFmt w:val="bullet"/>
      <w:lvlText w:val="•"/>
      <w:lvlJc w:val="left"/>
      <w:pPr>
        <w:ind w:left="1706" w:hanging="567"/>
      </w:pPr>
      <w:rPr>
        <w:rFonts w:hint="default"/>
        <w:lang w:val="hu-HU" w:eastAsia="en-US" w:bidi="ar-SA"/>
      </w:rPr>
    </w:lvl>
    <w:lvl w:ilvl="2" w:tplc="A91E5758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 w:tplc="660C4FD6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 w:tplc="139A59DA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 w:tplc="544662DE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 w:tplc="6A9672B8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 w:tplc="5BF8A676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 w:tplc="6FD018A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6E8834F4"/>
    <w:multiLevelType w:val="hybridMultilevel"/>
    <w:tmpl w:val="A1D02252"/>
    <w:lvl w:ilvl="0" w:tplc="C5D86506">
      <w:numFmt w:val="bullet"/>
      <w:lvlText w:val="•"/>
      <w:lvlJc w:val="left"/>
      <w:pPr>
        <w:ind w:left="784" w:hanging="569"/>
      </w:pPr>
      <w:rPr>
        <w:rFonts w:hint="default"/>
        <w:w w:val="100"/>
        <w:lang w:val="hu-HU" w:eastAsia="en-US" w:bidi="ar-SA"/>
      </w:rPr>
    </w:lvl>
    <w:lvl w:ilvl="1" w:tplc="FFFFFFFF">
      <w:numFmt w:val="bullet"/>
      <w:lvlText w:val=""/>
      <w:lvlJc w:val="left"/>
      <w:pPr>
        <w:ind w:left="784" w:hanging="207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FFFFFF">
      <w:numFmt w:val="bullet"/>
      <w:lvlText w:val=""/>
      <w:lvlJc w:val="left"/>
      <w:pPr>
        <w:ind w:left="1349" w:hanging="360"/>
      </w:pPr>
      <w:rPr>
        <w:rFonts w:ascii="Wingdings" w:eastAsia="Wingdings" w:hAnsi="Wingdings" w:cs="Wingdings" w:hint="default"/>
        <w:w w:val="100"/>
        <w:sz w:val="22"/>
        <w:szCs w:val="22"/>
        <w:lang w:val="hu-HU" w:eastAsia="en-US" w:bidi="ar-SA"/>
      </w:rPr>
    </w:lvl>
    <w:lvl w:ilvl="3" w:tplc="FFFFFFFF">
      <w:numFmt w:val="bullet"/>
      <w:lvlText w:val="•"/>
      <w:lvlJc w:val="left"/>
      <w:pPr>
        <w:ind w:left="2428" w:hanging="360"/>
      </w:pPr>
      <w:rPr>
        <w:rFonts w:hint="default"/>
        <w:lang w:val="hu-HU" w:eastAsia="en-US" w:bidi="ar-SA"/>
      </w:rPr>
    </w:lvl>
    <w:lvl w:ilvl="4" w:tplc="FFFFFFFF">
      <w:numFmt w:val="bullet"/>
      <w:lvlText w:val="•"/>
      <w:lvlJc w:val="left"/>
      <w:pPr>
        <w:ind w:left="3516" w:hanging="360"/>
      </w:pPr>
      <w:rPr>
        <w:rFonts w:hint="default"/>
        <w:lang w:val="hu-HU" w:eastAsia="en-US" w:bidi="ar-SA"/>
      </w:rPr>
    </w:lvl>
    <w:lvl w:ilvl="5" w:tplc="FFFFFFFF">
      <w:numFmt w:val="bullet"/>
      <w:lvlText w:val="•"/>
      <w:lvlJc w:val="left"/>
      <w:pPr>
        <w:ind w:left="4604" w:hanging="360"/>
      </w:pPr>
      <w:rPr>
        <w:rFonts w:hint="default"/>
        <w:lang w:val="hu-HU" w:eastAsia="en-US" w:bidi="ar-SA"/>
      </w:rPr>
    </w:lvl>
    <w:lvl w:ilvl="6" w:tplc="FFFFFFFF">
      <w:numFmt w:val="bullet"/>
      <w:lvlText w:val="•"/>
      <w:lvlJc w:val="left"/>
      <w:pPr>
        <w:ind w:left="5693" w:hanging="360"/>
      </w:pPr>
      <w:rPr>
        <w:rFonts w:hint="default"/>
        <w:lang w:val="hu-HU" w:eastAsia="en-US" w:bidi="ar-SA"/>
      </w:rPr>
    </w:lvl>
    <w:lvl w:ilvl="7" w:tplc="FFFFFFFF">
      <w:numFmt w:val="bullet"/>
      <w:lvlText w:val="•"/>
      <w:lvlJc w:val="left"/>
      <w:pPr>
        <w:ind w:left="6781" w:hanging="360"/>
      </w:pPr>
      <w:rPr>
        <w:rFonts w:hint="default"/>
        <w:lang w:val="hu-HU" w:eastAsia="en-US" w:bidi="ar-SA"/>
      </w:rPr>
    </w:lvl>
    <w:lvl w:ilvl="8" w:tplc="FFFFFFFF">
      <w:numFmt w:val="bullet"/>
      <w:lvlText w:val="•"/>
      <w:lvlJc w:val="left"/>
      <w:pPr>
        <w:ind w:left="7869" w:hanging="360"/>
      </w:pPr>
      <w:rPr>
        <w:rFonts w:hint="default"/>
        <w:lang w:val="hu-HU" w:eastAsia="en-US" w:bidi="ar-SA"/>
      </w:rPr>
    </w:lvl>
  </w:abstractNum>
  <w:abstractNum w:abstractNumId="19" w15:restartNumberingAfterBreak="0">
    <w:nsid w:val="725868F5"/>
    <w:multiLevelType w:val="multilevel"/>
    <w:tmpl w:val="806C23AE"/>
    <w:lvl w:ilvl="0">
      <w:start w:val="5"/>
      <w:numFmt w:val="decimal"/>
      <w:lvlText w:val="%1"/>
      <w:lvlJc w:val="left"/>
      <w:pPr>
        <w:ind w:left="78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3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9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86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13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39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6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72B56CAB"/>
    <w:multiLevelType w:val="hybridMultilevel"/>
    <w:tmpl w:val="333838A8"/>
    <w:lvl w:ilvl="0" w:tplc="1870E36A">
      <w:start w:val="1"/>
      <w:numFmt w:val="upperLetter"/>
      <w:lvlText w:val="%1."/>
      <w:lvlJc w:val="left"/>
      <w:pPr>
        <w:ind w:left="1919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en-US" w:bidi="ar-SA"/>
      </w:rPr>
    </w:lvl>
    <w:lvl w:ilvl="1" w:tplc="0FDE1B32">
      <w:numFmt w:val="bullet"/>
      <w:lvlText w:val="•"/>
      <w:lvlJc w:val="left"/>
      <w:pPr>
        <w:ind w:left="2732" w:hanging="708"/>
      </w:pPr>
      <w:rPr>
        <w:rFonts w:hint="default"/>
        <w:lang w:val="hu-HU" w:eastAsia="en-US" w:bidi="ar-SA"/>
      </w:rPr>
    </w:lvl>
    <w:lvl w:ilvl="2" w:tplc="9A4E49F4">
      <w:numFmt w:val="bullet"/>
      <w:lvlText w:val="•"/>
      <w:lvlJc w:val="left"/>
      <w:pPr>
        <w:ind w:left="3545" w:hanging="708"/>
      </w:pPr>
      <w:rPr>
        <w:rFonts w:hint="default"/>
        <w:lang w:val="hu-HU" w:eastAsia="en-US" w:bidi="ar-SA"/>
      </w:rPr>
    </w:lvl>
    <w:lvl w:ilvl="3" w:tplc="A9A47E5A">
      <w:numFmt w:val="bullet"/>
      <w:lvlText w:val="•"/>
      <w:lvlJc w:val="left"/>
      <w:pPr>
        <w:ind w:left="4357" w:hanging="708"/>
      </w:pPr>
      <w:rPr>
        <w:rFonts w:hint="default"/>
        <w:lang w:val="hu-HU" w:eastAsia="en-US" w:bidi="ar-SA"/>
      </w:rPr>
    </w:lvl>
    <w:lvl w:ilvl="4" w:tplc="C2468E2A">
      <w:numFmt w:val="bullet"/>
      <w:lvlText w:val="•"/>
      <w:lvlJc w:val="left"/>
      <w:pPr>
        <w:ind w:left="5170" w:hanging="708"/>
      </w:pPr>
      <w:rPr>
        <w:rFonts w:hint="default"/>
        <w:lang w:val="hu-HU" w:eastAsia="en-US" w:bidi="ar-SA"/>
      </w:rPr>
    </w:lvl>
    <w:lvl w:ilvl="5" w:tplc="6A105108">
      <w:numFmt w:val="bullet"/>
      <w:lvlText w:val="•"/>
      <w:lvlJc w:val="left"/>
      <w:pPr>
        <w:ind w:left="5983" w:hanging="708"/>
      </w:pPr>
      <w:rPr>
        <w:rFonts w:hint="default"/>
        <w:lang w:val="hu-HU" w:eastAsia="en-US" w:bidi="ar-SA"/>
      </w:rPr>
    </w:lvl>
    <w:lvl w:ilvl="6" w:tplc="F8A439A0">
      <w:numFmt w:val="bullet"/>
      <w:lvlText w:val="•"/>
      <w:lvlJc w:val="left"/>
      <w:pPr>
        <w:ind w:left="6795" w:hanging="708"/>
      </w:pPr>
      <w:rPr>
        <w:rFonts w:hint="default"/>
        <w:lang w:val="hu-HU" w:eastAsia="en-US" w:bidi="ar-SA"/>
      </w:rPr>
    </w:lvl>
    <w:lvl w:ilvl="7" w:tplc="059EE2EC">
      <w:numFmt w:val="bullet"/>
      <w:lvlText w:val="•"/>
      <w:lvlJc w:val="left"/>
      <w:pPr>
        <w:ind w:left="7608" w:hanging="708"/>
      </w:pPr>
      <w:rPr>
        <w:rFonts w:hint="default"/>
        <w:lang w:val="hu-HU" w:eastAsia="en-US" w:bidi="ar-SA"/>
      </w:rPr>
    </w:lvl>
    <w:lvl w:ilvl="8" w:tplc="14C8B0BA">
      <w:numFmt w:val="bullet"/>
      <w:lvlText w:val="•"/>
      <w:lvlJc w:val="left"/>
      <w:pPr>
        <w:ind w:left="8421" w:hanging="708"/>
      </w:pPr>
      <w:rPr>
        <w:rFonts w:hint="default"/>
        <w:lang w:val="hu-HU" w:eastAsia="en-US" w:bidi="ar-SA"/>
      </w:rPr>
    </w:lvl>
  </w:abstractNum>
  <w:num w:numId="1" w16cid:durableId="1538392427">
    <w:abstractNumId w:val="8"/>
  </w:num>
  <w:num w:numId="2" w16cid:durableId="2040154876">
    <w:abstractNumId w:val="17"/>
  </w:num>
  <w:num w:numId="3" w16cid:durableId="1900051902">
    <w:abstractNumId w:val="2"/>
  </w:num>
  <w:num w:numId="4" w16cid:durableId="1010260020">
    <w:abstractNumId w:val="15"/>
  </w:num>
  <w:num w:numId="5" w16cid:durableId="741828735">
    <w:abstractNumId w:val="20"/>
  </w:num>
  <w:num w:numId="6" w16cid:durableId="1151484675">
    <w:abstractNumId w:val="13"/>
  </w:num>
  <w:num w:numId="7" w16cid:durableId="467669179">
    <w:abstractNumId w:val="10"/>
  </w:num>
  <w:num w:numId="8" w16cid:durableId="1997688247">
    <w:abstractNumId w:val="19"/>
  </w:num>
  <w:num w:numId="9" w16cid:durableId="1784227215">
    <w:abstractNumId w:val="12"/>
  </w:num>
  <w:num w:numId="10" w16cid:durableId="1418207922">
    <w:abstractNumId w:val="9"/>
  </w:num>
  <w:num w:numId="11" w16cid:durableId="818421048">
    <w:abstractNumId w:val="0"/>
  </w:num>
  <w:num w:numId="12" w16cid:durableId="1682857041">
    <w:abstractNumId w:val="5"/>
  </w:num>
  <w:num w:numId="13" w16cid:durableId="1982420293">
    <w:abstractNumId w:val="3"/>
  </w:num>
  <w:num w:numId="14" w16cid:durableId="1653488131">
    <w:abstractNumId w:val="11"/>
  </w:num>
  <w:num w:numId="15" w16cid:durableId="2131167226">
    <w:abstractNumId w:val="14"/>
  </w:num>
  <w:num w:numId="16" w16cid:durableId="977956350">
    <w:abstractNumId w:val="16"/>
  </w:num>
  <w:num w:numId="17" w16cid:durableId="1981690722">
    <w:abstractNumId w:val="6"/>
  </w:num>
  <w:num w:numId="18" w16cid:durableId="1186946048">
    <w:abstractNumId w:val="7"/>
  </w:num>
  <w:num w:numId="19" w16cid:durableId="1145588167">
    <w:abstractNumId w:val="4"/>
  </w:num>
  <w:num w:numId="20" w16cid:durableId="277107263">
    <w:abstractNumId w:val="18"/>
  </w:num>
  <w:num w:numId="21" w16cid:durableId="1573659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77B"/>
    <w:rsid w:val="00003D77"/>
    <w:rsid w:val="00007C62"/>
    <w:rsid w:val="00007FC1"/>
    <w:rsid w:val="00020629"/>
    <w:rsid w:val="00021F5A"/>
    <w:rsid w:val="00022506"/>
    <w:rsid w:val="00026442"/>
    <w:rsid w:val="00032A4D"/>
    <w:rsid w:val="00035F66"/>
    <w:rsid w:val="00044A25"/>
    <w:rsid w:val="0005114E"/>
    <w:rsid w:val="000556BE"/>
    <w:rsid w:val="0005706F"/>
    <w:rsid w:val="000646F4"/>
    <w:rsid w:val="00065165"/>
    <w:rsid w:val="00067884"/>
    <w:rsid w:val="0007027E"/>
    <w:rsid w:val="0007412D"/>
    <w:rsid w:val="00077430"/>
    <w:rsid w:val="000810A4"/>
    <w:rsid w:val="00086E1B"/>
    <w:rsid w:val="00087FD5"/>
    <w:rsid w:val="000A41EC"/>
    <w:rsid w:val="000A680B"/>
    <w:rsid w:val="000B6B6D"/>
    <w:rsid w:val="000C514B"/>
    <w:rsid w:val="000C68BF"/>
    <w:rsid w:val="000C79C0"/>
    <w:rsid w:val="000D195B"/>
    <w:rsid w:val="000D2497"/>
    <w:rsid w:val="000D6BDE"/>
    <w:rsid w:val="000D6F10"/>
    <w:rsid w:val="000E216F"/>
    <w:rsid w:val="000F2472"/>
    <w:rsid w:val="000F3C16"/>
    <w:rsid w:val="000F43B1"/>
    <w:rsid w:val="000F706F"/>
    <w:rsid w:val="00106487"/>
    <w:rsid w:val="00114A49"/>
    <w:rsid w:val="00120D6C"/>
    <w:rsid w:val="001301B2"/>
    <w:rsid w:val="00133A33"/>
    <w:rsid w:val="0013541C"/>
    <w:rsid w:val="00135B82"/>
    <w:rsid w:val="001419BB"/>
    <w:rsid w:val="001638E5"/>
    <w:rsid w:val="00163A17"/>
    <w:rsid w:val="001659DB"/>
    <w:rsid w:val="00171EC9"/>
    <w:rsid w:val="00174CDD"/>
    <w:rsid w:val="00174EDB"/>
    <w:rsid w:val="00181FE3"/>
    <w:rsid w:val="00187CBB"/>
    <w:rsid w:val="00196057"/>
    <w:rsid w:val="001A0C1A"/>
    <w:rsid w:val="001A4710"/>
    <w:rsid w:val="001A5132"/>
    <w:rsid w:val="001B4758"/>
    <w:rsid w:val="001C4163"/>
    <w:rsid w:val="001C5E56"/>
    <w:rsid w:val="001D1678"/>
    <w:rsid w:val="001E2B79"/>
    <w:rsid w:val="001E446C"/>
    <w:rsid w:val="001E672C"/>
    <w:rsid w:val="001F1AF6"/>
    <w:rsid w:val="00200E91"/>
    <w:rsid w:val="00202D58"/>
    <w:rsid w:val="00206EE9"/>
    <w:rsid w:val="00207CBE"/>
    <w:rsid w:val="0021030F"/>
    <w:rsid w:val="0021378E"/>
    <w:rsid w:val="00213B3B"/>
    <w:rsid w:val="00215D68"/>
    <w:rsid w:val="00222A57"/>
    <w:rsid w:val="002233AD"/>
    <w:rsid w:val="00224F25"/>
    <w:rsid w:val="00226C9E"/>
    <w:rsid w:val="002279AF"/>
    <w:rsid w:val="002363A8"/>
    <w:rsid w:val="00236468"/>
    <w:rsid w:val="00237955"/>
    <w:rsid w:val="002402B8"/>
    <w:rsid w:val="00241381"/>
    <w:rsid w:val="0024262F"/>
    <w:rsid w:val="00245658"/>
    <w:rsid w:val="002504A0"/>
    <w:rsid w:val="002531EB"/>
    <w:rsid w:val="002628A5"/>
    <w:rsid w:val="00264761"/>
    <w:rsid w:val="00266C0D"/>
    <w:rsid w:val="00267BDA"/>
    <w:rsid w:val="002710E6"/>
    <w:rsid w:val="00272A0D"/>
    <w:rsid w:val="00273F43"/>
    <w:rsid w:val="00274D3B"/>
    <w:rsid w:val="00292D22"/>
    <w:rsid w:val="002A13FC"/>
    <w:rsid w:val="002A1637"/>
    <w:rsid w:val="002A61B8"/>
    <w:rsid w:val="002B020D"/>
    <w:rsid w:val="002B0B28"/>
    <w:rsid w:val="002B3283"/>
    <w:rsid w:val="002C048A"/>
    <w:rsid w:val="002C1873"/>
    <w:rsid w:val="002C3E4A"/>
    <w:rsid w:val="002C74FC"/>
    <w:rsid w:val="002D3EC3"/>
    <w:rsid w:val="002E0323"/>
    <w:rsid w:val="002E7BAC"/>
    <w:rsid w:val="002F6792"/>
    <w:rsid w:val="002F7D2F"/>
    <w:rsid w:val="003042BC"/>
    <w:rsid w:val="00305920"/>
    <w:rsid w:val="00310BC3"/>
    <w:rsid w:val="00314CF7"/>
    <w:rsid w:val="00315D06"/>
    <w:rsid w:val="0031747A"/>
    <w:rsid w:val="00317685"/>
    <w:rsid w:val="00324D67"/>
    <w:rsid w:val="00330E33"/>
    <w:rsid w:val="0034089B"/>
    <w:rsid w:val="00343AC7"/>
    <w:rsid w:val="00351A37"/>
    <w:rsid w:val="00363D12"/>
    <w:rsid w:val="00366C32"/>
    <w:rsid w:val="0036702E"/>
    <w:rsid w:val="00367DD1"/>
    <w:rsid w:val="00370BB4"/>
    <w:rsid w:val="003743A2"/>
    <w:rsid w:val="00375BE2"/>
    <w:rsid w:val="003777E6"/>
    <w:rsid w:val="003824DD"/>
    <w:rsid w:val="003834C8"/>
    <w:rsid w:val="003841A2"/>
    <w:rsid w:val="003859E7"/>
    <w:rsid w:val="00387560"/>
    <w:rsid w:val="003914DD"/>
    <w:rsid w:val="00391DFD"/>
    <w:rsid w:val="003A0230"/>
    <w:rsid w:val="003A0752"/>
    <w:rsid w:val="003A51F1"/>
    <w:rsid w:val="003A75BA"/>
    <w:rsid w:val="003A79A9"/>
    <w:rsid w:val="003B6F3D"/>
    <w:rsid w:val="003C5F4C"/>
    <w:rsid w:val="003D1839"/>
    <w:rsid w:val="003D7B59"/>
    <w:rsid w:val="003E1AA2"/>
    <w:rsid w:val="003F04C3"/>
    <w:rsid w:val="00400F94"/>
    <w:rsid w:val="004016CA"/>
    <w:rsid w:val="00413D42"/>
    <w:rsid w:val="00420A04"/>
    <w:rsid w:val="00421501"/>
    <w:rsid w:val="004219F6"/>
    <w:rsid w:val="00421A99"/>
    <w:rsid w:val="0043432F"/>
    <w:rsid w:val="00435246"/>
    <w:rsid w:val="00436938"/>
    <w:rsid w:val="00436B4C"/>
    <w:rsid w:val="00440FC8"/>
    <w:rsid w:val="00441BA9"/>
    <w:rsid w:val="00447406"/>
    <w:rsid w:val="004504EA"/>
    <w:rsid w:val="00452353"/>
    <w:rsid w:val="00472593"/>
    <w:rsid w:val="00473074"/>
    <w:rsid w:val="00473771"/>
    <w:rsid w:val="00487A79"/>
    <w:rsid w:val="00490300"/>
    <w:rsid w:val="00490E89"/>
    <w:rsid w:val="004956F6"/>
    <w:rsid w:val="004A0620"/>
    <w:rsid w:val="004A698B"/>
    <w:rsid w:val="004B25E5"/>
    <w:rsid w:val="004B3B88"/>
    <w:rsid w:val="004B5031"/>
    <w:rsid w:val="004B7FBD"/>
    <w:rsid w:val="004C5E69"/>
    <w:rsid w:val="004C71EF"/>
    <w:rsid w:val="004D4CBB"/>
    <w:rsid w:val="004E59F0"/>
    <w:rsid w:val="004E60AD"/>
    <w:rsid w:val="004E7E04"/>
    <w:rsid w:val="004F1C54"/>
    <w:rsid w:val="004F1CF8"/>
    <w:rsid w:val="004F1FDA"/>
    <w:rsid w:val="004F3338"/>
    <w:rsid w:val="004F6A54"/>
    <w:rsid w:val="005006D0"/>
    <w:rsid w:val="0050166E"/>
    <w:rsid w:val="00501CA8"/>
    <w:rsid w:val="00507477"/>
    <w:rsid w:val="00514447"/>
    <w:rsid w:val="00514673"/>
    <w:rsid w:val="00523BCB"/>
    <w:rsid w:val="00525ACE"/>
    <w:rsid w:val="00527712"/>
    <w:rsid w:val="005320EF"/>
    <w:rsid w:val="00540256"/>
    <w:rsid w:val="00540CEC"/>
    <w:rsid w:val="00541129"/>
    <w:rsid w:val="0054173B"/>
    <w:rsid w:val="00543EF8"/>
    <w:rsid w:val="00545387"/>
    <w:rsid w:val="00546FA8"/>
    <w:rsid w:val="005503BB"/>
    <w:rsid w:val="00552596"/>
    <w:rsid w:val="005539D1"/>
    <w:rsid w:val="00554725"/>
    <w:rsid w:val="005564DB"/>
    <w:rsid w:val="00556C99"/>
    <w:rsid w:val="005626AE"/>
    <w:rsid w:val="0056412E"/>
    <w:rsid w:val="00566853"/>
    <w:rsid w:val="005859B0"/>
    <w:rsid w:val="00590B85"/>
    <w:rsid w:val="00596025"/>
    <w:rsid w:val="005969CA"/>
    <w:rsid w:val="005A0DC3"/>
    <w:rsid w:val="005A3040"/>
    <w:rsid w:val="005A3B1A"/>
    <w:rsid w:val="005C0AE0"/>
    <w:rsid w:val="005C2A10"/>
    <w:rsid w:val="005D662E"/>
    <w:rsid w:val="005E0D3B"/>
    <w:rsid w:val="005E3D4F"/>
    <w:rsid w:val="005E4409"/>
    <w:rsid w:val="005E48BA"/>
    <w:rsid w:val="005E74A8"/>
    <w:rsid w:val="005F1DED"/>
    <w:rsid w:val="005F461F"/>
    <w:rsid w:val="005F4E6C"/>
    <w:rsid w:val="00600F62"/>
    <w:rsid w:val="00601221"/>
    <w:rsid w:val="006016F6"/>
    <w:rsid w:val="00605FC5"/>
    <w:rsid w:val="00615D4D"/>
    <w:rsid w:val="00621D56"/>
    <w:rsid w:val="006240E8"/>
    <w:rsid w:val="006265BA"/>
    <w:rsid w:val="00632AFD"/>
    <w:rsid w:val="00644481"/>
    <w:rsid w:val="00644547"/>
    <w:rsid w:val="00647D0C"/>
    <w:rsid w:val="006550C5"/>
    <w:rsid w:val="0066645E"/>
    <w:rsid w:val="006676AC"/>
    <w:rsid w:val="0067301A"/>
    <w:rsid w:val="006B016C"/>
    <w:rsid w:val="006C2806"/>
    <w:rsid w:val="006D306A"/>
    <w:rsid w:val="006F318F"/>
    <w:rsid w:val="00702138"/>
    <w:rsid w:val="00703CF7"/>
    <w:rsid w:val="00712753"/>
    <w:rsid w:val="00720409"/>
    <w:rsid w:val="00720657"/>
    <w:rsid w:val="00724BE0"/>
    <w:rsid w:val="007334A9"/>
    <w:rsid w:val="00740358"/>
    <w:rsid w:val="0075061A"/>
    <w:rsid w:val="00751BFD"/>
    <w:rsid w:val="00752FF3"/>
    <w:rsid w:val="00753820"/>
    <w:rsid w:val="0076694B"/>
    <w:rsid w:val="00771A54"/>
    <w:rsid w:val="0077599B"/>
    <w:rsid w:val="007805BA"/>
    <w:rsid w:val="00781EAA"/>
    <w:rsid w:val="00792274"/>
    <w:rsid w:val="00794E7F"/>
    <w:rsid w:val="007A0316"/>
    <w:rsid w:val="007B1E7D"/>
    <w:rsid w:val="007B217A"/>
    <w:rsid w:val="007B483D"/>
    <w:rsid w:val="007B634E"/>
    <w:rsid w:val="007D1C75"/>
    <w:rsid w:val="007D5AB9"/>
    <w:rsid w:val="007D6F1D"/>
    <w:rsid w:val="007F076E"/>
    <w:rsid w:val="007F74B8"/>
    <w:rsid w:val="00802439"/>
    <w:rsid w:val="00810112"/>
    <w:rsid w:val="0081442E"/>
    <w:rsid w:val="00827FBF"/>
    <w:rsid w:val="008431C7"/>
    <w:rsid w:val="0084525E"/>
    <w:rsid w:val="008459B1"/>
    <w:rsid w:val="00847C48"/>
    <w:rsid w:val="0086266B"/>
    <w:rsid w:val="00863F18"/>
    <w:rsid w:val="00883CCE"/>
    <w:rsid w:val="0088616A"/>
    <w:rsid w:val="0089369B"/>
    <w:rsid w:val="008A41B5"/>
    <w:rsid w:val="008A4C2E"/>
    <w:rsid w:val="008B0788"/>
    <w:rsid w:val="008B19C0"/>
    <w:rsid w:val="008B7313"/>
    <w:rsid w:val="008C09CB"/>
    <w:rsid w:val="008D2BB7"/>
    <w:rsid w:val="008D77E6"/>
    <w:rsid w:val="008E387E"/>
    <w:rsid w:val="008E3A77"/>
    <w:rsid w:val="008F1133"/>
    <w:rsid w:val="008F123A"/>
    <w:rsid w:val="008F4BD7"/>
    <w:rsid w:val="008F4DCC"/>
    <w:rsid w:val="0090292C"/>
    <w:rsid w:val="00907637"/>
    <w:rsid w:val="00907CBE"/>
    <w:rsid w:val="00911BAC"/>
    <w:rsid w:val="00933232"/>
    <w:rsid w:val="00946120"/>
    <w:rsid w:val="00955D8A"/>
    <w:rsid w:val="00957969"/>
    <w:rsid w:val="0096009B"/>
    <w:rsid w:val="00960D87"/>
    <w:rsid w:val="0096351D"/>
    <w:rsid w:val="0096538F"/>
    <w:rsid w:val="00967644"/>
    <w:rsid w:val="0097255A"/>
    <w:rsid w:val="009803F4"/>
    <w:rsid w:val="0098166F"/>
    <w:rsid w:val="00983C38"/>
    <w:rsid w:val="009A02FD"/>
    <w:rsid w:val="009A48E8"/>
    <w:rsid w:val="009A6910"/>
    <w:rsid w:val="009A7277"/>
    <w:rsid w:val="009B3B12"/>
    <w:rsid w:val="009B550C"/>
    <w:rsid w:val="009B5584"/>
    <w:rsid w:val="009B5A5E"/>
    <w:rsid w:val="009B5EEB"/>
    <w:rsid w:val="009C192F"/>
    <w:rsid w:val="009C3AD4"/>
    <w:rsid w:val="009C5423"/>
    <w:rsid w:val="009D0D99"/>
    <w:rsid w:val="009D5BFC"/>
    <w:rsid w:val="009D6BB9"/>
    <w:rsid w:val="009D6D7F"/>
    <w:rsid w:val="009E43BF"/>
    <w:rsid w:val="009E486E"/>
    <w:rsid w:val="009E51A1"/>
    <w:rsid w:val="009E553C"/>
    <w:rsid w:val="009E6312"/>
    <w:rsid w:val="009F159F"/>
    <w:rsid w:val="009F3FF5"/>
    <w:rsid w:val="00A02E93"/>
    <w:rsid w:val="00A0408F"/>
    <w:rsid w:val="00A0498E"/>
    <w:rsid w:val="00A05604"/>
    <w:rsid w:val="00A26AC0"/>
    <w:rsid w:val="00A37DE3"/>
    <w:rsid w:val="00A44772"/>
    <w:rsid w:val="00A51F26"/>
    <w:rsid w:val="00A55058"/>
    <w:rsid w:val="00A570C5"/>
    <w:rsid w:val="00A572FE"/>
    <w:rsid w:val="00A60892"/>
    <w:rsid w:val="00A6497F"/>
    <w:rsid w:val="00A65571"/>
    <w:rsid w:val="00A66D64"/>
    <w:rsid w:val="00A772FC"/>
    <w:rsid w:val="00A846A6"/>
    <w:rsid w:val="00A90A95"/>
    <w:rsid w:val="00AC3568"/>
    <w:rsid w:val="00AD211E"/>
    <w:rsid w:val="00AD4CDB"/>
    <w:rsid w:val="00AE0CF9"/>
    <w:rsid w:val="00AF0EB1"/>
    <w:rsid w:val="00B0218C"/>
    <w:rsid w:val="00B04FA0"/>
    <w:rsid w:val="00B076EA"/>
    <w:rsid w:val="00B100E9"/>
    <w:rsid w:val="00B12819"/>
    <w:rsid w:val="00B245C9"/>
    <w:rsid w:val="00B2466F"/>
    <w:rsid w:val="00B2644C"/>
    <w:rsid w:val="00B34F14"/>
    <w:rsid w:val="00B428AD"/>
    <w:rsid w:val="00B43B5E"/>
    <w:rsid w:val="00B44922"/>
    <w:rsid w:val="00B46CE5"/>
    <w:rsid w:val="00B47CE1"/>
    <w:rsid w:val="00B51BBA"/>
    <w:rsid w:val="00B51CF5"/>
    <w:rsid w:val="00B55A9A"/>
    <w:rsid w:val="00B61447"/>
    <w:rsid w:val="00B632F1"/>
    <w:rsid w:val="00B8017F"/>
    <w:rsid w:val="00B866DD"/>
    <w:rsid w:val="00B97F63"/>
    <w:rsid w:val="00BA0130"/>
    <w:rsid w:val="00BA2141"/>
    <w:rsid w:val="00BA26ED"/>
    <w:rsid w:val="00BB19A4"/>
    <w:rsid w:val="00BB1C16"/>
    <w:rsid w:val="00BB3D74"/>
    <w:rsid w:val="00BC0484"/>
    <w:rsid w:val="00BC1AE2"/>
    <w:rsid w:val="00BC26C9"/>
    <w:rsid w:val="00BC3598"/>
    <w:rsid w:val="00BC79CC"/>
    <w:rsid w:val="00BE1623"/>
    <w:rsid w:val="00BF090B"/>
    <w:rsid w:val="00BF3809"/>
    <w:rsid w:val="00BF5987"/>
    <w:rsid w:val="00C01639"/>
    <w:rsid w:val="00C20A10"/>
    <w:rsid w:val="00C20D49"/>
    <w:rsid w:val="00C237DA"/>
    <w:rsid w:val="00C269ED"/>
    <w:rsid w:val="00C306A9"/>
    <w:rsid w:val="00C35191"/>
    <w:rsid w:val="00C47327"/>
    <w:rsid w:val="00C55483"/>
    <w:rsid w:val="00C61B83"/>
    <w:rsid w:val="00C64717"/>
    <w:rsid w:val="00C66404"/>
    <w:rsid w:val="00C7210F"/>
    <w:rsid w:val="00C74C51"/>
    <w:rsid w:val="00C751EF"/>
    <w:rsid w:val="00C8546B"/>
    <w:rsid w:val="00C92FA0"/>
    <w:rsid w:val="00C9473A"/>
    <w:rsid w:val="00C96DBB"/>
    <w:rsid w:val="00CA3ECE"/>
    <w:rsid w:val="00CA5D2B"/>
    <w:rsid w:val="00CA7A63"/>
    <w:rsid w:val="00CB05AC"/>
    <w:rsid w:val="00CB63B4"/>
    <w:rsid w:val="00CB646C"/>
    <w:rsid w:val="00CC41A1"/>
    <w:rsid w:val="00CD6B02"/>
    <w:rsid w:val="00CE7F4E"/>
    <w:rsid w:val="00CF227D"/>
    <w:rsid w:val="00D02309"/>
    <w:rsid w:val="00D046BF"/>
    <w:rsid w:val="00D077E3"/>
    <w:rsid w:val="00D13196"/>
    <w:rsid w:val="00D17310"/>
    <w:rsid w:val="00D248AC"/>
    <w:rsid w:val="00D24A89"/>
    <w:rsid w:val="00D24F49"/>
    <w:rsid w:val="00D31D48"/>
    <w:rsid w:val="00D3431B"/>
    <w:rsid w:val="00D3554C"/>
    <w:rsid w:val="00D35CA6"/>
    <w:rsid w:val="00D443F7"/>
    <w:rsid w:val="00D47DB7"/>
    <w:rsid w:val="00D5029E"/>
    <w:rsid w:val="00D51385"/>
    <w:rsid w:val="00D5190D"/>
    <w:rsid w:val="00D55E97"/>
    <w:rsid w:val="00D61681"/>
    <w:rsid w:val="00D63E08"/>
    <w:rsid w:val="00D651F1"/>
    <w:rsid w:val="00D66386"/>
    <w:rsid w:val="00D70EF6"/>
    <w:rsid w:val="00D71D74"/>
    <w:rsid w:val="00D8131F"/>
    <w:rsid w:val="00D84072"/>
    <w:rsid w:val="00D85E22"/>
    <w:rsid w:val="00D91588"/>
    <w:rsid w:val="00D94333"/>
    <w:rsid w:val="00D97374"/>
    <w:rsid w:val="00D97FCF"/>
    <w:rsid w:val="00DA0A3B"/>
    <w:rsid w:val="00DA75B3"/>
    <w:rsid w:val="00DB4D44"/>
    <w:rsid w:val="00DC32ED"/>
    <w:rsid w:val="00DD03D2"/>
    <w:rsid w:val="00DD077B"/>
    <w:rsid w:val="00DD20C5"/>
    <w:rsid w:val="00DD2DFD"/>
    <w:rsid w:val="00DD4899"/>
    <w:rsid w:val="00DE1690"/>
    <w:rsid w:val="00DE4699"/>
    <w:rsid w:val="00DE7B99"/>
    <w:rsid w:val="00E07DBC"/>
    <w:rsid w:val="00E147E0"/>
    <w:rsid w:val="00E17D36"/>
    <w:rsid w:val="00E202C8"/>
    <w:rsid w:val="00E225E0"/>
    <w:rsid w:val="00E227B7"/>
    <w:rsid w:val="00E32670"/>
    <w:rsid w:val="00E33640"/>
    <w:rsid w:val="00E34840"/>
    <w:rsid w:val="00E35685"/>
    <w:rsid w:val="00E35BB9"/>
    <w:rsid w:val="00E36005"/>
    <w:rsid w:val="00E438CC"/>
    <w:rsid w:val="00E455FD"/>
    <w:rsid w:val="00E51371"/>
    <w:rsid w:val="00E529A1"/>
    <w:rsid w:val="00E61485"/>
    <w:rsid w:val="00E73AEC"/>
    <w:rsid w:val="00E8585D"/>
    <w:rsid w:val="00E909E7"/>
    <w:rsid w:val="00E930F7"/>
    <w:rsid w:val="00E94804"/>
    <w:rsid w:val="00E96712"/>
    <w:rsid w:val="00EA21B1"/>
    <w:rsid w:val="00EA597C"/>
    <w:rsid w:val="00EA5EC8"/>
    <w:rsid w:val="00EC0710"/>
    <w:rsid w:val="00EC1B9D"/>
    <w:rsid w:val="00EC6960"/>
    <w:rsid w:val="00EE620B"/>
    <w:rsid w:val="00EE792C"/>
    <w:rsid w:val="00EF2B86"/>
    <w:rsid w:val="00EF3356"/>
    <w:rsid w:val="00EF7044"/>
    <w:rsid w:val="00EF7B60"/>
    <w:rsid w:val="00F032FD"/>
    <w:rsid w:val="00F03A38"/>
    <w:rsid w:val="00F0756E"/>
    <w:rsid w:val="00F07791"/>
    <w:rsid w:val="00F11B8B"/>
    <w:rsid w:val="00F14DEC"/>
    <w:rsid w:val="00F154F2"/>
    <w:rsid w:val="00F172FF"/>
    <w:rsid w:val="00F24812"/>
    <w:rsid w:val="00F26DEA"/>
    <w:rsid w:val="00F313DC"/>
    <w:rsid w:val="00F321B4"/>
    <w:rsid w:val="00F33697"/>
    <w:rsid w:val="00F42597"/>
    <w:rsid w:val="00F44AB5"/>
    <w:rsid w:val="00F45B8B"/>
    <w:rsid w:val="00F54E0B"/>
    <w:rsid w:val="00F56D48"/>
    <w:rsid w:val="00F62B44"/>
    <w:rsid w:val="00F65C5F"/>
    <w:rsid w:val="00F67342"/>
    <w:rsid w:val="00F716E4"/>
    <w:rsid w:val="00F86062"/>
    <w:rsid w:val="00F9254C"/>
    <w:rsid w:val="00F92A23"/>
    <w:rsid w:val="00F9324E"/>
    <w:rsid w:val="00F95B67"/>
    <w:rsid w:val="00FA1EA5"/>
    <w:rsid w:val="00FA32C1"/>
    <w:rsid w:val="00FA376B"/>
    <w:rsid w:val="00FA3929"/>
    <w:rsid w:val="00FA70D2"/>
    <w:rsid w:val="00FB25C1"/>
    <w:rsid w:val="00FB29D7"/>
    <w:rsid w:val="00FB4CE1"/>
    <w:rsid w:val="00FB566C"/>
    <w:rsid w:val="00FB592C"/>
    <w:rsid w:val="00FC752E"/>
    <w:rsid w:val="00FD0059"/>
    <w:rsid w:val="00FD4931"/>
    <w:rsid w:val="00FD680B"/>
    <w:rsid w:val="00FD7DEC"/>
    <w:rsid w:val="00FE009D"/>
    <w:rsid w:val="00FE186A"/>
    <w:rsid w:val="00FE69C9"/>
    <w:rsid w:val="00FF133B"/>
    <w:rsid w:val="00FF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F0892"/>
  <w15:docId w15:val="{7225DB74-D232-4508-9472-6C9AC3D01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link w:val="Cmsor1Char"/>
    <w:uiPriority w:val="9"/>
    <w:qFormat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7"/>
    </w:pPr>
  </w:style>
  <w:style w:type="paragraph" w:customStyle="1" w:styleId="TableParagraph">
    <w:name w:val="Table Paragraph"/>
    <w:basedOn w:val="Norml"/>
    <w:uiPriority w:val="1"/>
    <w:qFormat/>
  </w:style>
  <w:style w:type="paragraph" w:styleId="Vltozat">
    <w:name w:val="Revision"/>
    <w:hidden/>
    <w:uiPriority w:val="99"/>
    <w:semiHidden/>
    <w:rsid w:val="00615D4D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customStyle="1" w:styleId="Cmsor1Char">
    <w:name w:val="Címsor 1 Char"/>
    <w:basedOn w:val="Bekezdsalapbettpusa"/>
    <w:link w:val="Cmsor1"/>
    <w:uiPriority w:val="9"/>
    <w:rsid w:val="00507477"/>
    <w:rPr>
      <w:rFonts w:ascii="Times New Roman" w:eastAsia="Times New Roman" w:hAnsi="Times New Roman" w:cs="Times New Roman"/>
      <w:b/>
      <w:bCs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507477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8F123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F123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F123A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F123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F123A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lfej">
    <w:name w:val="header"/>
    <w:basedOn w:val="Norml"/>
    <w:link w:val="lfejChar"/>
    <w:uiPriority w:val="99"/>
    <w:unhideWhenUsed/>
    <w:rsid w:val="00525AC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25ACE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525A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25ACE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40FC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40FC8"/>
    <w:rPr>
      <w:rFonts w:ascii="Segoe UI" w:eastAsia="Times New Roman" w:hAnsi="Segoe UI" w:cs="Segoe UI"/>
      <w:sz w:val="18"/>
      <w:szCs w:val="18"/>
      <w:lang w:val="hu-HU"/>
    </w:rPr>
  </w:style>
  <w:style w:type="paragraph" w:customStyle="1" w:styleId="Default">
    <w:name w:val="Default"/>
    <w:rsid w:val="000B6B6D"/>
    <w:pPr>
      <w:widowControl/>
      <w:adjustRightInd w:val="0"/>
    </w:pPr>
    <w:rPr>
      <w:rFonts w:ascii="Times New Roman" w:eastAsia="SimSun" w:hAnsi="Times New Roman" w:cs="Times New Roman"/>
      <w:color w:val="000000"/>
      <w:sz w:val="24"/>
      <w:szCs w:val="24"/>
      <w:lang w:eastAsia="en-GB"/>
    </w:rPr>
  </w:style>
  <w:style w:type="table" w:styleId="Rcsostblzat">
    <w:name w:val="Table Grid"/>
    <w:basedOn w:val="Normltblzat"/>
    <w:uiPriority w:val="39"/>
    <w:rsid w:val="007D1C75"/>
    <w:pPr>
      <w:widowControl/>
      <w:autoSpaceDE/>
      <w:autoSpaceDN/>
    </w:pPr>
    <w:rPr>
      <w:rFonts w:ascii="Times New Roman" w:eastAsia="SimSu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6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F4A4FE2A3EF7C46A90493F47C0C326E" ma:contentTypeVersion="15" ma:contentTypeDescription="Új dokumentum létrehozása." ma:contentTypeScope="" ma:versionID="a66396a24e8fe30af57c7cb7271464b9">
  <xsd:schema xmlns:xsd="http://www.w3.org/2001/XMLSchema" xmlns:xs="http://www.w3.org/2001/XMLSchema" xmlns:p="http://schemas.microsoft.com/office/2006/metadata/properties" xmlns:ns2="436ad773-6416-4da7-91e9-1254fd0265d4" xmlns:ns3="afffa6e7-412f-46b7-9515-2f2b7aff22b7" targetNamespace="http://schemas.microsoft.com/office/2006/metadata/properties" ma:root="true" ma:fieldsID="c01c17dad55d359a424fc9e2448bb59b" ns2:_="" ns3:_="">
    <xsd:import namespace="436ad773-6416-4da7-91e9-1254fd0265d4"/>
    <xsd:import namespace="afffa6e7-412f-46b7-9515-2f2b7aff22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f692196-1fe0-4586-a5b2-4eae318f04b0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fa6e7-412f-46b7-9515-2f2b7aff2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afffa6e7-412f-46b7-9515-2f2b7aff22b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30195-04E7-4B16-94CF-F405989681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ad773-6416-4da7-91e9-1254fd0265d4"/>
    <ds:schemaRef ds:uri="afffa6e7-412f-46b7-9515-2f2b7aff2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F47EB5-F34A-4F4B-A4F9-379193FD18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825790-9353-4B69-B8BE-297AF2AE222A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afffa6e7-412f-46b7-9515-2f2b7aff22b7"/>
  </ds:schemaRefs>
</ds:datastoreItem>
</file>

<file path=customXml/itemProps4.xml><?xml version="1.0" encoding="utf-8"?>
<ds:datastoreItem xmlns:ds="http://schemas.openxmlformats.org/officeDocument/2006/customXml" ds:itemID="{7D05C098-8B7E-4DFE-9A28-7A22799C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1660</TotalTime>
  <Pages>33</Pages>
  <Words>11639</Words>
  <Characters>80312</Characters>
  <Application>Microsoft Office Word</Application>
  <DocSecurity>0</DocSecurity>
  <Lines>669</Lines>
  <Paragraphs>183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Lixiana, INN-edoxaban</vt:lpstr>
    </vt:vector>
  </TitlesOfParts>
  <Company>RG O365 for Enterprise x64 Hun Eng</Company>
  <LinksUpToDate>false</LinksUpToDate>
  <CharactersWithSpaces>91768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Lixiana, INN-edoxaban</dc:title>
  <dc:subject>EPAR</dc:subject>
  <dc:creator>CHMP</dc:creator>
  <cp:keywords>Lixiana, INN-edoxaban</cp:keywords>
  <cp:lastModifiedBy>OGYI_62.1</cp:lastModifiedBy>
  <cp:revision>156</cp:revision>
  <dcterms:created xsi:type="dcterms:W3CDTF">2026-01-24T14:27:00Z</dcterms:created>
  <dcterms:modified xsi:type="dcterms:W3CDTF">2026-05-19T09:00:00Z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2024-12-10T00:00:00Z</vt:filetime>
  </property>
  <property fmtid="{D5CDD505-2E9C-101B-9397-08002B2CF9AE}" pid="5" name="ContentTypeId">
    <vt:lpwstr>0x0101008F4A4FE2A3EF7C46A90493F47C0C326E</vt:lpwstr>
  </property>
</Properties>
</file>