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1D984" w14:textId="13609173" w:rsidR="00394394" w:rsidRPr="00AA1346" w:rsidRDefault="00394394" w:rsidP="004401DF">
      <w:pPr>
        <w:tabs>
          <w:tab w:val="left" w:pos="567"/>
        </w:tabs>
        <w:suppressAutoHyphens/>
        <w:spacing w:after="0" w:line="240" w:lineRule="auto"/>
        <w:rPr>
          <w:rFonts w:ascii="Times New Roman" w:eastAsia="Times New Roman" w:hAnsi="Times New Roman" w:cs="Times New Roman"/>
          <w:b/>
        </w:rPr>
      </w:pPr>
      <w:r w:rsidRPr="00AA1346">
        <w:rPr>
          <w:rFonts w:ascii="Times New Roman" w:eastAsia="Times New Roman" w:hAnsi="Times New Roman" w:cs="Times New Roman"/>
          <w:b/>
        </w:rPr>
        <w:t>1.</w:t>
      </w:r>
      <w:r w:rsidRPr="00AA1346">
        <w:rPr>
          <w:rFonts w:ascii="Times New Roman" w:eastAsia="Times New Roman" w:hAnsi="Times New Roman" w:cs="Times New Roman"/>
          <w:b/>
        </w:rPr>
        <w:tab/>
        <w:t>A GYÓGYSZER NEVE</w:t>
      </w:r>
    </w:p>
    <w:p w14:paraId="49C2566C"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rPr>
      </w:pPr>
    </w:p>
    <w:p w14:paraId="3F7A5349" w14:textId="5CBA12ED" w:rsidR="00394394" w:rsidRPr="00AA1346" w:rsidRDefault="00592927" w:rsidP="004401DF">
      <w:pPr>
        <w:tabs>
          <w:tab w:val="num" w:pos="0"/>
        </w:tabs>
        <w:suppressAutoHyphens/>
        <w:spacing w:after="0" w:line="240" w:lineRule="auto"/>
        <w:outlineLvl w:val="0"/>
        <w:rPr>
          <w:rFonts w:ascii="Times New Roman" w:eastAsia="Times New Roman" w:hAnsi="Times New Roman" w:cs="Times New Roman"/>
        </w:rPr>
      </w:pPr>
      <w:bookmarkStart w:id="0" w:name="_Hlk214522195"/>
      <w:r w:rsidRPr="00AA1346">
        <w:rPr>
          <w:rFonts w:ascii="Times New Roman" w:eastAsia="Times New Roman" w:hAnsi="Times New Roman" w:cs="Times New Roman"/>
        </w:rPr>
        <w:t>Levetiracetam Kalceks</w:t>
      </w:r>
      <w:bookmarkEnd w:id="0"/>
      <w:r w:rsidRPr="00AA1346">
        <w:rPr>
          <w:rFonts w:ascii="Times New Roman" w:eastAsia="Times New Roman" w:hAnsi="Times New Roman" w:cs="Times New Roman"/>
        </w:rPr>
        <w:t xml:space="preserve"> 100</w:t>
      </w:r>
      <w:r w:rsidR="00154C27" w:rsidRPr="00AA1346">
        <w:rPr>
          <w:rFonts w:ascii="Times New Roman" w:eastAsia="Times New Roman" w:hAnsi="Times New Roman" w:cs="Times New Roman"/>
        </w:rPr>
        <w:t> </w:t>
      </w:r>
      <w:r w:rsidRPr="00AA1346">
        <w:rPr>
          <w:rFonts w:ascii="Times New Roman" w:eastAsia="Times New Roman" w:hAnsi="Times New Roman" w:cs="Times New Roman"/>
        </w:rPr>
        <w:t>mg/ml koncentrátum oldatos infúzióhoz</w:t>
      </w:r>
    </w:p>
    <w:p w14:paraId="52DA007E" w14:textId="77777777" w:rsidR="00394394" w:rsidRPr="00AA1346" w:rsidRDefault="00394394" w:rsidP="004401DF">
      <w:pPr>
        <w:suppressAutoHyphens/>
        <w:spacing w:after="0" w:line="240" w:lineRule="auto"/>
        <w:jc w:val="both"/>
        <w:rPr>
          <w:rFonts w:ascii="Times New Roman" w:eastAsia="Times New Roman" w:hAnsi="Times New Roman" w:cs="Times New Roman"/>
        </w:rPr>
      </w:pPr>
    </w:p>
    <w:p w14:paraId="1051CDF9" w14:textId="77777777" w:rsidR="00394394" w:rsidRPr="00AA1346" w:rsidRDefault="00394394" w:rsidP="004401DF">
      <w:pPr>
        <w:suppressAutoHyphens/>
        <w:spacing w:after="0" w:line="240" w:lineRule="auto"/>
        <w:jc w:val="both"/>
        <w:rPr>
          <w:rFonts w:ascii="Times New Roman" w:eastAsia="Times New Roman" w:hAnsi="Times New Roman" w:cs="Times New Roman"/>
        </w:rPr>
      </w:pPr>
    </w:p>
    <w:p w14:paraId="2D578806"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2.</w:t>
      </w:r>
      <w:r w:rsidRPr="00AA1346">
        <w:rPr>
          <w:rFonts w:ascii="Times New Roman" w:eastAsia="Times New Roman" w:hAnsi="Times New Roman" w:cs="Times New Roman"/>
          <w:b/>
        </w:rPr>
        <w:tab/>
        <w:t>MINŐSÉGI ÉS MENNYISÉGI ÖSSZETÉTEL</w:t>
      </w:r>
    </w:p>
    <w:p w14:paraId="120A1B5C"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28C84F59" w14:textId="0037A213" w:rsidR="00394394" w:rsidRPr="00AA1346" w:rsidRDefault="0059292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100</w:t>
      </w:r>
      <w:r w:rsidR="00154C27" w:rsidRPr="00AA1346">
        <w:rPr>
          <w:rFonts w:ascii="Times New Roman" w:eastAsia="Times New Roman" w:hAnsi="Times New Roman" w:cs="Times New Roman"/>
        </w:rPr>
        <w:t> </w:t>
      </w:r>
      <w:r w:rsidRPr="00AA1346">
        <w:rPr>
          <w:rFonts w:ascii="Times New Roman" w:eastAsia="Times New Roman" w:hAnsi="Times New Roman" w:cs="Times New Roman"/>
        </w:rPr>
        <w:t>mg levetiracetámot tartalmaz milliliterenként.</w:t>
      </w:r>
    </w:p>
    <w:p w14:paraId="2798C248" w14:textId="6D2FDB49" w:rsidR="00394394" w:rsidRPr="00AA1346" w:rsidRDefault="0039439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5</w:t>
      </w:r>
      <w:r w:rsidR="00592927" w:rsidRPr="00AA1346">
        <w:rPr>
          <w:rFonts w:ascii="Times New Roman" w:eastAsia="Times New Roman" w:hAnsi="Times New Roman" w:cs="Times New Roman"/>
        </w:rPr>
        <w:t>00</w:t>
      </w:r>
      <w:r w:rsidRPr="00AA1346">
        <w:rPr>
          <w:rFonts w:ascii="Times New Roman" w:eastAsia="Times New Roman" w:hAnsi="Times New Roman" w:cs="Times New Roman"/>
        </w:rPr>
        <w:t xml:space="preserve"> mg </w:t>
      </w:r>
      <w:r w:rsidR="00592927" w:rsidRPr="00AA1346">
        <w:rPr>
          <w:rFonts w:ascii="Times New Roman" w:eastAsia="Times New Roman" w:hAnsi="Times New Roman" w:cs="Times New Roman"/>
        </w:rPr>
        <w:t xml:space="preserve">levetiracetámot </w:t>
      </w:r>
      <w:r w:rsidRPr="00AA1346">
        <w:rPr>
          <w:rFonts w:ascii="Times New Roman" w:eastAsia="Times New Roman" w:hAnsi="Times New Roman" w:cs="Times New Roman"/>
        </w:rPr>
        <w:t>tartalmaz 5 ml</w:t>
      </w:r>
      <w:r w:rsidR="00BE0FE7">
        <w:rPr>
          <w:rFonts w:ascii="Times New Roman" w:eastAsia="Times New Roman" w:hAnsi="Times New Roman" w:cs="Times New Roman"/>
        </w:rPr>
        <w:t xml:space="preserve"> koncentrátumban</w:t>
      </w:r>
      <w:r w:rsidRPr="00AA1346">
        <w:rPr>
          <w:rFonts w:ascii="Times New Roman" w:eastAsia="Times New Roman" w:hAnsi="Times New Roman" w:cs="Times New Roman"/>
        </w:rPr>
        <w:t xml:space="preserve"> injekciós üvegenként.</w:t>
      </w:r>
    </w:p>
    <w:p w14:paraId="2A61F96F"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0BAAD06C" w14:textId="77777777" w:rsidR="00394394" w:rsidRPr="00AA1346" w:rsidRDefault="00394394" w:rsidP="004401DF">
      <w:pPr>
        <w:autoSpaceDE w:val="0"/>
        <w:autoSpaceDN w:val="0"/>
        <w:adjustRightInd w:val="0"/>
        <w:spacing w:after="0" w:line="240" w:lineRule="auto"/>
        <w:jc w:val="both"/>
        <w:rPr>
          <w:rFonts w:ascii="Times New Roman" w:eastAsia="Times New Roman" w:hAnsi="Times New Roman" w:cs="Times New Roman"/>
          <w:szCs w:val="20"/>
          <w:u w:val="single"/>
        </w:rPr>
      </w:pPr>
      <w:r w:rsidRPr="00AA1346">
        <w:rPr>
          <w:rFonts w:ascii="Times New Roman" w:eastAsia="Times New Roman" w:hAnsi="Times New Roman" w:cs="Times New Roman"/>
          <w:bCs/>
          <w:noProof/>
          <w:u w:val="single"/>
        </w:rPr>
        <w:t>Ismert hatású segédanyag</w:t>
      </w:r>
    </w:p>
    <w:p w14:paraId="330A8272" w14:textId="7943DCB5" w:rsidR="00394394" w:rsidRPr="00AA1346" w:rsidRDefault="00ED2376" w:rsidP="004401DF">
      <w:pPr>
        <w:autoSpaceDE w:val="0"/>
        <w:autoSpaceDN w:val="0"/>
        <w:adjustRightInd w:val="0"/>
        <w:spacing w:after="0" w:line="240" w:lineRule="auto"/>
        <w:jc w:val="both"/>
        <w:rPr>
          <w:rFonts w:ascii="Times New Roman" w:eastAsia="Times New Roman" w:hAnsi="Times New Roman" w:cs="Times New Roman"/>
          <w:szCs w:val="20"/>
        </w:rPr>
      </w:pPr>
      <w:r w:rsidRPr="00AA1346">
        <w:rPr>
          <w:rFonts w:ascii="Times New Roman" w:eastAsia="Times New Roman" w:hAnsi="Times New Roman" w:cs="Times New Roman"/>
          <w:szCs w:val="20"/>
        </w:rPr>
        <w:t>3</w:t>
      </w:r>
      <w:r w:rsidR="00123816" w:rsidRPr="00AA1346">
        <w:rPr>
          <w:rFonts w:ascii="Times New Roman" w:eastAsia="Times New Roman" w:hAnsi="Times New Roman" w:cs="Times New Roman"/>
          <w:szCs w:val="20"/>
        </w:rPr>
        <w:t>,</w:t>
      </w:r>
      <w:r w:rsidRPr="00AA1346">
        <w:rPr>
          <w:rFonts w:ascii="Times New Roman" w:eastAsia="Times New Roman" w:hAnsi="Times New Roman" w:cs="Times New Roman"/>
          <w:szCs w:val="20"/>
        </w:rPr>
        <w:t xml:space="preserve">82 mg nátriumot tartalmaz </w:t>
      </w:r>
      <w:r w:rsidR="00751424">
        <w:rPr>
          <w:rFonts w:ascii="Times New Roman" w:eastAsia="Times New Roman" w:hAnsi="Times New Roman" w:cs="Times New Roman"/>
          <w:szCs w:val="20"/>
        </w:rPr>
        <w:t>milliliterenként</w:t>
      </w:r>
      <w:r w:rsidRPr="00AA1346">
        <w:rPr>
          <w:rFonts w:ascii="Times New Roman" w:eastAsia="Times New Roman" w:hAnsi="Times New Roman" w:cs="Times New Roman"/>
          <w:szCs w:val="20"/>
        </w:rPr>
        <w:t>.</w:t>
      </w:r>
    </w:p>
    <w:p w14:paraId="353B26A2" w14:textId="77777777" w:rsidR="00394394" w:rsidRPr="00AA1346" w:rsidRDefault="00394394" w:rsidP="004401DF">
      <w:pPr>
        <w:autoSpaceDE w:val="0"/>
        <w:autoSpaceDN w:val="0"/>
        <w:adjustRightInd w:val="0"/>
        <w:spacing w:after="0" w:line="240" w:lineRule="auto"/>
        <w:jc w:val="both"/>
        <w:rPr>
          <w:rFonts w:ascii="Times New Roman" w:eastAsia="Times New Roman" w:hAnsi="Times New Roman" w:cs="Times New Roman"/>
          <w:szCs w:val="20"/>
        </w:rPr>
      </w:pPr>
    </w:p>
    <w:p w14:paraId="3945D8D0" w14:textId="77777777" w:rsidR="00394394" w:rsidRPr="00AA1346" w:rsidRDefault="00394394"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A segédanyagok teljes listáját lásd a 6.1 pontban.</w:t>
      </w:r>
    </w:p>
    <w:p w14:paraId="479B73BC"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31B3DAC6"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5BDCB1D9"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3.</w:t>
      </w:r>
      <w:r w:rsidRPr="00AA1346">
        <w:rPr>
          <w:rFonts w:ascii="Times New Roman" w:eastAsia="Times New Roman" w:hAnsi="Times New Roman" w:cs="Times New Roman"/>
          <w:b/>
        </w:rPr>
        <w:tab/>
        <w:t>GYÓGYSZERFORMA</w:t>
      </w:r>
    </w:p>
    <w:p w14:paraId="3C9FBC75"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570D9A30" w14:textId="77777777" w:rsidR="00394394" w:rsidRPr="00AA1346" w:rsidRDefault="0039439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Koncentrátum oldatos infúzióhoz (steril koncentrátum).</w:t>
      </w:r>
    </w:p>
    <w:p w14:paraId="04188292" w14:textId="77777777" w:rsidR="00367327" w:rsidRPr="00AA1346" w:rsidRDefault="00367327" w:rsidP="004401DF">
      <w:pPr>
        <w:suppressAutoHyphens/>
        <w:spacing w:after="0" w:line="240" w:lineRule="auto"/>
        <w:rPr>
          <w:rFonts w:ascii="Times New Roman" w:eastAsia="Times New Roman" w:hAnsi="Times New Roman" w:cs="Times New Roman"/>
        </w:rPr>
      </w:pPr>
    </w:p>
    <w:p w14:paraId="34F42361" w14:textId="5D46F376" w:rsidR="00394394" w:rsidRPr="00AA1346" w:rsidRDefault="0036732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Tiszta, színtelen vagy csaknem színtelen, látható részecskéktől </w:t>
      </w:r>
      <w:r w:rsidR="00751424" w:rsidRPr="00AA1346">
        <w:rPr>
          <w:rFonts w:ascii="Times New Roman" w:eastAsia="Times New Roman" w:hAnsi="Times New Roman" w:cs="Times New Roman"/>
        </w:rPr>
        <w:t xml:space="preserve">gyakorlatilag </w:t>
      </w:r>
      <w:r w:rsidRPr="00AA1346">
        <w:rPr>
          <w:rFonts w:ascii="Times New Roman" w:eastAsia="Times New Roman" w:hAnsi="Times New Roman" w:cs="Times New Roman"/>
        </w:rPr>
        <w:t>mentes</w:t>
      </w:r>
      <w:r w:rsidR="00751424" w:rsidRPr="00751424">
        <w:rPr>
          <w:rFonts w:ascii="Times New Roman" w:eastAsia="Times New Roman" w:hAnsi="Times New Roman" w:cs="Times New Roman"/>
        </w:rPr>
        <w:t xml:space="preserve"> </w:t>
      </w:r>
      <w:r w:rsidR="00751424" w:rsidRPr="00AA1346">
        <w:rPr>
          <w:rFonts w:ascii="Times New Roman" w:eastAsia="Times New Roman" w:hAnsi="Times New Roman" w:cs="Times New Roman"/>
        </w:rPr>
        <w:t>oldat</w:t>
      </w:r>
      <w:r w:rsidRPr="00AA1346">
        <w:rPr>
          <w:rFonts w:ascii="Times New Roman" w:eastAsia="Times New Roman" w:hAnsi="Times New Roman" w:cs="Times New Roman"/>
        </w:rPr>
        <w:t>.</w:t>
      </w:r>
    </w:p>
    <w:p w14:paraId="61EE1351" w14:textId="77777777" w:rsidR="00367327" w:rsidRPr="00AA1346" w:rsidRDefault="00367327" w:rsidP="004401DF">
      <w:pPr>
        <w:suppressAutoHyphens/>
        <w:spacing w:after="0" w:line="240" w:lineRule="auto"/>
        <w:rPr>
          <w:rFonts w:ascii="Times New Roman" w:eastAsia="Times New Roman" w:hAnsi="Times New Roman" w:cs="Times New Roman"/>
        </w:rPr>
      </w:pPr>
    </w:p>
    <w:p w14:paraId="14FE1CC7"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73A2BE47"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caps/>
          <w:szCs w:val="20"/>
        </w:rPr>
      </w:pPr>
      <w:r w:rsidRPr="00AA1346">
        <w:rPr>
          <w:rFonts w:ascii="Times New Roman" w:eastAsia="Times New Roman" w:hAnsi="Times New Roman" w:cs="Times New Roman"/>
          <w:b/>
          <w:caps/>
          <w:szCs w:val="20"/>
        </w:rPr>
        <w:t>4.</w:t>
      </w:r>
      <w:r w:rsidRPr="00AA1346">
        <w:rPr>
          <w:rFonts w:ascii="Times New Roman" w:eastAsia="Times New Roman" w:hAnsi="Times New Roman" w:cs="Times New Roman"/>
          <w:b/>
          <w:caps/>
          <w:szCs w:val="20"/>
        </w:rPr>
        <w:tab/>
        <w:t>KLINIKAI JELLEMZŐK</w:t>
      </w:r>
    </w:p>
    <w:p w14:paraId="456AAEA4"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szCs w:val="20"/>
        </w:rPr>
      </w:pPr>
    </w:p>
    <w:p w14:paraId="28BAA55E" w14:textId="77777777" w:rsidR="00394394" w:rsidRPr="00AA1346" w:rsidRDefault="00394394" w:rsidP="004401DF">
      <w:pPr>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4.1</w:t>
      </w:r>
      <w:r w:rsidRPr="00AA1346">
        <w:rPr>
          <w:rFonts w:ascii="Times New Roman" w:eastAsia="Times New Roman" w:hAnsi="Times New Roman" w:cs="Times New Roman"/>
          <w:b/>
        </w:rPr>
        <w:tab/>
        <w:t>Terápiás javallatok</w:t>
      </w:r>
    </w:p>
    <w:p w14:paraId="1B66CE2F"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4F13D593" w14:textId="72436461" w:rsidR="004C4AED" w:rsidRPr="00AA1346" w:rsidRDefault="004C4AED" w:rsidP="004401DF">
      <w:pPr>
        <w:suppressAutoHyphens/>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A Levetiracetam Kalceks az újonnan diagnosztizált epilepsziában szenvedő, 16</w:t>
      </w:r>
      <w:r w:rsidR="00154C27"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éves</w:t>
      </w:r>
      <w:r w:rsidR="008F7F01">
        <w:rPr>
          <w:rFonts w:ascii="Times New Roman" w:eastAsia="Times New Roman" w:hAnsi="Times New Roman" w:cs="Times New Roman"/>
          <w:color w:val="000000"/>
        </w:rPr>
        <w:t xml:space="preserve"> kor feletti</w:t>
      </w:r>
      <w:r w:rsidRPr="00AA1346">
        <w:rPr>
          <w:rFonts w:ascii="Times New Roman" w:eastAsia="Times New Roman" w:hAnsi="Times New Roman" w:cs="Times New Roman"/>
          <w:color w:val="000000"/>
        </w:rPr>
        <w:t xml:space="preserve"> serdülők</w:t>
      </w:r>
      <w:r w:rsidR="008F7F01">
        <w:rPr>
          <w:rFonts w:ascii="Times New Roman" w:eastAsia="Times New Roman" w:hAnsi="Times New Roman" w:cs="Times New Roman"/>
          <w:color w:val="000000"/>
        </w:rPr>
        <w:t xml:space="preserve"> és</w:t>
      </w:r>
      <w:r w:rsidRPr="00AA1346">
        <w:rPr>
          <w:rFonts w:ascii="Times New Roman" w:eastAsia="Times New Roman" w:hAnsi="Times New Roman" w:cs="Times New Roman"/>
          <w:color w:val="000000"/>
        </w:rPr>
        <w:t xml:space="preserve"> felnőttek – másodlagos generalizációval járó vagy anélkül fellépő – parciális görcsrohamainak monoterápiában történő kezelésére javallt.</w:t>
      </w:r>
    </w:p>
    <w:p w14:paraId="46F542EA" w14:textId="77777777" w:rsidR="004C4AED" w:rsidRPr="00AA1346" w:rsidRDefault="004C4AED" w:rsidP="004401DF">
      <w:pPr>
        <w:suppressAutoHyphens/>
        <w:spacing w:after="0" w:line="240" w:lineRule="auto"/>
        <w:rPr>
          <w:rFonts w:ascii="Times New Roman" w:eastAsia="Times New Roman" w:hAnsi="Times New Roman" w:cs="Times New Roman"/>
          <w:color w:val="000000"/>
        </w:rPr>
      </w:pPr>
    </w:p>
    <w:p w14:paraId="4A14F508" w14:textId="54583AD2" w:rsidR="004C4AED" w:rsidRPr="00AA1346" w:rsidRDefault="004C4AED" w:rsidP="004401DF">
      <w:pPr>
        <w:suppressAutoHyphens/>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A Levetiracetam Kalceks kiegészítő kezelésként javall</w:t>
      </w:r>
      <w:r w:rsidR="00B428F3">
        <w:rPr>
          <w:rFonts w:ascii="Times New Roman" w:eastAsia="Times New Roman" w:hAnsi="Times New Roman" w:cs="Times New Roman"/>
          <w:color w:val="000000"/>
        </w:rPr>
        <w:t>ot</w:t>
      </w:r>
      <w:r w:rsidRPr="00AA1346">
        <w:rPr>
          <w:rFonts w:ascii="Times New Roman" w:eastAsia="Times New Roman" w:hAnsi="Times New Roman" w:cs="Times New Roman"/>
          <w:color w:val="000000"/>
        </w:rPr>
        <w:t>t:</w:t>
      </w:r>
    </w:p>
    <w:p w14:paraId="21090E92" w14:textId="1E6ED68D" w:rsidR="004C4AED" w:rsidRPr="00AA1346" w:rsidRDefault="004C4AED" w:rsidP="004401DF">
      <w:pPr>
        <w:pStyle w:val="Listaszerbekezds"/>
        <w:numPr>
          <w:ilvl w:val="0"/>
          <w:numId w:val="12"/>
        </w:numPr>
        <w:suppressAutoHyphens/>
        <w:spacing w:after="0" w:line="240" w:lineRule="auto"/>
        <w:ind w:left="567" w:hanging="567"/>
        <w:rPr>
          <w:rFonts w:ascii="Times New Roman" w:eastAsia="Times New Roman" w:hAnsi="Times New Roman" w:cs="Times New Roman"/>
          <w:color w:val="000000"/>
        </w:rPr>
      </w:pPr>
      <w:r w:rsidRPr="00AA1346">
        <w:rPr>
          <w:rFonts w:ascii="Times New Roman" w:eastAsia="Times New Roman" w:hAnsi="Times New Roman" w:cs="Times New Roman"/>
          <w:color w:val="000000"/>
        </w:rPr>
        <w:t>epilepsziában szenvedő felnőttek, serdülők és 4</w:t>
      </w:r>
      <w:r w:rsidR="00154C27"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éves</w:t>
      </w:r>
      <w:r w:rsidR="00421AAB">
        <w:rPr>
          <w:rFonts w:ascii="Times New Roman" w:eastAsia="Times New Roman" w:hAnsi="Times New Roman" w:cs="Times New Roman"/>
          <w:color w:val="000000"/>
        </w:rPr>
        <w:t xml:space="preserve"> kor feletti</w:t>
      </w:r>
      <w:r w:rsidRPr="00AA1346">
        <w:rPr>
          <w:rFonts w:ascii="Times New Roman" w:eastAsia="Times New Roman" w:hAnsi="Times New Roman" w:cs="Times New Roman"/>
          <w:color w:val="000000"/>
        </w:rPr>
        <w:t xml:space="preserve"> gyermekek – másodlagos generalizációval vagy anélkül fellépő – parciális görcsrohamainak kezelésére;</w:t>
      </w:r>
    </w:p>
    <w:p w14:paraId="7380C8A2" w14:textId="1A546E0C" w:rsidR="004C4AED" w:rsidRPr="00AA1346" w:rsidRDefault="004C4AED" w:rsidP="004401DF">
      <w:pPr>
        <w:pStyle w:val="Listaszerbekezds"/>
        <w:numPr>
          <w:ilvl w:val="0"/>
          <w:numId w:val="14"/>
        </w:numPr>
        <w:suppressAutoHyphens/>
        <w:spacing w:after="0" w:line="240" w:lineRule="auto"/>
        <w:ind w:left="567" w:hanging="567"/>
        <w:rPr>
          <w:rFonts w:ascii="Times New Roman" w:eastAsia="Times New Roman" w:hAnsi="Times New Roman" w:cs="Times New Roman"/>
          <w:color w:val="000000"/>
        </w:rPr>
      </w:pPr>
      <w:r w:rsidRPr="00AA1346">
        <w:rPr>
          <w:rFonts w:ascii="Times New Roman" w:eastAsia="Times New Roman" w:hAnsi="Times New Roman" w:cs="Times New Roman"/>
          <w:color w:val="000000"/>
        </w:rPr>
        <w:t>juvenilis myoclonusos epilepsziában szenvedő felnőttek és 12</w:t>
      </w:r>
      <w:r w:rsidR="00154C27" w:rsidRPr="00AA1346">
        <w:rPr>
          <w:rFonts w:ascii="Times New Roman" w:eastAsia="Times New Roman" w:hAnsi="Times New Roman" w:cs="Times New Roman"/>
          <w:color w:val="000000"/>
        </w:rPr>
        <w:t> </w:t>
      </w:r>
      <w:r w:rsidR="00421AAB" w:rsidRPr="00421AAB">
        <w:rPr>
          <w:rFonts w:ascii="Times New Roman" w:eastAsia="Times New Roman" w:hAnsi="Times New Roman" w:cs="Times New Roman"/>
          <w:color w:val="000000"/>
        </w:rPr>
        <w:t xml:space="preserve">éves kor feletti </w:t>
      </w:r>
      <w:r w:rsidRPr="00AA1346">
        <w:rPr>
          <w:rFonts w:ascii="Times New Roman" w:eastAsia="Times New Roman" w:hAnsi="Times New Roman" w:cs="Times New Roman"/>
          <w:color w:val="000000"/>
        </w:rPr>
        <w:t>gyermekek és serdülők myoclonusos görcsrohamainak kezelésére;</w:t>
      </w:r>
    </w:p>
    <w:p w14:paraId="2E9DE7A3" w14:textId="5D38ACFA" w:rsidR="004C4AED" w:rsidRPr="00AA1346" w:rsidRDefault="004C4AED" w:rsidP="004401DF">
      <w:pPr>
        <w:pStyle w:val="Listaszerbekezds"/>
        <w:numPr>
          <w:ilvl w:val="0"/>
          <w:numId w:val="16"/>
        </w:numPr>
        <w:suppressAutoHyphens/>
        <w:spacing w:after="0" w:line="240" w:lineRule="auto"/>
        <w:ind w:left="567" w:hanging="567"/>
        <w:rPr>
          <w:rFonts w:ascii="Times New Roman" w:eastAsia="Times New Roman" w:hAnsi="Times New Roman" w:cs="Times New Roman"/>
          <w:color w:val="000000"/>
        </w:rPr>
      </w:pPr>
      <w:r w:rsidRPr="00AA1346">
        <w:rPr>
          <w:rFonts w:ascii="Times New Roman" w:eastAsia="Times New Roman" w:hAnsi="Times New Roman" w:cs="Times New Roman"/>
          <w:color w:val="000000"/>
        </w:rPr>
        <w:t>idiopathiás generalizált epilepsziában szenvedő felnőttek és 12</w:t>
      </w:r>
      <w:r w:rsidR="00154C27" w:rsidRPr="00AA1346">
        <w:rPr>
          <w:rFonts w:ascii="Times New Roman" w:eastAsia="Times New Roman" w:hAnsi="Times New Roman" w:cs="Times New Roman"/>
          <w:color w:val="000000"/>
        </w:rPr>
        <w:t> </w:t>
      </w:r>
      <w:r w:rsidR="00421AAB" w:rsidRPr="00421AAB">
        <w:rPr>
          <w:rFonts w:ascii="Times New Roman" w:eastAsia="Times New Roman" w:hAnsi="Times New Roman" w:cs="Times New Roman"/>
          <w:color w:val="000000"/>
        </w:rPr>
        <w:t xml:space="preserve">éves kor feletti </w:t>
      </w:r>
      <w:r w:rsidRPr="00AA1346">
        <w:rPr>
          <w:rFonts w:ascii="Times New Roman" w:eastAsia="Times New Roman" w:hAnsi="Times New Roman" w:cs="Times New Roman"/>
          <w:color w:val="000000"/>
        </w:rPr>
        <w:t>gyermekek és serdülők primer generalizált tónusos-clonusos görcsrohamainak kezelésére.</w:t>
      </w:r>
    </w:p>
    <w:p w14:paraId="7ACC2A8F" w14:textId="77777777" w:rsidR="004C4AED" w:rsidRPr="00AA1346" w:rsidRDefault="004C4AED" w:rsidP="004401DF">
      <w:pPr>
        <w:suppressAutoHyphens/>
        <w:spacing w:after="0" w:line="240" w:lineRule="auto"/>
        <w:rPr>
          <w:rFonts w:ascii="Times New Roman" w:eastAsia="Times New Roman" w:hAnsi="Times New Roman" w:cs="Times New Roman"/>
          <w:color w:val="000000"/>
        </w:rPr>
      </w:pPr>
    </w:p>
    <w:p w14:paraId="3A449EB5" w14:textId="7B93BD20" w:rsidR="00394394" w:rsidRPr="00AA1346" w:rsidRDefault="004C4AED" w:rsidP="004401DF">
      <w:pPr>
        <w:suppressAutoHyphens/>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A Levetiracetam Kalceks koncentrátum alternatív készítmény olyan betegek számára, akiknél a szájon át történő alkalmazás átmenetileg nem lehetséges.</w:t>
      </w:r>
    </w:p>
    <w:p w14:paraId="63059156" w14:textId="77777777" w:rsidR="004C4AED" w:rsidRPr="00AA1346" w:rsidRDefault="004C4AED" w:rsidP="004401DF">
      <w:pPr>
        <w:suppressAutoHyphens/>
        <w:spacing w:after="0" w:line="240" w:lineRule="auto"/>
        <w:rPr>
          <w:rFonts w:ascii="Times New Roman" w:eastAsia="Times New Roman" w:hAnsi="Times New Roman" w:cs="Times New Roman"/>
        </w:rPr>
      </w:pPr>
    </w:p>
    <w:p w14:paraId="75895194" w14:textId="77777777" w:rsidR="00394394" w:rsidRPr="00AA1346" w:rsidRDefault="00394394" w:rsidP="004401DF">
      <w:pPr>
        <w:tabs>
          <w:tab w:val="left" w:pos="567"/>
        </w:tabs>
        <w:suppressAutoHyphens/>
        <w:spacing w:after="0" w:line="240" w:lineRule="auto"/>
        <w:rPr>
          <w:rFonts w:ascii="Times New Roman" w:eastAsia="Times New Roman" w:hAnsi="Times New Roman" w:cs="Times New Roman"/>
          <w:b/>
          <w:bCs/>
        </w:rPr>
      </w:pPr>
      <w:r w:rsidRPr="00AA1346">
        <w:rPr>
          <w:rFonts w:ascii="Times New Roman" w:eastAsia="Times New Roman" w:hAnsi="Times New Roman" w:cs="Times New Roman"/>
          <w:b/>
          <w:bCs/>
        </w:rPr>
        <w:t>4.2</w:t>
      </w:r>
      <w:r w:rsidRPr="00AA1346">
        <w:rPr>
          <w:rFonts w:ascii="Times New Roman" w:eastAsia="Times New Roman" w:hAnsi="Times New Roman" w:cs="Times New Roman"/>
          <w:b/>
          <w:bCs/>
        </w:rPr>
        <w:tab/>
        <w:t>Adagolás és alkalmazás</w:t>
      </w:r>
    </w:p>
    <w:p w14:paraId="300B9413"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716B3BAD" w14:textId="77777777" w:rsidR="00824371" w:rsidRPr="00AA1346" w:rsidRDefault="00824371"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Adagolás</w:t>
      </w:r>
    </w:p>
    <w:p w14:paraId="39DD5EE6" w14:textId="77777777" w:rsidR="00824371" w:rsidRPr="00AA1346" w:rsidRDefault="00824371" w:rsidP="004401DF">
      <w:pPr>
        <w:suppressAutoHyphens/>
        <w:spacing w:after="0" w:line="240" w:lineRule="auto"/>
        <w:rPr>
          <w:rFonts w:ascii="Times New Roman" w:eastAsia="Times New Roman" w:hAnsi="Times New Roman" w:cs="Times New Roman"/>
        </w:rPr>
      </w:pPr>
    </w:p>
    <w:p w14:paraId="7C8E6B8D" w14:textId="6250D1E7" w:rsidR="00824371" w:rsidRPr="00AA1346" w:rsidRDefault="0082437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levetiracetám-terápia intravénásan</w:t>
      </w:r>
      <w:r w:rsidR="004609C5">
        <w:rPr>
          <w:rFonts w:ascii="Times New Roman" w:eastAsia="Times New Roman" w:hAnsi="Times New Roman" w:cs="Times New Roman"/>
        </w:rPr>
        <w:t>, illetve</w:t>
      </w:r>
      <w:r w:rsidR="00B428F3">
        <w:rPr>
          <w:rFonts w:ascii="Times New Roman" w:eastAsia="Times New Roman" w:hAnsi="Times New Roman" w:cs="Times New Roman"/>
        </w:rPr>
        <w:t xml:space="preserve"> </w:t>
      </w:r>
      <w:r w:rsidRPr="00AA1346">
        <w:rPr>
          <w:rFonts w:ascii="Times New Roman" w:eastAsia="Times New Roman" w:hAnsi="Times New Roman" w:cs="Times New Roman"/>
        </w:rPr>
        <w:t>szájon át történő alkalmazással egyaránt elkezdhető.</w:t>
      </w:r>
    </w:p>
    <w:p w14:paraId="7EC103CB" w14:textId="51917803" w:rsidR="00824371" w:rsidRPr="00AA1346" w:rsidRDefault="0082437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Az intravénásról a szájon át történő alkalmazásra, </w:t>
      </w:r>
      <w:r w:rsidR="006F2D04">
        <w:rPr>
          <w:rFonts w:ascii="Times New Roman" w:eastAsia="Times New Roman" w:hAnsi="Times New Roman" w:cs="Times New Roman"/>
        </w:rPr>
        <w:t>illetve</w:t>
      </w:r>
      <w:r w:rsidR="00863D3B" w:rsidRPr="00AA1346">
        <w:rPr>
          <w:rFonts w:ascii="Times New Roman" w:eastAsia="Times New Roman" w:hAnsi="Times New Roman" w:cs="Times New Roman"/>
        </w:rPr>
        <w:t xml:space="preserve"> </w:t>
      </w:r>
      <w:r w:rsidRPr="00AA1346">
        <w:rPr>
          <w:rFonts w:ascii="Times New Roman" w:eastAsia="Times New Roman" w:hAnsi="Times New Roman" w:cs="Times New Roman"/>
        </w:rPr>
        <w:t>az oralis</w:t>
      </w:r>
      <w:r w:rsidR="00863D3B">
        <w:rPr>
          <w:rFonts w:ascii="Times New Roman" w:eastAsia="Times New Roman" w:hAnsi="Times New Roman" w:cs="Times New Roman"/>
        </w:rPr>
        <w:t xml:space="preserve"> alkalmazásról</w:t>
      </w:r>
      <w:r w:rsidRPr="00AA1346">
        <w:rPr>
          <w:rFonts w:ascii="Times New Roman" w:eastAsia="Times New Roman" w:hAnsi="Times New Roman" w:cs="Times New Roman"/>
        </w:rPr>
        <w:t xml:space="preserve"> az intravénás alkalmazásra való áttérés közvetlenül, titrálás nélkül végezhető. A teljes napi összdózist és az adagolás gyakoriságát változatlanul kell hagyni.</w:t>
      </w:r>
    </w:p>
    <w:p w14:paraId="4DBB8173" w14:textId="77777777" w:rsidR="00824371" w:rsidRPr="00AA1346" w:rsidRDefault="00824371" w:rsidP="004401DF">
      <w:pPr>
        <w:suppressAutoHyphens/>
        <w:spacing w:after="0" w:line="240" w:lineRule="auto"/>
        <w:rPr>
          <w:rFonts w:ascii="Times New Roman" w:eastAsia="Times New Roman" w:hAnsi="Times New Roman" w:cs="Times New Roman"/>
        </w:rPr>
      </w:pPr>
    </w:p>
    <w:p w14:paraId="2D61F89D" w14:textId="77777777" w:rsidR="00824371" w:rsidRPr="00AA1346" w:rsidRDefault="00824371" w:rsidP="004401DF">
      <w:pPr>
        <w:suppressAutoHyphens/>
        <w:spacing w:after="0" w:line="240" w:lineRule="auto"/>
        <w:rPr>
          <w:rFonts w:ascii="Times New Roman" w:eastAsia="Times New Roman" w:hAnsi="Times New Roman" w:cs="Times New Roman"/>
          <w:i/>
          <w:iCs/>
        </w:rPr>
      </w:pPr>
      <w:r w:rsidRPr="00AA1346">
        <w:rPr>
          <w:rFonts w:ascii="Times New Roman" w:eastAsia="Times New Roman" w:hAnsi="Times New Roman" w:cs="Times New Roman"/>
          <w:i/>
          <w:iCs/>
        </w:rPr>
        <w:t>Parciális görcsrohamok</w:t>
      </w:r>
    </w:p>
    <w:p w14:paraId="1909E81E" w14:textId="54B5F6E9" w:rsidR="00394394" w:rsidRPr="00AA1346" w:rsidRDefault="0082437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Az ajánlott adagolás monoterápia (16</w:t>
      </w:r>
      <w:r w:rsidR="00154C27" w:rsidRPr="00AA1346">
        <w:rPr>
          <w:rFonts w:ascii="Times New Roman" w:eastAsia="Times New Roman" w:hAnsi="Times New Roman" w:cs="Times New Roman"/>
        </w:rPr>
        <w:t> </w:t>
      </w:r>
      <w:r w:rsidRPr="00AA1346">
        <w:rPr>
          <w:rFonts w:ascii="Times New Roman" w:eastAsia="Times New Roman" w:hAnsi="Times New Roman" w:cs="Times New Roman"/>
        </w:rPr>
        <w:t>éves kor felett) és kiegészítő kezelés esetén megegyezik</w:t>
      </w:r>
      <w:r w:rsidR="004401DF">
        <w:rPr>
          <w:rFonts w:ascii="Times New Roman" w:eastAsia="Times New Roman" w:hAnsi="Times New Roman" w:cs="Times New Roman"/>
        </w:rPr>
        <w:t>,</w:t>
      </w:r>
      <w:r w:rsidRPr="00AA1346">
        <w:rPr>
          <w:rFonts w:ascii="Times New Roman" w:eastAsia="Times New Roman" w:hAnsi="Times New Roman" w:cs="Times New Roman"/>
        </w:rPr>
        <w:t xml:space="preserve"> az alábbiaknak megfelelően.</w:t>
      </w:r>
    </w:p>
    <w:p w14:paraId="2C1A80E5" w14:textId="77777777" w:rsidR="00394394" w:rsidRPr="00AA1346" w:rsidRDefault="00394394" w:rsidP="004401DF">
      <w:pPr>
        <w:tabs>
          <w:tab w:val="left" w:pos="480"/>
        </w:tabs>
        <w:suppressAutoHyphens/>
        <w:spacing w:after="0" w:line="240" w:lineRule="auto"/>
        <w:rPr>
          <w:rFonts w:ascii="Times New Roman" w:eastAsia="Times New Roman" w:hAnsi="Times New Roman" w:cs="Times New Roman"/>
        </w:rPr>
      </w:pPr>
    </w:p>
    <w:p w14:paraId="21F6BECE" w14:textId="77777777" w:rsidR="00CF2B3B" w:rsidRPr="00AA1346" w:rsidRDefault="00CF2B3B" w:rsidP="00E65268">
      <w:pPr>
        <w:keepNext/>
        <w:spacing w:after="0" w:line="240" w:lineRule="auto"/>
        <w:rPr>
          <w:rFonts w:ascii="Times New Roman" w:eastAsia="Times New Roman" w:hAnsi="Times New Roman" w:cs="Times New Roman"/>
          <w:i/>
        </w:rPr>
      </w:pPr>
      <w:r w:rsidRPr="00AA1346">
        <w:rPr>
          <w:rFonts w:ascii="Times New Roman" w:eastAsia="Times New Roman" w:hAnsi="Times New Roman" w:cs="Times New Roman"/>
          <w:i/>
        </w:rPr>
        <w:lastRenderedPageBreak/>
        <w:t>Minden indikációra</w:t>
      </w:r>
    </w:p>
    <w:p w14:paraId="1202A0EE" w14:textId="77777777" w:rsidR="00CF2B3B" w:rsidRPr="00AA1346" w:rsidRDefault="00CF2B3B" w:rsidP="00E65268">
      <w:pPr>
        <w:keepNext/>
        <w:tabs>
          <w:tab w:val="left" w:pos="480"/>
        </w:tabs>
        <w:suppressAutoHyphens/>
        <w:spacing w:after="0" w:line="240" w:lineRule="auto"/>
        <w:rPr>
          <w:rFonts w:ascii="Times New Roman" w:eastAsia="Times New Roman" w:hAnsi="Times New Roman" w:cs="Times New Roman"/>
          <w:iCs/>
        </w:rPr>
      </w:pPr>
    </w:p>
    <w:p w14:paraId="09E497DE" w14:textId="63CE3118" w:rsidR="00CF2B3B" w:rsidRPr="00AA1346" w:rsidRDefault="00CF2B3B" w:rsidP="004401DF">
      <w:pPr>
        <w:tabs>
          <w:tab w:val="left" w:pos="480"/>
        </w:tabs>
        <w:suppressAutoHyphens/>
        <w:spacing w:after="0" w:line="240" w:lineRule="auto"/>
        <w:rPr>
          <w:rFonts w:ascii="Times New Roman" w:eastAsia="Times New Roman" w:hAnsi="Times New Roman" w:cs="Times New Roman"/>
          <w:i/>
        </w:rPr>
      </w:pPr>
      <w:bookmarkStart w:id="1" w:name="_Hlk214526249"/>
      <w:r w:rsidRPr="00AA1346">
        <w:rPr>
          <w:rFonts w:ascii="Times New Roman" w:eastAsia="Times New Roman" w:hAnsi="Times New Roman" w:cs="Times New Roman"/>
          <w:i/>
        </w:rPr>
        <w:t>Felnőttek (≥</w:t>
      </w:r>
      <w:r w:rsidR="00894617" w:rsidRPr="00AA1346">
        <w:rPr>
          <w:rFonts w:ascii="Times New Roman" w:eastAsia="Times New Roman" w:hAnsi="Times New Roman" w:cs="Times New Roman"/>
          <w:i/>
        </w:rPr>
        <w:t> </w:t>
      </w:r>
      <w:r w:rsidRPr="00AA1346">
        <w:rPr>
          <w:rFonts w:ascii="Times New Roman" w:eastAsia="Times New Roman" w:hAnsi="Times New Roman" w:cs="Times New Roman"/>
          <w:i/>
        </w:rPr>
        <w:t>18</w:t>
      </w:r>
      <w:r w:rsidR="004401DF">
        <w:rPr>
          <w:rFonts w:ascii="Times New Roman" w:eastAsia="Times New Roman" w:hAnsi="Times New Roman" w:cs="Times New Roman"/>
          <w:i/>
        </w:rPr>
        <w:t> </w:t>
      </w:r>
      <w:r w:rsidRPr="00AA1346">
        <w:rPr>
          <w:rFonts w:ascii="Times New Roman" w:eastAsia="Times New Roman" w:hAnsi="Times New Roman" w:cs="Times New Roman"/>
          <w:i/>
        </w:rPr>
        <w:t>éves) és 50</w:t>
      </w:r>
      <w:r w:rsidR="00AE1BA0" w:rsidRPr="00AA1346">
        <w:rPr>
          <w:rFonts w:ascii="Times New Roman" w:eastAsia="Times New Roman" w:hAnsi="Times New Roman" w:cs="Times New Roman"/>
          <w:i/>
        </w:rPr>
        <w:t> </w:t>
      </w:r>
      <w:r w:rsidRPr="00AA1346">
        <w:rPr>
          <w:rFonts w:ascii="Times New Roman" w:eastAsia="Times New Roman" w:hAnsi="Times New Roman" w:cs="Times New Roman"/>
          <w:i/>
        </w:rPr>
        <w:t>kg vagy annál nagyobb testtömegű (12</w:t>
      </w:r>
      <w:r w:rsidR="00AE1BA0" w:rsidRPr="00AA1346">
        <w:rPr>
          <w:rFonts w:ascii="Times New Roman" w:eastAsia="Times New Roman" w:hAnsi="Times New Roman" w:cs="Times New Roman"/>
          <w:i/>
        </w:rPr>
        <w:t> </w:t>
      </w:r>
      <w:r w:rsidRPr="00AA1346">
        <w:rPr>
          <w:rFonts w:ascii="Times New Roman" w:eastAsia="Times New Roman" w:hAnsi="Times New Roman" w:cs="Times New Roman"/>
          <w:i/>
        </w:rPr>
        <w:t>és betöltött 18.</w:t>
      </w:r>
      <w:r w:rsidR="00AE1BA0" w:rsidRPr="00AA1346">
        <w:rPr>
          <w:rFonts w:ascii="Times New Roman" w:eastAsia="Times New Roman" w:hAnsi="Times New Roman" w:cs="Times New Roman"/>
          <w:i/>
        </w:rPr>
        <w:t> </w:t>
      </w:r>
      <w:r w:rsidR="00ED37C2">
        <w:rPr>
          <w:rFonts w:ascii="Times New Roman" w:eastAsia="Times New Roman" w:hAnsi="Times New Roman" w:cs="Times New Roman"/>
          <w:i/>
        </w:rPr>
        <w:t>élet</w:t>
      </w:r>
      <w:r w:rsidRPr="00AA1346">
        <w:rPr>
          <w:rFonts w:ascii="Times New Roman" w:eastAsia="Times New Roman" w:hAnsi="Times New Roman" w:cs="Times New Roman"/>
          <w:i/>
        </w:rPr>
        <w:t>év közötti korú) gyermekek és serdülők</w:t>
      </w:r>
      <w:r w:rsidR="00D772D4">
        <w:rPr>
          <w:rFonts w:ascii="Times New Roman" w:eastAsia="Times New Roman" w:hAnsi="Times New Roman" w:cs="Times New Roman"/>
          <w:i/>
        </w:rPr>
        <w:t xml:space="preserve"> számára</w:t>
      </w:r>
    </w:p>
    <w:bookmarkEnd w:id="1"/>
    <w:p w14:paraId="21A2C51D" w14:textId="77777777"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p>
    <w:p w14:paraId="0BFB9773" w14:textId="2FA61EFD"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w:t>
      </w:r>
      <w:r w:rsidR="00D772D4">
        <w:rPr>
          <w:rFonts w:ascii="Times New Roman" w:eastAsia="Times New Roman" w:hAnsi="Times New Roman" w:cs="Times New Roman"/>
          <w:iCs/>
        </w:rPr>
        <w:t>z ajánlott</w:t>
      </w:r>
      <w:r w:rsidRPr="00AA1346">
        <w:rPr>
          <w:rFonts w:ascii="Times New Roman" w:eastAsia="Times New Roman" w:hAnsi="Times New Roman" w:cs="Times New Roman"/>
          <w:iCs/>
        </w:rPr>
        <w:t xml:space="preserve"> kezdő dózis naponta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500</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mg. Ez a dózis a kezelés első napjától kezdve alkalmazható.</w:t>
      </w:r>
      <w:r w:rsidR="004401DF">
        <w:rPr>
          <w:rFonts w:ascii="Times New Roman" w:eastAsia="Times New Roman" w:hAnsi="Times New Roman" w:cs="Times New Roman"/>
          <w:iCs/>
        </w:rPr>
        <w:t xml:space="preserve"> </w:t>
      </w:r>
      <w:r w:rsidR="00D772D4">
        <w:rPr>
          <w:rFonts w:ascii="Times New Roman" w:eastAsia="Times New Roman" w:hAnsi="Times New Roman" w:cs="Times New Roman"/>
          <w:iCs/>
        </w:rPr>
        <w:t>A</w:t>
      </w:r>
      <w:r w:rsidRPr="00AA1346">
        <w:rPr>
          <w:rFonts w:ascii="Times New Roman" w:eastAsia="Times New Roman" w:hAnsi="Times New Roman" w:cs="Times New Roman"/>
          <w:iCs/>
        </w:rPr>
        <w:t xml:space="preserve"> lehetséges mellékhatások enyhítésére, a kezelőorvos által végzett értékelés alapján a görcsrohamok csökkenésére alacsonyabb, napi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250</w:t>
      </w:r>
      <w:r w:rsidR="000059CF">
        <w:rPr>
          <w:rFonts w:ascii="Times New Roman" w:eastAsia="Times New Roman" w:hAnsi="Times New Roman" w:cs="Times New Roman"/>
          <w:iCs/>
        </w:rPr>
        <w:t> </w:t>
      </w:r>
      <w:r w:rsidRPr="00AA1346">
        <w:rPr>
          <w:rFonts w:ascii="Times New Roman" w:eastAsia="Times New Roman" w:hAnsi="Times New Roman" w:cs="Times New Roman"/>
          <w:iCs/>
        </w:rPr>
        <w:t>mg-os kezdő dózis is adható, ami két hét múlva naponta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500</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mg-ra emelhető.</w:t>
      </w:r>
    </w:p>
    <w:p w14:paraId="4DEDC575" w14:textId="7D4F46C3"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terápiás válaszreakciótól és a tolerálhatóságtól függően a napi dózis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1500</w:t>
      </w:r>
      <w:r w:rsidR="000059CF">
        <w:rPr>
          <w:rFonts w:ascii="Times New Roman" w:eastAsia="Times New Roman" w:hAnsi="Times New Roman" w:cs="Times New Roman"/>
          <w:iCs/>
        </w:rPr>
        <w:t> </w:t>
      </w:r>
      <w:r w:rsidRPr="00AA1346">
        <w:rPr>
          <w:rFonts w:ascii="Times New Roman" w:eastAsia="Times New Roman" w:hAnsi="Times New Roman" w:cs="Times New Roman"/>
          <w:iCs/>
        </w:rPr>
        <w:t>mg-ig emelhető. A dózisok változtatása 2</w:t>
      </w:r>
      <w:r w:rsidR="000059CF">
        <w:rPr>
          <w:rFonts w:ascii="Times New Roman" w:eastAsia="Times New Roman" w:hAnsi="Times New Roman" w:cs="Times New Roman"/>
          <w:iCs/>
        </w:rPr>
        <w:t>–</w:t>
      </w:r>
      <w:r w:rsidRPr="00AA1346">
        <w:rPr>
          <w:rFonts w:ascii="Times New Roman" w:eastAsia="Times New Roman" w:hAnsi="Times New Roman" w:cs="Times New Roman"/>
          <w:iCs/>
        </w:rPr>
        <w:t>4</w:t>
      </w:r>
      <w:r w:rsidR="000059CF">
        <w:rPr>
          <w:rFonts w:ascii="Times New Roman" w:eastAsia="Times New Roman" w:hAnsi="Times New Roman" w:cs="Times New Roman"/>
          <w:iCs/>
        </w:rPr>
        <w:t> </w:t>
      </w:r>
      <w:r w:rsidRPr="00AA1346">
        <w:rPr>
          <w:rFonts w:ascii="Times New Roman" w:eastAsia="Times New Roman" w:hAnsi="Times New Roman" w:cs="Times New Roman"/>
          <w:iCs/>
        </w:rPr>
        <w:t>hetente történhet, napi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250</w:t>
      </w:r>
      <w:r w:rsidR="000059CF">
        <w:rPr>
          <w:rFonts w:ascii="Times New Roman" w:eastAsia="Times New Roman" w:hAnsi="Times New Roman" w:cs="Times New Roman"/>
          <w:iCs/>
        </w:rPr>
        <w:t> </w:t>
      </w:r>
      <w:r w:rsidRPr="00AA1346">
        <w:rPr>
          <w:rFonts w:ascii="Times New Roman" w:eastAsia="Times New Roman" w:hAnsi="Times New Roman" w:cs="Times New Roman"/>
          <w:iCs/>
        </w:rPr>
        <w:t>mg-os vagy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500</w:t>
      </w:r>
      <w:r w:rsidR="000059CF">
        <w:rPr>
          <w:rFonts w:ascii="Times New Roman" w:eastAsia="Times New Roman" w:hAnsi="Times New Roman" w:cs="Times New Roman"/>
          <w:iCs/>
        </w:rPr>
        <w:t> </w:t>
      </w:r>
      <w:r w:rsidRPr="00AA1346">
        <w:rPr>
          <w:rFonts w:ascii="Times New Roman" w:eastAsia="Times New Roman" w:hAnsi="Times New Roman" w:cs="Times New Roman"/>
          <w:iCs/>
        </w:rPr>
        <w:t>mg-os emeléssel vagy csökkentéssel.</w:t>
      </w:r>
    </w:p>
    <w:p w14:paraId="35BCF990" w14:textId="77777777"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p>
    <w:p w14:paraId="2DBEDDE8" w14:textId="12FF8C15" w:rsidR="00CF2B3B" w:rsidRPr="00AA1346" w:rsidRDefault="00CF2B3B" w:rsidP="004401DF">
      <w:pPr>
        <w:tabs>
          <w:tab w:val="left" w:pos="480"/>
        </w:tabs>
        <w:suppressAutoHyphens/>
        <w:spacing w:after="0" w:line="240" w:lineRule="auto"/>
        <w:rPr>
          <w:rFonts w:ascii="Times New Roman" w:eastAsia="Times New Roman" w:hAnsi="Times New Roman" w:cs="Times New Roman"/>
          <w:i/>
        </w:rPr>
      </w:pPr>
      <w:r w:rsidRPr="00AA1346">
        <w:rPr>
          <w:rFonts w:ascii="Times New Roman" w:eastAsia="Times New Roman" w:hAnsi="Times New Roman" w:cs="Times New Roman"/>
          <w:i/>
        </w:rPr>
        <w:t>50</w:t>
      </w:r>
      <w:r w:rsidR="00AE1BA0" w:rsidRPr="00AA1346">
        <w:rPr>
          <w:rFonts w:ascii="Times New Roman" w:eastAsia="Times New Roman" w:hAnsi="Times New Roman" w:cs="Times New Roman"/>
          <w:i/>
        </w:rPr>
        <w:t> </w:t>
      </w:r>
      <w:r w:rsidRPr="00AA1346">
        <w:rPr>
          <w:rFonts w:ascii="Times New Roman" w:eastAsia="Times New Roman" w:hAnsi="Times New Roman" w:cs="Times New Roman"/>
          <w:i/>
        </w:rPr>
        <w:t>kg-nál kisebb testtömegű (12</w:t>
      </w:r>
      <w:r w:rsidR="00AE1BA0" w:rsidRPr="00AA1346">
        <w:rPr>
          <w:rFonts w:ascii="Times New Roman" w:eastAsia="Times New Roman" w:hAnsi="Times New Roman" w:cs="Times New Roman"/>
          <w:i/>
        </w:rPr>
        <w:t> </w:t>
      </w:r>
      <w:r w:rsidRPr="00AA1346">
        <w:rPr>
          <w:rFonts w:ascii="Times New Roman" w:eastAsia="Times New Roman" w:hAnsi="Times New Roman" w:cs="Times New Roman"/>
          <w:i/>
        </w:rPr>
        <w:t>és betöltött 18.</w:t>
      </w:r>
      <w:r w:rsidR="00AE1BA0" w:rsidRPr="00AA1346">
        <w:rPr>
          <w:rFonts w:ascii="Times New Roman" w:eastAsia="Times New Roman" w:hAnsi="Times New Roman" w:cs="Times New Roman"/>
          <w:i/>
        </w:rPr>
        <w:t> </w:t>
      </w:r>
      <w:r w:rsidR="00121244">
        <w:rPr>
          <w:rFonts w:ascii="Times New Roman" w:eastAsia="Times New Roman" w:hAnsi="Times New Roman" w:cs="Times New Roman"/>
          <w:i/>
        </w:rPr>
        <w:t>élet</w:t>
      </w:r>
      <w:r w:rsidRPr="00AA1346">
        <w:rPr>
          <w:rFonts w:ascii="Times New Roman" w:eastAsia="Times New Roman" w:hAnsi="Times New Roman" w:cs="Times New Roman"/>
          <w:i/>
        </w:rPr>
        <w:t>év közötti korú) gyermekek és serdülők, valamint 4</w:t>
      </w:r>
      <w:r w:rsidR="00AE1BA0" w:rsidRPr="00AA1346">
        <w:rPr>
          <w:rFonts w:ascii="Times New Roman" w:eastAsia="Times New Roman" w:hAnsi="Times New Roman" w:cs="Times New Roman"/>
          <w:i/>
        </w:rPr>
        <w:t> </w:t>
      </w:r>
      <w:r w:rsidRPr="00AA1346">
        <w:rPr>
          <w:rFonts w:ascii="Times New Roman" w:eastAsia="Times New Roman" w:hAnsi="Times New Roman" w:cs="Times New Roman"/>
          <w:i/>
        </w:rPr>
        <w:t>évesnél idősebb gyermekek</w:t>
      </w:r>
      <w:r w:rsidR="00121244">
        <w:rPr>
          <w:rFonts w:ascii="Times New Roman" w:eastAsia="Times New Roman" w:hAnsi="Times New Roman" w:cs="Times New Roman"/>
          <w:i/>
        </w:rPr>
        <w:t xml:space="preserve"> számára</w:t>
      </w:r>
    </w:p>
    <w:p w14:paraId="0E53E9E5" w14:textId="77777777"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p>
    <w:p w14:paraId="4440BD26" w14:textId="0FE74F4B"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Az orvosnak a testtömeg, az életkor és a dózis szerint a legmegfelelőbb gyógyszerformát, kiszerelést és hatáserősséget kell felírnia. A dózis testtömegen alapuló módosításával kapcsolatban olvassa el a </w:t>
      </w:r>
      <w:r w:rsidRPr="00AA1346">
        <w:rPr>
          <w:rFonts w:ascii="Times New Roman" w:eastAsia="Times New Roman" w:hAnsi="Times New Roman" w:cs="Times New Roman"/>
          <w:i/>
        </w:rPr>
        <w:t>Gyermekek és serdülők</w:t>
      </w:r>
      <w:r w:rsidRPr="00AA1346">
        <w:rPr>
          <w:rFonts w:ascii="Times New Roman" w:eastAsia="Times New Roman" w:hAnsi="Times New Roman" w:cs="Times New Roman"/>
          <w:iCs/>
        </w:rPr>
        <w:t xml:space="preserve"> pontot.</w:t>
      </w:r>
    </w:p>
    <w:p w14:paraId="02A5352C" w14:textId="77777777"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p>
    <w:p w14:paraId="16F58EB6" w14:textId="77777777" w:rsidR="00CF2B3B" w:rsidRPr="00AA1346" w:rsidRDefault="00CF2B3B" w:rsidP="004401DF">
      <w:pPr>
        <w:tabs>
          <w:tab w:val="left" w:pos="480"/>
        </w:tabs>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A kezelés időtartama</w:t>
      </w:r>
    </w:p>
    <w:p w14:paraId="657098A9" w14:textId="0A5FF6EE"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Intravénás levetiracetám alkalmazásával kapcsolatban nincsenek 4</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napnál hosszabb időszakra vonatkozó tapasztalatok.</w:t>
      </w:r>
    </w:p>
    <w:p w14:paraId="2B9D733F" w14:textId="77777777" w:rsidR="00CF2B3B" w:rsidRPr="00AA1346" w:rsidRDefault="00CF2B3B" w:rsidP="004401DF">
      <w:pPr>
        <w:tabs>
          <w:tab w:val="left" w:pos="480"/>
        </w:tabs>
        <w:suppressAutoHyphens/>
        <w:spacing w:after="0" w:line="240" w:lineRule="auto"/>
        <w:rPr>
          <w:rFonts w:ascii="Times New Roman" w:eastAsia="Times New Roman" w:hAnsi="Times New Roman" w:cs="Times New Roman"/>
          <w:iCs/>
        </w:rPr>
      </w:pPr>
    </w:p>
    <w:p w14:paraId="525B0849" w14:textId="77777777" w:rsidR="00CF2B3B" w:rsidRPr="00AA1346" w:rsidRDefault="00CF2B3B" w:rsidP="004401DF">
      <w:pPr>
        <w:tabs>
          <w:tab w:val="left" w:pos="480"/>
        </w:tabs>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A kezelés leállítása</w:t>
      </w:r>
    </w:p>
    <w:p w14:paraId="0476E84C" w14:textId="578FDE32" w:rsidR="00394394" w:rsidRPr="00AA1346" w:rsidRDefault="00CF2B3B" w:rsidP="004401DF">
      <w:pPr>
        <w:tabs>
          <w:tab w:val="left" w:pos="480"/>
        </w:tabs>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Amennyiben a levetiracetám alkalmazását </w:t>
      </w:r>
      <w:r w:rsidR="00991B94">
        <w:rPr>
          <w:rFonts w:ascii="Times New Roman" w:eastAsia="Times New Roman" w:hAnsi="Times New Roman" w:cs="Times New Roman"/>
          <w:iCs/>
        </w:rPr>
        <w:t>meg kell szakítani</w:t>
      </w:r>
      <w:r w:rsidRPr="00AA1346">
        <w:rPr>
          <w:rFonts w:ascii="Times New Roman" w:eastAsia="Times New Roman" w:hAnsi="Times New Roman" w:cs="Times New Roman"/>
          <w:iCs/>
        </w:rPr>
        <w:t>, ajánl</w:t>
      </w:r>
      <w:r w:rsidR="00DD36F8">
        <w:rPr>
          <w:rFonts w:ascii="Times New Roman" w:eastAsia="Times New Roman" w:hAnsi="Times New Roman" w:cs="Times New Roman"/>
          <w:iCs/>
        </w:rPr>
        <w:t>ott</w:t>
      </w:r>
      <w:r w:rsidRPr="00AA1346">
        <w:rPr>
          <w:rFonts w:ascii="Times New Roman" w:eastAsia="Times New Roman" w:hAnsi="Times New Roman" w:cs="Times New Roman"/>
          <w:iCs/>
        </w:rPr>
        <w:t xml:space="preserve"> a gyógyszer adását fokozatosan abbahagyni (például felnőtteknél és 50</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kg</w:t>
      </w:r>
      <w:r w:rsidR="00DD36F8">
        <w:rPr>
          <w:rFonts w:ascii="Times New Roman" w:eastAsia="Times New Roman" w:hAnsi="Times New Roman" w:cs="Times New Roman"/>
          <w:iCs/>
        </w:rPr>
        <w:t>-nál nagyobb</w:t>
      </w:r>
      <w:r w:rsidRPr="00AA1346">
        <w:rPr>
          <w:rFonts w:ascii="Times New Roman" w:eastAsia="Times New Roman" w:hAnsi="Times New Roman" w:cs="Times New Roman"/>
          <w:iCs/>
        </w:rPr>
        <w:t xml:space="preserve"> testtömegű serdülőknél: 2</w:t>
      </w:r>
      <w:r w:rsidR="00DD36F8">
        <w:rPr>
          <w:rFonts w:ascii="Times New Roman" w:eastAsia="Times New Roman" w:hAnsi="Times New Roman" w:cs="Times New Roman"/>
          <w:iCs/>
        </w:rPr>
        <w:t>–</w:t>
      </w:r>
      <w:r w:rsidRPr="00AA1346">
        <w:rPr>
          <w:rFonts w:ascii="Times New Roman" w:eastAsia="Times New Roman" w:hAnsi="Times New Roman" w:cs="Times New Roman"/>
          <w:iCs/>
        </w:rPr>
        <w:t>4</w:t>
      </w:r>
      <w:r w:rsidR="00DD36F8">
        <w:rPr>
          <w:rFonts w:ascii="Times New Roman" w:eastAsia="Times New Roman" w:hAnsi="Times New Roman" w:cs="Times New Roman"/>
          <w:iCs/>
        </w:rPr>
        <w:t> </w:t>
      </w:r>
      <w:r w:rsidRPr="00AA1346">
        <w:rPr>
          <w:rFonts w:ascii="Times New Roman" w:eastAsia="Times New Roman" w:hAnsi="Times New Roman" w:cs="Times New Roman"/>
          <w:iCs/>
        </w:rPr>
        <w:t>hetente napi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500</w:t>
      </w:r>
      <w:r w:rsidR="00DD36F8">
        <w:rPr>
          <w:rFonts w:ascii="Times New Roman" w:eastAsia="Times New Roman" w:hAnsi="Times New Roman" w:cs="Times New Roman"/>
          <w:iCs/>
        </w:rPr>
        <w:t> </w:t>
      </w:r>
      <w:r w:rsidRPr="00AA1346">
        <w:rPr>
          <w:rFonts w:ascii="Times New Roman" w:eastAsia="Times New Roman" w:hAnsi="Times New Roman" w:cs="Times New Roman"/>
          <w:iCs/>
        </w:rPr>
        <w:t>mg-os dóziscsökkentéssel; 50</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 xml:space="preserve">kg-nál </w:t>
      </w:r>
      <w:r w:rsidR="00DD36F8">
        <w:rPr>
          <w:rFonts w:ascii="Times New Roman" w:eastAsia="Times New Roman" w:hAnsi="Times New Roman" w:cs="Times New Roman"/>
          <w:iCs/>
        </w:rPr>
        <w:t>kisebb</w:t>
      </w:r>
      <w:r w:rsidR="00DD36F8" w:rsidRPr="00AA1346">
        <w:rPr>
          <w:rFonts w:ascii="Times New Roman" w:eastAsia="Times New Roman" w:hAnsi="Times New Roman" w:cs="Times New Roman"/>
          <w:iCs/>
        </w:rPr>
        <w:t xml:space="preserve"> </w:t>
      </w:r>
      <w:r w:rsidRPr="00AA1346">
        <w:rPr>
          <w:rFonts w:ascii="Times New Roman" w:eastAsia="Times New Roman" w:hAnsi="Times New Roman" w:cs="Times New Roman"/>
          <w:iCs/>
        </w:rPr>
        <w:t>testtömegű gyermekeknél és serdülőknél: a dózis csökkentése nem lépheti túl a napi 2</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w:t>
      </w:r>
      <w:r w:rsidR="00AE1BA0" w:rsidRPr="00AA1346">
        <w:rPr>
          <w:rFonts w:ascii="Times New Roman" w:eastAsia="Times New Roman" w:hAnsi="Times New Roman" w:cs="Times New Roman"/>
          <w:iCs/>
        </w:rPr>
        <w:t> </w:t>
      </w:r>
      <w:r w:rsidRPr="00AA1346">
        <w:rPr>
          <w:rFonts w:ascii="Times New Roman" w:eastAsia="Times New Roman" w:hAnsi="Times New Roman" w:cs="Times New Roman"/>
          <w:iCs/>
        </w:rPr>
        <w:t>10</w:t>
      </w:r>
      <w:r w:rsidR="00DD36F8">
        <w:rPr>
          <w:rFonts w:ascii="Times New Roman" w:eastAsia="Times New Roman" w:hAnsi="Times New Roman" w:cs="Times New Roman"/>
          <w:iCs/>
        </w:rPr>
        <w:t> </w:t>
      </w:r>
      <w:r w:rsidRPr="00AA1346">
        <w:rPr>
          <w:rFonts w:ascii="Times New Roman" w:eastAsia="Times New Roman" w:hAnsi="Times New Roman" w:cs="Times New Roman"/>
          <w:iCs/>
        </w:rPr>
        <w:t>mg/ttkg-ot kéthetente).</w:t>
      </w:r>
    </w:p>
    <w:p w14:paraId="57ECEF3B" w14:textId="77777777" w:rsidR="004739A8" w:rsidRPr="00AA1346" w:rsidRDefault="004739A8" w:rsidP="004401DF">
      <w:pPr>
        <w:tabs>
          <w:tab w:val="left" w:pos="480"/>
        </w:tabs>
        <w:suppressAutoHyphens/>
        <w:spacing w:after="0" w:line="240" w:lineRule="auto"/>
        <w:rPr>
          <w:rFonts w:ascii="Times New Roman" w:eastAsia="Times New Roman" w:hAnsi="Times New Roman" w:cs="Times New Roman"/>
          <w:iCs/>
        </w:rPr>
      </w:pPr>
    </w:p>
    <w:p w14:paraId="29C514E1" w14:textId="77777777" w:rsidR="004739A8" w:rsidRPr="00AA1346" w:rsidRDefault="004739A8"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Különleges betegcsoportok</w:t>
      </w:r>
    </w:p>
    <w:p w14:paraId="08BEBF41" w14:textId="77777777" w:rsidR="004739A8" w:rsidRPr="00AA1346" w:rsidRDefault="004739A8" w:rsidP="004401DF">
      <w:pPr>
        <w:suppressAutoHyphens/>
        <w:spacing w:after="0" w:line="240" w:lineRule="auto"/>
        <w:rPr>
          <w:rFonts w:ascii="Times New Roman" w:eastAsia="Times New Roman" w:hAnsi="Times New Roman" w:cs="Times New Roman"/>
        </w:rPr>
      </w:pPr>
    </w:p>
    <w:p w14:paraId="18BBC6FB" w14:textId="2012AB52" w:rsidR="004739A8" w:rsidRPr="00AA1346" w:rsidRDefault="004739A8" w:rsidP="004401DF">
      <w:pPr>
        <w:suppressAutoHyphens/>
        <w:spacing w:after="0" w:line="240" w:lineRule="auto"/>
        <w:rPr>
          <w:rFonts w:ascii="Times New Roman" w:eastAsia="Times New Roman" w:hAnsi="Times New Roman" w:cs="Times New Roman"/>
          <w:i/>
          <w:iCs/>
        </w:rPr>
      </w:pPr>
      <w:r w:rsidRPr="00AA1346">
        <w:rPr>
          <w:rFonts w:ascii="Times New Roman" w:eastAsia="Times New Roman" w:hAnsi="Times New Roman" w:cs="Times New Roman"/>
          <w:i/>
          <w:iCs/>
        </w:rPr>
        <w:t>Idősek (</w:t>
      </w:r>
      <w:r w:rsidRPr="00AA1346">
        <w:rPr>
          <w:rFonts w:ascii="Times New Roman" w:hAnsi="Times New Roman" w:cs="Times New Roman"/>
          <w:i/>
          <w:iCs/>
        </w:rPr>
        <w:t>65</w:t>
      </w:r>
      <w:r w:rsidR="00AE1BA0" w:rsidRPr="00AA1346">
        <w:rPr>
          <w:rFonts w:ascii="Times New Roman" w:hAnsi="Times New Roman" w:cs="Times New Roman"/>
          <w:i/>
          <w:iCs/>
        </w:rPr>
        <w:t> </w:t>
      </w:r>
      <w:r w:rsidRPr="00AA1346">
        <w:rPr>
          <w:rFonts w:ascii="Times New Roman" w:hAnsi="Times New Roman" w:cs="Times New Roman"/>
          <w:i/>
          <w:iCs/>
        </w:rPr>
        <w:t>éves</w:t>
      </w:r>
      <w:r w:rsidRPr="00AA1346">
        <w:rPr>
          <w:rFonts w:ascii="Times New Roman" w:eastAsia="Times New Roman" w:hAnsi="Times New Roman" w:cs="Times New Roman"/>
          <w:i/>
          <w:iCs/>
        </w:rPr>
        <w:t xml:space="preserve"> és</w:t>
      </w:r>
      <w:r w:rsidR="00DD36F8">
        <w:rPr>
          <w:rFonts w:ascii="Times New Roman" w:eastAsia="Times New Roman" w:hAnsi="Times New Roman" w:cs="Times New Roman"/>
          <w:i/>
          <w:iCs/>
        </w:rPr>
        <w:t xml:space="preserve"> </w:t>
      </w:r>
      <w:r w:rsidRPr="00AA1346">
        <w:rPr>
          <w:rFonts w:ascii="Times New Roman" w:eastAsia="Times New Roman" w:hAnsi="Times New Roman" w:cs="Times New Roman"/>
          <w:i/>
          <w:iCs/>
        </w:rPr>
        <w:t>időseb</w:t>
      </w:r>
      <w:r w:rsidR="00991B94">
        <w:rPr>
          <w:rFonts w:ascii="Times New Roman" w:eastAsia="Times New Roman" w:hAnsi="Times New Roman" w:cs="Times New Roman"/>
          <w:i/>
          <w:iCs/>
        </w:rPr>
        <w:t>b kor</w:t>
      </w:r>
      <w:r w:rsidRPr="00AA1346">
        <w:rPr>
          <w:rFonts w:ascii="Times New Roman" w:eastAsia="Times New Roman" w:hAnsi="Times New Roman" w:cs="Times New Roman"/>
          <w:i/>
          <w:iCs/>
        </w:rPr>
        <w:t>)</w:t>
      </w:r>
    </w:p>
    <w:p w14:paraId="76CD3EA8" w14:textId="77777777" w:rsidR="004739A8" w:rsidRPr="00AA1346" w:rsidRDefault="004739A8" w:rsidP="004401DF">
      <w:pPr>
        <w:suppressAutoHyphens/>
        <w:spacing w:after="0" w:line="240" w:lineRule="auto"/>
        <w:rPr>
          <w:rFonts w:ascii="Times New Roman" w:eastAsia="Times New Roman" w:hAnsi="Times New Roman" w:cs="Times New Roman"/>
        </w:rPr>
      </w:pPr>
    </w:p>
    <w:p w14:paraId="3AE9AB11" w14:textId="55DF9DFC" w:rsidR="004739A8" w:rsidRPr="00AA1346" w:rsidRDefault="004739A8"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Csak a vesekárosodásban szenvedő idős betegek kezelése során szükséges a terápia módosítása (lásd alább, a </w:t>
      </w:r>
      <w:r w:rsidR="00350F71">
        <w:rPr>
          <w:rFonts w:ascii="Times New Roman" w:eastAsia="Times New Roman" w:hAnsi="Times New Roman" w:cs="Times New Roman"/>
        </w:rPr>
        <w:t>„</w:t>
      </w:r>
      <w:r w:rsidRPr="00AA1346">
        <w:rPr>
          <w:rFonts w:ascii="Times New Roman" w:eastAsia="Times New Roman" w:hAnsi="Times New Roman" w:cs="Times New Roman"/>
          <w:i/>
          <w:iCs/>
        </w:rPr>
        <w:t>Vesekárosodás</w:t>
      </w:r>
      <w:r w:rsidR="00350F71">
        <w:rPr>
          <w:rFonts w:ascii="Times New Roman" w:eastAsia="Times New Roman" w:hAnsi="Times New Roman" w:cs="Times New Roman"/>
          <w:i/>
          <w:iCs/>
        </w:rPr>
        <w:t>”</w:t>
      </w:r>
      <w:r w:rsidRPr="00AA1346">
        <w:rPr>
          <w:rFonts w:ascii="Times New Roman" w:eastAsia="Times New Roman" w:hAnsi="Times New Roman" w:cs="Times New Roman"/>
        </w:rPr>
        <w:t xml:space="preserve"> című bekezdést).</w:t>
      </w:r>
    </w:p>
    <w:p w14:paraId="315484B7" w14:textId="77777777" w:rsidR="004739A8" w:rsidRPr="00AA1346" w:rsidRDefault="004739A8" w:rsidP="004401DF">
      <w:pPr>
        <w:suppressAutoHyphens/>
        <w:spacing w:after="0" w:line="240" w:lineRule="auto"/>
        <w:rPr>
          <w:rFonts w:ascii="Times New Roman" w:eastAsia="Times New Roman" w:hAnsi="Times New Roman" w:cs="Times New Roman"/>
        </w:rPr>
      </w:pPr>
    </w:p>
    <w:p w14:paraId="12743CA5" w14:textId="77777777" w:rsidR="004739A8" w:rsidRPr="00AA1346" w:rsidRDefault="004739A8" w:rsidP="004401DF">
      <w:pPr>
        <w:suppressAutoHyphens/>
        <w:spacing w:after="0" w:line="240" w:lineRule="auto"/>
        <w:rPr>
          <w:rFonts w:ascii="Times New Roman" w:eastAsia="Times New Roman" w:hAnsi="Times New Roman" w:cs="Times New Roman"/>
          <w:i/>
          <w:iCs/>
        </w:rPr>
      </w:pPr>
      <w:r w:rsidRPr="00AA1346">
        <w:rPr>
          <w:rFonts w:ascii="Times New Roman" w:eastAsia="Times New Roman" w:hAnsi="Times New Roman" w:cs="Times New Roman"/>
          <w:i/>
          <w:iCs/>
        </w:rPr>
        <w:t>Vesekárosodás</w:t>
      </w:r>
    </w:p>
    <w:p w14:paraId="10474974" w14:textId="77777777" w:rsidR="004739A8" w:rsidRPr="00AA1346" w:rsidRDefault="004739A8" w:rsidP="004401DF">
      <w:pPr>
        <w:suppressAutoHyphens/>
        <w:spacing w:after="0" w:line="240" w:lineRule="auto"/>
        <w:rPr>
          <w:rFonts w:ascii="Times New Roman" w:eastAsia="Times New Roman" w:hAnsi="Times New Roman" w:cs="Times New Roman"/>
        </w:rPr>
      </w:pPr>
    </w:p>
    <w:p w14:paraId="19D9B3DF" w14:textId="50428D91" w:rsidR="004739A8" w:rsidRPr="00AA1346" w:rsidRDefault="004739A8"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A napi dózist </w:t>
      </w:r>
      <w:r w:rsidR="00DD36F8" w:rsidRPr="00AA1346">
        <w:rPr>
          <w:rFonts w:ascii="Times New Roman" w:eastAsia="Times New Roman" w:hAnsi="Times New Roman" w:cs="Times New Roman"/>
        </w:rPr>
        <w:t>a vesefunkció alapján</w:t>
      </w:r>
      <w:r w:rsidR="00DD36F8">
        <w:rPr>
          <w:rFonts w:ascii="Times New Roman" w:eastAsia="Times New Roman" w:hAnsi="Times New Roman" w:cs="Times New Roman"/>
        </w:rPr>
        <w:t>,</w:t>
      </w:r>
      <w:r w:rsidR="00DD36F8" w:rsidRPr="00AA1346">
        <w:rPr>
          <w:rFonts w:ascii="Times New Roman" w:eastAsia="Times New Roman" w:hAnsi="Times New Roman" w:cs="Times New Roman"/>
        </w:rPr>
        <w:t xml:space="preserve"> </w:t>
      </w:r>
      <w:r w:rsidRPr="00AA1346">
        <w:rPr>
          <w:rFonts w:ascii="Times New Roman" w:eastAsia="Times New Roman" w:hAnsi="Times New Roman" w:cs="Times New Roman"/>
        </w:rPr>
        <w:t>egyénenként kell megállapítani.</w:t>
      </w:r>
    </w:p>
    <w:p w14:paraId="4FD6257D" w14:textId="77777777" w:rsidR="004739A8" w:rsidRPr="00AA1346" w:rsidRDefault="004739A8" w:rsidP="004401DF">
      <w:pPr>
        <w:suppressAutoHyphens/>
        <w:spacing w:after="0" w:line="240" w:lineRule="auto"/>
        <w:rPr>
          <w:rFonts w:ascii="Times New Roman" w:eastAsia="Times New Roman" w:hAnsi="Times New Roman" w:cs="Times New Roman"/>
        </w:rPr>
      </w:pPr>
    </w:p>
    <w:p w14:paraId="4B00146B" w14:textId="243DE4BF" w:rsidR="00394394" w:rsidRPr="00AA1346" w:rsidRDefault="004739A8"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Felnőttek esetében a dózist az alábbi táblázatnak megfelelően kell beállítani. A dózistáblázat használatához szükség van a kreatinin-clearance (CL</w:t>
      </w:r>
      <w:r w:rsidRPr="00AA1346">
        <w:rPr>
          <w:rFonts w:ascii="Times New Roman" w:eastAsia="Times New Roman" w:hAnsi="Times New Roman" w:cs="Times New Roman"/>
          <w:vertAlign w:val="subscript"/>
        </w:rPr>
        <w:t>cr</w:t>
      </w:r>
      <w:r w:rsidRPr="00AA1346">
        <w:rPr>
          <w:rFonts w:ascii="Times New Roman" w:eastAsia="Times New Roman" w:hAnsi="Times New Roman" w:cs="Times New Roman"/>
        </w:rPr>
        <w:t>) becsült értékének ismeretére, ml/perc egységben kifejezve. A CL</w:t>
      </w:r>
      <w:r w:rsidRPr="00AA1346">
        <w:rPr>
          <w:rFonts w:ascii="Times New Roman" w:eastAsia="Times New Roman" w:hAnsi="Times New Roman" w:cs="Times New Roman"/>
          <w:vertAlign w:val="subscript"/>
        </w:rPr>
        <w:t>cr</w:t>
      </w:r>
      <w:r w:rsidRPr="00AA1346">
        <w:rPr>
          <w:rFonts w:ascii="Times New Roman" w:eastAsia="Times New Roman" w:hAnsi="Times New Roman" w:cs="Times New Roman"/>
        </w:rPr>
        <w:t xml:space="preserve"> (ml/perc) becslése felnőttek és 50</w:t>
      </w:r>
      <w:r w:rsidR="00DD36F8">
        <w:rPr>
          <w:rFonts w:ascii="Times New Roman" w:eastAsia="Times New Roman" w:hAnsi="Times New Roman" w:cs="Times New Roman"/>
        </w:rPr>
        <w:t> </w:t>
      </w:r>
      <w:r w:rsidRPr="00AA1346">
        <w:rPr>
          <w:rFonts w:ascii="Times New Roman" w:eastAsia="Times New Roman" w:hAnsi="Times New Roman" w:cs="Times New Roman"/>
        </w:rPr>
        <w:t>kg vagy ezt meghaladó testtömegű serdülők számára a következő képlet segítségével történik a szérum-kreatininszint (mg/dl) mért értéke alapján:</w:t>
      </w:r>
    </w:p>
    <w:p w14:paraId="74AC9F0A" w14:textId="77777777" w:rsidR="004739A8" w:rsidRPr="00AA1346" w:rsidRDefault="004739A8" w:rsidP="004401DF">
      <w:pPr>
        <w:suppressAutoHyphens/>
        <w:spacing w:after="0" w:line="240" w:lineRule="auto"/>
        <w:rPr>
          <w:rFonts w:ascii="Times New Roman" w:eastAsia="Times New Roman" w:hAnsi="Times New Roman" w:cs="Times New Roman"/>
        </w:rPr>
      </w:pPr>
    </w:p>
    <w:p w14:paraId="288C349D" w14:textId="07432928" w:rsidR="00777D12" w:rsidRPr="00AA1346" w:rsidRDefault="00777D12" w:rsidP="004401DF">
      <w:pPr>
        <w:spacing w:after="0" w:line="240" w:lineRule="auto"/>
        <w:ind w:left="1843"/>
        <w:rPr>
          <w:rFonts w:ascii="Times New Roman" w:eastAsia="Times New Roman" w:hAnsi="Times New Roman" w:cs="Times New Roman"/>
          <w:color w:val="000000"/>
        </w:rPr>
      </w:pPr>
      <w:r w:rsidRPr="00AA1346">
        <w:rPr>
          <w:rFonts w:ascii="Times New Roman" w:eastAsia="Times New Roman" w:hAnsi="Times New Roman" w:cs="Times New Roman"/>
          <w:color w:val="000000"/>
        </w:rPr>
        <w:t>[140</w:t>
      </w:r>
      <w:r w:rsidR="00923A02">
        <w:rPr>
          <w:rFonts w:ascii="Times New Roman" w:eastAsia="Times New Roman" w:hAnsi="Times New Roman" w:cs="Times New Roman"/>
          <w:color w:val="000000"/>
        </w:rPr>
        <w:t>–</w:t>
      </w:r>
      <w:r w:rsidRPr="00AA1346">
        <w:rPr>
          <w:rFonts w:ascii="Times New Roman" w:eastAsia="Times New Roman" w:hAnsi="Times New Roman" w:cs="Times New Roman"/>
          <w:color w:val="000000"/>
        </w:rPr>
        <w:t>életkor(é</w:t>
      </w:r>
      <w:r w:rsidR="00CE78C2">
        <w:rPr>
          <w:rFonts w:ascii="Times New Roman" w:eastAsia="Times New Roman" w:hAnsi="Times New Roman" w:cs="Times New Roman"/>
          <w:color w:val="000000"/>
        </w:rPr>
        <w:t>v</w:t>
      </w:r>
      <w:r w:rsidRPr="00AA1346">
        <w:rPr>
          <w:rFonts w:ascii="Times New Roman" w:eastAsia="Times New Roman" w:hAnsi="Times New Roman" w:cs="Times New Roman"/>
          <w:color w:val="000000"/>
        </w:rPr>
        <w:t>)] </w:t>
      </w:r>
      <w:r w:rsidR="00923A02">
        <w:rPr>
          <w:rFonts w:ascii="Times New Roman" w:eastAsia="Times New Roman" w:hAnsi="Times New Roman" w:cs="Times New Roman"/>
          <w:color w:val="000000"/>
        </w:rPr>
        <w:t>×</w:t>
      </w:r>
      <w:r w:rsidRPr="00AA1346">
        <w:rPr>
          <w:rFonts w:ascii="Times New Roman" w:eastAsia="Times New Roman" w:hAnsi="Times New Roman" w:cs="Times New Roman"/>
          <w:color w:val="000000"/>
        </w:rPr>
        <w:t> </w:t>
      </w:r>
      <w:r w:rsidR="00C201D5" w:rsidRPr="00AA1346">
        <w:rPr>
          <w:rFonts w:ascii="Times New Roman" w:eastAsia="Times New Roman" w:hAnsi="Times New Roman" w:cs="Times New Roman"/>
          <w:color w:val="000000"/>
        </w:rPr>
        <w:t xml:space="preserve">testtömeg </w:t>
      </w:r>
      <w:r w:rsidRPr="00AA1346">
        <w:rPr>
          <w:rFonts w:ascii="Times New Roman" w:eastAsia="Times New Roman" w:hAnsi="Times New Roman" w:cs="Times New Roman"/>
          <w:color w:val="000000"/>
        </w:rPr>
        <w:t>(kg)</w:t>
      </w:r>
    </w:p>
    <w:p w14:paraId="25CB32E5" w14:textId="66267E1C" w:rsidR="00777D12" w:rsidRPr="00AA1346" w:rsidRDefault="00777D12"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CL</w:t>
      </w:r>
      <w:r w:rsidRPr="00AA1346">
        <w:rPr>
          <w:rFonts w:ascii="Times New Roman" w:eastAsia="Times New Roman" w:hAnsi="Times New Roman" w:cs="Times New Roman"/>
          <w:color w:val="000000"/>
          <w:vertAlign w:val="subscript"/>
        </w:rPr>
        <w:t>cr</w:t>
      </w:r>
      <w:r w:rsidRPr="00AA1346">
        <w:rPr>
          <w:rFonts w:ascii="Times New Roman" w:eastAsia="Times New Roman" w:hAnsi="Times New Roman" w:cs="Times New Roman"/>
          <w:color w:val="000000"/>
        </w:rPr>
        <w:t xml:space="preserve"> (ml/perc) = -</w:t>
      </w:r>
      <w:r w:rsidR="002720A6" w:rsidRPr="00AA1346">
        <w:rPr>
          <w:rFonts w:ascii="Times New Roman" w:eastAsia="Times New Roman" w:hAnsi="Times New Roman" w:cs="Times New Roman"/>
          <w:color w:val="000000"/>
        </w:rPr>
        <w:t>-</w:t>
      </w:r>
      <w:r w:rsidR="00C201D5" w:rsidRPr="00AA1346">
        <w:rPr>
          <w:rFonts w:ascii="Times New Roman" w:eastAsia="Times New Roman" w:hAnsi="Times New Roman" w:cs="Times New Roman"/>
          <w:color w:val="000000"/>
        </w:rPr>
        <w:t>-</w:t>
      </w:r>
      <w:r w:rsidR="002720A6" w:rsidRPr="00AA1346">
        <w:rPr>
          <w:rFonts w:ascii="Times New Roman" w:eastAsia="Times New Roman" w:hAnsi="Times New Roman" w:cs="Times New Roman"/>
          <w:color w:val="000000"/>
        </w:rPr>
        <w:t>-</w:t>
      </w:r>
      <w:r w:rsidR="00C201D5"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w:t>
      </w:r>
      <w:r w:rsidR="00C201D5"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 (</w:t>
      </w:r>
      <w:r w:rsidR="00923A02">
        <w:rPr>
          <w:rFonts w:ascii="Times New Roman" w:eastAsia="Times New Roman" w:hAnsi="Times New Roman" w:cs="Times New Roman"/>
          <w:color w:val="000000"/>
        </w:rPr>
        <w:t>×</w:t>
      </w:r>
      <w:r w:rsidRPr="00AA1346">
        <w:rPr>
          <w:rFonts w:ascii="Times New Roman" w:eastAsia="Times New Roman" w:hAnsi="Times New Roman" w:cs="Times New Roman"/>
          <w:color w:val="000000"/>
        </w:rPr>
        <w:t> 0</w:t>
      </w:r>
      <w:r w:rsidR="00C201D5"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85</w:t>
      </w:r>
      <w:r w:rsidR="00AE1BA0" w:rsidRPr="00AA1346">
        <w:rPr>
          <w:rFonts w:ascii="Times New Roman" w:eastAsia="Times New Roman" w:hAnsi="Times New Roman" w:cs="Times New Roman"/>
          <w:color w:val="000000"/>
        </w:rPr>
        <w:t> </w:t>
      </w:r>
      <w:r w:rsidR="00C201D5" w:rsidRPr="00AA1346">
        <w:rPr>
          <w:rFonts w:ascii="Times New Roman" w:eastAsia="Times New Roman" w:hAnsi="Times New Roman" w:cs="Times New Roman"/>
          <w:color w:val="000000"/>
        </w:rPr>
        <w:t>nőknél</w:t>
      </w:r>
      <w:r w:rsidRPr="00AA1346">
        <w:rPr>
          <w:rFonts w:ascii="Times New Roman" w:eastAsia="Times New Roman" w:hAnsi="Times New Roman" w:cs="Times New Roman"/>
          <w:color w:val="000000"/>
        </w:rPr>
        <w:t>)</w:t>
      </w:r>
    </w:p>
    <w:p w14:paraId="7F6C3615" w14:textId="6DC0DFB8" w:rsidR="00777D12" w:rsidRPr="00AA1346" w:rsidRDefault="00777D12" w:rsidP="004401DF">
      <w:pPr>
        <w:spacing w:after="0" w:line="240" w:lineRule="auto"/>
        <w:ind w:left="1985"/>
        <w:rPr>
          <w:rFonts w:ascii="Times New Roman" w:eastAsia="Times New Roman" w:hAnsi="Times New Roman" w:cs="Times New Roman"/>
          <w:color w:val="000000"/>
        </w:rPr>
      </w:pPr>
      <w:r w:rsidRPr="00AA1346">
        <w:rPr>
          <w:rFonts w:ascii="Times New Roman" w:eastAsia="Times New Roman" w:hAnsi="Times New Roman" w:cs="Times New Roman"/>
          <w:color w:val="000000"/>
        </w:rPr>
        <w:t>72 </w:t>
      </w:r>
      <w:r w:rsidR="00923A02">
        <w:rPr>
          <w:rFonts w:ascii="Times New Roman" w:eastAsia="Times New Roman" w:hAnsi="Times New Roman" w:cs="Times New Roman"/>
          <w:color w:val="000000"/>
        </w:rPr>
        <w:t>×</w:t>
      </w:r>
      <w:r w:rsidRPr="00AA1346">
        <w:rPr>
          <w:rFonts w:ascii="Times New Roman" w:eastAsia="Times New Roman" w:hAnsi="Times New Roman" w:cs="Times New Roman"/>
          <w:color w:val="000000"/>
        </w:rPr>
        <w:t> </w:t>
      </w:r>
      <w:r w:rsidR="00C201D5" w:rsidRPr="00AA1346">
        <w:rPr>
          <w:rFonts w:ascii="Times New Roman" w:eastAsia="Times New Roman" w:hAnsi="Times New Roman" w:cs="Times New Roman"/>
          <w:color w:val="000000"/>
        </w:rPr>
        <w:t>szérum-kreatininszint</w:t>
      </w:r>
      <w:r w:rsidRPr="00AA1346">
        <w:rPr>
          <w:rFonts w:ascii="Times New Roman" w:eastAsia="Times New Roman" w:hAnsi="Times New Roman" w:cs="Times New Roman"/>
          <w:color w:val="000000"/>
        </w:rPr>
        <w:t xml:space="preserve"> (mg/dl)</w:t>
      </w:r>
    </w:p>
    <w:p w14:paraId="7563BAFD" w14:textId="77777777" w:rsidR="00777D12" w:rsidRPr="00AA1346" w:rsidRDefault="00777D12" w:rsidP="004401DF">
      <w:pPr>
        <w:spacing w:after="0" w:line="240" w:lineRule="auto"/>
        <w:rPr>
          <w:rFonts w:ascii="Times New Roman" w:eastAsia="Times New Roman" w:hAnsi="Times New Roman" w:cs="Times New Roman"/>
          <w:color w:val="000000"/>
        </w:rPr>
      </w:pPr>
    </w:p>
    <w:p w14:paraId="0E096364" w14:textId="1B539719" w:rsidR="00777D12" w:rsidRPr="00AA1346" w:rsidRDefault="00C201D5"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Ezután a CL</w:t>
      </w:r>
      <w:r w:rsidRPr="00E65268">
        <w:rPr>
          <w:rFonts w:ascii="Times New Roman" w:eastAsia="Times New Roman" w:hAnsi="Times New Roman" w:cs="Times New Roman"/>
          <w:color w:val="000000"/>
          <w:vertAlign w:val="subscript"/>
        </w:rPr>
        <w:t>cr</w:t>
      </w:r>
      <w:r w:rsidR="00923A02">
        <w:rPr>
          <w:rFonts w:ascii="Times New Roman" w:eastAsia="Times New Roman" w:hAnsi="Times New Roman" w:cs="Times New Roman"/>
          <w:color w:val="000000"/>
        </w:rPr>
        <w:t xml:space="preserve"> </w:t>
      </w:r>
      <w:r w:rsidRPr="00AA1346">
        <w:rPr>
          <w:rFonts w:ascii="Times New Roman" w:eastAsia="Times New Roman" w:hAnsi="Times New Roman" w:cs="Times New Roman"/>
          <w:color w:val="000000"/>
        </w:rPr>
        <w:t>értékét a testfelülethez (BSA – body surface area) kell igazítani az alábbiak szerint:</w:t>
      </w:r>
    </w:p>
    <w:p w14:paraId="1936A0F6" w14:textId="77777777" w:rsidR="00777D12" w:rsidRPr="00AA1346" w:rsidRDefault="00777D12" w:rsidP="004401DF">
      <w:pPr>
        <w:spacing w:after="0" w:line="240" w:lineRule="auto"/>
        <w:rPr>
          <w:rFonts w:ascii="Times New Roman" w:eastAsia="Times New Roman" w:hAnsi="Times New Roman" w:cs="Times New Roman"/>
          <w:color w:val="000000"/>
        </w:rPr>
      </w:pPr>
    </w:p>
    <w:p w14:paraId="5FC9C898" w14:textId="34350F5D" w:rsidR="00777D12" w:rsidRPr="00AA1346" w:rsidRDefault="00777D12" w:rsidP="004401DF">
      <w:pPr>
        <w:spacing w:after="0" w:line="240" w:lineRule="auto"/>
        <w:ind w:left="3119"/>
        <w:rPr>
          <w:rFonts w:ascii="Times New Roman" w:eastAsia="Times New Roman" w:hAnsi="Times New Roman" w:cs="Times New Roman"/>
          <w:color w:val="000000"/>
        </w:rPr>
      </w:pPr>
      <w:r w:rsidRPr="00AA1346">
        <w:rPr>
          <w:rFonts w:ascii="Times New Roman" w:eastAsia="Times New Roman" w:hAnsi="Times New Roman" w:cs="Times New Roman"/>
          <w:color w:val="000000"/>
        </w:rPr>
        <w:t>CL</w:t>
      </w:r>
      <w:r w:rsidRPr="00AA1346">
        <w:rPr>
          <w:rFonts w:ascii="Times New Roman" w:eastAsia="Times New Roman" w:hAnsi="Times New Roman" w:cs="Times New Roman"/>
          <w:color w:val="000000"/>
          <w:vertAlign w:val="subscript"/>
        </w:rPr>
        <w:t>cr</w:t>
      </w:r>
      <w:r w:rsidRPr="00AA1346">
        <w:rPr>
          <w:rFonts w:ascii="Times New Roman" w:eastAsia="Times New Roman" w:hAnsi="Times New Roman" w:cs="Times New Roman"/>
          <w:color w:val="000000"/>
        </w:rPr>
        <w:t xml:space="preserve"> (ml/</w:t>
      </w:r>
      <w:r w:rsidR="00C201D5" w:rsidRPr="00AA1346">
        <w:rPr>
          <w:rFonts w:ascii="Times New Roman" w:eastAsia="Times New Roman" w:hAnsi="Times New Roman" w:cs="Times New Roman"/>
          <w:color w:val="000000"/>
        </w:rPr>
        <w:t>perc</w:t>
      </w:r>
      <w:r w:rsidRPr="00AA1346">
        <w:rPr>
          <w:rFonts w:ascii="Times New Roman" w:eastAsia="Times New Roman" w:hAnsi="Times New Roman" w:cs="Times New Roman"/>
          <w:color w:val="000000"/>
        </w:rPr>
        <w:t>)</w:t>
      </w:r>
    </w:p>
    <w:p w14:paraId="5B215725" w14:textId="70D85A4B" w:rsidR="00777D12" w:rsidRPr="00AA1346" w:rsidRDefault="00777D12"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CL</w:t>
      </w:r>
      <w:r w:rsidRPr="00AA1346">
        <w:rPr>
          <w:rFonts w:ascii="Times New Roman" w:eastAsia="Times New Roman" w:hAnsi="Times New Roman" w:cs="Times New Roman"/>
          <w:color w:val="000000"/>
          <w:vertAlign w:val="subscript"/>
        </w:rPr>
        <w:t>cr</w:t>
      </w:r>
      <w:r w:rsidRPr="00AA1346">
        <w:rPr>
          <w:rFonts w:ascii="Times New Roman" w:eastAsia="Times New Roman" w:hAnsi="Times New Roman" w:cs="Times New Roman"/>
          <w:color w:val="000000"/>
        </w:rPr>
        <w:t xml:space="preserve"> (ml/</w:t>
      </w:r>
      <w:r w:rsidR="00C201D5" w:rsidRPr="00AA1346">
        <w:rPr>
          <w:rFonts w:ascii="Times New Roman" w:eastAsia="Times New Roman" w:hAnsi="Times New Roman" w:cs="Times New Roman"/>
          <w:color w:val="000000"/>
        </w:rPr>
        <w:t>perc</w:t>
      </w:r>
      <w:r w:rsidRPr="00AA1346">
        <w:rPr>
          <w:rFonts w:ascii="Times New Roman" w:eastAsia="Times New Roman" w:hAnsi="Times New Roman" w:cs="Times New Roman"/>
          <w:color w:val="000000"/>
        </w:rPr>
        <w:t>/1</w:t>
      </w:r>
      <w:r w:rsidR="00C201D5"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73 m</w:t>
      </w:r>
      <w:r w:rsidRPr="00AA1346">
        <w:rPr>
          <w:rFonts w:ascii="Times New Roman" w:eastAsia="Times New Roman" w:hAnsi="Times New Roman" w:cs="Times New Roman"/>
          <w:color w:val="000000"/>
          <w:vertAlign w:val="superscript"/>
        </w:rPr>
        <w:t>2</w:t>
      </w:r>
      <w:r w:rsidRPr="00AA1346">
        <w:rPr>
          <w:rFonts w:ascii="Times New Roman" w:eastAsia="Times New Roman" w:hAnsi="Times New Roman" w:cs="Times New Roman"/>
          <w:color w:val="000000"/>
        </w:rPr>
        <w:t>) = -</w:t>
      </w:r>
      <w:r w:rsidR="00C201D5"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w:t>
      </w:r>
      <w:r w:rsidR="00C201D5"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 </w:t>
      </w:r>
      <w:r w:rsidR="00923A02">
        <w:rPr>
          <w:rFonts w:ascii="Times New Roman" w:eastAsia="Times New Roman" w:hAnsi="Times New Roman" w:cs="Times New Roman"/>
          <w:color w:val="000000"/>
        </w:rPr>
        <w:t>×</w:t>
      </w:r>
      <w:r w:rsidRPr="00AA1346">
        <w:rPr>
          <w:rFonts w:ascii="Times New Roman" w:eastAsia="Times New Roman" w:hAnsi="Times New Roman" w:cs="Times New Roman"/>
          <w:color w:val="000000"/>
        </w:rPr>
        <w:t> 1</w:t>
      </w:r>
      <w:r w:rsidR="00C201D5"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73</w:t>
      </w:r>
    </w:p>
    <w:p w14:paraId="2918FDCF" w14:textId="370CE2A3" w:rsidR="00777D12" w:rsidRPr="00AA1346" w:rsidRDefault="00C201D5" w:rsidP="004401DF">
      <w:pPr>
        <w:spacing w:after="0" w:line="240" w:lineRule="auto"/>
        <w:ind w:left="2552"/>
        <w:rPr>
          <w:rFonts w:ascii="Times New Roman" w:eastAsia="Times New Roman" w:hAnsi="Times New Roman" w:cs="Times New Roman"/>
          <w:color w:val="000000"/>
        </w:rPr>
      </w:pPr>
      <w:r w:rsidRPr="00AA1346">
        <w:rPr>
          <w:rFonts w:ascii="Times New Roman" w:hAnsi="Times New Roman" w:cs="Times New Roman"/>
        </w:rPr>
        <w:t>az egyén testfelülete</w:t>
      </w:r>
      <w:r w:rsidR="00777D12" w:rsidRPr="00AA1346">
        <w:rPr>
          <w:rFonts w:ascii="Times New Roman" w:eastAsia="Times New Roman" w:hAnsi="Times New Roman" w:cs="Times New Roman"/>
          <w:color w:val="000000"/>
        </w:rPr>
        <w:t xml:space="preserve"> (m</w:t>
      </w:r>
      <w:r w:rsidR="00777D12" w:rsidRPr="00AA1346">
        <w:rPr>
          <w:rFonts w:ascii="Times New Roman" w:eastAsia="Times New Roman" w:hAnsi="Times New Roman" w:cs="Times New Roman"/>
          <w:color w:val="000000"/>
          <w:vertAlign w:val="superscript"/>
        </w:rPr>
        <w:t>2</w:t>
      </w:r>
      <w:r w:rsidR="00777D12" w:rsidRPr="00AA1346">
        <w:rPr>
          <w:rFonts w:ascii="Times New Roman" w:eastAsia="Times New Roman" w:hAnsi="Times New Roman" w:cs="Times New Roman"/>
          <w:color w:val="000000"/>
        </w:rPr>
        <w:t>)</w:t>
      </w:r>
    </w:p>
    <w:p w14:paraId="3547C8C8" w14:textId="77777777" w:rsidR="00777D12" w:rsidRPr="00AA1346" w:rsidRDefault="00777D12" w:rsidP="004401DF">
      <w:pPr>
        <w:suppressAutoHyphens/>
        <w:spacing w:after="0" w:line="240" w:lineRule="auto"/>
        <w:rPr>
          <w:rFonts w:ascii="Times New Roman" w:eastAsia="Times New Roman" w:hAnsi="Times New Roman" w:cs="Times New Roman"/>
        </w:rPr>
      </w:pPr>
    </w:p>
    <w:p w14:paraId="1B7A3E5B" w14:textId="104F2E2D" w:rsidR="00900A80" w:rsidRPr="00AA1346" w:rsidRDefault="00350866"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lastRenderedPageBreak/>
        <w:t xml:space="preserve">Az alkalmazott dózis módosítása </w:t>
      </w:r>
      <w:r w:rsidR="00E43C2F">
        <w:rPr>
          <w:rFonts w:ascii="Times New Roman" w:eastAsia="Times New Roman" w:hAnsi="Times New Roman" w:cs="Times New Roman"/>
          <w:color w:val="000000"/>
        </w:rPr>
        <w:t>vese</w:t>
      </w:r>
      <w:r w:rsidRPr="00AA1346">
        <w:rPr>
          <w:rFonts w:ascii="Times New Roman" w:eastAsia="Times New Roman" w:hAnsi="Times New Roman" w:cs="Times New Roman"/>
          <w:color w:val="000000"/>
        </w:rPr>
        <w:t>károsod</w:t>
      </w:r>
      <w:r w:rsidR="00E43C2F">
        <w:rPr>
          <w:rFonts w:ascii="Times New Roman" w:eastAsia="Times New Roman" w:hAnsi="Times New Roman" w:cs="Times New Roman"/>
          <w:color w:val="000000"/>
        </w:rPr>
        <w:t>ásban szenvedő</w:t>
      </w:r>
      <w:r w:rsidRPr="00AA1346">
        <w:rPr>
          <w:rFonts w:ascii="Times New Roman" w:eastAsia="Times New Roman" w:hAnsi="Times New Roman" w:cs="Times New Roman"/>
          <w:color w:val="000000"/>
        </w:rPr>
        <w:t>, 50</w:t>
      </w:r>
      <w:r w:rsidR="00923A02">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kg-nál nagyobb testtömegű felnőtt és serdülő betegeknél:</w:t>
      </w:r>
    </w:p>
    <w:tbl>
      <w:tblPr>
        <w:tblW w:w="8954" w:type="dxa"/>
        <w:tblLook w:val="04A0" w:firstRow="1" w:lastRow="0" w:firstColumn="1" w:lastColumn="0" w:noHBand="0" w:noVBand="1"/>
      </w:tblPr>
      <w:tblGrid>
        <w:gridCol w:w="3686"/>
        <w:gridCol w:w="2268"/>
        <w:gridCol w:w="3000"/>
      </w:tblGrid>
      <w:tr w:rsidR="00900A80" w:rsidRPr="00AA1346" w14:paraId="58DA1DC7" w14:textId="77777777" w:rsidTr="00E65268">
        <w:trPr>
          <w:cantSplit/>
        </w:trPr>
        <w:tc>
          <w:tcPr>
            <w:tcW w:w="3686" w:type="dxa"/>
            <w:tcBorders>
              <w:top w:val="single" w:sz="4" w:space="0" w:color="auto"/>
              <w:bottom w:val="single" w:sz="4" w:space="0" w:color="auto"/>
            </w:tcBorders>
          </w:tcPr>
          <w:p w14:paraId="3BB6F869" w14:textId="6B4EBD67" w:rsidR="00900A80" w:rsidRPr="00AA1346" w:rsidRDefault="00900A80" w:rsidP="004401DF">
            <w:pPr>
              <w:autoSpaceDE w:val="0"/>
              <w:autoSpaceDN w:val="0"/>
              <w:adjustRightInd w:val="0"/>
              <w:spacing w:after="0" w:line="240" w:lineRule="auto"/>
              <w:rPr>
                <w:rFonts w:ascii="Times New Roman" w:eastAsia="Times New Roman" w:hAnsi="Times New Roman" w:cs="Times New Roman"/>
                <w:color w:val="000000"/>
                <w:lang w:eastAsia="lv-LV"/>
              </w:rPr>
            </w:pPr>
            <w:bookmarkStart w:id="2" w:name="_Hlk212402589"/>
            <w:r w:rsidRPr="00AA1346">
              <w:rPr>
                <w:rFonts w:ascii="Times New Roman" w:eastAsia="Times New Roman" w:hAnsi="Times New Roman" w:cs="Times New Roman"/>
                <w:color w:val="000000"/>
                <w:lang w:eastAsia="lv-LV"/>
              </w:rPr>
              <w:t>Csoport</w:t>
            </w:r>
          </w:p>
        </w:tc>
        <w:tc>
          <w:tcPr>
            <w:tcW w:w="2268" w:type="dxa"/>
            <w:tcBorders>
              <w:top w:val="single" w:sz="4" w:space="0" w:color="auto"/>
              <w:bottom w:val="single" w:sz="4" w:space="0" w:color="auto"/>
            </w:tcBorders>
          </w:tcPr>
          <w:p w14:paraId="22A5A7B2" w14:textId="77777777" w:rsidR="00900A80" w:rsidRPr="00AA1346" w:rsidRDefault="00900A80" w:rsidP="004401DF">
            <w:pPr>
              <w:autoSpaceDE w:val="0"/>
              <w:autoSpaceDN w:val="0"/>
              <w:adjustRightInd w:val="0"/>
              <w:spacing w:after="0" w:line="240" w:lineRule="auto"/>
              <w:ind w:left="268"/>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Kreatinin-clearance</w:t>
            </w:r>
          </w:p>
          <w:p w14:paraId="75649554" w14:textId="48AB347C" w:rsidR="00900A80" w:rsidRPr="00AA1346" w:rsidRDefault="00900A80" w:rsidP="004401DF">
            <w:pPr>
              <w:autoSpaceDE w:val="0"/>
              <w:autoSpaceDN w:val="0"/>
              <w:adjustRightInd w:val="0"/>
              <w:spacing w:after="0" w:line="240" w:lineRule="auto"/>
              <w:ind w:left="268"/>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(ml/perc/1,73</w:t>
            </w:r>
            <w:r w:rsidR="00923A02">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m</w:t>
            </w:r>
            <w:r w:rsidRPr="00AA1346">
              <w:rPr>
                <w:rFonts w:ascii="Times New Roman" w:eastAsia="Times New Roman" w:hAnsi="Times New Roman" w:cs="Times New Roman"/>
                <w:color w:val="000000"/>
                <w:vertAlign w:val="superscript"/>
                <w:lang w:eastAsia="lv-LV"/>
              </w:rPr>
              <w:t>2</w:t>
            </w:r>
            <w:r w:rsidRPr="00AA1346">
              <w:rPr>
                <w:rFonts w:ascii="Times New Roman" w:eastAsia="Times New Roman" w:hAnsi="Times New Roman" w:cs="Times New Roman"/>
                <w:color w:val="000000"/>
                <w:lang w:eastAsia="lv-LV"/>
              </w:rPr>
              <w:t>)</w:t>
            </w:r>
          </w:p>
        </w:tc>
        <w:tc>
          <w:tcPr>
            <w:tcW w:w="3000" w:type="dxa"/>
            <w:tcBorders>
              <w:top w:val="single" w:sz="4" w:space="0" w:color="auto"/>
              <w:bottom w:val="single" w:sz="4" w:space="0" w:color="auto"/>
            </w:tcBorders>
          </w:tcPr>
          <w:p w14:paraId="2EC1B8C5" w14:textId="01E7A68F" w:rsidR="00900A80" w:rsidRPr="00AA1346" w:rsidRDefault="00900A80" w:rsidP="004401DF">
            <w:pPr>
              <w:autoSpaceDE w:val="0"/>
              <w:autoSpaceDN w:val="0"/>
              <w:adjustRightInd w:val="0"/>
              <w:spacing w:after="0" w:line="240" w:lineRule="auto"/>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Dózis és gyakoriság</w:t>
            </w:r>
          </w:p>
        </w:tc>
      </w:tr>
      <w:tr w:rsidR="00900A80" w:rsidRPr="00AA1346" w14:paraId="7CE6AA67" w14:textId="77777777" w:rsidTr="00E65268">
        <w:trPr>
          <w:cantSplit/>
        </w:trPr>
        <w:tc>
          <w:tcPr>
            <w:tcW w:w="3686" w:type="dxa"/>
            <w:tcBorders>
              <w:top w:val="single" w:sz="4" w:space="0" w:color="auto"/>
            </w:tcBorders>
          </w:tcPr>
          <w:p w14:paraId="42B54EAF" w14:textId="3878F6D1" w:rsidR="00900A80" w:rsidRPr="00AA1346" w:rsidRDefault="00BB0493" w:rsidP="004401DF">
            <w:pPr>
              <w:autoSpaceDE w:val="0"/>
              <w:autoSpaceDN w:val="0"/>
              <w:adjustRightInd w:val="0"/>
              <w:spacing w:after="0" w:line="240" w:lineRule="auto"/>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Normál</w:t>
            </w:r>
            <w:r w:rsidR="009A36E4">
              <w:rPr>
                <w:rFonts w:ascii="Times New Roman" w:eastAsia="Times New Roman" w:hAnsi="Times New Roman" w:cs="Times New Roman"/>
                <w:color w:val="000000"/>
                <w:lang w:eastAsia="lv-LV"/>
              </w:rPr>
              <w:t>is</w:t>
            </w:r>
            <w:r w:rsidRPr="00AA1346">
              <w:rPr>
                <w:rFonts w:ascii="Times New Roman" w:eastAsia="Times New Roman" w:hAnsi="Times New Roman" w:cs="Times New Roman"/>
                <w:color w:val="000000"/>
                <w:lang w:eastAsia="lv-LV"/>
              </w:rPr>
              <w:t xml:space="preserve"> vesefunkció</w:t>
            </w:r>
          </w:p>
        </w:tc>
        <w:tc>
          <w:tcPr>
            <w:tcW w:w="2268" w:type="dxa"/>
            <w:tcBorders>
              <w:top w:val="single" w:sz="4" w:space="0" w:color="auto"/>
            </w:tcBorders>
          </w:tcPr>
          <w:p w14:paraId="40985EEC" w14:textId="77777777" w:rsidR="00900A80" w:rsidRPr="00AA1346" w:rsidRDefault="00900A80" w:rsidP="004401DF">
            <w:pPr>
              <w:autoSpaceDE w:val="0"/>
              <w:autoSpaceDN w:val="0"/>
              <w:adjustRightInd w:val="0"/>
              <w:spacing w:after="0" w:line="240" w:lineRule="auto"/>
              <w:ind w:left="410"/>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 80</w:t>
            </w:r>
          </w:p>
        </w:tc>
        <w:tc>
          <w:tcPr>
            <w:tcW w:w="3000" w:type="dxa"/>
            <w:tcBorders>
              <w:top w:val="single" w:sz="4" w:space="0" w:color="auto"/>
            </w:tcBorders>
          </w:tcPr>
          <w:p w14:paraId="307E6B49" w14:textId="62868010" w:rsidR="00900A80" w:rsidRPr="00AA1346" w:rsidRDefault="00BB0493" w:rsidP="004401DF">
            <w:pPr>
              <w:autoSpaceDE w:val="0"/>
              <w:autoSpaceDN w:val="0"/>
              <w:adjustRightInd w:val="0"/>
              <w:spacing w:after="0" w:line="240" w:lineRule="auto"/>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naponta 2</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500–1500</w:t>
            </w:r>
            <w:r w:rsidR="00923A02">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mg</w:t>
            </w:r>
          </w:p>
        </w:tc>
      </w:tr>
      <w:tr w:rsidR="00900A80" w:rsidRPr="00AA1346" w14:paraId="3D145DF9" w14:textId="77777777" w:rsidTr="00E65268">
        <w:trPr>
          <w:cantSplit/>
        </w:trPr>
        <w:tc>
          <w:tcPr>
            <w:tcW w:w="3686" w:type="dxa"/>
          </w:tcPr>
          <w:p w14:paraId="38243E49" w14:textId="1B9719C6" w:rsidR="00900A80" w:rsidRPr="00AA1346" w:rsidRDefault="00BB0493" w:rsidP="004401DF">
            <w:pPr>
              <w:autoSpaceDE w:val="0"/>
              <w:autoSpaceDN w:val="0"/>
              <w:adjustRightInd w:val="0"/>
              <w:spacing w:after="0" w:line="240" w:lineRule="auto"/>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 xml:space="preserve">Enyhe </w:t>
            </w:r>
            <w:r w:rsidR="00923A02">
              <w:rPr>
                <w:rFonts w:ascii="Times New Roman" w:eastAsia="Times New Roman" w:hAnsi="Times New Roman" w:cs="Times New Roman"/>
                <w:color w:val="000000"/>
                <w:lang w:eastAsia="lv-LV"/>
              </w:rPr>
              <w:t xml:space="preserve">fokú </w:t>
            </w:r>
            <w:r w:rsidRPr="00AA1346">
              <w:rPr>
                <w:rFonts w:ascii="Times New Roman" w:eastAsia="Times New Roman" w:hAnsi="Times New Roman" w:cs="Times New Roman"/>
                <w:color w:val="000000"/>
                <w:lang w:eastAsia="lv-LV"/>
              </w:rPr>
              <w:t>vesekárosodás</w:t>
            </w:r>
          </w:p>
        </w:tc>
        <w:tc>
          <w:tcPr>
            <w:tcW w:w="2268" w:type="dxa"/>
          </w:tcPr>
          <w:p w14:paraId="61763C93" w14:textId="5CEBCD23" w:rsidR="00900A80" w:rsidRPr="00AA1346" w:rsidRDefault="00900A80" w:rsidP="004401DF">
            <w:pPr>
              <w:autoSpaceDE w:val="0"/>
              <w:autoSpaceDN w:val="0"/>
              <w:adjustRightInd w:val="0"/>
              <w:spacing w:after="0" w:line="240" w:lineRule="auto"/>
              <w:ind w:left="410"/>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50</w:t>
            </w:r>
            <w:r w:rsidR="00923A02">
              <w:rPr>
                <w:rFonts w:ascii="Times New Roman" w:eastAsia="Times New Roman" w:hAnsi="Times New Roman" w:cs="Times New Roman"/>
                <w:color w:val="000000"/>
                <w:lang w:eastAsia="lv-LV"/>
              </w:rPr>
              <w:t>–</w:t>
            </w:r>
            <w:r w:rsidRPr="00AA1346">
              <w:rPr>
                <w:rFonts w:ascii="Times New Roman" w:eastAsia="Times New Roman" w:hAnsi="Times New Roman" w:cs="Times New Roman"/>
                <w:color w:val="000000"/>
                <w:lang w:eastAsia="lv-LV"/>
              </w:rPr>
              <w:t>79</w:t>
            </w:r>
          </w:p>
        </w:tc>
        <w:tc>
          <w:tcPr>
            <w:tcW w:w="3000" w:type="dxa"/>
          </w:tcPr>
          <w:p w14:paraId="0FFECD3D" w14:textId="5D29A40F" w:rsidR="00900A80" w:rsidRPr="00AA1346" w:rsidRDefault="00BB0493" w:rsidP="004401DF">
            <w:pPr>
              <w:autoSpaceDE w:val="0"/>
              <w:autoSpaceDN w:val="0"/>
              <w:adjustRightInd w:val="0"/>
              <w:spacing w:after="0" w:line="240" w:lineRule="auto"/>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naponta 2</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500–1000</w:t>
            </w:r>
            <w:r w:rsidR="00923A02">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mg</w:t>
            </w:r>
          </w:p>
        </w:tc>
      </w:tr>
      <w:tr w:rsidR="00900A80" w:rsidRPr="00AA1346" w14:paraId="74117873" w14:textId="77777777" w:rsidTr="00E65268">
        <w:trPr>
          <w:cantSplit/>
        </w:trPr>
        <w:tc>
          <w:tcPr>
            <w:tcW w:w="3686" w:type="dxa"/>
          </w:tcPr>
          <w:p w14:paraId="5165F7DE" w14:textId="731C5504" w:rsidR="00900A80" w:rsidRPr="00AA1346" w:rsidRDefault="00BB0493" w:rsidP="004401DF">
            <w:pPr>
              <w:tabs>
                <w:tab w:val="left" w:pos="2587"/>
              </w:tabs>
              <w:autoSpaceDE w:val="0"/>
              <w:autoSpaceDN w:val="0"/>
              <w:adjustRightInd w:val="0"/>
              <w:spacing w:after="0" w:line="240" w:lineRule="auto"/>
              <w:ind w:right="-199"/>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 xml:space="preserve">Közepesen súlyos </w:t>
            </w:r>
            <w:r w:rsidR="00923A02">
              <w:rPr>
                <w:rFonts w:ascii="Times New Roman" w:eastAsia="Times New Roman" w:hAnsi="Times New Roman" w:cs="Times New Roman"/>
                <w:color w:val="000000"/>
                <w:lang w:eastAsia="lv-LV"/>
              </w:rPr>
              <w:t xml:space="preserve">fokú </w:t>
            </w:r>
            <w:r w:rsidRPr="00AA1346">
              <w:rPr>
                <w:rFonts w:ascii="Times New Roman" w:eastAsia="Times New Roman" w:hAnsi="Times New Roman" w:cs="Times New Roman"/>
                <w:color w:val="000000"/>
                <w:lang w:eastAsia="lv-LV"/>
              </w:rPr>
              <w:t>vesekárosodás</w:t>
            </w:r>
          </w:p>
        </w:tc>
        <w:tc>
          <w:tcPr>
            <w:tcW w:w="2268" w:type="dxa"/>
          </w:tcPr>
          <w:p w14:paraId="4FE2D464" w14:textId="2187C651" w:rsidR="00900A80" w:rsidRPr="00AA1346" w:rsidRDefault="00900A80" w:rsidP="004401DF">
            <w:pPr>
              <w:autoSpaceDE w:val="0"/>
              <w:autoSpaceDN w:val="0"/>
              <w:adjustRightInd w:val="0"/>
              <w:spacing w:after="0" w:line="240" w:lineRule="auto"/>
              <w:ind w:left="410"/>
              <w:rPr>
                <w:rFonts w:ascii="Times New Roman" w:eastAsia="Times New Roman" w:hAnsi="Times New Roman" w:cs="Times New Roman"/>
                <w:color w:val="000000"/>
                <w:sz w:val="24"/>
                <w:szCs w:val="24"/>
                <w:lang w:eastAsia="lv-LV"/>
              </w:rPr>
            </w:pPr>
            <w:r w:rsidRPr="00AA1346">
              <w:rPr>
                <w:rFonts w:ascii="Times New Roman" w:eastAsia="Times New Roman" w:hAnsi="Times New Roman" w:cs="Times New Roman"/>
                <w:color w:val="000000"/>
                <w:lang w:eastAsia="lv-LV"/>
              </w:rPr>
              <w:t>30</w:t>
            </w:r>
            <w:r w:rsidR="00923A02">
              <w:rPr>
                <w:rFonts w:ascii="Times New Roman" w:eastAsia="Times New Roman" w:hAnsi="Times New Roman" w:cs="Times New Roman"/>
                <w:color w:val="000000"/>
                <w:lang w:eastAsia="lv-LV"/>
              </w:rPr>
              <w:t>–</w:t>
            </w:r>
            <w:r w:rsidRPr="00AA1346">
              <w:rPr>
                <w:rFonts w:ascii="Times New Roman" w:eastAsia="Times New Roman" w:hAnsi="Times New Roman" w:cs="Times New Roman"/>
                <w:color w:val="000000"/>
                <w:lang w:eastAsia="lv-LV"/>
              </w:rPr>
              <w:t>49</w:t>
            </w:r>
          </w:p>
        </w:tc>
        <w:tc>
          <w:tcPr>
            <w:tcW w:w="3000" w:type="dxa"/>
          </w:tcPr>
          <w:p w14:paraId="4BFAEAE0" w14:textId="70CFD65B" w:rsidR="00900A80" w:rsidRPr="00AA1346" w:rsidRDefault="00BB0493" w:rsidP="004401DF">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r w:rsidRPr="00AA1346">
              <w:rPr>
                <w:rFonts w:ascii="Times New Roman" w:eastAsia="Times New Roman" w:hAnsi="Times New Roman" w:cs="Times New Roman"/>
                <w:color w:val="000000"/>
                <w:lang w:eastAsia="lv-LV"/>
              </w:rPr>
              <w:t>naponta 2</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250–750</w:t>
            </w:r>
            <w:r w:rsidR="00923A02">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mg</w:t>
            </w:r>
          </w:p>
        </w:tc>
      </w:tr>
      <w:tr w:rsidR="00900A80" w:rsidRPr="00AA1346" w14:paraId="321DCAF4" w14:textId="77777777" w:rsidTr="00E65268">
        <w:trPr>
          <w:cantSplit/>
        </w:trPr>
        <w:tc>
          <w:tcPr>
            <w:tcW w:w="3686" w:type="dxa"/>
          </w:tcPr>
          <w:p w14:paraId="5D46D541" w14:textId="332A0A96" w:rsidR="00900A80" w:rsidRPr="00AA1346" w:rsidRDefault="00BB0493" w:rsidP="004401DF">
            <w:pPr>
              <w:autoSpaceDE w:val="0"/>
              <w:autoSpaceDN w:val="0"/>
              <w:adjustRightInd w:val="0"/>
              <w:spacing w:after="0" w:line="240" w:lineRule="auto"/>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 xml:space="preserve">Súlyos </w:t>
            </w:r>
            <w:r w:rsidR="00923A02">
              <w:rPr>
                <w:rFonts w:ascii="Times New Roman" w:eastAsia="Times New Roman" w:hAnsi="Times New Roman" w:cs="Times New Roman"/>
                <w:color w:val="000000"/>
                <w:lang w:eastAsia="lv-LV"/>
              </w:rPr>
              <w:t xml:space="preserve">fokú </w:t>
            </w:r>
            <w:r w:rsidRPr="00AA1346">
              <w:rPr>
                <w:rFonts w:ascii="Times New Roman" w:eastAsia="Times New Roman" w:hAnsi="Times New Roman" w:cs="Times New Roman"/>
                <w:color w:val="000000"/>
                <w:lang w:eastAsia="lv-LV"/>
              </w:rPr>
              <w:t>vesekárosodás</w:t>
            </w:r>
          </w:p>
        </w:tc>
        <w:tc>
          <w:tcPr>
            <w:tcW w:w="2268" w:type="dxa"/>
          </w:tcPr>
          <w:p w14:paraId="016FF3A9" w14:textId="77777777" w:rsidR="00900A80" w:rsidRPr="00AA1346" w:rsidRDefault="00900A80" w:rsidP="004401DF">
            <w:pPr>
              <w:autoSpaceDE w:val="0"/>
              <w:autoSpaceDN w:val="0"/>
              <w:adjustRightInd w:val="0"/>
              <w:spacing w:after="0" w:line="240" w:lineRule="auto"/>
              <w:ind w:left="410"/>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&lt; 30</w:t>
            </w:r>
          </w:p>
        </w:tc>
        <w:tc>
          <w:tcPr>
            <w:tcW w:w="3000" w:type="dxa"/>
          </w:tcPr>
          <w:p w14:paraId="3EE35417" w14:textId="705F6574" w:rsidR="00900A80" w:rsidRPr="00AA1346" w:rsidRDefault="00BB0493" w:rsidP="004401DF">
            <w:pPr>
              <w:autoSpaceDE w:val="0"/>
              <w:autoSpaceDN w:val="0"/>
              <w:adjustRightInd w:val="0"/>
              <w:spacing w:after="0" w:line="240" w:lineRule="auto"/>
              <w:rPr>
                <w:rFonts w:ascii="Times New Roman" w:eastAsia="Times New Roman" w:hAnsi="Times New Roman" w:cs="Times New Roman"/>
                <w:color w:val="000000"/>
                <w:lang w:eastAsia="lv-LV"/>
              </w:rPr>
            </w:pPr>
            <w:r w:rsidRPr="00AA1346">
              <w:rPr>
                <w:rFonts w:ascii="Times New Roman" w:eastAsia="Times New Roman" w:hAnsi="Times New Roman" w:cs="Times New Roman"/>
                <w:color w:val="000000"/>
                <w:lang w:eastAsia="lv-LV"/>
              </w:rPr>
              <w:t>naponta 2</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250–500</w:t>
            </w:r>
            <w:r w:rsidR="00923A02">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mg</w:t>
            </w:r>
          </w:p>
        </w:tc>
      </w:tr>
      <w:tr w:rsidR="00900A80" w:rsidRPr="00AA1346" w14:paraId="015070B7" w14:textId="77777777" w:rsidTr="00E65268">
        <w:trPr>
          <w:cantSplit/>
        </w:trPr>
        <w:tc>
          <w:tcPr>
            <w:tcW w:w="3686" w:type="dxa"/>
            <w:tcBorders>
              <w:bottom w:val="single" w:sz="4" w:space="0" w:color="auto"/>
            </w:tcBorders>
          </w:tcPr>
          <w:p w14:paraId="3BFFB45A" w14:textId="368E9822" w:rsidR="00900A80" w:rsidRPr="00AA1346" w:rsidRDefault="00BB0493"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Végstádiumú vesebetegségben szenvedő, dialízis</w:t>
            </w:r>
            <w:r w:rsidR="00542422">
              <w:rPr>
                <w:rFonts w:ascii="Times New Roman" w:eastAsia="Times New Roman" w:hAnsi="Times New Roman" w:cs="Times New Roman"/>
                <w:color w:val="000000"/>
              </w:rPr>
              <w:t xml:space="preserve"> </w:t>
            </w:r>
            <w:r w:rsidRPr="00AA1346">
              <w:rPr>
                <w:rFonts w:ascii="Times New Roman" w:eastAsia="Times New Roman" w:hAnsi="Times New Roman" w:cs="Times New Roman"/>
                <w:color w:val="000000"/>
              </w:rPr>
              <w:t>kezelésben részesülő betegek</w:t>
            </w:r>
            <w:r w:rsidRPr="00AA1346">
              <w:rPr>
                <w:rFonts w:ascii="Times New Roman" w:eastAsia="Times New Roman" w:hAnsi="Times New Roman" w:cs="Times New Roman"/>
                <w:color w:val="000000"/>
                <w:vertAlign w:val="superscript"/>
              </w:rPr>
              <w:t>(1)</w:t>
            </w:r>
          </w:p>
        </w:tc>
        <w:tc>
          <w:tcPr>
            <w:tcW w:w="2268" w:type="dxa"/>
            <w:tcBorders>
              <w:bottom w:val="single" w:sz="4" w:space="0" w:color="auto"/>
            </w:tcBorders>
          </w:tcPr>
          <w:p w14:paraId="5BB6C5FF" w14:textId="77777777" w:rsidR="00900A80" w:rsidRPr="00AA1346" w:rsidRDefault="00900A80" w:rsidP="004401DF">
            <w:pPr>
              <w:spacing w:after="0" w:line="240" w:lineRule="auto"/>
              <w:ind w:left="410"/>
              <w:rPr>
                <w:rFonts w:ascii="Times New Roman" w:eastAsia="Times New Roman" w:hAnsi="Times New Roman" w:cs="Times New Roman"/>
                <w:color w:val="000000"/>
              </w:rPr>
            </w:pPr>
            <w:r w:rsidRPr="00AA1346">
              <w:rPr>
                <w:rFonts w:ascii="Times New Roman" w:eastAsia="Times New Roman" w:hAnsi="Times New Roman" w:cs="Times New Roman"/>
                <w:color w:val="000000"/>
              </w:rPr>
              <w:t>--</w:t>
            </w:r>
          </w:p>
        </w:tc>
        <w:tc>
          <w:tcPr>
            <w:tcW w:w="3000" w:type="dxa"/>
            <w:tcBorders>
              <w:bottom w:val="single" w:sz="4" w:space="0" w:color="auto"/>
            </w:tcBorders>
          </w:tcPr>
          <w:p w14:paraId="0DD6B7A8" w14:textId="013A4F07" w:rsidR="00900A80" w:rsidRPr="00AA1346" w:rsidRDefault="00BB0493"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lang w:eastAsia="lv-LV"/>
              </w:rPr>
              <w:t>naponta 1</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w:t>
            </w:r>
            <w:r w:rsidR="00AE1BA0" w:rsidRPr="00AA1346">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500–1000</w:t>
            </w:r>
            <w:r w:rsidR="00923A02">
              <w:rPr>
                <w:rFonts w:ascii="Times New Roman" w:eastAsia="Times New Roman" w:hAnsi="Times New Roman" w:cs="Times New Roman"/>
                <w:color w:val="000000"/>
                <w:lang w:eastAsia="lv-LV"/>
              </w:rPr>
              <w:t> </w:t>
            </w:r>
            <w:r w:rsidRPr="00AA1346">
              <w:rPr>
                <w:rFonts w:ascii="Times New Roman" w:eastAsia="Times New Roman" w:hAnsi="Times New Roman" w:cs="Times New Roman"/>
                <w:color w:val="000000"/>
                <w:lang w:eastAsia="lv-LV"/>
              </w:rPr>
              <w:t>mg</w:t>
            </w:r>
            <w:r w:rsidRPr="00AA1346">
              <w:rPr>
                <w:rFonts w:ascii="Times New Roman" w:eastAsia="Times New Roman" w:hAnsi="Times New Roman" w:cs="Times New Roman"/>
                <w:color w:val="000000"/>
                <w:vertAlign w:val="superscript"/>
                <w:lang w:eastAsia="lv-LV"/>
              </w:rPr>
              <w:t>(2)</w:t>
            </w:r>
          </w:p>
        </w:tc>
      </w:tr>
    </w:tbl>
    <w:bookmarkEnd w:id="2"/>
    <w:p w14:paraId="0600D74E" w14:textId="6C0E7CF0" w:rsidR="00900A80" w:rsidRPr="00AA1346" w:rsidRDefault="00900A8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vertAlign w:val="superscript"/>
        </w:rPr>
        <w:t>(1)</w:t>
      </w:r>
      <w:r w:rsidRPr="00AA1346">
        <w:rPr>
          <w:rFonts w:ascii="Times New Roman" w:eastAsia="Times New Roman" w:hAnsi="Times New Roman" w:cs="Times New Roman"/>
          <w:color w:val="000000"/>
        </w:rPr>
        <w:t xml:space="preserve"> </w:t>
      </w:r>
      <w:r w:rsidR="00923BC4" w:rsidRPr="00AA1346">
        <w:rPr>
          <w:rFonts w:ascii="Times New Roman" w:eastAsia="Times New Roman" w:hAnsi="Times New Roman" w:cs="Times New Roman"/>
          <w:color w:val="000000"/>
        </w:rPr>
        <w:t>A levetiracetám-kezelés első napján 750</w:t>
      </w:r>
      <w:r w:rsidR="00AE1BA0" w:rsidRPr="00AA1346">
        <w:rPr>
          <w:rFonts w:ascii="Times New Roman" w:eastAsia="Times New Roman" w:hAnsi="Times New Roman" w:cs="Times New Roman"/>
          <w:color w:val="000000"/>
        </w:rPr>
        <w:t> </w:t>
      </w:r>
      <w:r w:rsidR="00923BC4" w:rsidRPr="00AA1346">
        <w:rPr>
          <w:rFonts w:ascii="Times New Roman" w:eastAsia="Times New Roman" w:hAnsi="Times New Roman" w:cs="Times New Roman"/>
          <w:color w:val="000000"/>
        </w:rPr>
        <w:t xml:space="preserve">mg-os telítő dózis </w:t>
      </w:r>
      <w:r w:rsidR="00923A02">
        <w:rPr>
          <w:rFonts w:ascii="Times New Roman" w:eastAsia="Times New Roman" w:hAnsi="Times New Roman" w:cs="Times New Roman"/>
          <w:color w:val="000000"/>
        </w:rPr>
        <w:t xml:space="preserve">alkalmazása </w:t>
      </w:r>
      <w:r w:rsidR="00923BC4" w:rsidRPr="00AA1346">
        <w:rPr>
          <w:rFonts w:ascii="Times New Roman" w:eastAsia="Times New Roman" w:hAnsi="Times New Roman" w:cs="Times New Roman"/>
          <w:color w:val="000000"/>
        </w:rPr>
        <w:t>ajánlott.</w:t>
      </w:r>
    </w:p>
    <w:p w14:paraId="69506F00" w14:textId="59F18E20" w:rsidR="00900A80" w:rsidRPr="00AA1346" w:rsidRDefault="00900A8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vertAlign w:val="superscript"/>
        </w:rPr>
        <w:t>(2)</w:t>
      </w:r>
      <w:r w:rsidRPr="00AA1346">
        <w:rPr>
          <w:rFonts w:ascii="Times New Roman" w:eastAsia="Times New Roman" w:hAnsi="Times New Roman" w:cs="Times New Roman"/>
          <w:color w:val="000000"/>
        </w:rPr>
        <w:t xml:space="preserve"> </w:t>
      </w:r>
      <w:r w:rsidR="00923BC4" w:rsidRPr="00AA1346">
        <w:rPr>
          <w:rFonts w:ascii="Times New Roman" w:eastAsia="Times New Roman" w:hAnsi="Times New Roman" w:cs="Times New Roman"/>
          <w:color w:val="000000"/>
        </w:rPr>
        <w:t>A dialízist követően egy 250–500</w:t>
      </w:r>
      <w:r w:rsidR="00AE1BA0" w:rsidRPr="00AA1346">
        <w:rPr>
          <w:rFonts w:ascii="Times New Roman" w:eastAsia="Times New Roman" w:hAnsi="Times New Roman" w:cs="Times New Roman"/>
          <w:color w:val="000000"/>
        </w:rPr>
        <w:t> </w:t>
      </w:r>
      <w:r w:rsidR="00923BC4" w:rsidRPr="00AA1346">
        <w:rPr>
          <w:rFonts w:ascii="Times New Roman" w:eastAsia="Times New Roman" w:hAnsi="Times New Roman" w:cs="Times New Roman"/>
          <w:color w:val="000000"/>
        </w:rPr>
        <w:t>mg-os kiegészítő dózis alkalmazása ajánlott.</w:t>
      </w:r>
    </w:p>
    <w:p w14:paraId="4DBF4A05" w14:textId="77777777" w:rsidR="00900A80" w:rsidRPr="00AA1346" w:rsidRDefault="00900A80" w:rsidP="004401DF">
      <w:pPr>
        <w:spacing w:after="0" w:line="240" w:lineRule="auto"/>
        <w:rPr>
          <w:rFonts w:ascii="Times New Roman" w:eastAsia="Times New Roman" w:hAnsi="Times New Roman" w:cs="Times New Roman"/>
          <w:color w:val="000000"/>
        </w:rPr>
      </w:pPr>
    </w:p>
    <w:p w14:paraId="0268D2BB" w14:textId="77777777" w:rsidR="00350866" w:rsidRPr="00AA1346" w:rsidRDefault="00350866" w:rsidP="004401DF">
      <w:pPr>
        <w:suppressAutoHyphens/>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Vesekárosodásban szenvedő gyermekeknél a levetiracetám dózisát a vesefunkció alapján módosítani kell, mivel a levetiracetám clearance-e a vesefunkció függvénye. Ez az ajánlás a vesekárosodásban szenvedő felnőtt betegekkel végzett vizsgálatokon alapszik.</w:t>
      </w:r>
    </w:p>
    <w:p w14:paraId="0A68F540" w14:textId="77777777" w:rsidR="00350866" w:rsidRPr="00AA1346" w:rsidRDefault="00350866" w:rsidP="004401DF">
      <w:pPr>
        <w:suppressAutoHyphens/>
        <w:spacing w:after="0" w:line="240" w:lineRule="auto"/>
        <w:rPr>
          <w:rFonts w:ascii="Times New Roman" w:eastAsia="Times New Roman" w:hAnsi="Times New Roman" w:cs="Times New Roman"/>
          <w:color w:val="000000"/>
        </w:rPr>
      </w:pPr>
    </w:p>
    <w:p w14:paraId="74131785" w14:textId="25DE0EB1" w:rsidR="00900A80" w:rsidRPr="00AA1346" w:rsidRDefault="00350866"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color w:val="000000"/>
        </w:rPr>
        <w:t>A ml/perc/1,73</w:t>
      </w:r>
      <w:r w:rsidR="00AE1BA0"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m</w:t>
      </w:r>
      <w:r w:rsidRPr="00AA1346">
        <w:rPr>
          <w:rFonts w:ascii="Times New Roman" w:eastAsia="Times New Roman" w:hAnsi="Times New Roman" w:cs="Times New Roman"/>
          <w:color w:val="000000"/>
          <w:vertAlign w:val="superscript"/>
        </w:rPr>
        <w:t>2</w:t>
      </w:r>
      <w:r w:rsidRPr="00AA1346">
        <w:rPr>
          <w:rFonts w:ascii="Times New Roman" w:eastAsia="Times New Roman" w:hAnsi="Times New Roman" w:cs="Times New Roman"/>
          <w:color w:val="000000"/>
        </w:rPr>
        <w:t>-ben mért CL</w:t>
      </w:r>
      <w:r w:rsidRPr="00AA1346">
        <w:rPr>
          <w:rFonts w:ascii="Times New Roman" w:eastAsia="Times New Roman" w:hAnsi="Times New Roman" w:cs="Times New Roman"/>
          <w:color w:val="000000"/>
          <w:vertAlign w:val="subscript"/>
        </w:rPr>
        <w:t xml:space="preserve">cr </w:t>
      </w:r>
      <w:r w:rsidRPr="00AA1346">
        <w:rPr>
          <w:rFonts w:ascii="Times New Roman" w:eastAsia="Times New Roman" w:hAnsi="Times New Roman" w:cs="Times New Roman"/>
          <w:color w:val="000000"/>
        </w:rPr>
        <w:t>fiatal serdülőknél és gyermekeknél a szérum-kreatininszint (mg/dl) meghatározásból számítható ki az alábbi képlet (Schwartz-képlet) segítségével</w:t>
      </w:r>
      <w:r w:rsidR="00EC08E8">
        <w:rPr>
          <w:rFonts w:ascii="Times New Roman" w:eastAsia="Times New Roman" w:hAnsi="Times New Roman" w:cs="Times New Roman"/>
          <w:color w:val="000000"/>
        </w:rPr>
        <w:t>:</w:t>
      </w:r>
    </w:p>
    <w:p w14:paraId="13C94777" w14:textId="77777777" w:rsidR="00900A80" w:rsidRPr="00AA1346" w:rsidRDefault="00900A80" w:rsidP="004401DF">
      <w:pPr>
        <w:suppressAutoHyphens/>
        <w:spacing w:after="0" w:line="240" w:lineRule="auto"/>
        <w:rPr>
          <w:rFonts w:ascii="Times New Roman" w:eastAsia="Times New Roman" w:hAnsi="Times New Roman" w:cs="Times New Roman"/>
        </w:rPr>
      </w:pPr>
    </w:p>
    <w:p w14:paraId="16A1F820" w14:textId="0D2A305E" w:rsidR="00350866" w:rsidRPr="00AA1346" w:rsidRDefault="00542422" w:rsidP="004401DF">
      <w:pPr>
        <w:spacing w:after="0" w:line="240" w:lineRule="auto"/>
        <w:ind w:left="2552"/>
        <w:rPr>
          <w:rFonts w:ascii="Times New Roman" w:eastAsia="Times New Roman" w:hAnsi="Times New Roman" w:cs="Times New Roman"/>
          <w:color w:val="000000"/>
        </w:rPr>
      </w:pPr>
      <w:r>
        <w:rPr>
          <w:rFonts w:ascii="Times New Roman" w:eastAsia="Times New Roman" w:hAnsi="Times New Roman" w:cs="Times New Roman"/>
          <w:color w:val="000000"/>
        </w:rPr>
        <w:t>t</w:t>
      </w:r>
      <w:r w:rsidR="00350866" w:rsidRPr="00AA1346">
        <w:rPr>
          <w:rFonts w:ascii="Times New Roman" w:eastAsia="Times New Roman" w:hAnsi="Times New Roman" w:cs="Times New Roman"/>
          <w:color w:val="000000"/>
        </w:rPr>
        <w:t xml:space="preserve">estmagasság (cm) </w:t>
      </w:r>
      <w:r w:rsidR="00EC08E8">
        <w:rPr>
          <w:rFonts w:ascii="Times New Roman" w:eastAsia="Times New Roman" w:hAnsi="Times New Roman" w:cs="Times New Roman"/>
          <w:color w:val="000000"/>
        </w:rPr>
        <w:t>×</w:t>
      </w:r>
      <w:r w:rsidR="00350866" w:rsidRPr="00AA1346">
        <w:rPr>
          <w:rFonts w:ascii="Times New Roman" w:eastAsia="Times New Roman" w:hAnsi="Times New Roman" w:cs="Times New Roman"/>
          <w:color w:val="000000"/>
        </w:rPr>
        <w:t xml:space="preserve"> ks</w:t>
      </w:r>
    </w:p>
    <w:p w14:paraId="5EB894C7" w14:textId="5BE75344" w:rsidR="00350866" w:rsidRPr="00AA1346" w:rsidRDefault="00350866"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CL</w:t>
      </w:r>
      <w:r w:rsidRPr="00AA1346">
        <w:rPr>
          <w:rFonts w:ascii="Times New Roman" w:eastAsia="Times New Roman" w:hAnsi="Times New Roman" w:cs="Times New Roman"/>
          <w:color w:val="000000"/>
          <w:vertAlign w:val="subscript"/>
        </w:rPr>
        <w:t>cr</w:t>
      </w:r>
      <w:r w:rsidRPr="00AA1346">
        <w:rPr>
          <w:rFonts w:ascii="Times New Roman" w:eastAsia="Times New Roman" w:hAnsi="Times New Roman" w:cs="Times New Roman"/>
          <w:color w:val="000000"/>
        </w:rPr>
        <w:t xml:space="preserve"> (ml/perc/1,73</w:t>
      </w:r>
      <w:r w:rsidR="00AE1BA0"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m</w:t>
      </w:r>
      <w:r w:rsidRPr="00AA1346">
        <w:rPr>
          <w:rFonts w:ascii="Times New Roman" w:eastAsia="Times New Roman" w:hAnsi="Times New Roman" w:cs="Times New Roman"/>
          <w:color w:val="000000"/>
          <w:vertAlign w:val="superscript"/>
        </w:rPr>
        <w:t>2</w:t>
      </w:r>
      <w:r w:rsidRPr="00AA1346">
        <w:rPr>
          <w:rFonts w:ascii="Times New Roman" w:eastAsia="Times New Roman" w:hAnsi="Times New Roman" w:cs="Times New Roman"/>
          <w:color w:val="000000"/>
        </w:rPr>
        <w:t>) = -----------------------------------------</w:t>
      </w:r>
    </w:p>
    <w:p w14:paraId="6A307620" w14:textId="268E2D6A" w:rsidR="00350866" w:rsidRPr="00AA1346" w:rsidRDefault="00542422" w:rsidP="004401DF">
      <w:pPr>
        <w:spacing w:after="0" w:line="240" w:lineRule="auto"/>
        <w:ind w:left="2552" w:hanging="142"/>
        <w:rPr>
          <w:rFonts w:ascii="Times New Roman" w:eastAsia="Times New Roman" w:hAnsi="Times New Roman" w:cs="Times New Roman"/>
          <w:color w:val="000000"/>
        </w:rPr>
      </w:pPr>
      <w:r>
        <w:rPr>
          <w:rFonts w:ascii="Times New Roman" w:eastAsia="Times New Roman" w:hAnsi="Times New Roman" w:cs="Times New Roman"/>
          <w:color w:val="000000"/>
        </w:rPr>
        <w:t>s</w:t>
      </w:r>
      <w:r w:rsidR="00350866" w:rsidRPr="00AA1346">
        <w:rPr>
          <w:rFonts w:ascii="Times New Roman" w:eastAsia="Times New Roman" w:hAnsi="Times New Roman" w:cs="Times New Roman"/>
          <w:color w:val="000000"/>
        </w:rPr>
        <w:t>zérum-kreatininszint (mg/dl)</w:t>
      </w:r>
    </w:p>
    <w:p w14:paraId="2CE98BB9" w14:textId="77777777" w:rsidR="00350866" w:rsidRPr="00AA1346" w:rsidRDefault="00350866" w:rsidP="004401DF">
      <w:pPr>
        <w:suppressAutoHyphens/>
        <w:spacing w:after="0" w:line="240" w:lineRule="auto"/>
        <w:rPr>
          <w:rFonts w:ascii="Times New Roman" w:eastAsia="Times New Roman" w:hAnsi="Times New Roman" w:cs="Times New Roman"/>
        </w:rPr>
      </w:pPr>
    </w:p>
    <w:p w14:paraId="7CCEE39A" w14:textId="536E992B" w:rsidR="00350866" w:rsidRPr="00AA1346" w:rsidRDefault="00994522" w:rsidP="00E65268">
      <w:pPr>
        <w:pStyle w:val="Szvegtrzs"/>
        <w:spacing w:line="240" w:lineRule="auto"/>
        <w:rPr>
          <w:b w:val="0"/>
          <w:bCs/>
          <w:i w:val="0"/>
          <w:iCs/>
          <w:szCs w:val="22"/>
          <w:lang w:val="hu-HU"/>
        </w:rPr>
      </w:pPr>
      <w:r>
        <w:rPr>
          <w:b w:val="0"/>
          <w:bCs/>
          <w:i w:val="0"/>
          <w:iCs/>
          <w:szCs w:val="22"/>
          <w:lang w:val="hu-HU"/>
        </w:rPr>
        <w:t>k</w:t>
      </w:r>
      <w:r w:rsidR="00350866" w:rsidRPr="00AA1346">
        <w:rPr>
          <w:b w:val="0"/>
          <w:bCs/>
          <w:i w:val="0"/>
          <w:iCs/>
          <w:szCs w:val="22"/>
          <w:lang w:val="hu-HU"/>
        </w:rPr>
        <w:t>s=</w:t>
      </w:r>
      <w:r w:rsidR="00AE1BA0" w:rsidRPr="00AA1346">
        <w:rPr>
          <w:b w:val="0"/>
          <w:bCs/>
          <w:i w:val="0"/>
          <w:iCs/>
          <w:szCs w:val="22"/>
          <w:lang w:val="hu-HU"/>
        </w:rPr>
        <w:t> </w:t>
      </w:r>
      <w:r w:rsidR="00350866" w:rsidRPr="00AA1346">
        <w:rPr>
          <w:b w:val="0"/>
          <w:bCs/>
          <w:i w:val="0"/>
          <w:iCs/>
          <w:szCs w:val="22"/>
          <w:lang w:val="hu-HU"/>
        </w:rPr>
        <w:t>0,55 a 13</w:t>
      </w:r>
      <w:r w:rsidR="00AE1BA0" w:rsidRPr="00AA1346">
        <w:rPr>
          <w:b w:val="0"/>
          <w:bCs/>
          <w:i w:val="0"/>
          <w:iCs/>
          <w:szCs w:val="22"/>
          <w:lang w:val="hu-HU"/>
        </w:rPr>
        <w:t> </w:t>
      </w:r>
      <w:r w:rsidR="00350866" w:rsidRPr="00AA1346">
        <w:rPr>
          <w:b w:val="0"/>
          <w:bCs/>
          <w:i w:val="0"/>
          <w:iCs/>
          <w:szCs w:val="22"/>
          <w:lang w:val="hu-HU"/>
        </w:rPr>
        <w:t>évesnél fiatalabb gyermekeknél és a serdülő lányoknál; ks</w:t>
      </w:r>
      <w:r w:rsidR="00AE1BA0" w:rsidRPr="00AA1346">
        <w:rPr>
          <w:b w:val="0"/>
          <w:bCs/>
          <w:i w:val="0"/>
          <w:iCs/>
          <w:szCs w:val="22"/>
          <w:lang w:val="hu-HU"/>
        </w:rPr>
        <w:t> </w:t>
      </w:r>
      <w:r w:rsidR="00350866" w:rsidRPr="00AA1346">
        <w:rPr>
          <w:b w:val="0"/>
          <w:bCs/>
          <w:i w:val="0"/>
          <w:iCs/>
          <w:szCs w:val="22"/>
          <w:lang w:val="hu-HU"/>
        </w:rPr>
        <w:t>=</w:t>
      </w:r>
      <w:r w:rsidR="00AE1BA0" w:rsidRPr="00AA1346">
        <w:rPr>
          <w:b w:val="0"/>
          <w:bCs/>
          <w:i w:val="0"/>
          <w:iCs/>
          <w:szCs w:val="22"/>
          <w:lang w:val="hu-HU"/>
        </w:rPr>
        <w:t> </w:t>
      </w:r>
      <w:r w:rsidR="00350866" w:rsidRPr="00AA1346">
        <w:rPr>
          <w:b w:val="0"/>
          <w:bCs/>
          <w:i w:val="0"/>
          <w:iCs/>
          <w:szCs w:val="22"/>
          <w:lang w:val="hu-HU"/>
        </w:rPr>
        <w:t>0,7 a fiú serdülőknél</w:t>
      </w:r>
    </w:p>
    <w:p w14:paraId="5B418D19" w14:textId="77777777" w:rsidR="00350866" w:rsidRPr="00AA1346" w:rsidRDefault="00350866" w:rsidP="004401DF">
      <w:pPr>
        <w:suppressAutoHyphens/>
        <w:spacing w:after="0" w:line="240" w:lineRule="auto"/>
        <w:rPr>
          <w:rFonts w:ascii="Times New Roman" w:eastAsia="Times New Roman" w:hAnsi="Times New Roman" w:cs="Times New Roman"/>
        </w:rPr>
      </w:pPr>
    </w:p>
    <w:p w14:paraId="0BB08FA9" w14:textId="478895E5" w:rsidR="00350866" w:rsidRPr="00AA1346" w:rsidRDefault="00350866" w:rsidP="00E65268">
      <w:pPr>
        <w:pStyle w:val="Szvegtrzs"/>
        <w:spacing w:line="240" w:lineRule="auto"/>
        <w:ind w:right="-3"/>
        <w:rPr>
          <w:b w:val="0"/>
          <w:bCs/>
          <w:i w:val="0"/>
          <w:iCs/>
          <w:szCs w:val="22"/>
          <w:lang w:val="hu-HU"/>
        </w:rPr>
      </w:pPr>
      <w:r w:rsidRPr="00AA1346">
        <w:rPr>
          <w:b w:val="0"/>
          <w:bCs/>
          <w:i w:val="0"/>
          <w:iCs/>
          <w:szCs w:val="22"/>
          <w:lang w:val="hu-HU"/>
        </w:rPr>
        <w:t xml:space="preserve">Az alkalmazott dózis módosítása </w:t>
      </w:r>
      <w:r w:rsidR="00AC49BF" w:rsidRPr="00AA1346">
        <w:rPr>
          <w:b w:val="0"/>
          <w:bCs/>
          <w:i w:val="0"/>
          <w:iCs/>
          <w:szCs w:val="22"/>
          <w:lang w:val="hu-HU"/>
        </w:rPr>
        <w:t>50 kg</w:t>
      </w:r>
      <w:r w:rsidR="00AC49BF">
        <w:rPr>
          <w:b w:val="0"/>
          <w:bCs/>
          <w:i w:val="0"/>
          <w:iCs/>
          <w:szCs w:val="22"/>
          <w:lang w:val="hu-HU"/>
        </w:rPr>
        <w:t xml:space="preserve">-nál kisebb </w:t>
      </w:r>
      <w:r w:rsidR="00AC49BF" w:rsidRPr="00AA1346">
        <w:rPr>
          <w:b w:val="0"/>
          <w:bCs/>
          <w:i w:val="0"/>
          <w:iCs/>
          <w:szCs w:val="22"/>
          <w:lang w:val="hu-HU"/>
        </w:rPr>
        <w:t>testtömegű</w:t>
      </w:r>
      <w:r w:rsidR="00AC49BF">
        <w:rPr>
          <w:b w:val="0"/>
          <w:bCs/>
          <w:i w:val="0"/>
          <w:iCs/>
          <w:szCs w:val="22"/>
          <w:lang w:val="hu-HU"/>
        </w:rPr>
        <w:t>, vese</w:t>
      </w:r>
      <w:r w:rsidRPr="00AA1346">
        <w:rPr>
          <w:b w:val="0"/>
          <w:bCs/>
          <w:i w:val="0"/>
          <w:iCs/>
          <w:szCs w:val="22"/>
          <w:lang w:val="hu-HU"/>
        </w:rPr>
        <w:t>károsod</w:t>
      </w:r>
      <w:r w:rsidR="00AC49BF">
        <w:rPr>
          <w:b w:val="0"/>
          <w:bCs/>
          <w:i w:val="0"/>
          <w:iCs/>
          <w:szCs w:val="22"/>
          <w:lang w:val="hu-HU"/>
        </w:rPr>
        <w:t>ásban szenvedő</w:t>
      </w:r>
      <w:r w:rsidRPr="00AA1346">
        <w:rPr>
          <w:b w:val="0"/>
          <w:bCs/>
          <w:i w:val="0"/>
          <w:iCs/>
          <w:szCs w:val="22"/>
          <w:lang w:val="hu-HU"/>
        </w:rPr>
        <w:t xml:space="preserve"> gyermekeknél és serdülő</w:t>
      </w:r>
      <w:r w:rsidR="00AC49BF">
        <w:rPr>
          <w:b w:val="0"/>
          <w:bCs/>
          <w:i w:val="0"/>
          <w:iCs/>
          <w:szCs w:val="22"/>
          <w:lang w:val="hu-HU"/>
        </w:rPr>
        <w:t>knél</w:t>
      </w:r>
      <w:r w:rsidRPr="00AA1346">
        <w:rPr>
          <w:b w:val="0"/>
          <w:bCs/>
          <w:i w:val="0"/>
          <w:iCs/>
          <w:szCs w:val="22"/>
          <w:lang w:val="hu-HU"/>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985"/>
        <w:gridCol w:w="5234"/>
      </w:tblGrid>
      <w:tr w:rsidR="00350866" w:rsidRPr="00AA1346" w14:paraId="6EF37152" w14:textId="77777777" w:rsidTr="00350866">
        <w:trPr>
          <w:trHeight w:hRule="exact" w:val="264"/>
        </w:trPr>
        <w:tc>
          <w:tcPr>
            <w:tcW w:w="1843" w:type="dxa"/>
            <w:vMerge w:val="restart"/>
          </w:tcPr>
          <w:p w14:paraId="0F83FE72" w14:textId="77777777" w:rsidR="00350866" w:rsidRPr="00AA1346" w:rsidRDefault="00350866" w:rsidP="004401DF">
            <w:pPr>
              <w:pStyle w:val="TableParagraph"/>
              <w:ind w:left="142"/>
              <w:rPr>
                <w:lang w:val="hu-HU"/>
              </w:rPr>
            </w:pPr>
            <w:r w:rsidRPr="00AA1346">
              <w:rPr>
                <w:lang w:val="hu-HU"/>
              </w:rPr>
              <w:t>Csoport</w:t>
            </w:r>
          </w:p>
        </w:tc>
        <w:tc>
          <w:tcPr>
            <w:tcW w:w="1985" w:type="dxa"/>
            <w:vMerge w:val="restart"/>
          </w:tcPr>
          <w:p w14:paraId="55C509CB" w14:textId="09DD50E8" w:rsidR="00350866" w:rsidRPr="00AA1346" w:rsidRDefault="00350866" w:rsidP="004401DF">
            <w:pPr>
              <w:pStyle w:val="TableParagraph"/>
              <w:ind w:left="147" w:right="170"/>
              <w:rPr>
                <w:lang w:val="hu-HU"/>
              </w:rPr>
            </w:pPr>
            <w:r w:rsidRPr="00AA1346">
              <w:rPr>
                <w:lang w:val="hu-HU"/>
              </w:rPr>
              <w:t>Kreatinin- clearance (ml/perc/1,73</w:t>
            </w:r>
            <w:r w:rsidR="00AE1BA0" w:rsidRPr="00AA1346">
              <w:rPr>
                <w:lang w:val="hu-HU"/>
              </w:rPr>
              <w:t> </w:t>
            </w:r>
            <w:r w:rsidRPr="00AA1346">
              <w:rPr>
                <w:lang w:val="hu-HU"/>
              </w:rPr>
              <w:t>m</w:t>
            </w:r>
            <w:r w:rsidRPr="00AA1346">
              <w:rPr>
                <w:vertAlign w:val="superscript"/>
                <w:lang w:val="hu-HU"/>
              </w:rPr>
              <w:t>2</w:t>
            </w:r>
            <w:r w:rsidRPr="00AA1346">
              <w:rPr>
                <w:lang w:val="hu-HU"/>
              </w:rPr>
              <w:t>)</w:t>
            </w:r>
          </w:p>
        </w:tc>
        <w:tc>
          <w:tcPr>
            <w:tcW w:w="5234" w:type="dxa"/>
          </w:tcPr>
          <w:p w14:paraId="03159B4C" w14:textId="77777777" w:rsidR="00350866" w:rsidRPr="00AA1346" w:rsidRDefault="00350866" w:rsidP="004401DF">
            <w:pPr>
              <w:pStyle w:val="TableParagraph"/>
              <w:ind w:left="1560" w:right="1842"/>
              <w:jc w:val="center"/>
              <w:rPr>
                <w:lang w:val="hu-HU"/>
              </w:rPr>
            </w:pPr>
            <w:r w:rsidRPr="00AA1346">
              <w:rPr>
                <w:lang w:val="hu-HU"/>
              </w:rPr>
              <w:t>Dózis és gyakoriság</w:t>
            </w:r>
          </w:p>
        </w:tc>
      </w:tr>
      <w:tr w:rsidR="00350866" w:rsidRPr="00AA1346" w14:paraId="0FD31856" w14:textId="77777777" w:rsidTr="00350866">
        <w:trPr>
          <w:trHeight w:hRule="exact" w:val="629"/>
        </w:trPr>
        <w:tc>
          <w:tcPr>
            <w:tcW w:w="1843" w:type="dxa"/>
            <w:vMerge/>
          </w:tcPr>
          <w:p w14:paraId="0C4F5845" w14:textId="77777777" w:rsidR="00350866" w:rsidRPr="00AA1346" w:rsidRDefault="00350866" w:rsidP="004401DF">
            <w:pPr>
              <w:spacing w:after="0" w:line="240" w:lineRule="auto"/>
              <w:ind w:left="142"/>
              <w:rPr>
                <w:rFonts w:ascii="Times New Roman" w:hAnsi="Times New Roman" w:cs="Times New Roman"/>
              </w:rPr>
            </w:pPr>
          </w:p>
        </w:tc>
        <w:tc>
          <w:tcPr>
            <w:tcW w:w="1985" w:type="dxa"/>
            <w:vMerge/>
          </w:tcPr>
          <w:p w14:paraId="5AFA14D3" w14:textId="77777777" w:rsidR="00350866" w:rsidRPr="00AA1346" w:rsidRDefault="00350866" w:rsidP="004401DF">
            <w:pPr>
              <w:spacing w:after="0" w:line="240" w:lineRule="auto"/>
              <w:rPr>
                <w:rFonts w:ascii="Times New Roman" w:hAnsi="Times New Roman" w:cs="Times New Roman"/>
              </w:rPr>
            </w:pPr>
          </w:p>
        </w:tc>
        <w:tc>
          <w:tcPr>
            <w:tcW w:w="5234" w:type="dxa"/>
          </w:tcPr>
          <w:p w14:paraId="46FDC09D" w14:textId="467EC1F3" w:rsidR="00350866" w:rsidRPr="00AA1346" w:rsidRDefault="00350866" w:rsidP="004401DF">
            <w:pPr>
              <w:pStyle w:val="TableParagraph"/>
              <w:ind w:left="148"/>
              <w:rPr>
                <w:lang w:val="hu-HU"/>
              </w:rPr>
            </w:pPr>
            <w:r w:rsidRPr="00AA1346">
              <w:rPr>
                <w:lang w:val="hu-HU"/>
              </w:rPr>
              <w:t>Gyermekek 4</w:t>
            </w:r>
            <w:r w:rsidR="00E43C2F">
              <w:rPr>
                <w:lang w:val="hu-HU"/>
              </w:rPr>
              <w:t> </w:t>
            </w:r>
            <w:r w:rsidRPr="00AA1346">
              <w:rPr>
                <w:lang w:val="hu-HU"/>
              </w:rPr>
              <w:t>éves kortól és 50</w:t>
            </w:r>
            <w:r w:rsidR="00E43C2F">
              <w:rPr>
                <w:lang w:val="hu-HU"/>
              </w:rPr>
              <w:t> </w:t>
            </w:r>
            <w:r w:rsidRPr="00AA1346">
              <w:rPr>
                <w:lang w:val="hu-HU"/>
              </w:rPr>
              <w:t>kg</w:t>
            </w:r>
            <w:r w:rsidR="00E43C2F">
              <w:rPr>
                <w:lang w:val="hu-HU"/>
              </w:rPr>
              <w:t>-nál kisebb</w:t>
            </w:r>
            <w:r w:rsidRPr="00AA1346">
              <w:rPr>
                <w:lang w:val="hu-HU"/>
              </w:rPr>
              <w:t xml:space="preserve"> testtömeg</w:t>
            </w:r>
            <w:r w:rsidR="00E43C2F">
              <w:rPr>
                <w:lang w:val="hu-HU"/>
              </w:rPr>
              <w:t>ű</w:t>
            </w:r>
            <w:r w:rsidRPr="00AA1346">
              <w:rPr>
                <w:lang w:val="hu-HU"/>
              </w:rPr>
              <w:t xml:space="preserve"> serdülők</w:t>
            </w:r>
          </w:p>
        </w:tc>
      </w:tr>
      <w:tr w:rsidR="00350866" w:rsidRPr="00AA1346" w14:paraId="164C5DA9" w14:textId="77777777" w:rsidTr="00350866">
        <w:trPr>
          <w:trHeight w:hRule="exact" w:val="264"/>
        </w:trPr>
        <w:tc>
          <w:tcPr>
            <w:tcW w:w="1843" w:type="dxa"/>
          </w:tcPr>
          <w:p w14:paraId="305951CB" w14:textId="602E13F7" w:rsidR="00350866" w:rsidRPr="00AA1346" w:rsidRDefault="00350866" w:rsidP="004401DF">
            <w:pPr>
              <w:pStyle w:val="TableParagraph"/>
              <w:ind w:left="142"/>
              <w:rPr>
                <w:lang w:val="hu-HU"/>
              </w:rPr>
            </w:pPr>
            <w:r w:rsidRPr="00AA1346">
              <w:rPr>
                <w:lang w:val="hu-HU"/>
              </w:rPr>
              <w:t>Normál</w:t>
            </w:r>
            <w:r w:rsidR="00542422">
              <w:rPr>
                <w:lang w:val="hu-HU"/>
              </w:rPr>
              <w:t>is</w:t>
            </w:r>
          </w:p>
        </w:tc>
        <w:tc>
          <w:tcPr>
            <w:tcW w:w="1985" w:type="dxa"/>
          </w:tcPr>
          <w:p w14:paraId="6DA39536" w14:textId="5A982721" w:rsidR="00350866" w:rsidRPr="00AA1346" w:rsidRDefault="00350866" w:rsidP="004401DF">
            <w:pPr>
              <w:pStyle w:val="TableParagraph"/>
              <w:ind w:left="150"/>
              <w:rPr>
                <w:lang w:val="hu-HU"/>
              </w:rPr>
            </w:pPr>
            <w:r w:rsidRPr="00AA1346">
              <w:rPr>
                <w:lang w:val="hu-HU"/>
              </w:rPr>
              <w:t>≥</w:t>
            </w:r>
            <w:r w:rsidR="00AE1BA0" w:rsidRPr="00AA1346">
              <w:rPr>
                <w:lang w:val="hu-HU"/>
              </w:rPr>
              <w:t> </w:t>
            </w:r>
            <w:r w:rsidRPr="00AA1346">
              <w:rPr>
                <w:lang w:val="hu-HU"/>
              </w:rPr>
              <w:t>80</w:t>
            </w:r>
          </w:p>
        </w:tc>
        <w:tc>
          <w:tcPr>
            <w:tcW w:w="5234" w:type="dxa"/>
          </w:tcPr>
          <w:p w14:paraId="37A028DC" w14:textId="089AA2F2" w:rsidR="00350866" w:rsidRPr="00AA1346" w:rsidRDefault="00350866" w:rsidP="004401DF">
            <w:pPr>
              <w:pStyle w:val="TableParagraph"/>
              <w:ind w:left="148"/>
              <w:rPr>
                <w:lang w:val="hu-HU"/>
              </w:rPr>
            </w:pPr>
            <w:r w:rsidRPr="00AA1346">
              <w:rPr>
                <w:lang w:val="hu-HU"/>
              </w:rPr>
              <w:t>naponta 2</w:t>
            </w:r>
            <w:r w:rsidR="00AE1BA0" w:rsidRPr="00AA1346">
              <w:rPr>
                <w:lang w:val="hu-HU"/>
              </w:rPr>
              <w:t> </w:t>
            </w:r>
            <w:r w:rsidRPr="00AA1346">
              <w:rPr>
                <w:lang w:val="hu-HU"/>
              </w:rPr>
              <w:t>×</w:t>
            </w:r>
            <w:r w:rsidR="00AE1BA0" w:rsidRPr="00AA1346">
              <w:rPr>
                <w:lang w:val="hu-HU"/>
              </w:rPr>
              <w:t> </w:t>
            </w:r>
            <w:r w:rsidRPr="00AA1346">
              <w:rPr>
                <w:lang w:val="hu-HU"/>
              </w:rPr>
              <w:t>10</w:t>
            </w:r>
            <w:r w:rsidR="001C5094" w:rsidRPr="00AA1346">
              <w:rPr>
                <w:lang w:val="hu-HU"/>
              </w:rPr>
              <w:t>–</w:t>
            </w:r>
            <w:r w:rsidRPr="00AA1346">
              <w:rPr>
                <w:lang w:val="hu-HU"/>
              </w:rPr>
              <w:t>30</w:t>
            </w:r>
            <w:r w:rsidR="00AE1BA0" w:rsidRPr="00AA1346">
              <w:rPr>
                <w:lang w:val="hu-HU"/>
              </w:rPr>
              <w:t> </w:t>
            </w:r>
            <w:r w:rsidRPr="00AA1346">
              <w:rPr>
                <w:lang w:val="hu-HU"/>
              </w:rPr>
              <w:t>mg/ttkg (0,10</w:t>
            </w:r>
            <w:r w:rsidR="000F7F47" w:rsidRPr="00AA1346">
              <w:rPr>
                <w:lang w:val="hu-HU"/>
              </w:rPr>
              <w:t>–</w:t>
            </w:r>
            <w:r w:rsidRPr="00AA1346">
              <w:rPr>
                <w:lang w:val="hu-HU"/>
              </w:rPr>
              <w:t>0,30</w:t>
            </w:r>
            <w:r w:rsidR="00AE1BA0" w:rsidRPr="00AA1346">
              <w:rPr>
                <w:lang w:val="hu-HU"/>
              </w:rPr>
              <w:t> </w:t>
            </w:r>
            <w:r w:rsidRPr="00AA1346">
              <w:rPr>
                <w:lang w:val="hu-HU"/>
              </w:rPr>
              <w:t>ml/ttkg)</w:t>
            </w:r>
          </w:p>
        </w:tc>
      </w:tr>
      <w:tr w:rsidR="00350866" w:rsidRPr="00AA1346" w14:paraId="4752CB16" w14:textId="77777777" w:rsidTr="00350866">
        <w:trPr>
          <w:trHeight w:hRule="exact" w:val="264"/>
        </w:trPr>
        <w:tc>
          <w:tcPr>
            <w:tcW w:w="1843" w:type="dxa"/>
          </w:tcPr>
          <w:p w14:paraId="0AB1D8CA" w14:textId="77777777" w:rsidR="00350866" w:rsidRPr="00AA1346" w:rsidRDefault="00350866" w:rsidP="004401DF">
            <w:pPr>
              <w:pStyle w:val="TableParagraph"/>
              <w:ind w:left="142"/>
              <w:rPr>
                <w:lang w:val="hu-HU"/>
              </w:rPr>
            </w:pPr>
            <w:r w:rsidRPr="00AA1346">
              <w:rPr>
                <w:lang w:val="hu-HU"/>
              </w:rPr>
              <w:t>Enyhe</w:t>
            </w:r>
          </w:p>
        </w:tc>
        <w:tc>
          <w:tcPr>
            <w:tcW w:w="1985" w:type="dxa"/>
          </w:tcPr>
          <w:p w14:paraId="63D6804B" w14:textId="36822B0F" w:rsidR="00350866" w:rsidRPr="00AA1346" w:rsidRDefault="00350866" w:rsidP="004401DF">
            <w:pPr>
              <w:pStyle w:val="TableParagraph"/>
              <w:ind w:left="150"/>
              <w:rPr>
                <w:lang w:val="hu-HU"/>
              </w:rPr>
            </w:pPr>
            <w:r w:rsidRPr="00AA1346">
              <w:rPr>
                <w:lang w:val="hu-HU"/>
              </w:rPr>
              <w:t>50</w:t>
            </w:r>
            <w:r w:rsidR="00E43C2F" w:rsidRPr="00AA1346">
              <w:rPr>
                <w:lang w:val="hu-HU"/>
              </w:rPr>
              <w:t>–</w:t>
            </w:r>
            <w:r w:rsidRPr="00AA1346">
              <w:rPr>
                <w:lang w:val="hu-HU"/>
              </w:rPr>
              <w:t>79</w:t>
            </w:r>
          </w:p>
        </w:tc>
        <w:tc>
          <w:tcPr>
            <w:tcW w:w="5234" w:type="dxa"/>
          </w:tcPr>
          <w:p w14:paraId="37049EF4" w14:textId="07FA8D5E" w:rsidR="00350866" w:rsidRPr="00AA1346" w:rsidRDefault="00350866" w:rsidP="004401DF">
            <w:pPr>
              <w:pStyle w:val="TableParagraph"/>
              <w:ind w:left="148"/>
              <w:rPr>
                <w:lang w:val="hu-HU"/>
              </w:rPr>
            </w:pPr>
            <w:r w:rsidRPr="00AA1346">
              <w:rPr>
                <w:lang w:val="hu-HU"/>
              </w:rPr>
              <w:t>naponta 2</w:t>
            </w:r>
            <w:r w:rsidR="00AE1BA0" w:rsidRPr="00AA1346">
              <w:rPr>
                <w:lang w:val="hu-HU"/>
              </w:rPr>
              <w:t> </w:t>
            </w:r>
            <w:r w:rsidRPr="00AA1346">
              <w:rPr>
                <w:lang w:val="hu-HU"/>
              </w:rPr>
              <w:t>×</w:t>
            </w:r>
            <w:r w:rsidR="00AE1BA0" w:rsidRPr="00AA1346">
              <w:rPr>
                <w:lang w:val="hu-HU"/>
              </w:rPr>
              <w:t> </w:t>
            </w:r>
            <w:r w:rsidRPr="00AA1346">
              <w:rPr>
                <w:lang w:val="hu-HU"/>
              </w:rPr>
              <w:t>10</w:t>
            </w:r>
            <w:r w:rsidR="001C5094" w:rsidRPr="00AA1346">
              <w:rPr>
                <w:lang w:val="hu-HU"/>
              </w:rPr>
              <w:t>–</w:t>
            </w:r>
            <w:r w:rsidRPr="00AA1346">
              <w:rPr>
                <w:lang w:val="hu-HU"/>
              </w:rPr>
              <w:t>20</w:t>
            </w:r>
            <w:r w:rsidR="00AE1BA0" w:rsidRPr="00AA1346">
              <w:rPr>
                <w:lang w:val="hu-HU"/>
              </w:rPr>
              <w:t> </w:t>
            </w:r>
            <w:r w:rsidRPr="00AA1346">
              <w:rPr>
                <w:lang w:val="hu-HU"/>
              </w:rPr>
              <w:t>mg/ttkg (0,10</w:t>
            </w:r>
            <w:r w:rsidR="000F7F47" w:rsidRPr="00AA1346">
              <w:rPr>
                <w:lang w:val="hu-HU"/>
              </w:rPr>
              <w:t>–</w:t>
            </w:r>
            <w:r w:rsidRPr="00AA1346">
              <w:rPr>
                <w:lang w:val="hu-HU"/>
              </w:rPr>
              <w:t>0,20</w:t>
            </w:r>
            <w:r w:rsidR="00AE1BA0" w:rsidRPr="00AA1346">
              <w:rPr>
                <w:lang w:val="hu-HU"/>
              </w:rPr>
              <w:t> </w:t>
            </w:r>
            <w:r w:rsidRPr="00AA1346">
              <w:rPr>
                <w:lang w:val="hu-HU"/>
              </w:rPr>
              <w:t>ml/ttkg)</w:t>
            </w:r>
          </w:p>
        </w:tc>
      </w:tr>
      <w:tr w:rsidR="00350866" w:rsidRPr="00AA1346" w14:paraId="24756D8D" w14:textId="77777777" w:rsidTr="00350866">
        <w:trPr>
          <w:trHeight w:hRule="exact" w:val="262"/>
        </w:trPr>
        <w:tc>
          <w:tcPr>
            <w:tcW w:w="1843" w:type="dxa"/>
          </w:tcPr>
          <w:p w14:paraId="4E45D9AB" w14:textId="77777777" w:rsidR="00350866" w:rsidRPr="00AA1346" w:rsidRDefault="00350866" w:rsidP="004401DF">
            <w:pPr>
              <w:pStyle w:val="TableParagraph"/>
              <w:ind w:left="142"/>
              <w:rPr>
                <w:lang w:val="hu-HU"/>
              </w:rPr>
            </w:pPr>
            <w:r w:rsidRPr="00AA1346">
              <w:rPr>
                <w:lang w:val="hu-HU"/>
              </w:rPr>
              <w:t>Közepes</w:t>
            </w:r>
          </w:p>
        </w:tc>
        <w:tc>
          <w:tcPr>
            <w:tcW w:w="1985" w:type="dxa"/>
          </w:tcPr>
          <w:p w14:paraId="68BC4451" w14:textId="3ABAA45C" w:rsidR="00350866" w:rsidRPr="00AA1346" w:rsidRDefault="00350866" w:rsidP="004401DF">
            <w:pPr>
              <w:pStyle w:val="TableParagraph"/>
              <w:ind w:left="150"/>
              <w:rPr>
                <w:lang w:val="hu-HU"/>
              </w:rPr>
            </w:pPr>
            <w:r w:rsidRPr="00AA1346">
              <w:rPr>
                <w:lang w:val="hu-HU"/>
              </w:rPr>
              <w:t>30</w:t>
            </w:r>
            <w:r w:rsidR="00E43C2F" w:rsidRPr="00AA1346">
              <w:rPr>
                <w:lang w:val="hu-HU"/>
              </w:rPr>
              <w:t>–</w:t>
            </w:r>
            <w:r w:rsidRPr="00AA1346">
              <w:rPr>
                <w:lang w:val="hu-HU"/>
              </w:rPr>
              <w:t>49</w:t>
            </w:r>
          </w:p>
        </w:tc>
        <w:tc>
          <w:tcPr>
            <w:tcW w:w="5234" w:type="dxa"/>
          </w:tcPr>
          <w:p w14:paraId="1995D768" w14:textId="5FEBF5C2" w:rsidR="00350866" w:rsidRPr="00AA1346" w:rsidRDefault="00350866" w:rsidP="004401DF">
            <w:pPr>
              <w:pStyle w:val="TableParagraph"/>
              <w:ind w:left="148"/>
              <w:rPr>
                <w:lang w:val="hu-HU"/>
              </w:rPr>
            </w:pPr>
            <w:r w:rsidRPr="00AA1346">
              <w:rPr>
                <w:lang w:val="hu-HU"/>
              </w:rPr>
              <w:t>naponta 2</w:t>
            </w:r>
            <w:r w:rsidR="00AE1BA0" w:rsidRPr="00AA1346">
              <w:rPr>
                <w:lang w:val="hu-HU"/>
              </w:rPr>
              <w:t> </w:t>
            </w:r>
            <w:r w:rsidRPr="00AA1346">
              <w:rPr>
                <w:lang w:val="hu-HU"/>
              </w:rPr>
              <w:t>×</w:t>
            </w:r>
            <w:r w:rsidR="00AE1BA0" w:rsidRPr="00AA1346">
              <w:rPr>
                <w:lang w:val="hu-HU"/>
              </w:rPr>
              <w:t> </w:t>
            </w:r>
            <w:r w:rsidRPr="00AA1346">
              <w:rPr>
                <w:lang w:val="hu-HU"/>
              </w:rPr>
              <w:t>5</w:t>
            </w:r>
            <w:r w:rsidR="001C5094" w:rsidRPr="00AA1346">
              <w:rPr>
                <w:lang w:val="hu-HU"/>
              </w:rPr>
              <w:t>–</w:t>
            </w:r>
            <w:r w:rsidRPr="00AA1346">
              <w:rPr>
                <w:lang w:val="hu-HU"/>
              </w:rPr>
              <w:t>15</w:t>
            </w:r>
            <w:r w:rsidR="00AE1BA0" w:rsidRPr="00AA1346">
              <w:rPr>
                <w:lang w:val="hu-HU"/>
              </w:rPr>
              <w:t> </w:t>
            </w:r>
            <w:r w:rsidRPr="00AA1346">
              <w:rPr>
                <w:lang w:val="hu-HU"/>
              </w:rPr>
              <w:t>mg/ttkg (0,05</w:t>
            </w:r>
            <w:r w:rsidR="000F7F47" w:rsidRPr="00AA1346">
              <w:rPr>
                <w:lang w:val="hu-HU"/>
              </w:rPr>
              <w:t>–</w:t>
            </w:r>
            <w:r w:rsidRPr="00AA1346">
              <w:rPr>
                <w:lang w:val="hu-HU"/>
              </w:rPr>
              <w:t>0,15</w:t>
            </w:r>
            <w:r w:rsidR="00AE1BA0" w:rsidRPr="00AA1346">
              <w:rPr>
                <w:lang w:val="hu-HU"/>
              </w:rPr>
              <w:t> </w:t>
            </w:r>
            <w:r w:rsidRPr="00AA1346">
              <w:rPr>
                <w:lang w:val="hu-HU"/>
              </w:rPr>
              <w:t>ml/ttkg)</w:t>
            </w:r>
          </w:p>
        </w:tc>
      </w:tr>
      <w:tr w:rsidR="00350866" w:rsidRPr="00AA1346" w14:paraId="2EAA0856" w14:textId="77777777" w:rsidTr="00350866">
        <w:trPr>
          <w:trHeight w:hRule="exact" w:val="264"/>
        </w:trPr>
        <w:tc>
          <w:tcPr>
            <w:tcW w:w="1843" w:type="dxa"/>
          </w:tcPr>
          <w:p w14:paraId="47F8799D" w14:textId="77777777" w:rsidR="00350866" w:rsidRPr="00AA1346" w:rsidRDefault="00350866" w:rsidP="004401DF">
            <w:pPr>
              <w:pStyle w:val="TableParagraph"/>
              <w:ind w:left="142"/>
              <w:rPr>
                <w:lang w:val="hu-HU"/>
              </w:rPr>
            </w:pPr>
            <w:r w:rsidRPr="00AA1346">
              <w:rPr>
                <w:lang w:val="hu-HU"/>
              </w:rPr>
              <w:t>Súlyos</w:t>
            </w:r>
          </w:p>
        </w:tc>
        <w:tc>
          <w:tcPr>
            <w:tcW w:w="1985" w:type="dxa"/>
          </w:tcPr>
          <w:p w14:paraId="225E4923" w14:textId="25E9DEF6" w:rsidR="00350866" w:rsidRPr="00AA1346" w:rsidRDefault="00350866" w:rsidP="004401DF">
            <w:pPr>
              <w:pStyle w:val="TableParagraph"/>
              <w:ind w:left="150"/>
              <w:rPr>
                <w:lang w:val="hu-HU"/>
              </w:rPr>
            </w:pPr>
            <w:r w:rsidRPr="00AA1346">
              <w:rPr>
                <w:lang w:val="hu-HU"/>
              </w:rPr>
              <w:t>&lt;</w:t>
            </w:r>
            <w:r w:rsidR="00AE1BA0" w:rsidRPr="00AA1346">
              <w:rPr>
                <w:lang w:val="hu-HU"/>
              </w:rPr>
              <w:t> </w:t>
            </w:r>
            <w:r w:rsidRPr="00AA1346">
              <w:rPr>
                <w:lang w:val="hu-HU"/>
              </w:rPr>
              <w:t>30</w:t>
            </w:r>
          </w:p>
        </w:tc>
        <w:tc>
          <w:tcPr>
            <w:tcW w:w="5234" w:type="dxa"/>
          </w:tcPr>
          <w:p w14:paraId="16289A09" w14:textId="0AB2FC5D" w:rsidR="00350866" w:rsidRPr="00AA1346" w:rsidRDefault="00350866" w:rsidP="004401DF">
            <w:pPr>
              <w:pStyle w:val="TableParagraph"/>
              <w:ind w:left="148"/>
              <w:rPr>
                <w:lang w:val="hu-HU"/>
              </w:rPr>
            </w:pPr>
            <w:r w:rsidRPr="00AA1346">
              <w:rPr>
                <w:lang w:val="hu-HU"/>
              </w:rPr>
              <w:t>naponta 2</w:t>
            </w:r>
            <w:r w:rsidR="00AE1BA0" w:rsidRPr="00AA1346">
              <w:rPr>
                <w:lang w:val="hu-HU"/>
              </w:rPr>
              <w:t> </w:t>
            </w:r>
            <w:r w:rsidRPr="00AA1346">
              <w:rPr>
                <w:lang w:val="hu-HU"/>
              </w:rPr>
              <w:t>×</w:t>
            </w:r>
            <w:r w:rsidR="00AE1BA0" w:rsidRPr="00AA1346">
              <w:rPr>
                <w:lang w:val="hu-HU"/>
              </w:rPr>
              <w:t> </w:t>
            </w:r>
            <w:r w:rsidRPr="00AA1346">
              <w:rPr>
                <w:lang w:val="hu-HU"/>
              </w:rPr>
              <w:t>5</w:t>
            </w:r>
            <w:r w:rsidR="001C5094" w:rsidRPr="00AA1346">
              <w:rPr>
                <w:lang w:val="hu-HU"/>
              </w:rPr>
              <w:t>–</w:t>
            </w:r>
            <w:r w:rsidRPr="00AA1346">
              <w:rPr>
                <w:lang w:val="hu-HU"/>
              </w:rPr>
              <w:t>10</w:t>
            </w:r>
            <w:r w:rsidR="00AE1BA0" w:rsidRPr="00AA1346">
              <w:rPr>
                <w:lang w:val="hu-HU"/>
              </w:rPr>
              <w:t> </w:t>
            </w:r>
            <w:r w:rsidRPr="00AA1346">
              <w:rPr>
                <w:lang w:val="hu-HU"/>
              </w:rPr>
              <w:t>mg/ttkg (0,05</w:t>
            </w:r>
            <w:r w:rsidR="000F7F47" w:rsidRPr="00AA1346">
              <w:rPr>
                <w:lang w:val="hu-HU"/>
              </w:rPr>
              <w:t>–</w:t>
            </w:r>
            <w:r w:rsidRPr="00AA1346">
              <w:rPr>
                <w:lang w:val="hu-HU"/>
              </w:rPr>
              <w:t>0,10</w:t>
            </w:r>
            <w:r w:rsidR="00AE1BA0" w:rsidRPr="00AA1346">
              <w:rPr>
                <w:lang w:val="hu-HU"/>
              </w:rPr>
              <w:t> </w:t>
            </w:r>
            <w:r w:rsidRPr="00AA1346">
              <w:rPr>
                <w:lang w:val="hu-HU"/>
              </w:rPr>
              <w:t>ml/ttkg)</w:t>
            </w:r>
          </w:p>
        </w:tc>
      </w:tr>
      <w:tr w:rsidR="00350866" w:rsidRPr="00AA1346" w14:paraId="0E67D0DE" w14:textId="77777777" w:rsidTr="00350866">
        <w:trPr>
          <w:trHeight w:hRule="exact" w:val="1781"/>
        </w:trPr>
        <w:tc>
          <w:tcPr>
            <w:tcW w:w="1843" w:type="dxa"/>
          </w:tcPr>
          <w:p w14:paraId="4C0EA681" w14:textId="3770F5E1" w:rsidR="00350866" w:rsidRPr="00AA1346" w:rsidRDefault="00350866" w:rsidP="004401DF">
            <w:pPr>
              <w:pStyle w:val="TableParagraph"/>
              <w:ind w:left="142" w:right="83"/>
              <w:rPr>
                <w:lang w:val="hu-HU"/>
              </w:rPr>
            </w:pPr>
            <w:r w:rsidRPr="00AA1346">
              <w:rPr>
                <w:lang w:val="hu-HU"/>
              </w:rPr>
              <w:t>Végstádiumú vesebetegségben szenvedő, dialíziskezelésben részesülő betegek</w:t>
            </w:r>
          </w:p>
        </w:tc>
        <w:tc>
          <w:tcPr>
            <w:tcW w:w="1985" w:type="dxa"/>
          </w:tcPr>
          <w:p w14:paraId="691685D7" w14:textId="77777777" w:rsidR="00350866" w:rsidRPr="00AA1346" w:rsidRDefault="00350866" w:rsidP="004401DF">
            <w:pPr>
              <w:pStyle w:val="TableParagraph"/>
              <w:ind w:left="150"/>
              <w:rPr>
                <w:lang w:val="hu-HU"/>
              </w:rPr>
            </w:pPr>
            <w:r w:rsidRPr="00AA1346">
              <w:rPr>
                <w:lang w:val="hu-HU"/>
              </w:rPr>
              <w:t>--</w:t>
            </w:r>
          </w:p>
        </w:tc>
        <w:tc>
          <w:tcPr>
            <w:tcW w:w="5234" w:type="dxa"/>
          </w:tcPr>
          <w:p w14:paraId="20198749" w14:textId="4F9CE1FE" w:rsidR="00350866" w:rsidRPr="00AA1346" w:rsidRDefault="00350866" w:rsidP="004401DF">
            <w:pPr>
              <w:pStyle w:val="TableParagraph"/>
              <w:ind w:left="148"/>
              <w:rPr>
                <w:lang w:val="hu-HU"/>
              </w:rPr>
            </w:pPr>
            <w:r w:rsidRPr="00AA1346">
              <w:rPr>
                <w:lang w:val="hu-HU"/>
              </w:rPr>
              <w:t>naponta 1</w:t>
            </w:r>
            <w:r w:rsidR="00AE1BA0" w:rsidRPr="00AA1346">
              <w:rPr>
                <w:lang w:val="hu-HU"/>
              </w:rPr>
              <w:t> </w:t>
            </w:r>
            <w:r w:rsidRPr="00AA1346">
              <w:rPr>
                <w:lang w:val="hu-HU"/>
              </w:rPr>
              <w:t>×</w:t>
            </w:r>
            <w:r w:rsidR="00AE1BA0" w:rsidRPr="00AA1346">
              <w:rPr>
                <w:lang w:val="hu-HU"/>
              </w:rPr>
              <w:t> </w:t>
            </w:r>
            <w:r w:rsidRPr="00AA1346">
              <w:rPr>
                <w:lang w:val="hu-HU"/>
              </w:rPr>
              <w:t>10</w:t>
            </w:r>
            <w:r w:rsidR="001C5094" w:rsidRPr="00AA1346">
              <w:rPr>
                <w:lang w:val="hu-HU"/>
              </w:rPr>
              <w:t>–</w:t>
            </w:r>
            <w:r w:rsidRPr="00AA1346">
              <w:rPr>
                <w:lang w:val="hu-HU"/>
              </w:rPr>
              <w:t>20</w:t>
            </w:r>
            <w:r w:rsidR="00AE1BA0" w:rsidRPr="00AA1346">
              <w:rPr>
                <w:lang w:val="hu-HU"/>
              </w:rPr>
              <w:t> </w:t>
            </w:r>
            <w:r w:rsidRPr="00AA1346">
              <w:rPr>
                <w:lang w:val="hu-HU"/>
              </w:rPr>
              <w:t>mg/ttkg (0,10</w:t>
            </w:r>
            <w:r w:rsidR="000F7F47" w:rsidRPr="00AA1346">
              <w:rPr>
                <w:lang w:val="hu-HU"/>
              </w:rPr>
              <w:t>–</w:t>
            </w:r>
            <w:r w:rsidRPr="00AA1346">
              <w:rPr>
                <w:lang w:val="hu-HU"/>
              </w:rPr>
              <w:t>0,20</w:t>
            </w:r>
            <w:r w:rsidR="00AE1BA0" w:rsidRPr="00AA1346">
              <w:rPr>
                <w:lang w:val="hu-HU"/>
              </w:rPr>
              <w:t> </w:t>
            </w:r>
            <w:r w:rsidRPr="00AA1346">
              <w:rPr>
                <w:lang w:val="hu-HU"/>
              </w:rPr>
              <w:t>ml/ttkg)</w:t>
            </w:r>
            <w:r w:rsidRPr="00AA1346">
              <w:rPr>
                <w:color w:val="000000"/>
                <w:vertAlign w:val="superscript"/>
              </w:rPr>
              <w:t xml:space="preserve"> (1) (2)</w:t>
            </w:r>
          </w:p>
        </w:tc>
      </w:tr>
    </w:tbl>
    <w:p w14:paraId="67501FEC" w14:textId="3F73F747" w:rsidR="005C0ABD" w:rsidRPr="00AA1346" w:rsidRDefault="005C0ABD"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vertAlign w:val="superscript"/>
        </w:rPr>
        <w:t xml:space="preserve">(1) </w:t>
      </w:r>
      <w:r w:rsidRPr="00AA1346">
        <w:rPr>
          <w:rFonts w:ascii="Times New Roman" w:eastAsia="Times New Roman" w:hAnsi="Times New Roman" w:cs="Times New Roman"/>
          <w:color w:val="000000"/>
        </w:rPr>
        <w:t>A levetiracetám-kezelés első napján 15</w:t>
      </w:r>
      <w:r w:rsidR="00B35BA0"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mg/ttkg (0,15</w:t>
      </w:r>
      <w:r w:rsidR="00B35BA0"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 xml:space="preserve">ml/ttkg) telítő dózis </w:t>
      </w:r>
      <w:r w:rsidR="00E43C2F">
        <w:rPr>
          <w:rFonts w:ascii="Times New Roman" w:eastAsia="Times New Roman" w:hAnsi="Times New Roman" w:cs="Times New Roman"/>
          <w:color w:val="000000"/>
        </w:rPr>
        <w:t xml:space="preserve">alkalmazása </w:t>
      </w:r>
      <w:r w:rsidRPr="00AA1346">
        <w:rPr>
          <w:rFonts w:ascii="Times New Roman" w:eastAsia="Times New Roman" w:hAnsi="Times New Roman" w:cs="Times New Roman"/>
          <w:color w:val="000000"/>
        </w:rPr>
        <w:t>ajánlott.</w:t>
      </w:r>
    </w:p>
    <w:p w14:paraId="07E58631" w14:textId="6126772F" w:rsidR="005C0ABD" w:rsidRPr="00AA1346" w:rsidRDefault="005C0ABD"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vertAlign w:val="superscript"/>
        </w:rPr>
        <w:t xml:space="preserve">(2) </w:t>
      </w:r>
      <w:r w:rsidRPr="00AA1346">
        <w:rPr>
          <w:rFonts w:ascii="Times New Roman" w:eastAsia="Times New Roman" w:hAnsi="Times New Roman" w:cs="Times New Roman"/>
          <w:color w:val="000000"/>
        </w:rPr>
        <w:t>Dialízist követően egy 5</w:t>
      </w:r>
      <w:r w:rsidR="00B35BA0"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10</w:t>
      </w:r>
      <w:r w:rsidR="00B35BA0"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mg/ttkg-os (0,05</w:t>
      </w:r>
      <w:r w:rsidR="00573BAD" w:rsidRPr="00AA1346">
        <w:rPr>
          <w:rFonts w:ascii="Times New Roman" w:eastAsia="Times New Roman" w:hAnsi="Times New Roman" w:cs="Times New Roman"/>
          <w:color w:val="000000"/>
        </w:rPr>
        <w:t>–</w:t>
      </w:r>
      <w:r w:rsidRPr="00AA1346">
        <w:rPr>
          <w:rFonts w:ascii="Times New Roman" w:eastAsia="Times New Roman" w:hAnsi="Times New Roman" w:cs="Times New Roman"/>
          <w:color w:val="000000"/>
        </w:rPr>
        <w:t>0,10</w:t>
      </w:r>
      <w:r w:rsidR="00B35BA0" w:rsidRPr="00AA1346">
        <w:rPr>
          <w:rFonts w:ascii="Times New Roman" w:eastAsia="Times New Roman" w:hAnsi="Times New Roman" w:cs="Times New Roman"/>
          <w:color w:val="000000"/>
        </w:rPr>
        <w:t> </w:t>
      </w:r>
      <w:r w:rsidRPr="00AA1346">
        <w:rPr>
          <w:rFonts w:ascii="Times New Roman" w:eastAsia="Times New Roman" w:hAnsi="Times New Roman" w:cs="Times New Roman"/>
          <w:color w:val="000000"/>
        </w:rPr>
        <w:t>ml/ttkg) kiegészítő dózis alkalmazása ajánlott.</w:t>
      </w:r>
    </w:p>
    <w:p w14:paraId="421A75CD" w14:textId="77777777" w:rsidR="004739A8" w:rsidRPr="00AA1346" w:rsidRDefault="004739A8" w:rsidP="004401DF">
      <w:pPr>
        <w:suppressAutoHyphens/>
        <w:spacing w:after="0" w:line="240" w:lineRule="auto"/>
        <w:rPr>
          <w:rFonts w:ascii="Times New Roman" w:eastAsia="Times New Roman" w:hAnsi="Times New Roman" w:cs="Times New Roman"/>
          <w:bCs/>
        </w:rPr>
      </w:pPr>
    </w:p>
    <w:p w14:paraId="0195801B" w14:textId="77777777" w:rsidR="00C72FA5" w:rsidRPr="00AA1346" w:rsidRDefault="00C72FA5" w:rsidP="004401DF">
      <w:pPr>
        <w:suppressAutoHyphens/>
        <w:spacing w:after="0" w:line="240" w:lineRule="auto"/>
        <w:rPr>
          <w:rFonts w:ascii="Times New Roman" w:eastAsia="Times New Roman" w:hAnsi="Times New Roman" w:cs="Times New Roman"/>
          <w:bCs/>
          <w:i/>
          <w:iCs/>
        </w:rPr>
      </w:pPr>
      <w:r w:rsidRPr="00AA1346">
        <w:rPr>
          <w:rFonts w:ascii="Times New Roman" w:eastAsia="Times New Roman" w:hAnsi="Times New Roman" w:cs="Times New Roman"/>
          <w:bCs/>
          <w:i/>
          <w:iCs/>
        </w:rPr>
        <w:t>Májkárosodás</w:t>
      </w:r>
    </w:p>
    <w:p w14:paraId="5F603026"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7E9F36DD" w14:textId="2889DA10" w:rsidR="00C72FA5" w:rsidRPr="00AA1346" w:rsidRDefault="00C72FA5" w:rsidP="004401DF">
      <w:pPr>
        <w:suppressAutoHyphens/>
        <w:spacing w:after="0" w:line="240" w:lineRule="auto"/>
        <w:rPr>
          <w:rFonts w:ascii="Times New Roman" w:eastAsia="Times New Roman" w:hAnsi="Times New Roman" w:cs="Times New Roman"/>
          <w:bCs/>
        </w:rPr>
      </w:pPr>
      <w:r w:rsidRPr="00AA1346">
        <w:rPr>
          <w:rFonts w:ascii="Times New Roman" w:eastAsia="Times New Roman" w:hAnsi="Times New Roman" w:cs="Times New Roman"/>
          <w:bCs/>
        </w:rPr>
        <w:t xml:space="preserve">Enyhe vagy közepesen súlyos </w:t>
      </w:r>
      <w:r w:rsidR="00E43C2F">
        <w:rPr>
          <w:rFonts w:ascii="Times New Roman" w:eastAsia="Times New Roman" w:hAnsi="Times New Roman" w:cs="Times New Roman"/>
          <w:bCs/>
        </w:rPr>
        <w:t xml:space="preserve">fokú </w:t>
      </w:r>
      <w:r w:rsidRPr="00AA1346">
        <w:rPr>
          <w:rFonts w:ascii="Times New Roman" w:eastAsia="Times New Roman" w:hAnsi="Times New Roman" w:cs="Times New Roman"/>
          <w:bCs/>
        </w:rPr>
        <w:t xml:space="preserve">májkárosodásban nem szükséges a dózis módosítása. Súlyos </w:t>
      </w:r>
      <w:r w:rsidR="00E43C2F">
        <w:rPr>
          <w:rFonts w:ascii="Times New Roman" w:eastAsia="Times New Roman" w:hAnsi="Times New Roman" w:cs="Times New Roman"/>
          <w:bCs/>
        </w:rPr>
        <w:t xml:space="preserve">fokú </w:t>
      </w:r>
      <w:r w:rsidRPr="00AA1346">
        <w:rPr>
          <w:rFonts w:ascii="Times New Roman" w:eastAsia="Times New Roman" w:hAnsi="Times New Roman" w:cs="Times New Roman"/>
          <w:bCs/>
        </w:rPr>
        <w:t xml:space="preserve">májkárosodásban a kreatinin-clearance a </w:t>
      </w:r>
      <w:r w:rsidR="00E43C2F">
        <w:rPr>
          <w:rFonts w:ascii="Times New Roman" w:eastAsia="Times New Roman" w:hAnsi="Times New Roman" w:cs="Times New Roman"/>
          <w:bCs/>
        </w:rPr>
        <w:t>ténylegesnél</w:t>
      </w:r>
      <w:r w:rsidR="00E43C2F" w:rsidRPr="00AA1346">
        <w:rPr>
          <w:rFonts w:ascii="Times New Roman" w:eastAsia="Times New Roman" w:hAnsi="Times New Roman" w:cs="Times New Roman"/>
          <w:bCs/>
        </w:rPr>
        <w:t xml:space="preserve"> </w:t>
      </w:r>
      <w:r w:rsidRPr="00AA1346">
        <w:rPr>
          <w:rFonts w:ascii="Times New Roman" w:eastAsia="Times New Roman" w:hAnsi="Times New Roman" w:cs="Times New Roman"/>
          <w:bCs/>
        </w:rPr>
        <w:t>enyhébbnek mutatja a vesekárosodás mértékét. Emiatt 60</w:t>
      </w:r>
      <w:r w:rsidR="00B35BA0" w:rsidRPr="00AA1346">
        <w:rPr>
          <w:rFonts w:ascii="Times New Roman" w:eastAsia="Times New Roman" w:hAnsi="Times New Roman" w:cs="Times New Roman"/>
          <w:bCs/>
        </w:rPr>
        <w:t> </w:t>
      </w:r>
      <w:r w:rsidRPr="00AA1346">
        <w:rPr>
          <w:rFonts w:ascii="Times New Roman" w:eastAsia="Times New Roman" w:hAnsi="Times New Roman" w:cs="Times New Roman"/>
          <w:bCs/>
        </w:rPr>
        <w:t>ml/perc/1,73</w:t>
      </w:r>
      <w:r w:rsidR="00B35BA0" w:rsidRPr="00AA1346">
        <w:rPr>
          <w:rFonts w:ascii="Times New Roman" w:eastAsia="Times New Roman" w:hAnsi="Times New Roman" w:cs="Times New Roman"/>
          <w:bCs/>
        </w:rPr>
        <w:t> </w:t>
      </w:r>
      <w:r w:rsidRPr="00AA1346">
        <w:rPr>
          <w:rFonts w:ascii="Times New Roman" w:eastAsia="Times New Roman" w:hAnsi="Times New Roman" w:cs="Times New Roman"/>
          <w:bCs/>
        </w:rPr>
        <w:t>m</w:t>
      </w:r>
      <w:r w:rsidRPr="00AA1346">
        <w:rPr>
          <w:rFonts w:ascii="Times New Roman" w:eastAsia="Times New Roman" w:hAnsi="Times New Roman" w:cs="Times New Roman"/>
          <w:bCs/>
          <w:vertAlign w:val="superscript"/>
        </w:rPr>
        <w:t>2</w:t>
      </w:r>
      <w:r w:rsidRPr="00AA1346">
        <w:rPr>
          <w:rFonts w:ascii="Times New Roman" w:eastAsia="Times New Roman" w:hAnsi="Times New Roman" w:cs="Times New Roman"/>
          <w:bCs/>
        </w:rPr>
        <w:t xml:space="preserve"> alatti kreatinin-clerance-értékek esetében a napi fenntartó dózis 50%-os csökkentése ajánlott.</w:t>
      </w:r>
    </w:p>
    <w:p w14:paraId="7221EC65"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549AF97D" w14:textId="3B10934B" w:rsidR="00C72FA5" w:rsidRPr="00AA1346" w:rsidRDefault="00C72FA5" w:rsidP="00E65268">
      <w:pPr>
        <w:keepNext/>
        <w:spacing w:after="0" w:line="240" w:lineRule="auto"/>
        <w:rPr>
          <w:rFonts w:ascii="Times New Roman" w:eastAsia="Times New Roman" w:hAnsi="Times New Roman" w:cs="Times New Roman"/>
          <w:bCs/>
          <w:u w:val="single"/>
        </w:rPr>
      </w:pPr>
      <w:r w:rsidRPr="00AA1346">
        <w:rPr>
          <w:rFonts w:ascii="Times New Roman" w:eastAsia="Times New Roman" w:hAnsi="Times New Roman" w:cs="Times New Roman"/>
          <w:bCs/>
          <w:u w:val="single"/>
        </w:rPr>
        <w:lastRenderedPageBreak/>
        <w:t>Gyermekek és serdülők</w:t>
      </w:r>
    </w:p>
    <w:p w14:paraId="58620082" w14:textId="77777777" w:rsidR="00C72FA5" w:rsidRPr="00AA1346" w:rsidRDefault="00C72FA5" w:rsidP="00E65268">
      <w:pPr>
        <w:keepNext/>
        <w:suppressAutoHyphens/>
        <w:spacing w:after="0" w:line="240" w:lineRule="auto"/>
        <w:rPr>
          <w:rFonts w:ascii="Times New Roman" w:eastAsia="Times New Roman" w:hAnsi="Times New Roman" w:cs="Times New Roman"/>
          <w:bCs/>
        </w:rPr>
      </w:pPr>
    </w:p>
    <w:p w14:paraId="42BA5BBC" w14:textId="77777777" w:rsidR="00C72FA5" w:rsidRPr="00AA1346" w:rsidRDefault="00C72FA5" w:rsidP="004401DF">
      <w:pPr>
        <w:suppressAutoHyphens/>
        <w:spacing w:after="0" w:line="240" w:lineRule="auto"/>
        <w:rPr>
          <w:rFonts w:ascii="Times New Roman" w:eastAsia="Times New Roman" w:hAnsi="Times New Roman" w:cs="Times New Roman"/>
          <w:bCs/>
        </w:rPr>
      </w:pPr>
      <w:r w:rsidRPr="00AA1346">
        <w:rPr>
          <w:rFonts w:ascii="Times New Roman" w:eastAsia="Times New Roman" w:hAnsi="Times New Roman" w:cs="Times New Roman"/>
          <w:bCs/>
        </w:rPr>
        <w:t>Az orvosnak az életkornak, a testtömegnek és a dózisnak legmegfelelőbb gyógyszerformát, kiszerelést és hatáserősséget kell felírnia.</w:t>
      </w:r>
    </w:p>
    <w:p w14:paraId="025E1357"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6E18B47D" w14:textId="77777777" w:rsidR="00C72FA5" w:rsidRPr="00AA1346" w:rsidRDefault="00C72FA5" w:rsidP="004401DF">
      <w:pPr>
        <w:suppressAutoHyphens/>
        <w:spacing w:after="0" w:line="240" w:lineRule="auto"/>
        <w:rPr>
          <w:rFonts w:ascii="Times New Roman" w:eastAsia="Times New Roman" w:hAnsi="Times New Roman" w:cs="Times New Roman"/>
          <w:bCs/>
          <w:i/>
          <w:iCs/>
        </w:rPr>
      </w:pPr>
      <w:r w:rsidRPr="00AA1346">
        <w:rPr>
          <w:rFonts w:ascii="Times New Roman" w:eastAsia="Times New Roman" w:hAnsi="Times New Roman" w:cs="Times New Roman"/>
          <w:bCs/>
          <w:i/>
          <w:iCs/>
        </w:rPr>
        <w:t>Monoterápia</w:t>
      </w:r>
    </w:p>
    <w:p w14:paraId="44D10EFB"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23388F6C" w14:textId="146554F9" w:rsidR="00C72FA5" w:rsidRPr="00AA1346" w:rsidRDefault="00C72FA5" w:rsidP="004401DF">
      <w:pPr>
        <w:suppressAutoHyphens/>
        <w:spacing w:after="0" w:line="240" w:lineRule="auto"/>
        <w:rPr>
          <w:rFonts w:ascii="Times New Roman" w:eastAsia="Times New Roman" w:hAnsi="Times New Roman" w:cs="Times New Roman"/>
          <w:bCs/>
        </w:rPr>
      </w:pPr>
      <w:r w:rsidRPr="00AA1346">
        <w:rPr>
          <w:rFonts w:ascii="Times New Roman" w:eastAsia="Times New Roman" w:hAnsi="Times New Roman" w:cs="Times New Roman"/>
          <w:bCs/>
        </w:rPr>
        <w:t>A monoterápiában alkalmazott levetiracetám-kezelés biztonságosságát és hatásosságát gyermekek és 16</w:t>
      </w:r>
      <w:r w:rsidR="005E75D3" w:rsidRPr="00AA1346">
        <w:rPr>
          <w:rFonts w:ascii="Times New Roman" w:eastAsia="Times New Roman" w:hAnsi="Times New Roman" w:cs="Times New Roman"/>
          <w:bCs/>
        </w:rPr>
        <w:t> </w:t>
      </w:r>
      <w:r w:rsidRPr="00AA1346">
        <w:rPr>
          <w:rFonts w:ascii="Times New Roman" w:eastAsia="Times New Roman" w:hAnsi="Times New Roman" w:cs="Times New Roman"/>
          <w:bCs/>
        </w:rPr>
        <w:t>évesnél fiatalabb serdülők esetében nem igazolták.</w:t>
      </w:r>
    </w:p>
    <w:p w14:paraId="4BE2ECB6" w14:textId="77777777" w:rsidR="00C72FA5" w:rsidRPr="00AA1346" w:rsidRDefault="00C72FA5" w:rsidP="004401DF">
      <w:pPr>
        <w:suppressAutoHyphens/>
        <w:spacing w:after="0" w:line="240" w:lineRule="auto"/>
        <w:rPr>
          <w:rFonts w:ascii="Times New Roman" w:eastAsia="Times New Roman" w:hAnsi="Times New Roman" w:cs="Times New Roman"/>
          <w:bCs/>
        </w:rPr>
      </w:pPr>
      <w:r w:rsidRPr="00AA1346">
        <w:rPr>
          <w:rFonts w:ascii="Times New Roman" w:eastAsia="Times New Roman" w:hAnsi="Times New Roman" w:cs="Times New Roman"/>
          <w:bCs/>
        </w:rPr>
        <w:t>Nincsenek rendelkezésre álló adatok.</w:t>
      </w:r>
    </w:p>
    <w:p w14:paraId="5B9FF116"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21F0B335" w14:textId="03957F53" w:rsidR="00C72FA5" w:rsidRPr="00AA1346" w:rsidRDefault="00C72FA5" w:rsidP="004401DF">
      <w:pPr>
        <w:suppressAutoHyphens/>
        <w:spacing w:after="0" w:line="240" w:lineRule="auto"/>
        <w:rPr>
          <w:rFonts w:ascii="Times New Roman" w:eastAsia="Times New Roman" w:hAnsi="Times New Roman" w:cs="Times New Roman"/>
          <w:bCs/>
          <w:i/>
          <w:iCs/>
        </w:rPr>
      </w:pPr>
      <w:r w:rsidRPr="00AA1346">
        <w:rPr>
          <w:rFonts w:ascii="Times New Roman" w:eastAsia="Times New Roman" w:hAnsi="Times New Roman" w:cs="Times New Roman"/>
          <w:bCs/>
          <w:i/>
          <w:iCs/>
        </w:rPr>
        <w:t>Újonnan diagnosztizált, másodlagos generalizációt mutató vagy nem mutató epilepsziában szenvedő, legalább 50</w:t>
      </w:r>
      <w:r w:rsidR="005E75D3"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kg testtömegű serdülők (16</w:t>
      </w:r>
      <w:r w:rsidR="005E75D3"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és betöltött 18.</w:t>
      </w:r>
      <w:r w:rsidR="005E75D3" w:rsidRPr="00AA1346">
        <w:rPr>
          <w:rFonts w:ascii="Times New Roman" w:eastAsia="Times New Roman" w:hAnsi="Times New Roman" w:cs="Times New Roman"/>
          <w:bCs/>
          <w:i/>
          <w:iCs/>
        </w:rPr>
        <w:t> </w:t>
      </w:r>
      <w:r w:rsidR="00B4636F">
        <w:rPr>
          <w:rFonts w:ascii="Times New Roman" w:eastAsia="Times New Roman" w:hAnsi="Times New Roman" w:cs="Times New Roman"/>
          <w:bCs/>
          <w:i/>
          <w:iCs/>
        </w:rPr>
        <w:t>élet</w:t>
      </w:r>
      <w:r w:rsidRPr="00AA1346">
        <w:rPr>
          <w:rFonts w:ascii="Times New Roman" w:eastAsia="Times New Roman" w:hAnsi="Times New Roman" w:cs="Times New Roman"/>
          <w:bCs/>
          <w:i/>
          <w:iCs/>
        </w:rPr>
        <w:t>év közötti korú), akiknél parciális görcsrohamok jelentkeznek</w:t>
      </w:r>
    </w:p>
    <w:p w14:paraId="0555FA54" w14:textId="15A35F30" w:rsidR="00B4636F" w:rsidRPr="00AA1346" w:rsidRDefault="00C72FA5" w:rsidP="00B4636F">
      <w:pPr>
        <w:tabs>
          <w:tab w:val="left" w:pos="480"/>
        </w:tabs>
        <w:suppressAutoHyphens/>
        <w:spacing w:after="0" w:line="240" w:lineRule="auto"/>
        <w:rPr>
          <w:rFonts w:ascii="Times New Roman" w:eastAsia="Times New Roman" w:hAnsi="Times New Roman" w:cs="Times New Roman"/>
          <w:i/>
        </w:rPr>
      </w:pPr>
      <w:r w:rsidRPr="00E65268">
        <w:rPr>
          <w:rFonts w:ascii="Times New Roman" w:eastAsia="Times New Roman" w:hAnsi="Times New Roman" w:cs="Times New Roman"/>
          <w:bCs/>
        </w:rPr>
        <w:t>Kérjük, olvassa el a fenti,</w:t>
      </w:r>
      <w:r w:rsidRPr="00AA1346">
        <w:rPr>
          <w:rFonts w:ascii="Times New Roman" w:eastAsia="Times New Roman" w:hAnsi="Times New Roman" w:cs="Times New Roman"/>
          <w:bCs/>
          <w:i/>
          <w:iCs/>
        </w:rPr>
        <w:t xml:space="preserve"> </w:t>
      </w:r>
      <w:r w:rsidR="00373EFC">
        <w:rPr>
          <w:rFonts w:ascii="Times New Roman" w:eastAsia="Times New Roman" w:hAnsi="Times New Roman" w:cs="Times New Roman"/>
          <w:bCs/>
          <w:i/>
          <w:iCs/>
        </w:rPr>
        <w:t>„</w:t>
      </w:r>
      <w:r w:rsidR="00B4636F" w:rsidRPr="00AA1346">
        <w:rPr>
          <w:rFonts w:ascii="Times New Roman" w:eastAsia="Times New Roman" w:hAnsi="Times New Roman" w:cs="Times New Roman"/>
          <w:i/>
        </w:rPr>
        <w:t>Felnőttek (≥ 18</w:t>
      </w:r>
      <w:r w:rsidR="00B4636F">
        <w:rPr>
          <w:rFonts w:ascii="Times New Roman" w:eastAsia="Times New Roman" w:hAnsi="Times New Roman" w:cs="Times New Roman"/>
          <w:i/>
        </w:rPr>
        <w:t> </w:t>
      </w:r>
      <w:r w:rsidR="00B4636F" w:rsidRPr="00AA1346">
        <w:rPr>
          <w:rFonts w:ascii="Times New Roman" w:eastAsia="Times New Roman" w:hAnsi="Times New Roman" w:cs="Times New Roman"/>
          <w:i/>
        </w:rPr>
        <w:t>éves) és 50 kg vagy annál nagyobb testtömegű (12 és betöltött 18. </w:t>
      </w:r>
      <w:r w:rsidR="00B4636F">
        <w:rPr>
          <w:rFonts w:ascii="Times New Roman" w:eastAsia="Times New Roman" w:hAnsi="Times New Roman" w:cs="Times New Roman"/>
          <w:i/>
        </w:rPr>
        <w:t>élet</w:t>
      </w:r>
      <w:r w:rsidR="00B4636F" w:rsidRPr="00AA1346">
        <w:rPr>
          <w:rFonts w:ascii="Times New Roman" w:eastAsia="Times New Roman" w:hAnsi="Times New Roman" w:cs="Times New Roman"/>
          <w:i/>
        </w:rPr>
        <w:t>év közötti korú) gyermekek és serdülők</w:t>
      </w:r>
      <w:r w:rsidR="00B4636F">
        <w:rPr>
          <w:rFonts w:ascii="Times New Roman" w:eastAsia="Times New Roman" w:hAnsi="Times New Roman" w:cs="Times New Roman"/>
          <w:i/>
        </w:rPr>
        <w:t xml:space="preserve"> számára</w:t>
      </w:r>
      <w:r w:rsidR="00373EFC">
        <w:rPr>
          <w:rFonts w:ascii="Times New Roman" w:eastAsia="Times New Roman" w:hAnsi="Times New Roman" w:cs="Times New Roman"/>
          <w:i/>
        </w:rPr>
        <w:t>”</w:t>
      </w:r>
      <w:r w:rsidR="00B4636F">
        <w:rPr>
          <w:rFonts w:ascii="Times New Roman" w:eastAsia="Times New Roman" w:hAnsi="Times New Roman" w:cs="Times New Roman"/>
          <w:i/>
        </w:rPr>
        <w:t xml:space="preserve"> </w:t>
      </w:r>
      <w:r w:rsidR="00B4636F" w:rsidRPr="00D76F4D">
        <w:rPr>
          <w:rFonts w:ascii="Times New Roman" w:eastAsia="Times New Roman" w:hAnsi="Times New Roman" w:cs="Times New Roman"/>
          <w:iCs/>
        </w:rPr>
        <w:t>című részt</w:t>
      </w:r>
      <w:r w:rsidR="00B4636F">
        <w:rPr>
          <w:rFonts w:ascii="Times New Roman" w:eastAsia="Times New Roman" w:hAnsi="Times New Roman" w:cs="Times New Roman"/>
          <w:iCs/>
        </w:rPr>
        <w:t>.</w:t>
      </w:r>
    </w:p>
    <w:p w14:paraId="6D234890"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7DA3B2C5" w14:textId="34D27C47" w:rsidR="00C72FA5" w:rsidRPr="00AA1346" w:rsidRDefault="00C72FA5" w:rsidP="004401DF">
      <w:pPr>
        <w:suppressAutoHyphens/>
        <w:spacing w:after="0" w:line="240" w:lineRule="auto"/>
        <w:rPr>
          <w:rFonts w:ascii="Times New Roman" w:eastAsia="Times New Roman" w:hAnsi="Times New Roman" w:cs="Times New Roman"/>
          <w:bCs/>
          <w:i/>
          <w:iCs/>
        </w:rPr>
      </w:pPr>
      <w:r w:rsidRPr="00AA1346">
        <w:rPr>
          <w:rFonts w:ascii="Times New Roman" w:eastAsia="Times New Roman" w:hAnsi="Times New Roman" w:cs="Times New Roman"/>
          <w:bCs/>
          <w:i/>
          <w:iCs/>
        </w:rPr>
        <w:t>Kiegészítő kezelés 4</w:t>
      </w:r>
      <w:r w:rsidR="005E75D3"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és betöltött 12.</w:t>
      </w:r>
      <w:r w:rsidR="005E75D3" w:rsidRPr="00AA1346">
        <w:rPr>
          <w:rFonts w:ascii="Times New Roman" w:eastAsia="Times New Roman" w:hAnsi="Times New Roman" w:cs="Times New Roman"/>
          <w:bCs/>
          <w:i/>
          <w:iCs/>
        </w:rPr>
        <w:t> </w:t>
      </w:r>
      <w:r w:rsidR="00373EFC">
        <w:rPr>
          <w:rFonts w:ascii="Times New Roman" w:eastAsia="Times New Roman" w:hAnsi="Times New Roman" w:cs="Times New Roman"/>
          <w:bCs/>
          <w:i/>
          <w:iCs/>
        </w:rPr>
        <w:t>élet</w:t>
      </w:r>
      <w:r w:rsidRPr="00AA1346">
        <w:rPr>
          <w:rFonts w:ascii="Times New Roman" w:eastAsia="Times New Roman" w:hAnsi="Times New Roman" w:cs="Times New Roman"/>
          <w:bCs/>
          <w:i/>
          <w:iCs/>
        </w:rPr>
        <w:t>év közötti korú gyermekek és 50</w:t>
      </w:r>
      <w:r w:rsidR="005E75D3"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kg-nál kisebb testtömegű (12</w:t>
      </w:r>
      <w:r w:rsidR="00037572"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és betöltött 18.</w:t>
      </w:r>
      <w:r w:rsidR="00AE4D65" w:rsidRPr="00AA1346">
        <w:rPr>
          <w:rFonts w:ascii="Times New Roman" w:eastAsia="Times New Roman" w:hAnsi="Times New Roman" w:cs="Times New Roman"/>
          <w:bCs/>
          <w:i/>
          <w:iCs/>
        </w:rPr>
        <w:t> </w:t>
      </w:r>
      <w:r w:rsidR="00373EFC">
        <w:rPr>
          <w:rFonts w:ascii="Times New Roman" w:eastAsia="Times New Roman" w:hAnsi="Times New Roman" w:cs="Times New Roman"/>
          <w:bCs/>
          <w:i/>
          <w:iCs/>
        </w:rPr>
        <w:t>élet</w:t>
      </w:r>
      <w:r w:rsidRPr="00AA1346">
        <w:rPr>
          <w:rFonts w:ascii="Times New Roman" w:eastAsia="Times New Roman" w:hAnsi="Times New Roman" w:cs="Times New Roman"/>
          <w:bCs/>
          <w:i/>
          <w:iCs/>
        </w:rPr>
        <w:t>év közötti</w:t>
      </w:r>
      <w:r w:rsidR="00373EFC">
        <w:rPr>
          <w:rFonts w:ascii="Times New Roman" w:eastAsia="Times New Roman" w:hAnsi="Times New Roman" w:cs="Times New Roman"/>
          <w:bCs/>
          <w:i/>
          <w:iCs/>
        </w:rPr>
        <w:t xml:space="preserve"> </w:t>
      </w:r>
      <w:r w:rsidRPr="00AA1346">
        <w:rPr>
          <w:rFonts w:ascii="Times New Roman" w:eastAsia="Times New Roman" w:hAnsi="Times New Roman" w:cs="Times New Roman"/>
          <w:bCs/>
          <w:i/>
          <w:iCs/>
        </w:rPr>
        <w:t>korú) gyermekek és serdülők számára</w:t>
      </w:r>
    </w:p>
    <w:p w14:paraId="0C0E3684"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184E1EAD" w14:textId="719DCF08" w:rsidR="00C72FA5" w:rsidRPr="00AA1346" w:rsidRDefault="00C72FA5" w:rsidP="004401DF">
      <w:pPr>
        <w:suppressAutoHyphens/>
        <w:spacing w:after="0" w:line="240" w:lineRule="auto"/>
        <w:rPr>
          <w:rFonts w:ascii="Times New Roman" w:eastAsia="Times New Roman" w:hAnsi="Times New Roman" w:cs="Times New Roman"/>
          <w:bCs/>
        </w:rPr>
      </w:pPr>
      <w:r w:rsidRPr="00AA1346">
        <w:rPr>
          <w:rFonts w:ascii="Times New Roman" w:eastAsia="Times New Roman" w:hAnsi="Times New Roman" w:cs="Times New Roman"/>
          <w:bCs/>
        </w:rPr>
        <w:t>A kezdő terápiás dózis naponta 2</w:t>
      </w:r>
      <w:r w:rsidR="00AE4D65" w:rsidRPr="00AA1346">
        <w:rPr>
          <w:rFonts w:ascii="Times New Roman" w:eastAsia="Times New Roman" w:hAnsi="Times New Roman" w:cs="Times New Roman"/>
          <w:bCs/>
        </w:rPr>
        <w:t> </w:t>
      </w:r>
      <w:r w:rsidRPr="00AA1346">
        <w:rPr>
          <w:rFonts w:ascii="Times New Roman" w:eastAsia="Times New Roman" w:hAnsi="Times New Roman" w:cs="Times New Roman"/>
          <w:bCs/>
        </w:rPr>
        <w:t>×</w:t>
      </w:r>
      <w:r w:rsidR="00AE4D65" w:rsidRPr="00AA1346">
        <w:rPr>
          <w:rFonts w:ascii="Times New Roman" w:eastAsia="Times New Roman" w:hAnsi="Times New Roman" w:cs="Times New Roman"/>
          <w:bCs/>
        </w:rPr>
        <w:t> </w:t>
      </w:r>
      <w:r w:rsidRPr="00AA1346">
        <w:rPr>
          <w:rFonts w:ascii="Times New Roman" w:eastAsia="Times New Roman" w:hAnsi="Times New Roman" w:cs="Times New Roman"/>
          <w:bCs/>
        </w:rPr>
        <w:t>10</w:t>
      </w:r>
      <w:r w:rsidR="00154C27" w:rsidRPr="00AA1346">
        <w:rPr>
          <w:rFonts w:ascii="Times New Roman" w:eastAsia="Times New Roman" w:hAnsi="Times New Roman" w:cs="Times New Roman"/>
          <w:bCs/>
        </w:rPr>
        <w:t> </w:t>
      </w:r>
      <w:r w:rsidRPr="00AA1346">
        <w:rPr>
          <w:rFonts w:ascii="Times New Roman" w:eastAsia="Times New Roman" w:hAnsi="Times New Roman" w:cs="Times New Roman"/>
          <w:bCs/>
        </w:rPr>
        <w:t>mg/ttkg.</w:t>
      </w:r>
    </w:p>
    <w:p w14:paraId="07FB9995" w14:textId="09F68A29" w:rsidR="00C72FA5" w:rsidRPr="00AA1346" w:rsidRDefault="00C72FA5" w:rsidP="004401DF">
      <w:pPr>
        <w:suppressAutoHyphens/>
        <w:spacing w:after="0" w:line="240" w:lineRule="auto"/>
        <w:rPr>
          <w:rFonts w:ascii="Times New Roman" w:eastAsia="Times New Roman" w:hAnsi="Times New Roman" w:cs="Times New Roman"/>
          <w:bCs/>
        </w:rPr>
      </w:pPr>
      <w:r w:rsidRPr="00AA1346">
        <w:rPr>
          <w:rFonts w:ascii="Times New Roman" w:eastAsia="Times New Roman" w:hAnsi="Times New Roman" w:cs="Times New Roman"/>
          <w:bCs/>
        </w:rPr>
        <w:t>A klinikai válaszreakciótól és a tolerálhatóságtól függően a napi dózis 2</w:t>
      </w:r>
      <w:r w:rsidR="00AE4D65" w:rsidRPr="00AA1346">
        <w:rPr>
          <w:rFonts w:ascii="Times New Roman" w:eastAsia="Times New Roman" w:hAnsi="Times New Roman" w:cs="Times New Roman"/>
          <w:bCs/>
        </w:rPr>
        <w:t> </w:t>
      </w:r>
      <w:r w:rsidRPr="00AA1346">
        <w:rPr>
          <w:rFonts w:ascii="Times New Roman" w:eastAsia="Times New Roman" w:hAnsi="Times New Roman" w:cs="Times New Roman"/>
          <w:bCs/>
        </w:rPr>
        <w:t>×</w:t>
      </w:r>
      <w:r w:rsidR="00AE4D65" w:rsidRPr="00AA1346">
        <w:rPr>
          <w:rFonts w:ascii="Times New Roman" w:eastAsia="Times New Roman" w:hAnsi="Times New Roman" w:cs="Times New Roman"/>
          <w:bCs/>
        </w:rPr>
        <w:t> </w:t>
      </w:r>
      <w:r w:rsidRPr="00AA1346">
        <w:rPr>
          <w:rFonts w:ascii="Times New Roman" w:eastAsia="Times New Roman" w:hAnsi="Times New Roman" w:cs="Times New Roman"/>
          <w:bCs/>
        </w:rPr>
        <w:t>30</w:t>
      </w:r>
      <w:r w:rsidR="00154C27" w:rsidRPr="00AA1346">
        <w:rPr>
          <w:rFonts w:ascii="Times New Roman" w:eastAsia="Times New Roman" w:hAnsi="Times New Roman" w:cs="Times New Roman"/>
          <w:bCs/>
        </w:rPr>
        <w:t> </w:t>
      </w:r>
      <w:r w:rsidRPr="00AA1346">
        <w:rPr>
          <w:rFonts w:ascii="Times New Roman" w:eastAsia="Times New Roman" w:hAnsi="Times New Roman" w:cs="Times New Roman"/>
          <w:bCs/>
        </w:rPr>
        <w:t>mg/ttkg-ig emelhető. A dózis változtatását kéthetente legfeljebb napi 2</w:t>
      </w:r>
      <w:r w:rsidR="005B44F9" w:rsidRPr="00AA1346">
        <w:rPr>
          <w:rFonts w:ascii="Times New Roman" w:eastAsia="Times New Roman" w:hAnsi="Times New Roman" w:cs="Times New Roman"/>
          <w:bCs/>
        </w:rPr>
        <w:t> </w:t>
      </w:r>
      <w:r w:rsidRPr="00AA1346">
        <w:rPr>
          <w:rFonts w:ascii="Times New Roman" w:eastAsia="Times New Roman" w:hAnsi="Times New Roman" w:cs="Times New Roman"/>
          <w:bCs/>
        </w:rPr>
        <w:t>×</w:t>
      </w:r>
      <w:r w:rsidR="005B44F9" w:rsidRPr="00AA1346">
        <w:rPr>
          <w:rFonts w:ascii="Times New Roman" w:eastAsia="Times New Roman" w:hAnsi="Times New Roman" w:cs="Times New Roman"/>
          <w:bCs/>
        </w:rPr>
        <w:t> </w:t>
      </w:r>
      <w:r w:rsidRPr="00AA1346">
        <w:rPr>
          <w:rFonts w:ascii="Times New Roman" w:eastAsia="Times New Roman" w:hAnsi="Times New Roman" w:cs="Times New Roman"/>
          <w:bCs/>
        </w:rPr>
        <w:t>10</w:t>
      </w:r>
      <w:r w:rsidR="00154C27" w:rsidRPr="00AA1346">
        <w:rPr>
          <w:rFonts w:ascii="Times New Roman" w:eastAsia="Times New Roman" w:hAnsi="Times New Roman" w:cs="Times New Roman"/>
          <w:bCs/>
        </w:rPr>
        <w:t> </w:t>
      </w:r>
      <w:r w:rsidRPr="00AA1346">
        <w:rPr>
          <w:rFonts w:ascii="Times New Roman" w:eastAsia="Times New Roman" w:hAnsi="Times New Roman" w:cs="Times New Roman"/>
          <w:bCs/>
        </w:rPr>
        <w:t>mg/ttkg</w:t>
      </w:r>
      <w:r w:rsidR="00BA0C9A">
        <w:rPr>
          <w:rFonts w:ascii="Times New Roman" w:eastAsia="Times New Roman" w:hAnsi="Times New Roman" w:cs="Times New Roman"/>
          <w:bCs/>
        </w:rPr>
        <w:t>-os</w:t>
      </w:r>
      <w:r w:rsidRPr="00AA1346">
        <w:rPr>
          <w:rFonts w:ascii="Times New Roman" w:eastAsia="Times New Roman" w:hAnsi="Times New Roman" w:cs="Times New Roman"/>
          <w:bCs/>
        </w:rPr>
        <w:t xml:space="preserve"> csökkentéssel vagy emeléssel lehet végrehajtani. A legkisebb hatásos dózist kell alkalmazni </w:t>
      </w:r>
      <w:r w:rsidR="00A65986" w:rsidRPr="00AA1346">
        <w:rPr>
          <w:rFonts w:ascii="Times New Roman" w:eastAsia="Times New Roman" w:hAnsi="Times New Roman" w:cs="Times New Roman"/>
          <w:bCs/>
        </w:rPr>
        <w:t xml:space="preserve">minden </w:t>
      </w:r>
      <w:r w:rsidR="00373EFC">
        <w:rPr>
          <w:rFonts w:ascii="Times New Roman" w:eastAsia="Times New Roman" w:hAnsi="Times New Roman" w:cs="Times New Roman"/>
          <w:bCs/>
        </w:rPr>
        <w:t>indikációnál</w:t>
      </w:r>
      <w:r w:rsidR="00A65986" w:rsidRPr="00AA1346">
        <w:rPr>
          <w:rFonts w:ascii="Times New Roman" w:eastAsia="Times New Roman" w:hAnsi="Times New Roman" w:cs="Times New Roman"/>
          <w:bCs/>
        </w:rPr>
        <w:t>.</w:t>
      </w:r>
    </w:p>
    <w:p w14:paraId="5A3FAE96"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581998F1" w14:textId="57090A52" w:rsidR="00C72FA5" w:rsidRPr="00AA1346" w:rsidRDefault="00C72FA5" w:rsidP="004401DF">
      <w:pPr>
        <w:suppressAutoHyphens/>
        <w:spacing w:after="0" w:line="240" w:lineRule="auto"/>
        <w:rPr>
          <w:rFonts w:ascii="Times New Roman" w:eastAsia="Times New Roman" w:hAnsi="Times New Roman" w:cs="Times New Roman"/>
          <w:bCs/>
        </w:rPr>
      </w:pPr>
      <w:r w:rsidRPr="00AA1346">
        <w:rPr>
          <w:rFonts w:ascii="Times New Roman" w:eastAsia="Times New Roman" w:hAnsi="Times New Roman" w:cs="Times New Roman"/>
          <w:bCs/>
        </w:rPr>
        <w:t>A legalább 50</w:t>
      </w:r>
      <w:r w:rsidR="005B44F9" w:rsidRPr="00AA1346">
        <w:rPr>
          <w:rFonts w:ascii="Times New Roman" w:eastAsia="Times New Roman" w:hAnsi="Times New Roman" w:cs="Times New Roman"/>
          <w:bCs/>
        </w:rPr>
        <w:t> </w:t>
      </w:r>
      <w:r w:rsidRPr="00AA1346">
        <w:rPr>
          <w:rFonts w:ascii="Times New Roman" w:eastAsia="Times New Roman" w:hAnsi="Times New Roman" w:cs="Times New Roman"/>
          <w:bCs/>
        </w:rPr>
        <w:t xml:space="preserve">kg testtömegű gyermekek </w:t>
      </w:r>
      <w:r w:rsidR="00BA0C9A">
        <w:rPr>
          <w:rFonts w:ascii="Times New Roman" w:eastAsia="Times New Roman" w:hAnsi="Times New Roman" w:cs="Times New Roman"/>
          <w:bCs/>
        </w:rPr>
        <w:t xml:space="preserve">és serdülők </w:t>
      </w:r>
      <w:r w:rsidRPr="00AA1346">
        <w:rPr>
          <w:rFonts w:ascii="Times New Roman" w:eastAsia="Times New Roman" w:hAnsi="Times New Roman" w:cs="Times New Roman"/>
          <w:bCs/>
        </w:rPr>
        <w:t>dózisa megegyezik a felnőttek dózisával minden javallat esetén.</w:t>
      </w:r>
    </w:p>
    <w:p w14:paraId="5D1E0B44" w14:textId="521EFC9E" w:rsidR="00C72FA5" w:rsidRPr="00AA1346" w:rsidRDefault="00A65986" w:rsidP="004401DF">
      <w:pPr>
        <w:suppressAutoHyphens/>
        <w:spacing w:after="0" w:line="240" w:lineRule="auto"/>
        <w:rPr>
          <w:rFonts w:ascii="Times New Roman" w:eastAsia="Times New Roman" w:hAnsi="Times New Roman" w:cs="Times New Roman"/>
          <w:bCs/>
        </w:rPr>
      </w:pPr>
      <w:r w:rsidRPr="00E65268">
        <w:rPr>
          <w:rFonts w:ascii="Times New Roman" w:eastAsia="Times New Roman" w:hAnsi="Times New Roman" w:cs="Times New Roman"/>
          <w:bCs/>
        </w:rPr>
        <w:t>Kérjük, olvassa el a fenti,</w:t>
      </w:r>
      <w:r w:rsidRPr="00AA1346">
        <w:rPr>
          <w:rFonts w:ascii="Times New Roman" w:eastAsia="Times New Roman" w:hAnsi="Times New Roman" w:cs="Times New Roman"/>
          <w:bCs/>
          <w:i/>
          <w:iCs/>
        </w:rPr>
        <w:t xml:space="preserve"> Felnőttek (≥</w:t>
      </w:r>
      <w:r w:rsidR="005B44F9"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18</w:t>
      </w:r>
      <w:r w:rsidR="005B44F9"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éves) és 50</w:t>
      </w:r>
      <w:r w:rsidR="005B44F9"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kg vagy annál nagyobb testtömegű (12</w:t>
      </w:r>
      <w:r w:rsidR="005B44F9" w:rsidRPr="00AA1346">
        <w:rPr>
          <w:rFonts w:ascii="Times New Roman" w:eastAsia="Times New Roman" w:hAnsi="Times New Roman" w:cs="Times New Roman"/>
          <w:bCs/>
          <w:i/>
          <w:iCs/>
        </w:rPr>
        <w:t> </w:t>
      </w:r>
      <w:r w:rsidRPr="00AA1346">
        <w:rPr>
          <w:rFonts w:ascii="Times New Roman" w:eastAsia="Times New Roman" w:hAnsi="Times New Roman" w:cs="Times New Roman"/>
          <w:bCs/>
          <w:i/>
          <w:iCs/>
        </w:rPr>
        <w:t>és betöltött 18.</w:t>
      </w:r>
      <w:r w:rsidR="005B44F9" w:rsidRPr="00AA1346">
        <w:rPr>
          <w:rFonts w:ascii="Times New Roman" w:eastAsia="Times New Roman" w:hAnsi="Times New Roman" w:cs="Times New Roman"/>
          <w:bCs/>
          <w:i/>
          <w:iCs/>
        </w:rPr>
        <w:t> </w:t>
      </w:r>
      <w:r w:rsidR="005A69B4">
        <w:rPr>
          <w:rFonts w:ascii="Times New Roman" w:eastAsia="Times New Roman" w:hAnsi="Times New Roman" w:cs="Times New Roman"/>
          <w:bCs/>
          <w:i/>
          <w:iCs/>
        </w:rPr>
        <w:t>élet</w:t>
      </w:r>
      <w:r w:rsidRPr="00AA1346">
        <w:rPr>
          <w:rFonts w:ascii="Times New Roman" w:eastAsia="Times New Roman" w:hAnsi="Times New Roman" w:cs="Times New Roman"/>
          <w:bCs/>
          <w:i/>
          <w:iCs/>
        </w:rPr>
        <w:t xml:space="preserve">év közötti korú) gyermekek és serdülők </w:t>
      </w:r>
      <w:r w:rsidR="00BA0C9A" w:rsidRPr="00E65268">
        <w:rPr>
          <w:rFonts w:ascii="Times New Roman" w:eastAsia="Times New Roman" w:hAnsi="Times New Roman" w:cs="Times New Roman"/>
          <w:bCs/>
        </w:rPr>
        <w:t xml:space="preserve">című </w:t>
      </w:r>
      <w:r w:rsidRPr="00E65268">
        <w:rPr>
          <w:rFonts w:ascii="Times New Roman" w:eastAsia="Times New Roman" w:hAnsi="Times New Roman" w:cs="Times New Roman"/>
          <w:bCs/>
        </w:rPr>
        <w:t>részt</w:t>
      </w:r>
      <w:r w:rsidRPr="00AA1346">
        <w:rPr>
          <w:rFonts w:ascii="Times New Roman" w:eastAsia="Times New Roman" w:hAnsi="Times New Roman" w:cs="Times New Roman"/>
          <w:bCs/>
          <w:i/>
          <w:iCs/>
        </w:rPr>
        <w:t xml:space="preserve"> </w:t>
      </w:r>
      <w:r w:rsidR="00C72FA5" w:rsidRPr="00AA1346">
        <w:rPr>
          <w:rFonts w:ascii="Times New Roman" w:eastAsia="Times New Roman" w:hAnsi="Times New Roman" w:cs="Times New Roman"/>
          <w:bCs/>
        </w:rPr>
        <w:t>minden javallat esetén.</w:t>
      </w:r>
    </w:p>
    <w:p w14:paraId="13DD719B" w14:textId="77777777" w:rsidR="00C72FA5" w:rsidRPr="00AA1346" w:rsidRDefault="00C72FA5" w:rsidP="004401DF">
      <w:pPr>
        <w:suppressAutoHyphens/>
        <w:spacing w:after="0" w:line="240" w:lineRule="auto"/>
        <w:rPr>
          <w:rFonts w:ascii="Times New Roman" w:eastAsia="Times New Roman" w:hAnsi="Times New Roman" w:cs="Times New Roman"/>
          <w:bCs/>
        </w:rPr>
      </w:pPr>
    </w:p>
    <w:p w14:paraId="6DF6CDAC" w14:textId="77777777" w:rsidR="00385D8E" w:rsidRPr="00AA1346" w:rsidRDefault="00385D8E" w:rsidP="00E65268">
      <w:pPr>
        <w:pStyle w:val="Szvegtrzs"/>
        <w:spacing w:line="240" w:lineRule="auto"/>
        <w:rPr>
          <w:b w:val="0"/>
          <w:bCs/>
          <w:i w:val="0"/>
          <w:iCs/>
          <w:szCs w:val="22"/>
          <w:lang w:val="hu-HU"/>
        </w:rPr>
      </w:pPr>
      <w:r w:rsidRPr="00AA1346">
        <w:rPr>
          <w:b w:val="0"/>
          <w:bCs/>
          <w:i w:val="0"/>
          <w:iCs/>
          <w:szCs w:val="22"/>
          <w:lang w:val="hu-HU"/>
        </w:rPr>
        <w:t>Ajánlott dózisok gyermekek és serdülők számára: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3"/>
        <w:gridCol w:w="3449"/>
        <w:gridCol w:w="3450"/>
      </w:tblGrid>
      <w:tr w:rsidR="00385D8E" w:rsidRPr="00AA1346" w14:paraId="67EA2F09" w14:textId="77777777" w:rsidTr="00385D8E">
        <w:trPr>
          <w:trHeight w:hRule="exact" w:val="516"/>
        </w:trPr>
        <w:tc>
          <w:tcPr>
            <w:tcW w:w="2163" w:type="dxa"/>
          </w:tcPr>
          <w:p w14:paraId="303D211E" w14:textId="77777777" w:rsidR="00385D8E" w:rsidRPr="00AA1346" w:rsidRDefault="00385D8E" w:rsidP="00E65268">
            <w:pPr>
              <w:pStyle w:val="TableParagraph"/>
              <w:ind w:left="142"/>
              <w:rPr>
                <w:bCs/>
                <w:iCs/>
                <w:lang w:val="hu-HU"/>
              </w:rPr>
            </w:pPr>
            <w:r w:rsidRPr="00AA1346">
              <w:rPr>
                <w:bCs/>
                <w:iCs/>
                <w:lang w:val="hu-HU"/>
              </w:rPr>
              <w:t>Testtömeg</w:t>
            </w:r>
          </w:p>
        </w:tc>
        <w:tc>
          <w:tcPr>
            <w:tcW w:w="3449" w:type="dxa"/>
          </w:tcPr>
          <w:p w14:paraId="342C4973" w14:textId="77777777" w:rsidR="00385D8E" w:rsidRPr="00AA1346" w:rsidRDefault="00385D8E" w:rsidP="00E65268">
            <w:pPr>
              <w:pStyle w:val="TableParagraph"/>
              <w:ind w:left="142"/>
              <w:rPr>
                <w:bCs/>
                <w:iCs/>
                <w:lang w:val="hu-HU"/>
              </w:rPr>
            </w:pPr>
            <w:r w:rsidRPr="00AA1346">
              <w:rPr>
                <w:bCs/>
                <w:iCs/>
                <w:lang w:val="hu-HU"/>
              </w:rPr>
              <w:t>Kezdő dózis:</w:t>
            </w:r>
          </w:p>
          <w:p w14:paraId="220A9A8B" w14:textId="357159A0"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10</w:t>
            </w:r>
            <w:r w:rsidR="00CC4B0D" w:rsidRPr="00AA1346">
              <w:rPr>
                <w:bCs/>
                <w:iCs/>
                <w:lang w:val="hu-HU"/>
              </w:rPr>
              <w:t> </w:t>
            </w:r>
            <w:r w:rsidRPr="00AA1346">
              <w:rPr>
                <w:bCs/>
                <w:iCs/>
                <w:lang w:val="hu-HU"/>
              </w:rPr>
              <w:t>mg/ttkg</w:t>
            </w:r>
          </w:p>
        </w:tc>
        <w:tc>
          <w:tcPr>
            <w:tcW w:w="3450" w:type="dxa"/>
          </w:tcPr>
          <w:p w14:paraId="40A34956" w14:textId="77777777" w:rsidR="00BA0C9A" w:rsidRDefault="00385D8E" w:rsidP="004401DF">
            <w:pPr>
              <w:pStyle w:val="TableParagraph"/>
              <w:ind w:left="142" w:right="973"/>
              <w:rPr>
                <w:bCs/>
                <w:iCs/>
                <w:lang w:val="hu-HU"/>
              </w:rPr>
            </w:pPr>
            <w:r w:rsidRPr="00AA1346">
              <w:rPr>
                <w:bCs/>
                <w:iCs/>
                <w:lang w:val="hu-HU"/>
              </w:rPr>
              <w:t xml:space="preserve">Maximális dózis: </w:t>
            </w:r>
          </w:p>
          <w:p w14:paraId="0BD79134" w14:textId="5A13B212" w:rsidR="00385D8E" w:rsidRPr="00AA1346" w:rsidRDefault="00385D8E" w:rsidP="004401DF">
            <w:pPr>
              <w:pStyle w:val="TableParagraph"/>
              <w:ind w:left="142" w:right="973"/>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30</w:t>
            </w:r>
            <w:r w:rsidR="00CC4B0D" w:rsidRPr="00AA1346">
              <w:rPr>
                <w:bCs/>
                <w:iCs/>
                <w:lang w:val="hu-HU"/>
              </w:rPr>
              <w:t xml:space="preserve"> mg/ttkg </w:t>
            </w:r>
            <w:r w:rsidRPr="00AA1346">
              <w:rPr>
                <w:bCs/>
                <w:iCs/>
                <w:lang w:val="hu-HU"/>
              </w:rPr>
              <w:t>mg/ttkg</w:t>
            </w:r>
          </w:p>
        </w:tc>
      </w:tr>
      <w:tr w:rsidR="00385D8E" w:rsidRPr="00AA1346" w14:paraId="5D7DC185" w14:textId="77777777" w:rsidTr="00385D8E">
        <w:trPr>
          <w:trHeight w:hRule="exact" w:val="262"/>
        </w:trPr>
        <w:tc>
          <w:tcPr>
            <w:tcW w:w="2163" w:type="dxa"/>
          </w:tcPr>
          <w:p w14:paraId="1E1B607C" w14:textId="2D98CAE7" w:rsidR="00385D8E" w:rsidRPr="00AA1346" w:rsidRDefault="00385D8E" w:rsidP="00E65268">
            <w:pPr>
              <w:pStyle w:val="TableParagraph"/>
              <w:ind w:left="142"/>
              <w:rPr>
                <w:bCs/>
                <w:iCs/>
                <w:lang w:val="hu-HU"/>
              </w:rPr>
            </w:pPr>
            <w:r w:rsidRPr="00AA1346">
              <w:rPr>
                <w:bCs/>
                <w:iCs/>
                <w:lang w:val="hu-HU"/>
              </w:rPr>
              <w:t>15</w:t>
            </w:r>
            <w:r w:rsidR="00CC4B0D" w:rsidRPr="00AA1346">
              <w:rPr>
                <w:bCs/>
                <w:iCs/>
                <w:lang w:val="hu-HU"/>
              </w:rPr>
              <w:t> </w:t>
            </w:r>
            <w:r w:rsidRPr="00AA1346">
              <w:rPr>
                <w:bCs/>
                <w:iCs/>
                <w:lang w:val="hu-HU"/>
              </w:rPr>
              <w:t>kg</w:t>
            </w:r>
            <w:r w:rsidRPr="00AA1346">
              <w:rPr>
                <w:color w:val="000000"/>
                <w:vertAlign w:val="superscript"/>
              </w:rPr>
              <w:t>(1)</w:t>
            </w:r>
          </w:p>
        </w:tc>
        <w:tc>
          <w:tcPr>
            <w:tcW w:w="3449" w:type="dxa"/>
          </w:tcPr>
          <w:p w14:paraId="1B514453" w14:textId="66BB0A3B"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150</w:t>
            </w:r>
            <w:r w:rsidR="00CC4B0D" w:rsidRPr="00AA1346">
              <w:rPr>
                <w:bCs/>
                <w:iCs/>
                <w:lang w:val="hu-HU"/>
              </w:rPr>
              <w:t> </w:t>
            </w:r>
            <w:r w:rsidRPr="00AA1346">
              <w:rPr>
                <w:bCs/>
                <w:iCs/>
                <w:lang w:val="hu-HU"/>
              </w:rPr>
              <w:t>mg</w:t>
            </w:r>
          </w:p>
        </w:tc>
        <w:tc>
          <w:tcPr>
            <w:tcW w:w="3450" w:type="dxa"/>
          </w:tcPr>
          <w:p w14:paraId="17B6DE60" w14:textId="07A19DAC" w:rsidR="00385D8E" w:rsidRPr="00AA1346" w:rsidRDefault="00385D8E" w:rsidP="00E65268">
            <w:pPr>
              <w:pStyle w:val="TableParagraph"/>
              <w:ind w:left="142"/>
              <w:rPr>
                <w:bCs/>
                <w:iCs/>
                <w:lang w:val="hu-HU"/>
              </w:rPr>
            </w:pPr>
            <w:r w:rsidRPr="00AA1346">
              <w:rPr>
                <w:bCs/>
                <w:iCs/>
                <w:lang w:val="hu-HU"/>
              </w:rPr>
              <w:t>naponta 2</w:t>
            </w:r>
            <w:r w:rsidR="00C509C1" w:rsidRPr="00AA1346">
              <w:t> </w:t>
            </w:r>
            <w:r w:rsidRPr="00AA1346">
              <w:rPr>
                <w:bCs/>
                <w:iCs/>
                <w:lang w:val="hu-HU"/>
              </w:rPr>
              <w:t>×</w:t>
            </w:r>
            <w:r w:rsidR="00C509C1" w:rsidRPr="00AA1346">
              <w:rPr>
                <w:bCs/>
                <w:iCs/>
                <w:lang w:val="hu-HU"/>
              </w:rPr>
              <w:t> </w:t>
            </w:r>
            <w:r w:rsidRPr="00AA1346">
              <w:rPr>
                <w:bCs/>
                <w:iCs/>
                <w:lang w:val="hu-HU"/>
              </w:rPr>
              <w:t>450</w:t>
            </w:r>
            <w:r w:rsidR="00CC4B0D" w:rsidRPr="00AA1346">
              <w:rPr>
                <w:bCs/>
                <w:iCs/>
                <w:lang w:val="hu-HU"/>
              </w:rPr>
              <w:t> </w:t>
            </w:r>
            <w:r w:rsidRPr="00AA1346">
              <w:rPr>
                <w:bCs/>
                <w:iCs/>
                <w:lang w:val="hu-HU"/>
              </w:rPr>
              <w:t>mg</w:t>
            </w:r>
          </w:p>
        </w:tc>
      </w:tr>
      <w:tr w:rsidR="00385D8E" w:rsidRPr="00AA1346" w14:paraId="7C5D56A2" w14:textId="77777777" w:rsidTr="00385D8E">
        <w:trPr>
          <w:trHeight w:hRule="exact" w:val="264"/>
        </w:trPr>
        <w:tc>
          <w:tcPr>
            <w:tcW w:w="2163" w:type="dxa"/>
          </w:tcPr>
          <w:p w14:paraId="3C75F172" w14:textId="59ACDE67" w:rsidR="00385D8E" w:rsidRPr="00AA1346" w:rsidRDefault="00385D8E" w:rsidP="00E65268">
            <w:pPr>
              <w:pStyle w:val="TableParagraph"/>
              <w:ind w:left="142"/>
              <w:rPr>
                <w:bCs/>
                <w:iCs/>
                <w:lang w:val="hu-HU"/>
              </w:rPr>
            </w:pPr>
            <w:r w:rsidRPr="00AA1346">
              <w:rPr>
                <w:bCs/>
                <w:iCs/>
                <w:lang w:val="hu-HU"/>
              </w:rPr>
              <w:t>20</w:t>
            </w:r>
            <w:r w:rsidR="00CC4B0D" w:rsidRPr="00AA1346">
              <w:rPr>
                <w:bCs/>
                <w:iCs/>
                <w:lang w:val="hu-HU"/>
              </w:rPr>
              <w:t> </w:t>
            </w:r>
            <w:r w:rsidRPr="00AA1346">
              <w:rPr>
                <w:bCs/>
                <w:iCs/>
                <w:lang w:val="hu-HU"/>
              </w:rPr>
              <w:t>kg</w:t>
            </w:r>
            <w:r w:rsidRPr="00AA1346">
              <w:rPr>
                <w:color w:val="000000"/>
                <w:vertAlign w:val="superscript"/>
              </w:rPr>
              <w:t>(1)</w:t>
            </w:r>
          </w:p>
        </w:tc>
        <w:tc>
          <w:tcPr>
            <w:tcW w:w="3449" w:type="dxa"/>
          </w:tcPr>
          <w:p w14:paraId="13BC6BFF" w14:textId="491D568C"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200</w:t>
            </w:r>
            <w:r w:rsidR="00CC4B0D" w:rsidRPr="00AA1346">
              <w:rPr>
                <w:bCs/>
                <w:iCs/>
                <w:lang w:val="hu-HU"/>
              </w:rPr>
              <w:t> </w:t>
            </w:r>
            <w:r w:rsidRPr="00AA1346">
              <w:rPr>
                <w:bCs/>
                <w:iCs/>
                <w:lang w:val="hu-HU"/>
              </w:rPr>
              <w:t>mg</w:t>
            </w:r>
          </w:p>
        </w:tc>
        <w:tc>
          <w:tcPr>
            <w:tcW w:w="3450" w:type="dxa"/>
          </w:tcPr>
          <w:p w14:paraId="3E87D759" w14:textId="31FF5857"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600</w:t>
            </w:r>
            <w:r w:rsidR="00CC4B0D" w:rsidRPr="00AA1346">
              <w:rPr>
                <w:bCs/>
                <w:iCs/>
                <w:lang w:val="hu-HU"/>
              </w:rPr>
              <w:t> </w:t>
            </w:r>
            <w:r w:rsidRPr="00AA1346">
              <w:rPr>
                <w:bCs/>
                <w:iCs/>
                <w:lang w:val="hu-HU"/>
              </w:rPr>
              <w:t>mg</w:t>
            </w:r>
          </w:p>
        </w:tc>
      </w:tr>
      <w:tr w:rsidR="00385D8E" w:rsidRPr="00AA1346" w14:paraId="31A482F8" w14:textId="77777777" w:rsidTr="00385D8E">
        <w:trPr>
          <w:trHeight w:hRule="exact" w:val="262"/>
        </w:trPr>
        <w:tc>
          <w:tcPr>
            <w:tcW w:w="2163" w:type="dxa"/>
          </w:tcPr>
          <w:p w14:paraId="23D174DF" w14:textId="5FE46590" w:rsidR="00385D8E" w:rsidRPr="00AA1346" w:rsidRDefault="00385D8E" w:rsidP="00E65268">
            <w:pPr>
              <w:pStyle w:val="TableParagraph"/>
              <w:ind w:left="142"/>
              <w:rPr>
                <w:bCs/>
                <w:iCs/>
                <w:lang w:val="hu-HU"/>
              </w:rPr>
            </w:pPr>
            <w:r w:rsidRPr="00AA1346">
              <w:rPr>
                <w:bCs/>
                <w:iCs/>
                <w:lang w:val="hu-HU"/>
              </w:rPr>
              <w:t>25</w:t>
            </w:r>
            <w:r w:rsidR="00CC4B0D" w:rsidRPr="00AA1346">
              <w:rPr>
                <w:bCs/>
                <w:iCs/>
                <w:lang w:val="hu-HU"/>
              </w:rPr>
              <w:t> </w:t>
            </w:r>
            <w:r w:rsidRPr="00AA1346">
              <w:rPr>
                <w:bCs/>
                <w:iCs/>
                <w:lang w:val="hu-HU"/>
              </w:rPr>
              <w:t>kg</w:t>
            </w:r>
          </w:p>
        </w:tc>
        <w:tc>
          <w:tcPr>
            <w:tcW w:w="3449" w:type="dxa"/>
          </w:tcPr>
          <w:p w14:paraId="357D57C5" w14:textId="16597601"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250</w:t>
            </w:r>
            <w:r w:rsidR="00CC4B0D" w:rsidRPr="00AA1346">
              <w:rPr>
                <w:bCs/>
                <w:iCs/>
                <w:lang w:val="hu-HU"/>
              </w:rPr>
              <w:t> </w:t>
            </w:r>
            <w:r w:rsidRPr="00AA1346">
              <w:rPr>
                <w:bCs/>
                <w:iCs/>
                <w:lang w:val="hu-HU"/>
              </w:rPr>
              <w:t>mg</w:t>
            </w:r>
          </w:p>
        </w:tc>
        <w:tc>
          <w:tcPr>
            <w:tcW w:w="3450" w:type="dxa"/>
          </w:tcPr>
          <w:p w14:paraId="249CE25B" w14:textId="508D5A81"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75</w:t>
            </w:r>
            <w:r w:rsidR="00CC4B0D" w:rsidRPr="00AA1346">
              <w:rPr>
                <w:bCs/>
                <w:iCs/>
                <w:lang w:val="hu-HU"/>
              </w:rPr>
              <w:t> </w:t>
            </w:r>
            <w:r w:rsidRPr="00AA1346">
              <w:rPr>
                <w:bCs/>
                <w:iCs/>
                <w:lang w:val="hu-HU"/>
              </w:rPr>
              <w:t>mg</w:t>
            </w:r>
          </w:p>
        </w:tc>
      </w:tr>
      <w:tr w:rsidR="00385D8E" w:rsidRPr="00AA1346" w14:paraId="5D0A4251" w14:textId="77777777" w:rsidTr="00385D8E">
        <w:trPr>
          <w:trHeight w:hRule="exact" w:val="264"/>
        </w:trPr>
        <w:tc>
          <w:tcPr>
            <w:tcW w:w="2163" w:type="dxa"/>
          </w:tcPr>
          <w:p w14:paraId="0F4129A1" w14:textId="57DCF121" w:rsidR="00385D8E" w:rsidRPr="00AA1346" w:rsidRDefault="00385D8E" w:rsidP="00E65268">
            <w:pPr>
              <w:pStyle w:val="TableParagraph"/>
              <w:ind w:left="142"/>
              <w:rPr>
                <w:bCs/>
                <w:iCs/>
                <w:lang w:val="hu-HU"/>
              </w:rPr>
            </w:pPr>
            <w:r w:rsidRPr="00AA1346">
              <w:rPr>
                <w:bCs/>
                <w:iCs/>
                <w:lang w:val="hu-HU"/>
              </w:rPr>
              <w:t>50</w:t>
            </w:r>
            <w:r w:rsidR="00CC4B0D" w:rsidRPr="00AA1346">
              <w:rPr>
                <w:bCs/>
                <w:iCs/>
                <w:lang w:val="hu-HU"/>
              </w:rPr>
              <w:t> </w:t>
            </w:r>
            <w:r w:rsidRPr="00AA1346">
              <w:rPr>
                <w:bCs/>
                <w:iCs/>
                <w:lang w:val="hu-HU"/>
              </w:rPr>
              <w:t>kg felett</w:t>
            </w:r>
            <w:r w:rsidRPr="00AA1346">
              <w:rPr>
                <w:color w:val="000000"/>
                <w:vertAlign w:val="superscript"/>
              </w:rPr>
              <w:t>(2)</w:t>
            </w:r>
            <w:r w:rsidRPr="00AA1346">
              <w:rPr>
                <w:bCs/>
                <w:iCs/>
                <w:lang w:val="hu-HU"/>
              </w:rPr>
              <w:t xml:space="preserve"> </w:t>
            </w:r>
          </w:p>
        </w:tc>
        <w:tc>
          <w:tcPr>
            <w:tcW w:w="3449" w:type="dxa"/>
          </w:tcPr>
          <w:p w14:paraId="51E6CE8B" w14:textId="0E9A8F1E"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500</w:t>
            </w:r>
            <w:r w:rsidR="00CC4B0D" w:rsidRPr="00AA1346">
              <w:rPr>
                <w:bCs/>
                <w:iCs/>
                <w:lang w:val="hu-HU"/>
              </w:rPr>
              <w:t> </w:t>
            </w:r>
            <w:r w:rsidRPr="00AA1346">
              <w:rPr>
                <w:bCs/>
                <w:iCs/>
                <w:lang w:val="hu-HU"/>
              </w:rPr>
              <w:t>mg</w:t>
            </w:r>
          </w:p>
        </w:tc>
        <w:tc>
          <w:tcPr>
            <w:tcW w:w="3450" w:type="dxa"/>
          </w:tcPr>
          <w:p w14:paraId="1E8E8829" w14:textId="37AA53FA" w:rsidR="00385D8E" w:rsidRPr="00AA1346" w:rsidRDefault="00385D8E" w:rsidP="00E65268">
            <w:pPr>
              <w:pStyle w:val="TableParagraph"/>
              <w:ind w:left="142"/>
              <w:rPr>
                <w:bCs/>
                <w:iCs/>
                <w:lang w:val="hu-HU"/>
              </w:rPr>
            </w:pPr>
            <w:r w:rsidRPr="00AA1346">
              <w:rPr>
                <w:bCs/>
                <w:iCs/>
                <w:lang w:val="hu-HU"/>
              </w:rPr>
              <w:t>naponta 2</w:t>
            </w:r>
            <w:r w:rsidR="00C509C1" w:rsidRPr="00AA1346">
              <w:rPr>
                <w:bCs/>
                <w:iCs/>
                <w:lang w:val="hu-HU"/>
              </w:rPr>
              <w:t> </w:t>
            </w:r>
            <w:r w:rsidRPr="00AA1346">
              <w:rPr>
                <w:bCs/>
                <w:iCs/>
                <w:lang w:val="hu-HU"/>
              </w:rPr>
              <w:t>×</w:t>
            </w:r>
            <w:r w:rsidR="00C509C1" w:rsidRPr="00AA1346">
              <w:rPr>
                <w:bCs/>
                <w:iCs/>
                <w:lang w:val="hu-HU"/>
              </w:rPr>
              <w:t> </w:t>
            </w:r>
            <w:r w:rsidRPr="00AA1346">
              <w:rPr>
                <w:bCs/>
                <w:iCs/>
                <w:lang w:val="hu-HU"/>
              </w:rPr>
              <w:t>1500</w:t>
            </w:r>
            <w:r w:rsidR="00CC4B0D" w:rsidRPr="00AA1346">
              <w:rPr>
                <w:bCs/>
                <w:iCs/>
                <w:lang w:val="hu-HU"/>
              </w:rPr>
              <w:t> </w:t>
            </w:r>
            <w:r w:rsidRPr="00AA1346">
              <w:rPr>
                <w:bCs/>
                <w:iCs/>
                <w:lang w:val="hu-HU"/>
              </w:rPr>
              <w:t>mg</w:t>
            </w:r>
          </w:p>
        </w:tc>
      </w:tr>
    </w:tbl>
    <w:p w14:paraId="6D9F0AD2" w14:textId="521B656A" w:rsidR="00385D8E" w:rsidRPr="00AA1346" w:rsidRDefault="00CC4B0D" w:rsidP="00E65268">
      <w:pPr>
        <w:pStyle w:val="Szvegtrzs"/>
        <w:spacing w:line="240" w:lineRule="auto"/>
        <w:ind w:right="-3"/>
        <w:rPr>
          <w:b w:val="0"/>
          <w:bCs/>
          <w:i w:val="0"/>
          <w:iCs/>
          <w:szCs w:val="22"/>
          <w:lang w:val="hu-HU"/>
        </w:rPr>
      </w:pPr>
      <w:r w:rsidRPr="00AA1346">
        <w:rPr>
          <w:b w:val="0"/>
          <w:bCs/>
          <w:i w:val="0"/>
          <w:iCs/>
          <w:color w:val="000000"/>
          <w:vertAlign w:val="superscript"/>
          <w:lang w:val="hu-HU"/>
        </w:rPr>
        <w:t>(1)</w:t>
      </w:r>
      <w:r w:rsidRPr="00AA1346">
        <w:rPr>
          <w:color w:val="000000"/>
          <w:vertAlign w:val="superscript"/>
          <w:lang w:val="hu-HU"/>
        </w:rPr>
        <w:t xml:space="preserve"> </w:t>
      </w:r>
      <w:r w:rsidR="00385D8E" w:rsidRPr="00AA1346">
        <w:rPr>
          <w:b w:val="0"/>
          <w:bCs/>
          <w:i w:val="0"/>
          <w:iCs/>
          <w:szCs w:val="22"/>
          <w:lang w:val="hu-HU"/>
        </w:rPr>
        <w:t>A 25</w:t>
      </w:r>
      <w:r w:rsidR="00F22100" w:rsidRPr="00AA1346">
        <w:rPr>
          <w:b w:val="0"/>
          <w:bCs/>
          <w:i w:val="0"/>
          <w:iCs/>
          <w:szCs w:val="22"/>
          <w:lang w:val="hu-HU"/>
        </w:rPr>
        <w:t> </w:t>
      </w:r>
      <w:r w:rsidR="00385D8E" w:rsidRPr="00AA1346">
        <w:rPr>
          <w:b w:val="0"/>
          <w:bCs/>
          <w:i w:val="0"/>
          <w:iCs/>
          <w:szCs w:val="22"/>
          <w:lang w:val="hu-HU"/>
        </w:rPr>
        <w:t xml:space="preserve">kg vagy annál kisebb testtömegű gyermekeknél a kezelést lehetőleg a </w:t>
      </w:r>
      <w:r w:rsidR="00AA2CA2" w:rsidRPr="00AA1346">
        <w:rPr>
          <w:b w:val="0"/>
          <w:bCs/>
          <w:i w:val="0"/>
          <w:iCs/>
          <w:szCs w:val="22"/>
          <w:lang w:val="hu-HU"/>
        </w:rPr>
        <w:t xml:space="preserve">levetiracetám </w:t>
      </w:r>
      <w:r w:rsidR="00385D8E" w:rsidRPr="00AA1346">
        <w:rPr>
          <w:b w:val="0"/>
          <w:bCs/>
          <w:i w:val="0"/>
          <w:iCs/>
          <w:szCs w:val="22"/>
          <w:lang w:val="hu-HU"/>
        </w:rPr>
        <w:t>belsőleges oldattal kell elkezdeni.</w:t>
      </w:r>
    </w:p>
    <w:p w14:paraId="096EFBA0" w14:textId="000E78F7" w:rsidR="00385D8E" w:rsidRPr="00AA1346" w:rsidRDefault="00CC4B0D" w:rsidP="00E65268">
      <w:pPr>
        <w:pStyle w:val="Szvegtrzs"/>
        <w:spacing w:line="240" w:lineRule="auto"/>
        <w:ind w:right="-3"/>
        <w:rPr>
          <w:b w:val="0"/>
          <w:bCs/>
          <w:i w:val="0"/>
          <w:iCs/>
          <w:szCs w:val="22"/>
          <w:lang w:val="hu-HU"/>
        </w:rPr>
      </w:pPr>
      <w:r w:rsidRPr="00AA1346">
        <w:rPr>
          <w:b w:val="0"/>
          <w:bCs/>
          <w:i w:val="0"/>
          <w:iCs/>
          <w:color w:val="000000"/>
          <w:vertAlign w:val="superscript"/>
          <w:lang w:val="hu-HU"/>
        </w:rPr>
        <w:t>(2)</w:t>
      </w:r>
      <w:r w:rsidRPr="00AA1346">
        <w:rPr>
          <w:color w:val="000000"/>
          <w:vertAlign w:val="superscript"/>
          <w:lang w:val="hu-HU"/>
        </w:rPr>
        <w:t xml:space="preserve"> </w:t>
      </w:r>
      <w:r w:rsidR="00385D8E" w:rsidRPr="00AA1346">
        <w:rPr>
          <w:b w:val="0"/>
          <w:bCs/>
          <w:i w:val="0"/>
          <w:iCs/>
          <w:szCs w:val="22"/>
          <w:lang w:val="hu-HU"/>
        </w:rPr>
        <w:t>Az 50</w:t>
      </w:r>
      <w:r w:rsidR="00F22100" w:rsidRPr="00AA1346">
        <w:rPr>
          <w:b w:val="0"/>
          <w:bCs/>
          <w:i w:val="0"/>
          <w:iCs/>
          <w:szCs w:val="22"/>
          <w:lang w:val="hu-HU"/>
        </w:rPr>
        <w:t> </w:t>
      </w:r>
      <w:r w:rsidR="00385D8E" w:rsidRPr="00AA1346">
        <w:rPr>
          <w:b w:val="0"/>
          <w:bCs/>
          <w:i w:val="0"/>
          <w:iCs/>
          <w:szCs w:val="22"/>
          <w:lang w:val="hu-HU"/>
        </w:rPr>
        <w:t>kg vagy annál nagyobb testtömegű gyermekeknél és serdülőknél alkalmazott dózis megegyezik a felnőttekével.</w:t>
      </w:r>
    </w:p>
    <w:p w14:paraId="01B7DACE" w14:textId="77777777" w:rsidR="00385D8E" w:rsidRPr="00AA1346" w:rsidRDefault="00385D8E" w:rsidP="00E65268">
      <w:pPr>
        <w:pStyle w:val="Szvegtrzs"/>
        <w:spacing w:line="240" w:lineRule="auto"/>
        <w:ind w:right="-3"/>
        <w:rPr>
          <w:b w:val="0"/>
          <w:bCs/>
          <w:i w:val="0"/>
          <w:iCs/>
          <w:szCs w:val="22"/>
          <w:lang w:val="hu-HU"/>
        </w:rPr>
      </w:pPr>
    </w:p>
    <w:p w14:paraId="0551D4BA" w14:textId="34F2D11C" w:rsidR="00385D8E" w:rsidRPr="00E65268" w:rsidRDefault="00385D8E" w:rsidP="004401DF">
      <w:pPr>
        <w:spacing w:after="0" w:line="240" w:lineRule="auto"/>
        <w:ind w:right="-6"/>
        <w:rPr>
          <w:rFonts w:ascii="Times New Roman" w:hAnsi="Times New Roman" w:cs="Times New Roman"/>
          <w:bCs/>
          <w:i/>
        </w:rPr>
      </w:pPr>
      <w:r w:rsidRPr="00E65268">
        <w:rPr>
          <w:rFonts w:ascii="Times New Roman" w:hAnsi="Times New Roman" w:cs="Times New Roman"/>
          <w:bCs/>
          <w:i/>
        </w:rPr>
        <w:t>Kiegészítő kezelés csecsemők és 4</w:t>
      </w:r>
      <w:r w:rsidR="00F22100" w:rsidRPr="00E65268">
        <w:rPr>
          <w:rFonts w:ascii="Times New Roman" w:hAnsi="Times New Roman" w:cs="Times New Roman"/>
          <w:bCs/>
          <w:i/>
        </w:rPr>
        <w:t> </w:t>
      </w:r>
      <w:r w:rsidRPr="00E65268">
        <w:rPr>
          <w:rFonts w:ascii="Times New Roman" w:hAnsi="Times New Roman" w:cs="Times New Roman"/>
          <w:bCs/>
          <w:i/>
        </w:rPr>
        <w:t>évesnél fiatalabb gyermekek számára</w:t>
      </w:r>
    </w:p>
    <w:p w14:paraId="2F5A866A" w14:textId="77777777" w:rsidR="00385D8E" w:rsidRPr="00AA1346" w:rsidRDefault="00385D8E" w:rsidP="00E65268">
      <w:pPr>
        <w:pStyle w:val="Szvegtrzs"/>
        <w:spacing w:line="240" w:lineRule="auto"/>
        <w:ind w:right="-3"/>
        <w:rPr>
          <w:b w:val="0"/>
          <w:bCs/>
          <w:i w:val="0"/>
          <w:iCs/>
          <w:szCs w:val="22"/>
          <w:lang w:val="hu-HU"/>
        </w:rPr>
      </w:pPr>
    </w:p>
    <w:p w14:paraId="3EE36CBC" w14:textId="09CE1C4F" w:rsidR="00385D8E" w:rsidRPr="00AA1346" w:rsidRDefault="00385D8E" w:rsidP="00E65268">
      <w:pPr>
        <w:pStyle w:val="Szvegtrzs"/>
        <w:spacing w:line="240" w:lineRule="auto"/>
        <w:ind w:right="-3"/>
        <w:rPr>
          <w:b w:val="0"/>
          <w:bCs/>
          <w:i w:val="0"/>
          <w:iCs/>
          <w:szCs w:val="22"/>
          <w:lang w:val="hu-HU"/>
        </w:rPr>
      </w:pPr>
      <w:r w:rsidRPr="00AA1346">
        <w:rPr>
          <w:b w:val="0"/>
          <w:bCs/>
          <w:i w:val="0"/>
          <w:iCs/>
          <w:szCs w:val="22"/>
          <w:lang w:val="hu-HU"/>
        </w:rPr>
        <w:t xml:space="preserve">A </w:t>
      </w:r>
      <w:r w:rsidR="00942316" w:rsidRPr="00AA1346">
        <w:rPr>
          <w:b w:val="0"/>
          <w:bCs/>
          <w:i w:val="0"/>
          <w:iCs/>
          <w:szCs w:val="22"/>
          <w:lang w:val="hu-HU"/>
        </w:rPr>
        <w:t xml:space="preserve">levetiracetám </w:t>
      </w:r>
      <w:r w:rsidRPr="00AA1346">
        <w:rPr>
          <w:b w:val="0"/>
          <w:bCs/>
          <w:i w:val="0"/>
          <w:iCs/>
          <w:szCs w:val="22"/>
          <w:lang w:val="hu-HU"/>
        </w:rPr>
        <w:t>koncentrátum oldatos infúzióhoz biztonságosságát és hatásosságát 4</w:t>
      </w:r>
      <w:r w:rsidR="00942316" w:rsidRPr="00AA1346">
        <w:rPr>
          <w:b w:val="0"/>
          <w:bCs/>
          <w:i w:val="0"/>
          <w:iCs/>
          <w:szCs w:val="22"/>
          <w:lang w:val="hu-HU"/>
        </w:rPr>
        <w:t> </w:t>
      </w:r>
      <w:r w:rsidRPr="00AA1346">
        <w:rPr>
          <w:b w:val="0"/>
          <w:bCs/>
          <w:i w:val="0"/>
          <w:iCs/>
          <w:szCs w:val="22"/>
          <w:lang w:val="hu-HU"/>
        </w:rPr>
        <w:t>évesnél fiatalabb gyermekeknél nem igazolták.</w:t>
      </w:r>
    </w:p>
    <w:p w14:paraId="35CF49E4" w14:textId="46434CF5" w:rsidR="00385D8E" w:rsidRPr="00AA1346" w:rsidRDefault="00385D8E" w:rsidP="00E65268">
      <w:pPr>
        <w:pStyle w:val="Szvegtrzs"/>
        <w:spacing w:line="240" w:lineRule="auto"/>
        <w:ind w:right="-3"/>
        <w:rPr>
          <w:b w:val="0"/>
          <w:bCs/>
          <w:i w:val="0"/>
          <w:iCs/>
          <w:szCs w:val="22"/>
          <w:lang w:val="hu-HU"/>
        </w:rPr>
      </w:pPr>
      <w:r w:rsidRPr="00AA1346">
        <w:rPr>
          <w:b w:val="0"/>
          <w:bCs/>
          <w:i w:val="0"/>
          <w:iCs/>
          <w:szCs w:val="22"/>
          <w:lang w:val="hu-HU"/>
        </w:rPr>
        <w:t>A jelenleg rendelkezésre álló adatok leírása a 4.8, 5.1 és 5.2</w:t>
      </w:r>
      <w:r w:rsidR="00BA0C9A">
        <w:rPr>
          <w:b w:val="0"/>
          <w:bCs/>
          <w:i w:val="0"/>
          <w:iCs/>
          <w:szCs w:val="22"/>
          <w:lang w:val="hu-HU"/>
        </w:rPr>
        <w:t> </w:t>
      </w:r>
      <w:r w:rsidRPr="00AA1346">
        <w:rPr>
          <w:b w:val="0"/>
          <w:bCs/>
          <w:i w:val="0"/>
          <w:iCs/>
          <w:szCs w:val="22"/>
          <w:lang w:val="hu-HU"/>
        </w:rPr>
        <w:t>pontban található, de az adagolásra vonatkozóan nem adható ajánlás.</w:t>
      </w:r>
    </w:p>
    <w:p w14:paraId="6C528D09" w14:textId="77777777" w:rsidR="00385D8E" w:rsidRPr="00AA1346" w:rsidRDefault="00385D8E" w:rsidP="00E65268">
      <w:pPr>
        <w:pStyle w:val="Szvegtrzs"/>
        <w:spacing w:line="240" w:lineRule="auto"/>
        <w:ind w:right="-3"/>
        <w:rPr>
          <w:b w:val="0"/>
          <w:bCs/>
          <w:i w:val="0"/>
          <w:iCs/>
          <w:szCs w:val="22"/>
          <w:lang w:val="hu-HU"/>
        </w:rPr>
      </w:pPr>
    </w:p>
    <w:p w14:paraId="35F990F9" w14:textId="77777777" w:rsidR="00385D8E" w:rsidRPr="00AA1346" w:rsidRDefault="00385D8E" w:rsidP="00E65268">
      <w:pPr>
        <w:pStyle w:val="Szvegtrzs"/>
        <w:spacing w:line="240" w:lineRule="auto"/>
        <w:ind w:right="-3"/>
        <w:rPr>
          <w:b w:val="0"/>
          <w:bCs/>
          <w:i w:val="0"/>
          <w:iCs/>
          <w:szCs w:val="22"/>
          <w:lang w:val="hu-HU"/>
        </w:rPr>
      </w:pPr>
      <w:r w:rsidRPr="00AA1346">
        <w:rPr>
          <w:b w:val="0"/>
          <w:bCs/>
          <w:i w:val="0"/>
          <w:iCs/>
          <w:szCs w:val="22"/>
          <w:u w:val="single"/>
          <w:lang w:val="hu-HU"/>
        </w:rPr>
        <w:t>Az alkalmazás módja</w:t>
      </w:r>
    </w:p>
    <w:p w14:paraId="423B804A" w14:textId="2A7C5700" w:rsidR="00385D8E" w:rsidRPr="00AA1346" w:rsidRDefault="00385D8E" w:rsidP="00E65268">
      <w:pPr>
        <w:pStyle w:val="Szvegtrzs"/>
        <w:spacing w:line="240" w:lineRule="auto"/>
        <w:ind w:right="-3"/>
        <w:rPr>
          <w:b w:val="0"/>
          <w:bCs/>
          <w:i w:val="0"/>
          <w:iCs/>
          <w:szCs w:val="22"/>
          <w:lang w:val="hu-HU"/>
        </w:rPr>
      </w:pPr>
      <w:r w:rsidRPr="00AA1346">
        <w:rPr>
          <w:b w:val="0"/>
          <w:bCs/>
          <w:i w:val="0"/>
          <w:iCs/>
          <w:szCs w:val="22"/>
          <w:lang w:val="hu-HU"/>
        </w:rPr>
        <w:t xml:space="preserve">A </w:t>
      </w:r>
      <w:r w:rsidR="00840107" w:rsidRPr="00AA1346">
        <w:rPr>
          <w:b w:val="0"/>
          <w:bCs/>
          <w:i w:val="0"/>
          <w:iCs/>
          <w:szCs w:val="22"/>
          <w:lang w:val="hu-HU"/>
        </w:rPr>
        <w:t xml:space="preserve">Levetiracetam Kalceks </w:t>
      </w:r>
      <w:r w:rsidRPr="00AA1346">
        <w:rPr>
          <w:b w:val="0"/>
          <w:bCs/>
          <w:i w:val="0"/>
          <w:iCs/>
          <w:szCs w:val="22"/>
          <w:lang w:val="hu-HU"/>
        </w:rPr>
        <w:t>koncentrátum csak intravénásan alkalmazható és az ajánlott dózist legalább 100</w:t>
      </w:r>
      <w:r w:rsidR="00BA0C9A">
        <w:rPr>
          <w:b w:val="0"/>
          <w:bCs/>
          <w:i w:val="0"/>
          <w:iCs/>
          <w:szCs w:val="22"/>
          <w:lang w:val="hu-HU"/>
        </w:rPr>
        <w:t> </w:t>
      </w:r>
      <w:r w:rsidRPr="00AA1346">
        <w:rPr>
          <w:b w:val="0"/>
          <w:bCs/>
          <w:i w:val="0"/>
          <w:iCs/>
          <w:szCs w:val="22"/>
          <w:lang w:val="hu-HU"/>
        </w:rPr>
        <w:t>ml kompatibilis oldószerrel fel kell hígítani, és intravénásan kell beadni, 15</w:t>
      </w:r>
      <w:r w:rsidR="00BA0C9A">
        <w:rPr>
          <w:b w:val="0"/>
          <w:bCs/>
          <w:i w:val="0"/>
          <w:iCs/>
          <w:szCs w:val="22"/>
          <w:lang w:val="hu-HU"/>
        </w:rPr>
        <w:t> </w:t>
      </w:r>
      <w:r w:rsidRPr="00AA1346">
        <w:rPr>
          <w:b w:val="0"/>
          <w:bCs/>
          <w:i w:val="0"/>
          <w:iCs/>
          <w:szCs w:val="22"/>
          <w:lang w:val="hu-HU"/>
        </w:rPr>
        <w:t>perces intravénás infúzió formájában (lásd 6.6</w:t>
      </w:r>
      <w:r w:rsidR="00BA0C9A">
        <w:rPr>
          <w:b w:val="0"/>
          <w:bCs/>
          <w:i w:val="0"/>
          <w:iCs/>
          <w:szCs w:val="22"/>
          <w:lang w:val="hu-HU"/>
        </w:rPr>
        <w:t> </w:t>
      </w:r>
      <w:r w:rsidRPr="00AA1346">
        <w:rPr>
          <w:b w:val="0"/>
          <w:bCs/>
          <w:i w:val="0"/>
          <w:iCs/>
          <w:szCs w:val="22"/>
          <w:lang w:val="hu-HU"/>
        </w:rPr>
        <w:t>pont).</w:t>
      </w:r>
    </w:p>
    <w:p w14:paraId="707FB2AF" w14:textId="77777777" w:rsidR="00385D8E" w:rsidRPr="00AA1346" w:rsidRDefault="00385D8E" w:rsidP="004401DF">
      <w:pPr>
        <w:suppressAutoHyphens/>
        <w:spacing w:after="0" w:line="240" w:lineRule="auto"/>
        <w:rPr>
          <w:rFonts w:ascii="Times New Roman" w:eastAsia="Times New Roman" w:hAnsi="Times New Roman" w:cs="Times New Roman"/>
          <w:bCs/>
        </w:rPr>
      </w:pPr>
    </w:p>
    <w:p w14:paraId="06C01FC4" w14:textId="77777777" w:rsidR="00840107" w:rsidRPr="00AA1346" w:rsidRDefault="00840107" w:rsidP="004401DF">
      <w:pPr>
        <w:tabs>
          <w:tab w:val="left" w:pos="567"/>
        </w:tabs>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A gyógyszer alkalmazás előtti hígítására vonatkozó utasításokat lásd a 6.6 pontban.</w:t>
      </w:r>
    </w:p>
    <w:p w14:paraId="6F4551B7" w14:textId="77777777" w:rsidR="00385D8E" w:rsidRPr="00AA1346" w:rsidRDefault="00385D8E" w:rsidP="004401DF">
      <w:pPr>
        <w:suppressAutoHyphens/>
        <w:spacing w:after="0" w:line="240" w:lineRule="auto"/>
        <w:rPr>
          <w:rFonts w:ascii="Times New Roman" w:eastAsia="Times New Roman" w:hAnsi="Times New Roman" w:cs="Times New Roman"/>
          <w:bCs/>
        </w:rPr>
      </w:pPr>
    </w:p>
    <w:p w14:paraId="5D1C2DC0" w14:textId="77777777" w:rsidR="00394394" w:rsidRPr="00AA1346" w:rsidRDefault="00394394" w:rsidP="00E65268">
      <w:pPr>
        <w:keepNext/>
        <w:numPr>
          <w:ilvl w:val="1"/>
          <w:numId w:val="8"/>
        </w:numPr>
        <w:tabs>
          <w:tab w:val="left" w:pos="567"/>
        </w:tabs>
        <w:suppressAutoHyphens/>
        <w:spacing w:after="0" w:line="240" w:lineRule="auto"/>
        <w:ind w:left="0" w:firstLine="0"/>
        <w:rPr>
          <w:rFonts w:ascii="Times New Roman" w:eastAsia="Times New Roman" w:hAnsi="Times New Roman" w:cs="Times New Roman"/>
          <w:b/>
        </w:rPr>
      </w:pPr>
      <w:r w:rsidRPr="00AA1346">
        <w:rPr>
          <w:rFonts w:ascii="Times New Roman" w:eastAsia="Times New Roman" w:hAnsi="Times New Roman" w:cs="Times New Roman"/>
          <w:b/>
        </w:rPr>
        <w:lastRenderedPageBreak/>
        <w:t>Ellenjavallatok</w:t>
      </w:r>
    </w:p>
    <w:p w14:paraId="1D1419A3" w14:textId="77777777" w:rsidR="00394394" w:rsidRPr="00AA1346" w:rsidRDefault="00394394" w:rsidP="00E65268">
      <w:pPr>
        <w:keepNext/>
        <w:suppressAutoHyphens/>
        <w:spacing w:after="0" w:line="240" w:lineRule="auto"/>
        <w:rPr>
          <w:rFonts w:ascii="Times New Roman" w:eastAsia="Times New Roman" w:hAnsi="Times New Roman" w:cs="Times New Roman"/>
          <w:bCs/>
        </w:rPr>
      </w:pPr>
    </w:p>
    <w:p w14:paraId="2ECB0E08" w14:textId="5CAE62E7" w:rsidR="00394394" w:rsidRPr="00AA1346" w:rsidRDefault="00DA5C47"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A készítmény hatóanyagával vagy más pirrolidon-származékkal, vagy a 6.1 pontban felsorolt bármely segédanyagával szembeni túlérzékenység.</w:t>
      </w:r>
    </w:p>
    <w:p w14:paraId="71147406"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3EE61FF9" w14:textId="77777777" w:rsidR="00394394" w:rsidRPr="00AA1346" w:rsidRDefault="00394394" w:rsidP="004401DF">
      <w:pPr>
        <w:tabs>
          <w:tab w:val="left" w:pos="567"/>
        </w:tabs>
        <w:suppressAutoHyphens/>
        <w:spacing w:after="0" w:line="240" w:lineRule="auto"/>
        <w:rPr>
          <w:rFonts w:ascii="Times New Roman" w:eastAsia="Times New Roman" w:hAnsi="Times New Roman" w:cs="Times New Roman"/>
          <w:b/>
        </w:rPr>
      </w:pPr>
      <w:r w:rsidRPr="00AA1346">
        <w:rPr>
          <w:rFonts w:ascii="Times New Roman" w:eastAsia="Times New Roman" w:hAnsi="Times New Roman" w:cs="Times New Roman"/>
          <w:b/>
        </w:rPr>
        <w:t>4.4</w:t>
      </w:r>
      <w:r w:rsidRPr="00AA1346">
        <w:rPr>
          <w:rFonts w:ascii="Times New Roman" w:eastAsia="Times New Roman" w:hAnsi="Times New Roman" w:cs="Times New Roman"/>
          <w:b/>
        </w:rPr>
        <w:tab/>
        <w:t>Különleges figyelmeztetések és az alkalmazással kapcsolatos óvintézkedések</w:t>
      </w:r>
    </w:p>
    <w:p w14:paraId="1D656FD9"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175F56B2" w14:textId="77777777"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Vesekárosodás</w:t>
      </w:r>
    </w:p>
    <w:p w14:paraId="3F8DA6FB" w14:textId="7F2262C7"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Vesekárosodásban szenvedő betegeknél szükséges lehet a levetiracetám dózisának módosítása. Súlyos </w:t>
      </w:r>
      <w:r w:rsidR="00BA0C9A">
        <w:rPr>
          <w:rFonts w:ascii="Times New Roman" w:eastAsia="Times New Roman" w:hAnsi="Times New Roman" w:cs="Times New Roman"/>
        </w:rPr>
        <w:t xml:space="preserve">fokú </w:t>
      </w:r>
      <w:r w:rsidRPr="00AA1346">
        <w:rPr>
          <w:rFonts w:ascii="Times New Roman" w:eastAsia="Times New Roman" w:hAnsi="Times New Roman" w:cs="Times New Roman"/>
        </w:rPr>
        <w:t>májkárosodásban szenvedő betegeknél az alkalmazandó dózis megválasztása előtt ajánl</w:t>
      </w:r>
      <w:r w:rsidR="00BA0C9A">
        <w:rPr>
          <w:rFonts w:ascii="Times New Roman" w:eastAsia="Times New Roman" w:hAnsi="Times New Roman" w:cs="Times New Roman"/>
        </w:rPr>
        <w:t>ott</w:t>
      </w:r>
      <w:r w:rsidRPr="00AA1346">
        <w:rPr>
          <w:rFonts w:ascii="Times New Roman" w:eastAsia="Times New Roman" w:hAnsi="Times New Roman" w:cs="Times New Roman"/>
        </w:rPr>
        <w:t xml:space="preserve"> a vesefunkció vizsgálata (lásd 4.2 pont).</w:t>
      </w:r>
    </w:p>
    <w:p w14:paraId="384BCD7E"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4F171A3D" w14:textId="77777777"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Akut vesekárosodás</w:t>
      </w:r>
    </w:p>
    <w:p w14:paraId="44566A3B" w14:textId="4C942C53"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alkalmazás</w:t>
      </w:r>
      <w:r w:rsidR="001D4713">
        <w:rPr>
          <w:rFonts w:ascii="Times New Roman" w:eastAsia="Times New Roman" w:hAnsi="Times New Roman" w:cs="Times New Roman"/>
        </w:rPr>
        <w:t>ához</w:t>
      </w:r>
      <w:r w:rsidRPr="00AA1346">
        <w:rPr>
          <w:rFonts w:ascii="Times New Roman" w:eastAsia="Times New Roman" w:hAnsi="Times New Roman" w:cs="Times New Roman"/>
        </w:rPr>
        <w:t xml:space="preserve"> nagyon ritkán akut vesekárosodás</w:t>
      </w:r>
      <w:r w:rsidR="001D4713">
        <w:rPr>
          <w:rFonts w:ascii="Times New Roman" w:eastAsia="Times New Roman" w:hAnsi="Times New Roman" w:cs="Times New Roman"/>
        </w:rPr>
        <w:t xml:space="preserve"> társult</w:t>
      </w:r>
      <w:r w:rsidRPr="00AA1346">
        <w:rPr>
          <w:rFonts w:ascii="Times New Roman" w:eastAsia="Times New Roman" w:hAnsi="Times New Roman" w:cs="Times New Roman"/>
        </w:rPr>
        <w:t>, melynek megjelenési ideje néhány nap és néhány hónap köz</w:t>
      </w:r>
      <w:r w:rsidR="001D4713">
        <w:rPr>
          <w:rFonts w:ascii="Times New Roman" w:eastAsia="Times New Roman" w:hAnsi="Times New Roman" w:cs="Times New Roman"/>
        </w:rPr>
        <w:t>ött volt.</w:t>
      </w:r>
    </w:p>
    <w:p w14:paraId="42362BA1"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3334A34B" w14:textId="77777777"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Vérsejtszám</w:t>
      </w:r>
    </w:p>
    <w:p w14:paraId="3394F749" w14:textId="10103029"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alkalmazásával összefüggésben</w:t>
      </w:r>
      <w:r w:rsidR="00BA0C9A">
        <w:rPr>
          <w:rFonts w:ascii="Times New Roman" w:eastAsia="Times New Roman" w:hAnsi="Times New Roman" w:cs="Times New Roman"/>
        </w:rPr>
        <w:t>,</w:t>
      </w:r>
      <w:r w:rsidRPr="00AA1346">
        <w:rPr>
          <w:rFonts w:ascii="Times New Roman" w:eastAsia="Times New Roman" w:hAnsi="Times New Roman" w:cs="Times New Roman"/>
        </w:rPr>
        <w:t xml:space="preserve"> általában a kezelés kezdetekor, ritkán a vérsejtszámok csökkenését (neutropenia, agranulocytosis, leukopenia, thrombocytopenia és pancytopenia) írták le.</w:t>
      </w:r>
      <w:r w:rsidR="00BA0C9A">
        <w:rPr>
          <w:rFonts w:ascii="Times New Roman" w:eastAsia="Times New Roman" w:hAnsi="Times New Roman" w:cs="Times New Roman"/>
        </w:rPr>
        <w:t xml:space="preserve"> </w:t>
      </w:r>
      <w:r w:rsidRPr="00AA1346">
        <w:rPr>
          <w:rFonts w:ascii="Times New Roman" w:eastAsia="Times New Roman" w:hAnsi="Times New Roman" w:cs="Times New Roman"/>
        </w:rPr>
        <w:t>Teljes vérképvizsgálat</w:t>
      </w:r>
      <w:r w:rsidR="00BA0C9A">
        <w:rPr>
          <w:rFonts w:ascii="Times New Roman" w:eastAsia="Times New Roman" w:hAnsi="Times New Roman" w:cs="Times New Roman"/>
        </w:rPr>
        <w:t xml:space="preserve"> </w:t>
      </w:r>
      <w:r w:rsidRPr="00AA1346">
        <w:rPr>
          <w:rFonts w:ascii="Times New Roman" w:eastAsia="Times New Roman" w:hAnsi="Times New Roman" w:cs="Times New Roman"/>
        </w:rPr>
        <w:t>ajánlott azoknál a betegeknél, akik nagyfokú gyengeséget, lázat, visszatérő fertőzéseket, vagy véralvadási zavarokat tapasztalnak (lásd 4.8 pont).</w:t>
      </w:r>
    </w:p>
    <w:p w14:paraId="74DF8535"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3E062C5A" w14:textId="77777777"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Öngyilkosság</w:t>
      </w:r>
    </w:p>
    <w:p w14:paraId="0DE05A55" w14:textId="1389FEF9"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Antiepileptikumokkal (többek között levetiracetámmal) kezelt betegeknél öngyilkosságot, öngyilkossági kísérletet,</w:t>
      </w:r>
      <w:r w:rsidR="00BA0C9A">
        <w:rPr>
          <w:rFonts w:ascii="Times New Roman" w:eastAsia="Times New Roman" w:hAnsi="Times New Roman" w:cs="Times New Roman"/>
        </w:rPr>
        <w:t xml:space="preserve"> </w:t>
      </w:r>
      <w:r w:rsidRPr="00AA1346">
        <w:rPr>
          <w:rFonts w:ascii="Times New Roman" w:eastAsia="Times New Roman" w:hAnsi="Times New Roman" w:cs="Times New Roman"/>
        </w:rPr>
        <w:t>öngyilkossági gondolatokat és viselkedést jelentettek. Antiepileptikumok randomizált, placebokontrollos vizsgálat</w:t>
      </w:r>
      <w:r w:rsidR="001D4713">
        <w:rPr>
          <w:rFonts w:ascii="Times New Roman" w:eastAsia="Times New Roman" w:hAnsi="Times New Roman" w:cs="Times New Roman"/>
        </w:rPr>
        <w:t>ainak</w:t>
      </w:r>
      <w:r w:rsidRPr="00AA1346">
        <w:rPr>
          <w:rFonts w:ascii="Times New Roman" w:eastAsia="Times New Roman" w:hAnsi="Times New Roman" w:cs="Times New Roman"/>
        </w:rPr>
        <w:t xml:space="preserve"> metaanalízise az öngyilkossági gondolatok és viselkedés kismértékben emelkedett kockázatát mutatta</w:t>
      </w:r>
      <w:r w:rsidR="001D4713">
        <w:rPr>
          <w:rFonts w:ascii="Times New Roman" w:eastAsia="Times New Roman" w:hAnsi="Times New Roman" w:cs="Times New Roman"/>
        </w:rPr>
        <w:t xml:space="preserve"> ki</w:t>
      </w:r>
      <w:r w:rsidRPr="00AA1346">
        <w:rPr>
          <w:rFonts w:ascii="Times New Roman" w:eastAsia="Times New Roman" w:hAnsi="Times New Roman" w:cs="Times New Roman"/>
        </w:rPr>
        <w:t>. Ezen kockázat mechanizmusa nem ismert.</w:t>
      </w:r>
    </w:p>
    <w:p w14:paraId="72F615FD"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65B68411" w14:textId="21DA50F0"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Ennek következtében a betegeknél </w:t>
      </w:r>
      <w:r w:rsidR="00BA0C9A">
        <w:rPr>
          <w:rFonts w:ascii="Times New Roman" w:eastAsia="Times New Roman" w:hAnsi="Times New Roman" w:cs="Times New Roman"/>
        </w:rPr>
        <w:t>monitorozni</w:t>
      </w:r>
      <w:r w:rsidRPr="00AA1346">
        <w:rPr>
          <w:rFonts w:ascii="Times New Roman" w:eastAsia="Times New Roman" w:hAnsi="Times New Roman" w:cs="Times New Roman"/>
        </w:rPr>
        <w:t xml:space="preserve"> kell a depress</w:t>
      </w:r>
      <w:r w:rsidR="00BA0C9A">
        <w:rPr>
          <w:rFonts w:ascii="Times New Roman" w:eastAsia="Times New Roman" w:hAnsi="Times New Roman" w:cs="Times New Roman"/>
        </w:rPr>
        <w:t>z</w:t>
      </w:r>
      <w:r w:rsidRPr="00AA1346">
        <w:rPr>
          <w:rFonts w:ascii="Times New Roman" w:eastAsia="Times New Roman" w:hAnsi="Times New Roman" w:cs="Times New Roman"/>
        </w:rPr>
        <w:t>i</w:t>
      </w:r>
      <w:r w:rsidR="00BA0C9A">
        <w:rPr>
          <w:rFonts w:ascii="Times New Roman" w:eastAsia="Times New Roman" w:hAnsi="Times New Roman" w:cs="Times New Roman"/>
        </w:rPr>
        <w:t>ó</w:t>
      </w:r>
      <w:r w:rsidR="009214F7">
        <w:rPr>
          <w:rFonts w:ascii="Times New Roman" w:eastAsia="Times New Roman" w:hAnsi="Times New Roman" w:cs="Times New Roman"/>
        </w:rPr>
        <w:t>, illetve</w:t>
      </w:r>
      <w:r w:rsidRPr="00AA1346">
        <w:rPr>
          <w:rFonts w:ascii="Times New Roman" w:eastAsia="Times New Roman" w:hAnsi="Times New Roman" w:cs="Times New Roman"/>
        </w:rPr>
        <w:t xml:space="preserve"> </w:t>
      </w:r>
      <w:r w:rsidR="00BA0C9A">
        <w:rPr>
          <w:rFonts w:ascii="Times New Roman" w:eastAsia="Times New Roman" w:hAnsi="Times New Roman" w:cs="Times New Roman"/>
        </w:rPr>
        <w:t xml:space="preserve">az </w:t>
      </w:r>
      <w:r w:rsidRPr="00AA1346">
        <w:rPr>
          <w:rFonts w:ascii="Times New Roman" w:eastAsia="Times New Roman" w:hAnsi="Times New Roman" w:cs="Times New Roman"/>
        </w:rPr>
        <w:t xml:space="preserve">öngyilkossági gondolatok és viselkedés jeleit, és </w:t>
      </w:r>
      <w:r w:rsidR="00C53E67">
        <w:rPr>
          <w:rFonts w:ascii="Times New Roman" w:eastAsia="Times New Roman" w:hAnsi="Times New Roman" w:cs="Times New Roman"/>
        </w:rPr>
        <w:t>mérlegelni</w:t>
      </w:r>
      <w:r w:rsidRPr="00AA1346">
        <w:rPr>
          <w:rFonts w:ascii="Times New Roman" w:eastAsia="Times New Roman" w:hAnsi="Times New Roman" w:cs="Times New Roman"/>
        </w:rPr>
        <w:t xml:space="preserve"> kell a megfelelő kezelést. A betegek (és a betegek gondozóinak) figyelmét fel kell hívni arra, hogy kérjenek orvosi tanácsot, amennyiben a depress</w:t>
      </w:r>
      <w:r w:rsidR="00C53E67">
        <w:rPr>
          <w:rFonts w:ascii="Times New Roman" w:eastAsia="Times New Roman" w:hAnsi="Times New Roman" w:cs="Times New Roman"/>
        </w:rPr>
        <w:t>z</w:t>
      </w:r>
      <w:r w:rsidRPr="00AA1346">
        <w:rPr>
          <w:rFonts w:ascii="Times New Roman" w:eastAsia="Times New Roman" w:hAnsi="Times New Roman" w:cs="Times New Roman"/>
        </w:rPr>
        <w:t>i</w:t>
      </w:r>
      <w:r w:rsidR="00C53E67">
        <w:rPr>
          <w:rFonts w:ascii="Times New Roman" w:eastAsia="Times New Roman" w:hAnsi="Times New Roman" w:cs="Times New Roman"/>
        </w:rPr>
        <w:t>ó</w:t>
      </w:r>
      <w:r w:rsidR="009214F7">
        <w:rPr>
          <w:rFonts w:ascii="Times New Roman" w:eastAsia="Times New Roman" w:hAnsi="Times New Roman" w:cs="Times New Roman"/>
        </w:rPr>
        <w:t>, illetve az</w:t>
      </w:r>
      <w:r w:rsidR="00C53E67">
        <w:rPr>
          <w:rFonts w:ascii="Times New Roman" w:eastAsia="Times New Roman" w:hAnsi="Times New Roman" w:cs="Times New Roman"/>
        </w:rPr>
        <w:t xml:space="preserve"> </w:t>
      </w:r>
      <w:r w:rsidRPr="00AA1346">
        <w:rPr>
          <w:rFonts w:ascii="Times New Roman" w:eastAsia="Times New Roman" w:hAnsi="Times New Roman" w:cs="Times New Roman"/>
        </w:rPr>
        <w:t>öngyilkossági gondolatok vagy viselkedés jelei lépnének fel.</w:t>
      </w:r>
    </w:p>
    <w:p w14:paraId="25F57571"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54A72DCA" w14:textId="77777777"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Rendellenes és agresszív viselkedés</w:t>
      </w:r>
    </w:p>
    <w:p w14:paraId="2C949200" w14:textId="0CDBA563"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pszichotikus tüneteket és viselkedési rendellenességeket okozhat, ideértve az ingerlékenységet és az agresszivitást</w:t>
      </w:r>
      <w:r w:rsidR="00C53E67">
        <w:rPr>
          <w:rFonts w:ascii="Times New Roman" w:eastAsia="Times New Roman" w:hAnsi="Times New Roman" w:cs="Times New Roman"/>
        </w:rPr>
        <w:t xml:space="preserve"> is</w:t>
      </w:r>
      <w:r w:rsidRPr="00AA1346">
        <w:rPr>
          <w:rFonts w:ascii="Times New Roman" w:eastAsia="Times New Roman" w:hAnsi="Times New Roman" w:cs="Times New Roman"/>
        </w:rPr>
        <w:t>. A levetiracetámmal kezelt betegek</w:t>
      </w:r>
      <w:r w:rsidR="00C21BDD">
        <w:rPr>
          <w:rFonts w:ascii="Times New Roman" w:eastAsia="Times New Roman" w:hAnsi="Times New Roman" w:cs="Times New Roman"/>
        </w:rPr>
        <w:t>et</w:t>
      </w:r>
      <w:r w:rsidRPr="00AA1346">
        <w:rPr>
          <w:rFonts w:ascii="Times New Roman" w:eastAsia="Times New Roman" w:hAnsi="Times New Roman" w:cs="Times New Roman"/>
        </w:rPr>
        <w:t xml:space="preserve"> monitorozni kell </w:t>
      </w:r>
      <w:r w:rsidR="00C53E67">
        <w:rPr>
          <w:rFonts w:ascii="Times New Roman" w:eastAsia="Times New Roman" w:hAnsi="Times New Roman" w:cs="Times New Roman"/>
        </w:rPr>
        <w:t xml:space="preserve">az </w:t>
      </w:r>
      <w:r w:rsidRPr="00AA1346">
        <w:rPr>
          <w:rFonts w:ascii="Times New Roman" w:eastAsia="Times New Roman" w:hAnsi="Times New Roman" w:cs="Times New Roman"/>
        </w:rPr>
        <w:t>olyan pszichiátriai tünetek kialakulás</w:t>
      </w:r>
      <w:r w:rsidR="00C21BDD">
        <w:rPr>
          <w:rFonts w:ascii="Times New Roman" w:eastAsia="Times New Roman" w:hAnsi="Times New Roman" w:cs="Times New Roman"/>
        </w:rPr>
        <w:t>a tekintetében</w:t>
      </w:r>
      <w:r w:rsidRPr="00AA1346">
        <w:rPr>
          <w:rFonts w:ascii="Times New Roman" w:eastAsia="Times New Roman" w:hAnsi="Times New Roman" w:cs="Times New Roman"/>
        </w:rPr>
        <w:t xml:space="preserve">, amelyek fontos hangulati és/vagy személyiségváltozásra utalnak. Ha ilyen </w:t>
      </w:r>
      <w:r w:rsidR="00C21BDD">
        <w:rPr>
          <w:rFonts w:ascii="Times New Roman" w:eastAsia="Times New Roman" w:hAnsi="Times New Roman" w:cs="Times New Roman"/>
        </w:rPr>
        <w:t>magatartás</w:t>
      </w:r>
      <w:r w:rsidRPr="00AA1346">
        <w:rPr>
          <w:rFonts w:ascii="Times New Roman" w:eastAsia="Times New Roman" w:hAnsi="Times New Roman" w:cs="Times New Roman"/>
        </w:rPr>
        <w:t xml:space="preserve"> észlel</w:t>
      </w:r>
      <w:r w:rsidR="00C53E67">
        <w:rPr>
          <w:rFonts w:ascii="Times New Roman" w:eastAsia="Times New Roman" w:hAnsi="Times New Roman" w:cs="Times New Roman"/>
        </w:rPr>
        <w:t>hető</w:t>
      </w:r>
      <w:r w:rsidRPr="00AA1346">
        <w:rPr>
          <w:rFonts w:ascii="Times New Roman" w:eastAsia="Times New Roman" w:hAnsi="Times New Roman" w:cs="Times New Roman"/>
        </w:rPr>
        <w:t xml:space="preserve">, </w:t>
      </w:r>
      <w:r w:rsidR="00C53E67">
        <w:rPr>
          <w:rFonts w:ascii="Times New Roman" w:eastAsia="Times New Roman" w:hAnsi="Times New Roman" w:cs="Times New Roman"/>
        </w:rPr>
        <w:t xml:space="preserve">meg kell </w:t>
      </w:r>
      <w:r w:rsidRPr="00AA1346">
        <w:rPr>
          <w:rFonts w:ascii="Times New Roman" w:eastAsia="Times New Roman" w:hAnsi="Times New Roman" w:cs="Times New Roman"/>
        </w:rPr>
        <w:t>fontol</w:t>
      </w:r>
      <w:r w:rsidR="00C53E67">
        <w:rPr>
          <w:rFonts w:ascii="Times New Roman" w:eastAsia="Times New Roman" w:hAnsi="Times New Roman" w:cs="Times New Roman"/>
        </w:rPr>
        <w:t>ni</w:t>
      </w:r>
      <w:r w:rsidRPr="00AA1346">
        <w:rPr>
          <w:rFonts w:ascii="Times New Roman" w:eastAsia="Times New Roman" w:hAnsi="Times New Roman" w:cs="Times New Roman"/>
        </w:rPr>
        <w:t xml:space="preserve"> a kezelés módosítását vagy a fokozatos abbahagyását. Ha </w:t>
      </w:r>
      <w:r w:rsidR="00C53E67">
        <w:rPr>
          <w:rFonts w:ascii="Times New Roman" w:eastAsia="Times New Roman" w:hAnsi="Times New Roman" w:cs="Times New Roman"/>
        </w:rPr>
        <w:t>felmerül</w:t>
      </w:r>
      <w:r w:rsidRPr="00AA1346">
        <w:rPr>
          <w:rFonts w:ascii="Times New Roman" w:eastAsia="Times New Roman" w:hAnsi="Times New Roman" w:cs="Times New Roman"/>
        </w:rPr>
        <w:t xml:space="preserve"> a</w:t>
      </w:r>
      <w:r w:rsidR="00C53E67">
        <w:rPr>
          <w:rFonts w:ascii="Times New Roman" w:eastAsia="Times New Roman" w:hAnsi="Times New Roman" w:cs="Times New Roman"/>
        </w:rPr>
        <w:t xml:space="preserve"> kezelés</w:t>
      </w:r>
      <w:r w:rsidRPr="00AA1346">
        <w:rPr>
          <w:rFonts w:ascii="Times New Roman" w:eastAsia="Times New Roman" w:hAnsi="Times New Roman" w:cs="Times New Roman"/>
        </w:rPr>
        <w:t xml:space="preserve"> abbahagyás</w:t>
      </w:r>
      <w:r w:rsidR="00C53E67">
        <w:rPr>
          <w:rFonts w:ascii="Times New Roman" w:eastAsia="Times New Roman" w:hAnsi="Times New Roman" w:cs="Times New Roman"/>
        </w:rPr>
        <w:t>ának szükségessége</w:t>
      </w:r>
      <w:r w:rsidRPr="00AA1346">
        <w:rPr>
          <w:rFonts w:ascii="Times New Roman" w:eastAsia="Times New Roman" w:hAnsi="Times New Roman" w:cs="Times New Roman"/>
        </w:rPr>
        <w:t>, kérjük, olvassa el a 4.2 pontot.</w:t>
      </w:r>
    </w:p>
    <w:p w14:paraId="5AB1C7E4"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714E5103" w14:textId="77777777"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 rohamok súlyosbodása</w:t>
      </w:r>
    </w:p>
    <w:p w14:paraId="25AACB2B" w14:textId="49B3D907"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Mint más típusú epilepszia elleni gyógyszerek, </w:t>
      </w:r>
      <w:r w:rsidR="00C53E67" w:rsidRPr="00AA1346">
        <w:rPr>
          <w:rFonts w:ascii="Times New Roman" w:eastAsia="Times New Roman" w:hAnsi="Times New Roman" w:cs="Times New Roman"/>
        </w:rPr>
        <w:t xml:space="preserve">ritkán </w:t>
      </w:r>
      <w:r w:rsidRPr="00AA1346">
        <w:rPr>
          <w:rFonts w:ascii="Times New Roman" w:eastAsia="Times New Roman" w:hAnsi="Times New Roman" w:cs="Times New Roman"/>
        </w:rPr>
        <w:t xml:space="preserve">a levetiracetám is növelheti a rohamok gyakoriságát vagy súlyosságát. Ezt a paradox hatást legtöbbször a levetiracetám alkalmazásának kezdetétől vagy a dózis </w:t>
      </w:r>
      <w:r w:rsidR="00C53E67">
        <w:rPr>
          <w:rFonts w:ascii="Times New Roman" w:eastAsia="Times New Roman" w:hAnsi="Times New Roman" w:cs="Times New Roman"/>
        </w:rPr>
        <w:t>eme</w:t>
      </w:r>
      <w:r w:rsidRPr="00AA1346">
        <w:rPr>
          <w:rFonts w:ascii="Times New Roman" w:eastAsia="Times New Roman" w:hAnsi="Times New Roman" w:cs="Times New Roman"/>
        </w:rPr>
        <w:t xml:space="preserve">lésétől számított egy hónapon belül jelentették, és a gyógyszer </w:t>
      </w:r>
      <w:r w:rsidR="00C53E67">
        <w:rPr>
          <w:rFonts w:ascii="Times New Roman" w:eastAsia="Times New Roman" w:hAnsi="Times New Roman" w:cs="Times New Roman"/>
        </w:rPr>
        <w:t xml:space="preserve">alkalmazásának </w:t>
      </w:r>
      <w:r w:rsidRPr="00AA1346">
        <w:rPr>
          <w:rFonts w:ascii="Times New Roman" w:eastAsia="Times New Roman" w:hAnsi="Times New Roman" w:cs="Times New Roman"/>
        </w:rPr>
        <w:t>abbahagyásával vagy a dózis csökkentésével visszafordítható volt. A betegeket figyelmeztetni kell arra, hogy az epilepszia súlyosbodása esetén azonnal beszéljenek kezelőorvosukkal.</w:t>
      </w:r>
      <w:r w:rsidR="00C53E67">
        <w:rPr>
          <w:rFonts w:ascii="Times New Roman" w:eastAsia="Times New Roman" w:hAnsi="Times New Roman" w:cs="Times New Roman"/>
        </w:rPr>
        <w:t xml:space="preserve"> </w:t>
      </w:r>
      <w:r w:rsidRPr="00AA1346">
        <w:rPr>
          <w:rFonts w:ascii="Times New Roman" w:eastAsia="Times New Roman" w:hAnsi="Times New Roman" w:cs="Times New Roman"/>
        </w:rPr>
        <w:t>A feszültségfüggő nátriumcsatorna 8-as alfa-alegységének (SCN8A) mutációival rendelkező epilepsziás betegeknél például a hatásosság hiányáról vagy a rohamok súlyosbodásáról számoltak be.</w:t>
      </w:r>
    </w:p>
    <w:p w14:paraId="24410597"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6D804AF1" w14:textId="0ECCECB6"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Elektrokardiogram QT-intervallum</w:t>
      </w:r>
      <w:r w:rsidR="00C53E67">
        <w:rPr>
          <w:rFonts w:ascii="Times New Roman" w:eastAsia="Times New Roman" w:hAnsi="Times New Roman" w:cs="Times New Roman"/>
          <w:u w:val="single"/>
        </w:rPr>
        <w:t>-</w:t>
      </w:r>
      <w:r w:rsidRPr="00AA1346">
        <w:rPr>
          <w:rFonts w:ascii="Times New Roman" w:eastAsia="Times New Roman" w:hAnsi="Times New Roman" w:cs="Times New Roman"/>
          <w:u w:val="single"/>
        </w:rPr>
        <w:t>megnyúlás</w:t>
      </w:r>
    </w:p>
    <w:p w14:paraId="6DC7FEA0" w14:textId="3FED8876"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Ritka esetekben az EKG-n a QT-intervallum megnyúlását észlelték a forgalomba hozatalt követően előforduló mellékhatások jelentése során. A levetiracetámot </w:t>
      </w:r>
      <w:r w:rsidR="00365E60">
        <w:rPr>
          <w:rFonts w:ascii="Times New Roman" w:eastAsia="Times New Roman" w:hAnsi="Times New Roman" w:cs="Times New Roman"/>
        </w:rPr>
        <w:t>körültekintően</w:t>
      </w:r>
      <w:r w:rsidRPr="00AA1346">
        <w:rPr>
          <w:rFonts w:ascii="Times New Roman" w:eastAsia="Times New Roman" w:hAnsi="Times New Roman" w:cs="Times New Roman"/>
        </w:rPr>
        <w:t xml:space="preserve"> kell alkalmazni </w:t>
      </w:r>
      <w:r w:rsidR="00365E60">
        <w:rPr>
          <w:rFonts w:ascii="Times New Roman" w:eastAsia="Times New Roman" w:hAnsi="Times New Roman" w:cs="Times New Roman"/>
        </w:rPr>
        <w:t xml:space="preserve">azoknál a betegeknél, akiknél </w:t>
      </w:r>
      <w:r w:rsidRPr="00AA1346">
        <w:rPr>
          <w:rFonts w:ascii="Times New Roman" w:eastAsia="Times New Roman" w:hAnsi="Times New Roman" w:cs="Times New Roman"/>
        </w:rPr>
        <w:t>QTc</w:t>
      </w:r>
      <w:r w:rsidR="00365E60">
        <w:rPr>
          <w:rFonts w:ascii="Times New Roman" w:eastAsia="Times New Roman" w:hAnsi="Times New Roman" w:cs="Times New Roman"/>
          <w:vertAlign w:val="subscript"/>
        </w:rPr>
        <w:noBreakHyphen/>
      </w:r>
      <w:r w:rsidRPr="00AA1346">
        <w:rPr>
          <w:rFonts w:ascii="Times New Roman" w:eastAsia="Times New Roman" w:hAnsi="Times New Roman" w:cs="Times New Roman"/>
        </w:rPr>
        <w:t>intervallum</w:t>
      </w:r>
      <w:r w:rsidR="00365E60">
        <w:rPr>
          <w:rFonts w:ascii="Times New Roman" w:eastAsia="Times New Roman" w:hAnsi="Times New Roman" w:cs="Times New Roman"/>
        </w:rPr>
        <w:t>-</w:t>
      </w:r>
      <w:r w:rsidRPr="00AA1346">
        <w:rPr>
          <w:rFonts w:ascii="Times New Roman" w:eastAsia="Times New Roman" w:hAnsi="Times New Roman" w:cs="Times New Roman"/>
        </w:rPr>
        <w:t>megnyúlás</w:t>
      </w:r>
      <w:r w:rsidR="00365E60">
        <w:rPr>
          <w:rFonts w:ascii="Times New Roman" w:eastAsia="Times New Roman" w:hAnsi="Times New Roman" w:cs="Times New Roman"/>
        </w:rPr>
        <w:t xml:space="preserve"> áll fenn, </w:t>
      </w:r>
      <w:r w:rsidRPr="00AA1346">
        <w:rPr>
          <w:rFonts w:ascii="Times New Roman" w:eastAsia="Times New Roman" w:hAnsi="Times New Roman" w:cs="Times New Roman"/>
        </w:rPr>
        <w:t>a</w:t>
      </w:r>
      <w:r w:rsidR="00365E60">
        <w:rPr>
          <w:rFonts w:ascii="Times New Roman" w:eastAsia="Times New Roman" w:hAnsi="Times New Roman" w:cs="Times New Roman"/>
        </w:rPr>
        <w:t>kiket egyidejűleg a</w:t>
      </w:r>
      <w:r w:rsidRPr="00AA1346">
        <w:rPr>
          <w:rFonts w:ascii="Times New Roman" w:eastAsia="Times New Roman" w:hAnsi="Times New Roman" w:cs="Times New Roman"/>
        </w:rPr>
        <w:t xml:space="preserve"> QTc-intervallumot befolyásoló gyógyszerekkel kezel</w:t>
      </w:r>
      <w:r w:rsidR="00365E60">
        <w:rPr>
          <w:rFonts w:ascii="Times New Roman" w:eastAsia="Times New Roman" w:hAnsi="Times New Roman" w:cs="Times New Roman"/>
        </w:rPr>
        <w:t>nek,</w:t>
      </w:r>
      <w:r w:rsidRPr="00AA1346">
        <w:rPr>
          <w:rFonts w:ascii="Times New Roman" w:eastAsia="Times New Roman" w:hAnsi="Times New Roman" w:cs="Times New Roman"/>
        </w:rPr>
        <w:t xml:space="preserve"> vagy akiknél releváns, </w:t>
      </w:r>
      <w:r w:rsidR="00365E60">
        <w:rPr>
          <w:rFonts w:ascii="Times New Roman" w:eastAsia="Times New Roman" w:hAnsi="Times New Roman" w:cs="Times New Roman"/>
        </w:rPr>
        <w:t>már</w:t>
      </w:r>
      <w:r w:rsidRPr="00AA1346">
        <w:rPr>
          <w:rFonts w:ascii="Times New Roman" w:eastAsia="Times New Roman" w:hAnsi="Times New Roman" w:cs="Times New Roman"/>
        </w:rPr>
        <w:t xml:space="preserve"> meglévő szívbetegség vagy elektrolitzavar áll fenn.</w:t>
      </w:r>
    </w:p>
    <w:p w14:paraId="2C8042BA" w14:textId="1698FCB3" w:rsidR="00DA5C47" w:rsidRPr="00AA1346" w:rsidRDefault="00DA5C47" w:rsidP="004401DF">
      <w:pPr>
        <w:suppressAutoHyphens/>
        <w:spacing w:after="0" w:line="240" w:lineRule="auto"/>
        <w:rPr>
          <w:rFonts w:ascii="Times New Roman" w:eastAsia="Times New Roman" w:hAnsi="Times New Roman" w:cs="Times New Roman"/>
        </w:rPr>
      </w:pPr>
    </w:p>
    <w:p w14:paraId="4F8CA420" w14:textId="39084376"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lastRenderedPageBreak/>
        <w:t>Gyermekek</w:t>
      </w:r>
      <w:r w:rsidR="00365E60">
        <w:rPr>
          <w:rFonts w:ascii="Times New Roman" w:eastAsia="Times New Roman" w:hAnsi="Times New Roman" w:cs="Times New Roman"/>
          <w:u w:val="single"/>
        </w:rPr>
        <w:t xml:space="preserve"> és serdülők</w:t>
      </w:r>
    </w:p>
    <w:p w14:paraId="61812F32" w14:textId="09AC5A7F" w:rsidR="00DA5C47" w:rsidRPr="00AA1346" w:rsidRDefault="00DA5C4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A gyermekekre </w:t>
      </w:r>
      <w:r w:rsidR="00365E60">
        <w:rPr>
          <w:rFonts w:ascii="Times New Roman" w:eastAsia="Times New Roman" w:hAnsi="Times New Roman" w:cs="Times New Roman"/>
        </w:rPr>
        <w:t xml:space="preserve">és serdülőkre </w:t>
      </w:r>
      <w:r w:rsidRPr="00AA1346">
        <w:rPr>
          <w:rFonts w:ascii="Times New Roman" w:eastAsia="Times New Roman" w:hAnsi="Times New Roman" w:cs="Times New Roman"/>
        </w:rPr>
        <w:t>vonatkozóan rendelkezésre álló adatok nem utalnak arra, hogy a készítmény befolyásolná a növekedést</w:t>
      </w:r>
      <w:r w:rsidR="00365E60">
        <w:rPr>
          <w:rFonts w:ascii="Times New Roman" w:eastAsia="Times New Roman" w:hAnsi="Times New Roman" w:cs="Times New Roman"/>
        </w:rPr>
        <w:t xml:space="preserve"> és a</w:t>
      </w:r>
      <w:r w:rsidRPr="00AA1346">
        <w:rPr>
          <w:rFonts w:ascii="Times New Roman" w:eastAsia="Times New Roman" w:hAnsi="Times New Roman" w:cs="Times New Roman"/>
        </w:rPr>
        <w:t xml:space="preserve"> pubertást. Gyermekek</w:t>
      </w:r>
      <w:r w:rsidR="00365E60">
        <w:rPr>
          <w:rFonts w:ascii="Times New Roman" w:eastAsia="Times New Roman" w:hAnsi="Times New Roman" w:cs="Times New Roman"/>
        </w:rPr>
        <w:t xml:space="preserve"> és serdülők esetén</w:t>
      </w:r>
      <w:r w:rsidRPr="00AA1346">
        <w:rPr>
          <w:rFonts w:ascii="Times New Roman" w:eastAsia="Times New Roman" w:hAnsi="Times New Roman" w:cs="Times New Roman"/>
        </w:rPr>
        <w:t xml:space="preserve"> a tanulásra, növekedésre, endokrin funkciókra, pubertásra és gyermekvállalásra gyakorolt hosszú távú hatások azonban továbbra is ismeretlenek.</w:t>
      </w:r>
    </w:p>
    <w:p w14:paraId="33FC8D9F" w14:textId="77777777" w:rsidR="00DA5C47" w:rsidRPr="00AA1346" w:rsidRDefault="00DA5C47" w:rsidP="004401DF">
      <w:pPr>
        <w:suppressAutoHyphens/>
        <w:spacing w:after="0" w:line="240" w:lineRule="auto"/>
        <w:rPr>
          <w:rFonts w:ascii="Times New Roman" w:eastAsia="Times New Roman" w:hAnsi="Times New Roman" w:cs="Times New Roman"/>
        </w:rPr>
      </w:pPr>
    </w:p>
    <w:p w14:paraId="7AD1DB49" w14:textId="77777777" w:rsidR="00DA5C47" w:rsidRPr="00AA1346" w:rsidRDefault="00DA5C4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Segédanyagok</w:t>
      </w:r>
    </w:p>
    <w:p w14:paraId="6A0500D4" w14:textId="1C72162D" w:rsidR="003E4066" w:rsidRPr="00AA1346" w:rsidRDefault="003E4066" w:rsidP="004401DF">
      <w:pPr>
        <w:tabs>
          <w:tab w:val="left" w:pos="567"/>
        </w:tabs>
        <w:suppressAutoHyphens/>
        <w:autoSpaceDE w:val="0"/>
        <w:autoSpaceDN w:val="0"/>
        <w:adjustRightInd w:val="0"/>
        <w:spacing w:after="0" w:line="240" w:lineRule="auto"/>
        <w:rPr>
          <w:rFonts w:ascii="Times New Roman" w:eastAsia="Times New Roman" w:hAnsi="Times New Roman" w:cs="Times New Roman"/>
          <w:lang w:eastAsia="hu-HU"/>
        </w:rPr>
      </w:pPr>
      <w:r w:rsidRPr="00AA1346">
        <w:rPr>
          <w:rFonts w:ascii="Times New Roman" w:eastAsia="Times New Roman" w:hAnsi="Times New Roman" w:cs="Times New Roman"/>
          <w:lang w:eastAsia="hu-HU"/>
        </w:rPr>
        <w:t>Ez a gyógyszer 3,82 mg nátriumot tartalmaz milliliterenként, ami megfelel a WHO által ajánlott maximális napi 2 g nátriumbevitel 0,19 %-ának felnőtteknél.</w:t>
      </w:r>
    </w:p>
    <w:p w14:paraId="0F5C9DDD" w14:textId="77777777" w:rsidR="00DA5C47" w:rsidRPr="00AA1346" w:rsidRDefault="00DA5C47" w:rsidP="004401DF">
      <w:pPr>
        <w:suppressAutoHyphens/>
        <w:spacing w:after="0" w:line="240" w:lineRule="auto"/>
        <w:rPr>
          <w:rFonts w:ascii="Times New Roman" w:eastAsia="Times New Roman" w:hAnsi="Times New Roman" w:cs="Times New Roman"/>
          <w:color w:val="000000"/>
        </w:rPr>
      </w:pPr>
    </w:p>
    <w:p w14:paraId="547A3560" w14:textId="77777777" w:rsidR="00394394" w:rsidRPr="00AA1346" w:rsidRDefault="00394394" w:rsidP="004401DF">
      <w:pPr>
        <w:tabs>
          <w:tab w:val="left" w:pos="567"/>
        </w:tabs>
        <w:suppressAutoHyphens/>
        <w:spacing w:after="0" w:line="240" w:lineRule="auto"/>
        <w:rPr>
          <w:rFonts w:ascii="Times New Roman" w:eastAsia="Times New Roman" w:hAnsi="Times New Roman" w:cs="Times New Roman"/>
          <w:b/>
        </w:rPr>
      </w:pPr>
      <w:r w:rsidRPr="00AA1346">
        <w:rPr>
          <w:rFonts w:ascii="Times New Roman" w:eastAsia="Times New Roman" w:hAnsi="Times New Roman" w:cs="Times New Roman"/>
          <w:b/>
        </w:rPr>
        <w:t>4.5</w:t>
      </w:r>
      <w:r w:rsidRPr="00AA1346">
        <w:rPr>
          <w:rFonts w:ascii="Times New Roman" w:eastAsia="Times New Roman" w:hAnsi="Times New Roman" w:cs="Times New Roman"/>
          <w:b/>
        </w:rPr>
        <w:tab/>
        <w:t>Gyógyszerkölcsönhatások és egyéb interakciók</w:t>
      </w:r>
    </w:p>
    <w:p w14:paraId="6F5E8069"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6E92C1EF" w14:textId="77777777" w:rsidR="00052F97" w:rsidRPr="00AA1346" w:rsidRDefault="00052F9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Antiepileptikumok</w:t>
      </w:r>
    </w:p>
    <w:p w14:paraId="0F26EE68" w14:textId="77777777" w:rsidR="00052F97" w:rsidRPr="00AA1346" w:rsidRDefault="00052F9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Felnőttekkel végzett klinikai vizsgálatokból származó premarketing adatok szerint a levetiracetám nem befolyásolja a vizsgált egyéb antiepileptikumok (fenitoin, karbamazepin, valproinsav, fenobarbitál, lamotrigin, gabapentin és primidon) szérumkoncentrációját, továbbá ezek a gyógyszerek sem befolyásolják a levetiracetám farmakokinetikáját.</w:t>
      </w:r>
    </w:p>
    <w:p w14:paraId="6394B391" w14:textId="77777777" w:rsidR="00052F97" w:rsidRPr="00AA1346" w:rsidRDefault="00052F97" w:rsidP="004401DF">
      <w:pPr>
        <w:suppressAutoHyphens/>
        <w:spacing w:after="0" w:line="240" w:lineRule="auto"/>
        <w:rPr>
          <w:rFonts w:ascii="Times New Roman" w:eastAsia="Times New Roman" w:hAnsi="Times New Roman" w:cs="Times New Roman"/>
        </w:rPr>
      </w:pPr>
    </w:p>
    <w:p w14:paraId="5AB9ACD2" w14:textId="5B56B2A2" w:rsidR="00052F97" w:rsidRPr="00AA1346" w:rsidRDefault="00052F9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felnőttekhez hasonlóan a 60 mg/ttkg/nap dózisszintig terjedő levetiracetám</w:t>
      </w:r>
      <w:r w:rsidR="006F4337">
        <w:rPr>
          <w:rFonts w:ascii="Times New Roman" w:eastAsia="Times New Roman" w:hAnsi="Times New Roman" w:cs="Times New Roman"/>
        </w:rPr>
        <w:t>-</w:t>
      </w:r>
      <w:r w:rsidRPr="00AA1346">
        <w:rPr>
          <w:rFonts w:ascii="Times New Roman" w:eastAsia="Times New Roman" w:hAnsi="Times New Roman" w:cs="Times New Roman"/>
        </w:rPr>
        <w:t xml:space="preserve">dózisokkal kezelt gyermekeknél </w:t>
      </w:r>
      <w:r w:rsidR="006F4337">
        <w:rPr>
          <w:rFonts w:ascii="Times New Roman" w:eastAsia="Times New Roman" w:hAnsi="Times New Roman" w:cs="Times New Roman"/>
        </w:rPr>
        <w:t>és serdülőknél sem igazoltak</w:t>
      </w:r>
      <w:r w:rsidRPr="00AA1346">
        <w:rPr>
          <w:rFonts w:ascii="Times New Roman" w:eastAsia="Times New Roman" w:hAnsi="Times New Roman" w:cs="Times New Roman"/>
        </w:rPr>
        <w:t xml:space="preserve"> klinikailag szignifikáns </w:t>
      </w:r>
      <w:r w:rsidR="006F4337">
        <w:rPr>
          <w:rFonts w:ascii="Times New Roman" w:eastAsia="Times New Roman" w:hAnsi="Times New Roman" w:cs="Times New Roman"/>
        </w:rPr>
        <w:t>gyógyszer</w:t>
      </w:r>
      <w:r w:rsidRPr="00AA1346">
        <w:rPr>
          <w:rFonts w:ascii="Times New Roman" w:eastAsia="Times New Roman" w:hAnsi="Times New Roman" w:cs="Times New Roman"/>
        </w:rPr>
        <w:t>kölcsönhatások</w:t>
      </w:r>
      <w:r w:rsidR="006F4337">
        <w:rPr>
          <w:rFonts w:ascii="Times New Roman" w:eastAsia="Times New Roman" w:hAnsi="Times New Roman" w:cs="Times New Roman"/>
        </w:rPr>
        <w:t>at</w:t>
      </w:r>
      <w:r w:rsidRPr="00AA1346">
        <w:rPr>
          <w:rFonts w:ascii="Times New Roman" w:eastAsia="Times New Roman" w:hAnsi="Times New Roman" w:cs="Times New Roman"/>
        </w:rPr>
        <w:t>.</w:t>
      </w:r>
    </w:p>
    <w:p w14:paraId="2027EAC1" w14:textId="61648F92" w:rsidR="00052F97" w:rsidRPr="00AA1346" w:rsidRDefault="00052F9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Epilepsziában szenvedő (4 és betöltött 18. </w:t>
      </w:r>
      <w:r w:rsidR="00705646">
        <w:rPr>
          <w:rFonts w:ascii="Times New Roman" w:eastAsia="Times New Roman" w:hAnsi="Times New Roman" w:cs="Times New Roman"/>
        </w:rPr>
        <w:t>élet</w:t>
      </w:r>
      <w:r w:rsidRPr="00AA1346">
        <w:rPr>
          <w:rFonts w:ascii="Times New Roman" w:eastAsia="Times New Roman" w:hAnsi="Times New Roman" w:cs="Times New Roman"/>
        </w:rPr>
        <w:t>év közötti korú) gyermekeknél és serdülőknél észlelt farmakokinetikai kölcsönhatások retrospektív elemzése megerősítette, hogy a szájon át adott levetiracetámmal végzett kiegészítő kezelés nem befolyásolja az egyidejűleg adott karbamazepin és valproát egyensúlyi szérumkoncentrációit. Az adatok azonban arra utalnak, hogy az enzimindukciót okozó antiepileptikumokat szedő gyermekeknél 20%-kal magasabb a levetiracetám clearance-e. A dózis módosítása nem szükséges.</w:t>
      </w:r>
    </w:p>
    <w:p w14:paraId="3665A842" w14:textId="77777777" w:rsidR="00052F97" w:rsidRPr="00AA1346" w:rsidRDefault="00052F97" w:rsidP="004401DF">
      <w:pPr>
        <w:suppressAutoHyphens/>
        <w:spacing w:after="0" w:line="240" w:lineRule="auto"/>
        <w:rPr>
          <w:rFonts w:ascii="Times New Roman" w:eastAsia="Times New Roman" w:hAnsi="Times New Roman" w:cs="Times New Roman"/>
        </w:rPr>
      </w:pPr>
    </w:p>
    <w:p w14:paraId="74F4C404" w14:textId="77777777" w:rsidR="00052F97" w:rsidRPr="00AA1346" w:rsidRDefault="00052F9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Probenecid</w:t>
      </w:r>
    </w:p>
    <w:p w14:paraId="6D10B7B3" w14:textId="1B9E211F" w:rsidR="00052F97" w:rsidRPr="00AA1346" w:rsidRDefault="00052F9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renalis tubularis szekréciót gátló probenecid (napi 4 × 500</w:t>
      </w:r>
      <w:r w:rsidR="003B3E5E">
        <w:rPr>
          <w:rFonts w:ascii="Times New Roman" w:eastAsia="Times New Roman" w:hAnsi="Times New Roman" w:cs="Times New Roman"/>
        </w:rPr>
        <w:t> </w:t>
      </w:r>
      <w:r w:rsidRPr="00AA1346">
        <w:rPr>
          <w:rFonts w:ascii="Times New Roman" w:eastAsia="Times New Roman" w:hAnsi="Times New Roman" w:cs="Times New Roman"/>
        </w:rPr>
        <w:t>mg-os dózisban) csökkenti a levetiracetám elsődleges metabolitjának renalis clearance-ét, magáét a levetiracetámét azonban nem befolyásolja. Mindazonáltal az említett metabolit koncentrációja alacsony marad.</w:t>
      </w:r>
    </w:p>
    <w:p w14:paraId="35643DBF" w14:textId="77777777" w:rsidR="00052F97" w:rsidRPr="00AA1346" w:rsidRDefault="00052F97" w:rsidP="004401DF">
      <w:pPr>
        <w:suppressAutoHyphens/>
        <w:spacing w:after="0" w:line="240" w:lineRule="auto"/>
        <w:rPr>
          <w:rFonts w:ascii="Times New Roman" w:eastAsia="Times New Roman" w:hAnsi="Times New Roman" w:cs="Times New Roman"/>
        </w:rPr>
      </w:pPr>
    </w:p>
    <w:p w14:paraId="61A19BA1" w14:textId="77777777" w:rsidR="00052F97" w:rsidRPr="00AA1346" w:rsidRDefault="00052F9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Metotrexát</w:t>
      </w:r>
    </w:p>
    <w:p w14:paraId="0FDC6820" w14:textId="1C697510" w:rsidR="00052F97" w:rsidRPr="00AA1346" w:rsidRDefault="00052F9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Levetiracetám és metotrexát egyidejű alkalmazásakor a metotrexát clearance-ének csökkenését jelentették, aminek következtében potenciálisan toxikus szintekig emelkedett/tartósan magas metotrexát-koncentrációt mértek a vérben. A vér metotrexát- és levetiracetám-szintjét gondosan monitorozni kell azoknál a betegeknél, akiket ezzel a két gyógyszerrel egyidejűleg kezelnek.</w:t>
      </w:r>
    </w:p>
    <w:p w14:paraId="1593580A" w14:textId="77777777" w:rsidR="00052F97" w:rsidRPr="00AA1346" w:rsidRDefault="00052F97" w:rsidP="004401DF">
      <w:pPr>
        <w:suppressAutoHyphens/>
        <w:spacing w:after="0" w:line="240" w:lineRule="auto"/>
        <w:rPr>
          <w:rFonts w:ascii="Times New Roman" w:eastAsia="Times New Roman" w:hAnsi="Times New Roman" w:cs="Times New Roman"/>
        </w:rPr>
      </w:pPr>
    </w:p>
    <w:p w14:paraId="50A524E4" w14:textId="69E4AE40" w:rsidR="00052F97" w:rsidRPr="00AA1346" w:rsidRDefault="00052F9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Or</w:t>
      </w:r>
      <w:r w:rsidR="00705646">
        <w:rPr>
          <w:rFonts w:ascii="Times New Roman" w:eastAsia="Times New Roman" w:hAnsi="Times New Roman" w:cs="Times New Roman"/>
          <w:u w:val="single"/>
        </w:rPr>
        <w:t>á</w:t>
      </w:r>
      <w:r w:rsidRPr="00AA1346">
        <w:rPr>
          <w:rFonts w:ascii="Times New Roman" w:eastAsia="Times New Roman" w:hAnsi="Times New Roman" w:cs="Times New Roman"/>
          <w:u w:val="single"/>
        </w:rPr>
        <w:t>lis fogamzásgátlók és egyéb farmakokinetikai interakciók</w:t>
      </w:r>
    </w:p>
    <w:p w14:paraId="6A850D93" w14:textId="7C6CFA01" w:rsidR="00052F97" w:rsidRPr="00AA1346" w:rsidRDefault="00052F9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napi 1000</w:t>
      </w:r>
      <w:r w:rsidR="00E66DF0" w:rsidRPr="00AA1346">
        <w:rPr>
          <w:rFonts w:ascii="Times New Roman" w:eastAsia="Times New Roman" w:hAnsi="Times New Roman" w:cs="Times New Roman"/>
        </w:rPr>
        <w:t> </w:t>
      </w:r>
      <w:r w:rsidRPr="00AA1346">
        <w:rPr>
          <w:rFonts w:ascii="Times New Roman" w:eastAsia="Times New Roman" w:hAnsi="Times New Roman" w:cs="Times New Roman"/>
        </w:rPr>
        <w:t>mg-os dózisban alkalmazva nem befolyásolta az or</w:t>
      </w:r>
      <w:r w:rsidR="00705646">
        <w:rPr>
          <w:rFonts w:ascii="Times New Roman" w:eastAsia="Times New Roman" w:hAnsi="Times New Roman" w:cs="Times New Roman"/>
        </w:rPr>
        <w:t>á</w:t>
      </w:r>
      <w:r w:rsidRPr="00AA1346">
        <w:rPr>
          <w:rFonts w:ascii="Times New Roman" w:eastAsia="Times New Roman" w:hAnsi="Times New Roman" w:cs="Times New Roman"/>
        </w:rPr>
        <w:t>lis fogamzásgátlók (etinilösztradiol és levonorgesztrel) farmakokinetikáját; az endokrin paraméterekben (luteinizáló hormon és progeszteron) sem volt változás. A napi 2000</w:t>
      </w:r>
      <w:r w:rsidR="00E66DF0" w:rsidRPr="00AA1346">
        <w:rPr>
          <w:rFonts w:ascii="Times New Roman" w:eastAsia="Times New Roman" w:hAnsi="Times New Roman" w:cs="Times New Roman"/>
        </w:rPr>
        <w:t> </w:t>
      </w:r>
      <w:r w:rsidRPr="00AA1346">
        <w:rPr>
          <w:rFonts w:ascii="Times New Roman" w:eastAsia="Times New Roman" w:hAnsi="Times New Roman" w:cs="Times New Roman"/>
        </w:rPr>
        <w:t xml:space="preserve">mg dózisú levetiracetám nem befolyásolta a digoxin és a warfarin farmakokinetikáját; nem változtatta meg a prothrombinidőt sem. </w:t>
      </w:r>
      <w:r w:rsidR="00233094">
        <w:rPr>
          <w:rFonts w:ascii="Times New Roman" w:eastAsia="Times New Roman" w:hAnsi="Times New Roman" w:cs="Times New Roman"/>
        </w:rPr>
        <w:t>D</w:t>
      </w:r>
      <w:r w:rsidRPr="00AA1346">
        <w:rPr>
          <w:rFonts w:ascii="Times New Roman" w:eastAsia="Times New Roman" w:hAnsi="Times New Roman" w:cs="Times New Roman"/>
        </w:rPr>
        <w:t>igoxinnal, or</w:t>
      </w:r>
      <w:r w:rsidR="003B3E5E">
        <w:rPr>
          <w:rFonts w:ascii="Times New Roman" w:eastAsia="Times New Roman" w:hAnsi="Times New Roman" w:cs="Times New Roman"/>
        </w:rPr>
        <w:t>a</w:t>
      </w:r>
      <w:r w:rsidRPr="00AA1346">
        <w:rPr>
          <w:rFonts w:ascii="Times New Roman" w:eastAsia="Times New Roman" w:hAnsi="Times New Roman" w:cs="Times New Roman"/>
        </w:rPr>
        <w:t>lis fogamzásgátlókkal</w:t>
      </w:r>
      <w:r w:rsidR="00233094">
        <w:rPr>
          <w:rFonts w:ascii="Times New Roman" w:eastAsia="Times New Roman" w:hAnsi="Times New Roman" w:cs="Times New Roman"/>
        </w:rPr>
        <w:t>, illetve</w:t>
      </w:r>
      <w:r w:rsidRPr="00AA1346">
        <w:rPr>
          <w:rFonts w:ascii="Times New Roman" w:eastAsia="Times New Roman" w:hAnsi="Times New Roman" w:cs="Times New Roman"/>
        </w:rPr>
        <w:t xml:space="preserve"> warfarinnal történő </w:t>
      </w:r>
      <w:r w:rsidR="003B3E5E">
        <w:rPr>
          <w:rFonts w:ascii="Times New Roman" w:eastAsia="Times New Roman" w:hAnsi="Times New Roman" w:cs="Times New Roman"/>
        </w:rPr>
        <w:t xml:space="preserve">egyidejű </w:t>
      </w:r>
      <w:r w:rsidRPr="00AA1346">
        <w:rPr>
          <w:rFonts w:ascii="Times New Roman" w:eastAsia="Times New Roman" w:hAnsi="Times New Roman" w:cs="Times New Roman"/>
        </w:rPr>
        <w:t>alkalmazás nem befolyásolta a levetiracetám farmakokinetikáját.</w:t>
      </w:r>
    </w:p>
    <w:p w14:paraId="0D66BCF0" w14:textId="77777777" w:rsidR="00052F97" w:rsidRPr="00AA1346" w:rsidRDefault="00052F97" w:rsidP="004401DF">
      <w:pPr>
        <w:suppressAutoHyphens/>
        <w:spacing w:after="0" w:line="240" w:lineRule="auto"/>
        <w:rPr>
          <w:rFonts w:ascii="Times New Roman" w:eastAsia="Times New Roman" w:hAnsi="Times New Roman" w:cs="Times New Roman"/>
        </w:rPr>
      </w:pPr>
    </w:p>
    <w:p w14:paraId="396AF251" w14:textId="77777777" w:rsidR="00052F97" w:rsidRPr="00AA1346" w:rsidRDefault="00052F97"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Alkohol</w:t>
      </w:r>
    </w:p>
    <w:p w14:paraId="1966D1B4" w14:textId="56DEF0EE" w:rsidR="00F8406B" w:rsidRPr="00AA1346" w:rsidRDefault="00052F97"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és az alkohol kölcsönhatására vonatkozóan nem állnak rendelkezésre adatok.</w:t>
      </w:r>
    </w:p>
    <w:p w14:paraId="0CCCB12A" w14:textId="77777777" w:rsidR="00052F97" w:rsidRPr="00AA1346" w:rsidRDefault="00052F97" w:rsidP="004401DF">
      <w:pPr>
        <w:suppressAutoHyphens/>
        <w:spacing w:after="0" w:line="240" w:lineRule="auto"/>
        <w:rPr>
          <w:rFonts w:ascii="Times New Roman" w:eastAsia="Times New Roman" w:hAnsi="Times New Roman" w:cs="Times New Roman"/>
        </w:rPr>
      </w:pPr>
    </w:p>
    <w:p w14:paraId="5D43375A" w14:textId="77777777" w:rsidR="00394394" w:rsidRPr="00AA1346" w:rsidRDefault="00394394" w:rsidP="00E65268">
      <w:pPr>
        <w:keepNext/>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4.6</w:t>
      </w:r>
      <w:r w:rsidRPr="00AA1346">
        <w:rPr>
          <w:rFonts w:ascii="Times New Roman" w:eastAsia="Times New Roman" w:hAnsi="Times New Roman" w:cs="Times New Roman"/>
          <w:b/>
        </w:rPr>
        <w:tab/>
        <w:t>Termékenység, terhesség és szoptatás</w:t>
      </w:r>
    </w:p>
    <w:p w14:paraId="76AF5DBF" w14:textId="77777777" w:rsidR="00394394" w:rsidRPr="00AA1346" w:rsidRDefault="00394394" w:rsidP="00E65268">
      <w:pPr>
        <w:keepNext/>
        <w:suppressAutoHyphens/>
        <w:spacing w:after="0" w:line="240" w:lineRule="auto"/>
        <w:rPr>
          <w:rFonts w:ascii="Times New Roman" w:eastAsia="Times New Roman" w:hAnsi="Times New Roman" w:cs="Times New Roman"/>
          <w:b/>
        </w:rPr>
      </w:pPr>
    </w:p>
    <w:p w14:paraId="5D387169" w14:textId="77777777" w:rsidR="003B007D" w:rsidRPr="00AA1346" w:rsidRDefault="003B007D" w:rsidP="00E65268">
      <w:pPr>
        <w:keepNext/>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Fogamzóképes nők</w:t>
      </w:r>
    </w:p>
    <w:p w14:paraId="029BF71E" w14:textId="4B2F9058" w:rsidR="003B007D" w:rsidRPr="00AA1346" w:rsidRDefault="003B007D"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 fogamzóképes nőket szakorvosi tanácsadásban kell részesíteni. A levetiracetám-kezelés szükségességét felül kell vizsgálni, ha egy nő terhességet tervez. Mint minden antiepileptikus gyógyszer esetében, a levetiracetám alkalmazásának hirtelen megszakítása is kerülendő, mert ez áttöréses rohamokat eredményezhet, melyek mind az anyára, mind a születendő gyermekre nézve súlyos következményekkel járhatnak. Amikor csak lehetséges, a monoterápiát kell előnyben </w:t>
      </w:r>
      <w:r w:rsidRPr="00AA1346">
        <w:rPr>
          <w:rFonts w:ascii="Times New Roman" w:eastAsia="Times New Roman" w:hAnsi="Times New Roman" w:cs="Times New Roman"/>
          <w:iCs/>
        </w:rPr>
        <w:lastRenderedPageBreak/>
        <w:t xml:space="preserve">részesíteni, mivel az egyidejűleg több antiepileptikummal végzett kezelés, az adott antiepileptikumoktól függően, a veleszületett malformációk </w:t>
      </w:r>
      <w:r w:rsidR="003B3E5E">
        <w:rPr>
          <w:rFonts w:ascii="Times New Roman" w:eastAsia="Times New Roman" w:hAnsi="Times New Roman" w:cs="Times New Roman"/>
          <w:iCs/>
        </w:rPr>
        <w:t>nagyobb</w:t>
      </w:r>
      <w:r w:rsidRPr="00AA1346">
        <w:rPr>
          <w:rFonts w:ascii="Times New Roman" w:eastAsia="Times New Roman" w:hAnsi="Times New Roman" w:cs="Times New Roman"/>
          <w:iCs/>
        </w:rPr>
        <w:t xml:space="preserve"> kockázatával járhat a monoterápiához képest.</w:t>
      </w:r>
    </w:p>
    <w:p w14:paraId="3463DC5E" w14:textId="77777777" w:rsidR="003B007D" w:rsidRPr="00AA1346" w:rsidRDefault="003B007D" w:rsidP="004401DF">
      <w:pPr>
        <w:suppressAutoHyphens/>
        <w:spacing w:after="0" w:line="240" w:lineRule="auto"/>
        <w:rPr>
          <w:rFonts w:ascii="Times New Roman" w:eastAsia="Times New Roman" w:hAnsi="Times New Roman" w:cs="Times New Roman"/>
          <w:iCs/>
        </w:rPr>
      </w:pPr>
    </w:p>
    <w:p w14:paraId="7609CAE7" w14:textId="77777777" w:rsidR="003B007D" w:rsidRPr="00AA1346" w:rsidRDefault="003B007D"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Terhesség</w:t>
      </w:r>
    </w:p>
    <w:p w14:paraId="2A7B38D2" w14:textId="161E7E4D" w:rsidR="003B007D" w:rsidRPr="00AA1346" w:rsidRDefault="003B007D"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 forgalomba hozatalt követően </w:t>
      </w:r>
      <w:r w:rsidR="006A4433">
        <w:rPr>
          <w:rFonts w:ascii="Times New Roman" w:eastAsia="Times New Roman" w:hAnsi="Times New Roman" w:cs="Times New Roman"/>
          <w:iCs/>
        </w:rPr>
        <w:t xml:space="preserve">a </w:t>
      </w:r>
      <w:r w:rsidR="006A4433" w:rsidRPr="00AA1346">
        <w:rPr>
          <w:rFonts w:ascii="Times New Roman" w:eastAsia="Times New Roman" w:hAnsi="Times New Roman" w:cs="Times New Roman"/>
          <w:iCs/>
        </w:rPr>
        <w:t>levetiracetám</w:t>
      </w:r>
      <w:r w:rsidR="006A4433">
        <w:rPr>
          <w:rFonts w:ascii="Times New Roman" w:eastAsia="Times New Roman" w:hAnsi="Times New Roman" w:cs="Times New Roman"/>
          <w:iCs/>
        </w:rPr>
        <w:t>-</w:t>
      </w:r>
      <w:r w:rsidR="006A4433" w:rsidRPr="00AA1346">
        <w:rPr>
          <w:rFonts w:ascii="Times New Roman" w:eastAsia="Times New Roman" w:hAnsi="Times New Roman" w:cs="Times New Roman"/>
          <w:iCs/>
        </w:rPr>
        <w:t xml:space="preserve">monoterápiában részesülő terhes nőkről </w:t>
      </w:r>
      <w:r w:rsidRPr="00AA1346">
        <w:rPr>
          <w:rFonts w:ascii="Times New Roman" w:eastAsia="Times New Roman" w:hAnsi="Times New Roman" w:cs="Times New Roman"/>
          <w:iCs/>
        </w:rPr>
        <w:t>gyűjtött nagy mennyiségű adat (több mint 1800, amelyek közül több mint 1500-nál az expozíció az 1.</w:t>
      </w:r>
      <w:r w:rsidR="006A4433">
        <w:rPr>
          <w:rFonts w:ascii="Times New Roman" w:eastAsia="Times New Roman" w:hAnsi="Times New Roman" w:cs="Times New Roman"/>
          <w:iCs/>
        </w:rPr>
        <w:t> </w:t>
      </w:r>
      <w:r w:rsidRPr="00AA1346">
        <w:rPr>
          <w:rFonts w:ascii="Times New Roman" w:eastAsia="Times New Roman" w:hAnsi="Times New Roman" w:cs="Times New Roman"/>
          <w:iCs/>
        </w:rPr>
        <w:t xml:space="preserve">trimeszter során következett be) nem utal a jelentős veleszületett malformációk kockázatának növekedésére. Korlátozott mennyiségű bizonyíték áll rendelkezésre az intrauterin levetiracetám-monoterápiának kitett gyermekek idegrendszeri fejlődéséről. Két, nagyrészt ugyanazon északi országokból származó adathalmazt felhasználó, megfigyeléses, populációalapú regisztervizsgálat adatai – amelyek több mint 1000, epilepsziás anyától született, levetiracetám-monoterápiának prenatálisan kitett gyermeket foglaltak magukban – nem utalnak az autizmus spektrumzavar vagy az értelmi fogyatékosság </w:t>
      </w:r>
      <w:r w:rsidR="006A4433">
        <w:rPr>
          <w:rFonts w:ascii="Times New Roman" w:eastAsia="Times New Roman" w:hAnsi="Times New Roman" w:cs="Times New Roman"/>
          <w:iCs/>
        </w:rPr>
        <w:t>előfordulásának f</w:t>
      </w:r>
      <w:r w:rsidRPr="00AA1346">
        <w:rPr>
          <w:rFonts w:ascii="Times New Roman" w:eastAsia="Times New Roman" w:hAnsi="Times New Roman" w:cs="Times New Roman"/>
          <w:iCs/>
        </w:rPr>
        <w:t xml:space="preserve">okozott kockázatára azokhoz a gyermekekhez képest, akik epilepsziás anyától születtek, de </w:t>
      </w:r>
      <w:r w:rsidRPr="00E65268">
        <w:rPr>
          <w:rFonts w:ascii="Times New Roman" w:eastAsia="Times New Roman" w:hAnsi="Times New Roman" w:cs="Times New Roman"/>
          <w:i/>
        </w:rPr>
        <w:t>in</w:t>
      </w:r>
      <w:r w:rsidR="006A4433">
        <w:rPr>
          <w:rFonts w:ascii="Times New Roman" w:eastAsia="Times New Roman" w:hAnsi="Times New Roman" w:cs="Times New Roman"/>
          <w:i/>
        </w:rPr>
        <w:t> </w:t>
      </w:r>
      <w:r w:rsidRPr="00E65268">
        <w:rPr>
          <w:rFonts w:ascii="Times New Roman" w:eastAsia="Times New Roman" w:hAnsi="Times New Roman" w:cs="Times New Roman"/>
          <w:i/>
        </w:rPr>
        <w:t>utero</w:t>
      </w:r>
      <w:r w:rsidRPr="00AA1346">
        <w:rPr>
          <w:rFonts w:ascii="Times New Roman" w:eastAsia="Times New Roman" w:hAnsi="Times New Roman" w:cs="Times New Roman"/>
          <w:iCs/>
        </w:rPr>
        <w:t xml:space="preserve"> nem voltak kitéve antiepileptikus gyógyszernek. A levetiracetám-csoportba tartozó gyermekek átlagos utánkövetési ideje rövidebb volt, mint azoké a gyermekeké, akik nem voltak kitéve semmilyen antiepileptikus gyógyszernek (például az egyik vizsgálatban 4,4</w:t>
      </w:r>
      <w:r w:rsidR="0041326C" w:rsidRPr="00AA1346">
        <w:rPr>
          <w:rFonts w:ascii="Times New Roman" w:eastAsia="Times New Roman" w:hAnsi="Times New Roman" w:cs="Times New Roman"/>
          <w:iCs/>
        </w:rPr>
        <w:t> </w:t>
      </w:r>
      <w:r w:rsidRPr="00AA1346">
        <w:rPr>
          <w:rFonts w:ascii="Times New Roman" w:eastAsia="Times New Roman" w:hAnsi="Times New Roman" w:cs="Times New Roman"/>
          <w:iCs/>
        </w:rPr>
        <w:t>év vs. 6,8</w:t>
      </w:r>
      <w:r w:rsidR="0041326C" w:rsidRPr="00AA1346">
        <w:rPr>
          <w:rFonts w:ascii="Times New Roman" w:eastAsia="Times New Roman" w:hAnsi="Times New Roman" w:cs="Times New Roman"/>
          <w:iCs/>
        </w:rPr>
        <w:t> </w:t>
      </w:r>
      <w:r w:rsidRPr="00AA1346">
        <w:rPr>
          <w:rFonts w:ascii="Times New Roman" w:eastAsia="Times New Roman" w:hAnsi="Times New Roman" w:cs="Times New Roman"/>
          <w:iCs/>
        </w:rPr>
        <w:t>év).</w:t>
      </w:r>
      <w:r w:rsidR="006A4433">
        <w:rPr>
          <w:rFonts w:ascii="Times New Roman" w:eastAsia="Times New Roman" w:hAnsi="Times New Roman" w:cs="Times New Roman"/>
          <w:iCs/>
        </w:rPr>
        <w:t xml:space="preserve"> </w:t>
      </w:r>
      <w:r w:rsidRPr="00AA1346">
        <w:rPr>
          <w:rFonts w:ascii="Times New Roman" w:eastAsia="Times New Roman" w:hAnsi="Times New Roman" w:cs="Times New Roman"/>
          <w:iCs/>
        </w:rPr>
        <w:t>A levetiracetám terhesség alatt akkor alkalmazható, ha alapos értékelést követően klinikailag indokolt</w:t>
      </w:r>
      <w:r w:rsidR="006A4433">
        <w:rPr>
          <w:rFonts w:ascii="Times New Roman" w:eastAsia="Times New Roman" w:hAnsi="Times New Roman" w:cs="Times New Roman"/>
          <w:iCs/>
        </w:rPr>
        <w:t>nak ítélik</w:t>
      </w:r>
      <w:r w:rsidRPr="00AA1346">
        <w:rPr>
          <w:rFonts w:ascii="Times New Roman" w:eastAsia="Times New Roman" w:hAnsi="Times New Roman" w:cs="Times New Roman"/>
          <w:iCs/>
        </w:rPr>
        <w:t xml:space="preserve">. Ebben az esetben a legalacsonyabb hatásos dózis </w:t>
      </w:r>
      <w:r w:rsidR="006A4433">
        <w:rPr>
          <w:rFonts w:ascii="Times New Roman" w:eastAsia="Times New Roman" w:hAnsi="Times New Roman" w:cs="Times New Roman"/>
          <w:iCs/>
        </w:rPr>
        <w:t xml:space="preserve">alkalmazása </w:t>
      </w:r>
      <w:r w:rsidRPr="00AA1346">
        <w:rPr>
          <w:rFonts w:ascii="Times New Roman" w:eastAsia="Times New Roman" w:hAnsi="Times New Roman" w:cs="Times New Roman"/>
          <w:iCs/>
        </w:rPr>
        <w:t>ajánlott.</w:t>
      </w:r>
    </w:p>
    <w:p w14:paraId="02F2DBE9" w14:textId="77777777" w:rsidR="006A4433" w:rsidRDefault="006A4433" w:rsidP="004401DF">
      <w:pPr>
        <w:suppressAutoHyphens/>
        <w:spacing w:after="0" w:line="240" w:lineRule="auto"/>
        <w:rPr>
          <w:rFonts w:ascii="Times New Roman" w:eastAsia="Times New Roman" w:hAnsi="Times New Roman" w:cs="Times New Roman"/>
          <w:iCs/>
        </w:rPr>
      </w:pPr>
    </w:p>
    <w:p w14:paraId="543F9DB0" w14:textId="6504C47D" w:rsidR="003B007D" w:rsidRPr="00AA1346" w:rsidRDefault="003B007D"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terhesség alatti élettani változások hatással lehetnek a levetiracetám koncentrációjára. A terhesség ideje alatt a levetiracetám plazmakoncentrációinak csökkenését figyelték meg. Ez a csökkenés a harmadik trimeszterben kifejezettebb (a terhesség előtti kiindulási koncentráció maximum 60</w:t>
      </w:r>
      <w:r w:rsidR="0041326C" w:rsidRPr="00AA1346">
        <w:rPr>
          <w:rFonts w:ascii="Times New Roman" w:eastAsia="Times New Roman" w:hAnsi="Times New Roman" w:cs="Times New Roman"/>
          <w:iCs/>
        </w:rPr>
        <w:t> </w:t>
      </w:r>
      <w:r w:rsidRPr="00AA1346">
        <w:rPr>
          <w:rFonts w:ascii="Times New Roman" w:eastAsia="Times New Roman" w:hAnsi="Times New Roman" w:cs="Times New Roman"/>
          <w:iCs/>
        </w:rPr>
        <w:t>%-a). Biztosítani kell a levetiracetámmal kezelt terhes nők megfelelő klinikai kezelését.</w:t>
      </w:r>
    </w:p>
    <w:p w14:paraId="27915B21" w14:textId="77777777" w:rsidR="003B007D" w:rsidRPr="00AA1346" w:rsidRDefault="003B007D" w:rsidP="004401DF">
      <w:pPr>
        <w:suppressAutoHyphens/>
        <w:spacing w:after="0" w:line="240" w:lineRule="auto"/>
        <w:rPr>
          <w:rFonts w:ascii="Times New Roman" w:eastAsia="Times New Roman" w:hAnsi="Times New Roman" w:cs="Times New Roman"/>
          <w:iCs/>
        </w:rPr>
      </w:pPr>
    </w:p>
    <w:p w14:paraId="0E61D3F0" w14:textId="77777777" w:rsidR="003B007D" w:rsidRPr="00AA1346" w:rsidRDefault="003B007D"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Szoptatás</w:t>
      </w:r>
    </w:p>
    <w:p w14:paraId="5A0C5496" w14:textId="77777777" w:rsidR="003B007D" w:rsidRPr="00AA1346" w:rsidRDefault="003B007D"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levetiracetám kiválasztódik az anyatejbe. Emiatt a szoptatás nem ajánlott.</w:t>
      </w:r>
    </w:p>
    <w:p w14:paraId="2615D363" w14:textId="2AE01C1A" w:rsidR="003B007D" w:rsidRPr="00AA1346" w:rsidRDefault="003B007D"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Ha azonban a szoptatás ideje alatt levetiracetám-kezelésre van szükség, a szoptatás fontosságának figyelembevételével mérlegelni kell a kezelés előny/kockázat arányát.</w:t>
      </w:r>
    </w:p>
    <w:p w14:paraId="2E5B4F16" w14:textId="77777777" w:rsidR="003B007D" w:rsidRPr="00AA1346" w:rsidRDefault="003B007D" w:rsidP="004401DF">
      <w:pPr>
        <w:suppressAutoHyphens/>
        <w:spacing w:after="0" w:line="240" w:lineRule="auto"/>
        <w:rPr>
          <w:rFonts w:ascii="Times New Roman" w:eastAsia="Times New Roman" w:hAnsi="Times New Roman" w:cs="Times New Roman"/>
          <w:iCs/>
        </w:rPr>
      </w:pPr>
    </w:p>
    <w:p w14:paraId="7FF5DBD3" w14:textId="77777777" w:rsidR="003B007D" w:rsidRPr="00AA1346" w:rsidRDefault="003B007D"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Termékenység</w:t>
      </w:r>
    </w:p>
    <w:p w14:paraId="02C85B10" w14:textId="26D4D241" w:rsidR="00394394" w:rsidRPr="00AA1346" w:rsidRDefault="003B007D"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Állatkísérletekben nem figyeltek meg termékenységre gyakorolt hatást (lásd 5.3</w:t>
      </w:r>
      <w:r w:rsidR="00EB331A" w:rsidRPr="00AA1346">
        <w:rPr>
          <w:rFonts w:ascii="Times New Roman" w:eastAsia="Times New Roman" w:hAnsi="Times New Roman" w:cs="Times New Roman"/>
          <w:iCs/>
        </w:rPr>
        <w:t> </w:t>
      </w:r>
      <w:r w:rsidRPr="00AA1346">
        <w:rPr>
          <w:rFonts w:ascii="Times New Roman" w:eastAsia="Times New Roman" w:hAnsi="Times New Roman" w:cs="Times New Roman"/>
          <w:iCs/>
        </w:rPr>
        <w:t>pont). Klinikai adatok nem állnak rendelkezésre, humán vonatkozásban a lehetséges kockázat mértéke nem ismert.</w:t>
      </w:r>
    </w:p>
    <w:p w14:paraId="1EE2279D" w14:textId="77777777" w:rsidR="003B007D" w:rsidRPr="00AA1346" w:rsidRDefault="003B007D" w:rsidP="004401DF">
      <w:pPr>
        <w:suppressAutoHyphens/>
        <w:spacing w:after="0" w:line="240" w:lineRule="auto"/>
        <w:rPr>
          <w:rFonts w:ascii="Times New Roman" w:eastAsia="Times New Roman" w:hAnsi="Times New Roman" w:cs="Times New Roman"/>
        </w:rPr>
      </w:pPr>
    </w:p>
    <w:p w14:paraId="5B5A38C5" w14:textId="77777777" w:rsidR="00394394" w:rsidRPr="00AA1346" w:rsidRDefault="00394394" w:rsidP="004401DF">
      <w:pPr>
        <w:tabs>
          <w:tab w:val="left" w:pos="567"/>
        </w:tabs>
        <w:suppressAutoHyphens/>
        <w:spacing w:after="0" w:line="240" w:lineRule="auto"/>
        <w:rPr>
          <w:rFonts w:ascii="Times New Roman" w:eastAsia="Times New Roman" w:hAnsi="Times New Roman" w:cs="Times New Roman"/>
          <w:b/>
        </w:rPr>
      </w:pPr>
      <w:r w:rsidRPr="00AA1346">
        <w:rPr>
          <w:rFonts w:ascii="Times New Roman" w:eastAsia="Times New Roman" w:hAnsi="Times New Roman" w:cs="Times New Roman"/>
          <w:b/>
        </w:rPr>
        <w:t>4.7</w:t>
      </w:r>
      <w:r w:rsidRPr="00AA1346">
        <w:rPr>
          <w:rFonts w:ascii="Times New Roman" w:eastAsia="Times New Roman" w:hAnsi="Times New Roman" w:cs="Times New Roman"/>
          <w:b/>
        </w:rPr>
        <w:tab/>
        <w:t>A készítmény hatásai a gépjárművezetéshez és a gépek kezeléséhez szükséges képességekre</w:t>
      </w:r>
    </w:p>
    <w:p w14:paraId="2F40D41B" w14:textId="77777777" w:rsidR="00394394" w:rsidRPr="00AA1346" w:rsidRDefault="00394394" w:rsidP="004401DF">
      <w:pPr>
        <w:suppressAutoHyphens/>
        <w:spacing w:after="0" w:line="240" w:lineRule="auto"/>
        <w:ind w:right="-142"/>
        <w:rPr>
          <w:rFonts w:ascii="Times New Roman" w:eastAsia="Times New Roman" w:hAnsi="Times New Roman" w:cs="Times New Roman"/>
          <w:b/>
        </w:rPr>
      </w:pPr>
    </w:p>
    <w:p w14:paraId="146F39F4" w14:textId="7BBFFF3B" w:rsidR="00394394" w:rsidRPr="00AA1346" w:rsidRDefault="00096468" w:rsidP="004401DF">
      <w:pPr>
        <w:suppressAutoHyphens/>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 xml:space="preserve">A levetiracetám kismértékben vagy közepes mértékben befolyásolja a gépjárművezetéshez és a gépek kezeléséhez szükséges képességeket. Az egyéni érzékenységben fennálló esetleges különbségek miatt egyes betegek, főként a terápia kezdetén vagy a dózis emelését követően álmosságot vagy egyéb központi idegrendszeri tüneteket észlelhetnek. Emiatt </w:t>
      </w:r>
      <w:r w:rsidR="002F3361">
        <w:rPr>
          <w:rFonts w:ascii="Times New Roman" w:eastAsia="Times New Roman" w:hAnsi="Times New Roman" w:cs="Times New Roman"/>
          <w:color w:val="000000"/>
        </w:rPr>
        <w:t>elővigyázatosság</w:t>
      </w:r>
      <w:r w:rsidRPr="00AA1346">
        <w:rPr>
          <w:rFonts w:ascii="Times New Roman" w:eastAsia="Times New Roman" w:hAnsi="Times New Roman" w:cs="Times New Roman"/>
          <w:color w:val="000000"/>
        </w:rPr>
        <w:t xml:space="preserve"> </w:t>
      </w:r>
      <w:r w:rsidR="00B66917">
        <w:rPr>
          <w:rFonts w:ascii="Times New Roman" w:eastAsia="Times New Roman" w:hAnsi="Times New Roman" w:cs="Times New Roman"/>
          <w:color w:val="000000"/>
        </w:rPr>
        <w:t xml:space="preserve">ajánlott </w:t>
      </w:r>
      <w:r w:rsidRPr="00AA1346">
        <w:rPr>
          <w:rFonts w:ascii="Times New Roman" w:eastAsia="Times New Roman" w:hAnsi="Times New Roman" w:cs="Times New Roman"/>
          <w:color w:val="000000"/>
        </w:rPr>
        <w:t xml:space="preserve">olyan esetekben, amikor a betegeknek gyakorlottságot igénylő feladatokat kell teljesíteniük, például gépjárművezetéskor vagy gépek kezelésekor. A betegek lehetőleg ne vezessenek gépjárművet, illetve ne kezeljenek gépeket mindaddig, amíg </w:t>
      </w:r>
      <w:r w:rsidR="00B66917">
        <w:rPr>
          <w:rFonts w:ascii="Times New Roman" w:eastAsia="Times New Roman" w:hAnsi="Times New Roman" w:cs="Times New Roman"/>
          <w:color w:val="000000"/>
        </w:rPr>
        <w:t>meg</w:t>
      </w:r>
      <w:r w:rsidRPr="00AA1346">
        <w:rPr>
          <w:rFonts w:ascii="Times New Roman" w:eastAsia="Times New Roman" w:hAnsi="Times New Roman" w:cs="Times New Roman"/>
          <w:color w:val="000000"/>
        </w:rPr>
        <w:t xml:space="preserve"> nem bizonyosod</w:t>
      </w:r>
      <w:r w:rsidR="00B66917">
        <w:rPr>
          <w:rFonts w:ascii="Times New Roman" w:eastAsia="Times New Roman" w:hAnsi="Times New Roman" w:cs="Times New Roman"/>
          <w:color w:val="000000"/>
        </w:rPr>
        <w:t>nak arról</w:t>
      </w:r>
      <w:r w:rsidRPr="00AA1346">
        <w:rPr>
          <w:rFonts w:ascii="Times New Roman" w:eastAsia="Times New Roman" w:hAnsi="Times New Roman" w:cs="Times New Roman"/>
          <w:color w:val="000000"/>
        </w:rPr>
        <w:t>, hogy a kezelés nem befolyásolja az ilyen tevékenységek végzéséhez szükséges képességeiket.</w:t>
      </w:r>
    </w:p>
    <w:p w14:paraId="766DDA57" w14:textId="77777777" w:rsidR="00096468" w:rsidRPr="00AA1346" w:rsidRDefault="00096468" w:rsidP="004401DF">
      <w:pPr>
        <w:suppressAutoHyphens/>
        <w:spacing w:after="0" w:line="240" w:lineRule="auto"/>
        <w:rPr>
          <w:rFonts w:ascii="Times New Roman" w:eastAsia="Times New Roman" w:hAnsi="Times New Roman" w:cs="Times New Roman"/>
        </w:rPr>
      </w:pPr>
    </w:p>
    <w:p w14:paraId="0A0F0ABA"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4.8</w:t>
      </w:r>
      <w:r w:rsidRPr="00AA1346">
        <w:rPr>
          <w:rFonts w:ascii="Times New Roman" w:eastAsia="Times New Roman" w:hAnsi="Times New Roman" w:cs="Times New Roman"/>
          <w:b/>
        </w:rPr>
        <w:tab/>
        <w:t>Nemkívánatos hatások, mellékhatások</w:t>
      </w:r>
    </w:p>
    <w:p w14:paraId="7E1B472D"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08F4053E" w14:textId="77777777" w:rsidR="00096468" w:rsidRPr="00AA1346" w:rsidRDefault="00096468"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 biztonságossági profil összefoglalása</w:t>
      </w:r>
    </w:p>
    <w:p w14:paraId="1479D7D8" w14:textId="77777777" w:rsidR="00096468" w:rsidRPr="00AA1346" w:rsidRDefault="00096468" w:rsidP="004401DF">
      <w:pPr>
        <w:suppressAutoHyphens/>
        <w:spacing w:after="0" w:line="240" w:lineRule="auto"/>
        <w:rPr>
          <w:rFonts w:ascii="Times New Roman" w:eastAsia="Times New Roman" w:hAnsi="Times New Roman" w:cs="Times New Roman"/>
        </w:rPr>
      </w:pPr>
    </w:p>
    <w:p w14:paraId="08733E88" w14:textId="49445B2D" w:rsidR="00096468" w:rsidRPr="00AA1346" w:rsidRDefault="00096468"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leggyakrabban jelentett mellékhatások a nasopharyngitis, a somnolentia, a fejfájás, a fáradtság és a szédülés voltak. Az alábbiakban ismertetett mellékhatásprofil valamennyi vizsgált indikációban végzett, placebokontrollos klinikai vizsgálatok összesített elemzésén alapszik, melyekben összesen 3416 beteget kezeltek levetiracetámmal. Ezeket az adatokat a levetiracetámmal végzett hasonló, nyílt</w:t>
      </w:r>
      <w:r w:rsidR="00B66917">
        <w:rPr>
          <w:rFonts w:ascii="Times New Roman" w:eastAsia="Times New Roman" w:hAnsi="Times New Roman" w:cs="Times New Roman"/>
        </w:rPr>
        <w:t xml:space="preserve"> elrendezésű</w:t>
      </w:r>
      <w:r w:rsidRPr="00AA1346">
        <w:rPr>
          <w:rFonts w:ascii="Times New Roman" w:eastAsia="Times New Roman" w:hAnsi="Times New Roman" w:cs="Times New Roman"/>
        </w:rPr>
        <w:t>, kiterjesztéses vizsgálatok, valamint a forgalomba hozatal</w:t>
      </w:r>
      <w:r w:rsidR="00B66917">
        <w:rPr>
          <w:rFonts w:ascii="Times New Roman" w:eastAsia="Times New Roman" w:hAnsi="Times New Roman" w:cs="Times New Roman"/>
        </w:rPr>
        <w:t>t követően szerzett</w:t>
      </w:r>
      <w:r w:rsidRPr="00AA1346">
        <w:rPr>
          <w:rFonts w:ascii="Times New Roman" w:eastAsia="Times New Roman" w:hAnsi="Times New Roman" w:cs="Times New Roman"/>
        </w:rPr>
        <w:t xml:space="preserve"> tapasztalatok egészítik ki. A levetiracetám biztonságossági profilja általában hasonló volt a különböző korcsoportok (felnőttek, valamint gyermekek és serdülők) és a jóváhagyott epilepszia</w:t>
      </w:r>
      <w:r w:rsidR="00B66917">
        <w:rPr>
          <w:rFonts w:ascii="Times New Roman" w:eastAsia="Times New Roman" w:hAnsi="Times New Roman" w:cs="Times New Roman"/>
        </w:rPr>
        <w:t>-</w:t>
      </w:r>
      <w:r w:rsidRPr="00AA1346">
        <w:rPr>
          <w:rFonts w:ascii="Times New Roman" w:eastAsia="Times New Roman" w:hAnsi="Times New Roman" w:cs="Times New Roman"/>
        </w:rPr>
        <w:t>javallatok esetében. Mivel az intravénás</w:t>
      </w:r>
      <w:r w:rsidR="00B66917">
        <w:rPr>
          <w:rFonts w:ascii="Times New Roman" w:eastAsia="Times New Roman" w:hAnsi="Times New Roman" w:cs="Times New Roman"/>
        </w:rPr>
        <w:t>an alkalmazott</w:t>
      </w:r>
      <w:r w:rsidRPr="00AA1346">
        <w:rPr>
          <w:rFonts w:ascii="Times New Roman" w:eastAsia="Times New Roman" w:hAnsi="Times New Roman" w:cs="Times New Roman"/>
        </w:rPr>
        <w:t xml:space="preserve"> </w:t>
      </w:r>
      <w:r w:rsidR="00602705" w:rsidRPr="00AA1346">
        <w:rPr>
          <w:rFonts w:ascii="Times New Roman" w:eastAsia="Times New Roman" w:hAnsi="Times New Roman" w:cs="Times New Roman"/>
        </w:rPr>
        <w:t>levetiracetám</w:t>
      </w:r>
      <w:r w:rsidR="00B66917">
        <w:rPr>
          <w:rFonts w:ascii="Times New Roman" w:eastAsia="Times New Roman" w:hAnsi="Times New Roman" w:cs="Times New Roman"/>
        </w:rPr>
        <w:t>-</w:t>
      </w:r>
      <w:r w:rsidRPr="00AA1346">
        <w:rPr>
          <w:rFonts w:ascii="Times New Roman" w:eastAsia="Times New Roman" w:hAnsi="Times New Roman" w:cs="Times New Roman"/>
        </w:rPr>
        <w:t>expozíció</w:t>
      </w:r>
      <w:r w:rsidR="00B66917">
        <w:rPr>
          <w:rFonts w:ascii="Times New Roman" w:eastAsia="Times New Roman" w:hAnsi="Times New Roman" w:cs="Times New Roman"/>
        </w:rPr>
        <w:t>ra vonatkozó adatok</w:t>
      </w:r>
      <w:r w:rsidRPr="00AA1346">
        <w:rPr>
          <w:rFonts w:ascii="Times New Roman" w:eastAsia="Times New Roman" w:hAnsi="Times New Roman" w:cs="Times New Roman"/>
        </w:rPr>
        <w:t xml:space="preserve"> korlátozott</w:t>
      </w:r>
      <w:r w:rsidR="00B66917">
        <w:rPr>
          <w:rFonts w:ascii="Times New Roman" w:eastAsia="Times New Roman" w:hAnsi="Times New Roman" w:cs="Times New Roman"/>
        </w:rPr>
        <w:t>ak</w:t>
      </w:r>
      <w:r w:rsidRPr="00AA1346">
        <w:rPr>
          <w:rFonts w:ascii="Times New Roman" w:eastAsia="Times New Roman" w:hAnsi="Times New Roman" w:cs="Times New Roman"/>
        </w:rPr>
        <w:t xml:space="preserve">, </w:t>
      </w:r>
      <w:r w:rsidR="00B66917">
        <w:rPr>
          <w:rFonts w:ascii="Times New Roman" w:eastAsia="Times New Roman" w:hAnsi="Times New Roman" w:cs="Times New Roman"/>
        </w:rPr>
        <w:t>valamint</w:t>
      </w:r>
      <w:r w:rsidRPr="00AA1346">
        <w:rPr>
          <w:rFonts w:ascii="Times New Roman" w:eastAsia="Times New Roman" w:hAnsi="Times New Roman" w:cs="Times New Roman"/>
        </w:rPr>
        <w:t xml:space="preserve"> az oralis </w:t>
      </w:r>
      <w:r w:rsidRPr="00AA1346">
        <w:rPr>
          <w:rFonts w:ascii="Times New Roman" w:eastAsia="Times New Roman" w:hAnsi="Times New Roman" w:cs="Times New Roman"/>
        </w:rPr>
        <w:lastRenderedPageBreak/>
        <w:t xml:space="preserve">és </w:t>
      </w:r>
      <w:r w:rsidR="00B66917">
        <w:rPr>
          <w:rFonts w:ascii="Times New Roman" w:eastAsia="Times New Roman" w:hAnsi="Times New Roman" w:cs="Times New Roman"/>
        </w:rPr>
        <w:t xml:space="preserve">az </w:t>
      </w:r>
      <w:r w:rsidRPr="00AA1346">
        <w:rPr>
          <w:rFonts w:ascii="Times New Roman" w:eastAsia="Times New Roman" w:hAnsi="Times New Roman" w:cs="Times New Roman"/>
        </w:rPr>
        <w:t>intravénás gyógyszerformák bioekvivalensek, az intravénás</w:t>
      </w:r>
      <w:r w:rsidR="00B66917">
        <w:rPr>
          <w:rFonts w:ascii="Times New Roman" w:eastAsia="Times New Roman" w:hAnsi="Times New Roman" w:cs="Times New Roman"/>
        </w:rPr>
        <w:t>an alkalmazott</w:t>
      </w:r>
      <w:r w:rsidRPr="00AA1346">
        <w:rPr>
          <w:rFonts w:ascii="Times New Roman" w:eastAsia="Times New Roman" w:hAnsi="Times New Roman" w:cs="Times New Roman"/>
        </w:rPr>
        <w:t xml:space="preserve"> </w:t>
      </w:r>
      <w:r w:rsidR="00602705" w:rsidRPr="00AA1346">
        <w:rPr>
          <w:rFonts w:ascii="Times New Roman" w:eastAsia="Times New Roman" w:hAnsi="Times New Roman" w:cs="Times New Roman"/>
        </w:rPr>
        <w:t xml:space="preserve">levetiracetám </w:t>
      </w:r>
      <w:r w:rsidRPr="00AA1346">
        <w:rPr>
          <w:rFonts w:ascii="Times New Roman" w:eastAsia="Times New Roman" w:hAnsi="Times New Roman" w:cs="Times New Roman"/>
        </w:rPr>
        <w:t xml:space="preserve">biztonságossági információi az oralis </w:t>
      </w:r>
      <w:r w:rsidR="00602705" w:rsidRPr="00AA1346">
        <w:rPr>
          <w:rFonts w:ascii="Times New Roman" w:eastAsia="Times New Roman" w:hAnsi="Times New Roman" w:cs="Times New Roman"/>
        </w:rPr>
        <w:t xml:space="preserve">levetiracetám </w:t>
      </w:r>
      <w:r w:rsidRPr="00AA1346">
        <w:rPr>
          <w:rFonts w:ascii="Times New Roman" w:eastAsia="Times New Roman" w:hAnsi="Times New Roman" w:cs="Times New Roman"/>
        </w:rPr>
        <w:t>adatain alapulnak.</w:t>
      </w:r>
    </w:p>
    <w:p w14:paraId="4832933D" w14:textId="77777777" w:rsidR="00096468" w:rsidRPr="00AA1346" w:rsidRDefault="00096468" w:rsidP="004401DF">
      <w:pPr>
        <w:suppressAutoHyphens/>
        <w:spacing w:after="0" w:line="240" w:lineRule="auto"/>
        <w:rPr>
          <w:rFonts w:ascii="Times New Roman" w:eastAsia="Times New Roman" w:hAnsi="Times New Roman" w:cs="Times New Roman"/>
        </w:rPr>
      </w:pPr>
    </w:p>
    <w:p w14:paraId="57476EF7" w14:textId="77777777" w:rsidR="00096468" w:rsidRPr="00AA1346" w:rsidRDefault="00096468"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 mellékhatások táblázatos felsorolása</w:t>
      </w:r>
    </w:p>
    <w:p w14:paraId="5084EB4B" w14:textId="77777777" w:rsidR="002401D3" w:rsidRPr="00AA1346" w:rsidRDefault="002401D3" w:rsidP="004401DF">
      <w:pPr>
        <w:suppressAutoHyphens/>
        <w:spacing w:after="0" w:line="240" w:lineRule="auto"/>
        <w:rPr>
          <w:rFonts w:ascii="Times New Roman" w:eastAsia="Times New Roman" w:hAnsi="Times New Roman" w:cs="Times New Roman"/>
        </w:rPr>
      </w:pPr>
    </w:p>
    <w:p w14:paraId="020435C4" w14:textId="59BB9410" w:rsidR="00394394" w:rsidRPr="00AA1346" w:rsidRDefault="00C54764" w:rsidP="004401DF">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F</w:t>
      </w:r>
      <w:r w:rsidR="00096468" w:rsidRPr="00AA1346">
        <w:rPr>
          <w:rFonts w:ascii="Times New Roman" w:eastAsia="Times New Roman" w:hAnsi="Times New Roman" w:cs="Times New Roman"/>
        </w:rPr>
        <w:t>elnőttekkel, serdülőkkel, gyermekekkel és 1</w:t>
      </w:r>
      <w:r w:rsidR="00B66917">
        <w:rPr>
          <w:rFonts w:ascii="Times New Roman" w:eastAsia="Times New Roman" w:hAnsi="Times New Roman" w:cs="Times New Roman"/>
        </w:rPr>
        <w:t> </w:t>
      </w:r>
      <w:r w:rsidR="00096468" w:rsidRPr="00AA1346">
        <w:rPr>
          <w:rFonts w:ascii="Times New Roman" w:eastAsia="Times New Roman" w:hAnsi="Times New Roman" w:cs="Times New Roman"/>
        </w:rPr>
        <w:t>hónaposnál idősebb csecsemőkkel végzett klinikai vizsgálatok során</w:t>
      </w:r>
      <w:r w:rsidR="00B66917">
        <w:rPr>
          <w:rFonts w:ascii="Times New Roman" w:eastAsia="Times New Roman" w:hAnsi="Times New Roman" w:cs="Times New Roman"/>
        </w:rPr>
        <w:t xml:space="preserve">, </w:t>
      </w:r>
      <w:r>
        <w:rPr>
          <w:rFonts w:ascii="Times New Roman" w:eastAsia="Times New Roman" w:hAnsi="Times New Roman" w:cs="Times New Roman"/>
        </w:rPr>
        <w:t>és</w:t>
      </w:r>
      <w:r w:rsidR="00096468" w:rsidRPr="00AA1346">
        <w:rPr>
          <w:rFonts w:ascii="Times New Roman" w:eastAsia="Times New Roman" w:hAnsi="Times New Roman" w:cs="Times New Roman"/>
        </w:rPr>
        <w:t xml:space="preserve"> a forgalomba hozatal</w:t>
      </w:r>
      <w:r w:rsidR="00B66917">
        <w:rPr>
          <w:rFonts w:ascii="Times New Roman" w:eastAsia="Times New Roman" w:hAnsi="Times New Roman" w:cs="Times New Roman"/>
        </w:rPr>
        <w:t xml:space="preserve">t követően </w:t>
      </w:r>
      <w:r w:rsidR="00096468" w:rsidRPr="00AA1346">
        <w:rPr>
          <w:rFonts w:ascii="Times New Roman" w:eastAsia="Times New Roman" w:hAnsi="Times New Roman" w:cs="Times New Roman"/>
        </w:rPr>
        <w:t>bejelentett mellékhatások listáját az alábbi táblázat ismerteti, szervrendszer</w:t>
      </w:r>
      <w:r w:rsidR="00B66917">
        <w:rPr>
          <w:rFonts w:ascii="Times New Roman" w:eastAsia="Times New Roman" w:hAnsi="Times New Roman" w:cs="Times New Roman"/>
        </w:rPr>
        <w:t>i kategóriák</w:t>
      </w:r>
      <w:r w:rsidR="00096468" w:rsidRPr="00AA1346">
        <w:rPr>
          <w:rFonts w:ascii="Times New Roman" w:eastAsia="Times New Roman" w:hAnsi="Times New Roman" w:cs="Times New Roman"/>
        </w:rPr>
        <w:t xml:space="preserve"> és előfordulási gyakoriság szerinti csoportosításban. A mellékhatások felsorolása csökkenő súlyossági sorrendben történik, és az előfordulási gyakoriságuk meghatározása a következő: nagyon gyakori (≥</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w:t>
      </w:r>
      <w:r w:rsidR="002401D3" w:rsidRPr="00AA1346">
        <w:rPr>
          <w:rFonts w:ascii="Times New Roman" w:eastAsia="Times New Roman" w:hAnsi="Times New Roman" w:cs="Times New Roman"/>
        </w:rPr>
        <w:t>,</w:t>
      </w:r>
      <w:r w:rsidR="00096468" w:rsidRPr="00AA1346">
        <w:rPr>
          <w:rFonts w:ascii="Times New Roman" w:eastAsia="Times New Roman" w:hAnsi="Times New Roman" w:cs="Times New Roman"/>
        </w:rPr>
        <w:t xml:space="preserve"> gyakori (≥</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1/100</w:t>
      </w:r>
      <w:r w:rsidR="002401D3" w:rsidRPr="00AA1346">
        <w:rPr>
          <w:rFonts w:ascii="Times New Roman" w:eastAsia="Times New Roman" w:hAnsi="Times New Roman" w:cs="Times New Roman"/>
        </w:rPr>
        <w:t> – </w:t>
      </w:r>
      <w:r w:rsidR="00096468" w:rsidRPr="00AA1346">
        <w:rPr>
          <w:rFonts w:ascii="Times New Roman" w:eastAsia="Times New Roman" w:hAnsi="Times New Roman" w:cs="Times New Roman"/>
        </w:rPr>
        <w:t>&lt;</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w:t>
      </w:r>
      <w:r w:rsidR="002401D3" w:rsidRPr="00AA1346">
        <w:rPr>
          <w:rFonts w:ascii="Times New Roman" w:eastAsia="Times New Roman" w:hAnsi="Times New Roman" w:cs="Times New Roman"/>
        </w:rPr>
        <w:t>,</w:t>
      </w:r>
      <w:r w:rsidR="00096468" w:rsidRPr="00AA1346">
        <w:rPr>
          <w:rFonts w:ascii="Times New Roman" w:eastAsia="Times New Roman" w:hAnsi="Times New Roman" w:cs="Times New Roman"/>
        </w:rPr>
        <w:t xml:space="preserve"> nem gyakori</w:t>
      </w:r>
      <w:r w:rsidR="002401D3" w:rsidRPr="00AA1346">
        <w:rPr>
          <w:rFonts w:ascii="Times New Roman" w:eastAsia="Times New Roman" w:hAnsi="Times New Roman" w:cs="Times New Roman"/>
        </w:rPr>
        <w:t xml:space="preserve"> </w:t>
      </w:r>
      <w:r w:rsidR="00096468" w:rsidRPr="00AA1346">
        <w:rPr>
          <w:rFonts w:ascii="Times New Roman" w:eastAsia="Times New Roman" w:hAnsi="Times New Roman" w:cs="Times New Roman"/>
        </w:rPr>
        <w:t>(≥</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1/1000</w:t>
      </w:r>
      <w:r w:rsidR="002401D3" w:rsidRPr="00AA1346">
        <w:rPr>
          <w:rFonts w:ascii="Times New Roman" w:eastAsia="Times New Roman" w:hAnsi="Times New Roman" w:cs="Times New Roman"/>
        </w:rPr>
        <w:t> – </w:t>
      </w:r>
      <w:r w:rsidR="00096468" w:rsidRPr="00AA1346">
        <w:rPr>
          <w:rFonts w:ascii="Times New Roman" w:eastAsia="Times New Roman" w:hAnsi="Times New Roman" w:cs="Times New Roman"/>
        </w:rPr>
        <w:t>&lt;</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1/100)</w:t>
      </w:r>
      <w:r w:rsidR="002401D3" w:rsidRPr="00AA1346">
        <w:rPr>
          <w:rFonts w:ascii="Times New Roman" w:eastAsia="Times New Roman" w:hAnsi="Times New Roman" w:cs="Times New Roman"/>
        </w:rPr>
        <w:t>,</w:t>
      </w:r>
      <w:r w:rsidR="00096468" w:rsidRPr="00AA1346">
        <w:rPr>
          <w:rFonts w:ascii="Times New Roman" w:eastAsia="Times New Roman" w:hAnsi="Times New Roman" w:cs="Times New Roman"/>
        </w:rPr>
        <w:t xml:space="preserve"> ritka (≥</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1/10 000</w:t>
      </w:r>
      <w:r w:rsidR="002401D3" w:rsidRPr="00AA1346">
        <w:rPr>
          <w:rFonts w:ascii="Times New Roman" w:eastAsia="Times New Roman" w:hAnsi="Times New Roman" w:cs="Times New Roman"/>
        </w:rPr>
        <w:t> – </w:t>
      </w:r>
      <w:r w:rsidR="00096468" w:rsidRPr="00AA1346">
        <w:rPr>
          <w:rFonts w:ascii="Times New Roman" w:eastAsia="Times New Roman" w:hAnsi="Times New Roman" w:cs="Times New Roman"/>
        </w:rPr>
        <w:t>&lt;</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1/1000) és nagyon ritka (&lt;</w:t>
      </w:r>
      <w:r w:rsidR="002401D3" w:rsidRPr="00AA1346">
        <w:rPr>
          <w:rFonts w:ascii="Times New Roman" w:eastAsia="Times New Roman" w:hAnsi="Times New Roman" w:cs="Times New Roman"/>
        </w:rPr>
        <w:t> </w:t>
      </w:r>
      <w:r w:rsidR="00096468" w:rsidRPr="00AA1346">
        <w:rPr>
          <w:rFonts w:ascii="Times New Roman" w:eastAsia="Times New Roman" w:hAnsi="Times New Roman" w:cs="Times New Roman"/>
        </w:rPr>
        <w:t>1/10</w:t>
      </w:r>
      <w:r w:rsidR="00B66917">
        <w:rPr>
          <w:rFonts w:ascii="Times New Roman" w:eastAsia="Times New Roman" w:hAnsi="Times New Roman" w:cs="Times New Roman"/>
        </w:rPr>
        <w:t> </w:t>
      </w:r>
      <w:r w:rsidR="00096468" w:rsidRPr="00AA1346">
        <w:rPr>
          <w:rFonts w:ascii="Times New Roman" w:eastAsia="Times New Roman" w:hAnsi="Times New Roman" w:cs="Times New Roman"/>
        </w:rPr>
        <w:t>000).</w:t>
      </w:r>
    </w:p>
    <w:p w14:paraId="2CD0A7C7" w14:textId="77777777" w:rsidR="00096468" w:rsidRPr="00AA1346" w:rsidRDefault="00096468" w:rsidP="004401DF">
      <w:pPr>
        <w:suppressAutoHyphens/>
        <w:spacing w:after="0" w:line="240" w:lineRule="auto"/>
        <w:rPr>
          <w:rFonts w:ascii="Times New Roman" w:eastAsia="Times New Roman" w:hAnsi="Times New Roman" w:cs="Times New Roman"/>
        </w:rPr>
      </w:pPr>
    </w:p>
    <w:tbl>
      <w:tblPr>
        <w:tblW w:w="9509" w:type="dxa"/>
        <w:tblInd w:w="-19" w:type="dxa"/>
        <w:tblLayout w:type="fixed"/>
        <w:tblCellMar>
          <w:top w:w="56" w:type="dxa"/>
          <w:left w:w="57" w:type="dxa"/>
          <w:right w:w="53" w:type="dxa"/>
        </w:tblCellMar>
        <w:tblLook w:val="04A0" w:firstRow="1" w:lastRow="0" w:firstColumn="1" w:lastColumn="0" w:noHBand="0" w:noVBand="1"/>
      </w:tblPr>
      <w:tblGrid>
        <w:gridCol w:w="1715"/>
        <w:gridCol w:w="1418"/>
        <w:gridCol w:w="1559"/>
        <w:gridCol w:w="1883"/>
        <w:gridCol w:w="1756"/>
        <w:gridCol w:w="1162"/>
        <w:gridCol w:w="16"/>
      </w:tblGrid>
      <w:tr w:rsidR="0074275B" w:rsidRPr="00AA1346" w14:paraId="2CFD9D6F" w14:textId="77777777" w:rsidTr="00E65268">
        <w:trPr>
          <w:trHeight w:val="283"/>
          <w:tblHeader/>
        </w:trPr>
        <w:tc>
          <w:tcPr>
            <w:tcW w:w="1715" w:type="dxa"/>
            <w:vMerge w:val="restart"/>
            <w:tcBorders>
              <w:top w:val="single" w:sz="4" w:space="0" w:color="000000"/>
              <w:left w:val="single" w:sz="4" w:space="0" w:color="000000"/>
              <w:bottom w:val="single" w:sz="4" w:space="0" w:color="000000"/>
              <w:right w:val="single" w:sz="4" w:space="0" w:color="000000"/>
            </w:tcBorders>
          </w:tcPr>
          <w:p w14:paraId="39CF5E8F" w14:textId="6D7EB121" w:rsidR="0074275B" w:rsidRPr="00AA1346" w:rsidRDefault="00B66917" w:rsidP="00B66917">
            <w:pPr>
              <w:spacing w:after="0" w:line="240" w:lineRule="auto"/>
              <w:rPr>
                <w:rFonts w:ascii="Times New Roman" w:eastAsia="Times New Roman" w:hAnsi="Times New Roman" w:cs="Times New Roman"/>
                <w:color w:val="000000"/>
              </w:rPr>
            </w:pPr>
            <w:r w:rsidRPr="00AA1346">
              <w:rPr>
                <w:rFonts w:ascii="Times New Roman" w:hAnsi="Times New Roman" w:cs="Times New Roman"/>
              </w:rPr>
              <w:t>MedDRA szerint</w:t>
            </w:r>
            <w:r>
              <w:rPr>
                <w:rFonts w:ascii="Times New Roman" w:hAnsi="Times New Roman" w:cs="Times New Roman"/>
              </w:rPr>
              <w:t xml:space="preserve">i </w:t>
            </w:r>
            <w:r w:rsidRPr="00AA1346">
              <w:rPr>
                <w:rFonts w:ascii="Times New Roman" w:hAnsi="Times New Roman" w:cs="Times New Roman"/>
              </w:rPr>
              <w:t xml:space="preserve"> </w:t>
            </w:r>
            <w:r>
              <w:rPr>
                <w:rFonts w:ascii="Times New Roman" w:hAnsi="Times New Roman" w:cs="Times New Roman"/>
              </w:rPr>
              <w:t>s</w:t>
            </w:r>
            <w:r w:rsidR="0074275B" w:rsidRPr="00AA1346">
              <w:rPr>
                <w:rFonts w:ascii="Times New Roman" w:hAnsi="Times New Roman" w:cs="Times New Roman"/>
              </w:rPr>
              <w:t>zervrendszer</w:t>
            </w:r>
            <w:r>
              <w:rPr>
                <w:rFonts w:ascii="Times New Roman" w:hAnsi="Times New Roman" w:cs="Times New Roman"/>
              </w:rPr>
              <w:t>i kategóri</w:t>
            </w:r>
            <w:r w:rsidR="00B707B1">
              <w:rPr>
                <w:rFonts w:ascii="Times New Roman" w:hAnsi="Times New Roman" w:cs="Times New Roman"/>
              </w:rPr>
              <w:t>a</w:t>
            </w:r>
          </w:p>
        </w:tc>
        <w:tc>
          <w:tcPr>
            <w:tcW w:w="7794" w:type="dxa"/>
            <w:gridSpan w:val="6"/>
            <w:tcBorders>
              <w:top w:val="single" w:sz="4" w:space="0" w:color="000000"/>
              <w:left w:val="single" w:sz="4" w:space="0" w:color="000000"/>
              <w:bottom w:val="single" w:sz="4" w:space="0" w:color="000000"/>
              <w:right w:val="single" w:sz="4" w:space="0" w:color="000000"/>
            </w:tcBorders>
          </w:tcPr>
          <w:p w14:paraId="636B7893" w14:textId="2F4FA16B" w:rsidR="0074275B" w:rsidRPr="00AA1346" w:rsidRDefault="0074275B" w:rsidP="004401DF">
            <w:pPr>
              <w:pStyle w:val="Nincstrkz"/>
              <w:jc w:val="center"/>
            </w:pPr>
            <w:r w:rsidRPr="00AA1346">
              <w:t>Gyakorisági kategória</w:t>
            </w:r>
          </w:p>
        </w:tc>
      </w:tr>
      <w:tr w:rsidR="0074275B" w:rsidRPr="00AA1346" w14:paraId="6EBB6338" w14:textId="77777777" w:rsidTr="00E65268">
        <w:trPr>
          <w:gridAfter w:val="1"/>
          <w:wAfter w:w="16" w:type="dxa"/>
          <w:trHeight w:val="283"/>
          <w:tblHeader/>
        </w:trPr>
        <w:tc>
          <w:tcPr>
            <w:tcW w:w="1715" w:type="dxa"/>
            <w:vMerge/>
            <w:tcBorders>
              <w:top w:val="nil"/>
              <w:left w:val="single" w:sz="4" w:space="0" w:color="000000"/>
              <w:bottom w:val="single" w:sz="4" w:space="0" w:color="000000"/>
              <w:right w:val="single" w:sz="4" w:space="0" w:color="000000"/>
            </w:tcBorders>
          </w:tcPr>
          <w:p w14:paraId="188D72BC" w14:textId="77777777" w:rsidR="0074275B" w:rsidRPr="00AA1346" w:rsidRDefault="0074275B" w:rsidP="004401DF">
            <w:pPr>
              <w:spacing w:after="0" w:line="240" w:lineRule="auto"/>
              <w:rPr>
                <w:rFonts w:ascii="Times New Roman" w:eastAsia="Times New Roman" w:hAnsi="Times New Roman" w:cs="Times New Roman"/>
                <w:color w:val="000000"/>
              </w:rPr>
            </w:pPr>
          </w:p>
        </w:tc>
        <w:tc>
          <w:tcPr>
            <w:tcW w:w="1418" w:type="dxa"/>
            <w:tcBorders>
              <w:top w:val="single" w:sz="4" w:space="0" w:color="000000"/>
              <w:left w:val="single" w:sz="4" w:space="0" w:color="000000"/>
              <w:bottom w:val="single" w:sz="4" w:space="0" w:color="000000"/>
              <w:right w:val="single" w:sz="4" w:space="0" w:color="000000"/>
            </w:tcBorders>
          </w:tcPr>
          <w:p w14:paraId="05774DBF" w14:textId="07876641" w:rsidR="0074275B" w:rsidRPr="00AA1346" w:rsidRDefault="0074275B" w:rsidP="004401DF">
            <w:pPr>
              <w:spacing w:after="0" w:line="240" w:lineRule="auto"/>
              <w:jc w:val="center"/>
              <w:rPr>
                <w:rFonts w:ascii="Times New Roman" w:eastAsia="Times New Roman" w:hAnsi="Times New Roman" w:cs="Times New Roman"/>
                <w:color w:val="000000"/>
              </w:rPr>
            </w:pPr>
            <w:r w:rsidRPr="00AA1346">
              <w:rPr>
                <w:rFonts w:ascii="Times New Roman" w:hAnsi="Times New Roman" w:cs="Times New Roman"/>
              </w:rPr>
              <w:t>Nagyon gyakori</w:t>
            </w:r>
          </w:p>
        </w:tc>
        <w:tc>
          <w:tcPr>
            <w:tcW w:w="1559" w:type="dxa"/>
            <w:tcBorders>
              <w:top w:val="single" w:sz="4" w:space="0" w:color="000000"/>
              <w:left w:val="single" w:sz="4" w:space="0" w:color="000000"/>
              <w:bottom w:val="single" w:sz="4" w:space="0" w:color="000000"/>
              <w:right w:val="single" w:sz="4" w:space="0" w:color="000000"/>
            </w:tcBorders>
          </w:tcPr>
          <w:p w14:paraId="4CEE5BBF" w14:textId="3ED9FB34" w:rsidR="0074275B" w:rsidRPr="00AA1346" w:rsidRDefault="0074275B" w:rsidP="004401DF">
            <w:pPr>
              <w:spacing w:after="0" w:line="240" w:lineRule="auto"/>
              <w:jc w:val="center"/>
              <w:rPr>
                <w:rFonts w:ascii="Times New Roman" w:eastAsia="Times New Roman" w:hAnsi="Times New Roman" w:cs="Times New Roman"/>
                <w:color w:val="000000"/>
              </w:rPr>
            </w:pPr>
            <w:r w:rsidRPr="00AA1346">
              <w:rPr>
                <w:rFonts w:ascii="Times New Roman" w:hAnsi="Times New Roman" w:cs="Times New Roman"/>
              </w:rPr>
              <w:t>Gyakori</w:t>
            </w:r>
          </w:p>
        </w:tc>
        <w:tc>
          <w:tcPr>
            <w:tcW w:w="1883" w:type="dxa"/>
            <w:tcBorders>
              <w:top w:val="single" w:sz="4" w:space="0" w:color="000000"/>
              <w:left w:val="single" w:sz="4" w:space="0" w:color="000000"/>
              <w:bottom w:val="single" w:sz="4" w:space="0" w:color="000000"/>
              <w:right w:val="single" w:sz="4" w:space="0" w:color="000000"/>
            </w:tcBorders>
          </w:tcPr>
          <w:p w14:paraId="6F42938A" w14:textId="0D058F2A" w:rsidR="0074275B" w:rsidRPr="00AA1346" w:rsidRDefault="0074275B" w:rsidP="004401DF">
            <w:pPr>
              <w:spacing w:after="0" w:line="240" w:lineRule="auto"/>
              <w:jc w:val="center"/>
              <w:rPr>
                <w:rFonts w:ascii="Times New Roman" w:eastAsia="Times New Roman" w:hAnsi="Times New Roman" w:cs="Times New Roman"/>
                <w:color w:val="000000"/>
              </w:rPr>
            </w:pPr>
            <w:r w:rsidRPr="00AA1346">
              <w:rPr>
                <w:rFonts w:ascii="Times New Roman" w:hAnsi="Times New Roman" w:cs="Times New Roman"/>
              </w:rPr>
              <w:t>Nem gyakori</w:t>
            </w:r>
          </w:p>
        </w:tc>
        <w:tc>
          <w:tcPr>
            <w:tcW w:w="1756" w:type="dxa"/>
            <w:tcBorders>
              <w:top w:val="single" w:sz="4" w:space="0" w:color="000000"/>
              <w:left w:val="single" w:sz="4" w:space="0" w:color="000000"/>
              <w:bottom w:val="single" w:sz="4" w:space="0" w:color="000000"/>
              <w:right w:val="single" w:sz="4" w:space="0" w:color="000000"/>
            </w:tcBorders>
          </w:tcPr>
          <w:p w14:paraId="6822F736" w14:textId="46325C4C" w:rsidR="0074275B" w:rsidRPr="00AA1346" w:rsidRDefault="0074275B" w:rsidP="004401DF">
            <w:pPr>
              <w:spacing w:after="0" w:line="240" w:lineRule="auto"/>
              <w:jc w:val="center"/>
              <w:rPr>
                <w:rFonts w:ascii="Times New Roman" w:eastAsia="Times New Roman" w:hAnsi="Times New Roman" w:cs="Times New Roman"/>
                <w:color w:val="000000"/>
              </w:rPr>
            </w:pPr>
            <w:r w:rsidRPr="00AA1346">
              <w:rPr>
                <w:rFonts w:ascii="Times New Roman" w:hAnsi="Times New Roman" w:cs="Times New Roman"/>
              </w:rPr>
              <w:t>Ritka</w:t>
            </w:r>
          </w:p>
        </w:tc>
        <w:tc>
          <w:tcPr>
            <w:tcW w:w="1162" w:type="dxa"/>
            <w:tcBorders>
              <w:top w:val="single" w:sz="4" w:space="0" w:color="000000"/>
              <w:left w:val="single" w:sz="4" w:space="0" w:color="000000"/>
              <w:bottom w:val="single" w:sz="4" w:space="0" w:color="000000"/>
              <w:right w:val="single" w:sz="4" w:space="0" w:color="000000"/>
            </w:tcBorders>
          </w:tcPr>
          <w:p w14:paraId="2072C9FB" w14:textId="7DA3D919" w:rsidR="0074275B" w:rsidRPr="00AA1346" w:rsidRDefault="0074275B" w:rsidP="004401DF">
            <w:pPr>
              <w:spacing w:after="0" w:line="240" w:lineRule="auto"/>
              <w:jc w:val="center"/>
              <w:rPr>
                <w:rFonts w:ascii="Times New Roman" w:eastAsia="Times New Roman" w:hAnsi="Times New Roman" w:cs="Times New Roman"/>
                <w:color w:val="000000"/>
              </w:rPr>
            </w:pPr>
            <w:r w:rsidRPr="00AA1346">
              <w:rPr>
                <w:rFonts w:ascii="Times New Roman" w:hAnsi="Times New Roman" w:cs="Times New Roman"/>
              </w:rPr>
              <w:t>Nagyon ritka</w:t>
            </w:r>
          </w:p>
        </w:tc>
      </w:tr>
      <w:tr w:rsidR="0074275B" w:rsidRPr="00AA1346" w14:paraId="56C4DC6F" w14:textId="77777777" w:rsidTr="00E65268">
        <w:trPr>
          <w:gridAfter w:val="1"/>
          <w:wAfter w:w="16" w:type="dxa"/>
          <w:trHeight w:val="660"/>
        </w:trPr>
        <w:tc>
          <w:tcPr>
            <w:tcW w:w="1715" w:type="dxa"/>
            <w:tcBorders>
              <w:top w:val="single" w:sz="4" w:space="0" w:color="000000"/>
              <w:left w:val="single" w:sz="4" w:space="0" w:color="000000"/>
              <w:bottom w:val="single" w:sz="4" w:space="0" w:color="000000"/>
              <w:right w:val="single" w:sz="4" w:space="0" w:color="000000"/>
            </w:tcBorders>
          </w:tcPr>
          <w:p w14:paraId="43F72D72" w14:textId="292B078D" w:rsidR="0074275B" w:rsidRPr="00AA1346" w:rsidRDefault="0074275B" w:rsidP="004401DF">
            <w:pPr>
              <w:spacing w:after="0" w:line="240" w:lineRule="auto"/>
              <w:rPr>
                <w:rFonts w:ascii="Times New Roman" w:eastAsia="Times New Roman" w:hAnsi="Times New Roman" w:cs="Times New Roman"/>
                <w:color w:val="000000"/>
              </w:rPr>
            </w:pPr>
            <w:r w:rsidRPr="00AA1346">
              <w:rPr>
                <w:rFonts w:ascii="Times New Roman" w:hAnsi="Times New Roman" w:cs="Times New Roman"/>
              </w:rPr>
              <w:t>Fertőző betegségek és parazitafertőzések</w:t>
            </w:r>
          </w:p>
        </w:tc>
        <w:tc>
          <w:tcPr>
            <w:tcW w:w="1418" w:type="dxa"/>
            <w:tcBorders>
              <w:top w:val="single" w:sz="4" w:space="0" w:color="000000"/>
              <w:left w:val="single" w:sz="4" w:space="0" w:color="000000"/>
              <w:bottom w:val="single" w:sz="4" w:space="0" w:color="000000"/>
              <w:right w:val="single" w:sz="4" w:space="0" w:color="000000"/>
            </w:tcBorders>
          </w:tcPr>
          <w:p w14:paraId="7C973CB6" w14:textId="305E2065" w:rsidR="0074275B" w:rsidRPr="00AA1346" w:rsidRDefault="00B66917" w:rsidP="004401DF">
            <w:pPr>
              <w:spacing w:after="0" w:line="240" w:lineRule="auto"/>
              <w:rPr>
                <w:rFonts w:ascii="Times New Roman" w:eastAsia="Times New Roman" w:hAnsi="Times New Roman" w:cs="Times New Roman"/>
                <w:color w:val="000000"/>
              </w:rPr>
            </w:pPr>
            <w:r>
              <w:rPr>
                <w:rFonts w:ascii="Times New Roman" w:hAnsi="Times New Roman" w:cs="Times New Roman"/>
              </w:rPr>
              <w:t>n</w:t>
            </w:r>
            <w:r w:rsidR="0074275B" w:rsidRPr="00AA1346">
              <w:rPr>
                <w:rFonts w:ascii="Times New Roman" w:hAnsi="Times New Roman" w:cs="Times New Roman"/>
              </w:rPr>
              <w:t>asopharyngitis</w:t>
            </w:r>
          </w:p>
        </w:tc>
        <w:tc>
          <w:tcPr>
            <w:tcW w:w="1559" w:type="dxa"/>
            <w:tcBorders>
              <w:top w:val="single" w:sz="4" w:space="0" w:color="000000"/>
              <w:left w:val="single" w:sz="4" w:space="0" w:color="000000"/>
              <w:bottom w:val="single" w:sz="4" w:space="0" w:color="000000"/>
              <w:right w:val="single" w:sz="4" w:space="0" w:color="000000"/>
            </w:tcBorders>
          </w:tcPr>
          <w:p w14:paraId="51011996" w14:textId="77777777" w:rsidR="0074275B" w:rsidRPr="00AA1346" w:rsidRDefault="0074275B"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323F78EB" w14:textId="77777777" w:rsidR="0074275B" w:rsidRPr="00AA1346" w:rsidRDefault="0074275B" w:rsidP="004401DF">
            <w:pPr>
              <w:spacing w:after="0" w:line="240" w:lineRule="auto"/>
              <w:rPr>
                <w:rFonts w:ascii="Times New Roman" w:eastAsia="Times New Roman" w:hAnsi="Times New Roman" w:cs="Times New Roman"/>
                <w:color w:val="000000"/>
              </w:rPr>
            </w:pPr>
          </w:p>
        </w:tc>
        <w:tc>
          <w:tcPr>
            <w:tcW w:w="1756" w:type="dxa"/>
            <w:tcBorders>
              <w:top w:val="single" w:sz="4" w:space="0" w:color="000000"/>
              <w:left w:val="single" w:sz="4" w:space="0" w:color="000000"/>
              <w:bottom w:val="single" w:sz="4" w:space="0" w:color="000000"/>
              <w:right w:val="single" w:sz="4" w:space="0" w:color="000000"/>
            </w:tcBorders>
          </w:tcPr>
          <w:p w14:paraId="480E98A7" w14:textId="260DA1A1" w:rsidR="0074275B" w:rsidRPr="00AA1346" w:rsidRDefault="00B66917" w:rsidP="004401DF">
            <w:pPr>
              <w:spacing w:after="0" w:line="240" w:lineRule="auto"/>
              <w:rPr>
                <w:rFonts w:ascii="Times New Roman" w:eastAsia="Times New Roman" w:hAnsi="Times New Roman" w:cs="Times New Roman"/>
                <w:color w:val="000000"/>
              </w:rPr>
            </w:pPr>
            <w:r>
              <w:rPr>
                <w:rFonts w:ascii="Times New Roman" w:hAnsi="Times New Roman" w:cs="Times New Roman"/>
              </w:rPr>
              <w:t>f</w:t>
            </w:r>
            <w:r w:rsidR="0074275B" w:rsidRPr="00AA1346">
              <w:rPr>
                <w:rFonts w:ascii="Times New Roman" w:hAnsi="Times New Roman" w:cs="Times New Roman"/>
              </w:rPr>
              <w:t>ertőzés</w:t>
            </w:r>
          </w:p>
        </w:tc>
        <w:tc>
          <w:tcPr>
            <w:tcW w:w="1162" w:type="dxa"/>
            <w:tcBorders>
              <w:top w:val="single" w:sz="4" w:space="0" w:color="000000"/>
              <w:left w:val="single" w:sz="4" w:space="0" w:color="000000"/>
              <w:bottom w:val="single" w:sz="4" w:space="0" w:color="000000"/>
              <w:right w:val="single" w:sz="4" w:space="0" w:color="000000"/>
            </w:tcBorders>
          </w:tcPr>
          <w:p w14:paraId="73030ADE" w14:textId="17CD51F5" w:rsidR="0074275B" w:rsidRPr="00AA1346" w:rsidRDefault="0074275B" w:rsidP="004401DF">
            <w:pPr>
              <w:spacing w:after="0" w:line="240" w:lineRule="auto"/>
              <w:rPr>
                <w:rFonts w:ascii="Times New Roman" w:eastAsia="Times New Roman" w:hAnsi="Times New Roman" w:cs="Times New Roman"/>
                <w:color w:val="000000"/>
              </w:rPr>
            </w:pPr>
          </w:p>
        </w:tc>
      </w:tr>
      <w:tr w:rsidR="0074275B" w:rsidRPr="00AA1346" w14:paraId="3B4DC42F" w14:textId="77777777" w:rsidTr="00E65268">
        <w:trPr>
          <w:gridAfter w:val="1"/>
          <w:wAfter w:w="16" w:type="dxa"/>
          <w:trHeight w:val="559"/>
        </w:trPr>
        <w:tc>
          <w:tcPr>
            <w:tcW w:w="1715" w:type="dxa"/>
            <w:tcBorders>
              <w:top w:val="single" w:sz="4" w:space="0" w:color="000000"/>
              <w:left w:val="single" w:sz="4" w:space="0" w:color="000000"/>
              <w:bottom w:val="single" w:sz="4" w:space="0" w:color="000000"/>
              <w:right w:val="single" w:sz="4" w:space="0" w:color="000000"/>
            </w:tcBorders>
          </w:tcPr>
          <w:p w14:paraId="7D9CA578" w14:textId="5D6BD12C" w:rsidR="0074275B" w:rsidRPr="00AA1346" w:rsidRDefault="001B3B02" w:rsidP="004401DF">
            <w:pPr>
              <w:spacing w:after="0" w:line="240" w:lineRule="auto"/>
              <w:rPr>
                <w:rFonts w:ascii="Times New Roman" w:eastAsia="Times New Roman" w:hAnsi="Times New Roman" w:cs="Times New Roman"/>
                <w:color w:val="000000"/>
              </w:rPr>
            </w:pPr>
            <w:r w:rsidRPr="00AA1346">
              <w:rPr>
                <w:rFonts w:ascii="Times New Roman" w:hAnsi="Times New Roman" w:cs="Times New Roman"/>
              </w:rPr>
              <w:t>Vérképzőszervi és nyirokrendszeri betegségek és tünetek</w:t>
            </w:r>
          </w:p>
        </w:tc>
        <w:tc>
          <w:tcPr>
            <w:tcW w:w="1418" w:type="dxa"/>
            <w:tcBorders>
              <w:top w:val="single" w:sz="4" w:space="0" w:color="000000"/>
              <w:left w:val="single" w:sz="4" w:space="0" w:color="000000"/>
              <w:bottom w:val="single" w:sz="4" w:space="0" w:color="000000"/>
              <w:right w:val="single" w:sz="4" w:space="0" w:color="000000"/>
            </w:tcBorders>
          </w:tcPr>
          <w:p w14:paraId="7D84D87D" w14:textId="77777777" w:rsidR="0074275B" w:rsidRPr="00AA1346" w:rsidRDefault="0074275B"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6C7222D3" w14:textId="77777777" w:rsidR="0074275B" w:rsidRPr="00AA1346" w:rsidRDefault="0074275B"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71AEFCC0" w14:textId="73FE5648" w:rsidR="0074275B" w:rsidRPr="00AA1346" w:rsidRDefault="00AA037A" w:rsidP="004401DF">
            <w:pPr>
              <w:spacing w:after="0" w:line="240" w:lineRule="auto"/>
              <w:rPr>
                <w:rFonts w:ascii="Times New Roman" w:eastAsia="Times New Roman" w:hAnsi="Times New Roman" w:cs="Times New Roman"/>
                <w:color w:val="000000"/>
              </w:rPr>
            </w:pPr>
            <w:r>
              <w:rPr>
                <w:rFonts w:ascii="Times New Roman" w:hAnsi="Times New Roman" w:cs="Times New Roman"/>
              </w:rPr>
              <w:t>t</w:t>
            </w:r>
            <w:r w:rsidR="0074275B" w:rsidRPr="00AA1346">
              <w:rPr>
                <w:rFonts w:ascii="Times New Roman" w:hAnsi="Times New Roman" w:cs="Times New Roman"/>
              </w:rPr>
              <w:t>hrombocytopen</w:t>
            </w:r>
            <w:r w:rsidR="001B3B02" w:rsidRPr="00AA1346">
              <w:rPr>
                <w:rFonts w:ascii="Times New Roman" w:hAnsi="Times New Roman" w:cs="Times New Roman"/>
              </w:rPr>
              <w:t>ia, leukopenia</w:t>
            </w:r>
          </w:p>
        </w:tc>
        <w:tc>
          <w:tcPr>
            <w:tcW w:w="1756" w:type="dxa"/>
            <w:tcBorders>
              <w:top w:val="single" w:sz="4" w:space="0" w:color="000000"/>
              <w:left w:val="single" w:sz="4" w:space="0" w:color="000000"/>
              <w:bottom w:val="single" w:sz="4" w:space="0" w:color="000000"/>
              <w:right w:val="single" w:sz="4" w:space="0" w:color="000000"/>
            </w:tcBorders>
          </w:tcPr>
          <w:p w14:paraId="61233494" w14:textId="7F40FC37" w:rsidR="0074275B" w:rsidRPr="00AA1346" w:rsidRDefault="00AA037A" w:rsidP="004401DF">
            <w:pPr>
              <w:spacing w:after="0" w:line="240" w:lineRule="auto"/>
              <w:rPr>
                <w:rFonts w:ascii="Times New Roman" w:eastAsia="Times New Roman" w:hAnsi="Times New Roman" w:cs="Times New Roman"/>
                <w:color w:val="000000"/>
              </w:rPr>
            </w:pPr>
            <w:r>
              <w:rPr>
                <w:rFonts w:ascii="Times New Roman" w:hAnsi="Times New Roman" w:cs="Times New Roman"/>
              </w:rPr>
              <w:t>p</w:t>
            </w:r>
            <w:r w:rsidR="0074275B" w:rsidRPr="00AA1346">
              <w:rPr>
                <w:rFonts w:ascii="Times New Roman" w:hAnsi="Times New Roman" w:cs="Times New Roman"/>
              </w:rPr>
              <w:t>ancytopenia,</w:t>
            </w:r>
            <w:r w:rsidR="001B3B02" w:rsidRPr="00AA1346">
              <w:rPr>
                <w:rFonts w:ascii="Times New Roman" w:hAnsi="Times New Roman" w:cs="Times New Roman"/>
              </w:rPr>
              <w:t xml:space="preserve"> neutropenia, agranulocytosis</w:t>
            </w:r>
          </w:p>
        </w:tc>
        <w:tc>
          <w:tcPr>
            <w:tcW w:w="1162" w:type="dxa"/>
            <w:tcBorders>
              <w:top w:val="single" w:sz="4" w:space="0" w:color="000000"/>
              <w:left w:val="single" w:sz="4" w:space="0" w:color="000000"/>
              <w:bottom w:val="single" w:sz="4" w:space="0" w:color="000000"/>
              <w:right w:val="single" w:sz="4" w:space="0" w:color="000000"/>
            </w:tcBorders>
          </w:tcPr>
          <w:p w14:paraId="1EA50216" w14:textId="77777777" w:rsidR="0074275B" w:rsidRPr="00AA1346" w:rsidRDefault="0074275B" w:rsidP="004401DF">
            <w:pPr>
              <w:spacing w:after="0" w:line="240" w:lineRule="auto"/>
              <w:rPr>
                <w:rFonts w:ascii="Times New Roman" w:eastAsia="Times New Roman" w:hAnsi="Times New Roman" w:cs="Times New Roman"/>
                <w:color w:val="000000"/>
              </w:rPr>
            </w:pPr>
          </w:p>
        </w:tc>
      </w:tr>
      <w:tr w:rsidR="0074275B" w:rsidRPr="00AA1346" w14:paraId="7D44A083"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0AAC0301" w14:textId="30C30BA9" w:rsidR="0074275B" w:rsidRPr="00AA1346" w:rsidRDefault="001B3B02" w:rsidP="004401DF">
            <w:pPr>
              <w:spacing w:after="0" w:line="240" w:lineRule="auto"/>
              <w:rPr>
                <w:rFonts w:ascii="Times New Roman" w:eastAsia="Times New Roman" w:hAnsi="Times New Roman" w:cs="Times New Roman"/>
                <w:color w:val="000000"/>
              </w:rPr>
            </w:pPr>
            <w:r w:rsidRPr="00AA1346">
              <w:rPr>
                <w:rFonts w:ascii="Times New Roman" w:hAnsi="Times New Roman" w:cs="Times New Roman"/>
              </w:rPr>
              <w:t>Immunrendszeri betegségek és tünetek</w:t>
            </w:r>
          </w:p>
        </w:tc>
        <w:tc>
          <w:tcPr>
            <w:tcW w:w="1418" w:type="dxa"/>
            <w:tcBorders>
              <w:top w:val="single" w:sz="4" w:space="0" w:color="000000"/>
              <w:left w:val="single" w:sz="4" w:space="0" w:color="000000"/>
              <w:bottom w:val="single" w:sz="4" w:space="0" w:color="000000"/>
              <w:right w:val="single" w:sz="4" w:space="0" w:color="000000"/>
            </w:tcBorders>
          </w:tcPr>
          <w:p w14:paraId="03FBFC4F" w14:textId="77777777" w:rsidR="0074275B" w:rsidRPr="00AA1346" w:rsidRDefault="0074275B"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750B05FD" w14:textId="77777777" w:rsidR="0074275B" w:rsidRPr="00AA1346" w:rsidRDefault="0074275B"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42F1A9F4" w14:textId="3498ED79" w:rsidR="0074275B" w:rsidRPr="00AA1346" w:rsidRDefault="0074275B" w:rsidP="004401DF">
            <w:pPr>
              <w:spacing w:after="0" w:line="240" w:lineRule="auto"/>
              <w:rPr>
                <w:rFonts w:ascii="Times New Roman" w:eastAsia="Times New Roman" w:hAnsi="Times New Roman" w:cs="Times New Roman"/>
                <w:color w:val="000000"/>
              </w:rPr>
            </w:pPr>
          </w:p>
        </w:tc>
        <w:tc>
          <w:tcPr>
            <w:tcW w:w="1756" w:type="dxa"/>
            <w:tcBorders>
              <w:top w:val="single" w:sz="4" w:space="0" w:color="000000"/>
              <w:left w:val="single" w:sz="4" w:space="0" w:color="000000"/>
              <w:bottom w:val="single" w:sz="4" w:space="0" w:color="000000"/>
              <w:right w:val="single" w:sz="4" w:space="0" w:color="000000"/>
            </w:tcBorders>
          </w:tcPr>
          <w:p w14:paraId="4C11D6F9" w14:textId="0327E6C5" w:rsidR="00AA037A" w:rsidRPr="00AA1346" w:rsidRDefault="00AA037A" w:rsidP="00AA037A">
            <w:pPr>
              <w:spacing w:after="0" w:line="240" w:lineRule="auto"/>
              <w:rPr>
                <w:rFonts w:ascii="Times New Roman" w:eastAsia="Times New Roman" w:hAnsi="Times New Roman" w:cs="Times New Roman"/>
                <w:color w:val="000000"/>
              </w:rPr>
            </w:pPr>
            <w:r>
              <w:rPr>
                <w:rFonts w:ascii="Times New Roman" w:hAnsi="Times New Roman" w:cs="Times New Roman"/>
              </w:rPr>
              <w:t>e</w:t>
            </w:r>
            <w:r w:rsidR="0074275B" w:rsidRPr="00AA1346">
              <w:rPr>
                <w:rFonts w:ascii="Times New Roman" w:hAnsi="Times New Roman" w:cs="Times New Roman"/>
              </w:rPr>
              <w:t>osinophiliával</w:t>
            </w:r>
            <w:r w:rsidR="001B3B02" w:rsidRPr="00AA1346">
              <w:rPr>
                <w:rFonts w:ascii="Times New Roman" w:hAnsi="Times New Roman" w:cs="Times New Roman"/>
              </w:rPr>
              <w:t xml:space="preserve"> és szisztémás tünetekkel járó gyógyszerreakció (DRESS)</w:t>
            </w:r>
            <w:r w:rsidR="001B3B02" w:rsidRPr="00AA1346">
              <w:rPr>
                <w:rFonts w:ascii="Times New Roman" w:hAnsi="Times New Roman" w:cs="Times New Roman"/>
                <w:vertAlign w:val="superscript"/>
              </w:rPr>
              <w:t>(1)</w:t>
            </w:r>
            <w:r w:rsidR="001B3B02" w:rsidRPr="00AA1346">
              <w:rPr>
                <w:rFonts w:ascii="Times New Roman" w:hAnsi="Times New Roman" w:cs="Times New Roman"/>
              </w:rPr>
              <w:t>, túlérzékenység</w:t>
            </w:r>
            <w:r>
              <w:rPr>
                <w:rFonts w:ascii="Times New Roman" w:hAnsi="Times New Roman" w:cs="Times New Roman"/>
              </w:rPr>
              <w:t xml:space="preserve"> (beleértve az angioödémát és anaphylaxiat is)</w:t>
            </w:r>
          </w:p>
        </w:tc>
        <w:tc>
          <w:tcPr>
            <w:tcW w:w="1162" w:type="dxa"/>
            <w:tcBorders>
              <w:top w:val="single" w:sz="4" w:space="0" w:color="000000"/>
              <w:left w:val="single" w:sz="4" w:space="0" w:color="000000"/>
              <w:bottom w:val="single" w:sz="4" w:space="0" w:color="000000"/>
              <w:right w:val="single" w:sz="4" w:space="0" w:color="000000"/>
            </w:tcBorders>
          </w:tcPr>
          <w:p w14:paraId="6370E66C" w14:textId="77777777" w:rsidR="0074275B" w:rsidRPr="00AA1346" w:rsidRDefault="0074275B" w:rsidP="004401DF">
            <w:pPr>
              <w:spacing w:after="0" w:line="240" w:lineRule="auto"/>
              <w:rPr>
                <w:rFonts w:ascii="Times New Roman" w:eastAsia="Times New Roman" w:hAnsi="Times New Roman" w:cs="Times New Roman"/>
                <w:color w:val="000000"/>
              </w:rPr>
            </w:pPr>
          </w:p>
        </w:tc>
      </w:tr>
      <w:tr w:rsidR="001B3B02" w:rsidRPr="00AA1346" w14:paraId="7029296A"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2B2AFDA8" w14:textId="41DF4C6A" w:rsidR="001B3B02" w:rsidRPr="00AA1346" w:rsidRDefault="001B3B02"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Anyagcsere- és táplálkozási betegségek és tünetek</w:t>
            </w:r>
          </w:p>
        </w:tc>
        <w:tc>
          <w:tcPr>
            <w:tcW w:w="1418" w:type="dxa"/>
            <w:tcBorders>
              <w:top w:val="single" w:sz="4" w:space="0" w:color="000000"/>
              <w:left w:val="single" w:sz="4" w:space="0" w:color="000000"/>
              <w:bottom w:val="single" w:sz="4" w:space="0" w:color="000000"/>
              <w:right w:val="single" w:sz="4" w:space="0" w:color="000000"/>
            </w:tcBorders>
          </w:tcPr>
          <w:p w14:paraId="2B51DBCB"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7E69B257" w14:textId="2CCCCE63"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w:t>
            </w:r>
            <w:r w:rsidR="001B3B02" w:rsidRPr="00AA1346">
              <w:rPr>
                <w:rFonts w:ascii="Times New Roman" w:eastAsia="Times New Roman" w:hAnsi="Times New Roman" w:cs="Times New Roman"/>
                <w:color w:val="000000"/>
              </w:rPr>
              <w:t>norexia</w:t>
            </w:r>
          </w:p>
        </w:tc>
        <w:tc>
          <w:tcPr>
            <w:tcW w:w="1883" w:type="dxa"/>
            <w:tcBorders>
              <w:top w:val="single" w:sz="4" w:space="0" w:color="000000"/>
              <w:left w:val="single" w:sz="4" w:space="0" w:color="000000"/>
              <w:bottom w:val="single" w:sz="4" w:space="0" w:color="000000"/>
              <w:right w:val="single" w:sz="4" w:space="0" w:color="000000"/>
            </w:tcBorders>
          </w:tcPr>
          <w:p w14:paraId="37EBAB44" w14:textId="0A67E2FD" w:rsidR="001B3B02" w:rsidRPr="00AA1346" w:rsidRDefault="00AA037A" w:rsidP="00AA037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001B3B02" w:rsidRPr="00AA1346">
              <w:rPr>
                <w:rFonts w:ascii="Times New Roman" w:eastAsia="Times New Roman" w:hAnsi="Times New Roman" w:cs="Times New Roman"/>
                <w:color w:val="000000"/>
              </w:rPr>
              <w:t>esttömeg</w:t>
            </w:r>
            <w:r>
              <w:rPr>
                <w:rFonts w:ascii="Times New Roman" w:eastAsia="Times New Roman" w:hAnsi="Times New Roman" w:cs="Times New Roman"/>
                <w:color w:val="000000"/>
              </w:rPr>
              <w:t>-</w:t>
            </w:r>
            <w:r w:rsidR="001B3B02" w:rsidRPr="00AA1346">
              <w:rPr>
                <w:rFonts w:ascii="Times New Roman" w:eastAsia="Times New Roman" w:hAnsi="Times New Roman" w:cs="Times New Roman"/>
                <w:color w:val="000000"/>
              </w:rPr>
              <w:t>csökkenés, testtömeg-növekedés</w:t>
            </w:r>
          </w:p>
        </w:tc>
        <w:tc>
          <w:tcPr>
            <w:tcW w:w="1756" w:type="dxa"/>
            <w:tcBorders>
              <w:top w:val="single" w:sz="4" w:space="0" w:color="000000"/>
              <w:left w:val="single" w:sz="4" w:space="0" w:color="000000"/>
              <w:bottom w:val="single" w:sz="4" w:space="0" w:color="000000"/>
              <w:right w:val="single" w:sz="4" w:space="0" w:color="000000"/>
            </w:tcBorders>
          </w:tcPr>
          <w:p w14:paraId="67162CB0" w14:textId="4E7BAA46"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w:t>
            </w:r>
            <w:r w:rsidR="001B3B02" w:rsidRPr="00AA1346">
              <w:rPr>
                <w:rFonts w:ascii="Times New Roman" w:eastAsia="Times New Roman" w:hAnsi="Times New Roman" w:cs="Times New Roman"/>
                <w:color w:val="000000"/>
              </w:rPr>
              <w:t>yponatraemia</w:t>
            </w:r>
          </w:p>
        </w:tc>
        <w:tc>
          <w:tcPr>
            <w:tcW w:w="1162" w:type="dxa"/>
            <w:tcBorders>
              <w:top w:val="single" w:sz="4" w:space="0" w:color="000000"/>
              <w:left w:val="single" w:sz="4" w:space="0" w:color="000000"/>
              <w:bottom w:val="single" w:sz="4" w:space="0" w:color="000000"/>
              <w:right w:val="single" w:sz="4" w:space="0" w:color="000000"/>
            </w:tcBorders>
          </w:tcPr>
          <w:p w14:paraId="58BD45BC"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6F1D69DF"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3736356D" w14:textId="7B83C60F" w:rsidR="001B3B02" w:rsidRPr="00AA1346" w:rsidRDefault="00F3612C"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Pszichiátriai kórképek</w:t>
            </w:r>
          </w:p>
        </w:tc>
        <w:tc>
          <w:tcPr>
            <w:tcW w:w="1418" w:type="dxa"/>
            <w:tcBorders>
              <w:top w:val="single" w:sz="4" w:space="0" w:color="000000"/>
              <w:left w:val="single" w:sz="4" w:space="0" w:color="000000"/>
              <w:bottom w:val="single" w:sz="4" w:space="0" w:color="000000"/>
              <w:right w:val="single" w:sz="4" w:space="0" w:color="000000"/>
            </w:tcBorders>
          </w:tcPr>
          <w:p w14:paraId="35AC6DE4"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33008EC2" w14:textId="0F4B5534"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w:t>
            </w:r>
            <w:r w:rsidR="00F3612C" w:rsidRPr="00AA1346">
              <w:rPr>
                <w:rFonts w:ascii="Times New Roman" w:eastAsia="Times New Roman" w:hAnsi="Times New Roman" w:cs="Times New Roman"/>
                <w:color w:val="000000"/>
              </w:rPr>
              <w:t>epress</w:t>
            </w:r>
            <w:r>
              <w:rPr>
                <w:rFonts w:ascii="Times New Roman" w:eastAsia="Times New Roman" w:hAnsi="Times New Roman" w:cs="Times New Roman"/>
                <w:color w:val="000000"/>
              </w:rPr>
              <w:t>z</w:t>
            </w:r>
            <w:r w:rsidR="00F3612C" w:rsidRPr="00AA1346">
              <w:rPr>
                <w:rFonts w:ascii="Times New Roman" w:eastAsia="Times New Roman" w:hAnsi="Times New Roman" w:cs="Times New Roman"/>
                <w:color w:val="000000"/>
              </w:rPr>
              <w:t>i</w:t>
            </w:r>
            <w:r>
              <w:rPr>
                <w:rFonts w:ascii="Times New Roman" w:eastAsia="Times New Roman" w:hAnsi="Times New Roman" w:cs="Times New Roman"/>
                <w:color w:val="000000"/>
              </w:rPr>
              <w:t>ó</w:t>
            </w:r>
            <w:r w:rsidR="00F3612C" w:rsidRPr="00AA1346">
              <w:rPr>
                <w:rFonts w:ascii="Times New Roman" w:eastAsia="Times New Roman" w:hAnsi="Times New Roman" w:cs="Times New Roman"/>
                <w:color w:val="000000"/>
              </w:rPr>
              <w:t>, ellenséges magatartás/ agresszivitás, szorongás, insomnia, idegesség/</w:t>
            </w:r>
            <w:r>
              <w:rPr>
                <w:rFonts w:ascii="Times New Roman" w:eastAsia="Times New Roman" w:hAnsi="Times New Roman" w:cs="Times New Roman"/>
                <w:color w:val="000000"/>
              </w:rPr>
              <w:t xml:space="preserve"> </w:t>
            </w:r>
            <w:r w:rsidR="00F3612C" w:rsidRPr="00AA1346">
              <w:rPr>
                <w:rFonts w:ascii="Times New Roman" w:eastAsia="Times New Roman" w:hAnsi="Times New Roman" w:cs="Times New Roman"/>
                <w:color w:val="000000"/>
              </w:rPr>
              <w:t>ingerlékenység</w:t>
            </w:r>
          </w:p>
        </w:tc>
        <w:tc>
          <w:tcPr>
            <w:tcW w:w="1883" w:type="dxa"/>
            <w:tcBorders>
              <w:top w:val="single" w:sz="4" w:space="0" w:color="000000"/>
              <w:left w:val="single" w:sz="4" w:space="0" w:color="000000"/>
              <w:bottom w:val="single" w:sz="4" w:space="0" w:color="000000"/>
              <w:right w:val="single" w:sz="4" w:space="0" w:color="000000"/>
            </w:tcBorders>
          </w:tcPr>
          <w:p w14:paraId="37717488" w14:textId="68C0A649"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ö</w:t>
            </w:r>
            <w:r w:rsidR="00F3612C" w:rsidRPr="00AA1346">
              <w:rPr>
                <w:rFonts w:ascii="Times New Roman" w:eastAsia="Times New Roman" w:hAnsi="Times New Roman" w:cs="Times New Roman"/>
                <w:color w:val="000000"/>
              </w:rPr>
              <w:t>ngyilkossági kísérlet, öngyilkossági gondolatok, pszichotikus zavar, szokatlan viselkedés, hallucináció, düh, zavart</w:t>
            </w:r>
            <w:r>
              <w:rPr>
                <w:rFonts w:ascii="Times New Roman" w:eastAsia="Times New Roman" w:hAnsi="Times New Roman" w:cs="Times New Roman"/>
                <w:color w:val="000000"/>
              </w:rPr>
              <w:t xml:space="preserve"> állapot</w:t>
            </w:r>
            <w:r w:rsidR="00F3612C" w:rsidRPr="00AA1346">
              <w:rPr>
                <w:rFonts w:ascii="Times New Roman" w:eastAsia="Times New Roman" w:hAnsi="Times New Roman" w:cs="Times New Roman"/>
                <w:color w:val="000000"/>
              </w:rPr>
              <w:t>, pánikroham, érzelmi labilitás/</w:t>
            </w:r>
            <w:r>
              <w:rPr>
                <w:rFonts w:ascii="Times New Roman" w:eastAsia="Times New Roman" w:hAnsi="Times New Roman" w:cs="Times New Roman"/>
                <w:color w:val="000000"/>
              </w:rPr>
              <w:t xml:space="preserve"> </w:t>
            </w:r>
            <w:r w:rsidR="00F3612C" w:rsidRPr="00AA1346">
              <w:rPr>
                <w:rFonts w:ascii="Times New Roman" w:eastAsia="Times New Roman" w:hAnsi="Times New Roman" w:cs="Times New Roman"/>
                <w:color w:val="000000"/>
              </w:rPr>
              <w:t>hangulat</w:t>
            </w:r>
            <w:r>
              <w:rPr>
                <w:rFonts w:ascii="Times New Roman" w:eastAsia="Times New Roman" w:hAnsi="Times New Roman" w:cs="Times New Roman"/>
                <w:color w:val="000000"/>
              </w:rPr>
              <w:t>-</w:t>
            </w:r>
            <w:r w:rsidR="00F3612C" w:rsidRPr="00AA1346">
              <w:rPr>
                <w:rFonts w:ascii="Times New Roman" w:eastAsia="Times New Roman" w:hAnsi="Times New Roman" w:cs="Times New Roman"/>
                <w:color w:val="000000"/>
              </w:rPr>
              <w:t>ingadozások, izgatottság</w:t>
            </w:r>
          </w:p>
        </w:tc>
        <w:tc>
          <w:tcPr>
            <w:tcW w:w="1756" w:type="dxa"/>
            <w:tcBorders>
              <w:top w:val="single" w:sz="4" w:space="0" w:color="000000"/>
              <w:left w:val="single" w:sz="4" w:space="0" w:color="000000"/>
              <w:bottom w:val="single" w:sz="4" w:space="0" w:color="000000"/>
              <w:right w:val="single" w:sz="4" w:space="0" w:color="000000"/>
            </w:tcBorders>
          </w:tcPr>
          <w:p w14:paraId="169046E5" w14:textId="41B83EB9"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w:t>
            </w:r>
            <w:r w:rsidR="00F3612C" w:rsidRPr="00AA1346">
              <w:rPr>
                <w:rFonts w:ascii="Times New Roman" w:eastAsia="Times New Roman" w:hAnsi="Times New Roman" w:cs="Times New Roman"/>
                <w:color w:val="000000"/>
              </w:rPr>
              <w:t>efejezett öngyilkosság, személyiségzavar, gondolkodási zavarok, delirium</w:t>
            </w:r>
          </w:p>
        </w:tc>
        <w:tc>
          <w:tcPr>
            <w:tcW w:w="1162" w:type="dxa"/>
            <w:tcBorders>
              <w:top w:val="single" w:sz="4" w:space="0" w:color="000000"/>
              <w:left w:val="single" w:sz="4" w:space="0" w:color="000000"/>
              <w:bottom w:val="single" w:sz="4" w:space="0" w:color="000000"/>
              <w:right w:val="single" w:sz="4" w:space="0" w:color="000000"/>
            </w:tcBorders>
          </w:tcPr>
          <w:p w14:paraId="37FC8F97" w14:textId="6E41FD36"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w:t>
            </w:r>
            <w:r w:rsidR="00F3612C" w:rsidRPr="00AA1346">
              <w:rPr>
                <w:rFonts w:ascii="Times New Roman" w:eastAsia="Times New Roman" w:hAnsi="Times New Roman" w:cs="Times New Roman"/>
                <w:color w:val="000000"/>
              </w:rPr>
              <w:t>bszesszív-kompulzív zavar</w:t>
            </w:r>
            <w:r w:rsidR="00F3612C" w:rsidRPr="00AA1346">
              <w:rPr>
                <w:rFonts w:ascii="Times New Roman" w:eastAsia="Times New Roman" w:hAnsi="Times New Roman" w:cs="Times New Roman"/>
                <w:color w:val="000000"/>
                <w:vertAlign w:val="superscript"/>
              </w:rPr>
              <w:t>(2)</w:t>
            </w:r>
          </w:p>
        </w:tc>
      </w:tr>
      <w:tr w:rsidR="001B3B02" w:rsidRPr="00AA1346" w14:paraId="0B86CBC8" w14:textId="77777777" w:rsidTr="00E65268">
        <w:trPr>
          <w:gridAfter w:val="1"/>
          <w:wAfter w:w="16" w:type="dxa"/>
          <w:trHeight w:val="2542"/>
        </w:trPr>
        <w:tc>
          <w:tcPr>
            <w:tcW w:w="1715" w:type="dxa"/>
            <w:tcBorders>
              <w:top w:val="single" w:sz="4" w:space="0" w:color="000000"/>
              <w:left w:val="single" w:sz="4" w:space="0" w:color="000000"/>
              <w:bottom w:val="single" w:sz="4" w:space="0" w:color="000000"/>
              <w:right w:val="single" w:sz="4" w:space="0" w:color="000000"/>
            </w:tcBorders>
          </w:tcPr>
          <w:p w14:paraId="231F17CF" w14:textId="70A2D0ED" w:rsidR="001B3B02" w:rsidRPr="00AA1346" w:rsidRDefault="00007C09"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lastRenderedPageBreak/>
              <w:t>Idegrendszeri betegségek és tünetek</w:t>
            </w:r>
          </w:p>
        </w:tc>
        <w:tc>
          <w:tcPr>
            <w:tcW w:w="1418" w:type="dxa"/>
            <w:tcBorders>
              <w:top w:val="single" w:sz="4" w:space="0" w:color="000000"/>
              <w:left w:val="single" w:sz="4" w:space="0" w:color="000000"/>
              <w:bottom w:val="single" w:sz="4" w:space="0" w:color="000000"/>
              <w:right w:val="single" w:sz="4" w:space="0" w:color="000000"/>
            </w:tcBorders>
          </w:tcPr>
          <w:p w14:paraId="7AE13457" w14:textId="749BF2BB"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w:t>
            </w:r>
            <w:r w:rsidR="00007C09" w:rsidRPr="00AA1346">
              <w:rPr>
                <w:rFonts w:ascii="Times New Roman" w:eastAsia="Times New Roman" w:hAnsi="Times New Roman" w:cs="Times New Roman"/>
                <w:color w:val="000000"/>
              </w:rPr>
              <w:t>omnolentia, fejfájás</w:t>
            </w:r>
          </w:p>
        </w:tc>
        <w:tc>
          <w:tcPr>
            <w:tcW w:w="1559" w:type="dxa"/>
            <w:tcBorders>
              <w:top w:val="single" w:sz="4" w:space="0" w:color="000000"/>
              <w:left w:val="single" w:sz="4" w:space="0" w:color="000000"/>
              <w:bottom w:val="single" w:sz="4" w:space="0" w:color="000000"/>
              <w:right w:val="single" w:sz="4" w:space="0" w:color="000000"/>
            </w:tcBorders>
          </w:tcPr>
          <w:p w14:paraId="2CA1ED23" w14:textId="1DBBE25A"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w:t>
            </w:r>
            <w:r w:rsidR="00007C09" w:rsidRPr="00AA1346">
              <w:rPr>
                <w:rFonts w:ascii="Times New Roman" w:eastAsia="Times New Roman" w:hAnsi="Times New Roman" w:cs="Times New Roman"/>
                <w:color w:val="000000"/>
              </w:rPr>
              <w:t>onvulsio, egyensúlyzavar, szédülés, letargia, tremor</w:t>
            </w:r>
          </w:p>
        </w:tc>
        <w:tc>
          <w:tcPr>
            <w:tcW w:w="1883" w:type="dxa"/>
            <w:tcBorders>
              <w:top w:val="single" w:sz="4" w:space="0" w:color="000000"/>
              <w:left w:val="single" w:sz="4" w:space="0" w:color="000000"/>
              <w:bottom w:val="single" w:sz="4" w:space="0" w:color="000000"/>
              <w:right w:val="single" w:sz="4" w:space="0" w:color="000000"/>
            </w:tcBorders>
          </w:tcPr>
          <w:p w14:paraId="5B13112F" w14:textId="4BE75842"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w:t>
            </w:r>
            <w:r w:rsidR="00007C09" w:rsidRPr="00AA1346">
              <w:rPr>
                <w:rFonts w:ascii="Times New Roman" w:eastAsia="Times New Roman" w:hAnsi="Times New Roman" w:cs="Times New Roman"/>
                <w:color w:val="000000"/>
              </w:rPr>
              <w:t>mnesia, memóriazavar, koordinációs zavar/ataxia, paraesthesia, figyelemzavar</w:t>
            </w:r>
          </w:p>
        </w:tc>
        <w:tc>
          <w:tcPr>
            <w:tcW w:w="1756" w:type="dxa"/>
            <w:tcBorders>
              <w:top w:val="single" w:sz="4" w:space="0" w:color="000000"/>
              <w:left w:val="single" w:sz="4" w:space="0" w:color="000000"/>
              <w:bottom w:val="single" w:sz="4" w:space="0" w:color="000000"/>
              <w:right w:val="single" w:sz="4" w:space="0" w:color="000000"/>
            </w:tcBorders>
          </w:tcPr>
          <w:p w14:paraId="05871E21" w14:textId="0531B359"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w:t>
            </w:r>
            <w:r w:rsidR="00007C09" w:rsidRPr="00AA1346">
              <w:rPr>
                <w:rFonts w:ascii="Times New Roman" w:eastAsia="Times New Roman" w:hAnsi="Times New Roman" w:cs="Times New Roman"/>
                <w:color w:val="000000"/>
              </w:rPr>
              <w:t>horeoathetosis, dyskinesia, hyperkinesia, járászavar, encephalopathia, rohamok súlyosbodása neuroleptikus malignus szindróma</w:t>
            </w:r>
            <w:r w:rsidR="00007C09" w:rsidRPr="00AA1346">
              <w:rPr>
                <w:rFonts w:ascii="Times New Roman" w:eastAsia="Times New Roman" w:hAnsi="Times New Roman" w:cs="Times New Roman"/>
                <w:color w:val="000000"/>
                <w:vertAlign w:val="superscript"/>
              </w:rPr>
              <w:t>(3)</w:t>
            </w:r>
          </w:p>
        </w:tc>
        <w:tc>
          <w:tcPr>
            <w:tcW w:w="1162" w:type="dxa"/>
            <w:tcBorders>
              <w:top w:val="single" w:sz="4" w:space="0" w:color="000000"/>
              <w:left w:val="single" w:sz="4" w:space="0" w:color="000000"/>
              <w:bottom w:val="single" w:sz="4" w:space="0" w:color="000000"/>
              <w:right w:val="single" w:sz="4" w:space="0" w:color="000000"/>
            </w:tcBorders>
          </w:tcPr>
          <w:p w14:paraId="2B9B9A9A"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3F667C0A" w14:textId="77777777" w:rsidTr="00E65268">
        <w:trPr>
          <w:gridAfter w:val="1"/>
          <w:wAfter w:w="16" w:type="dxa"/>
          <w:trHeight w:val="780"/>
        </w:trPr>
        <w:tc>
          <w:tcPr>
            <w:tcW w:w="1715" w:type="dxa"/>
            <w:tcBorders>
              <w:top w:val="single" w:sz="4" w:space="0" w:color="000000"/>
              <w:left w:val="single" w:sz="4" w:space="0" w:color="000000"/>
              <w:bottom w:val="single" w:sz="4" w:space="0" w:color="000000"/>
              <w:right w:val="single" w:sz="4" w:space="0" w:color="000000"/>
            </w:tcBorders>
          </w:tcPr>
          <w:p w14:paraId="37411627" w14:textId="74FA4BC1" w:rsidR="001B3B02" w:rsidRPr="00AA1346" w:rsidRDefault="009D25FD"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Szembetegségek és szemészeti tünetek</w:t>
            </w:r>
          </w:p>
        </w:tc>
        <w:tc>
          <w:tcPr>
            <w:tcW w:w="1418" w:type="dxa"/>
            <w:tcBorders>
              <w:top w:val="single" w:sz="4" w:space="0" w:color="000000"/>
              <w:left w:val="single" w:sz="4" w:space="0" w:color="000000"/>
              <w:bottom w:val="single" w:sz="4" w:space="0" w:color="000000"/>
              <w:right w:val="single" w:sz="4" w:space="0" w:color="000000"/>
            </w:tcBorders>
          </w:tcPr>
          <w:p w14:paraId="56FBAD75"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103A52CC"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2887282A" w14:textId="5EBA08DD"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w:t>
            </w:r>
            <w:r w:rsidR="009D25FD" w:rsidRPr="00AA1346">
              <w:rPr>
                <w:rFonts w:ascii="Times New Roman" w:eastAsia="Times New Roman" w:hAnsi="Times New Roman" w:cs="Times New Roman"/>
                <w:color w:val="000000"/>
              </w:rPr>
              <w:t>iplopia, homályos látás</w:t>
            </w:r>
          </w:p>
        </w:tc>
        <w:tc>
          <w:tcPr>
            <w:tcW w:w="1756" w:type="dxa"/>
            <w:tcBorders>
              <w:top w:val="single" w:sz="4" w:space="0" w:color="000000"/>
              <w:left w:val="single" w:sz="4" w:space="0" w:color="000000"/>
              <w:bottom w:val="single" w:sz="4" w:space="0" w:color="000000"/>
              <w:right w:val="single" w:sz="4" w:space="0" w:color="000000"/>
            </w:tcBorders>
          </w:tcPr>
          <w:p w14:paraId="641C94BE"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162" w:type="dxa"/>
            <w:tcBorders>
              <w:top w:val="single" w:sz="4" w:space="0" w:color="000000"/>
              <w:left w:val="single" w:sz="4" w:space="0" w:color="000000"/>
              <w:bottom w:val="single" w:sz="4" w:space="0" w:color="000000"/>
              <w:right w:val="single" w:sz="4" w:space="0" w:color="000000"/>
            </w:tcBorders>
          </w:tcPr>
          <w:p w14:paraId="378333C9"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2DFEC95E"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5DF727F3" w14:textId="63F39809" w:rsidR="001B3B02" w:rsidRPr="00AA1346" w:rsidRDefault="00DC3DA3"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A fül és az egyensúly-érzékelő szerv betegségei és tünetei</w:t>
            </w:r>
          </w:p>
        </w:tc>
        <w:tc>
          <w:tcPr>
            <w:tcW w:w="1418" w:type="dxa"/>
            <w:tcBorders>
              <w:top w:val="single" w:sz="4" w:space="0" w:color="000000"/>
              <w:left w:val="single" w:sz="4" w:space="0" w:color="000000"/>
              <w:bottom w:val="single" w:sz="4" w:space="0" w:color="000000"/>
              <w:right w:val="single" w:sz="4" w:space="0" w:color="000000"/>
            </w:tcBorders>
          </w:tcPr>
          <w:p w14:paraId="6DC48C56"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2848B123" w14:textId="21F2F495"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v</w:t>
            </w:r>
            <w:r w:rsidR="001B3B02" w:rsidRPr="00AA1346">
              <w:rPr>
                <w:rFonts w:ascii="Times New Roman" w:eastAsia="Times New Roman" w:hAnsi="Times New Roman" w:cs="Times New Roman"/>
                <w:color w:val="000000"/>
              </w:rPr>
              <w:t>ertigo</w:t>
            </w:r>
          </w:p>
        </w:tc>
        <w:tc>
          <w:tcPr>
            <w:tcW w:w="1883" w:type="dxa"/>
            <w:tcBorders>
              <w:top w:val="single" w:sz="4" w:space="0" w:color="000000"/>
              <w:left w:val="single" w:sz="4" w:space="0" w:color="000000"/>
              <w:bottom w:val="single" w:sz="4" w:space="0" w:color="000000"/>
              <w:right w:val="single" w:sz="4" w:space="0" w:color="000000"/>
            </w:tcBorders>
          </w:tcPr>
          <w:p w14:paraId="07C042CA"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756" w:type="dxa"/>
            <w:tcBorders>
              <w:top w:val="single" w:sz="4" w:space="0" w:color="000000"/>
              <w:left w:val="single" w:sz="4" w:space="0" w:color="000000"/>
              <w:bottom w:val="single" w:sz="4" w:space="0" w:color="000000"/>
              <w:right w:val="single" w:sz="4" w:space="0" w:color="000000"/>
            </w:tcBorders>
          </w:tcPr>
          <w:p w14:paraId="75CF0643"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162" w:type="dxa"/>
            <w:tcBorders>
              <w:top w:val="single" w:sz="4" w:space="0" w:color="000000"/>
              <w:left w:val="single" w:sz="4" w:space="0" w:color="000000"/>
              <w:bottom w:val="single" w:sz="4" w:space="0" w:color="000000"/>
              <w:right w:val="single" w:sz="4" w:space="0" w:color="000000"/>
            </w:tcBorders>
          </w:tcPr>
          <w:p w14:paraId="2230321A"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7FBD3B52"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02A06344" w14:textId="1B5F9B8B" w:rsidR="001B3B02" w:rsidRPr="00AA1346" w:rsidRDefault="000F4D48"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Szívbetegségek és a szívvel kapcsolatos tünetek</w:t>
            </w:r>
          </w:p>
        </w:tc>
        <w:tc>
          <w:tcPr>
            <w:tcW w:w="1418" w:type="dxa"/>
            <w:tcBorders>
              <w:top w:val="single" w:sz="4" w:space="0" w:color="000000"/>
              <w:left w:val="single" w:sz="4" w:space="0" w:color="000000"/>
              <w:bottom w:val="single" w:sz="4" w:space="0" w:color="000000"/>
              <w:right w:val="single" w:sz="4" w:space="0" w:color="000000"/>
            </w:tcBorders>
          </w:tcPr>
          <w:p w14:paraId="5E0CC85F"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2B6FC5D9"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7A05DE6F"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756" w:type="dxa"/>
            <w:tcBorders>
              <w:top w:val="single" w:sz="4" w:space="0" w:color="000000"/>
              <w:left w:val="single" w:sz="4" w:space="0" w:color="000000"/>
              <w:bottom w:val="single" w:sz="4" w:space="0" w:color="000000"/>
              <w:right w:val="single" w:sz="4" w:space="0" w:color="000000"/>
            </w:tcBorders>
          </w:tcPr>
          <w:p w14:paraId="4E3348E7" w14:textId="009DB9FF" w:rsidR="001B3B02" w:rsidRPr="00AA1346" w:rsidRDefault="000F4D48"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QT-intervallum megnyúlása</w:t>
            </w:r>
            <w:r w:rsidR="00AA037A" w:rsidRPr="00AA1346">
              <w:rPr>
                <w:rFonts w:ascii="Times New Roman" w:eastAsia="Times New Roman" w:hAnsi="Times New Roman" w:cs="Times New Roman"/>
                <w:color w:val="000000"/>
              </w:rPr>
              <w:t xml:space="preserve"> </w:t>
            </w:r>
            <w:r w:rsidR="00AA037A">
              <w:rPr>
                <w:rFonts w:ascii="Times New Roman" w:eastAsia="Times New Roman" w:hAnsi="Times New Roman" w:cs="Times New Roman"/>
                <w:color w:val="000000"/>
              </w:rPr>
              <w:t>a</w:t>
            </w:r>
            <w:r w:rsidR="00AA037A" w:rsidRPr="00AA1346">
              <w:rPr>
                <w:rFonts w:ascii="Times New Roman" w:eastAsia="Times New Roman" w:hAnsi="Times New Roman" w:cs="Times New Roman"/>
                <w:color w:val="000000"/>
              </w:rPr>
              <w:t>z elektro</w:t>
            </w:r>
            <w:r w:rsidR="00AA037A">
              <w:rPr>
                <w:rFonts w:ascii="Times New Roman" w:eastAsia="Times New Roman" w:hAnsi="Times New Roman" w:cs="Times New Roman"/>
                <w:color w:val="000000"/>
              </w:rPr>
              <w:t>-</w:t>
            </w:r>
            <w:r w:rsidR="00AA037A" w:rsidRPr="00AA1346">
              <w:rPr>
                <w:rFonts w:ascii="Times New Roman" w:eastAsia="Times New Roman" w:hAnsi="Times New Roman" w:cs="Times New Roman"/>
                <w:color w:val="000000"/>
              </w:rPr>
              <w:t>kardiogramon</w:t>
            </w:r>
          </w:p>
        </w:tc>
        <w:tc>
          <w:tcPr>
            <w:tcW w:w="1162" w:type="dxa"/>
            <w:tcBorders>
              <w:top w:val="single" w:sz="4" w:space="0" w:color="000000"/>
              <w:left w:val="single" w:sz="4" w:space="0" w:color="000000"/>
              <w:bottom w:val="single" w:sz="4" w:space="0" w:color="000000"/>
              <w:right w:val="single" w:sz="4" w:space="0" w:color="000000"/>
            </w:tcBorders>
          </w:tcPr>
          <w:p w14:paraId="20809412"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7FABD7E5"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2786A55B" w14:textId="7B26207D" w:rsidR="001B3B02" w:rsidRPr="00AA1346" w:rsidRDefault="00332A12"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Légzőrendszeri, mellkasi és mediastinalis betegségek és tünetek</w:t>
            </w:r>
          </w:p>
        </w:tc>
        <w:tc>
          <w:tcPr>
            <w:tcW w:w="1418" w:type="dxa"/>
            <w:tcBorders>
              <w:top w:val="single" w:sz="4" w:space="0" w:color="000000"/>
              <w:left w:val="single" w:sz="4" w:space="0" w:color="000000"/>
              <w:bottom w:val="single" w:sz="4" w:space="0" w:color="000000"/>
              <w:right w:val="single" w:sz="4" w:space="0" w:color="000000"/>
            </w:tcBorders>
          </w:tcPr>
          <w:p w14:paraId="73824E0D"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68F93930" w14:textId="3DF51226"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w:t>
            </w:r>
            <w:r w:rsidR="00332A12" w:rsidRPr="00AA1346">
              <w:rPr>
                <w:rFonts w:ascii="Times New Roman" w:eastAsia="Times New Roman" w:hAnsi="Times New Roman" w:cs="Times New Roman"/>
                <w:color w:val="000000"/>
              </w:rPr>
              <w:t>öhögés</w:t>
            </w:r>
          </w:p>
        </w:tc>
        <w:tc>
          <w:tcPr>
            <w:tcW w:w="1883" w:type="dxa"/>
            <w:tcBorders>
              <w:top w:val="single" w:sz="4" w:space="0" w:color="000000"/>
              <w:left w:val="single" w:sz="4" w:space="0" w:color="000000"/>
              <w:bottom w:val="single" w:sz="4" w:space="0" w:color="000000"/>
              <w:right w:val="single" w:sz="4" w:space="0" w:color="000000"/>
            </w:tcBorders>
          </w:tcPr>
          <w:p w14:paraId="3C13D901"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756" w:type="dxa"/>
            <w:tcBorders>
              <w:top w:val="single" w:sz="4" w:space="0" w:color="000000"/>
              <w:left w:val="single" w:sz="4" w:space="0" w:color="000000"/>
              <w:bottom w:val="single" w:sz="4" w:space="0" w:color="000000"/>
              <w:right w:val="single" w:sz="4" w:space="0" w:color="000000"/>
            </w:tcBorders>
          </w:tcPr>
          <w:p w14:paraId="6078CAC9"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162" w:type="dxa"/>
            <w:tcBorders>
              <w:top w:val="single" w:sz="4" w:space="0" w:color="000000"/>
              <w:left w:val="single" w:sz="4" w:space="0" w:color="000000"/>
              <w:bottom w:val="single" w:sz="4" w:space="0" w:color="000000"/>
              <w:right w:val="single" w:sz="4" w:space="0" w:color="000000"/>
            </w:tcBorders>
          </w:tcPr>
          <w:p w14:paraId="15086F8B"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21D839B7"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43F85104" w14:textId="4D1356BE" w:rsidR="001B3B02" w:rsidRPr="00AA1346" w:rsidRDefault="00380B6E"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Emésztőrendszeri betegségek és tünetek</w:t>
            </w:r>
          </w:p>
        </w:tc>
        <w:tc>
          <w:tcPr>
            <w:tcW w:w="1418" w:type="dxa"/>
            <w:tcBorders>
              <w:top w:val="single" w:sz="4" w:space="0" w:color="000000"/>
              <w:left w:val="single" w:sz="4" w:space="0" w:color="000000"/>
              <w:bottom w:val="single" w:sz="4" w:space="0" w:color="000000"/>
              <w:right w:val="single" w:sz="4" w:space="0" w:color="000000"/>
            </w:tcBorders>
          </w:tcPr>
          <w:p w14:paraId="2848EA7C"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10585D55" w14:textId="7DC62394"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w:t>
            </w:r>
            <w:r w:rsidR="00380B6E" w:rsidRPr="00AA1346">
              <w:rPr>
                <w:rFonts w:ascii="Times New Roman" w:eastAsia="Times New Roman" w:hAnsi="Times New Roman" w:cs="Times New Roman"/>
                <w:color w:val="000000"/>
              </w:rPr>
              <w:t>asi fájdalom, diarrhoea, dyspepsia, hányás, nausea</w:t>
            </w:r>
          </w:p>
        </w:tc>
        <w:tc>
          <w:tcPr>
            <w:tcW w:w="1883" w:type="dxa"/>
            <w:tcBorders>
              <w:top w:val="single" w:sz="4" w:space="0" w:color="000000"/>
              <w:left w:val="single" w:sz="4" w:space="0" w:color="000000"/>
              <w:bottom w:val="single" w:sz="4" w:space="0" w:color="000000"/>
              <w:right w:val="single" w:sz="4" w:space="0" w:color="000000"/>
            </w:tcBorders>
          </w:tcPr>
          <w:p w14:paraId="290147E4" w14:textId="5F4C53E6" w:rsidR="001B3B02" w:rsidRPr="00AA1346" w:rsidRDefault="001B3B02"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 xml:space="preserve"> </w:t>
            </w:r>
          </w:p>
        </w:tc>
        <w:tc>
          <w:tcPr>
            <w:tcW w:w="1756" w:type="dxa"/>
            <w:tcBorders>
              <w:top w:val="single" w:sz="4" w:space="0" w:color="000000"/>
              <w:left w:val="single" w:sz="4" w:space="0" w:color="000000"/>
              <w:bottom w:val="single" w:sz="4" w:space="0" w:color="000000"/>
              <w:right w:val="single" w:sz="4" w:space="0" w:color="000000"/>
            </w:tcBorders>
          </w:tcPr>
          <w:p w14:paraId="312FD0A4" w14:textId="354FE006"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w:t>
            </w:r>
            <w:r w:rsidR="00380B6E" w:rsidRPr="00AA1346">
              <w:rPr>
                <w:rFonts w:ascii="Times New Roman" w:eastAsia="Times New Roman" w:hAnsi="Times New Roman" w:cs="Times New Roman"/>
                <w:color w:val="000000"/>
              </w:rPr>
              <w:t>ancreatitis</w:t>
            </w:r>
          </w:p>
        </w:tc>
        <w:tc>
          <w:tcPr>
            <w:tcW w:w="1162" w:type="dxa"/>
            <w:tcBorders>
              <w:top w:val="single" w:sz="4" w:space="0" w:color="000000"/>
              <w:left w:val="single" w:sz="4" w:space="0" w:color="000000"/>
              <w:bottom w:val="single" w:sz="4" w:space="0" w:color="000000"/>
              <w:right w:val="single" w:sz="4" w:space="0" w:color="000000"/>
            </w:tcBorders>
          </w:tcPr>
          <w:p w14:paraId="1264031D"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67AF5384" w14:textId="77777777" w:rsidTr="00E65268">
        <w:trPr>
          <w:gridAfter w:val="1"/>
          <w:wAfter w:w="16" w:type="dxa"/>
          <w:trHeight w:val="742"/>
        </w:trPr>
        <w:tc>
          <w:tcPr>
            <w:tcW w:w="1715" w:type="dxa"/>
            <w:tcBorders>
              <w:top w:val="single" w:sz="4" w:space="0" w:color="000000"/>
              <w:left w:val="single" w:sz="4" w:space="0" w:color="000000"/>
              <w:bottom w:val="single" w:sz="4" w:space="0" w:color="000000"/>
              <w:right w:val="single" w:sz="4" w:space="0" w:color="000000"/>
            </w:tcBorders>
          </w:tcPr>
          <w:p w14:paraId="290AE329" w14:textId="2EDE96BB" w:rsidR="001B3B02" w:rsidRPr="00AA1346" w:rsidRDefault="009A796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Máj- és epebetegségek, illetve tünetek</w:t>
            </w:r>
          </w:p>
        </w:tc>
        <w:tc>
          <w:tcPr>
            <w:tcW w:w="1418" w:type="dxa"/>
            <w:tcBorders>
              <w:top w:val="single" w:sz="4" w:space="0" w:color="000000"/>
              <w:left w:val="single" w:sz="4" w:space="0" w:color="000000"/>
              <w:bottom w:val="single" w:sz="4" w:space="0" w:color="000000"/>
              <w:right w:val="single" w:sz="4" w:space="0" w:color="000000"/>
            </w:tcBorders>
          </w:tcPr>
          <w:p w14:paraId="21B95BBC"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5F010BD8"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4630416C" w14:textId="54521860"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w:t>
            </w:r>
            <w:r w:rsidR="00503C77" w:rsidRPr="00AA1346">
              <w:rPr>
                <w:rFonts w:ascii="Times New Roman" w:eastAsia="Times New Roman" w:hAnsi="Times New Roman" w:cs="Times New Roman"/>
                <w:color w:val="000000"/>
              </w:rPr>
              <w:t xml:space="preserve"> májfunkciós vizsgálatok kóros eredménye</w:t>
            </w:r>
          </w:p>
        </w:tc>
        <w:tc>
          <w:tcPr>
            <w:tcW w:w="1756" w:type="dxa"/>
            <w:tcBorders>
              <w:top w:val="single" w:sz="4" w:space="0" w:color="000000"/>
              <w:left w:val="single" w:sz="4" w:space="0" w:color="000000"/>
              <w:bottom w:val="single" w:sz="4" w:space="0" w:color="000000"/>
              <w:right w:val="single" w:sz="4" w:space="0" w:color="000000"/>
            </w:tcBorders>
          </w:tcPr>
          <w:p w14:paraId="444AB1EA" w14:textId="6C7DFEAD"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w:t>
            </w:r>
            <w:r w:rsidR="00503C77" w:rsidRPr="00AA1346">
              <w:rPr>
                <w:rFonts w:ascii="Times New Roman" w:eastAsia="Times New Roman" w:hAnsi="Times New Roman" w:cs="Times New Roman"/>
                <w:color w:val="000000"/>
              </w:rPr>
              <w:t>ájelégtelenség, hepatitis</w:t>
            </w:r>
          </w:p>
        </w:tc>
        <w:tc>
          <w:tcPr>
            <w:tcW w:w="1162" w:type="dxa"/>
            <w:tcBorders>
              <w:top w:val="single" w:sz="4" w:space="0" w:color="000000"/>
              <w:left w:val="single" w:sz="4" w:space="0" w:color="000000"/>
              <w:bottom w:val="single" w:sz="4" w:space="0" w:color="000000"/>
              <w:right w:val="single" w:sz="4" w:space="0" w:color="000000"/>
            </w:tcBorders>
          </w:tcPr>
          <w:p w14:paraId="00982425"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6E0E5C51"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50E97D57" w14:textId="33E33615" w:rsidR="001B3B02" w:rsidRPr="00AA1346" w:rsidRDefault="009A796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A bőr és a bőr alatti szövet betegségei és tünetei</w:t>
            </w:r>
          </w:p>
        </w:tc>
        <w:tc>
          <w:tcPr>
            <w:tcW w:w="1418" w:type="dxa"/>
            <w:tcBorders>
              <w:top w:val="single" w:sz="4" w:space="0" w:color="000000"/>
              <w:left w:val="single" w:sz="4" w:space="0" w:color="000000"/>
              <w:bottom w:val="single" w:sz="4" w:space="0" w:color="000000"/>
              <w:right w:val="single" w:sz="4" w:space="0" w:color="000000"/>
            </w:tcBorders>
          </w:tcPr>
          <w:p w14:paraId="287A4FBE"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7751FD64" w14:textId="38A030F4"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w:t>
            </w:r>
            <w:r w:rsidR="00503C77" w:rsidRPr="00AA1346">
              <w:rPr>
                <w:rFonts w:ascii="Times New Roman" w:eastAsia="Times New Roman" w:hAnsi="Times New Roman" w:cs="Times New Roman"/>
                <w:color w:val="000000"/>
              </w:rPr>
              <w:t>őrkiütés</w:t>
            </w:r>
          </w:p>
        </w:tc>
        <w:tc>
          <w:tcPr>
            <w:tcW w:w="1883" w:type="dxa"/>
            <w:tcBorders>
              <w:top w:val="single" w:sz="4" w:space="0" w:color="000000"/>
              <w:left w:val="single" w:sz="4" w:space="0" w:color="000000"/>
              <w:bottom w:val="single" w:sz="4" w:space="0" w:color="000000"/>
              <w:right w:val="single" w:sz="4" w:space="0" w:color="000000"/>
            </w:tcBorders>
          </w:tcPr>
          <w:p w14:paraId="1F72EF93" w14:textId="7482CF16"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w:t>
            </w:r>
            <w:r w:rsidR="00503C77" w:rsidRPr="00AA1346">
              <w:rPr>
                <w:rFonts w:ascii="Times New Roman" w:eastAsia="Times New Roman" w:hAnsi="Times New Roman" w:cs="Times New Roman"/>
                <w:color w:val="000000"/>
              </w:rPr>
              <w:t>lopecia, ekcéma, pruritus</w:t>
            </w:r>
          </w:p>
        </w:tc>
        <w:tc>
          <w:tcPr>
            <w:tcW w:w="1756" w:type="dxa"/>
            <w:tcBorders>
              <w:top w:val="single" w:sz="4" w:space="0" w:color="000000"/>
              <w:left w:val="single" w:sz="4" w:space="0" w:color="000000"/>
              <w:bottom w:val="single" w:sz="4" w:space="0" w:color="000000"/>
              <w:right w:val="single" w:sz="4" w:space="0" w:color="000000"/>
            </w:tcBorders>
          </w:tcPr>
          <w:p w14:paraId="175D92D3" w14:textId="3982B8ED"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00503C77" w:rsidRPr="00AA1346">
              <w:rPr>
                <w:rFonts w:ascii="Times New Roman" w:eastAsia="Times New Roman" w:hAnsi="Times New Roman" w:cs="Times New Roman"/>
                <w:color w:val="000000"/>
              </w:rPr>
              <w:t>oxi</w:t>
            </w:r>
            <w:r>
              <w:rPr>
                <w:rFonts w:ascii="Times New Roman" w:eastAsia="Times New Roman" w:hAnsi="Times New Roman" w:cs="Times New Roman"/>
                <w:color w:val="000000"/>
              </w:rPr>
              <w:t>k</w:t>
            </w:r>
            <w:r w:rsidR="00503C77" w:rsidRPr="00AA1346">
              <w:rPr>
                <w:rFonts w:ascii="Times New Roman" w:eastAsia="Times New Roman" w:hAnsi="Times New Roman" w:cs="Times New Roman"/>
                <w:color w:val="000000"/>
              </w:rPr>
              <w:t>us epidermalis necrolysis, Stevens–Johnson-szindróma, erythema multiforme</w:t>
            </w:r>
          </w:p>
        </w:tc>
        <w:tc>
          <w:tcPr>
            <w:tcW w:w="1162" w:type="dxa"/>
            <w:tcBorders>
              <w:top w:val="single" w:sz="4" w:space="0" w:color="000000"/>
              <w:left w:val="single" w:sz="4" w:space="0" w:color="000000"/>
              <w:bottom w:val="single" w:sz="4" w:space="0" w:color="000000"/>
              <w:right w:val="single" w:sz="4" w:space="0" w:color="000000"/>
            </w:tcBorders>
          </w:tcPr>
          <w:p w14:paraId="7BD679DF"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7721304F"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4996F04E" w14:textId="1CA51BD7" w:rsidR="001B3B02" w:rsidRPr="00AA1346" w:rsidRDefault="009A796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A csont- és izomrendszer, valamint a kötőszövet betegségei és tünetei</w:t>
            </w:r>
          </w:p>
        </w:tc>
        <w:tc>
          <w:tcPr>
            <w:tcW w:w="1418" w:type="dxa"/>
            <w:tcBorders>
              <w:top w:val="single" w:sz="4" w:space="0" w:color="000000"/>
              <w:left w:val="single" w:sz="4" w:space="0" w:color="000000"/>
              <w:bottom w:val="single" w:sz="4" w:space="0" w:color="000000"/>
              <w:right w:val="single" w:sz="4" w:space="0" w:color="000000"/>
            </w:tcBorders>
          </w:tcPr>
          <w:p w14:paraId="3E8DCE7B"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61371EF8"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1AAC0B94" w14:textId="66FD1DCF"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w:t>
            </w:r>
            <w:r w:rsidR="00503C77" w:rsidRPr="00AA1346">
              <w:rPr>
                <w:rFonts w:ascii="Times New Roman" w:eastAsia="Times New Roman" w:hAnsi="Times New Roman" w:cs="Times New Roman"/>
                <w:color w:val="000000"/>
              </w:rPr>
              <w:t>zomgyengeség, myalgia</w:t>
            </w:r>
          </w:p>
        </w:tc>
        <w:tc>
          <w:tcPr>
            <w:tcW w:w="1756" w:type="dxa"/>
            <w:tcBorders>
              <w:top w:val="single" w:sz="4" w:space="0" w:color="000000"/>
              <w:left w:val="single" w:sz="4" w:space="0" w:color="000000"/>
              <w:bottom w:val="single" w:sz="4" w:space="0" w:color="000000"/>
              <w:right w:val="single" w:sz="4" w:space="0" w:color="000000"/>
            </w:tcBorders>
          </w:tcPr>
          <w:p w14:paraId="5544ED6E" w14:textId="3A15E7FF"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w:t>
            </w:r>
            <w:r w:rsidR="00503C77" w:rsidRPr="00AA1346">
              <w:rPr>
                <w:rFonts w:ascii="Times New Roman" w:eastAsia="Times New Roman" w:hAnsi="Times New Roman" w:cs="Times New Roman"/>
                <w:color w:val="000000"/>
              </w:rPr>
              <w:t>habdomyolysis és a szérum</w:t>
            </w:r>
            <w:r>
              <w:rPr>
                <w:rFonts w:ascii="Times New Roman" w:eastAsia="Times New Roman" w:hAnsi="Times New Roman" w:cs="Times New Roman"/>
                <w:color w:val="000000"/>
              </w:rPr>
              <w:t>-</w:t>
            </w:r>
            <w:r w:rsidR="00503C77" w:rsidRPr="00AA1346">
              <w:rPr>
                <w:rFonts w:ascii="Times New Roman" w:eastAsia="Times New Roman" w:hAnsi="Times New Roman" w:cs="Times New Roman"/>
                <w:color w:val="000000"/>
              </w:rPr>
              <w:t>kreatin</w:t>
            </w:r>
            <w:r>
              <w:rPr>
                <w:rFonts w:ascii="Times New Roman" w:eastAsia="Times New Roman" w:hAnsi="Times New Roman" w:cs="Times New Roman"/>
                <w:color w:val="000000"/>
              </w:rPr>
              <w:t>-</w:t>
            </w:r>
            <w:r w:rsidR="00503C77" w:rsidRPr="00AA1346">
              <w:rPr>
                <w:rFonts w:ascii="Times New Roman" w:eastAsia="Times New Roman" w:hAnsi="Times New Roman" w:cs="Times New Roman"/>
                <w:color w:val="000000"/>
              </w:rPr>
              <w:t>foszfokináz-szint emelkedése</w:t>
            </w:r>
            <w:r w:rsidR="00503C77" w:rsidRPr="00AA1346">
              <w:rPr>
                <w:rFonts w:ascii="Times New Roman" w:eastAsia="Times New Roman" w:hAnsi="Times New Roman" w:cs="Times New Roman"/>
                <w:color w:val="000000"/>
                <w:vertAlign w:val="superscript"/>
              </w:rPr>
              <w:t>(3)</w:t>
            </w:r>
          </w:p>
        </w:tc>
        <w:tc>
          <w:tcPr>
            <w:tcW w:w="1162" w:type="dxa"/>
            <w:tcBorders>
              <w:top w:val="single" w:sz="4" w:space="0" w:color="000000"/>
              <w:left w:val="single" w:sz="4" w:space="0" w:color="000000"/>
              <w:bottom w:val="single" w:sz="4" w:space="0" w:color="000000"/>
              <w:right w:val="single" w:sz="4" w:space="0" w:color="000000"/>
            </w:tcBorders>
          </w:tcPr>
          <w:p w14:paraId="5055656F"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5943ADBC" w14:textId="77777777" w:rsidTr="00E65268">
        <w:trPr>
          <w:gridAfter w:val="1"/>
          <w:wAfter w:w="16" w:type="dxa"/>
          <w:trHeight w:val="699"/>
        </w:trPr>
        <w:tc>
          <w:tcPr>
            <w:tcW w:w="1715" w:type="dxa"/>
            <w:tcBorders>
              <w:top w:val="single" w:sz="4" w:space="0" w:color="000000"/>
              <w:left w:val="single" w:sz="4" w:space="0" w:color="000000"/>
              <w:bottom w:val="single" w:sz="4" w:space="0" w:color="000000"/>
              <w:right w:val="single" w:sz="4" w:space="0" w:color="000000"/>
            </w:tcBorders>
          </w:tcPr>
          <w:p w14:paraId="7FE58F5C" w14:textId="003A0AD7" w:rsidR="001B3B02" w:rsidRPr="00AA1346" w:rsidRDefault="009A796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Vese- és húgyúti betegségek és tünetek</w:t>
            </w:r>
          </w:p>
        </w:tc>
        <w:tc>
          <w:tcPr>
            <w:tcW w:w="1418" w:type="dxa"/>
            <w:tcBorders>
              <w:top w:val="single" w:sz="4" w:space="0" w:color="000000"/>
              <w:left w:val="single" w:sz="4" w:space="0" w:color="000000"/>
              <w:bottom w:val="single" w:sz="4" w:space="0" w:color="000000"/>
              <w:right w:val="single" w:sz="4" w:space="0" w:color="000000"/>
            </w:tcBorders>
          </w:tcPr>
          <w:p w14:paraId="24B9ABBB"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01FDE500"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0446F018"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756" w:type="dxa"/>
            <w:tcBorders>
              <w:top w:val="single" w:sz="4" w:space="0" w:color="000000"/>
              <w:left w:val="single" w:sz="4" w:space="0" w:color="000000"/>
              <w:bottom w:val="single" w:sz="4" w:space="0" w:color="000000"/>
              <w:right w:val="single" w:sz="4" w:space="0" w:color="000000"/>
            </w:tcBorders>
          </w:tcPr>
          <w:p w14:paraId="307579F3" w14:textId="757202D1"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w:t>
            </w:r>
            <w:r w:rsidR="00503C77" w:rsidRPr="00AA1346">
              <w:rPr>
                <w:rFonts w:ascii="Times New Roman" w:eastAsia="Times New Roman" w:hAnsi="Times New Roman" w:cs="Times New Roman"/>
                <w:color w:val="000000"/>
              </w:rPr>
              <w:t>kut vesekárosodás</w:t>
            </w:r>
          </w:p>
        </w:tc>
        <w:tc>
          <w:tcPr>
            <w:tcW w:w="1162" w:type="dxa"/>
            <w:tcBorders>
              <w:top w:val="single" w:sz="4" w:space="0" w:color="000000"/>
              <w:left w:val="single" w:sz="4" w:space="0" w:color="000000"/>
              <w:bottom w:val="single" w:sz="4" w:space="0" w:color="000000"/>
              <w:right w:val="single" w:sz="4" w:space="0" w:color="000000"/>
            </w:tcBorders>
          </w:tcPr>
          <w:p w14:paraId="25D436B6"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2633F5C3"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32584A11" w14:textId="65A4DD8E" w:rsidR="001B3B02" w:rsidRPr="00AA1346" w:rsidRDefault="009A796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lastRenderedPageBreak/>
              <w:t>Általános tünetek, az alkalmazás helyén fellépő reakciók</w:t>
            </w:r>
          </w:p>
        </w:tc>
        <w:tc>
          <w:tcPr>
            <w:tcW w:w="1418" w:type="dxa"/>
            <w:tcBorders>
              <w:top w:val="single" w:sz="4" w:space="0" w:color="000000"/>
              <w:left w:val="single" w:sz="4" w:space="0" w:color="000000"/>
              <w:bottom w:val="single" w:sz="4" w:space="0" w:color="000000"/>
              <w:right w:val="single" w:sz="4" w:space="0" w:color="000000"/>
            </w:tcBorders>
          </w:tcPr>
          <w:p w14:paraId="001E4A58"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2516AF1E" w14:textId="31E2FC52"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w:t>
            </w:r>
            <w:r w:rsidR="00503C77" w:rsidRPr="00AA1346">
              <w:rPr>
                <w:rFonts w:ascii="Times New Roman" w:eastAsia="Times New Roman" w:hAnsi="Times New Roman" w:cs="Times New Roman"/>
                <w:color w:val="000000"/>
              </w:rPr>
              <w:t>sthenia/ fáradtság</w:t>
            </w:r>
          </w:p>
        </w:tc>
        <w:tc>
          <w:tcPr>
            <w:tcW w:w="1883" w:type="dxa"/>
            <w:tcBorders>
              <w:top w:val="single" w:sz="4" w:space="0" w:color="000000"/>
              <w:left w:val="single" w:sz="4" w:space="0" w:color="000000"/>
              <w:bottom w:val="single" w:sz="4" w:space="0" w:color="000000"/>
              <w:right w:val="single" w:sz="4" w:space="0" w:color="000000"/>
            </w:tcBorders>
          </w:tcPr>
          <w:p w14:paraId="7248DEA0"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756" w:type="dxa"/>
            <w:tcBorders>
              <w:top w:val="single" w:sz="4" w:space="0" w:color="000000"/>
              <w:left w:val="single" w:sz="4" w:space="0" w:color="000000"/>
              <w:bottom w:val="single" w:sz="4" w:space="0" w:color="000000"/>
              <w:right w:val="single" w:sz="4" w:space="0" w:color="000000"/>
            </w:tcBorders>
          </w:tcPr>
          <w:p w14:paraId="70918859"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162" w:type="dxa"/>
            <w:tcBorders>
              <w:top w:val="single" w:sz="4" w:space="0" w:color="000000"/>
              <w:left w:val="single" w:sz="4" w:space="0" w:color="000000"/>
              <w:bottom w:val="single" w:sz="4" w:space="0" w:color="000000"/>
              <w:right w:val="single" w:sz="4" w:space="0" w:color="000000"/>
            </w:tcBorders>
          </w:tcPr>
          <w:p w14:paraId="1A28B1A6" w14:textId="77777777" w:rsidR="001B3B02" w:rsidRPr="00AA1346" w:rsidRDefault="001B3B02" w:rsidP="004401DF">
            <w:pPr>
              <w:spacing w:after="0" w:line="240" w:lineRule="auto"/>
              <w:rPr>
                <w:rFonts w:ascii="Times New Roman" w:eastAsia="Times New Roman" w:hAnsi="Times New Roman" w:cs="Times New Roman"/>
                <w:color w:val="000000"/>
              </w:rPr>
            </w:pPr>
          </w:p>
        </w:tc>
      </w:tr>
      <w:tr w:rsidR="001B3B02" w:rsidRPr="00AA1346" w14:paraId="24C62CC9" w14:textId="77777777" w:rsidTr="00E65268">
        <w:trPr>
          <w:gridAfter w:val="1"/>
          <w:wAfter w:w="16" w:type="dxa"/>
          <w:trHeight w:val="1023"/>
        </w:trPr>
        <w:tc>
          <w:tcPr>
            <w:tcW w:w="1715" w:type="dxa"/>
            <w:tcBorders>
              <w:top w:val="single" w:sz="4" w:space="0" w:color="000000"/>
              <w:left w:val="single" w:sz="4" w:space="0" w:color="000000"/>
              <w:bottom w:val="single" w:sz="4" w:space="0" w:color="000000"/>
              <w:right w:val="single" w:sz="4" w:space="0" w:color="000000"/>
            </w:tcBorders>
          </w:tcPr>
          <w:p w14:paraId="21E97B73" w14:textId="20A1C632" w:rsidR="001B3B02" w:rsidRPr="00AA1346" w:rsidRDefault="009A7960"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rPr>
              <w:t>Sérülés, mérgezés és a beavatkozással kapcsolatos szövődmények</w:t>
            </w:r>
          </w:p>
        </w:tc>
        <w:tc>
          <w:tcPr>
            <w:tcW w:w="1418" w:type="dxa"/>
            <w:tcBorders>
              <w:top w:val="single" w:sz="4" w:space="0" w:color="000000"/>
              <w:left w:val="single" w:sz="4" w:space="0" w:color="000000"/>
              <w:bottom w:val="single" w:sz="4" w:space="0" w:color="000000"/>
              <w:right w:val="single" w:sz="4" w:space="0" w:color="000000"/>
            </w:tcBorders>
          </w:tcPr>
          <w:p w14:paraId="1531AE97"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2E039918"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883" w:type="dxa"/>
            <w:tcBorders>
              <w:top w:val="single" w:sz="4" w:space="0" w:color="000000"/>
              <w:left w:val="single" w:sz="4" w:space="0" w:color="000000"/>
              <w:bottom w:val="single" w:sz="4" w:space="0" w:color="000000"/>
              <w:right w:val="single" w:sz="4" w:space="0" w:color="000000"/>
            </w:tcBorders>
          </w:tcPr>
          <w:p w14:paraId="5B14F712" w14:textId="6BF69AF2" w:rsidR="001B3B02" w:rsidRPr="00AA1346" w:rsidRDefault="00AA037A" w:rsidP="004401D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s</w:t>
            </w:r>
            <w:r w:rsidR="00503C77" w:rsidRPr="00AA1346">
              <w:rPr>
                <w:rFonts w:ascii="Times New Roman" w:eastAsia="Times New Roman" w:hAnsi="Times New Roman" w:cs="Times New Roman"/>
                <w:color w:val="000000"/>
              </w:rPr>
              <w:t>érülés</w:t>
            </w:r>
          </w:p>
        </w:tc>
        <w:tc>
          <w:tcPr>
            <w:tcW w:w="1756" w:type="dxa"/>
            <w:tcBorders>
              <w:top w:val="single" w:sz="4" w:space="0" w:color="000000"/>
              <w:left w:val="single" w:sz="4" w:space="0" w:color="000000"/>
              <w:bottom w:val="single" w:sz="4" w:space="0" w:color="000000"/>
              <w:right w:val="single" w:sz="4" w:space="0" w:color="000000"/>
            </w:tcBorders>
          </w:tcPr>
          <w:p w14:paraId="4E576712" w14:textId="77777777" w:rsidR="001B3B02" w:rsidRPr="00AA1346" w:rsidRDefault="001B3B02" w:rsidP="004401DF">
            <w:pPr>
              <w:spacing w:after="0" w:line="240" w:lineRule="auto"/>
              <w:rPr>
                <w:rFonts w:ascii="Times New Roman" w:eastAsia="Times New Roman" w:hAnsi="Times New Roman" w:cs="Times New Roman"/>
                <w:color w:val="000000"/>
              </w:rPr>
            </w:pPr>
          </w:p>
        </w:tc>
        <w:tc>
          <w:tcPr>
            <w:tcW w:w="1162" w:type="dxa"/>
            <w:tcBorders>
              <w:top w:val="single" w:sz="4" w:space="0" w:color="000000"/>
              <w:left w:val="single" w:sz="4" w:space="0" w:color="000000"/>
              <w:bottom w:val="single" w:sz="4" w:space="0" w:color="000000"/>
              <w:right w:val="single" w:sz="4" w:space="0" w:color="000000"/>
            </w:tcBorders>
          </w:tcPr>
          <w:p w14:paraId="0A1A0F35" w14:textId="77777777" w:rsidR="001B3B02" w:rsidRPr="00AA1346" w:rsidRDefault="001B3B02" w:rsidP="004401DF">
            <w:pPr>
              <w:spacing w:after="0" w:line="240" w:lineRule="auto"/>
              <w:rPr>
                <w:rFonts w:ascii="Times New Roman" w:eastAsia="Times New Roman" w:hAnsi="Times New Roman" w:cs="Times New Roman"/>
                <w:color w:val="000000"/>
              </w:rPr>
            </w:pPr>
          </w:p>
        </w:tc>
      </w:tr>
    </w:tbl>
    <w:p w14:paraId="5D0D9C7E" w14:textId="6EA328DA" w:rsidR="00C76B33" w:rsidRPr="00AA1346" w:rsidRDefault="00527E24"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vertAlign w:val="superscript"/>
        </w:rPr>
        <w:t>(1)</w:t>
      </w:r>
      <w:r w:rsidRPr="00AA1346">
        <w:rPr>
          <w:rFonts w:ascii="Times New Roman" w:eastAsia="Times New Roman" w:hAnsi="Times New Roman" w:cs="Times New Roman"/>
          <w:color w:val="000000"/>
        </w:rPr>
        <w:t xml:space="preserve"> Lásd az </w:t>
      </w:r>
      <w:r w:rsidRPr="00AA1346">
        <w:rPr>
          <w:rFonts w:ascii="Times New Roman" w:eastAsia="Times New Roman" w:hAnsi="Times New Roman" w:cs="Times New Roman"/>
          <w:i/>
          <w:iCs/>
          <w:color w:val="000000"/>
        </w:rPr>
        <w:t>Egyes mellékhatások leírás</w:t>
      </w:r>
      <w:r w:rsidR="00AA037A">
        <w:rPr>
          <w:rFonts w:ascii="Times New Roman" w:eastAsia="Times New Roman" w:hAnsi="Times New Roman" w:cs="Times New Roman"/>
          <w:i/>
          <w:iCs/>
          <w:color w:val="000000"/>
        </w:rPr>
        <w:t xml:space="preserve">a </w:t>
      </w:r>
      <w:r w:rsidR="00AA037A" w:rsidRPr="00E65268">
        <w:rPr>
          <w:rFonts w:ascii="Times New Roman" w:eastAsia="Times New Roman" w:hAnsi="Times New Roman" w:cs="Times New Roman"/>
          <w:color w:val="000000"/>
        </w:rPr>
        <w:t>című részt</w:t>
      </w:r>
      <w:r w:rsidRPr="00AA037A">
        <w:rPr>
          <w:rFonts w:ascii="Times New Roman" w:eastAsia="Times New Roman" w:hAnsi="Times New Roman" w:cs="Times New Roman"/>
          <w:color w:val="000000"/>
        </w:rPr>
        <w:t>.</w:t>
      </w:r>
    </w:p>
    <w:p w14:paraId="2C6EA498" w14:textId="0E70D348" w:rsidR="00527E24" w:rsidRPr="00AA1346" w:rsidRDefault="00527E24" w:rsidP="004401DF">
      <w:pPr>
        <w:spacing w:after="0" w:line="240" w:lineRule="auto"/>
        <w:rPr>
          <w:rFonts w:ascii="Times New Roman" w:eastAsia="Times New Roman" w:hAnsi="Times New Roman" w:cs="Times New Roman"/>
          <w:color w:val="000000"/>
        </w:rPr>
      </w:pPr>
      <w:r w:rsidRPr="00AA1346">
        <w:rPr>
          <w:rFonts w:ascii="Times New Roman" w:eastAsia="Times New Roman" w:hAnsi="Times New Roman" w:cs="Times New Roman"/>
          <w:color w:val="000000"/>
          <w:vertAlign w:val="superscript"/>
        </w:rPr>
        <w:t>(2)</w:t>
      </w:r>
      <w:r w:rsidRPr="00AA1346">
        <w:rPr>
          <w:rFonts w:ascii="Times New Roman" w:eastAsia="Times New Roman" w:hAnsi="Times New Roman" w:cs="Times New Roman"/>
          <w:color w:val="000000"/>
        </w:rPr>
        <w:t xml:space="preserve"> A forgalomba hozatalt követő</w:t>
      </w:r>
      <w:r w:rsidR="00E11AEB">
        <w:rPr>
          <w:rFonts w:ascii="Times New Roman" w:eastAsia="Times New Roman" w:hAnsi="Times New Roman" w:cs="Times New Roman"/>
          <w:color w:val="000000"/>
        </w:rPr>
        <w:t>en</w:t>
      </w:r>
      <w:r w:rsidRPr="00AA1346">
        <w:rPr>
          <w:rFonts w:ascii="Times New Roman" w:eastAsia="Times New Roman" w:hAnsi="Times New Roman" w:cs="Times New Roman"/>
          <w:color w:val="000000"/>
        </w:rPr>
        <w:t xml:space="preserve"> nagyon ritka esetekben megfigyelték obszesszív-kompulzív zavarok (</w:t>
      </w:r>
      <w:r w:rsidR="00E11AEB">
        <w:rPr>
          <w:rFonts w:ascii="Times New Roman" w:eastAsia="Times New Roman" w:hAnsi="Times New Roman" w:cs="Times New Roman"/>
          <w:color w:val="000000"/>
        </w:rPr>
        <w:t xml:space="preserve">obsessive-compulsive disorder, </w:t>
      </w:r>
      <w:r w:rsidRPr="00AA1346">
        <w:rPr>
          <w:rFonts w:ascii="Times New Roman" w:eastAsia="Times New Roman" w:hAnsi="Times New Roman" w:cs="Times New Roman"/>
          <w:color w:val="000000"/>
        </w:rPr>
        <w:t>OCD) kialakulását olyan betegeknél, akiknek az anamnézisében OCD vagy pszichiátriai betegség szerepelt.</w:t>
      </w:r>
    </w:p>
    <w:p w14:paraId="4C59528E" w14:textId="3B718A2D" w:rsidR="00C76B33" w:rsidRPr="00AA1346" w:rsidRDefault="00527E24" w:rsidP="004401DF">
      <w:pPr>
        <w:spacing w:after="0" w:line="240" w:lineRule="auto"/>
        <w:rPr>
          <w:rFonts w:eastAsia="Times New Roman"/>
          <w:color w:val="000000"/>
        </w:rPr>
      </w:pPr>
      <w:r w:rsidRPr="00AA1346">
        <w:rPr>
          <w:rFonts w:ascii="Times New Roman" w:eastAsia="Times New Roman" w:hAnsi="Times New Roman" w:cs="Times New Roman"/>
          <w:color w:val="000000"/>
          <w:vertAlign w:val="superscript"/>
        </w:rPr>
        <w:t>(3)</w:t>
      </w:r>
      <w:r w:rsidRPr="00AA1346">
        <w:rPr>
          <w:rFonts w:ascii="Times New Roman" w:eastAsia="Times New Roman" w:hAnsi="Times New Roman" w:cs="Times New Roman"/>
          <w:color w:val="000000"/>
        </w:rPr>
        <w:t xml:space="preserve"> A gyakoriság jelentősen magasabb a japán betegeknél, mint a nem japán betegeknél.</w:t>
      </w:r>
    </w:p>
    <w:p w14:paraId="47AA0D0F"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23A349A9" w14:textId="77777777" w:rsidR="00B023F1" w:rsidRPr="00AA1346" w:rsidRDefault="00B023F1"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Egyes mellékhatások leírása</w:t>
      </w:r>
    </w:p>
    <w:p w14:paraId="4A4D9756"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1DB387E6" w14:textId="77777777" w:rsidR="00B023F1" w:rsidRPr="00AA1346" w:rsidRDefault="00B023F1" w:rsidP="004401DF">
      <w:pPr>
        <w:suppressAutoHyphens/>
        <w:spacing w:after="0" w:line="240" w:lineRule="auto"/>
        <w:rPr>
          <w:rFonts w:ascii="Times New Roman" w:eastAsia="Times New Roman" w:hAnsi="Times New Roman" w:cs="Times New Roman"/>
          <w:i/>
          <w:iCs/>
        </w:rPr>
      </w:pPr>
      <w:r w:rsidRPr="00AA1346">
        <w:rPr>
          <w:rFonts w:ascii="Times New Roman" w:eastAsia="Times New Roman" w:hAnsi="Times New Roman" w:cs="Times New Roman"/>
          <w:i/>
          <w:iCs/>
        </w:rPr>
        <w:t>Többszervi túlérzékenységi reakciók</w:t>
      </w:r>
    </w:p>
    <w:p w14:paraId="0B714B3D" w14:textId="648CA9B2"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Ritkán többszervi túlérzékenységi reakciókról (más néven eo</w:t>
      </w:r>
      <w:r w:rsidR="00846226">
        <w:rPr>
          <w:rFonts w:ascii="Times New Roman" w:eastAsia="Times New Roman" w:hAnsi="Times New Roman" w:cs="Times New Roman"/>
        </w:rPr>
        <w:t>s</w:t>
      </w:r>
      <w:r w:rsidRPr="00AA1346">
        <w:rPr>
          <w:rFonts w:ascii="Times New Roman" w:eastAsia="Times New Roman" w:hAnsi="Times New Roman" w:cs="Times New Roman"/>
        </w:rPr>
        <w:t>ino</w:t>
      </w:r>
      <w:r w:rsidR="00846226">
        <w:rPr>
          <w:rFonts w:ascii="Times New Roman" w:eastAsia="Times New Roman" w:hAnsi="Times New Roman" w:cs="Times New Roman"/>
        </w:rPr>
        <w:t>phi</w:t>
      </w:r>
      <w:r w:rsidRPr="00AA1346">
        <w:rPr>
          <w:rFonts w:ascii="Times New Roman" w:eastAsia="Times New Roman" w:hAnsi="Times New Roman" w:cs="Times New Roman"/>
        </w:rPr>
        <w:t>liá</w:t>
      </w:r>
      <w:r w:rsidR="00846226">
        <w:rPr>
          <w:rFonts w:ascii="Times New Roman" w:eastAsia="Times New Roman" w:hAnsi="Times New Roman" w:cs="Times New Roman"/>
        </w:rPr>
        <w:t>val</w:t>
      </w:r>
      <w:r w:rsidRPr="00AA1346">
        <w:rPr>
          <w:rFonts w:ascii="Times New Roman" w:eastAsia="Times New Roman" w:hAnsi="Times New Roman" w:cs="Times New Roman"/>
        </w:rPr>
        <w:t xml:space="preserve"> és szisztémás tünetekkel járó gyógyszerreakció, DRESS) számoltak be levetiracetámmal kezelt betegeknél. A klinikai manifesztációk a kezelés megkezdése után 2–8 héttel alakulhatnak ki. Ezek a reakciók változó</w:t>
      </w:r>
      <w:r w:rsidR="00340FE4">
        <w:rPr>
          <w:rFonts w:ascii="Times New Roman" w:eastAsia="Times New Roman" w:hAnsi="Times New Roman" w:cs="Times New Roman"/>
        </w:rPr>
        <w:t xml:space="preserve"> formában </w:t>
      </w:r>
      <w:r w:rsidRPr="00AA1346">
        <w:rPr>
          <w:rFonts w:ascii="Times New Roman" w:eastAsia="Times New Roman" w:hAnsi="Times New Roman" w:cs="Times New Roman"/>
        </w:rPr>
        <w:t>fejeződnek ki, de jellemzően lázzal, bőrkiütéssel, arcödémával, nyirokcsomó-gyulladással, hematológiai eltérésekkel járnak, illetve járhatnak különböző szervrendszerek, főként a máj érintettségével. Többszervi túlérzékenységi reakció gyanúja esetén a levetiracetám alkalmazását abba kell hagyni.</w:t>
      </w:r>
    </w:p>
    <w:p w14:paraId="14601DFB"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466AF036" w14:textId="77777777"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Nagyobb az anorexia kockázata, ha a levetiracetámot topiramáttal együtt adják.</w:t>
      </w:r>
    </w:p>
    <w:p w14:paraId="0F8E3324" w14:textId="77777777"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Több alopeciás esetben gyógyulást tapasztaltak a levetiracetám alkalmazásának abbahagyásakor. Egyes pancytopeniás esetekben csontvelő-szuppressziót észleltek.</w:t>
      </w:r>
    </w:p>
    <w:p w14:paraId="5D4CB8A7"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6354D0EF" w14:textId="0356F745"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Encephalopathiás esetek általában a kezelés </w:t>
      </w:r>
      <w:r w:rsidR="00340FE4">
        <w:rPr>
          <w:rFonts w:ascii="Times New Roman" w:eastAsia="Times New Roman" w:hAnsi="Times New Roman" w:cs="Times New Roman"/>
        </w:rPr>
        <w:t>kezdetén</w:t>
      </w:r>
      <w:r w:rsidR="00340FE4" w:rsidRPr="00AA1346">
        <w:rPr>
          <w:rFonts w:ascii="Times New Roman" w:eastAsia="Times New Roman" w:hAnsi="Times New Roman" w:cs="Times New Roman"/>
        </w:rPr>
        <w:t xml:space="preserve"> </w:t>
      </w:r>
      <w:r w:rsidRPr="00AA1346">
        <w:rPr>
          <w:rFonts w:ascii="Times New Roman" w:eastAsia="Times New Roman" w:hAnsi="Times New Roman" w:cs="Times New Roman"/>
        </w:rPr>
        <w:t>fordultak elő (néhány naptól néhány hónapig)</w:t>
      </w:r>
      <w:r w:rsidR="00340FE4">
        <w:rPr>
          <w:rFonts w:ascii="Times New Roman" w:eastAsia="Times New Roman" w:hAnsi="Times New Roman" w:cs="Times New Roman"/>
        </w:rPr>
        <w:t>,</w:t>
      </w:r>
      <w:r w:rsidRPr="00AA1346">
        <w:rPr>
          <w:rFonts w:ascii="Times New Roman" w:eastAsia="Times New Roman" w:hAnsi="Times New Roman" w:cs="Times New Roman"/>
        </w:rPr>
        <w:t xml:space="preserve"> és a kezelés abbahagyása után reverzibilisek voltak.</w:t>
      </w:r>
    </w:p>
    <w:p w14:paraId="47E03ABD"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003A3D4E" w14:textId="77777777" w:rsidR="00B023F1" w:rsidRPr="00AA1346" w:rsidRDefault="00B023F1"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Gyermekek és serdülők</w:t>
      </w:r>
    </w:p>
    <w:p w14:paraId="554E883D"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40CD8120" w14:textId="7BFCCCF3"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Összesen 190, 1 hónapos és 4 éves kor közötti beteget kezeltek levetiracetámmal a placebokontrollos és </w:t>
      </w:r>
      <w:r w:rsidR="00340FE4">
        <w:rPr>
          <w:rFonts w:ascii="Times New Roman" w:eastAsia="Times New Roman" w:hAnsi="Times New Roman" w:cs="Times New Roman"/>
        </w:rPr>
        <w:t xml:space="preserve">a </w:t>
      </w:r>
      <w:r w:rsidRPr="00AA1346">
        <w:rPr>
          <w:rFonts w:ascii="Times New Roman" w:eastAsia="Times New Roman" w:hAnsi="Times New Roman" w:cs="Times New Roman"/>
        </w:rPr>
        <w:t>nyílt</w:t>
      </w:r>
      <w:r w:rsidR="00340FE4">
        <w:rPr>
          <w:rFonts w:ascii="Times New Roman" w:eastAsia="Times New Roman" w:hAnsi="Times New Roman" w:cs="Times New Roman"/>
        </w:rPr>
        <w:t xml:space="preserve"> elrendezésű</w:t>
      </w:r>
      <w:r w:rsidRPr="00AA1346">
        <w:rPr>
          <w:rFonts w:ascii="Times New Roman" w:eastAsia="Times New Roman" w:hAnsi="Times New Roman" w:cs="Times New Roman"/>
        </w:rPr>
        <w:t>, kiterjesztéses vizsgálatokban. Közülük 60 beteg placebokontrollos vizsgálatokban részesült levetiracetám-kezelésben. A 4</w:t>
      </w:r>
      <w:r w:rsidR="00340FE4">
        <w:rPr>
          <w:rFonts w:ascii="Times New Roman" w:eastAsia="Times New Roman" w:hAnsi="Times New Roman" w:cs="Times New Roman"/>
        </w:rPr>
        <w:t>–</w:t>
      </w:r>
      <w:r w:rsidRPr="00AA1346">
        <w:rPr>
          <w:rFonts w:ascii="Times New Roman" w:eastAsia="Times New Roman" w:hAnsi="Times New Roman" w:cs="Times New Roman"/>
        </w:rPr>
        <w:t>16</w:t>
      </w:r>
      <w:r w:rsidR="00340FE4">
        <w:rPr>
          <w:rFonts w:ascii="Times New Roman" w:eastAsia="Times New Roman" w:hAnsi="Times New Roman" w:cs="Times New Roman"/>
        </w:rPr>
        <w:t> </w:t>
      </w:r>
      <w:r w:rsidRPr="00AA1346">
        <w:rPr>
          <w:rFonts w:ascii="Times New Roman" w:eastAsia="Times New Roman" w:hAnsi="Times New Roman" w:cs="Times New Roman"/>
        </w:rPr>
        <w:t>éves korúak esetében összesen 645 beteget kezeltek levetiracetámmal a placebokontrollos és nyílt</w:t>
      </w:r>
      <w:r w:rsidR="00340FE4">
        <w:rPr>
          <w:rFonts w:ascii="Times New Roman" w:eastAsia="Times New Roman" w:hAnsi="Times New Roman" w:cs="Times New Roman"/>
        </w:rPr>
        <w:t xml:space="preserve"> elrendezésű</w:t>
      </w:r>
      <w:r w:rsidRPr="00AA1346">
        <w:rPr>
          <w:rFonts w:ascii="Times New Roman" w:eastAsia="Times New Roman" w:hAnsi="Times New Roman" w:cs="Times New Roman"/>
        </w:rPr>
        <w:t>, kiterjesztéses vizsgálatokban. Közülük 233 beteg placebokontrollos vizsgálatokban részesült levetiracetám-kezelésben. A fenti adatokat mindkét említett gyermekgyógyászati korcsoportban kiegészítik a levetiracetám forgalomba hozatal</w:t>
      </w:r>
      <w:r w:rsidR="00340FE4">
        <w:rPr>
          <w:rFonts w:ascii="Times New Roman" w:eastAsia="Times New Roman" w:hAnsi="Times New Roman" w:cs="Times New Roman"/>
        </w:rPr>
        <w:t>a utáni alkalmazása során</w:t>
      </w:r>
      <w:r w:rsidRPr="00AA1346">
        <w:rPr>
          <w:rFonts w:ascii="Times New Roman" w:eastAsia="Times New Roman" w:hAnsi="Times New Roman" w:cs="Times New Roman"/>
        </w:rPr>
        <w:t xml:space="preserve"> nyert tapasztalatok.</w:t>
      </w:r>
    </w:p>
    <w:p w14:paraId="26DF7F3E"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67214676" w14:textId="23F12269"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Végeztek továbbá egy, a forgalomba hozatalt követő gyógyszerbiztonsági vizsgálatot is 101, 12 hónaposnál fiatalabb csecsemő bevonásával. Az epilepsziában szenvedő, 12 hónaposnál fiatalabb csecsemők esetében nem állapítottak meg új gyógyszerbiztonsági aggályt a levetiracetám alkalmazásával kapcsolatban.</w:t>
      </w:r>
    </w:p>
    <w:p w14:paraId="02990E03"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38CBFB33" w14:textId="540A1A22"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mellékhatásprofilja általában hasonló volt a különböző korcsoportok és a jóváhagyott epilepszia</w:t>
      </w:r>
      <w:r w:rsidR="001816A3">
        <w:rPr>
          <w:rFonts w:ascii="Times New Roman" w:eastAsia="Times New Roman" w:hAnsi="Times New Roman" w:cs="Times New Roman"/>
        </w:rPr>
        <w:t>-</w:t>
      </w:r>
      <w:r w:rsidRPr="00AA1346">
        <w:rPr>
          <w:rFonts w:ascii="Times New Roman" w:eastAsia="Times New Roman" w:hAnsi="Times New Roman" w:cs="Times New Roman"/>
        </w:rPr>
        <w:t>javallatok esetében. A gyermekek</w:t>
      </w:r>
      <w:r w:rsidR="001816A3">
        <w:rPr>
          <w:rFonts w:ascii="Times New Roman" w:eastAsia="Times New Roman" w:hAnsi="Times New Roman" w:cs="Times New Roman"/>
        </w:rPr>
        <w:t>kel</w:t>
      </w:r>
      <w:r w:rsidRPr="00AA1346">
        <w:rPr>
          <w:rFonts w:ascii="Times New Roman" w:eastAsia="Times New Roman" w:hAnsi="Times New Roman" w:cs="Times New Roman"/>
        </w:rPr>
        <w:t xml:space="preserve"> és serdülők</w:t>
      </w:r>
      <w:r w:rsidR="001816A3">
        <w:rPr>
          <w:rFonts w:ascii="Times New Roman" w:eastAsia="Times New Roman" w:hAnsi="Times New Roman" w:cs="Times New Roman"/>
        </w:rPr>
        <w:t>kel</w:t>
      </w:r>
      <w:r w:rsidRPr="00AA1346">
        <w:rPr>
          <w:rFonts w:ascii="Times New Roman" w:eastAsia="Times New Roman" w:hAnsi="Times New Roman" w:cs="Times New Roman"/>
        </w:rPr>
        <w:t xml:space="preserve"> végzett placebokontrollos klinikai vizsgálatok</w:t>
      </w:r>
      <w:r w:rsidR="001816A3">
        <w:rPr>
          <w:rFonts w:ascii="Times New Roman" w:eastAsia="Times New Roman" w:hAnsi="Times New Roman" w:cs="Times New Roman"/>
        </w:rPr>
        <w:t xml:space="preserve"> során</w:t>
      </w:r>
      <w:r w:rsidRPr="00AA1346">
        <w:rPr>
          <w:rFonts w:ascii="Times New Roman" w:eastAsia="Times New Roman" w:hAnsi="Times New Roman" w:cs="Times New Roman"/>
        </w:rPr>
        <w:t xml:space="preserve"> nyert gyógyszerbiztonságossági eredmények összhangban voltak a levetiracetám felnőtteknél tapasztalt biztonságossági profiljával, a viselkedési és a pszichiátriai mellékhatások kivételével, amelyek gyermekeknél gyakoribbak voltak, mint felnőtteknél. A 4</w:t>
      </w:r>
      <w:r w:rsidR="001816A3">
        <w:rPr>
          <w:rFonts w:ascii="Times New Roman" w:eastAsia="Times New Roman" w:hAnsi="Times New Roman" w:cs="Times New Roman"/>
        </w:rPr>
        <w:t>–</w:t>
      </w:r>
      <w:r w:rsidRPr="00AA1346">
        <w:rPr>
          <w:rFonts w:ascii="Times New Roman" w:eastAsia="Times New Roman" w:hAnsi="Times New Roman" w:cs="Times New Roman"/>
        </w:rPr>
        <w:t xml:space="preserve">16 éves gyermekeknél </w:t>
      </w:r>
      <w:r w:rsidRPr="00AA1346">
        <w:rPr>
          <w:rFonts w:ascii="Times New Roman" w:eastAsia="Times New Roman" w:hAnsi="Times New Roman" w:cs="Times New Roman"/>
        </w:rPr>
        <w:lastRenderedPageBreak/>
        <w:t>és serdülőknél a hányás (nagyon gyakori, 11,2 %), az izgatottság (gyakori, 3,4 %), a hangulatingadozások (gyakori, 2,1 %), az érzelmi labilitás (gyakori, 1,7 %), az agresszivitás (gyakori, 8,2 %), a szokatlan viselkedés (gyakori, 5,6 %) és a letargia (gyakori, 3,9 %) gyakrabban fordult elő, mint a többi korcsoportban vagy az összesített biztonságossági profilban. Az 1</w:t>
      </w:r>
      <w:r w:rsidR="001816A3">
        <w:rPr>
          <w:rFonts w:ascii="Times New Roman" w:eastAsia="Times New Roman" w:hAnsi="Times New Roman" w:cs="Times New Roman"/>
        </w:rPr>
        <w:t> </w:t>
      </w:r>
      <w:r w:rsidRPr="00AA1346">
        <w:rPr>
          <w:rFonts w:ascii="Times New Roman" w:eastAsia="Times New Roman" w:hAnsi="Times New Roman" w:cs="Times New Roman"/>
        </w:rPr>
        <w:t>hónapos és 4</w:t>
      </w:r>
      <w:r w:rsidR="001816A3">
        <w:rPr>
          <w:rFonts w:ascii="Times New Roman" w:eastAsia="Times New Roman" w:hAnsi="Times New Roman" w:cs="Times New Roman"/>
        </w:rPr>
        <w:t> </w:t>
      </w:r>
      <w:r w:rsidRPr="00AA1346">
        <w:rPr>
          <w:rFonts w:ascii="Times New Roman" w:eastAsia="Times New Roman" w:hAnsi="Times New Roman" w:cs="Times New Roman"/>
        </w:rPr>
        <w:t>éves kor közötti csecsemők és gyermekek esetében az ingerlékenységet (nagyon gyakori, 11,7 %) és a koordinációs zavart (gyakori, 3,3 %) gyakrabban jelentették, mint a többi korcsoportban vagy az összesített biztonságossági profilban.</w:t>
      </w:r>
    </w:p>
    <w:p w14:paraId="0470A787" w14:textId="77777777" w:rsidR="00B023F1" w:rsidRPr="00AA1346" w:rsidRDefault="00B023F1" w:rsidP="004401DF">
      <w:pPr>
        <w:suppressAutoHyphens/>
        <w:spacing w:after="0" w:line="240" w:lineRule="auto"/>
        <w:rPr>
          <w:rFonts w:ascii="Times New Roman" w:eastAsia="Times New Roman" w:hAnsi="Times New Roman" w:cs="Times New Roman"/>
        </w:rPr>
      </w:pPr>
    </w:p>
    <w:p w14:paraId="349C2159" w14:textId="229967F0" w:rsidR="00B023F1" w:rsidRPr="00AA1346" w:rsidRDefault="00B023F1"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Egy kettős vak, placebokontrollos, non-inferioritás igazolására tervezett, gyermekgyógyászati biztonságossági vizsgálatban a levetiracetám kognitív és neuropszichológiai képességekre gyakorolt hatását elemezték 4</w:t>
      </w:r>
      <w:r w:rsidR="001816A3">
        <w:rPr>
          <w:rFonts w:ascii="Times New Roman" w:eastAsia="Times New Roman" w:hAnsi="Times New Roman" w:cs="Times New Roman"/>
        </w:rPr>
        <w:t>–</w:t>
      </w:r>
      <w:r w:rsidRPr="00AA1346">
        <w:rPr>
          <w:rFonts w:ascii="Times New Roman" w:eastAsia="Times New Roman" w:hAnsi="Times New Roman" w:cs="Times New Roman"/>
        </w:rPr>
        <w:t>16 éves, parciális görcsrohamokban szenvedő gyermekeknél és serdülőknél. Azt állapították meg, hogy a levetiracetám nem különbözött („nem rosszabb, mint” – non-inferior) a placebótól a Leiter-R-féle figyelem és memória, összetett memóriavizsgálat (Leiter-R Attention and Memory, Memory Screen Composite) kiindulási pontszámaihoz képest mért változás alapján a protokoll szerinti betegcsoportban. A viselkedési és emocionális funkcióhoz kapcsolódó eredmények romlást jeleztek a levetiracetám-kezelés alatt álló betegeknél az agresszív viselkedés terén, amelyet validált ellenőrző listával (CBCL – Achenbach Child Behavior Checklist) végzett, szabványos és szisztematikus méréssel mutattak ki. Azoknál a betegeknél azonban, akik a levetiracetámot a hosszú távú, nyílt</w:t>
      </w:r>
      <w:r w:rsidR="001816A3">
        <w:rPr>
          <w:rFonts w:ascii="Times New Roman" w:eastAsia="Times New Roman" w:hAnsi="Times New Roman" w:cs="Times New Roman"/>
        </w:rPr>
        <w:t xml:space="preserve"> elrendezésű</w:t>
      </w:r>
      <w:r w:rsidRPr="00AA1346">
        <w:rPr>
          <w:rFonts w:ascii="Times New Roman" w:eastAsia="Times New Roman" w:hAnsi="Times New Roman" w:cs="Times New Roman"/>
        </w:rPr>
        <w:t>, követéses vizsgálatban is tovább szedték, általában nem tapasztaltak állapotromlást a viselkedési és emocionális funkció terén, nevezetesen, az agresszív viselkedéssel kapcsolatos mérési eredmények nem romlottak a kiindulási eredményekhez képest.</w:t>
      </w:r>
    </w:p>
    <w:p w14:paraId="6AE6F845" w14:textId="77777777" w:rsidR="0074275B" w:rsidRPr="00AA1346" w:rsidRDefault="0074275B" w:rsidP="004401DF">
      <w:pPr>
        <w:suppressAutoHyphens/>
        <w:spacing w:after="0" w:line="240" w:lineRule="auto"/>
        <w:rPr>
          <w:rFonts w:ascii="Times New Roman" w:eastAsia="Times New Roman" w:hAnsi="Times New Roman" w:cs="Times New Roman"/>
        </w:rPr>
      </w:pPr>
    </w:p>
    <w:p w14:paraId="61C3C3D3" w14:textId="77777777" w:rsidR="00394394" w:rsidRPr="00AA1346" w:rsidRDefault="0039439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Feltételezett mellékhatások bejelentése</w:t>
      </w:r>
    </w:p>
    <w:p w14:paraId="5EF57613" w14:textId="60161DA4" w:rsidR="00394394" w:rsidRPr="00AA1346" w:rsidRDefault="0039439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history="1">
        <w:r w:rsidRPr="00E65268">
          <w:rPr>
            <w:rFonts w:ascii="Times New Roman" w:eastAsia="Times New Roman" w:hAnsi="Times New Roman" w:cs="Times New Roman"/>
            <w:color w:val="0000FF"/>
            <w:highlight w:val="lightGray"/>
            <w:u w:val="single"/>
          </w:rPr>
          <w:t>V. füg</w:t>
        </w:r>
        <w:bookmarkStart w:id="3" w:name="_Hlt352075914"/>
        <w:bookmarkStart w:id="4" w:name="_Hlt352075915"/>
        <w:r w:rsidRPr="00E65268">
          <w:rPr>
            <w:rFonts w:ascii="Times New Roman" w:eastAsia="Times New Roman" w:hAnsi="Times New Roman" w:cs="Times New Roman"/>
            <w:color w:val="0000FF"/>
            <w:highlight w:val="lightGray"/>
            <w:u w:val="single"/>
          </w:rPr>
          <w:t>g</w:t>
        </w:r>
        <w:bookmarkEnd w:id="3"/>
        <w:bookmarkEnd w:id="4"/>
        <w:r w:rsidRPr="00E65268">
          <w:rPr>
            <w:rFonts w:ascii="Times New Roman" w:eastAsia="Times New Roman" w:hAnsi="Times New Roman" w:cs="Times New Roman"/>
            <w:color w:val="0000FF"/>
            <w:highlight w:val="lightGray"/>
            <w:u w:val="single"/>
          </w:rPr>
          <w:t>elékben</w:t>
        </w:r>
      </w:hyperlink>
      <w:r w:rsidRPr="00E65268">
        <w:rPr>
          <w:rFonts w:ascii="Times New Roman" w:eastAsia="Times New Roman" w:hAnsi="Times New Roman" w:cs="Times New Roman"/>
          <w:highlight w:val="lightGray"/>
        </w:rPr>
        <w:t xml:space="preserve"> található elérhetőségek valamelyikén keresztül</w:t>
      </w:r>
      <w:r w:rsidR="001816A3">
        <w:rPr>
          <w:rFonts w:ascii="Times New Roman" w:eastAsia="Times New Roman" w:hAnsi="Times New Roman" w:cs="Times New Roman"/>
        </w:rPr>
        <w:t>.</w:t>
      </w:r>
    </w:p>
    <w:p w14:paraId="09BFAFEA" w14:textId="77777777" w:rsidR="00394394" w:rsidRPr="00AA1346" w:rsidRDefault="00394394" w:rsidP="004401DF">
      <w:pPr>
        <w:suppressAutoHyphens/>
        <w:spacing w:after="0" w:line="240" w:lineRule="auto"/>
        <w:ind w:left="567" w:hanging="567"/>
        <w:rPr>
          <w:rFonts w:ascii="Times New Roman" w:eastAsia="Times New Roman" w:hAnsi="Times New Roman" w:cs="Times New Roman"/>
        </w:rPr>
      </w:pPr>
    </w:p>
    <w:p w14:paraId="19CC64E6"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4.9</w:t>
      </w:r>
      <w:r w:rsidRPr="00AA1346">
        <w:rPr>
          <w:rFonts w:ascii="Times New Roman" w:eastAsia="Times New Roman" w:hAnsi="Times New Roman" w:cs="Times New Roman"/>
          <w:b/>
        </w:rPr>
        <w:tab/>
        <w:t>Túladagolás</w:t>
      </w:r>
    </w:p>
    <w:p w14:paraId="51478A92" w14:textId="77777777" w:rsidR="00394394" w:rsidRPr="00AA1346" w:rsidRDefault="00394394" w:rsidP="004401DF">
      <w:pPr>
        <w:suppressAutoHyphens/>
        <w:spacing w:after="0" w:line="240" w:lineRule="auto"/>
        <w:ind w:left="567" w:hanging="567"/>
        <w:rPr>
          <w:rFonts w:ascii="Times New Roman" w:eastAsia="Times New Roman" w:hAnsi="Times New Roman" w:cs="Times New Roman"/>
          <w:b/>
        </w:rPr>
      </w:pPr>
    </w:p>
    <w:p w14:paraId="3A50B99F" w14:textId="77777777" w:rsidR="005541CE" w:rsidRPr="00AA1346" w:rsidRDefault="005541CE"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Tünetek</w:t>
      </w:r>
    </w:p>
    <w:p w14:paraId="45EDDE1B" w14:textId="77777777" w:rsidR="005541CE" w:rsidRPr="00AA1346" w:rsidRDefault="005541CE" w:rsidP="004401DF">
      <w:pPr>
        <w:suppressAutoHyphens/>
        <w:spacing w:after="0" w:line="240" w:lineRule="auto"/>
        <w:rPr>
          <w:rFonts w:ascii="Times New Roman" w:eastAsia="Times New Roman" w:hAnsi="Times New Roman" w:cs="Times New Roman"/>
        </w:rPr>
      </w:pPr>
    </w:p>
    <w:p w14:paraId="516E8760" w14:textId="72353701" w:rsidR="005541CE" w:rsidRPr="00AA1346" w:rsidRDefault="005541CE"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túladagolási eseteiben somnolentia, agitatio, agresszivitás, tudatzavar, légzésdepress</w:t>
      </w:r>
      <w:r w:rsidR="001816A3">
        <w:rPr>
          <w:rFonts w:ascii="Times New Roman" w:eastAsia="Times New Roman" w:hAnsi="Times New Roman" w:cs="Times New Roman"/>
        </w:rPr>
        <w:t>z</w:t>
      </w:r>
      <w:r w:rsidRPr="00AA1346">
        <w:rPr>
          <w:rFonts w:ascii="Times New Roman" w:eastAsia="Times New Roman" w:hAnsi="Times New Roman" w:cs="Times New Roman"/>
        </w:rPr>
        <w:t>i</w:t>
      </w:r>
      <w:r w:rsidR="001816A3">
        <w:rPr>
          <w:rFonts w:ascii="Times New Roman" w:eastAsia="Times New Roman" w:hAnsi="Times New Roman" w:cs="Times New Roman"/>
        </w:rPr>
        <w:t>ó</w:t>
      </w:r>
      <w:r w:rsidRPr="00AA1346">
        <w:rPr>
          <w:rFonts w:ascii="Times New Roman" w:eastAsia="Times New Roman" w:hAnsi="Times New Roman" w:cs="Times New Roman"/>
        </w:rPr>
        <w:t xml:space="preserve"> és coma fordult elő.</w:t>
      </w:r>
    </w:p>
    <w:p w14:paraId="184C585A" w14:textId="77777777" w:rsidR="005541CE" w:rsidRPr="00AA1346" w:rsidRDefault="005541CE" w:rsidP="004401DF">
      <w:pPr>
        <w:suppressAutoHyphens/>
        <w:spacing w:after="0" w:line="240" w:lineRule="auto"/>
        <w:rPr>
          <w:rFonts w:ascii="Times New Roman" w:eastAsia="Times New Roman" w:hAnsi="Times New Roman" w:cs="Times New Roman"/>
        </w:rPr>
      </w:pPr>
    </w:p>
    <w:p w14:paraId="43E62C71" w14:textId="77777777" w:rsidR="005541CE" w:rsidRPr="00AA1346" w:rsidRDefault="005541CE"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A túladagolás kezelése</w:t>
      </w:r>
    </w:p>
    <w:p w14:paraId="7043CA48" w14:textId="77777777" w:rsidR="005541CE" w:rsidRPr="00AA1346" w:rsidRDefault="005541CE" w:rsidP="004401DF">
      <w:pPr>
        <w:suppressAutoHyphens/>
        <w:spacing w:after="0" w:line="240" w:lineRule="auto"/>
        <w:rPr>
          <w:rFonts w:ascii="Times New Roman" w:eastAsia="Times New Roman" w:hAnsi="Times New Roman" w:cs="Times New Roman"/>
        </w:rPr>
      </w:pPr>
    </w:p>
    <w:p w14:paraId="3513E551" w14:textId="5EBD22C5" w:rsidR="00394394" w:rsidRPr="00AA1346" w:rsidRDefault="005541CE" w:rsidP="004401DF">
      <w:pPr>
        <w:suppressAutoHyphens/>
        <w:spacing w:after="0" w:line="240" w:lineRule="auto"/>
        <w:rPr>
          <w:rFonts w:ascii="Times New Roman" w:eastAsia="Times New Roman" w:hAnsi="Times New Roman" w:cs="Times New Roman"/>
          <w:b/>
        </w:rPr>
      </w:pPr>
      <w:r w:rsidRPr="00AA1346">
        <w:rPr>
          <w:rFonts w:ascii="Times New Roman" w:eastAsia="Times New Roman" w:hAnsi="Times New Roman" w:cs="Times New Roman"/>
        </w:rPr>
        <w:t>A levetiracetámnak nincs specifikus antidotuma. A túladagolás kezelése tüneti jellegű, sor kerülhet hemodialízisre is. A művese extrakciós hatékonysága 60%-os a levetiracetám és 74%-os az elsődleges metabolit esetében.</w:t>
      </w:r>
    </w:p>
    <w:p w14:paraId="575135FB"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07721E6A" w14:textId="77777777" w:rsidR="00D91BD4" w:rsidRPr="00AA1346" w:rsidRDefault="00D91BD4" w:rsidP="004401DF">
      <w:pPr>
        <w:suppressAutoHyphens/>
        <w:spacing w:after="0" w:line="240" w:lineRule="auto"/>
        <w:rPr>
          <w:rFonts w:ascii="Times New Roman" w:eastAsia="Times New Roman" w:hAnsi="Times New Roman" w:cs="Times New Roman"/>
          <w:b/>
        </w:rPr>
      </w:pPr>
    </w:p>
    <w:p w14:paraId="6190CB0D" w14:textId="77777777" w:rsidR="00394394" w:rsidRPr="0063525F" w:rsidRDefault="00394394" w:rsidP="004401DF">
      <w:pPr>
        <w:pStyle w:val="Nincstrkz"/>
        <w:tabs>
          <w:tab w:val="left" w:pos="567"/>
        </w:tabs>
        <w:rPr>
          <w:b/>
          <w:bCs/>
          <w:lang w:val="hu-HU"/>
        </w:rPr>
      </w:pPr>
      <w:r w:rsidRPr="0063525F">
        <w:rPr>
          <w:b/>
          <w:bCs/>
          <w:lang w:val="hu-HU"/>
        </w:rPr>
        <w:t>5.</w:t>
      </w:r>
      <w:r w:rsidRPr="0063525F">
        <w:rPr>
          <w:b/>
          <w:bCs/>
          <w:lang w:val="hu-HU"/>
        </w:rPr>
        <w:tab/>
        <w:t>FARMAKOLÓGIAI TULAJDONSÁGOK</w:t>
      </w:r>
    </w:p>
    <w:p w14:paraId="0ACAAF02" w14:textId="77777777" w:rsidR="00394394" w:rsidRPr="0063525F" w:rsidRDefault="00394394" w:rsidP="004401DF">
      <w:pPr>
        <w:pStyle w:val="Nincstrkz"/>
        <w:rPr>
          <w:b/>
          <w:bCs/>
          <w:lang w:val="hu-HU"/>
        </w:rPr>
      </w:pPr>
    </w:p>
    <w:p w14:paraId="1CA887D1" w14:textId="77777777" w:rsidR="00394394" w:rsidRPr="0063525F" w:rsidRDefault="00394394" w:rsidP="004401DF">
      <w:pPr>
        <w:pStyle w:val="Nincstrkz"/>
        <w:tabs>
          <w:tab w:val="left" w:pos="567"/>
        </w:tabs>
        <w:rPr>
          <w:b/>
          <w:bCs/>
          <w:lang w:val="hu-HU"/>
        </w:rPr>
      </w:pPr>
      <w:r w:rsidRPr="0063525F">
        <w:rPr>
          <w:b/>
          <w:bCs/>
          <w:lang w:val="hu-HU"/>
        </w:rPr>
        <w:t>5.1</w:t>
      </w:r>
      <w:r w:rsidRPr="0063525F">
        <w:rPr>
          <w:b/>
          <w:bCs/>
          <w:lang w:val="hu-HU"/>
        </w:rPr>
        <w:tab/>
        <w:t>Farmakodinámiás tulajdonságok</w:t>
      </w:r>
    </w:p>
    <w:p w14:paraId="086F1739" w14:textId="77777777" w:rsidR="00394394" w:rsidRPr="0063525F" w:rsidRDefault="00394394" w:rsidP="004401DF">
      <w:pPr>
        <w:pStyle w:val="Nincstrkz"/>
        <w:rPr>
          <w:b/>
          <w:bCs/>
          <w:lang w:val="hu-HU"/>
        </w:rPr>
      </w:pPr>
    </w:p>
    <w:p w14:paraId="28DAA553" w14:textId="73DCB52D" w:rsidR="00394394" w:rsidRPr="00AA1346" w:rsidRDefault="0039439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Farmakoterápiás csoport: </w:t>
      </w:r>
      <w:r w:rsidR="00D91BD4" w:rsidRPr="00AA1346">
        <w:rPr>
          <w:rFonts w:ascii="Times New Roman" w:eastAsia="Times New Roman" w:hAnsi="Times New Roman" w:cs="Times New Roman"/>
        </w:rPr>
        <w:t>antiepileptikumok, egyéb antiepileptikumok, ATC kód: N03AX14.</w:t>
      </w:r>
    </w:p>
    <w:p w14:paraId="67051CCB"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6651B41B" w14:textId="0ABD7B8E"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hatóanyag, a levetiracetám</w:t>
      </w:r>
      <w:r w:rsidR="001816A3">
        <w:rPr>
          <w:rFonts w:ascii="Times New Roman" w:eastAsia="Times New Roman" w:hAnsi="Times New Roman" w:cs="Times New Roman"/>
          <w:iCs/>
        </w:rPr>
        <w:t>,</w:t>
      </w:r>
      <w:r w:rsidRPr="00AA1346">
        <w:rPr>
          <w:rFonts w:ascii="Times New Roman" w:eastAsia="Times New Roman" w:hAnsi="Times New Roman" w:cs="Times New Roman"/>
          <w:iCs/>
        </w:rPr>
        <w:t xml:space="preserve"> egy pirrolidon-származék (az </w:t>
      </w:r>
      <w:r w:rsidRPr="00AA1346">
        <w:rPr>
          <w:rFonts w:ascii="Symbol" w:hAnsi="Symbol"/>
        </w:rPr>
        <w:t></w:t>
      </w:r>
      <w:r w:rsidRPr="00AA1346">
        <w:rPr>
          <w:rFonts w:ascii="Times New Roman" w:eastAsia="Times New Roman" w:hAnsi="Times New Roman" w:cs="Times New Roman"/>
          <w:iCs/>
        </w:rPr>
        <w:t>-etil-2-oxo-1-pirrolidin-acetamid S</w:t>
      </w:r>
      <w:r w:rsidRPr="00AA1346">
        <w:rPr>
          <w:rFonts w:ascii="Times New Roman" w:eastAsia="Times New Roman" w:hAnsi="Times New Roman" w:cs="Times New Roman"/>
          <w:iCs/>
        </w:rPr>
        <w:noBreakHyphen/>
        <w:t>enantiomerje), kémiai szempontból nem áll rokonságban egyetlen jelenleg forgalomban lévő antiepileptikum hatóanyagával sem.</w:t>
      </w:r>
    </w:p>
    <w:p w14:paraId="67776E83"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6BD77759" w14:textId="77777777" w:rsidR="00CA6801" w:rsidRPr="00AA1346" w:rsidRDefault="00CA6801"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Hatásmechanizmus</w:t>
      </w:r>
    </w:p>
    <w:p w14:paraId="440A706B"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5F877FAD" w14:textId="27820D74"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 levetiracetám hatásmechanizmusa még nem teljesen tisztázott. Az </w:t>
      </w:r>
      <w:r w:rsidRPr="00AA1346">
        <w:rPr>
          <w:rFonts w:ascii="Times New Roman" w:eastAsia="Times New Roman" w:hAnsi="Times New Roman" w:cs="Times New Roman"/>
          <w:i/>
        </w:rPr>
        <w:t>in</w:t>
      </w:r>
      <w:r w:rsidR="001816A3">
        <w:rPr>
          <w:rFonts w:ascii="Times New Roman" w:eastAsia="Times New Roman" w:hAnsi="Times New Roman" w:cs="Times New Roman"/>
          <w:i/>
        </w:rPr>
        <w:t> </w:t>
      </w:r>
      <w:r w:rsidRPr="00AA1346">
        <w:rPr>
          <w:rFonts w:ascii="Times New Roman" w:eastAsia="Times New Roman" w:hAnsi="Times New Roman" w:cs="Times New Roman"/>
          <w:i/>
        </w:rPr>
        <w:t>vitro</w:t>
      </w:r>
      <w:r w:rsidRPr="00AA1346">
        <w:rPr>
          <w:rFonts w:ascii="Times New Roman" w:eastAsia="Times New Roman" w:hAnsi="Times New Roman" w:cs="Times New Roman"/>
          <w:iCs/>
        </w:rPr>
        <w:t xml:space="preserve"> és az </w:t>
      </w:r>
      <w:r w:rsidRPr="00AA1346">
        <w:rPr>
          <w:rFonts w:ascii="Times New Roman" w:eastAsia="Times New Roman" w:hAnsi="Times New Roman" w:cs="Times New Roman"/>
          <w:i/>
        </w:rPr>
        <w:t>in</w:t>
      </w:r>
      <w:r w:rsidR="001816A3">
        <w:rPr>
          <w:rFonts w:ascii="Times New Roman" w:eastAsia="Times New Roman" w:hAnsi="Times New Roman" w:cs="Times New Roman"/>
          <w:i/>
        </w:rPr>
        <w:t> </w:t>
      </w:r>
      <w:r w:rsidRPr="00AA1346">
        <w:rPr>
          <w:rFonts w:ascii="Times New Roman" w:eastAsia="Times New Roman" w:hAnsi="Times New Roman" w:cs="Times New Roman"/>
          <w:i/>
        </w:rPr>
        <w:t>vivo</w:t>
      </w:r>
      <w:r w:rsidRPr="00AA1346">
        <w:rPr>
          <w:rFonts w:ascii="Times New Roman" w:eastAsia="Times New Roman" w:hAnsi="Times New Roman" w:cs="Times New Roman"/>
          <w:iCs/>
        </w:rPr>
        <w:t xml:space="preserve"> vizsgálatok arra utalnak, hogy a levetiracetám nem változtatja meg az alapvető sejtfunkciókat és a normális neurotranszmissziót.</w:t>
      </w:r>
    </w:p>
    <w:p w14:paraId="6C3A02A3"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58377F6E" w14:textId="19EBB579"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
        </w:rPr>
        <w:t>In</w:t>
      </w:r>
      <w:r w:rsidR="001816A3">
        <w:rPr>
          <w:rFonts w:ascii="Times New Roman" w:eastAsia="Times New Roman" w:hAnsi="Times New Roman" w:cs="Times New Roman"/>
          <w:i/>
        </w:rPr>
        <w:t> </w:t>
      </w:r>
      <w:r w:rsidRPr="00AA1346">
        <w:rPr>
          <w:rFonts w:ascii="Times New Roman" w:eastAsia="Times New Roman" w:hAnsi="Times New Roman" w:cs="Times New Roman"/>
          <w:i/>
        </w:rPr>
        <w:t>vitro</w:t>
      </w:r>
      <w:r w:rsidRPr="00AA1346">
        <w:rPr>
          <w:rFonts w:ascii="Times New Roman" w:eastAsia="Times New Roman" w:hAnsi="Times New Roman" w:cs="Times New Roman"/>
          <w:iCs/>
        </w:rPr>
        <w:t xml:space="preserve"> vizsgálatok szerint a levetiracetám oly módon hat az intraneuronális Ca</w:t>
      </w:r>
      <w:r w:rsidRPr="00AA1346">
        <w:rPr>
          <w:rFonts w:ascii="Times New Roman" w:eastAsia="Times New Roman" w:hAnsi="Times New Roman" w:cs="Times New Roman"/>
          <w:iCs/>
          <w:vertAlign w:val="superscript"/>
        </w:rPr>
        <w:t>2+</w:t>
      </w:r>
      <w:r w:rsidRPr="00AA1346">
        <w:rPr>
          <w:rFonts w:ascii="Times New Roman" w:eastAsia="Times New Roman" w:hAnsi="Times New Roman" w:cs="Times New Roman"/>
          <w:iCs/>
        </w:rPr>
        <w:t>-szintekre, hogy részlegesen gátolja az N-típusú Ca</w:t>
      </w:r>
      <w:r w:rsidRPr="00AA1346">
        <w:rPr>
          <w:rFonts w:ascii="Times New Roman" w:eastAsia="Times New Roman" w:hAnsi="Times New Roman" w:cs="Times New Roman"/>
          <w:iCs/>
          <w:vertAlign w:val="superscript"/>
        </w:rPr>
        <w:t>2+</w:t>
      </w:r>
      <w:r w:rsidRPr="00AA1346">
        <w:rPr>
          <w:rFonts w:ascii="Times New Roman" w:eastAsia="Times New Roman" w:hAnsi="Times New Roman" w:cs="Times New Roman"/>
          <w:iCs/>
        </w:rPr>
        <w:t>-áramokat, valamint csökkenti a Ca</w:t>
      </w:r>
      <w:r w:rsidRPr="00AA1346">
        <w:rPr>
          <w:rFonts w:ascii="Times New Roman" w:eastAsia="Times New Roman" w:hAnsi="Times New Roman" w:cs="Times New Roman"/>
          <w:iCs/>
          <w:vertAlign w:val="superscript"/>
        </w:rPr>
        <w:t>2+</w:t>
      </w:r>
      <w:r w:rsidRPr="00AA1346">
        <w:rPr>
          <w:rFonts w:ascii="Times New Roman" w:eastAsia="Times New Roman" w:hAnsi="Times New Roman" w:cs="Times New Roman"/>
          <w:iCs/>
        </w:rPr>
        <w:t xml:space="preserve">-felszabadulást az intraneuronális raktárakból. Emellett részlegesen gátolja a GABA és a glicin által szabályozott áramokban a cink és a </w:t>
      </w:r>
      <w:r w:rsidRPr="00AA1346">
        <w:rPr>
          <w:rFonts w:ascii="Symbol" w:hAnsi="Symbol"/>
        </w:rPr>
        <w:t></w:t>
      </w:r>
      <w:r w:rsidRPr="00AA1346">
        <w:rPr>
          <w:rFonts w:ascii="Times New Roman" w:eastAsia="Times New Roman" w:hAnsi="Times New Roman" w:cs="Times New Roman"/>
          <w:iCs/>
        </w:rPr>
        <w:t xml:space="preserve">-karbolinok indukálta csökkenést. </w:t>
      </w:r>
      <w:r w:rsidRPr="00AA1346">
        <w:rPr>
          <w:rFonts w:ascii="Times New Roman" w:eastAsia="Times New Roman" w:hAnsi="Times New Roman" w:cs="Times New Roman"/>
          <w:i/>
        </w:rPr>
        <w:t>In</w:t>
      </w:r>
      <w:r w:rsidR="001816A3">
        <w:rPr>
          <w:rFonts w:ascii="Times New Roman" w:eastAsia="Times New Roman" w:hAnsi="Times New Roman" w:cs="Times New Roman"/>
          <w:i/>
        </w:rPr>
        <w:t> </w:t>
      </w:r>
      <w:r w:rsidRPr="00AA1346">
        <w:rPr>
          <w:rFonts w:ascii="Times New Roman" w:eastAsia="Times New Roman" w:hAnsi="Times New Roman" w:cs="Times New Roman"/>
          <w:i/>
        </w:rPr>
        <w:t>vitro</w:t>
      </w:r>
      <w:r w:rsidRPr="00AA1346">
        <w:rPr>
          <w:rFonts w:ascii="Times New Roman" w:eastAsia="Times New Roman" w:hAnsi="Times New Roman" w:cs="Times New Roman"/>
          <w:iCs/>
        </w:rPr>
        <w:t xml:space="preserve"> vizsgálatokban kimutatták továbbá, hogy rágcsálók agyszövetében a levetiracetám egy specifikus helyhez kötődik. Ez a kötőhely a synapticus vesicularis protein 2A, amely ismereteink szerint szerepet játszik a vesicula</w:t>
      </w:r>
      <w:r w:rsidR="001C1504">
        <w:rPr>
          <w:rFonts w:ascii="Times New Roman" w:eastAsia="Times New Roman" w:hAnsi="Times New Roman" w:cs="Times New Roman"/>
          <w:iCs/>
        </w:rPr>
        <w:t>-</w:t>
      </w:r>
      <w:r w:rsidRPr="00AA1346">
        <w:rPr>
          <w:rFonts w:ascii="Times New Roman" w:eastAsia="Times New Roman" w:hAnsi="Times New Roman" w:cs="Times New Roman"/>
          <w:iCs/>
        </w:rPr>
        <w:t>fúzióban és a neurotranszmitter</w:t>
      </w:r>
      <w:r w:rsidR="001C1504">
        <w:rPr>
          <w:rFonts w:ascii="Times New Roman" w:eastAsia="Times New Roman" w:hAnsi="Times New Roman" w:cs="Times New Roman"/>
          <w:iCs/>
        </w:rPr>
        <w:t>-</w:t>
      </w:r>
      <w:r w:rsidRPr="00AA1346">
        <w:rPr>
          <w:rFonts w:ascii="Times New Roman" w:eastAsia="Times New Roman" w:hAnsi="Times New Roman" w:cs="Times New Roman"/>
          <w:iCs/>
        </w:rPr>
        <w:t>exocitózisban. A levetiracetámnak és analógjainak a synapticus vesicularis protein 2A-hoz történő kötődési affinitási sorrendje korrelációt mutat az epilepszia egér audiogén modelljében tapasztalható görcsgátló hatékonyságukkal. E megfigyelés alapján úgy tűnik, hogy a levetiracetám és a synapticus vesicularis protein 2A közötti kölcsönhatás szerepet játszik a gyógyszer antiepileptikus hatásmechanizmusában.</w:t>
      </w:r>
    </w:p>
    <w:p w14:paraId="64207726"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4C87E4FD" w14:textId="77777777" w:rsidR="00CA6801" w:rsidRPr="00AA1346" w:rsidRDefault="00CA6801"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Farmakodinámiás hatások</w:t>
      </w:r>
    </w:p>
    <w:p w14:paraId="1468A53D"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0D97DB26" w14:textId="77777777"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Állatkísérletes modelleken a levetiracetám a parciális és elsődlegesen generalizált görcsrohamok széles tartományában gátolja meg a görcsök fellépését anélkül, hogy prokonvulzív hatást fejtene ki. Elsődleges metabolitja inaktív. Embernél az epilepszia parciális és generalizált formáiban egyaránt (epileptiform kisüléseknél, illetve fotoparoxizmális válaszreakcióban) igazolódott a levetiracetám farmakológiai profilja alapján várható széles hatásspektrum.</w:t>
      </w:r>
    </w:p>
    <w:p w14:paraId="15BEE6F2"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57AE96D9" w14:textId="77777777" w:rsidR="00CA6801" w:rsidRPr="00AA1346" w:rsidRDefault="00CA6801"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Klinikai hatásosság és biztonságosság</w:t>
      </w:r>
    </w:p>
    <w:p w14:paraId="5FDDE0DE"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5E087CEA" w14:textId="42F6E403" w:rsidR="00CA6801" w:rsidRPr="00AA1346" w:rsidRDefault="00CA6801" w:rsidP="004401DF">
      <w:pPr>
        <w:suppressAutoHyphens/>
        <w:spacing w:after="0" w:line="240" w:lineRule="auto"/>
        <w:rPr>
          <w:rFonts w:ascii="Times New Roman" w:eastAsia="Times New Roman" w:hAnsi="Times New Roman" w:cs="Times New Roman"/>
          <w:i/>
        </w:rPr>
      </w:pPr>
      <w:r w:rsidRPr="00AA1346">
        <w:rPr>
          <w:rFonts w:ascii="Times New Roman" w:eastAsia="Times New Roman" w:hAnsi="Times New Roman" w:cs="Times New Roman"/>
          <w:i/>
        </w:rPr>
        <w:t>Kiegészítő kezelés epilepsziában szenvedő felnőttek, serdülők és 4</w:t>
      </w:r>
      <w:r w:rsidR="001C1504">
        <w:rPr>
          <w:rFonts w:ascii="Times New Roman" w:eastAsia="Times New Roman" w:hAnsi="Times New Roman" w:cs="Times New Roman"/>
          <w:i/>
        </w:rPr>
        <w:t> </w:t>
      </w:r>
      <w:r w:rsidRPr="00AA1346">
        <w:rPr>
          <w:rFonts w:ascii="Times New Roman" w:eastAsia="Times New Roman" w:hAnsi="Times New Roman" w:cs="Times New Roman"/>
          <w:i/>
        </w:rPr>
        <w:t>évesnél idősebb gyermekek</w:t>
      </w:r>
      <w:r w:rsidR="001C1504">
        <w:rPr>
          <w:rFonts w:ascii="Times New Roman" w:eastAsia="Times New Roman" w:hAnsi="Times New Roman" w:cs="Times New Roman"/>
          <w:i/>
        </w:rPr>
        <w:t xml:space="preserve"> – </w:t>
      </w:r>
      <w:r w:rsidRPr="00AA1346">
        <w:rPr>
          <w:rFonts w:ascii="Times New Roman" w:eastAsia="Times New Roman" w:hAnsi="Times New Roman" w:cs="Times New Roman"/>
          <w:i/>
        </w:rPr>
        <w:t>másodlagos generalizációval járó vagy anélkül fellépő – parciális görcsrohamainak kezelésére</w:t>
      </w:r>
    </w:p>
    <w:p w14:paraId="06ACF5CD"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345E7651" w14:textId="0C2C205A"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Felnőtteknél a napi 1000 mg-os, 2000 mg-os </w:t>
      </w:r>
      <w:r w:rsidR="001C1504">
        <w:rPr>
          <w:rFonts w:ascii="Times New Roman" w:eastAsia="Times New Roman" w:hAnsi="Times New Roman" w:cs="Times New Roman"/>
          <w:iCs/>
        </w:rPr>
        <w:t>vagy</w:t>
      </w:r>
      <w:r w:rsidRPr="00AA1346">
        <w:rPr>
          <w:rFonts w:ascii="Times New Roman" w:eastAsia="Times New Roman" w:hAnsi="Times New Roman" w:cs="Times New Roman"/>
          <w:iCs/>
        </w:rPr>
        <w:t xml:space="preserve"> 3000 mg-os, két egyenlő részre elosztott dózisban alkalmazott levetiracetám hatásosságát igazolták 3, kettős vak, placebokontrollos, legfeljebb 18 hetes kezelési időtartamú vizsgálatban. Egy összesített adatokon végzett elemzés szerint azon betegek százalékos aránya, akiknél az alapértékhez képest 50%-kal vagy nagyobb mértékben csökkent a parciális görcsrohamok hetenkénti gyakorisága stabil dózis mellett (12/14 hétig)</w:t>
      </w:r>
      <w:r w:rsidR="001C1504">
        <w:rPr>
          <w:rFonts w:ascii="Times New Roman" w:eastAsia="Times New Roman" w:hAnsi="Times New Roman" w:cs="Times New Roman"/>
          <w:iCs/>
        </w:rPr>
        <w:t>,</w:t>
      </w:r>
      <w:r w:rsidRPr="00AA1346">
        <w:rPr>
          <w:rFonts w:ascii="Times New Roman" w:eastAsia="Times New Roman" w:hAnsi="Times New Roman" w:cs="Times New Roman"/>
          <w:iCs/>
        </w:rPr>
        <w:t xml:space="preserve"> 27,7%, 31,6% </w:t>
      </w:r>
      <w:r w:rsidR="001C1504">
        <w:rPr>
          <w:rFonts w:ascii="Times New Roman" w:eastAsia="Times New Roman" w:hAnsi="Times New Roman" w:cs="Times New Roman"/>
          <w:iCs/>
        </w:rPr>
        <w:t>és</w:t>
      </w:r>
      <w:r w:rsidRPr="00AA1346">
        <w:rPr>
          <w:rFonts w:ascii="Times New Roman" w:eastAsia="Times New Roman" w:hAnsi="Times New Roman" w:cs="Times New Roman"/>
          <w:iCs/>
        </w:rPr>
        <w:t xml:space="preserve"> 41,3% volt a</w:t>
      </w:r>
      <w:r w:rsidR="0029295C">
        <w:rPr>
          <w:rFonts w:ascii="Times New Roman" w:eastAsia="Times New Roman" w:hAnsi="Times New Roman" w:cs="Times New Roman"/>
          <w:iCs/>
        </w:rPr>
        <w:t xml:space="preserve"> sorrendben</w:t>
      </w:r>
      <w:r w:rsidRPr="00AA1346">
        <w:rPr>
          <w:rFonts w:ascii="Times New Roman" w:eastAsia="Times New Roman" w:hAnsi="Times New Roman" w:cs="Times New Roman"/>
          <w:iCs/>
        </w:rPr>
        <w:t xml:space="preserve"> 1000, 2000</w:t>
      </w:r>
      <w:r w:rsidR="0029295C">
        <w:rPr>
          <w:rFonts w:ascii="Times New Roman" w:eastAsia="Times New Roman" w:hAnsi="Times New Roman" w:cs="Times New Roman"/>
          <w:iCs/>
        </w:rPr>
        <w:t>,</w:t>
      </w:r>
      <w:r w:rsidRPr="00AA1346">
        <w:rPr>
          <w:rFonts w:ascii="Times New Roman" w:eastAsia="Times New Roman" w:hAnsi="Times New Roman" w:cs="Times New Roman"/>
          <w:iCs/>
        </w:rPr>
        <w:t xml:space="preserve"> illetve 3000</w:t>
      </w:r>
      <w:r w:rsidR="001C1504">
        <w:rPr>
          <w:rFonts w:ascii="Times New Roman" w:eastAsia="Times New Roman" w:hAnsi="Times New Roman" w:cs="Times New Roman"/>
          <w:iCs/>
        </w:rPr>
        <w:t> </w:t>
      </w:r>
      <w:r w:rsidRPr="00AA1346">
        <w:rPr>
          <w:rFonts w:ascii="Times New Roman" w:eastAsia="Times New Roman" w:hAnsi="Times New Roman" w:cs="Times New Roman"/>
          <w:iCs/>
        </w:rPr>
        <w:t>mg levetiracetámmal kezelt betegeknél, a placebót kapó betegek esetében pedig ez az érték 12,6% volt.</w:t>
      </w:r>
    </w:p>
    <w:p w14:paraId="26EDC7C9"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0B163301" w14:textId="77777777" w:rsidR="00CA6801" w:rsidRPr="00AA1346" w:rsidRDefault="00CA6801"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Gyermekek és serdülők</w:t>
      </w:r>
    </w:p>
    <w:p w14:paraId="6DAF5DB1"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7BAA2F35" w14:textId="2285AE04"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Gyermekeknél és serdülőknél (4</w:t>
      </w:r>
      <w:r w:rsidR="00C86381">
        <w:rPr>
          <w:rFonts w:ascii="Times New Roman" w:eastAsia="Times New Roman" w:hAnsi="Times New Roman" w:cs="Times New Roman"/>
          <w:iCs/>
        </w:rPr>
        <w:t>–</w:t>
      </w:r>
      <w:r w:rsidRPr="00AA1346">
        <w:rPr>
          <w:rFonts w:ascii="Times New Roman" w:eastAsia="Times New Roman" w:hAnsi="Times New Roman" w:cs="Times New Roman"/>
          <w:iCs/>
        </w:rPr>
        <w:t>16 éves) a levetiracetám hatásosságát egy kettős vak, placebokontrollos, 14 hetes terápiás időtartamú vizsgálatban</w:t>
      </w:r>
      <w:r w:rsidR="00C86381" w:rsidRPr="00C86381">
        <w:rPr>
          <w:rFonts w:ascii="Times New Roman" w:eastAsia="Times New Roman" w:hAnsi="Times New Roman" w:cs="Times New Roman"/>
          <w:iCs/>
        </w:rPr>
        <w:t xml:space="preserve"> </w:t>
      </w:r>
      <w:r w:rsidR="00C86381" w:rsidRPr="00AA1346">
        <w:rPr>
          <w:rFonts w:ascii="Times New Roman" w:eastAsia="Times New Roman" w:hAnsi="Times New Roman" w:cs="Times New Roman"/>
          <w:iCs/>
        </w:rPr>
        <w:t>igazolták</w:t>
      </w:r>
      <w:r w:rsidRPr="00AA1346">
        <w:rPr>
          <w:rFonts w:ascii="Times New Roman" w:eastAsia="Times New Roman" w:hAnsi="Times New Roman" w:cs="Times New Roman"/>
          <w:iCs/>
        </w:rPr>
        <w:t>, amelybe 198 beteget vontak be. Ebben a vizsgálatban a betegek napi 60</w:t>
      </w:r>
      <w:r w:rsidR="00C86381">
        <w:rPr>
          <w:rFonts w:ascii="Times New Roman" w:eastAsia="Times New Roman" w:hAnsi="Times New Roman" w:cs="Times New Roman"/>
          <w:iCs/>
        </w:rPr>
        <w:t> </w:t>
      </w:r>
      <w:r w:rsidRPr="00AA1346">
        <w:rPr>
          <w:rFonts w:ascii="Times New Roman" w:eastAsia="Times New Roman" w:hAnsi="Times New Roman" w:cs="Times New Roman"/>
          <w:iCs/>
        </w:rPr>
        <w:t>mg/ttkg-os fix dózisban kapták a levetiracetámot (napi kétszeri adagolásban).</w:t>
      </w:r>
    </w:p>
    <w:p w14:paraId="4AE1F146" w14:textId="13E1DDD0"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 levetiracetámmal kezelt betegek 44,6%-ánál, míg a placebót kapó betegek 19,6%-ánál csökkent a kiindulási értékhez képest legalább 50%-kal a parciális görcsrohamok hetenkénti gyakorisága. A tovább folytatott, </w:t>
      </w:r>
      <w:r w:rsidR="00FA4349">
        <w:rPr>
          <w:rFonts w:ascii="Times New Roman" w:eastAsia="Times New Roman" w:hAnsi="Times New Roman" w:cs="Times New Roman"/>
          <w:iCs/>
        </w:rPr>
        <w:t>hosszú távú</w:t>
      </w:r>
      <w:r w:rsidRPr="00AA1346">
        <w:rPr>
          <w:rFonts w:ascii="Times New Roman" w:eastAsia="Times New Roman" w:hAnsi="Times New Roman" w:cs="Times New Roman"/>
          <w:iCs/>
        </w:rPr>
        <w:t xml:space="preserve"> kezelés mellett a betegek 11,4%-a legalább 6</w:t>
      </w:r>
      <w:r w:rsidR="00C86381">
        <w:rPr>
          <w:rFonts w:ascii="Times New Roman" w:eastAsia="Times New Roman" w:hAnsi="Times New Roman" w:cs="Times New Roman"/>
          <w:iCs/>
        </w:rPr>
        <w:t> </w:t>
      </w:r>
      <w:r w:rsidRPr="00AA1346">
        <w:rPr>
          <w:rFonts w:ascii="Times New Roman" w:eastAsia="Times New Roman" w:hAnsi="Times New Roman" w:cs="Times New Roman"/>
          <w:iCs/>
        </w:rPr>
        <w:t>hónapig, 7,2%-uk pedig legalább 1 évig rohammentes volt.</w:t>
      </w:r>
    </w:p>
    <w:p w14:paraId="58F1EF5B" w14:textId="18CE4D7D"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35, parciális görcsrohamokban szenvedő, 1 évesnél fiatalabb csecsemőt kezeltek placebokontrollos klinikai vizsgálatokban, akik közül csak 13 volt 6 hónaposnál fiatalabb.</w:t>
      </w:r>
    </w:p>
    <w:p w14:paraId="54786999"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2A77EFDF" w14:textId="5B07221E" w:rsidR="00CA6801" w:rsidRPr="00AA1346" w:rsidRDefault="00CA6801" w:rsidP="00E65268">
      <w:pPr>
        <w:spacing w:after="0" w:line="240" w:lineRule="auto"/>
        <w:rPr>
          <w:rFonts w:ascii="Times New Roman" w:eastAsia="Times New Roman" w:hAnsi="Times New Roman" w:cs="Times New Roman"/>
          <w:i/>
        </w:rPr>
      </w:pPr>
      <w:r w:rsidRPr="00AA1346">
        <w:rPr>
          <w:rFonts w:ascii="Times New Roman" w:eastAsia="Times New Roman" w:hAnsi="Times New Roman" w:cs="Times New Roman"/>
          <w:i/>
        </w:rPr>
        <w:t>Monoterápia újonnan diagnosztizált epilepsziában szenvedő, 16 éves</w:t>
      </w:r>
      <w:r w:rsidR="003B3ED0">
        <w:rPr>
          <w:rFonts w:ascii="Times New Roman" w:eastAsia="Times New Roman" w:hAnsi="Times New Roman" w:cs="Times New Roman"/>
          <w:i/>
        </w:rPr>
        <w:t xml:space="preserve"> kor feletti</w:t>
      </w:r>
      <w:r w:rsidRPr="00AA1346">
        <w:rPr>
          <w:rFonts w:ascii="Times New Roman" w:eastAsia="Times New Roman" w:hAnsi="Times New Roman" w:cs="Times New Roman"/>
          <w:i/>
        </w:rPr>
        <w:t xml:space="preserve"> betegek – másodlagos generalizációval járó vagy anélkül fellépő – parciális görcsrohamainak kezelésére</w:t>
      </w:r>
    </w:p>
    <w:p w14:paraId="5639F6F5"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08C3F0A5" w14:textId="7D86E502"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monoterápiában alkalmazott levetiracetám hatásosságát egy kettős vak, párhuzamos csoport</w:t>
      </w:r>
      <w:r w:rsidR="00C86381">
        <w:rPr>
          <w:rFonts w:ascii="Times New Roman" w:eastAsia="Times New Roman" w:hAnsi="Times New Roman" w:cs="Times New Roman"/>
          <w:iCs/>
        </w:rPr>
        <w:t>os</w:t>
      </w:r>
      <w:r w:rsidRPr="00AA1346">
        <w:rPr>
          <w:rFonts w:ascii="Times New Roman" w:eastAsia="Times New Roman" w:hAnsi="Times New Roman" w:cs="Times New Roman"/>
          <w:iCs/>
        </w:rPr>
        <w:t>, szabályozott hatóanyag-leadású (CR – controlled release) karbamazepinnel történő „non-inferiority” összehasonlításban állapították meg, 576 újonnan vagy nemrégiben diagnosztizált epilepsziában szenvedő</w:t>
      </w:r>
      <w:r w:rsidR="00C86381">
        <w:rPr>
          <w:rFonts w:ascii="Times New Roman" w:eastAsia="Times New Roman" w:hAnsi="Times New Roman" w:cs="Times New Roman"/>
          <w:iCs/>
        </w:rPr>
        <w:t>,</w:t>
      </w:r>
      <w:r w:rsidRPr="00AA1346">
        <w:rPr>
          <w:rFonts w:ascii="Times New Roman" w:eastAsia="Times New Roman" w:hAnsi="Times New Roman" w:cs="Times New Roman"/>
          <w:iCs/>
        </w:rPr>
        <w:t xml:space="preserve"> 16 éves vagy </w:t>
      </w:r>
      <w:r w:rsidR="00C86381">
        <w:rPr>
          <w:rFonts w:ascii="Times New Roman" w:eastAsia="Times New Roman" w:hAnsi="Times New Roman" w:cs="Times New Roman"/>
          <w:iCs/>
        </w:rPr>
        <w:t xml:space="preserve">annál </w:t>
      </w:r>
      <w:r w:rsidRPr="00AA1346">
        <w:rPr>
          <w:rFonts w:ascii="Times New Roman" w:eastAsia="Times New Roman" w:hAnsi="Times New Roman" w:cs="Times New Roman"/>
          <w:iCs/>
        </w:rPr>
        <w:t>idősebb betegnél. Valamennyi beteg vagy nem-provokált parciális görcsrohamokban vagy csak generalizált tónusos-klónusos görcsrohamokban szenvedett. A betegeket napi 400–1200</w:t>
      </w:r>
      <w:r w:rsidR="00C86381">
        <w:rPr>
          <w:rFonts w:ascii="Times New Roman" w:eastAsia="Times New Roman" w:hAnsi="Times New Roman" w:cs="Times New Roman"/>
          <w:iCs/>
        </w:rPr>
        <w:t> </w:t>
      </w:r>
      <w:r w:rsidRPr="00AA1346">
        <w:rPr>
          <w:rFonts w:ascii="Times New Roman" w:eastAsia="Times New Roman" w:hAnsi="Times New Roman" w:cs="Times New Roman"/>
          <w:iCs/>
        </w:rPr>
        <w:t xml:space="preserve">mg karbamazepin CR-re vagy 1000–3000 mg levetiracetámra randomizálták, a kezelés időtartama pedig </w:t>
      </w:r>
      <w:r w:rsidR="00C86381">
        <w:rPr>
          <w:rFonts w:ascii="Times New Roman" w:eastAsia="Times New Roman" w:hAnsi="Times New Roman" w:cs="Times New Roman"/>
          <w:iCs/>
        </w:rPr>
        <w:t xml:space="preserve">– </w:t>
      </w:r>
      <w:r w:rsidRPr="00AA1346">
        <w:rPr>
          <w:rFonts w:ascii="Times New Roman" w:eastAsia="Times New Roman" w:hAnsi="Times New Roman" w:cs="Times New Roman"/>
          <w:iCs/>
        </w:rPr>
        <w:t xml:space="preserve">a válaszreakciótól függően </w:t>
      </w:r>
      <w:r w:rsidR="00C86381">
        <w:rPr>
          <w:rFonts w:ascii="Times New Roman" w:eastAsia="Times New Roman" w:hAnsi="Times New Roman" w:cs="Times New Roman"/>
          <w:iCs/>
        </w:rPr>
        <w:t>–</w:t>
      </w:r>
      <w:r w:rsidRPr="00AA1346">
        <w:rPr>
          <w:rFonts w:ascii="Times New Roman" w:eastAsia="Times New Roman" w:hAnsi="Times New Roman" w:cs="Times New Roman"/>
          <w:iCs/>
        </w:rPr>
        <w:t xml:space="preserve"> legfeljebb 121</w:t>
      </w:r>
      <w:r w:rsidR="00C86381">
        <w:rPr>
          <w:rFonts w:ascii="Times New Roman" w:eastAsia="Times New Roman" w:hAnsi="Times New Roman" w:cs="Times New Roman"/>
          <w:iCs/>
        </w:rPr>
        <w:t> </w:t>
      </w:r>
      <w:r w:rsidRPr="00AA1346">
        <w:rPr>
          <w:rFonts w:ascii="Times New Roman" w:eastAsia="Times New Roman" w:hAnsi="Times New Roman" w:cs="Times New Roman"/>
          <w:iCs/>
        </w:rPr>
        <w:t>hét volt.</w:t>
      </w:r>
    </w:p>
    <w:p w14:paraId="5FF3A309" w14:textId="13841064"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lastRenderedPageBreak/>
        <w:t>Hathónapos rohammentességet értek el a levetiracetámmal kezelt betegek 73,0%-a és a karbamazepin CR-rel kezelt betegek 72,8%-a esetében, a korrigált abszolút különbség a kezelések között 0,2% volt (95%-os CI:</w:t>
      </w:r>
      <w:r w:rsidR="0088333E">
        <w:rPr>
          <w:rFonts w:ascii="Times New Roman" w:eastAsia="Times New Roman" w:hAnsi="Times New Roman" w:cs="Times New Roman"/>
          <w:iCs/>
        </w:rPr>
        <w:t xml:space="preserve"> –</w:t>
      </w:r>
      <w:r w:rsidRPr="00AA1346">
        <w:rPr>
          <w:rFonts w:ascii="Times New Roman" w:eastAsia="Times New Roman" w:hAnsi="Times New Roman" w:cs="Times New Roman"/>
          <w:iCs/>
        </w:rPr>
        <w:t>7,8</w:t>
      </w:r>
      <w:r w:rsidR="0088333E">
        <w:rPr>
          <w:rFonts w:ascii="Times New Roman" w:eastAsia="Times New Roman" w:hAnsi="Times New Roman" w:cs="Times New Roman"/>
          <w:iCs/>
        </w:rPr>
        <w:t>;</w:t>
      </w:r>
      <w:r w:rsidRPr="00AA1346">
        <w:rPr>
          <w:rFonts w:ascii="Times New Roman" w:eastAsia="Times New Roman" w:hAnsi="Times New Roman" w:cs="Times New Roman"/>
          <w:iCs/>
        </w:rPr>
        <w:t xml:space="preserve"> 8,2). A betegek több mint a fele maradt rohammentes 12 hónapon keresztül (56% a levetiracetámmal, </w:t>
      </w:r>
      <w:r w:rsidR="0088333E">
        <w:rPr>
          <w:rFonts w:ascii="Times New Roman" w:eastAsia="Times New Roman" w:hAnsi="Times New Roman" w:cs="Times New Roman"/>
          <w:iCs/>
        </w:rPr>
        <w:t>és</w:t>
      </w:r>
      <w:r w:rsidR="0088333E" w:rsidRPr="00AA1346">
        <w:rPr>
          <w:rFonts w:ascii="Times New Roman" w:eastAsia="Times New Roman" w:hAnsi="Times New Roman" w:cs="Times New Roman"/>
          <w:iCs/>
        </w:rPr>
        <w:t xml:space="preserve"> </w:t>
      </w:r>
      <w:r w:rsidRPr="00AA1346">
        <w:rPr>
          <w:rFonts w:ascii="Times New Roman" w:eastAsia="Times New Roman" w:hAnsi="Times New Roman" w:cs="Times New Roman"/>
          <w:iCs/>
        </w:rPr>
        <w:t>58,5% a karbamazepin CR-rel kezelt betegek esetében).</w:t>
      </w:r>
    </w:p>
    <w:p w14:paraId="20C279D9" w14:textId="4C757DA1" w:rsidR="00CA6801" w:rsidRPr="00AA1346" w:rsidRDefault="00CA6801" w:rsidP="004401DF">
      <w:pPr>
        <w:suppressAutoHyphens/>
        <w:spacing w:after="0" w:line="240" w:lineRule="auto"/>
        <w:rPr>
          <w:rFonts w:ascii="Times New Roman" w:eastAsia="Times New Roman" w:hAnsi="Times New Roman" w:cs="Times New Roman"/>
          <w:iCs/>
        </w:rPr>
      </w:pPr>
    </w:p>
    <w:p w14:paraId="437765E6" w14:textId="6028EA9C"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Egy, a klinikai gyakorlatot tükröző vizsgálatban az egyidejűleg adott egyéb antiepileptikumo(ka)t el lehetett vonni korlátozott számú, a kiegészítő levetiracetám-kezelésre reagáló beteg esetében</w:t>
      </w:r>
      <w:r w:rsidR="0009380A" w:rsidRPr="00AA1346">
        <w:rPr>
          <w:rFonts w:ascii="Times New Roman" w:eastAsia="Times New Roman" w:hAnsi="Times New Roman" w:cs="Times New Roman"/>
          <w:iCs/>
        </w:rPr>
        <w:t xml:space="preserve"> </w:t>
      </w:r>
      <w:r w:rsidRPr="00AA1346">
        <w:rPr>
          <w:rFonts w:ascii="Times New Roman" w:eastAsia="Times New Roman" w:hAnsi="Times New Roman" w:cs="Times New Roman"/>
          <w:iCs/>
        </w:rPr>
        <w:t>(69</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felnőtt beteg közül 36-nál).</w:t>
      </w:r>
    </w:p>
    <w:p w14:paraId="568CF8BA"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792EDF0B" w14:textId="52617742" w:rsidR="00CA6801" w:rsidRPr="00AA1346" w:rsidRDefault="00CA6801" w:rsidP="004401DF">
      <w:pPr>
        <w:suppressAutoHyphens/>
        <w:spacing w:after="0" w:line="240" w:lineRule="auto"/>
        <w:rPr>
          <w:rFonts w:ascii="Times New Roman" w:eastAsia="Times New Roman" w:hAnsi="Times New Roman" w:cs="Times New Roman"/>
          <w:i/>
        </w:rPr>
      </w:pPr>
      <w:r w:rsidRPr="00AA1346">
        <w:rPr>
          <w:rFonts w:ascii="Times New Roman" w:eastAsia="Times New Roman" w:hAnsi="Times New Roman" w:cs="Times New Roman"/>
          <w:i/>
        </w:rPr>
        <w:t>Kiegészítő kezelés juvenilis myoclonusos epilepsziában szenvedő felnőttek és 12</w:t>
      </w:r>
      <w:r w:rsidR="0009380A" w:rsidRPr="00AA1346">
        <w:rPr>
          <w:rFonts w:ascii="Times New Roman" w:eastAsia="Times New Roman" w:hAnsi="Times New Roman" w:cs="Times New Roman"/>
          <w:i/>
        </w:rPr>
        <w:t> </w:t>
      </w:r>
      <w:r w:rsidRPr="00AA1346">
        <w:rPr>
          <w:rFonts w:ascii="Times New Roman" w:eastAsia="Times New Roman" w:hAnsi="Times New Roman" w:cs="Times New Roman"/>
          <w:i/>
        </w:rPr>
        <w:t>éves</w:t>
      </w:r>
      <w:r w:rsidR="0088333E">
        <w:rPr>
          <w:rFonts w:ascii="Times New Roman" w:eastAsia="Times New Roman" w:hAnsi="Times New Roman" w:cs="Times New Roman"/>
          <w:i/>
        </w:rPr>
        <w:t>nél idősebb</w:t>
      </w:r>
      <w:r w:rsidRPr="00AA1346">
        <w:rPr>
          <w:rFonts w:ascii="Times New Roman" w:eastAsia="Times New Roman" w:hAnsi="Times New Roman" w:cs="Times New Roman"/>
          <w:i/>
        </w:rPr>
        <w:t xml:space="preserve"> gyermekek és serdülők myoclonusos görcsrohamainak kezelésére</w:t>
      </w:r>
    </w:p>
    <w:p w14:paraId="162FA348"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3C97C56B" w14:textId="0028FCCA"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levetiracetám hatásosságát egy kettős vak, placebokontrollos, 16</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hetes vizsgálatban</w:t>
      </w:r>
      <w:r w:rsidR="00577D3F" w:rsidRPr="00AA1346">
        <w:rPr>
          <w:rFonts w:ascii="Times New Roman" w:eastAsia="Times New Roman" w:hAnsi="Times New Roman" w:cs="Times New Roman"/>
          <w:iCs/>
        </w:rPr>
        <w:t xml:space="preserve"> igazolták</w:t>
      </w:r>
      <w:r w:rsidRPr="00AA1346">
        <w:rPr>
          <w:rFonts w:ascii="Times New Roman" w:eastAsia="Times New Roman" w:hAnsi="Times New Roman" w:cs="Times New Roman"/>
          <w:iCs/>
        </w:rPr>
        <w:t>, 12</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éves vagy</w:t>
      </w:r>
      <w:r w:rsidR="00577D3F">
        <w:rPr>
          <w:rFonts w:ascii="Times New Roman" w:eastAsia="Times New Roman" w:hAnsi="Times New Roman" w:cs="Times New Roman"/>
          <w:iCs/>
        </w:rPr>
        <w:t xml:space="preserve"> annál</w:t>
      </w:r>
      <w:r w:rsidRPr="00AA1346">
        <w:rPr>
          <w:rFonts w:ascii="Times New Roman" w:eastAsia="Times New Roman" w:hAnsi="Times New Roman" w:cs="Times New Roman"/>
          <w:iCs/>
        </w:rPr>
        <w:t xml:space="preserve"> idősebb, különböző szindrómák formájában fellépő</w:t>
      </w:r>
      <w:r w:rsidR="00577D3F">
        <w:rPr>
          <w:rFonts w:ascii="Times New Roman" w:eastAsia="Times New Roman" w:hAnsi="Times New Roman" w:cs="Times New Roman"/>
          <w:iCs/>
        </w:rPr>
        <w:t>,</w:t>
      </w:r>
      <w:r w:rsidRPr="00AA1346">
        <w:rPr>
          <w:rFonts w:ascii="Times New Roman" w:eastAsia="Times New Roman" w:hAnsi="Times New Roman" w:cs="Times New Roman"/>
          <w:iCs/>
        </w:rPr>
        <w:t xml:space="preserve"> myoclonusos görcsrohamokkal járó</w:t>
      </w:r>
      <w:r w:rsidR="00577D3F">
        <w:rPr>
          <w:rFonts w:ascii="Times New Roman" w:eastAsia="Times New Roman" w:hAnsi="Times New Roman" w:cs="Times New Roman"/>
          <w:iCs/>
        </w:rPr>
        <w:t>,</w:t>
      </w:r>
      <w:r w:rsidRPr="00AA1346">
        <w:rPr>
          <w:rFonts w:ascii="Times New Roman" w:eastAsia="Times New Roman" w:hAnsi="Times New Roman" w:cs="Times New Roman"/>
          <w:iCs/>
        </w:rPr>
        <w:t xml:space="preserve"> idiopathiás generalizált epilepsziában szenvedő betegeknél. A betegek többsége juvenilis myoclonusos epilepsziában szenvedett.</w:t>
      </w:r>
    </w:p>
    <w:p w14:paraId="257D5F8E" w14:textId="5B9211B5"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Ebben a vizsgálatban a levetiracetám dózisa napi 3000</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mg volt, 2</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egyenlő részre elosztva.</w:t>
      </w:r>
    </w:p>
    <w:p w14:paraId="55C7A194" w14:textId="3BB4C386"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 levetiracetámmal kezelt betegek 58,3%-ánál, illetve a placebót kapó betegek 23,3%-ánál csökkent hetenként legalább 50%-kal azon napok száma, amelyeken myoclonusos görcsrohamok léptek fel. A tovább folytatott, </w:t>
      </w:r>
      <w:r w:rsidR="005C4753">
        <w:rPr>
          <w:rFonts w:ascii="Times New Roman" w:eastAsia="Times New Roman" w:hAnsi="Times New Roman" w:cs="Times New Roman"/>
          <w:iCs/>
        </w:rPr>
        <w:t>hosszú távú</w:t>
      </w:r>
      <w:r w:rsidRPr="00AA1346">
        <w:rPr>
          <w:rFonts w:ascii="Times New Roman" w:eastAsia="Times New Roman" w:hAnsi="Times New Roman" w:cs="Times New Roman"/>
          <w:iCs/>
        </w:rPr>
        <w:t xml:space="preserve"> kezelés mellett a betegek 28,6%-a legalább 6</w:t>
      </w:r>
      <w:r w:rsidR="00577D3F">
        <w:rPr>
          <w:rFonts w:ascii="Times New Roman" w:eastAsia="Times New Roman" w:hAnsi="Times New Roman" w:cs="Times New Roman"/>
          <w:iCs/>
        </w:rPr>
        <w:t> </w:t>
      </w:r>
      <w:r w:rsidRPr="00AA1346">
        <w:rPr>
          <w:rFonts w:ascii="Times New Roman" w:eastAsia="Times New Roman" w:hAnsi="Times New Roman" w:cs="Times New Roman"/>
          <w:iCs/>
        </w:rPr>
        <w:t>hónapig, 21,0%-uk pedig legalább 1</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évig volt myoclonusos görcsrohamoktól mentes.</w:t>
      </w:r>
    </w:p>
    <w:p w14:paraId="668E802F"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03D8679D" w14:textId="66756978" w:rsidR="00CA6801" w:rsidRPr="00AA1346" w:rsidRDefault="00CA6801" w:rsidP="004401DF">
      <w:pPr>
        <w:suppressAutoHyphens/>
        <w:spacing w:after="0" w:line="240" w:lineRule="auto"/>
        <w:rPr>
          <w:rFonts w:ascii="Times New Roman" w:eastAsia="Times New Roman" w:hAnsi="Times New Roman" w:cs="Times New Roman"/>
          <w:i/>
        </w:rPr>
      </w:pPr>
      <w:r w:rsidRPr="00AA1346">
        <w:rPr>
          <w:rFonts w:ascii="Times New Roman" w:eastAsia="Times New Roman" w:hAnsi="Times New Roman" w:cs="Times New Roman"/>
          <w:i/>
        </w:rPr>
        <w:t>Kiegészítő kezelés idiopathiás generalizált epilepsziában szenvedő felnőttek és 12</w:t>
      </w:r>
      <w:r w:rsidR="0009380A" w:rsidRPr="00AA1346">
        <w:rPr>
          <w:rFonts w:ascii="Times New Roman" w:eastAsia="Times New Roman" w:hAnsi="Times New Roman" w:cs="Times New Roman"/>
          <w:i/>
        </w:rPr>
        <w:t> </w:t>
      </w:r>
      <w:r w:rsidRPr="00AA1346">
        <w:rPr>
          <w:rFonts w:ascii="Times New Roman" w:eastAsia="Times New Roman" w:hAnsi="Times New Roman" w:cs="Times New Roman"/>
          <w:i/>
        </w:rPr>
        <w:t>éves</w:t>
      </w:r>
      <w:r w:rsidR="003E33D6">
        <w:rPr>
          <w:rFonts w:ascii="Times New Roman" w:eastAsia="Times New Roman" w:hAnsi="Times New Roman" w:cs="Times New Roman"/>
          <w:i/>
        </w:rPr>
        <w:t>nél idősebb</w:t>
      </w:r>
      <w:r w:rsidRPr="00AA1346">
        <w:rPr>
          <w:rFonts w:ascii="Times New Roman" w:eastAsia="Times New Roman" w:hAnsi="Times New Roman" w:cs="Times New Roman"/>
          <w:i/>
        </w:rPr>
        <w:t xml:space="preserve"> gyermekek és serdülők primer generalizált tónusos-clonusos görcsrohamainak kezelésére</w:t>
      </w:r>
    </w:p>
    <w:p w14:paraId="200BB207" w14:textId="77777777" w:rsidR="00CA6801" w:rsidRPr="00AA1346" w:rsidRDefault="00CA6801" w:rsidP="004401DF">
      <w:pPr>
        <w:suppressAutoHyphens/>
        <w:spacing w:after="0" w:line="240" w:lineRule="auto"/>
        <w:rPr>
          <w:rFonts w:ascii="Times New Roman" w:eastAsia="Times New Roman" w:hAnsi="Times New Roman" w:cs="Times New Roman"/>
          <w:iCs/>
        </w:rPr>
      </w:pPr>
    </w:p>
    <w:p w14:paraId="7BB96EA9" w14:textId="64B37A86" w:rsidR="00CA6801"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levetiracetám hatásosságát egy olyan kettős vak, placebokontrollos, 24</w:t>
      </w:r>
      <w:r w:rsidR="003E33D6">
        <w:rPr>
          <w:rFonts w:ascii="Times New Roman" w:eastAsia="Times New Roman" w:hAnsi="Times New Roman" w:cs="Times New Roman"/>
          <w:iCs/>
        </w:rPr>
        <w:t> </w:t>
      </w:r>
      <w:r w:rsidRPr="00AA1346">
        <w:rPr>
          <w:rFonts w:ascii="Times New Roman" w:eastAsia="Times New Roman" w:hAnsi="Times New Roman" w:cs="Times New Roman"/>
          <w:iCs/>
        </w:rPr>
        <w:t>hetes vizsgálatban</w:t>
      </w:r>
      <w:r w:rsidR="003E33D6">
        <w:rPr>
          <w:rFonts w:ascii="Times New Roman" w:eastAsia="Times New Roman" w:hAnsi="Times New Roman" w:cs="Times New Roman"/>
          <w:iCs/>
        </w:rPr>
        <w:t xml:space="preserve"> állapították meg</w:t>
      </w:r>
      <w:r w:rsidRPr="00AA1346">
        <w:rPr>
          <w:rFonts w:ascii="Times New Roman" w:eastAsia="Times New Roman" w:hAnsi="Times New Roman" w:cs="Times New Roman"/>
          <w:iCs/>
        </w:rPr>
        <w:t xml:space="preserve">, amelybe különböző szindrómák (juvenilis myoclonusos epilepszia, juvenilis absence epilepszia, gyermekkori absence epilepszia, </w:t>
      </w:r>
      <w:r w:rsidR="003E33D6">
        <w:rPr>
          <w:rFonts w:ascii="Times New Roman" w:eastAsia="Times New Roman" w:hAnsi="Times New Roman" w:cs="Times New Roman"/>
          <w:iCs/>
        </w:rPr>
        <w:t>és</w:t>
      </w:r>
      <w:r w:rsidRPr="00AA1346">
        <w:rPr>
          <w:rFonts w:ascii="Times New Roman" w:eastAsia="Times New Roman" w:hAnsi="Times New Roman" w:cs="Times New Roman"/>
          <w:iCs/>
        </w:rPr>
        <w:t xml:space="preserve"> ébredési grand mal görcsrohamokkal járó epilepszia) formájában fellépő primer generalizált tónusos-clonusos (PGTC) görcsrohamokkal járó idiopathiás generalizált epilepsziában szenvedő felnőtteket, serdülőket és – korlátozott számban – gyermekeket vontak be. Ebben a vizsgálatban a levetiracetám dózisa felnőtteknél és serdülőknél napi 3000</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mg, gyermekeknél pedig napi 60</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mg/ttkg volt, 2</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egyenlő részre elosztva.</w:t>
      </w:r>
    </w:p>
    <w:p w14:paraId="010E9E0B" w14:textId="20BDB15E" w:rsidR="00394394" w:rsidRPr="00AA1346" w:rsidRDefault="00CA6801"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 levetiracetámmal kezelt betegek 72,2%-ánál, illetve a placebót kapók 45,2%-ánál csökkent legalább 50%-kal a PGTC görcsrohamok hetenkénti gyakorisága. A tovább folytatott, </w:t>
      </w:r>
      <w:r w:rsidR="00FA4349">
        <w:rPr>
          <w:rFonts w:ascii="Times New Roman" w:eastAsia="Times New Roman" w:hAnsi="Times New Roman" w:cs="Times New Roman"/>
          <w:iCs/>
        </w:rPr>
        <w:t>hosszú távú</w:t>
      </w:r>
      <w:r w:rsidRPr="00AA1346">
        <w:rPr>
          <w:rFonts w:ascii="Times New Roman" w:eastAsia="Times New Roman" w:hAnsi="Times New Roman" w:cs="Times New Roman"/>
          <w:iCs/>
        </w:rPr>
        <w:t xml:space="preserve"> kezelés mellett a betegek 47,4%-a legalább 6</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hónapig, 31,5%-uk pedig legalább 1</w:t>
      </w:r>
      <w:r w:rsidR="0009380A" w:rsidRPr="00AA1346">
        <w:rPr>
          <w:rFonts w:ascii="Times New Roman" w:eastAsia="Times New Roman" w:hAnsi="Times New Roman" w:cs="Times New Roman"/>
          <w:iCs/>
        </w:rPr>
        <w:t> </w:t>
      </w:r>
      <w:r w:rsidRPr="00AA1346">
        <w:rPr>
          <w:rFonts w:ascii="Times New Roman" w:eastAsia="Times New Roman" w:hAnsi="Times New Roman" w:cs="Times New Roman"/>
          <w:iCs/>
        </w:rPr>
        <w:t>évig mentes volt a tónusos-clonusos görcsrohamoktól.</w:t>
      </w:r>
    </w:p>
    <w:p w14:paraId="063AA246" w14:textId="77777777" w:rsidR="00CA6801" w:rsidRPr="00AA1346" w:rsidRDefault="00CA6801" w:rsidP="004401DF">
      <w:pPr>
        <w:suppressAutoHyphens/>
        <w:spacing w:after="0" w:line="240" w:lineRule="auto"/>
        <w:rPr>
          <w:rFonts w:ascii="Times New Roman" w:eastAsia="Times New Roman" w:hAnsi="Times New Roman" w:cs="Times New Roman"/>
        </w:rPr>
      </w:pPr>
    </w:p>
    <w:p w14:paraId="28D1B62F" w14:textId="77777777" w:rsidR="00394394" w:rsidRPr="0063525F" w:rsidRDefault="00394394" w:rsidP="004401DF">
      <w:pPr>
        <w:pStyle w:val="Nincstrkz"/>
        <w:tabs>
          <w:tab w:val="left" w:pos="567"/>
        </w:tabs>
        <w:rPr>
          <w:b/>
          <w:bCs/>
          <w:lang w:val="hu-HU"/>
        </w:rPr>
      </w:pPr>
      <w:r w:rsidRPr="0063525F">
        <w:rPr>
          <w:b/>
          <w:bCs/>
          <w:lang w:val="hu-HU"/>
        </w:rPr>
        <w:t>5.2</w:t>
      </w:r>
      <w:r w:rsidRPr="0063525F">
        <w:rPr>
          <w:b/>
          <w:bCs/>
          <w:lang w:val="hu-HU"/>
        </w:rPr>
        <w:tab/>
        <w:t>Farmakokinetikai tulajdonságok</w:t>
      </w:r>
    </w:p>
    <w:p w14:paraId="1046E6AB" w14:textId="77777777" w:rsidR="00394394" w:rsidRPr="0063525F" w:rsidRDefault="00394394" w:rsidP="004401DF">
      <w:pPr>
        <w:pStyle w:val="Nincstrkz"/>
        <w:rPr>
          <w:lang w:val="hu-HU"/>
        </w:rPr>
      </w:pPr>
    </w:p>
    <w:p w14:paraId="3FE801BC" w14:textId="618C086F" w:rsidR="00EC4844" w:rsidRPr="00AA1346" w:rsidRDefault="00EC4844"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farmakokinetikai profilt szájon át történő alkalmazást követően vizsgálták. Egyszeri 1500 mg-os, 100 ml kompatibilis oldószerrel h</w:t>
      </w:r>
      <w:r w:rsidR="003E33D6">
        <w:rPr>
          <w:rFonts w:ascii="Times New Roman" w:eastAsia="Times New Roman" w:hAnsi="Times New Roman" w:cs="Times New Roman"/>
          <w:iCs/>
        </w:rPr>
        <w:t>í</w:t>
      </w:r>
      <w:r w:rsidRPr="00AA1346">
        <w:rPr>
          <w:rFonts w:ascii="Times New Roman" w:eastAsia="Times New Roman" w:hAnsi="Times New Roman" w:cs="Times New Roman"/>
          <w:iCs/>
        </w:rPr>
        <w:t>gított és 15 perc alatt intravénás infúzió formájában beadott levetiracetám</w:t>
      </w:r>
      <w:r w:rsidR="003E33D6">
        <w:rPr>
          <w:rFonts w:ascii="Times New Roman" w:eastAsia="Times New Roman" w:hAnsi="Times New Roman" w:cs="Times New Roman"/>
          <w:iCs/>
        </w:rPr>
        <w:t>-</w:t>
      </w:r>
      <w:r w:rsidRPr="00AA1346">
        <w:rPr>
          <w:rFonts w:ascii="Times New Roman" w:eastAsia="Times New Roman" w:hAnsi="Times New Roman" w:cs="Times New Roman"/>
          <w:iCs/>
        </w:rPr>
        <w:t>dózis bioekvivalens 1500 mg, három 500 mg-os tabletta formájában szájon át alkalmazott levetiracetámmal.</w:t>
      </w:r>
    </w:p>
    <w:p w14:paraId="42975D5E" w14:textId="77777777" w:rsidR="00EC4844" w:rsidRPr="00AA1346" w:rsidRDefault="00EC4844" w:rsidP="004401DF">
      <w:pPr>
        <w:suppressAutoHyphens/>
        <w:spacing w:after="0" w:line="240" w:lineRule="auto"/>
        <w:rPr>
          <w:rFonts w:ascii="Times New Roman" w:eastAsia="Times New Roman" w:hAnsi="Times New Roman" w:cs="Times New Roman"/>
          <w:iCs/>
        </w:rPr>
      </w:pPr>
    </w:p>
    <w:p w14:paraId="43E5B158" w14:textId="3D94DB5C" w:rsidR="00EC4844" w:rsidRPr="00AA1346" w:rsidRDefault="00EC4844"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100 ml 0,9%-os nátrium-klorid-oldatban oldott, maximum 4000 mg-os dózisok 15 perces, valamint 100 ml 0,9%-os nátrium-klorid-oldatban oldott, maximum 2500 mg-os dózisok 5</w:t>
      </w:r>
      <w:r w:rsidR="003E33D6">
        <w:rPr>
          <w:rFonts w:ascii="Times New Roman" w:eastAsia="Times New Roman" w:hAnsi="Times New Roman" w:cs="Times New Roman"/>
          <w:iCs/>
        </w:rPr>
        <w:t> </w:t>
      </w:r>
      <w:r w:rsidRPr="00AA1346">
        <w:rPr>
          <w:rFonts w:ascii="Times New Roman" w:eastAsia="Times New Roman" w:hAnsi="Times New Roman" w:cs="Times New Roman"/>
          <w:iCs/>
        </w:rPr>
        <w:t>perces intravénás infúzióban történő alkalmazását vizsgálták. A farmakokinetikai és biztonságossági jellemzők nem utaltak semmiféle gyógyszerbiztonsági aggályra.</w:t>
      </w:r>
    </w:p>
    <w:p w14:paraId="5DD160C6" w14:textId="77777777" w:rsidR="00EC4844" w:rsidRPr="00AA1346" w:rsidRDefault="00EC4844" w:rsidP="004401DF">
      <w:pPr>
        <w:suppressAutoHyphens/>
        <w:spacing w:after="0" w:line="240" w:lineRule="auto"/>
        <w:rPr>
          <w:rFonts w:ascii="Times New Roman" w:eastAsia="Times New Roman" w:hAnsi="Times New Roman" w:cs="Times New Roman"/>
          <w:iCs/>
        </w:rPr>
      </w:pPr>
    </w:p>
    <w:p w14:paraId="482EAB36" w14:textId="77777777" w:rsidR="003E33D6" w:rsidRDefault="00EC4844"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A levetiracetám igen jól oldódó és permeábilis vegyület. Farmakokinetikai profilja lineáris, alacsony egyénen belüli és egyének közötti variabilitással. Ismételt alkalmazás esetén nem változik a gyógyszer clearance-e. A levetiracetám időtől független farmakokinetikai profilját napi kétszeri adagolásban, 4 napon át intravénás infúzióban adott, 1500 mg</w:t>
      </w:r>
      <w:r w:rsidR="003E33D6">
        <w:rPr>
          <w:rFonts w:ascii="Times New Roman" w:eastAsia="Times New Roman" w:hAnsi="Times New Roman" w:cs="Times New Roman"/>
          <w:iCs/>
        </w:rPr>
        <w:t>-os dózis</w:t>
      </w:r>
      <w:r w:rsidRPr="00AA1346">
        <w:rPr>
          <w:rFonts w:ascii="Times New Roman" w:eastAsia="Times New Roman" w:hAnsi="Times New Roman" w:cs="Times New Roman"/>
          <w:iCs/>
        </w:rPr>
        <w:t xml:space="preserve"> beadását követően igazolták.</w:t>
      </w:r>
    </w:p>
    <w:p w14:paraId="2E58509D" w14:textId="7134A9B3" w:rsidR="00EC4844" w:rsidRPr="00AA1346" w:rsidRDefault="00EC4844"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 xml:space="preserve">A kinetikai mutatók nemre, rasszra és a cirkadián ritmusra vonatkozóan sem mutatnak lényeges különbséget. A farmakokinetikai </w:t>
      </w:r>
      <w:r w:rsidR="003E33D6">
        <w:rPr>
          <w:rFonts w:ascii="Times New Roman" w:eastAsia="Times New Roman" w:hAnsi="Times New Roman" w:cs="Times New Roman"/>
          <w:iCs/>
        </w:rPr>
        <w:t>profil</w:t>
      </w:r>
      <w:r w:rsidRPr="00AA1346">
        <w:rPr>
          <w:rFonts w:ascii="Times New Roman" w:eastAsia="Times New Roman" w:hAnsi="Times New Roman" w:cs="Times New Roman"/>
          <w:iCs/>
        </w:rPr>
        <w:t xml:space="preserve"> hasonló egészséges önkéntesek és epilepsziában szenvedő betegek esetében.</w:t>
      </w:r>
    </w:p>
    <w:p w14:paraId="5F22FDA6" w14:textId="77777777" w:rsidR="00EC4844" w:rsidRPr="00AA1346" w:rsidRDefault="00EC4844" w:rsidP="004401DF">
      <w:pPr>
        <w:suppressAutoHyphens/>
        <w:spacing w:after="0" w:line="240" w:lineRule="auto"/>
        <w:rPr>
          <w:rFonts w:ascii="Times New Roman" w:eastAsia="Times New Roman" w:hAnsi="Times New Roman" w:cs="Times New Roman"/>
          <w:iCs/>
          <w:u w:val="single"/>
        </w:rPr>
      </w:pPr>
    </w:p>
    <w:p w14:paraId="7B9897E0" w14:textId="77777777" w:rsidR="00EC4844" w:rsidRPr="00AA1346" w:rsidRDefault="00EC484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lastRenderedPageBreak/>
        <w:t>Felnőttek és serdülők</w:t>
      </w:r>
    </w:p>
    <w:p w14:paraId="280758A6"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3CE09DEA" w14:textId="77777777" w:rsidR="00EC4844" w:rsidRPr="00AA1346" w:rsidRDefault="00EC484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Eloszlás</w:t>
      </w:r>
    </w:p>
    <w:p w14:paraId="1016EA09"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5A1D0E72" w14:textId="75A4BE1B"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1500 mg egyszeri intravénás dózis 15 perces infúzióban történ</w:t>
      </w:r>
      <w:r w:rsidR="003939F3">
        <w:rPr>
          <w:rFonts w:ascii="Times New Roman" w:eastAsia="Times New Roman" w:hAnsi="Times New Roman" w:cs="Times New Roman"/>
        </w:rPr>
        <w:t>ő</w:t>
      </w:r>
      <w:r w:rsidRPr="00AA1346">
        <w:rPr>
          <w:rFonts w:ascii="Times New Roman" w:eastAsia="Times New Roman" w:hAnsi="Times New Roman" w:cs="Times New Roman"/>
        </w:rPr>
        <w:t xml:space="preserve"> beadását követően </w:t>
      </w:r>
      <w:r w:rsidR="003939F3">
        <w:rPr>
          <w:rFonts w:ascii="Times New Roman" w:eastAsia="Times New Roman" w:hAnsi="Times New Roman" w:cs="Times New Roman"/>
        </w:rPr>
        <w:t>a</w:t>
      </w:r>
      <w:r w:rsidR="003939F3" w:rsidRPr="00AA1346">
        <w:rPr>
          <w:rFonts w:ascii="Times New Roman" w:eastAsia="Times New Roman" w:hAnsi="Times New Roman" w:cs="Times New Roman"/>
        </w:rPr>
        <w:t xml:space="preserve"> plazma csúcskoncentráció (C</w:t>
      </w:r>
      <w:r w:rsidR="003939F3" w:rsidRPr="00AA1346">
        <w:rPr>
          <w:rFonts w:ascii="Times New Roman" w:eastAsia="Times New Roman" w:hAnsi="Times New Roman" w:cs="Times New Roman"/>
          <w:vertAlign w:val="subscript"/>
        </w:rPr>
        <w:t>max</w:t>
      </w:r>
      <w:r w:rsidR="003939F3" w:rsidRPr="00AA1346">
        <w:rPr>
          <w:rFonts w:ascii="Times New Roman" w:eastAsia="Times New Roman" w:hAnsi="Times New Roman" w:cs="Times New Roman"/>
        </w:rPr>
        <w:t>) 17 vizsgálati alany</w:t>
      </w:r>
      <w:r w:rsidR="003939F3">
        <w:rPr>
          <w:rFonts w:ascii="Times New Roman" w:eastAsia="Times New Roman" w:hAnsi="Times New Roman" w:cs="Times New Roman"/>
        </w:rPr>
        <w:t>nál</w:t>
      </w:r>
      <w:r w:rsidR="003939F3" w:rsidRPr="00AA1346">
        <w:rPr>
          <w:rFonts w:ascii="Times New Roman" w:eastAsia="Times New Roman" w:hAnsi="Times New Roman" w:cs="Times New Roman"/>
        </w:rPr>
        <w:t xml:space="preserve"> </w:t>
      </w:r>
      <w:r w:rsidRPr="00AA1346">
        <w:rPr>
          <w:rFonts w:ascii="Times New Roman" w:eastAsia="Times New Roman" w:hAnsi="Times New Roman" w:cs="Times New Roman"/>
        </w:rPr>
        <w:t>meg</w:t>
      </w:r>
      <w:r w:rsidR="003939F3">
        <w:rPr>
          <w:rFonts w:ascii="Times New Roman" w:eastAsia="Times New Roman" w:hAnsi="Times New Roman" w:cs="Times New Roman"/>
        </w:rPr>
        <w:t>figyelt</w:t>
      </w:r>
      <w:r w:rsidRPr="00AA1346">
        <w:rPr>
          <w:rFonts w:ascii="Times New Roman" w:eastAsia="Times New Roman" w:hAnsi="Times New Roman" w:cs="Times New Roman"/>
        </w:rPr>
        <w:t xml:space="preserve"> értéke 51 ± 19 </w:t>
      </w:r>
      <w:r w:rsidR="003939F3">
        <w:rPr>
          <w:rFonts w:ascii="Times New Roman" w:eastAsia="Times New Roman" w:hAnsi="Times New Roman" w:cs="Times New Roman"/>
        </w:rPr>
        <w:t>mikro</w:t>
      </w:r>
      <w:r w:rsidRPr="00AA1346">
        <w:rPr>
          <w:rFonts w:ascii="Times New Roman" w:eastAsia="Times New Roman" w:hAnsi="Times New Roman" w:cs="Times New Roman"/>
        </w:rPr>
        <w:t>g</w:t>
      </w:r>
      <w:r w:rsidR="003939F3">
        <w:rPr>
          <w:rFonts w:ascii="Times New Roman" w:eastAsia="Times New Roman" w:hAnsi="Times New Roman" w:cs="Times New Roman"/>
        </w:rPr>
        <w:t>ramm</w:t>
      </w:r>
      <w:r w:rsidRPr="00AA1346">
        <w:rPr>
          <w:rFonts w:ascii="Times New Roman" w:eastAsia="Times New Roman" w:hAnsi="Times New Roman" w:cs="Times New Roman"/>
        </w:rPr>
        <w:t>/ml volt (számtani átlag ± standard deviáció).</w:t>
      </w:r>
    </w:p>
    <w:p w14:paraId="27C00794"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0CEF7C48" w14:textId="5BD25A04" w:rsidR="00EC4844" w:rsidRPr="00AA1346" w:rsidRDefault="003939F3" w:rsidP="004401DF">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A</w:t>
      </w:r>
      <w:r w:rsidR="00EC4844" w:rsidRPr="00AA1346">
        <w:rPr>
          <w:rFonts w:ascii="Times New Roman" w:eastAsia="Times New Roman" w:hAnsi="Times New Roman" w:cs="Times New Roman"/>
        </w:rPr>
        <w:t xml:space="preserve"> gyógyszer szöveti eloszlására vonatkozó </w:t>
      </w:r>
      <w:r>
        <w:rPr>
          <w:rFonts w:ascii="Times New Roman" w:eastAsia="Times New Roman" w:hAnsi="Times New Roman" w:cs="Times New Roman"/>
        </w:rPr>
        <w:t xml:space="preserve">humán </w:t>
      </w:r>
      <w:r w:rsidR="00EC4844" w:rsidRPr="00AA1346">
        <w:rPr>
          <w:rFonts w:ascii="Times New Roman" w:eastAsia="Times New Roman" w:hAnsi="Times New Roman" w:cs="Times New Roman"/>
        </w:rPr>
        <w:t>adatok</w:t>
      </w:r>
      <w:r w:rsidRPr="003939F3">
        <w:rPr>
          <w:rFonts w:ascii="Times New Roman" w:eastAsia="Times New Roman" w:hAnsi="Times New Roman" w:cs="Times New Roman"/>
        </w:rPr>
        <w:t xml:space="preserve"> </w:t>
      </w:r>
      <w:r w:rsidRPr="00AA1346">
        <w:rPr>
          <w:rFonts w:ascii="Times New Roman" w:eastAsia="Times New Roman" w:hAnsi="Times New Roman" w:cs="Times New Roman"/>
        </w:rPr>
        <w:t>nem állnak rendelkezésre</w:t>
      </w:r>
      <w:r w:rsidR="00EC4844" w:rsidRPr="00AA1346">
        <w:rPr>
          <w:rFonts w:ascii="Times New Roman" w:eastAsia="Times New Roman" w:hAnsi="Times New Roman" w:cs="Times New Roman"/>
        </w:rPr>
        <w:t>.</w:t>
      </w:r>
    </w:p>
    <w:p w14:paraId="5A7F7C85" w14:textId="3298E5D6"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Sem a levetiracetám, sem </w:t>
      </w:r>
      <w:r w:rsidR="003939F3">
        <w:rPr>
          <w:rFonts w:ascii="Times New Roman" w:eastAsia="Times New Roman" w:hAnsi="Times New Roman" w:cs="Times New Roman"/>
        </w:rPr>
        <w:t xml:space="preserve">az </w:t>
      </w:r>
      <w:r w:rsidRPr="00AA1346">
        <w:rPr>
          <w:rFonts w:ascii="Times New Roman" w:eastAsia="Times New Roman" w:hAnsi="Times New Roman" w:cs="Times New Roman"/>
        </w:rPr>
        <w:t>elsődleges metabolitja nem kötődik jelentős mértékben a plazmafehérjékhez (</w:t>
      </w:r>
      <w:r w:rsidRPr="00AA1346">
        <w:rPr>
          <w:rFonts w:ascii="Times New Roman" w:eastAsia="Times New Roman" w:hAnsi="Times New Roman" w:cs="Times New Roman"/>
          <w:color w:val="000000"/>
        </w:rPr>
        <w:t>&lt; </w:t>
      </w:r>
      <w:r w:rsidRPr="00AA1346">
        <w:rPr>
          <w:rFonts w:ascii="Times New Roman" w:eastAsia="Times New Roman" w:hAnsi="Times New Roman" w:cs="Times New Roman"/>
        </w:rPr>
        <w:t>10%). A levetiracetám eloszlási térfogata körülbelül 0,5</w:t>
      </w:r>
      <w:r w:rsidR="00CD2D46" w:rsidRPr="00AA1346">
        <w:rPr>
          <w:rFonts w:ascii="Times New Roman" w:eastAsia="Times New Roman" w:hAnsi="Times New Roman" w:cs="Times New Roman"/>
        </w:rPr>
        <w:t>–</w:t>
      </w:r>
      <w:r w:rsidRPr="00AA1346">
        <w:rPr>
          <w:rFonts w:ascii="Times New Roman" w:eastAsia="Times New Roman" w:hAnsi="Times New Roman" w:cs="Times New Roman"/>
        </w:rPr>
        <w:t>0,7</w:t>
      </w:r>
      <w:r w:rsidR="00CD2D46" w:rsidRPr="00AA1346">
        <w:rPr>
          <w:rFonts w:ascii="Times New Roman" w:eastAsia="Times New Roman" w:hAnsi="Times New Roman" w:cs="Times New Roman"/>
        </w:rPr>
        <w:t> </w:t>
      </w:r>
      <w:r w:rsidRPr="00AA1346">
        <w:rPr>
          <w:rFonts w:ascii="Times New Roman" w:eastAsia="Times New Roman" w:hAnsi="Times New Roman" w:cs="Times New Roman"/>
        </w:rPr>
        <w:t>l/ttkg, tehát a test teljes víztérfogatához igen közeli érték.</w:t>
      </w:r>
    </w:p>
    <w:p w14:paraId="67D8D427"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044FD435" w14:textId="77777777" w:rsidR="00EC4844" w:rsidRPr="00AA1346" w:rsidRDefault="00EC484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Biotranszformáció</w:t>
      </w:r>
    </w:p>
    <w:p w14:paraId="058CA849"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0020A063" w14:textId="53CCE6D0"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Az emberi szervezetben a levetiracetám metabolizmusa nem jelentős mértékű. A metabolizmus legfőbb (a dózis 24</w:t>
      </w:r>
      <w:r w:rsidR="00872341" w:rsidRPr="00AA1346">
        <w:rPr>
          <w:rFonts w:ascii="Times New Roman" w:eastAsia="Times New Roman" w:hAnsi="Times New Roman" w:cs="Times New Roman"/>
        </w:rPr>
        <w:t> </w:t>
      </w:r>
      <w:r w:rsidRPr="00AA1346">
        <w:rPr>
          <w:rFonts w:ascii="Times New Roman" w:eastAsia="Times New Roman" w:hAnsi="Times New Roman" w:cs="Times New Roman"/>
        </w:rPr>
        <w:t>%-át érintő) útja az acetamid csoport enzimatikus hidrolízise. Az elsődleges metabolit, az ucb L057</w:t>
      </w:r>
      <w:r w:rsidR="003939F3">
        <w:rPr>
          <w:rFonts w:ascii="Times New Roman" w:eastAsia="Times New Roman" w:hAnsi="Times New Roman" w:cs="Times New Roman"/>
        </w:rPr>
        <w:t>,</w:t>
      </w:r>
      <w:r w:rsidRPr="00AA1346">
        <w:rPr>
          <w:rFonts w:ascii="Times New Roman" w:eastAsia="Times New Roman" w:hAnsi="Times New Roman" w:cs="Times New Roman"/>
        </w:rPr>
        <w:t xml:space="preserve"> képződésében nem játszanak szerepet a máj citokróm P</w:t>
      </w:r>
      <w:r w:rsidRPr="00AA1346">
        <w:rPr>
          <w:rFonts w:ascii="Times New Roman" w:eastAsia="Times New Roman" w:hAnsi="Times New Roman" w:cs="Times New Roman"/>
          <w:vertAlign w:val="subscript"/>
        </w:rPr>
        <w:t>450</w:t>
      </w:r>
      <w:r w:rsidRPr="00AA1346">
        <w:rPr>
          <w:rFonts w:ascii="Times New Roman" w:eastAsia="Times New Roman" w:hAnsi="Times New Roman" w:cs="Times New Roman"/>
        </w:rPr>
        <w:t xml:space="preserve"> izoenzimjei. Az acetamid csoport hidrolízise számos szövetben mérhető, többek között a vérsejtekben is. Az ucb L057 metabolit farmakológiailag inaktív.</w:t>
      </w:r>
    </w:p>
    <w:p w14:paraId="7EB59B5A"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1815BE0A" w14:textId="77777777"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Két jelentéktelen metabolitot is azonosítottak. Egyikük (a dózis 1,6%-a) a pirrolidon gyűrű hidroxilációja, másikuk (a dózis 0,9%-a) pedig a pirrolidon gyűrű megnyílása révén keletkezik. Egyéb, eddig még nem azonosított komponensek csak a dózis 0,6%-át teszik ki.</w:t>
      </w:r>
    </w:p>
    <w:p w14:paraId="15284E8A"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4659D3DB" w14:textId="2FD429F0"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Sem a levetiracetám, sem </w:t>
      </w:r>
      <w:r w:rsidR="003939F3">
        <w:rPr>
          <w:rFonts w:ascii="Times New Roman" w:eastAsia="Times New Roman" w:hAnsi="Times New Roman" w:cs="Times New Roman"/>
        </w:rPr>
        <w:t xml:space="preserve">az </w:t>
      </w:r>
      <w:r w:rsidRPr="00AA1346">
        <w:rPr>
          <w:rFonts w:ascii="Times New Roman" w:eastAsia="Times New Roman" w:hAnsi="Times New Roman" w:cs="Times New Roman"/>
        </w:rPr>
        <w:t xml:space="preserve">elsődleges metabolitja esetében nem bizonyították </w:t>
      </w:r>
      <w:r w:rsidRPr="00E65268">
        <w:rPr>
          <w:rFonts w:ascii="Times New Roman" w:eastAsia="Times New Roman" w:hAnsi="Times New Roman" w:cs="Times New Roman"/>
          <w:i/>
          <w:iCs/>
        </w:rPr>
        <w:t>in</w:t>
      </w:r>
      <w:r w:rsidR="003939F3" w:rsidRPr="00E65268">
        <w:rPr>
          <w:rFonts w:ascii="Times New Roman" w:eastAsia="Times New Roman" w:hAnsi="Times New Roman" w:cs="Times New Roman"/>
          <w:i/>
          <w:iCs/>
        </w:rPr>
        <w:t> </w:t>
      </w:r>
      <w:r w:rsidRPr="00E65268">
        <w:rPr>
          <w:rFonts w:ascii="Times New Roman" w:eastAsia="Times New Roman" w:hAnsi="Times New Roman" w:cs="Times New Roman"/>
          <w:i/>
          <w:iCs/>
        </w:rPr>
        <w:t xml:space="preserve">vivo </w:t>
      </w:r>
      <w:r w:rsidRPr="00AA1346">
        <w:rPr>
          <w:rFonts w:ascii="Times New Roman" w:eastAsia="Times New Roman" w:hAnsi="Times New Roman" w:cs="Times New Roman"/>
        </w:rPr>
        <w:t>körülmények között az enantiomerek egymásba történő kölcsönös átalakulását.</w:t>
      </w:r>
    </w:p>
    <w:p w14:paraId="7F215C96"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3DE9D324" w14:textId="0FC0FAB7"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i/>
          <w:iCs/>
        </w:rPr>
        <w:t>In</w:t>
      </w:r>
      <w:r w:rsidR="003939F3">
        <w:rPr>
          <w:rFonts w:ascii="Times New Roman" w:eastAsia="Times New Roman" w:hAnsi="Times New Roman" w:cs="Times New Roman"/>
          <w:i/>
          <w:iCs/>
        </w:rPr>
        <w:t> </w:t>
      </w:r>
      <w:r w:rsidRPr="00AA1346">
        <w:rPr>
          <w:rFonts w:ascii="Times New Roman" w:eastAsia="Times New Roman" w:hAnsi="Times New Roman" w:cs="Times New Roman"/>
          <w:i/>
          <w:iCs/>
        </w:rPr>
        <w:t>vitro</w:t>
      </w:r>
      <w:r w:rsidRPr="00AA1346">
        <w:rPr>
          <w:rFonts w:ascii="Times New Roman" w:eastAsia="Times New Roman" w:hAnsi="Times New Roman" w:cs="Times New Roman"/>
        </w:rPr>
        <w:t xml:space="preserve"> a levetiracetám és elsődleges metabolitja nem gátolta a főbb humán citokróm P</w:t>
      </w:r>
      <w:r w:rsidRPr="00AA1346">
        <w:rPr>
          <w:rFonts w:ascii="Times New Roman" w:eastAsia="Times New Roman" w:hAnsi="Times New Roman" w:cs="Times New Roman"/>
          <w:vertAlign w:val="subscript"/>
        </w:rPr>
        <w:t>450</w:t>
      </w:r>
      <w:r w:rsidRPr="00AA1346">
        <w:rPr>
          <w:rFonts w:ascii="Times New Roman" w:eastAsia="Times New Roman" w:hAnsi="Times New Roman" w:cs="Times New Roman"/>
        </w:rPr>
        <w:t xml:space="preserve"> izoenzimek (CYP3A4, 2A6, 2C9, 2C19, 2D6, 2E1 és 1A2), a glükuronil</w:t>
      </w:r>
      <w:r w:rsidR="003939F3">
        <w:rPr>
          <w:rFonts w:ascii="Times New Roman" w:eastAsia="Times New Roman" w:hAnsi="Times New Roman" w:cs="Times New Roman"/>
        </w:rPr>
        <w:t>-</w:t>
      </w:r>
      <w:r w:rsidRPr="00AA1346">
        <w:rPr>
          <w:rFonts w:ascii="Times New Roman" w:eastAsia="Times New Roman" w:hAnsi="Times New Roman" w:cs="Times New Roman"/>
        </w:rPr>
        <w:t xml:space="preserve">transzferáz (UGT1A1 és UGT1A6) és az epoxid-hidroxiláz aktivitását. Ezen kívül </w:t>
      </w:r>
      <w:r w:rsidRPr="00E65268">
        <w:rPr>
          <w:rFonts w:ascii="Times New Roman" w:eastAsia="Times New Roman" w:hAnsi="Times New Roman" w:cs="Times New Roman"/>
          <w:i/>
          <w:iCs/>
        </w:rPr>
        <w:t>in</w:t>
      </w:r>
      <w:r w:rsidR="003939F3" w:rsidRPr="00E65268">
        <w:rPr>
          <w:rFonts w:ascii="Times New Roman" w:eastAsia="Times New Roman" w:hAnsi="Times New Roman" w:cs="Times New Roman"/>
          <w:i/>
          <w:iCs/>
        </w:rPr>
        <w:t> </w:t>
      </w:r>
      <w:r w:rsidRPr="00E65268">
        <w:rPr>
          <w:rFonts w:ascii="Times New Roman" w:eastAsia="Times New Roman" w:hAnsi="Times New Roman" w:cs="Times New Roman"/>
          <w:i/>
          <w:iCs/>
        </w:rPr>
        <w:t>vitro</w:t>
      </w:r>
      <w:r w:rsidRPr="00AA1346">
        <w:rPr>
          <w:rFonts w:ascii="Times New Roman" w:eastAsia="Times New Roman" w:hAnsi="Times New Roman" w:cs="Times New Roman"/>
        </w:rPr>
        <w:t xml:space="preserve"> a levetiracetám nem befolyásolja a valproinsav glükuronidációját sem.</w:t>
      </w:r>
    </w:p>
    <w:p w14:paraId="4E55CE3D" w14:textId="284A13C7"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Emberi májsejt-tenyészetben a levetiracetámnak alig vagy egyáltalán nincs hatása a CYP1A2-re, a SULT1E1-re, illetve az UGT1A1-re. A levetiracetám a CYP2B6 és a CYP3A4 enyhe indukcióját okozta. Az or</w:t>
      </w:r>
      <w:r w:rsidR="005C4753">
        <w:rPr>
          <w:rFonts w:ascii="Times New Roman" w:eastAsia="Times New Roman" w:hAnsi="Times New Roman" w:cs="Times New Roman"/>
        </w:rPr>
        <w:t>á</w:t>
      </w:r>
      <w:r w:rsidRPr="00AA1346">
        <w:rPr>
          <w:rFonts w:ascii="Times New Roman" w:eastAsia="Times New Roman" w:hAnsi="Times New Roman" w:cs="Times New Roman"/>
        </w:rPr>
        <w:t xml:space="preserve">lis fogamzásgátlókra, a digoxinra és a warfarinra vonatkozó </w:t>
      </w:r>
      <w:r w:rsidRPr="00AA1346">
        <w:rPr>
          <w:rFonts w:ascii="Times New Roman" w:eastAsia="Times New Roman" w:hAnsi="Times New Roman" w:cs="Times New Roman"/>
          <w:i/>
          <w:iCs/>
        </w:rPr>
        <w:t>in</w:t>
      </w:r>
      <w:r w:rsidR="003939F3">
        <w:rPr>
          <w:rFonts w:ascii="Times New Roman" w:eastAsia="Times New Roman" w:hAnsi="Times New Roman" w:cs="Times New Roman"/>
          <w:i/>
          <w:iCs/>
        </w:rPr>
        <w:t> </w:t>
      </w:r>
      <w:r w:rsidRPr="00AA1346">
        <w:rPr>
          <w:rFonts w:ascii="Times New Roman" w:eastAsia="Times New Roman" w:hAnsi="Times New Roman" w:cs="Times New Roman"/>
          <w:i/>
          <w:iCs/>
        </w:rPr>
        <w:t>vitro</w:t>
      </w:r>
      <w:r w:rsidRPr="00AA1346">
        <w:rPr>
          <w:rFonts w:ascii="Times New Roman" w:eastAsia="Times New Roman" w:hAnsi="Times New Roman" w:cs="Times New Roman"/>
        </w:rPr>
        <w:t xml:space="preserve"> adatok és </w:t>
      </w:r>
      <w:r w:rsidRPr="00E65268">
        <w:rPr>
          <w:rFonts w:ascii="Times New Roman" w:eastAsia="Times New Roman" w:hAnsi="Times New Roman" w:cs="Times New Roman"/>
          <w:i/>
          <w:iCs/>
        </w:rPr>
        <w:t>in</w:t>
      </w:r>
      <w:r w:rsidR="003939F3" w:rsidRPr="00E65268">
        <w:rPr>
          <w:rFonts w:ascii="Times New Roman" w:eastAsia="Times New Roman" w:hAnsi="Times New Roman" w:cs="Times New Roman"/>
          <w:i/>
          <w:iCs/>
        </w:rPr>
        <w:t> </w:t>
      </w:r>
      <w:r w:rsidRPr="00E65268">
        <w:rPr>
          <w:rFonts w:ascii="Times New Roman" w:eastAsia="Times New Roman" w:hAnsi="Times New Roman" w:cs="Times New Roman"/>
          <w:i/>
          <w:iCs/>
        </w:rPr>
        <w:t>vivo</w:t>
      </w:r>
      <w:r w:rsidRPr="00AA1346">
        <w:rPr>
          <w:rFonts w:ascii="Times New Roman" w:eastAsia="Times New Roman" w:hAnsi="Times New Roman" w:cs="Times New Roman"/>
        </w:rPr>
        <w:t xml:space="preserve"> interakciós adatok arra utalnak, hogy nem várható jelentős enzimindukció </w:t>
      </w:r>
      <w:r w:rsidRPr="00AA1346">
        <w:rPr>
          <w:rFonts w:ascii="Times New Roman" w:eastAsia="Times New Roman" w:hAnsi="Times New Roman" w:cs="Times New Roman"/>
          <w:i/>
          <w:iCs/>
        </w:rPr>
        <w:t>in</w:t>
      </w:r>
      <w:r w:rsidR="003939F3">
        <w:rPr>
          <w:rFonts w:ascii="Times New Roman" w:eastAsia="Times New Roman" w:hAnsi="Times New Roman" w:cs="Times New Roman"/>
          <w:i/>
          <w:iCs/>
        </w:rPr>
        <w:t> </w:t>
      </w:r>
      <w:r w:rsidRPr="00AA1346">
        <w:rPr>
          <w:rFonts w:ascii="Times New Roman" w:eastAsia="Times New Roman" w:hAnsi="Times New Roman" w:cs="Times New Roman"/>
          <w:i/>
          <w:iCs/>
        </w:rPr>
        <w:t>vivo</w:t>
      </w:r>
      <w:r w:rsidRPr="00AA1346">
        <w:rPr>
          <w:rFonts w:ascii="Times New Roman" w:eastAsia="Times New Roman" w:hAnsi="Times New Roman" w:cs="Times New Roman"/>
        </w:rPr>
        <w:t xml:space="preserve">. Emiatt valószínűtlen, hogy a </w:t>
      </w:r>
      <w:r w:rsidR="00352E95" w:rsidRPr="00AA1346">
        <w:rPr>
          <w:rFonts w:ascii="Times New Roman" w:eastAsia="Times New Roman" w:hAnsi="Times New Roman" w:cs="Times New Roman"/>
        </w:rPr>
        <w:t xml:space="preserve">levetiracetám </w:t>
      </w:r>
      <w:r w:rsidRPr="00AA1346">
        <w:rPr>
          <w:rFonts w:ascii="Times New Roman" w:eastAsia="Times New Roman" w:hAnsi="Times New Roman" w:cs="Times New Roman"/>
        </w:rPr>
        <w:t>interakcióba lépne más gyógyszerekkel, illetve fordítva.</w:t>
      </w:r>
    </w:p>
    <w:p w14:paraId="4CD5E2E9"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446EDBF0" w14:textId="77777777" w:rsidR="00EC4844" w:rsidRPr="00AA1346" w:rsidRDefault="00EC484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Elimináció</w:t>
      </w:r>
    </w:p>
    <w:p w14:paraId="6BF8511D"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304CB7F4" w14:textId="77D045D1"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Felezési ideje a plazmában 7</w:t>
      </w:r>
      <w:bookmarkStart w:id="5" w:name="_Hlk211424651"/>
      <w:r w:rsidR="00846EDC" w:rsidRPr="00AA1346">
        <w:rPr>
          <w:rFonts w:ascii="Times New Roman" w:eastAsia="Times New Roman" w:hAnsi="Times New Roman" w:cs="Times New Roman"/>
        </w:rPr>
        <w:t> </w:t>
      </w:r>
      <w:r w:rsidR="00846EDC" w:rsidRPr="00AA1346">
        <w:rPr>
          <w:rFonts w:ascii="Times New Roman" w:eastAsia="Times New Roman" w:hAnsi="Times New Roman" w:cs="Times New Roman"/>
          <w:color w:val="000000"/>
        </w:rPr>
        <w:t>±</w:t>
      </w:r>
      <w:bookmarkEnd w:id="5"/>
      <w:r w:rsidR="00846EDC" w:rsidRPr="00AA1346">
        <w:rPr>
          <w:rFonts w:ascii="Times New Roman" w:eastAsia="Times New Roman" w:hAnsi="Times New Roman" w:cs="Times New Roman"/>
          <w:color w:val="000000"/>
        </w:rPr>
        <w:t> </w:t>
      </w:r>
      <w:r w:rsidRPr="00AA1346">
        <w:rPr>
          <w:rFonts w:ascii="Times New Roman" w:eastAsia="Times New Roman" w:hAnsi="Times New Roman" w:cs="Times New Roman"/>
        </w:rPr>
        <w:t>1</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óra, és ez nem változik sem a dózis, sem az alkalmazás módja, sem pedig az ismételt adagolás függvényében. Az átlagos teljes test clearance 0,96</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ml/perc/ttkg volt.</w:t>
      </w:r>
    </w:p>
    <w:p w14:paraId="0A39CD35"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66821B41" w14:textId="65A29F13"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kiválasztás döntően a vizelettel történik, ami átlagosan a dózis 95%-át jelenti (körülbelül a dózis 93%-a 48</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órán belül</w:t>
      </w:r>
      <w:r w:rsidR="003939F3" w:rsidRPr="003939F3">
        <w:rPr>
          <w:rFonts w:ascii="Times New Roman" w:eastAsia="Times New Roman" w:hAnsi="Times New Roman" w:cs="Times New Roman"/>
        </w:rPr>
        <w:t xml:space="preserve"> </w:t>
      </w:r>
      <w:r w:rsidR="003939F3" w:rsidRPr="00AA1346">
        <w:rPr>
          <w:rFonts w:ascii="Times New Roman" w:eastAsia="Times New Roman" w:hAnsi="Times New Roman" w:cs="Times New Roman"/>
        </w:rPr>
        <w:t>ürül</w:t>
      </w:r>
      <w:r w:rsidRPr="00AA1346">
        <w:rPr>
          <w:rFonts w:ascii="Times New Roman" w:eastAsia="Times New Roman" w:hAnsi="Times New Roman" w:cs="Times New Roman"/>
        </w:rPr>
        <w:t>). A széklettel csak a dózis 0,3%-a választódik ki.</w:t>
      </w:r>
    </w:p>
    <w:p w14:paraId="285C84E0" w14:textId="5E7E2AA2"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Ismét</w:t>
      </w:r>
      <w:r w:rsidR="003939F3">
        <w:rPr>
          <w:rFonts w:ascii="Times New Roman" w:eastAsia="Times New Roman" w:hAnsi="Times New Roman" w:cs="Times New Roman"/>
        </w:rPr>
        <w:t>elt</w:t>
      </w:r>
      <w:r w:rsidRPr="00AA1346">
        <w:rPr>
          <w:rFonts w:ascii="Times New Roman" w:eastAsia="Times New Roman" w:hAnsi="Times New Roman" w:cs="Times New Roman"/>
        </w:rPr>
        <w:t xml:space="preserve"> adagolás esetén a vizelettel történő kumulatív kiválasztódás során a levetiracetám 66%-a, </w:t>
      </w:r>
      <w:r w:rsidR="003939F3">
        <w:rPr>
          <w:rFonts w:ascii="Times New Roman" w:eastAsia="Times New Roman" w:hAnsi="Times New Roman" w:cs="Times New Roman"/>
        </w:rPr>
        <w:t>míg</w:t>
      </w:r>
      <w:r w:rsidRPr="00AA1346">
        <w:rPr>
          <w:rFonts w:ascii="Times New Roman" w:eastAsia="Times New Roman" w:hAnsi="Times New Roman" w:cs="Times New Roman"/>
        </w:rPr>
        <w:t xml:space="preserve"> az elsődleges metabolit 24%-a ürül ki az első 48</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óra alatt.</w:t>
      </w:r>
    </w:p>
    <w:p w14:paraId="00624D4F" w14:textId="2AACB6C6"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és az ucb L057 renalis clearance-értéke 0,6, illetve 4,2</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ml/perc/ttkg, ami arra utal, hogy a levetiracetám glomerul</w:t>
      </w:r>
      <w:r w:rsidR="003939F3">
        <w:rPr>
          <w:rFonts w:ascii="Times New Roman" w:eastAsia="Times New Roman" w:hAnsi="Times New Roman" w:cs="Times New Roman"/>
        </w:rPr>
        <w:t>u</w:t>
      </w:r>
      <w:r w:rsidRPr="00AA1346">
        <w:rPr>
          <w:rFonts w:ascii="Times New Roman" w:eastAsia="Times New Roman" w:hAnsi="Times New Roman" w:cs="Times New Roman"/>
        </w:rPr>
        <w:t>sfiltrációval, majd ezt követő tubularis reabszorpcióval ürül, és hogy az elsődleges metabolit kiválasztásában a glomerul</w:t>
      </w:r>
      <w:r w:rsidR="003939F3">
        <w:rPr>
          <w:rFonts w:ascii="Times New Roman" w:eastAsia="Times New Roman" w:hAnsi="Times New Roman" w:cs="Times New Roman"/>
        </w:rPr>
        <w:t>u</w:t>
      </w:r>
      <w:r w:rsidRPr="00AA1346">
        <w:rPr>
          <w:rFonts w:ascii="Times New Roman" w:eastAsia="Times New Roman" w:hAnsi="Times New Roman" w:cs="Times New Roman"/>
        </w:rPr>
        <w:t>sfiltráció mellett az aktív tubularis szekréció is szerepet játszik. A levetiracetám kiválasztása korrelációt mutat a kreatinin-clearance-szel.</w:t>
      </w:r>
    </w:p>
    <w:p w14:paraId="563C918F"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6CA90E30" w14:textId="77777777" w:rsidR="00EC4844" w:rsidRPr="00AA1346" w:rsidRDefault="00EC484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Idősek</w:t>
      </w:r>
    </w:p>
    <w:p w14:paraId="2C923D9A"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015201A9" w14:textId="215B1843"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Időseknél a felezési idő körülbelül 40%-kal megnő (10</w:t>
      </w:r>
      <w:r w:rsidR="00896A95">
        <w:rPr>
          <w:rFonts w:ascii="Times New Roman" w:eastAsia="Times New Roman" w:hAnsi="Times New Roman" w:cs="Times New Roman"/>
        </w:rPr>
        <w:t>–</w:t>
      </w:r>
      <w:r w:rsidRPr="00AA1346">
        <w:rPr>
          <w:rFonts w:ascii="Times New Roman" w:eastAsia="Times New Roman" w:hAnsi="Times New Roman" w:cs="Times New Roman"/>
        </w:rPr>
        <w:t>11</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órára). Ennek oka a vesefunkció romlása ebben a betegcsoportban (lásd 4.2</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pont).</w:t>
      </w:r>
    </w:p>
    <w:p w14:paraId="42165329" w14:textId="3EBE889F" w:rsidR="00EC4844" w:rsidRPr="00AA1346" w:rsidRDefault="00EC4844" w:rsidP="004401DF">
      <w:pPr>
        <w:suppressAutoHyphens/>
        <w:spacing w:after="0" w:line="240" w:lineRule="auto"/>
        <w:rPr>
          <w:rFonts w:ascii="Times New Roman" w:eastAsia="Times New Roman" w:hAnsi="Times New Roman" w:cs="Times New Roman"/>
        </w:rPr>
      </w:pPr>
    </w:p>
    <w:p w14:paraId="6D813086" w14:textId="77777777" w:rsidR="00EC4844" w:rsidRPr="00AA1346" w:rsidRDefault="00EC484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lastRenderedPageBreak/>
        <w:t>Vesekárosodás</w:t>
      </w:r>
    </w:p>
    <w:p w14:paraId="102F67D0"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05AE5608" w14:textId="7F067393"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 xml:space="preserve">Mind a levetiracetám, mind </w:t>
      </w:r>
      <w:r w:rsidR="00896A95">
        <w:rPr>
          <w:rFonts w:ascii="Times New Roman" w:eastAsia="Times New Roman" w:hAnsi="Times New Roman" w:cs="Times New Roman"/>
        </w:rPr>
        <w:t xml:space="preserve">az </w:t>
      </w:r>
      <w:r w:rsidRPr="00AA1346">
        <w:rPr>
          <w:rFonts w:ascii="Times New Roman" w:eastAsia="Times New Roman" w:hAnsi="Times New Roman" w:cs="Times New Roman"/>
        </w:rPr>
        <w:t>elsődleges metabolitjának teljes test</w:t>
      </w:r>
      <w:r w:rsidR="00896A95">
        <w:rPr>
          <w:rFonts w:ascii="Times New Roman" w:eastAsia="Times New Roman" w:hAnsi="Times New Roman" w:cs="Times New Roman"/>
        </w:rPr>
        <w:t>-</w:t>
      </w:r>
      <w:r w:rsidRPr="00AA1346">
        <w:rPr>
          <w:rFonts w:ascii="Times New Roman" w:eastAsia="Times New Roman" w:hAnsi="Times New Roman" w:cs="Times New Roman"/>
        </w:rPr>
        <w:t>clearance-e korrelációt mutat a kreatinin-clearance-szel. Ajánl</w:t>
      </w:r>
      <w:r w:rsidR="00896A95">
        <w:rPr>
          <w:rFonts w:ascii="Times New Roman" w:eastAsia="Times New Roman" w:hAnsi="Times New Roman" w:cs="Times New Roman"/>
        </w:rPr>
        <w:t>ott</w:t>
      </w:r>
      <w:r w:rsidRPr="00AA1346">
        <w:rPr>
          <w:rFonts w:ascii="Times New Roman" w:eastAsia="Times New Roman" w:hAnsi="Times New Roman" w:cs="Times New Roman"/>
        </w:rPr>
        <w:t xml:space="preserve"> tehát a </w:t>
      </w:r>
      <w:r w:rsidR="00896A95">
        <w:rPr>
          <w:rFonts w:ascii="Times New Roman" w:eastAsia="Times New Roman" w:hAnsi="Times New Roman" w:cs="Times New Roman"/>
        </w:rPr>
        <w:t>levetiracetám</w:t>
      </w:r>
      <w:r w:rsidR="00896A95" w:rsidRPr="00AA1346">
        <w:rPr>
          <w:rFonts w:ascii="Times New Roman" w:eastAsia="Times New Roman" w:hAnsi="Times New Roman" w:cs="Times New Roman"/>
        </w:rPr>
        <w:t xml:space="preserve"> </w:t>
      </w:r>
      <w:r w:rsidRPr="00AA1346">
        <w:rPr>
          <w:rFonts w:ascii="Times New Roman" w:eastAsia="Times New Roman" w:hAnsi="Times New Roman" w:cs="Times New Roman"/>
        </w:rPr>
        <w:t xml:space="preserve">napi fenntartó dózisát közepesen súlyos és súlyos </w:t>
      </w:r>
      <w:r w:rsidR="00896A95">
        <w:rPr>
          <w:rFonts w:ascii="Times New Roman" w:eastAsia="Times New Roman" w:hAnsi="Times New Roman" w:cs="Times New Roman"/>
        </w:rPr>
        <w:t xml:space="preserve">fokú </w:t>
      </w:r>
      <w:r w:rsidRPr="00AA1346">
        <w:rPr>
          <w:rFonts w:ascii="Times New Roman" w:eastAsia="Times New Roman" w:hAnsi="Times New Roman" w:cs="Times New Roman"/>
        </w:rPr>
        <w:t>vesekárosodásban a kreatinin-clearance alapján módosítani (lásd a 4.2</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pont).</w:t>
      </w:r>
    </w:p>
    <w:p w14:paraId="0C271E9E"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53CE3F3B" w14:textId="0BF5B421"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Anuriás, a veseelégtelenség végstádiumában lévő felnőtt betegeknél a felezési idő körülbelül 25, illetve 3,1</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óra volt a dialízisek közötti, illetve a dialízisek alatti periódusokban.</w:t>
      </w:r>
    </w:p>
    <w:p w14:paraId="4F4A50F7" w14:textId="7B19802A" w:rsidR="00896A95"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levetiracetám frakcionális eltávolítása egy normál 4</w:t>
      </w:r>
      <w:r w:rsidR="00896A95">
        <w:rPr>
          <w:rFonts w:ascii="Times New Roman" w:eastAsia="Times New Roman" w:hAnsi="Times New Roman" w:cs="Times New Roman"/>
        </w:rPr>
        <w:t> </w:t>
      </w:r>
      <w:r w:rsidRPr="00AA1346">
        <w:rPr>
          <w:rFonts w:ascii="Times New Roman" w:eastAsia="Times New Roman" w:hAnsi="Times New Roman" w:cs="Times New Roman"/>
        </w:rPr>
        <w:t>órás dialízis időszak alatt 51% volt.</w:t>
      </w:r>
    </w:p>
    <w:p w14:paraId="70E9608D" w14:textId="77777777" w:rsidR="00896A95" w:rsidRDefault="00896A95" w:rsidP="004401DF">
      <w:pPr>
        <w:suppressAutoHyphens/>
        <w:spacing w:after="0" w:line="240" w:lineRule="auto"/>
        <w:rPr>
          <w:rFonts w:ascii="Times New Roman" w:eastAsia="Times New Roman" w:hAnsi="Times New Roman" w:cs="Times New Roman"/>
        </w:rPr>
      </w:pPr>
    </w:p>
    <w:p w14:paraId="2A5C9E3D" w14:textId="660535AF" w:rsidR="00EC4844" w:rsidRPr="00E65268" w:rsidRDefault="00EC4844" w:rsidP="004401DF">
      <w:pPr>
        <w:suppressAutoHyphens/>
        <w:spacing w:after="0" w:line="240" w:lineRule="auto"/>
        <w:rPr>
          <w:rFonts w:ascii="Times New Roman" w:eastAsia="Times New Roman" w:hAnsi="Times New Roman" w:cs="Times New Roman"/>
          <w:u w:val="single"/>
        </w:rPr>
      </w:pPr>
      <w:r w:rsidRPr="00E65268">
        <w:rPr>
          <w:rFonts w:ascii="Times New Roman" w:eastAsia="Times New Roman" w:hAnsi="Times New Roman" w:cs="Times New Roman"/>
          <w:u w:val="single"/>
        </w:rPr>
        <w:t>Májkárosodás</w:t>
      </w:r>
    </w:p>
    <w:p w14:paraId="127F31E0" w14:textId="77777777" w:rsidR="00896A95" w:rsidRDefault="00896A95" w:rsidP="004401DF">
      <w:pPr>
        <w:suppressAutoHyphens/>
        <w:spacing w:after="0" w:line="240" w:lineRule="auto"/>
        <w:rPr>
          <w:rFonts w:ascii="Times New Roman" w:eastAsia="Times New Roman" w:hAnsi="Times New Roman" w:cs="Times New Roman"/>
        </w:rPr>
      </w:pPr>
    </w:p>
    <w:p w14:paraId="3E2F61E7" w14:textId="6F1FD171"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Enyhe és közepesen súlyos</w:t>
      </w:r>
      <w:r w:rsidR="00896A95">
        <w:rPr>
          <w:rFonts w:ascii="Times New Roman" w:eastAsia="Times New Roman" w:hAnsi="Times New Roman" w:cs="Times New Roman"/>
        </w:rPr>
        <w:t xml:space="preserve"> fokú</w:t>
      </w:r>
      <w:r w:rsidRPr="00AA1346">
        <w:rPr>
          <w:rFonts w:ascii="Times New Roman" w:eastAsia="Times New Roman" w:hAnsi="Times New Roman" w:cs="Times New Roman"/>
        </w:rPr>
        <w:t xml:space="preserve"> májkárosodásban nem észleltek lényeges változást a levetiracetám clearance-ben. A legtöbb súlyos </w:t>
      </w:r>
      <w:r w:rsidR="00896A95">
        <w:rPr>
          <w:rFonts w:ascii="Times New Roman" w:eastAsia="Times New Roman" w:hAnsi="Times New Roman" w:cs="Times New Roman"/>
        </w:rPr>
        <w:t xml:space="preserve">fokú </w:t>
      </w:r>
      <w:r w:rsidRPr="00AA1346">
        <w:rPr>
          <w:rFonts w:ascii="Times New Roman" w:eastAsia="Times New Roman" w:hAnsi="Times New Roman" w:cs="Times New Roman"/>
        </w:rPr>
        <w:t>májkárosodásban szenvedő betegnél a levetiracetám</w:t>
      </w:r>
      <w:r w:rsidR="00896A95">
        <w:rPr>
          <w:rFonts w:ascii="Times New Roman" w:eastAsia="Times New Roman" w:hAnsi="Times New Roman" w:cs="Times New Roman"/>
        </w:rPr>
        <w:t>-</w:t>
      </w:r>
      <w:r w:rsidRPr="00AA1346">
        <w:rPr>
          <w:rFonts w:ascii="Times New Roman" w:eastAsia="Times New Roman" w:hAnsi="Times New Roman" w:cs="Times New Roman"/>
        </w:rPr>
        <w:t>clearance több mint 50%-kal csökkent az egyidejűleg fennálló vesekárosodás következtében (lásd 4.2</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pont).</w:t>
      </w:r>
    </w:p>
    <w:p w14:paraId="3ACBA94B"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322A7BF0" w14:textId="77777777" w:rsidR="00EC4844" w:rsidRPr="00AA1346" w:rsidRDefault="00EC4844" w:rsidP="004401DF">
      <w:pPr>
        <w:suppressAutoHyphens/>
        <w:spacing w:after="0" w:line="240" w:lineRule="auto"/>
        <w:rPr>
          <w:rFonts w:ascii="Times New Roman" w:eastAsia="Times New Roman" w:hAnsi="Times New Roman" w:cs="Times New Roman"/>
          <w:u w:val="single"/>
        </w:rPr>
      </w:pPr>
      <w:r w:rsidRPr="00AA1346">
        <w:rPr>
          <w:rFonts w:ascii="Times New Roman" w:eastAsia="Times New Roman" w:hAnsi="Times New Roman" w:cs="Times New Roman"/>
          <w:u w:val="single"/>
        </w:rPr>
        <w:t>Gyermekek</w:t>
      </w:r>
    </w:p>
    <w:p w14:paraId="22E169ED"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3CA9645E" w14:textId="32B2D536" w:rsidR="00EC4844" w:rsidRPr="00AA1346" w:rsidRDefault="00EC4844" w:rsidP="004401DF">
      <w:pPr>
        <w:suppressAutoHyphens/>
        <w:spacing w:after="0" w:line="240" w:lineRule="auto"/>
        <w:rPr>
          <w:rFonts w:ascii="Times New Roman" w:eastAsia="Times New Roman" w:hAnsi="Times New Roman" w:cs="Times New Roman"/>
          <w:i/>
          <w:iCs/>
        </w:rPr>
      </w:pPr>
      <w:r w:rsidRPr="00AA1346">
        <w:rPr>
          <w:rFonts w:ascii="Times New Roman" w:eastAsia="Times New Roman" w:hAnsi="Times New Roman" w:cs="Times New Roman"/>
          <w:i/>
          <w:iCs/>
        </w:rPr>
        <w:t>Gyermekek (4</w:t>
      </w:r>
      <w:r w:rsidR="00896A95">
        <w:rPr>
          <w:rFonts w:ascii="Times New Roman" w:eastAsia="Times New Roman" w:hAnsi="Times New Roman" w:cs="Times New Roman"/>
          <w:i/>
          <w:iCs/>
        </w:rPr>
        <w:t>–</w:t>
      </w:r>
      <w:r w:rsidRPr="00AA1346">
        <w:rPr>
          <w:rFonts w:ascii="Times New Roman" w:eastAsia="Times New Roman" w:hAnsi="Times New Roman" w:cs="Times New Roman"/>
          <w:i/>
          <w:iCs/>
        </w:rPr>
        <w:t>12</w:t>
      </w:r>
      <w:r w:rsidR="00846EDC" w:rsidRPr="00AA1346">
        <w:rPr>
          <w:rFonts w:ascii="Times New Roman" w:eastAsia="Times New Roman" w:hAnsi="Times New Roman" w:cs="Times New Roman"/>
          <w:i/>
          <w:iCs/>
        </w:rPr>
        <w:t> </w:t>
      </w:r>
      <w:r w:rsidRPr="00AA1346">
        <w:rPr>
          <w:rFonts w:ascii="Times New Roman" w:eastAsia="Times New Roman" w:hAnsi="Times New Roman" w:cs="Times New Roman"/>
          <w:i/>
          <w:iCs/>
        </w:rPr>
        <w:t>évesek)</w:t>
      </w:r>
    </w:p>
    <w:p w14:paraId="497C37A0"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3D6EC7EC" w14:textId="4DA0B8A7"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Gyermekeknél nem végeztek farmakokinetikai vizsgálatokat intravénás alkalmazást követően. A levetiracetám farmakokinetikai tulajdonságai, valamint a felnőtteknél intravénás alkalmazást követően és gyermekeknél or</w:t>
      </w:r>
      <w:r w:rsidR="005C4753">
        <w:rPr>
          <w:rFonts w:ascii="Times New Roman" w:eastAsia="Times New Roman" w:hAnsi="Times New Roman" w:cs="Times New Roman"/>
        </w:rPr>
        <w:t>á</w:t>
      </w:r>
      <w:r w:rsidRPr="00AA1346">
        <w:rPr>
          <w:rFonts w:ascii="Times New Roman" w:eastAsia="Times New Roman" w:hAnsi="Times New Roman" w:cs="Times New Roman"/>
        </w:rPr>
        <w:t xml:space="preserve">lis </w:t>
      </w:r>
      <w:r w:rsidR="00896A95">
        <w:rPr>
          <w:rFonts w:ascii="Times New Roman" w:eastAsia="Times New Roman" w:hAnsi="Times New Roman" w:cs="Times New Roman"/>
        </w:rPr>
        <w:t>alkalmazás</w:t>
      </w:r>
      <w:r w:rsidR="00896A95" w:rsidRPr="00AA1346">
        <w:rPr>
          <w:rFonts w:ascii="Times New Roman" w:eastAsia="Times New Roman" w:hAnsi="Times New Roman" w:cs="Times New Roman"/>
        </w:rPr>
        <w:t xml:space="preserve"> </w:t>
      </w:r>
      <w:r w:rsidRPr="00AA1346">
        <w:rPr>
          <w:rFonts w:ascii="Times New Roman" w:eastAsia="Times New Roman" w:hAnsi="Times New Roman" w:cs="Times New Roman"/>
        </w:rPr>
        <w:t>után mért farmakokinetikai jellemzők alapján azonban a levetiracetám</w:t>
      </w:r>
      <w:r w:rsidR="00896A95">
        <w:rPr>
          <w:rFonts w:ascii="Times New Roman" w:eastAsia="Times New Roman" w:hAnsi="Times New Roman" w:cs="Times New Roman"/>
        </w:rPr>
        <w:t>-</w:t>
      </w:r>
      <w:r w:rsidRPr="00AA1346">
        <w:rPr>
          <w:rFonts w:ascii="Times New Roman" w:eastAsia="Times New Roman" w:hAnsi="Times New Roman" w:cs="Times New Roman"/>
        </w:rPr>
        <w:t xml:space="preserve">expozíció (AUC) mértéke </w:t>
      </w:r>
      <w:r w:rsidR="00896A95">
        <w:rPr>
          <w:rFonts w:ascii="Times New Roman" w:eastAsia="Times New Roman" w:hAnsi="Times New Roman" w:cs="Times New Roman"/>
        </w:rPr>
        <w:t xml:space="preserve">a </w:t>
      </w:r>
      <w:r w:rsidR="00896A95" w:rsidRPr="00AA1346">
        <w:rPr>
          <w:rFonts w:ascii="Times New Roman" w:eastAsia="Times New Roman" w:hAnsi="Times New Roman" w:cs="Times New Roman"/>
        </w:rPr>
        <w:t>4</w:t>
      </w:r>
      <w:r w:rsidR="00896A95">
        <w:rPr>
          <w:rFonts w:ascii="Times New Roman" w:eastAsia="Times New Roman" w:hAnsi="Times New Roman" w:cs="Times New Roman"/>
        </w:rPr>
        <w:t>–</w:t>
      </w:r>
      <w:r w:rsidR="00896A95" w:rsidRPr="00AA1346">
        <w:rPr>
          <w:rFonts w:ascii="Times New Roman" w:eastAsia="Times New Roman" w:hAnsi="Times New Roman" w:cs="Times New Roman"/>
        </w:rPr>
        <w:t xml:space="preserve">12 éves gyermekeknél </w:t>
      </w:r>
      <w:r w:rsidRPr="00AA1346">
        <w:rPr>
          <w:rFonts w:ascii="Times New Roman" w:eastAsia="Times New Roman" w:hAnsi="Times New Roman" w:cs="Times New Roman"/>
        </w:rPr>
        <w:t>várhatóan hasonló lesz intravénás és or</w:t>
      </w:r>
      <w:r w:rsidR="005C4753">
        <w:rPr>
          <w:rFonts w:ascii="Times New Roman" w:eastAsia="Times New Roman" w:hAnsi="Times New Roman" w:cs="Times New Roman"/>
        </w:rPr>
        <w:t>á</w:t>
      </w:r>
      <w:r w:rsidRPr="00AA1346">
        <w:rPr>
          <w:rFonts w:ascii="Times New Roman" w:eastAsia="Times New Roman" w:hAnsi="Times New Roman" w:cs="Times New Roman"/>
        </w:rPr>
        <w:t>lis alkalmazás esetében.</w:t>
      </w:r>
    </w:p>
    <w:p w14:paraId="5DF8778F"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200F8616" w14:textId="29D8C506"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Egyszeri or</w:t>
      </w:r>
      <w:r w:rsidR="005C4753">
        <w:rPr>
          <w:rFonts w:ascii="Times New Roman" w:eastAsia="Times New Roman" w:hAnsi="Times New Roman" w:cs="Times New Roman"/>
        </w:rPr>
        <w:t>á</w:t>
      </w:r>
      <w:r w:rsidRPr="00AA1346">
        <w:rPr>
          <w:rFonts w:ascii="Times New Roman" w:eastAsia="Times New Roman" w:hAnsi="Times New Roman" w:cs="Times New Roman"/>
        </w:rPr>
        <w:t>lis (20</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mg/ttkg) levetiracetám-dózis (6</w:t>
      </w:r>
      <w:r w:rsidR="00896A95">
        <w:rPr>
          <w:rFonts w:ascii="Times New Roman" w:eastAsia="Times New Roman" w:hAnsi="Times New Roman" w:cs="Times New Roman"/>
        </w:rPr>
        <w:t>–</w:t>
      </w:r>
      <w:r w:rsidRPr="00AA1346">
        <w:rPr>
          <w:rFonts w:ascii="Times New Roman" w:eastAsia="Times New Roman" w:hAnsi="Times New Roman" w:cs="Times New Roman"/>
        </w:rPr>
        <w:t>12</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 xml:space="preserve">éves) epilepsziás gyermekeknek </w:t>
      </w:r>
      <w:r w:rsidR="00896A95">
        <w:rPr>
          <w:rFonts w:ascii="Times New Roman" w:eastAsia="Times New Roman" w:hAnsi="Times New Roman" w:cs="Times New Roman"/>
        </w:rPr>
        <w:t>történő</w:t>
      </w:r>
      <w:r w:rsidR="00896A95" w:rsidRPr="00AA1346">
        <w:rPr>
          <w:rFonts w:ascii="Times New Roman" w:eastAsia="Times New Roman" w:hAnsi="Times New Roman" w:cs="Times New Roman"/>
        </w:rPr>
        <w:t xml:space="preserve"> </w:t>
      </w:r>
      <w:r w:rsidRPr="00AA1346">
        <w:rPr>
          <w:rFonts w:ascii="Times New Roman" w:eastAsia="Times New Roman" w:hAnsi="Times New Roman" w:cs="Times New Roman"/>
        </w:rPr>
        <w:t>adását követően a felezési idő 6</w:t>
      </w:r>
      <w:r w:rsidR="00846EDC" w:rsidRPr="00AA1346">
        <w:rPr>
          <w:rFonts w:ascii="Times New Roman" w:eastAsia="Times New Roman" w:hAnsi="Times New Roman" w:cs="Times New Roman"/>
        </w:rPr>
        <w:t> </w:t>
      </w:r>
      <w:r w:rsidRPr="00AA1346">
        <w:rPr>
          <w:rFonts w:ascii="Times New Roman" w:eastAsia="Times New Roman" w:hAnsi="Times New Roman" w:cs="Times New Roman"/>
        </w:rPr>
        <w:t>óra volt. A teljes test</w:t>
      </w:r>
      <w:r w:rsidR="00896A95">
        <w:rPr>
          <w:rFonts w:ascii="Times New Roman" w:eastAsia="Times New Roman" w:hAnsi="Times New Roman" w:cs="Times New Roman"/>
        </w:rPr>
        <w:t>-</w:t>
      </w:r>
      <w:r w:rsidRPr="00AA1346">
        <w:rPr>
          <w:rFonts w:ascii="Times New Roman" w:eastAsia="Times New Roman" w:hAnsi="Times New Roman" w:cs="Times New Roman"/>
        </w:rPr>
        <w:t>clearance körülbelül 30%-kal volt magasabb, mint felnőtt epilepsziás betegek esetében.</w:t>
      </w:r>
    </w:p>
    <w:p w14:paraId="0E97CB5E"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5F47EA36" w14:textId="7C0B2F4C" w:rsidR="00EC4844" w:rsidRPr="00AA1346" w:rsidRDefault="00EC484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Ismét</w:t>
      </w:r>
      <w:r w:rsidR="00896A95">
        <w:rPr>
          <w:rFonts w:ascii="Times New Roman" w:eastAsia="Times New Roman" w:hAnsi="Times New Roman" w:cs="Times New Roman"/>
        </w:rPr>
        <w:t>elt</w:t>
      </w:r>
      <w:r w:rsidRPr="00AA1346">
        <w:rPr>
          <w:rFonts w:ascii="Times New Roman" w:eastAsia="Times New Roman" w:hAnsi="Times New Roman" w:cs="Times New Roman"/>
        </w:rPr>
        <w:t xml:space="preserve"> or</w:t>
      </w:r>
      <w:r w:rsidR="005C4753">
        <w:rPr>
          <w:rFonts w:ascii="Times New Roman" w:eastAsia="Times New Roman" w:hAnsi="Times New Roman" w:cs="Times New Roman"/>
        </w:rPr>
        <w:t>á</w:t>
      </w:r>
      <w:r w:rsidRPr="00AA1346">
        <w:rPr>
          <w:rFonts w:ascii="Times New Roman" w:eastAsia="Times New Roman" w:hAnsi="Times New Roman" w:cs="Times New Roman"/>
        </w:rPr>
        <w:t>lis adagolást (20</w:t>
      </w:r>
      <w:r w:rsidR="009F5D0D" w:rsidRPr="00AA1346">
        <w:rPr>
          <w:rFonts w:ascii="Times New Roman" w:eastAsia="Times New Roman" w:hAnsi="Times New Roman" w:cs="Times New Roman"/>
        </w:rPr>
        <w:t>–</w:t>
      </w:r>
      <w:r w:rsidRPr="00AA1346">
        <w:rPr>
          <w:rFonts w:ascii="Times New Roman" w:eastAsia="Times New Roman" w:hAnsi="Times New Roman" w:cs="Times New Roman"/>
        </w:rPr>
        <w:t>60</w:t>
      </w:r>
      <w:r w:rsidR="009F5D0D" w:rsidRPr="00AA1346">
        <w:rPr>
          <w:rFonts w:ascii="Times New Roman" w:eastAsia="Times New Roman" w:hAnsi="Times New Roman" w:cs="Times New Roman"/>
        </w:rPr>
        <w:t> </w:t>
      </w:r>
      <w:r w:rsidRPr="00AA1346">
        <w:rPr>
          <w:rFonts w:ascii="Times New Roman" w:eastAsia="Times New Roman" w:hAnsi="Times New Roman" w:cs="Times New Roman"/>
        </w:rPr>
        <w:t>mg/ttkg/nap) követően (4</w:t>
      </w:r>
      <w:r w:rsidR="00896A95">
        <w:rPr>
          <w:rFonts w:ascii="Times New Roman" w:eastAsia="Times New Roman" w:hAnsi="Times New Roman" w:cs="Times New Roman"/>
        </w:rPr>
        <w:t>–</w:t>
      </w:r>
      <w:r w:rsidRPr="00AA1346">
        <w:rPr>
          <w:rFonts w:ascii="Times New Roman" w:eastAsia="Times New Roman" w:hAnsi="Times New Roman" w:cs="Times New Roman"/>
        </w:rPr>
        <w:t>12</w:t>
      </w:r>
      <w:r w:rsidR="009F5D0D" w:rsidRPr="00AA1346">
        <w:rPr>
          <w:rFonts w:ascii="Times New Roman" w:eastAsia="Times New Roman" w:hAnsi="Times New Roman" w:cs="Times New Roman"/>
        </w:rPr>
        <w:t> </w:t>
      </w:r>
      <w:r w:rsidRPr="00AA1346">
        <w:rPr>
          <w:rFonts w:ascii="Times New Roman" w:eastAsia="Times New Roman" w:hAnsi="Times New Roman" w:cs="Times New Roman"/>
        </w:rPr>
        <w:t>éves) epilepsziás gyermekeknél a levetiracetám gyorsan felszívódott. A plazma</w:t>
      </w:r>
      <w:r w:rsidR="00896A95">
        <w:rPr>
          <w:rFonts w:ascii="Times New Roman" w:eastAsia="Times New Roman" w:hAnsi="Times New Roman" w:cs="Times New Roman"/>
        </w:rPr>
        <w:t>-</w:t>
      </w:r>
      <w:r w:rsidRPr="00AA1346">
        <w:rPr>
          <w:rFonts w:ascii="Times New Roman" w:eastAsia="Times New Roman" w:hAnsi="Times New Roman" w:cs="Times New Roman"/>
        </w:rPr>
        <w:t>csúcskoncentrációt 0,5</w:t>
      </w:r>
      <w:r w:rsidR="00896A95">
        <w:rPr>
          <w:rFonts w:ascii="Times New Roman" w:eastAsia="Times New Roman" w:hAnsi="Times New Roman" w:cs="Times New Roman"/>
        </w:rPr>
        <w:t>–</w:t>
      </w:r>
      <w:r w:rsidRPr="00AA1346">
        <w:rPr>
          <w:rFonts w:ascii="Times New Roman" w:eastAsia="Times New Roman" w:hAnsi="Times New Roman" w:cs="Times New Roman"/>
        </w:rPr>
        <w:t>1,0</w:t>
      </w:r>
      <w:r w:rsidR="00896A95">
        <w:rPr>
          <w:rFonts w:ascii="Times New Roman" w:eastAsia="Times New Roman" w:hAnsi="Times New Roman" w:cs="Times New Roman"/>
        </w:rPr>
        <w:t> </w:t>
      </w:r>
      <w:r w:rsidRPr="00AA1346">
        <w:rPr>
          <w:rFonts w:ascii="Times New Roman" w:eastAsia="Times New Roman" w:hAnsi="Times New Roman" w:cs="Times New Roman"/>
        </w:rPr>
        <w:t>órával az adagolást követően mérték. A plazma</w:t>
      </w:r>
      <w:r w:rsidR="00896A95">
        <w:rPr>
          <w:rFonts w:ascii="Times New Roman" w:eastAsia="Times New Roman" w:hAnsi="Times New Roman" w:cs="Times New Roman"/>
        </w:rPr>
        <w:t>-</w:t>
      </w:r>
      <w:r w:rsidRPr="00AA1346">
        <w:rPr>
          <w:rFonts w:ascii="Times New Roman" w:eastAsia="Times New Roman" w:hAnsi="Times New Roman" w:cs="Times New Roman"/>
        </w:rPr>
        <w:t>csúcskoncentrációk és a görbe alatti terület esetében lineáris és a dózissal arányos növekedést figyeltek meg. Az eliminációs felezési idő körülbelül 5</w:t>
      </w:r>
      <w:r w:rsidR="009F5D0D" w:rsidRPr="00AA1346">
        <w:rPr>
          <w:rFonts w:ascii="Times New Roman" w:eastAsia="Times New Roman" w:hAnsi="Times New Roman" w:cs="Times New Roman"/>
        </w:rPr>
        <w:t> </w:t>
      </w:r>
      <w:r w:rsidRPr="00AA1346">
        <w:rPr>
          <w:rFonts w:ascii="Times New Roman" w:eastAsia="Times New Roman" w:hAnsi="Times New Roman" w:cs="Times New Roman"/>
        </w:rPr>
        <w:t>óra volt. A látszólagos teljes test</w:t>
      </w:r>
      <w:r w:rsidR="00896A95">
        <w:rPr>
          <w:rFonts w:ascii="Times New Roman" w:eastAsia="Times New Roman" w:hAnsi="Times New Roman" w:cs="Times New Roman"/>
        </w:rPr>
        <w:t>-</w:t>
      </w:r>
      <w:r w:rsidRPr="00AA1346">
        <w:rPr>
          <w:rFonts w:ascii="Times New Roman" w:eastAsia="Times New Roman" w:hAnsi="Times New Roman" w:cs="Times New Roman"/>
        </w:rPr>
        <w:t>clearance 1,1</w:t>
      </w:r>
      <w:r w:rsidR="009F5D0D" w:rsidRPr="00AA1346">
        <w:rPr>
          <w:rFonts w:ascii="Times New Roman" w:eastAsia="Times New Roman" w:hAnsi="Times New Roman" w:cs="Times New Roman"/>
        </w:rPr>
        <w:t> </w:t>
      </w:r>
      <w:r w:rsidRPr="00AA1346">
        <w:rPr>
          <w:rFonts w:ascii="Times New Roman" w:eastAsia="Times New Roman" w:hAnsi="Times New Roman" w:cs="Times New Roman"/>
        </w:rPr>
        <w:t>ml/perc/ttkg volt.</w:t>
      </w:r>
    </w:p>
    <w:p w14:paraId="407EE6D7" w14:textId="77777777" w:rsidR="00EC4844" w:rsidRPr="00AA1346" w:rsidRDefault="00EC4844" w:rsidP="004401DF">
      <w:pPr>
        <w:suppressAutoHyphens/>
        <w:spacing w:after="0" w:line="240" w:lineRule="auto"/>
        <w:rPr>
          <w:rFonts w:ascii="Times New Roman" w:eastAsia="Times New Roman" w:hAnsi="Times New Roman" w:cs="Times New Roman"/>
        </w:rPr>
      </w:pPr>
    </w:p>
    <w:p w14:paraId="61F178EC"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5.3</w:t>
      </w:r>
      <w:r w:rsidRPr="00AA1346">
        <w:rPr>
          <w:rFonts w:ascii="Times New Roman" w:eastAsia="Times New Roman" w:hAnsi="Times New Roman" w:cs="Times New Roman"/>
          <w:b/>
        </w:rPr>
        <w:tab/>
        <w:t>A preklinikai biztonságossági vizsgálatok eredményei</w:t>
      </w:r>
    </w:p>
    <w:p w14:paraId="07B8D5B9"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4803E0DF" w14:textId="5B936EE7" w:rsidR="00151C9A" w:rsidRPr="00AA1346" w:rsidRDefault="009F5D0D"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A hagyományos – farmakológiai biztonságossági, genotoxicitási és karcinog</w:t>
      </w:r>
      <w:r w:rsidR="00151C9A">
        <w:rPr>
          <w:rFonts w:ascii="Times New Roman" w:eastAsia="Times New Roman" w:hAnsi="Times New Roman" w:cs="Times New Roman"/>
          <w:noProof/>
        </w:rPr>
        <w:t xml:space="preserve">enitási </w:t>
      </w:r>
      <w:r w:rsidRPr="00AA1346">
        <w:rPr>
          <w:rFonts w:ascii="Times New Roman" w:eastAsia="Times New Roman" w:hAnsi="Times New Roman" w:cs="Times New Roman"/>
          <w:noProof/>
        </w:rPr>
        <w:t>–</w:t>
      </w:r>
      <w:r w:rsidR="00151C9A">
        <w:rPr>
          <w:rFonts w:ascii="Times New Roman" w:eastAsia="Times New Roman" w:hAnsi="Times New Roman" w:cs="Times New Roman"/>
          <w:noProof/>
        </w:rPr>
        <w:t xml:space="preserve"> </w:t>
      </w:r>
      <w:r w:rsidRPr="00AA1346">
        <w:rPr>
          <w:rFonts w:ascii="Times New Roman" w:eastAsia="Times New Roman" w:hAnsi="Times New Roman" w:cs="Times New Roman"/>
          <w:noProof/>
        </w:rPr>
        <w:t>vizsgálatokból származó nem klinikai jellegű adatok azt igazolták, hogy a készítmény alkalmazásakor humán vonatkozásban különleges kockázat nem várható.</w:t>
      </w:r>
    </w:p>
    <w:p w14:paraId="5AFEF5A6" w14:textId="42127A92" w:rsidR="009F5D0D" w:rsidRPr="00AA1346" w:rsidRDefault="009F5D0D"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A klinikai vizsgálatokban nem észlelt, de patkányoknál és – kisebb mértékben – egereknél a humán expozíció</w:t>
      </w:r>
      <w:r w:rsidR="00151C9A">
        <w:rPr>
          <w:rFonts w:ascii="Times New Roman" w:eastAsia="Times New Roman" w:hAnsi="Times New Roman" w:cs="Times New Roman"/>
          <w:noProof/>
        </w:rPr>
        <w:t>s</w:t>
      </w:r>
      <w:r w:rsidRPr="00AA1346">
        <w:rPr>
          <w:rFonts w:ascii="Times New Roman" w:eastAsia="Times New Roman" w:hAnsi="Times New Roman" w:cs="Times New Roman"/>
          <w:noProof/>
        </w:rPr>
        <w:t xml:space="preserve"> szint</w:t>
      </w:r>
      <w:r w:rsidR="00151C9A">
        <w:rPr>
          <w:rFonts w:ascii="Times New Roman" w:eastAsia="Times New Roman" w:hAnsi="Times New Roman" w:cs="Times New Roman"/>
          <w:noProof/>
        </w:rPr>
        <w:t>ek</w:t>
      </w:r>
      <w:r w:rsidRPr="00AA1346">
        <w:rPr>
          <w:rFonts w:ascii="Times New Roman" w:eastAsia="Times New Roman" w:hAnsi="Times New Roman" w:cs="Times New Roman"/>
          <w:noProof/>
        </w:rPr>
        <w:t>hez hasonló mértékű expozíció mellett a klinikai alkalmazás szempontjából is esetleg jelentős májeltéréseket észleltek (a máj súlyának növekedése, centrilobularis hypertrophia, zsíros infiltráció és a májenzimek szérumszintjének emelkedése), melyek adaptív válaszreakciónak felelnek meg.</w:t>
      </w:r>
    </w:p>
    <w:p w14:paraId="0222C9C2" w14:textId="77777777" w:rsidR="009F5D0D" w:rsidRPr="00AA1346" w:rsidRDefault="009F5D0D" w:rsidP="004401DF">
      <w:pPr>
        <w:suppressAutoHyphens/>
        <w:spacing w:after="0" w:line="240" w:lineRule="auto"/>
        <w:rPr>
          <w:rFonts w:ascii="Times New Roman" w:eastAsia="Times New Roman" w:hAnsi="Times New Roman" w:cs="Times New Roman"/>
          <w:noProof/>
        </w:rPr>
      </w:pPr>
    </w:p>
    <w:p w14:paraId="0BA2D2E6" w14:textId="04FFE1B5" w:rsidR="009F5D0D" w:rsidRPr="00AA1346" w:rsidRDefault="009F5D0D"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Patkányoknál legfeljebb 1800 mg/ttkg/nap (a mg/m</w:t>
      </w:r>
      <w:r w:rsidRPr="00AA1346">
        <w:rPr>
          <w:rFonts w:ascii="Times New Roman" w:eastAsia="Times New Roman" w:hAnsi="Times New Roman" w:cs="Times New Roman"/>
          <w:noProof/>
          <w:vertAlign w:val="superscript"/>
        </w:rPr>
        <w:t>2</w:t>
      </w:r>
      <w:r w:rsidRPr="00AA1346">
        <w:rPr>
          <w:rFonts w:ascii="Times New Roman" w:eastAsia="Times New Roman" w:hAnsi="Times New Roman" w:cs="Times New Roman"/>
          <w:noProof/>
        </w:rPr>
        <w:t xml:space="preserve"> vagy expozíció alapján ajánlott maximális humán dózis </w:t>
      </w:r>
      <w:r w:rsidR="00CC67C6">
        <w:rPr>
          <w:rFonts w:ascii="Times New Roman" w:eastAsia="Times New Roman" w:hAnsi="Times New Roman" w:cs="Times New Roman"/>
          <w:noProof/>
        </w:rPr>
        <w:t xml:space="preserve">[maximum </w:t>
      </w:r>
      <w:r w:rsidR="006629F4">
        <w:rPr>
          <w:rFonts w:ascii="Times New Roman" w:eastAsia="Times New Roman" w:hAnsi="Times New Roman" w:cs="Times New Roman"/>
          <w:noProof/>
        </w:rPr>
        <w:t xml:space="preserve">recommended human dose, MRHD] </w:t>
      </w:r>
      <w:r w:rsidRPr="00AA1346">
        <w:rPr>
          <w:rFonts w:ascii="Times New Roman" w:eastAsia="Times New Roman" w:hAnsi="Times New Roman" w:cs="Times New Roman"/>
          <w:noProof/>
        </w:rPr>
        <w:t>hatszorosa) dózisig sem a szülőknél, sem az F1 generációnál nem figyeltek meg a hímek vagy nőstények fertilitására vagy szaporodására gyakorolt mellékhatásokat.</w:t>
      </w:r>
    </w:p>
    <w:p w14:paraId="0081769C" w14:textId="77777777" w:rsidR="009F5D0D" w:rsidRPr="00AA1346" w:rsidRDefault="009F5D0D" w:rsidP="004401DF">
      <w:pPr>
        <w:suppressAutoHyphens/>
        <w:spacing w:after="0" w:line="240" w:lineRule="auto"/>
        <w:rPr>
          <w:rFonts w:ascii="Times New Roman" w:eastAsia="Times New Roman" w:hAnsi="Times New Roman" w:cs="Times New Roman"/>
          <w:noProof/>
        </w:rPr>
      </w:pPr>
    </w:p>
    <w:p w14:paraId="47A593B6" w14:textId="6B24537F" w:rsidR="009F5D0D" w:rsidRPr="00AA1346" w:rsidRDefault="009F5D0D"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Két embryofoetalis fejlődésvizsgálatot végeztek patkányo</w:t>
      </w:r>
      <w:r w:rsidR="00CC67C6">
        <w:rPr>
          <w:rFonts w:ascii="Times New Roman" w:eastAsia="Times New Roman" w:hAnsi="Times New Roman" w:cs="Times New Roman"/>
          <w:noProof/>
        </w:rPr>
        <w:t>knál</w:t>
      </w:r>
      <w:r w:rsidRPr="00AA1346">
        <w:rPr>
          <w:rFonts w:ascii="Times New Roman" w:eastAsia="Times New Roman" w:hAnsi="Times New Roman" w:cs="Times New Roman"/>
          <w:noProof/>
        </w:rPr>
        <w:t xml:space="preserve"> 400, 1200 és 3600 mg/ttkg/nap dózisokkal. 3600 mg/ttkg/nap dózisnál a két vizsgálat közül csupán az egyikben fordult elő a csontrendszeri változások/minor anomáliák enyhe emelkedésével járó magzati testtömegcsökkenés. Nem jelentkezett embryonalis mortalitásra gyakorolt hatás és nem emelkedett a malformációk előfordulásának aránya sem. A NOAEL (</w:t>
      </w:r>
      <w:r w:rsidR="00CC67C6">
        <w:rPr>
          <w:rFonts w:ascii="Times New Roman" w:eastAsia="Times New Roman" w:hAnsi="Times New Roman" w:cs="Times New Roman"/>
          <w:noProof/>
        </w:rPr>
        <w:t xml:space="preserve">észlelhető </w:t>
      </w:r>
      <w:r w:rsidRPr="00AA1346">
        <w:rPr>
          <w:rFonts w:ascii="Times New Roman" w:eastAsia="Times New Roman" w:hAnsi="Times New Roman" w:cs="Times New Roman"/>
          <w:noProof/>
        </w:rPr>
        <w:t>káros hatás</w:t>
      </w:r>
      <w:r w:rsidR="00CC67C6">
        <w:rPr>
          <w:rFonts w:ascii="Times New Roman" w:eastAsia="Times New Roman" w:hAnsi="Times New Roman" w:cs="Times New Roman"/>
          <w:noProof/>
        </w:rPr>
        <w:t>t</w:t>
      </w:r>
      <w:r w:rsidRPr="00AA1346">
        <w:rPr>
          <w:rFonts w:ascii="Times New Roman" w:eastAsia="Times New Roman" w:hAnsi="Times New Roman" w:cs="Times New Roman"/>
          <w:noProof/>
        </w:rPr>
        <w:t xml:space="preserve"> még nem </w:t>
      </w:r>
      <w:r w:rsidR="00CC67C6">
        <w:rPr>
          <w:rFonts w:ascii="Times New Roman" w:eastAsia="Times New Roman" w:hAnsi="Times New Roman" w:cs="Times New Roman"/>
          <w:noProof/>
        </w:rPr>
        <w:t>okozó dózis</w:t>
      </w:r>
      <w:r w:rsidRPr="00AA1346">
        <w:rPr>
          <w:rFonts w:ascii="Times New Roman" w:eastAsia="Times New Roman" w:hAnsi="Times New Roman" w:cs="Times New Roman"/>
          <w:noProof/>
        </w:rPr>
        <w:t xml:space="preserve">szint, No </w:t>
      </w:r>
      <w:r w:rsidRPr="00AA1346">
        <w:rPr>
          <w:rFonts w:ascii="Times New Roman" w:eastAsia="Times New Roman" w:hAnsi="Times New Roman" w:cs="Times New Roman"/>
          <w:noProof/>
        </w:rPr>
        <w:lastRenderedPageBreak/>
        <w:t>Observed Adverse Effect Level) 3600</w:t>
      </w:r>
      <w:r w:rsidR="00CC67C6">
        <w:rPr>
          <w:rFonts w:ascii="Times New Roman" w:eastAsia="Times New Roman" w:hAnsi="Times New Roman" w:cs="Times New Roman"/>
          <w:noProof/>
        </w:rPr>
        <w:t> </w:t>
      </w:r>
      <w:r w:rsidRPr="00AA1346">
        <w:rPr>
          <w:rFonts w:ascii="Times New Roman" w:eastAsia="Times New Roman" w:hAnsi="Times New Roman" w:cs="Times New Roman"/>
          <w:noProof/>
        </w:rPr>
        <w:t>mg/ttkg/nap volt a vemhes nőstény patkányok (a mg/m</w:t>
      </w:r>
      <w:r w:rsidRPr="00E65268">
        <w:rPr>
          <w:rFonts w:ascii="Times New Roman" w:eastAsia="Times New Roman" w:hAnsi="Times New Roman" w:cs="Times New Roman"/>
          <w:noProof/>
          <w:vertAlign w:val="superscript"/>
        </w:rPr>
        <w:t>2</w:t>
      </w:r>
      <w:r w:rsidRPr="00AA1346">
        <w:rPr>
          <w:rFonts w:ascii="Times New Roman" w:eastAsia="Times New Roman" w:hAnsi="Times New Roman" w:cs="Times New Roman"/>
          <w:noProof/>
        </w:rPr>
        <w:t xml:space="preserve"> alapon számított </w:t>
      </w:r>
      <w:r w:rsidR="006629F4">
        <w:rPr>
          <w:rFonts w:ascii="Times New Roman" w:eastAsia="Times New Roman" w:hAnsi="Times New Roman" w:cs="Times New Roman"/>
          <w:noProof/>
        </w:rPr>
        <w:t>MRHD</w:t>
      </w:r>
      <w:r w:rsidRPr="00AA1346">
        <w:rPr>
          <w:rFonts w:ascii="Times New Roman" w:eastAsia="Times New Roman" w:hAnsi="Times New Roman" w:cs="Times New Roman"/>
          <w:noProof/>
        </w:rPr>
        <w:t xml:space="preserve"> 12-szerese)</w:t>
      </w:r>
      <w:r w:rsidR="00CC67C6">
        <w:rPr>
          <w:rFonts w:ascii="Times New Roman" w:eastAsia="Times New Roman" w:hAnsi="Times New Roman" w:cs="Times New Roman"/>
          <w:noProof/>
        </w:rPr>
        <w:t>,</w:t>
      </w:r>
      <w:r w:rsidRPr="00AA1346">
        <w:rPr>
          <w:rFonts w:ascii="Times New Roman" w:eastAsia="Times New Roman" w:hAnsi="Times New Roman" w:cs="Times New Roman"/>
          <w:noProof/>
        </w:rPr>
        <w:t xml:space="preserve"> és 1200</w:t>
      </w:r>
      <w:r w:rsidR="00CC67C6">
        <w:rPr>
          <w:rFonts w:ascii="Times New Roman" w:eastAsia="Times New Roman" w:hAnsi="Times New Roman" w:cs="Times New Roman"/>
          <w:noProof/>
        </w:rPr>
        <w:t> </w:t>
      </w:r>
      <w:r w:rsidRPr="00AA1346">
        <w:rPr>
          <w:rFonts w:ascii="Times New Roman" w:eastAsia="Times New Roman" w:hAnsi="Times New Roman" w:cs="Times New Roman"/>
          <w:noProof/>
        </w:rPr>
        <w:t>mg/ttkg/nap a magzatok esetében.</w:t>
      </w:r>
    </w:p>
    <w:p w14:paraId="3620865C" w14:textId="77777777" w:rsidR="009F5D0D" w:rsidRPr="00AA1346" w:rsidRDefault="009F5D0D" w:rsidP="004401DF">
      <w:pPr>
        <w:suppressAutoHyphens/>
        <w:spacing w:after="0" w:line="240" w:lineRule="auto"/>
        <w:rPr>
          <w:rFonts w:ascii="Times New Roman" w:eastAsia="Times New Roman" w:hAnsi="Times New Roman" w:cs="Times New Roman"/>
          <w:noProof/>
        </w:rPr>
      </w:pPr>
    </w:p>
    <w:p w14:paraId="6099151C" w14:textId="5F32F325" w:rsidR="009F5D0D" w:rsidRPr="00AA1346" w:rsidRDefault="009F5D0D"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Négy embryofoetalis fejlődésvizsgálatot végeztek nyulak</w:t>
      </w:r>
      <w:r w:rsidR="00CC67C6">
        <w:rPr>
          <w:rFonts w:ascii="Times New Roman" w:eastAsia="Times New Roman" w:hAnsi="Times New Roman" w:cs="Times New Roman"/>
          <w:noProof/>
        </w:rPr>
        <w:t>nál</w:t>
      </w:r>
      <w:r w:rsidRPr="00AA1346">
        <w:rPr>
          <w:rFonts w:ascii="Times New Roman" w:eastAsia="Times New Roman" w:hAnsi="Times New Roman" w:cs="Times New Roman"/>
          <w:noProof/>
        </w:rPr>
        <w:t>, 200, 600, 800, 1200 és 1800 mg/ttkg/nap dózisok alkalmazásával. Az 1800 mg/ttkg/nap dózisszint markáns anyai toxicitást indukált, valamint a magzati testtömeg csökkenését idézte elő, am</w:t>
      </w:r>
      <w:r w:rsidR="00CC67C6">
        <w:rPr>
          <w:rFonts w:ascii="Times New Roman" w:eastAsia="Times New Roman" w:hAnsi="Times New Roman" w:cs="Times New Roman"/>
          <w:noProof/>
        </w:rPr>
        <w:t>i a</w:t>
      </w:r>
      <w:r w:rsidRPr="00AA1346">
        <w:rPr>
          <w:rFonts w:ascii="Times New Roman" w:eastAsia="Times New Roman" w:hAnsi="Times New Roman" w:cs="Times New Roman"/>
          <w:noProof/>
        </w:rPr>
        <w:t xml:space="preserve"> </w:t>
      </w:r>
      <w:r w:rsidR="00CC67C6" w:rsidRPr="00AA1346">
        <w:rPr>
          <w:rFonts w:ascii="Times New Roman" w:eastAsia="Times New Roman" w:hAnsi="Times New Roman" w:cs="Times New Roman"/>
          <w:noProof/>
        </w:rPr>
        <w:t>cardiovascularis/csontrendszeri anomáliák</w:t>
      </w:r>
      <w:r w:rsidR="00CC67C6">
        <w:rPr>
          <w:rFonts w:ascii="Times New Roman" w:eastAsia="Times New Roman" w:hAnsi="Times New Roman" w:cs="Times New Roman"/>
          <w:noProof/>
        </w:rPr>
        <w:t xml:space="preserve">at </w:t>
      </w:r>
      <w:r w:rsidR="00CC67C6" w:rsidRPr="00AA1346">
        <w:rPr>
          <w:rFonts w:ascii="Times New Roman" w:eastAsia="Times New Roman" w:hAnsi="Times New Roman" w:cs="Times New Roman"/>
          <w:noProof/>
        </w:rPr>
        <w:t xml:space="preserve">mutató </w:t>
      </w:r>
      <w:r w:rsidR="00CC67C6">
        <w:rPr>
          <w:rFonts w:ascii="Times New Roman" w:eastAsia="Times New Roman" w:hAnsi="Times New Roman" w:cs="Times New Roman"/>
          <w:noProof/>
        </w:rPr>
        <w:t xml:space="preserve">magzatok </w:t>
      </w:r>
      <w:r w:rsidRPr="00AA1346">
        <w:rPr>
          <w:rFonts w:ascii="Times New Roman" w:eastAsia="Times New Roman" w:hAnsi="Times New Roman" w:cs="Times New Roman"/>
          <w:noProof/>
        </w:rPr>
        <w:t>gyakori</w:t>
      </w:r>
      <w:r w:rsidR="00CC67C6">
        <w:rPr>
          <w:rFonts w:ascii="Times New Roman" w:eastAsia="Times New Roman" w:hAnsi="Times New Roman" w:cs="Times New Roman"/>
          <w:noProof/>
        </w:rPr>
        <w:t>bb elő</w:t>
      </w:r>
      <w:r w:rsidRPr="00AA1346">
        <w:rPr>
          <w:rFonts w:ascii="Times New Roman" w:eastAsia="Times New Roman" w:hAnsi="Times New Roman" w:cs="Times New Roman"/>
          <w:noProof/>
        </w:rPr>
        <w:t>fordul</w:t>
      </w:r>
      <w:r w:rsidR="00CC67C6">
        <w:rPr>
          <w:rFonts w:ascii="Times New Roman" w:eastAsia="Times New Roman" w:hAnsi="Times New Roman" w:cs="Times New Roman"/>
          <w:noProof/>
        </w:rPr>
        <w:t>ásával járt</w:t>
      </w:r>
      <w:r w:rsidRPr="00AA1346">
        <w:rPr>
          <w:rFonts w:ascii="Times New Roman" w:eastAsia="Times New Roman" w:hAnsi="Times New Roman" w:cs="Times New Roman"/>
          <w:noProof/>
        </w:rPr>
        <w:t>. A NOAEL</w:t>
      </w:r>
      <w:r w:rsidR="00CC67C6">
        <w:rPr>
          <w:rFonts w:ascii="Times New Roman" w:eastAsia="Times New Roman" w:hAnsi="Times New Roman" w:cs="Times New Roman"/>
          <w:noProof/>
        </w:rPr>
        <w:t>-</w:t>
      </w:r>
      <w:r w:rsidRPr="00AA1346">
        <w:rPr>
          <w:rFonts w:ascii="Times New Roman" w:eastAsia="Times New Roman" w:hAnsi="Times New Roman" w:cs="Times New Roman"/>
          <w:noProof/>
        </w:rPr>
        <w:t>érték &lt; 200 mg/ttkg/nap volt az anyaállatoknál és 200</w:t>
      </w:r>
      <w:r w:rsidR="00CC67C6">
        <w:rPr>
          <w:rFonts w:ascii="Times New Roman" w:eastAsia="Times New Roman" w:hAnsi="Times New Roman" w:cs="Times New Roman"/>
          <w:noProof/>
        </w:rPr>
        <w:t> </w:t>
      </w:r>
      <w:r w:rsidRPr="00AA1346">
        <w:rPr>
          <w:rFonts w:ascii="Times New Roman" w:eastAsia="Times New Roman" w:hAnsi="Times New Roman" w:cs="Times New Roman"/>
          <w:noProof/>
        </w:rPr>
        <w:t>mg/ttkg/nap a magzatoknál (a mg/m</w:t>
      </w:r>
      <w:r w:rsidRPr="00AA1346">
        <w:rPr>
          <w:rFonts w:ascii="Times New Roman" w:eastAsia="Times New Roman" w:hAnsi="Times New Roman" w:cs="Times New Roman"/>
          <w:noProof/>
          <w:vertAlign w:val="superscript"/>
        </w:rPr>
        <w:t>2</w:t>
      </w:r>
      <w:r w:rsidRPr="00AA1346">
        <w:rPr>
          <w:rFonts w:ascii="Times New Roman" w:eastAsia="Times New Roman" w:hAnsi="Times New Roman" w:cs="Times New Roman"/>
          <w:noProof/>
        </w:rPr>
        <w:t xml:space="preserve"> alapon számított </w:t>
      </w:r>
      <w:r w:rsidR="009C343F" w:rsidRPr="009C343F">
        <w:rPr>
          <w:rFonts w:ascii="Times New Roman" w:eastAsia="Times New Roman" w:hAnsi="Times New Roman" w:cs="Times New Roman"/>
          <w:noProof/>
        </w:rPr>
        <w:t xml:space="preserve">maximális ajánlott humán dózis, vagyis </w:t>
      </w:r>
      <w:r w:rsidRPr="00AA1346">
        <w:rPr>
          <w:rFonts w:ascii="Times New Roman" w:eastAsia="Times New Roman" w:hAnsi="Times New Roman" w:cs="Times New Roman"/>
          <w:noProof/>
        </w:rPr>
        <w:t>MRHD-nak megfelelő érték).</w:t>
      </w:r>
    </w:p>
    <w:p w14:paraId="6BCBC4C3" w14:textId="36FF5FF9" w:rsidR="009F5D0D" w:rsidRPr="00AA1346" w:rsidRDefault="009F5D0D"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Egy peri- és postnatalis fejlődésvizsgálatot végeztek patkányoknál, a levetiracetám 70, 350 és 1800</w:t>
      </w:r>
      <w:r w:rsidR="000C577F" w:rsidRPr="00AA1346">
        <w:rPr>
          <w:rFonts w:ascii="Times New Roman" w:eastAsia="Times New Roman" w:hAnsi="Times New Roman" w:cs="Times New Roman"/>
          <w:noProof/>
        </w:rPr>
        <w:t> </w:t>
      </w:r>
      <w:r w:rsidRPr="00AA1346">
        <w:rPr>
          <w:rFonts w:ascii="Times New Roman" w:eastAsia="Times New Roman" w:hAnsi="Times New Roman" w:cs="Times New Roman"/>
          <w:noProof/>
        </w:rPr>
        <w:t>mg/ttkg/nap dózisaival. Az elválasztásig az F0 nőstényekre, illetve az F1 utódok túlélésére, fejlődésére</w:t>
      </w:r>
      <w:r w:rsidR="006629F4">
        <w:rPr>
          <w:rFonts w:ascii="Times New Roman" w:eastAsia="Times New Roman" w:hAnsi="Times New Roman" w:cs="Times New Roman"/>
          <w:noProof/>
        </w:rPr>
        <w:t>,</w:t>
      </w:r>
      <w:r w:rsidRPr="00AA1346">
        <w:rPr>
          <w:rFonts w:ascii="Times New Roman" w:eastAsia="Times New Roman" w:hAnsi="Times New Roman" w:cs="Times New Roman"/>
          <w:noProof/>
        </w:rPr>
        <w:t xml:space="preserve"> valamint növekedésére vonatkozó NOAEL ≥</w:t>
      </w:r>
      <w:r w:rsidR="000C577F" w:rsidRPr="00AA1346">
        <w:rPr>
          <w:rFonts w:ascii="Times New Roman" w:eastAsia="Times New Roman" w:hAnsi="Times New Roman" w:cs="Times New Roman"/>
          <w:noProof/>
        </w:rPr>
        <w:t> </w:t>
      </w:r>
      <w:r w:rsidRPr="00AA1346">
        <w:rPr>
          <w:rFonts w:ascii="Times New Roman" w:eastAsia="Times New Roman" w:hAnsi="Times New Roman" w:cs="Times New Roman"/>
          <w:noProof/>
        </w:rPr>
        <w:t>1800</w:t>
      </w:r>
      <w:r w:rsidR="006629F4">
        <w:rPr>
          <w:rFonts w:ascii="Times New Roman" w:eastAsia="Times New Roman" w:hAnsi="Times New Roman" w:cs="Times New Roman"/>
          <w:noProof/>
        </w:rPr>
        <w:t> </w:t>
      </w:r>
      <w:r w:rsidRPr="00AA1346">
        <w:rPr>
          <w:rFonts w:ascii="Times New Roman" w:eastAsia="Times New Roman" w:hAnsi="Times New Roman" w:cs="Times New Roman"/>
          <w:noProof/>
        </w:rPr>
        <w:t>mg/ttkg/nap volt (a mg/m</w:t>
      </w:r>
      <w:r w:rsidRPr="00E65268">
        <w:rPr>
          <w:rFonts w:ascii="Times New Roman" w:eastAsia="Times New Roman" w:hAnsi="Times New Roman" w:cs="Times New Roman"/>
          <w:noProof/>
          <w:vertAlign w:val="superscript"/>
        </w:rPr>
        <w:t>2</w:t>
      </w:r>
      <w:r w:rsidRPr="00AA1346">
        <w:rPr>
          <w:rFonts w:ascii="Times New Roman" w:eastAsia="Times New Roman" w:hAnsi="Times New Roman" w:cs="Times New Roman"/>
          <w:noProof/>
        </w:rPr>
        <w:t xml:space="preserve"> alapon számított MRHD 6-szorosának megfelelő érték).</w:t>
      </w:r>
    </w:p>
    <w:p w14:paraId="034854C5" w14:textId="77777777" w:rsidR="009F5D0D" w:rsidRPr="00AA1346" w:rsidRDefault="009F5D0D" w:rsidP="004401DF">
      <w:pPr>
        <w:suppressAutoHyphens/>
        <w:spacing w:after="0" w:line="240" w:lineRule="auto"/>
        <w:rPr>
          <w:rFonts w:ascii="Times New Roman" w:eastAsia="Times New Roman" w:hAnsi="Times New Roman" w:cs="Times New Roman"/>
          <w:noProof/>
        </w:rPr>
      </w:pPr>
    </w:p>
    <w:p w14:paraId="558F826C" w14:textId="5E41F4D5" w:rsidR="00394394" w:rsidRPr="0063525F" w:rsidRDefault="009F5D0D"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Újszülött és fiatal patkányok</w:t>
      </w:r>
      <w:r w:rsidR="006629F4">
        <w:rPr>
          <w:rFonts w:ascii="Times New Roman" w:eastAsia="Times New Roman" w:hAnsi="Times New Roman" w:cs="Times New Roman"/>
          <w:noProof/>
        </w:rPr>
        <w:t>kal</w:t>
      </w:r>
      <w:r w:rsidRPr="00AA1346">
        <w:rPr>
          <w:rFonts w:ascii="Times New Roman" w:eastAsia="Times New Roman" w:hAnsi="Times New Roman" w:cs="Times New Roman"/>
          <w:noProof/>
        </w:rPr>
        <w:t xml:space="preserve"> és kutyák</w:t>
      </w:r>
      <w:r w:rsidR="006629F4">
        <w:rPr>
          <w:rFonts w:ascii="Times New Roman" w:eastAsia="Times New Roman" w:hAnsi="Times New Roman" w:cs="Times New Roman"/>
          <w:noProof/>
        </w:rPr>
        <w:t>kal</w:t>
      </w:r>
      <w:r w:rsidRPr="00AA1346">
        <w:rPr>
          <w:rFonts w:ascii="Times New Roman" w:eastAsia="Times New Roman" w:hAnsi="Times New Roman" w:cs="Times New Roman"/>
          <w:noProof/>
        </w:rPr>
        <w:t xml:space="preserve"> végzett állatkísérletek során nem tapasztaltak mellékhatásokat a standard fejlődési és érési végpontok egyikét tekintve sem 1800</w:t>
      </w:r>
      <w:r w:rsidR="000C577F" w:rsidRPr="00AA1346">
        <w:rPr>
          <w:rFonts w:ascii="Times New Roman" w:eastAsia="Times New Roman" w:hAnsi="Times New Roman" w:cs="Times New Roman"/>
          <w:noProof/>
        </w:rPr>
        <w:t> </w:t>
      </w:r>
      <w:r w:rsidRPr="00AA1346">
        <w:rPr>
          <w:rFonts w:ascii="Times New Roman" w:eastAsia="Times New Roman" w:hAnsi="Times New Roman" w:cs="Times New Roman"/>
          <w:noProof/>
        </w:rPr>
        <w:t>mg/ttkg/nap dózisszintig (a mg/m</w:t>
      </w:r>
      <w:r w:rsidRPr="00E65268">
        <w:rPr>
          <w:rFonts w:ascii="Times New Roman" w:eastAsia="Times New Roman" w:hAnsi="Times New Roman" w:cs="Times New Roman"/>
          <w:noProof/>
          <w:vertAlign w:val="superscript"/>
        </w:rPr>
        <w:t>2</w:t>
      </w:r>
      <w:r w:rsidRPr="00AA1346">
        <w:rPr>
          <w:rFonts w:ascii="Times New Roman" w:eastAsia="Times New Roman" w:hAnsi="Times New Roman" w:cs="Times New Roman"/>
          <w:noProof/>
        </w:rPr>
        <w:t xml:space="preserve"> alapon számított MHRD 6</w:t>
      </w:r>
      <w:r w:rsidR="006629F4">
        <w:rPr>
          <w:rFonts w:ascii="Times New Roman" w:eastAsia="Times New Roman" w:hAnsi="Times New Roman" w:cs="Times New Roman"/>
          <w:noProof/>
        </w:rPr>
        <w:t>–</w:t>
      </w:r>
      <w:r w:rsidRPr="00AA1346">
        <w:rPr>
          <w:rFonts w:ascii="Times New Roman" w:eastAsia="Times New Roman" w:hAnsi="Times New Roman" w:cs="Times New Roman"/>
          <w:noProof/>
        </w:rPr>
        <w:t>17-szerese).</w:t>
      </w:r>
    </w:p>
    <w:p w14:paraId="08911507" w14:textId="77777777" w:rsidR="000C577F" w:rsidRPr="0063525F" w:rsidRDefault="000C577F" w:rsidP="004401DF">
      <w:pPr>
        <w:suppressAutoHyphens/>
        <w:spacing w:after="0" w:line="240" w:lineRule="auto"/>
        <w:rPr>
          <w:rFonts w:ascii="Times New Roman" w:eastAsia="Times New Roman" w:hAnsi="Times New Roman" w:cs="Times New Roman"/>
        </w:rPr>
      </w:pPr>
    </w:p>
    <w:p w14:paraId="7D8B4A43"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63ACF528"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szCs w:val="20"/>
        </w:rPr>
      </w:pPr>
      <w:r w:rsidRPr="00AA1346">
        <w:rPr>
          <w:rFonts w:ascii="Times New Roman" w:eastAsia="Times New Roman" w:hAnsi="Times New Roman" w:cs="Times New Roman"/>
          <w:b/>
          <w:szCs w:val="20"/>
        </w:rPr>
        <w:t>6.</w:t>
      </w:r>
      <w:r w:rsidRPr="00AA1346">
        <w:rPr>
          <w:rFonts w:ascii="Times New Roman" w:eastAsia="Times New Roman" w:hAnsi="Times New Roman" w:cs="Times New Roman"/>
          <w:b/>
          <w:szCs w:val="20"/>
        </w:rPr>
        <w:tab/>
        <w:t>GYÓGYSZERÉSZETI JELLEMZŐK</w:t>
      </w:r>
    </w:p>
    <w:p w14:paraId="7D45F371"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szCs w:val="20"/>
        </w:rPr>
      </w:pPr>
    </w:p>
    <w:p w14:paraId="7F99362D"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6.1</w:t>
      </w:r>
      <w:r w:rsidRPr="00AA1346">
        <w:rPr>
          <w:rFonts w:ascii="Times New Roman" w:eastAsia="Times New Roman" w:hAnsi="Times New Roman" w:cs="Times New Roman"/>
          <w:b/>
        </w:rPr>
        <w:tab/>
        <w:t>Segédanyagok felsorolása</w:t>
      </w:r>
    </w:p>
    <w:p w14:paraId="33C04D91"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530D730A" w14:textId="36EAAC5C" w:rsidR="00A5333E" w:rsidRPr="0063525F" w:rsidRDefault="00A5333E" w:rsidP="004401DF">
      <w:pPr>
        <w:spacing w:after="0" w:line="240" w:lineRule="auto"/>
        <w:rPr>
          <w:rFonts w:ascii="Times New Roman" w:hAnsi="Times New Roman" w:cs="Times New Roman"/>
        </w:rPr>
      </w:pPr>
      <w:r w:rsidRPr="00AA1346">
        <w:rPr>
          <w:rFonts w:ascii="Times New Roman" w:hAnsi="Times New Roman" w:cs="Times New Roman"/>
        </w:rPr>
        <w:t>nátrium-acetát-trihidrát</w:t>
      </w:r>
    </w:p>
    <w:p w14:paraId="514CAD3C" w14:textId="1736ACED" w:rsidR="00A5333E" w:rsidRPr="0063525F" w:rsidRDefault="00A5333E" w:rsidP="004401DF">
      <w:pPr>
        <w:spacing w:after="0" w:line="240" w:lineRule="auto"/>
        <w:rPr>
          <w:rFonts w:ascii="Times New Roman" w:hAnsi="Times New Roman" w:cs="Times New Roman"/>
        </w:rPr>
      </w:pPr>
      <w:r w:rsidRPr="00AA1346">
        <w:rPr>
          <w:rFonts w:ascii="Times New Roman" w:hAnsi="Times New Roman" w:cs="Times New Roman"/>
        </w:rPr>
        <w:t>nátrium-klorid</w:t>
      </w:r>
    </w:p>
    <w:p w14:paraId="7E50523E" w14:textId="26B07C17" w:rsidR="00A5333E" w:rsidRPr="0063525F" w:rsidRDefault="00A5333E" w:rsidP="004401DF">
      <w:pPr>
        <w:spacing w:after="0" w:line="240" w:lineRule="auto"/>
        <w:rPr>
          <w:rFonts w:ascii="Times New Roman" w:hAnsi="Times New Roman" w:cs="Times New Roman"/>
        </w:rPr>
      </w:pPr>
      <w:r w:rsidRPr="00AA1346">
        <w:rPr>
          <w:rFonts w:ascii="Times New Roman" w:hAnsi="Times New Roman" w:cs="Times New Roman"/>
        </w:rPr>
        <w:t>tömény ecetsav</w:t>
      </w:r>
      <w:r w:rsidRPr="0063525F">
        <w:rPr>
          <w:rFonts w:ascii="Times New Roman" w:hAnsi="Times New Roman" w:cs="Times New Roman"/>
        </w:rPr>
        <w:t xml:space="preserve"> </w:t>
      </w:r>
      <w:r w:rsidRPr="00AA1346">
        <w:rPr>
          <w:rFonts w:ascii="Times New Roman" w:eastAsia="Times New Roman" w:hAnsi="Times New Roman" w:cs="Times New Roman"/>
        </w:rPr>
        <w:t>(</w:t>
      </w:r>
      <w:r w:rsidR="006629F4">
        <w:rPr>
          <w:rFonts w:ascii="Times New Roman" w:eastAsia="Times New Roman" w:hAnsi="Times New Roman" w:cs="Times New Roman"/>
        </w:rPr>
        <w:t xml:space="preserve">a </w:t>
      </w:r>
      <w:r w:rsidRPr="00AA1346">
        <w:rPr>
          <w:rFonts w:ascii="Times New Roman" w:eastAsia="Times New Roman" w:hAnsi="Times New Roman" w:cs="Times New Roman"/>
        </w:rPr>
        <w:t>pH beállításához)</w:t>
      </w:r>
    </w:p>
    <w:p w14:paraId="7F6410D5" w14:textId="6A700EF4" w:rsidR="00A5333E" w:rsidRPr="0063525F" w:rsidRDefault="00A5333E" w:rsidP="004401DF">
      <w:pPr>
        <w:spacing w:after="0" w:line="240" w:lineRule="auto"/>
        <w:rPr>
          <w:rFonts w:ascii="Times New Roman" w:hAnsi="Times New Roman" w:cs="Times New Roman"/>
        </w:rPr>
      </w:pPr>
      <w:r w:rsidRPr="00AA1346">
        <w:rPr>
          <w:rFonts w:ascii="Times New Roman" w:hAnsi="Times New Roman" w:cs="Times New Roman"/>
        </w:rPr>
        <w:t>injekcióhoz való víz</w:t>
      </w:r>
    </w:p>
    <w:p w14:paraId="2B6666F5"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sz w:val="20"/>
        </w:rPr>
      </w:pPr>
    </w:p>
    <w:p w14:paraId="12889568" w14:textId="77777777" w:rsidR="00394394" w:rsidRPr="00AA1346" w:rsidRDefault="00394394" w:rsidP="004401DF">
      <w:pPr>
        <w:keepNext/>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6.2</w:t>
      </w:r>
      <w:r w:rsidRPr="00AA1346">
        <w:rPr>
          <w:rFonts w:ascii="Times New Roman" w:eastAsia="Times New Roman" w:hAnsi="Times New Roman" w:cs="Times New Roman"/>
          <w:b/>
        </w:rPr>
        <w:tab/>
        <w:t>Inkompatibilitások</w:t>
      </w:r>
    </w:p>
    <w:p w14:paraId="1CD86670" w14:textId="77777777" w:rsidR="00394394" w:rsidRPr="00AA1346" w:rsidRDefault="00394394" w:rsidP="004401DF">
      <w:pPr>
        <w:keepNext/>
        <w:suppressAutoHyphens/>
        <w:spacing w:after="0" w:line="240" w:lineRule="auto"/>
        <w:ind w:left="567" w:hanging="567"/>
        <w:rPr>
          <w:rFonts w:ascii="Times New Roman" w:eastAsia="Times New Roman" w:hAnsi="Times New Roman" w:cs="Times New Roman"/>
          <w:b/>
        </w:rPr>
      </w:pPr>
    </w:p>
    <w:p w14:paraId="34DE9E3F" w14:textId="77B6ED51" w:rsidR="00394394" w:rsidRPr="00AA1346" w:rsidRDefault="00394394"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Ez a gyógyszer kizárólag a 6.6 pontban felsorolt gyógyszerekkel keverhető.</w:t>
      </w:r>
    </w:p>
    <w:p w14:paraId="5B699C45"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7D9CE48B"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6.3</w:t>
      </w:r>
      <w:r w:rsidRPr="00AA1346">
        <w:rPr>
          <w:rFonts w:ascii="Times New Roman" w:eastAsia="Times New Roman" w:hAnsi="Times New Roman" w:cs="Times New Roman"/>
          <w:b/>
        </w:rPr>
        <w:tab/>
        <w:t>Felhasználhatósági időtartam</w:t>
      </w:r>
    </w:p>
    <w:p w14:paraId="06F8B4C4"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0E3B77E2" w14:textId="235A6BB1" w:rsidR="00394394" w:rsidRPr="00AA1346" w:rsidRDefault="0063525F" w:rsidP="004401DF">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2</w:t>
      </w:r>
      <w:r w:rsidR="006629F4">
        <w:rPr>
          <w:rFonts w:ascii="Times New Roman" w:eastAsia="Times New Roman" w:hAnsi="Times New Roman" w:cs="Times New Roman"/>
        </w:rPr>
        <w:t> </w:t>
      </w:r>
      <w:r w:rsidRPr="0063525F">
        <w:rPr>
          <w:rFonts w:ascii="Times New Roman" w:eastAsia="Times New Roman" w:hAnsi="Times New Roman" w:cs="Times New Roman"/>
        </w:rPr>
        <w:t>év.</w:t>
      </w:r>
    </w:p>
    <w:p w14:paraId="1A72C0D1"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3F5BCFBE" w14:textId="77777777" w:rsidR="00394394" w:rsidRPr="00AA1346" w:rsidRDefault="00394394" w:rsidP="004401DF">
      <w:pPr>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Felhasználhatósági időtartam hígítás után</w:t>
      </w:r>
    </w:p>
    <w:p w14:paraId="403D803E" w14:textId="275B283C" w:rsidR="00394394" w:rsidRPr="00AA1346" w:rsidRDefault="00394394" w:rsidP="004401DF">
      <w:pPr>
        <w:tabs>
          <w:tab w:val="left" w:pos="567"/>
        </w:tabs>
        <w:suppressAutoHyphens/>
        <w:autoSpaceDE w:val="0"/>
        <w:autoSpaceDN w:val="0"/>
        <w:adjustRightInd w:val="0"/>
        <w:spacing w:after="0" w:line="240" w:lineRule="auto"/>
        <w:rPr>
          <w:rFonts w:ascii="Times New Roman" w:eastAsia="Times New Roman" w:hAnsi="Times New Roman" w:cs="Times New Roman"/>
          <w:iCs/>
          <w:snapToGrid w:val="0"/>
          <w:lang w:eastAsia="hu-HU"/>
        </w:rPr>
      </w:pPr>
      <w:r w:rsidRPr="00AA1346">
        <w:rPr>
          <w:rFonts w:ascii="Times New Roman" w:eastAsia="Times New Roman" w:hAnsi="Times New Roman" w:cs="Times New Roman"/>
          <w:iCs/>
          <w:snapToGrid w:val="0"/>
          <w:lang w:eastAsia="hu-HU"/>
        </w:rPr>
        <w:t xml:space="preserve">A </w:t>
      </w:r>
      <w:r w:rsidR="006629F4">
        <w:rPr>
          <w:rFonts w:ascii="Times New Roman" w:eastAsia="Times New Roman" w:hAnsi="Times New Roman" w:cs="Times New Roman"/>
          <w:iCs/>
          <w:snapToGrid w:val="0"/>
          <w:lang w:eastAsia="hu-HU"/>
        </w:rPr>
        <w:t xml:space="preserve">hígított oldat </w:t>
      </w:r>
      <w:r w:rsidRPr="00AA1346">
        <w:rPr>
          <w:rFonts w:ascii="Times New Roman" w:eastAsia="Times New Roman" w:hAnsi="Times New Roman" w:cs="Times New Roman"/>
          <w:iCs/>
          <w:snapToGrid w:val="0"/>
          <w:lang w:eastAsia="hu-HU"/>
        </w:rPr>
        <w:t xml:space="preserve">kémiai és fizikai stabilitása 2 °C–8 °C-on és 25 °C-on </w:t>
      </w:r>
      <w:r w:rsidR="008E011C" w:rsidRPr="008E011C">
        <w:rPr>
          <w:rFonts w:ascii="Times New Roman" w:eastAsia="Times New Roman" w:hAnsi="Times New Roman" w:cs="Times New Roman"/>
          <w:iCs/>
          <w:snapToGrid w:val="0"/>
          <w:lang w:eastAsia="hu-HU"/>
        </w:rPr>
        <w:t>7 napon</w:t>
      </w:r>
      <w:r w:rsidRPr="00AA1346">
        <w:rPr>
          <w:rFonts w:ascii="Times New Roman" w:eastAsia="Times New Roman" w:hAnsi="Times New Roman" w:cs="Times New Roman"/>
          <w:iCs/>
          <w:snapToGrid w:val="0"/>
          <w:lang w:eastAsia="hu-HU"/>
        </w:rPr>
        <w:t xml:space="preserve"> át igazolt.</w:t>
      </w:r>
    </w:p>
    <w:p w14:paraId="126DAAA9" w14:textId="6F236062" w:rsidR="00394394" w:rsidRPr="00AA1346" w:rsidRDefault="00394394" w:rsidP="004401DF">
      <w:pPr>
        <w:tabs>
          <w:tab w:val="left" w:pos="567"/>
        </w:tabs>
        <w:suppressAutoHyphens/>
        <w:autoSpaceDE w:val="0"/>
        <w:autoSpaceDN w:val="0"/>
        <w:adjustRightInd w:val="0"/>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Mikrobiológiai szempontból a készítményt azonnal fel kell használni. Amennyiben nem használják fel azonnal, a felhasználásig az eltartási idő és a tárolási körülmények a felhasználó felelőssége, amely általános esetben 2 °C–8 °C közötti hőmérsékleten tárolva nem haladhatja meg a 24 órát</w:t>
      </w:r>
      <w:r w:rsidR="006629F4">
        <w:rPr>
          <w:rFonts w:ascii="Times New Roman" w:eastAsia="Times New Roman" w:hAnsi="Times New Roman" w:cs="Times New Roman"/>
        </w:rPr>
        <w:t xml:space="preserve">, kivéve, </w:t>
      </w:r>
      <w:r w:rsidR="006629F4" w:rsidRPr="00E65268">
        <w:rPr>
          <w:rFonts w:ascii="Times New Roman" w:eastAsia="Times New Roman" w:hAnsi="Times New Roman" w:cs="Times New Roman"/>
        </w:rPr>
        <w:t>ha a hígítás ellenőrzött</w:t>
      </w:r>
      <w:r w:rsidR="006629F4" w:rsidRPr="006629F4">
        <w:rPr>
          <w:rFonts w:ascii="Times New Roman" w:eastAsia="Times New Roman" w:hAnsi="Times New Roman" w:cs="Times New Roman"/>
        </w:rPr>
        <w:t xml:space="preserve"> és validált </w:t>
      </w:r>
      <w:r w:rsidR="006629F4" w:rsidRPr="00E65268">
        <w:rPr>
          <w:rFonts w:ascii="Times New Roman" w:eastAsia="Times New Roman" w:hAnsi="Times New Roman" w:cs="Times New Roman"/>
        </w:rPr>
        <w:t>aszeptikus</w:t>
      </w:r>
      <w:r w:rsidR="006629F4" w:rsidRPr="006629F4">
        <w:rPr>
          <w:rFonts w:ascii="Times New Roman" w:eastAsia="Times New Roman" w:hAnsi="Times New Roman" w:cs="Times New Roman"/>
        </w:rPr>
        <w:t xml:space="preserve"> körülmények köz</w:t>
      </w:r>
      <w:r w:rsidR="00E60620">
        <w:rPr>
          <w:rFonts w:ascii="Times New Roman" w:eastAsia="Times New Roman" w:hAnsi="Times New Roman" w:cs="Times New Roman"/>
        </w:rPr>
        <w:t>öt</w:t>
      </w:r>
      <w:r w:rsidR="006629F4" w:rsidRPr="006629F4">
        <w:rPr>
          <w:rFonts w:ascii="Times New Roman" w:eastAsia="Times New Roman" w:hAnsi="Times New Roman" w:cs="Times New Roman"/>
        </w:rPr>
        <w:t>t történt.</w:t>
      </w:r>
    </w:p>
    <w:p w14:paraId="1438CA99"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61C101B5"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6.4</w:t>
      </w:r>
      <w:r w:rsidRPr="00AA1346">
        <w:rPr>
          <w:rFonts w:ascii="Times New Roman" w:eastAsia="Times New Roman" w:hAnsi="Times New Roman" w:cs="Times New Roman"/>
          <w:b/>
        </w:rPr>
        <w:tab/>
        <w:t>Különleges tárolási előírások</w:t>
      </w:r>
    </w:p>
    <w:p w14:paraId="446B6A73"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67DF949E" w14:textId="3E6FADB0" w:rsidR="00394394" w:rsidRPr="00AA1346" w:rsidRDefault="00111336" w:rsidP="004401DF">
      <w:pPr>
        <w:suppressAutoHyphens/>
        <w:spacing w:after="0" w:line="240" w:lineRule="auto"/>
        <w:rPr>
          <w:rFonts w:ascii="Times New Roman" w:eastAsia="Times New Roman" w:hAnsi="Times New Roman" w:cs="Times New Roman"/>
          <w:noProof/>
        </w:rPr>
      </w:pPr>
      <w:r w:rsidRPr="00111336">
        <w:rPr>
          <w:rFonts w:ascii="Times New Roman" w:eastAsia="Times New Roman" w:hAnsi="Times New Roman" w:cs="Times New Roman"/>
          <w:noProof/>
        </w:rPr>
        <w:t>Ez a gyógyszer nem igényel különleges tárolást.</w:t>
      </w:r>
    </w:p>
    <w:p w14:paraId="07555F3F" w14:textId="77777777" w:rsidR="00394394" w:rsidRPr="00AA1346" w:rsidRDefault="00394394" w:rsidP="004401DF">
      <w:pPr>
        <w:suppressAutoHyphens/>
        <w:spacing w:after="0" w:line="240" w:lineRule="auto"/>
        <w:rPr>
          <w:rFonts w:ascii="Times New Roman" w:eastAsia="Times New Roman" w:hAnsi="Times New Roman" w:cs="Times New Roman"/>
          <w:noProof/>
        </w:rPr>
      </w:pPr>
    </w:p>
    <w:p w14:paraId="6D7E01ED" w14:textId="77777777" w:rsidR="00394394" w:rsidRPr="00AA1346" w:rsidRDefault="00394394" w:rsidP="004401DF">
      <w:pPr>
        <w:suppressAutoHyphens/>
        <w:spacing w:after="0" w:line="240" w:lineRule="auto"/>
        <w:rPr>
          <w:rFonts w:ascii="Times New Roman" w:eastAsia="Times New Roman" w:hAnsi="Times New Roman" w:cs="Times New Roman"/>
          <w:noProof/>
        </w:rPr>
      </w:pPr>
      <w:r w:rsidRPr="00AA1346">
        <w:rPr>
          <w:rFonts w:ascii="Times New Roman" w:eastAsia="Times New Roman" w:hAnsi="Times New Roman" w:cs="Times New Roman"/>
          <w:noProof/>
        </w:rPr>
        <w:t>A gyógyszer hígítás utáni tárolására vonatkozó előírásokat lásd a 6.3 pontban.</w:t>
      </w:r>
    </w:p>
    <w:p w14:paraId="161CE606"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6DB130A5" w14:textId="01033781" w:rsidR="00394394" w:rsidRPr="00A03CA9" w:rsidRDefault="00394394" w:rsidP="004401DF">
      <w:pPr>
        <w:pStyle w:val="Listaszerbekezds"/>
        <w:numPr>
          <w:ilvl w:val="1"/>
          <w:numId w:val="19"/>
        </w:numPr>
        <w:tabs>
          <w:tab w:val="left" w:pos="708"/>
        </w:tabs>
        <w:suppressAutoHyphens/>
        <w:spacing w:after="0" w:line="240" w:lineRule="auto"/>
        <w:ind w:left="567" w:hanging="567"/>
        <w:rPr>
          <w:rFonts w:ascii="Times New Roman" w:eastAsia="Times New Roman" w:hAnsi="Times New Roman" w:cs="Times New Roman"/>
          <w:b/>
        </w:rPr>
      </w:pPr>
      <w:r w:rsidRPr="00A03CA9">
        <w:rPr>
          <w:rFonts w:ascii="Times New Roman" w:eastAsia="Times New Roman" w:hAnsi="Times New Roman" w:cs="Times New Roman"/>
          <w:b/>
        </w:rPr>
        <w:t>Csomagolás típusa és kiszerelése</w:t>
      </w:r>
    </w:p>
    <w:p w14:paraId="41A41A2F" w14:textId="77777777" w:rsidR="00394394" w:rsidRPr="00AA1346" w:rsidRDefault="00394394" w:rsidP="004401DF">
      <w:pPr>
        <w:suppressAutoHyphens/>
        <w:spacing w:after="0" w:line="240" w:lineRule="auto"/>
        <w:rPr>
          <w:rFonts w:ascii="Times New Roman" w:eastAsia="Times New Roman" w:hAnsi="Times New Roman" w:cs="Times New Roman"/>
          <w:b/>
        </w:rPr>
      </w:pPr>
    </w:p>
    <w:p w14:paraId="7CE199F4" w14:textId="3CE993D0" w:rsidR="00394394" w:rsidRPr="00A03CA9" w:rsidRDefault="00A03CA9" w:rsidP="004401DF">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5</w:t>
      </w:r>
      <w:r w:rsidR="006629F4">
        <w:rPr>
          <w:rFonts w:ascii="Times New Roman" w:eastAsia="Times New Roman" w:hAnsi="Times New Roman" w:cs="Times New Roman"/>
        </w:rPr>
        <w:t> </w:t>
      </w:r>
      <w:r w:rsidR="001D6579" w:rsidRPr="00A03CA9">
        <w:rPr>
          <w:rFonts w:ascii="Times New Roman" w:eastAsia="Times New Roman" w:hAnsi="Times New Roman" w:cs="Times New Roman"/>
        </w:rPr>
        <w:t>ml oldat I.</w:t>
      </w:r>
      <w:r w:rsidR="006629F4">
        <w:rPr>
          <w:rFonts w:ascii="Times New Roman" w:eastAsia="Times New Roman" w:hAnsi="Times New Roman" w:cs="Times New Roman"/>
        </w:rPr>
        <w:t> </w:t>
      </w:r>
      <w:r w:rsidR="001D6579" w:rsidRPr="00A03CA9">
        <w:rPr>
          <w:rFonts w:ascii="Times New Roman" w:eastAsia="Times New Roman" w:hAnsi="Times New Roman" w:cs="Times New Roman"/>
        </w:rPr>
        <w:t>típusú üvegből készült injekciós üvegben, brómbutil gumidugóval és lepattintható alumíniumkupakkal lezárva.</w:t>
      </w:r>
    </w:p>
    <w:p w14:paraId="10B7328C" w14:textId="77777777" w:rsidR="001D6579" w:rsidRPr="001D6579" w:rsidRDefault="001D6579" w:rsidP="004401DF">
      <w:pPr>
        <w:pStyle w:val="Listaszerbekezds"/>
        <w:suppressAutoHyphens/>
        <w:spacing w:after="0" w:line="240" w:lineRule="auto"/>
        <w:ind w:left="360"/>
        <w:rPr>
          <w:rFonts w:ascii="Times New Roman" w:eastAsia="Times New Roman" w:hAnsi="Times New Roman" w:cs="Times New Roman"/>
        </w:rPr>
      </w:pPr>
    </w:p>
    <w:p w14:paraId="75DC0EE9" w14:textId="67D86176" w:rsidR="00394394" w:rsidRPr="00AA1346" w:rsidRDefault="00394394" w:rsidP="004401DF">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Kiszerelés: 1</w:t>
      </w:r>
      <w:r w:rsidR="001D6579">
        <w:rPr>
          <w:rFonts w:ascii="Times New Roman" w:eastAsia="Times New Roman" w:hAnsi="Times New Roman" w:cs="Times New Roman"/>
          <w:iCs/>
        </w:rPr>
        <w:t>0</w:t>
      </w:r>
      <w:r w:rsidRPr="00AA1346">
        <w:rPr>
          <w:rFonts w:ascii="Times New Roman" w:eastAsia="Times New Roman" w:hAnsi="Times New Roman" w:cs="Times New Roman"/>
          <w:iCs/>
        </w:rPr>
        <w:t> db injekciós üveg.</w:t>
      </w:r>
    </w:p>
    <w:p w14:paraId="6F242488"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589A6739" w14:textId="77777777" w:rsidR="00394394" w:rsidRPr="00AA1346" w:rsidRDefault="00394394" w:rsidP="00E65268">
      <w:pPr>
        <w:keepNext/>
        <w:tabs>
          <w:tab w:val="left" w:pos="708"/>
        </w:tabs>
        <w:suppressAutoHyphens/>
        <w:spacing w:after="0" w:line="240" w:lineRule="auto"/>
        <w:ind w:left="567" w:hanging="567"/>
        <w:rPr>
          <w:rFonts w:ascii="Times New Roman" w:eastAsia="Times New Roman" w:hAnsi="Times New Roman" w:cs="Times New Roman"/>
          <w:b/>
          <w:szCs w:val="20"/>
        </w:rPr>
      </w:pPr>
      <w:r w:rsidRPr="00AA1346">
        <w:rPr>
          <w:rFonts w:ascii="Times New Roman" w:eastAsia="Times New Roman" w:hAnsi="Times New Roman" w:cs="Times New Roman"/>
          <w:b/>
          <w:szCs w:val="20"/>
        </w:rPr>
        <w:lastRenderedPageBreak/>
        <w:t>6.6</w:t>
      </w:r>
      <w:r w:rsidRPr="00AA1346">
        <w:rPr>
          <w:rFonts w:ascii="Times New Roman" w:eastAsia="Times New Roman" w:hAnsi="Times New Roman" w:cs="Times New Roman"/>
          <w:b/>
          <w:szCs w:val="20"/>
        </w:rPr>
        <w:tab/>
        <w:t>A megsemmisítésre vonatkozó különleges óvintézkedések és egyéb, a készítmény kezelésével kapcsolatos információk</w:t>
      </w:r>
    </w:p>
    <w:p w14:paraId="3676CC40" w14:textId="77777777" w:rsidR="00394394" w:rsidRPr="00AA1346" w:rsidRDefault="00394394" w:rsidP="00E65268">
      <w:pPr>
        <w:keepNext/>
        <w:suppressAutoHyphens/>
        <w:spacing w:after="0" w:line="240" w:lineRule="auto"/>
        <w:rPr>
          <w:rFonts w:ascii="Times New Roman" w:eastAsia="Times New Roman" w:hAnsi="Times New Roman" w:cs="Times New Roman"/>
          <w:b/>
          <w:szCs w:val="20"/>
        </w:rPr>
      </w:pPr>
    </w:p>
    <w:p w14:paraId="7049FD94" w14:textId="16A5B8B8" w:rsidR="009C3CBA" w:rsidRPr="009C3CBA" w:rsidRDefault="009C3CBA" w:rsidP="001576C3">
      <w:pPr>
        <w:pStyle w:val="Szvegtrzs"/>
        <w:spacing w:before="1"/>
        <w:ind w:right="342"/>
        <w:rPr>
          <w:b w:val="0"/>
          <w:bCs/>
          <w:i w:val="0"/>
          <w:iCs/>
          <w:lang w:val="hu-HU"/>
        </w:rPr>
      </w:pPr>
      <w:r w:rsidRPr="009C3CBA">
        <w:rPr>
          <w:b w:val="0"/>
          <w:bCs/>
          <w:i w:val="0"/>
          <w:iCs/>
          <w:lang w:val="hu-HU"/>
        </w:rPr>
        <w:t>A napi két részre elosztott 500</w:t>
      </w:r>
      <w:r w:rsidR="006629F4">
        <w:rPr>
          <w:b w:val="0"/>
          <w:bCs/>
          <w:i w:val="0"/>
          <w:iCs/>
          <w:lang w:val="hu-HU"/>
        </w:rPr>
        <w:t> </w:t>
      </w:r>
      <w:r w:rsidRPr="009C3CBA">
        <w:rPr>
          <w:b w:val="0"/>
          <w:bCs/>
          <w:i w:val="0"/>
          <w:iCs/>
          <w:lang w:val="hu-HU"/>
        </w:rPr>
        <w:t>mg-os, 1000</w:t>
      </w:r>
      <w:r w:rsidR="006629F4">
        <w:rPr>
          <w:b w:val="0"/>
          <w:bCs/>
          <w:i w:val="0"/>
          <w:iCs/>
          <w:lang w:val="hu-HU"/>
        </w:rPr>
        <w:t> </w:t>
      </w:r>
      <w:r w:rsidRPr="009C3CBA">
        <w:rPr>
          <w:b w:val="0"/>
          <w:bCs/>
          <w:i w:val="0"/>
          <w:iCs/>
          <w:lang w:val="hu-HU"/>
        </w:rPr>
        <w:t>mg-os, 2000</w:t>
      </w:r>
      <w:r w:rsidR="006629F4">
        <w:rPr>
          <w:b w:val="0"/>
          <w:bCs/>
          <w:i w:val="0"/>
          <w:iCs/>
          <w:lang w:val="hu-HU"/>
        </w:rPr>
        <w:t> </w:t>
      </w:r>
      <w:r w:rsidRPr="009C3CBA">
        <w:rPr>
          <w:b w:val="0"/>
          <w:bCs/>
          <w:i w:val="0"/>
          <w:iCs/>
          <w:lang w:val="hu-HU"/>
        </w:rPr>
        <w:t>mg-os, illetve 3000</w:t>
      </w:r>
      <w:r w:rsidR="006629F4">
        <w:rPr>
          <w:b w:val="0"/>
          <w:bCs/>
          <w:i w:val="0"/>
          <w:iCs/>
          <w:lang w:val="hu-HU"/>
        </w:rPr>
        <w:t> </w:t>
      </w:r>
      <w:r w:rsidRPr="009C3CBA">
        <w:rPr>
          <w:b w:val="0"/>
          <w:bCs/>
          <w:i w:val="0"/>
          <w:iCs/>
          <w:lang w:val="hu-HU"/>
        </w:rPr>
        <w:t xml:space="preserve">mg-os teljes napi dózis eléréséhez szükséges </w:t>
      </w:r>
      <w:r>
        <w:rPr>
          <w:b w:val="0"/>
          <w:bCs/>
          <w:i w:val="0"/>
          <w:iCs/>
          <w:lang w:val="hu-HU"/>
        </w:rPr>
        <w:t>Levetiracetam Kalceks</w:t>
      </w:r>
      <w:r w:rsidRPr="009C3CBA">
        <w:rPr>
          <w:b w:val="0"/>
          <w:bCs/>
          <w:i w:val="0"/>
          <w:iCs/>
          <w:lang w:val="hu-HU"/>
        </w:rPr>
        <w:t xml:space="preserve"> koncentrátum oldatos infúzióhoz ajánlott elkészítés</w:t>
      </w:r>
      <w:r w:rsidR="001576C3">
        <w:rPr>
          <w:b w:val="0"/>
          <w:bCs/>
          <w:i w:val="0"/>
          <w:iCs/>
          <w:lang w:val="hu-HU"/>
        </w:rPr>
        <w:t>e</w:t>
      </w:r>
      <w:r w:rsidRPr="009C3CBA">
        <w:rPr>
          <w:b w:val="0"/>
          <w:bCs/>
          <w:i w:val="0"/>
          <w:iCs/>
          <w:lang w:val="hu-HU"/>
        </w:rPr>
        <w:t xml:space="preserve"> és alkalmazás</w:t>
      </w:r>
      <w:r w:rsidR="001576C3">
        <w:rPr>
          <w:b w:val="0"/>
          <w:bCs/>
          <w:i w:val="0"/>
          <w:iCs/>
          <w:lang w:val="hu-HU"/>
        </w:rPr>
        <w:t>a</w:t>
      </w:r>
      <w:r w:rsidRPr="009C3CBA">
        <w:rPr>
          <w:b w:val="0"/>
          <w:bCs/>
          <w:i w:val="0"/>
          <w:iCs/>
          <w:lang w:val="hu-HU"/>
        </w:rPr>
        <w:t xml:space="preserve"> a</w:t>
      </w:r>
      <w:r w:rsidR="006629F4">
        <w:rPr>
          <w:b w:val="0"/>
          <w:bCs/>
          <w:i w:val="0"/>
          <w:iCs/>
          <w:lang w:val="hu-HU"/>
        </w:rPr>
        <w:t>z alábbi</w:t>
      </w:r>
      <w:r w:rsidRPr="009C3CBA">
        <w:rPr>
          <w:b w:val="0"/>
          <w:bCs/>
          <w:i w:val="0"/>
          <w:iCs/>
          <w:lang w:val="hu-HU"/>
        </w:rPr>
        <w:t xml:space="preserve"> </w:t>
      </w:r>
      <w:r w:rsidR="006629F4">
        <w:rPr>
          <w:b w:val="0"/>
          <w:bCs/>
          <w:i w:val="0"/>
          <w:iCs/>
          <w:lang w:val="hu-HU"/>
        </w:rPr>
        <w:t>t</w:t>
      </w:r>
      <w:r w:rsidRPr="009C3CBA">
        <w:rPr>
          <w:b w:val="0"/>
          <w:bCs/>
          <w:i w:val="0"/>
          <w:iCs/>
          <w:lang w:val="hu-HU"/>
        </w:rPr>
        <w:t>ábláza</w:t>
      </w:r>
      <w:r w:rsidR="006629F4">
        <w:rPr>
          <w:b w:val="0"/>
          <w:bCs/>
          <w:i w:val="0"/>
          <w:iCs/>
          <w:lang w:val="hu-HU"/>
        </w:rPr>
        <w:t>t</w:t>
      </w:r>
      <w:r w:rsidR="001576C3">
        <w:rPr>
          <w:b w:val="0"/>
          <w:bCs/>
          <w:i w:val="0"/>
          <w:iCs/>
          <w:lang w:val="hu-HU"/>
        </w:rPr>
        <w:t>ban kerül be</w:t>
      </w:r>
      <w:r w:rsidR="006629F4">
        <w:rPr>
          <w:b w:val="0"/>
          <w:bCs/>
          <w:i w:val="0"/>
          <w:iCs/>
          <w:lang w:val="hu-HU"/>
        </w:rPr>
        <w:t>mutat</w:t>
      </w:r>
      <w:r w:rsidR="001576C3">
        <w:rPr>
          <w:b w:val="0"/>
          <w:bCs/>
          <w:i w:val="0"/>
          <w:iCs/>
          <w:lang w:val="hu-HU"/>
        </w:rPr>
        <w:t>ásra</w:t>
      </w:r>
      <w:r w:rsidR="006629F4">
        <w:rPr>
          <w:b w:val="0"/>
          <w:bCs/>
          <w:i w:val="0"/>
          <w:iCs/>
          <w:lang w:val="hu-HU"/>
        </w:rPr>
        <w:t>.</w:t>
      </w:r>
    </w:p>
    <w:p w14:paraId="61920A61" w14:textId="77777777" w:rsidR="009C3CBA" w:rsidRPr="009C3CBA" w:rsidRDefault="009C3CBA" w:rsidP="00E65268">
      <w:pPr>
        <w:pStyle w:val="Szvegtrzs"/>
        <w:spacing w:line="240" w:lineRule="auto"/>
        <w:rPr>
          <w:b w:val="0"/>
          <w:bCs/>
          <w:i w:val="0"/>
          <w:iCs/>
          <w:sz w:val="21"/>
          <w:lang w:val="hu-HU"/>
        </w:rPr>
      </w:pPr>
    </w:p>
    <w:p w14:paraId="3AA50F91" w14:textId="3F963437" w:rsidR="009C3CBA" w:rsidRPr="009C3CBA" w:rsidRDefault="009C3CBA" w:rsidP="00E65268">
      <w:pPr>
        <w:pStyle w:val="Szvegtrzs"/>
        <w:spacing w:line="240" w:lineRule="auto"/>
        <w:rPr>
          <w:b w:val="0"/>
          <w:bCs/>
          <w:i w:val="0"/>
          <w:iCs/>
          <w:lang w:val="hu-HU"/>
        </w:rPr>
      </w:pPr>
      <w:r w:rsidRPr="009C3CBA">
        <w:rPr>
          <w:b w:val="0"/>
          <w:bCs/>
          <w:i w:val="0"/>
          <w:iCs/>
          <w:lang w:val="hu-HU"/>
        </w:rPr>
        <w:t xml:space="preserve">A </w:t>
      </w:r>
      <w:r>
        <w:rPr>
          <w:b w:val="0"/>
          <w:bCs/>
          <w:i w:val="0"/>
          <w:iCs/>
          <w:lang w:val="hu-HU"/>
        </w:rPr>
        <w:t>Levetiracetam Kalceks</w:t>
      </w:r>
      <w:r w:rsidRPr="009C3CBA">
        <w:rPr>
          <w:b w:val="0"/>
          <w:bCs/>
          <w:i w:val="0"/>
          <w:iCs/>
          <w:lang w:val="hu-HU"/>
        </w:rPr>
        <w:t xml:space="preserve"> koncentrátum oldatos infúzióhoz elkészítése és alkalmazása</w:t>
      </w:r>
      <w:r>
        <w:rPr>
          <w:b w:val="0"/>
          <w:bCs/>
          <w:i w:val="0"/>
          <w:iCs/>
          <w:lang w:val="hu-HU"/>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1"/>
        <w:gridCol w:w="2422"/>
        <w:gridCol w:w="1246"/>
        <w:gridCol w:w="1275"/>
        <w:gridCol w:w="1649"/>
        <w:gridCol w:w="1380"/>
      </w:tblGrid>
      <w:tr w:rsidR="009C3CBA" w:rsidRPr="00804D62" w14:paraId="609D555B" w14:textId="77777777" w:rsidTr="00E65268">
        <w:trPr>
          <w:trHeight w:hRule="exact" w:val="831"/>
        </w:trPr>
        <w:tc>
          <w:tcPr>
            <w:tcW w:w="1051" w:type="dxa"/>
          </w:tcPr>
          <w:p w14:paraId="69530FD4" w14:textId="77777777" w:rsidR="009C3CBA" w:rsidRPr="00E65268" w:rsidRDefault="009C3CBA" w:rsidP="00E65268">
            <w:pPr>
              <w:pStyle w:val="TableParagraph"/>
              <w:rPr>
                <w:b/>
                <w:iCs/>
                <w:lang w:val="hu-HU"/>
              </w:rPr>
            </w:pPr>
            <w:r w:rsidRPr="00E65268">
              <w:rPr>
                <w:b/>
                <w:iCs/>
                <w:lang w:val="hu-HU"/>
              </w:rPr>
              <w:t>Dózis</w:t>
            </w:r>
          </w:p>
        </w:tc>
        <w:tc>
          <w:tcPr>
            <w:tcW w:w="2422" w:type="dxa"/>
          </w:tcPr>
          <w:p w14:paraId="32933645" w14:textId="77777777" w:rsidR="009C3CBA" w:rsidRPr="00E65268" w:rsidRDefault="009C3CBA" w:rsidP="004401DF">
            <w:pPr>
              <w:pStyle w:val="TableParagraph"/>
              <w:ind w:right="822"/>
              <w:rPr>
                <w:b/>
                <w:iCs/>
                <w:lang w:val="hu-HU"/>
              </w:rPr>
            </w:pPr>
            <w:r w:rsidRPr="00E65268">
              <w:rPr>
                <w:b/>
                <w:iCs/>
                <w:lang w:val="hu-HU"/>
              </w:rPr>
              <w:t>Felhasználandó térfogat</w:t>
            </w:r>
          </w:p>
        </w:tc>
        <w:tc>
          <w:tcPr>
            <w:tcW w:w="1246" w:type="dxa"/>
          </w:tcPr>
          <w:p w14:paraId="5495D161" w14:textId="77777777" w:rsidR="009C3CBA" w:rsidRPr="00E65268" w:rsidRDefault="009C3CBA" w:rsidP="004401DF">
            <w:pPr>
              <w:pStyle w:val="TableParagraph"/>
              <w:ind w:right="258"/>
              <w:rPr>
                <w:b/>
                <w:iCs/>
                <w:lang w:val="hu-HU"/>
              </w:rPr>
            </w:pPr>
            <w:r w:rsidRPr="00E65268">
              <w:rPr>
                <w:b/>
                <w:iCs/>
                <w:lang w:val="hu-HU"/>
              </w:rPr>
              <w:t>Oldószer térfogata</w:t>
            </w:r>
          </w:p>
        </w:tc>
        <w:tc>
          <w:tcPr>
            <w:tcW w:w="1275" w:type="dxa"/>
          </w:tcPr>
          <w:p w14:paraId="128E47B0" w14:textId="6EAC1673" w:rsidR="009C3CBA" w:rsidRPr="00E65268" w:rsidRDefault="006629F4" w:rsidP="004401DF">
            <w:pPr>
              <w:pStyle w:val="TableParagraph"/>
              <w:ind w:right="91"/>
              <w:rPr>
                <w:b/>
                <w:iCs/>
                <w:lang w:val="hu-HU"/>
              </w:rPr>
            </w:pPr>
            <w:r w:rsidRPr="00E65268">
              <w:rPr>
                <w:b/>
                <w:iCs/>
                <w:lang w:val="hu-HU"/>
              </w:rPr>
              <w:t>Az i</w:t>
            </w:r>
            <w:r w:rsidR="009C3CBA" w:rsidRPr="00E65268">
              <w:rPr>
                <w:b/>
                <w:iCs/>
                <w:lang w:val="hu-HU"/>
              </w:rPr>
              <w:t xml:space="preserve">nfúzió </w:t>
            </w:r>
            <w:r w:rsidRPr="00E65268">
              <w:rPr>
                <w:b/>
                <w:iCs/>
                <w:lang w:val="hu-HU"/>
              </w:rPr>
              <w:t xml:space="preserve">beadásának </w:t>
            </w:r>
            <w:r w:rsidR="009C3CBA" w:rsidRPr="00E65268">
              <w:rPr>
                <w:b/>
                <w:iCs/>
                <w:lang w:val="hu-HU"/>
              </w:rPr>
              <w:t>időtartama</w:t>
            </w:r>
          </w:p>
        </w:tc>
        <w:tc>
          <w:tcPr>
            <w:tcW w:w="1649" w:type="dxa"/>
          </w:tcPr>
          <w:p w14:paraId="7760EF6B" w14:textId="77777777" w:rsidR="009C3CBA" w:rsidRPr="00E65268" w:rsidRDefault="009C3CBA" w:rsidP="004401DF">
            <w:pPr>
              <w:pStyle w:val="TableParagraph"/>
              <w:ind w:right="153"/>
              <w:rPr>
                <w:b/>
                <w:iCs/>
                <w:lang w:val="hu-HU"/>
              </w:rPr>
            </w:pPr>
            <w:r w:rsidRPr="00E65268">
              <w:rPr>
                <w:b/>
                <w:iCs/>
                <w:lang w:val="hu-HU"/>
              </w:rPr>
              <w:t>Az alkalmazás gyakorisága</w:t>
            </w:r>
          </w:p>
        </w:tc>
        <w:tc>
          <w:tcPr>
            <w:tcW w:w="1380" w:type="dxa"/>
          </w:tcPr>
          <w:p w14:paraId="5CCDDCD2" w14:textId="77777777" w:rsidR="009C3CBA" w:rsidRPr="00E65268" w:rsidRDefault="009C3CBA" w:rsidP="004401DF">
            <w:pPr>
              <w:pStyle w:val="TableParagraph"/>
              <w:ind w:right="214"/>
              <w:rPr>
                <w:b/>
                <w:iCs/>
                <w:lang w:val="hu-HU"/>
              </w:rPr>
            </w:pPr>
            <w:r w:rsidRPr="00E65268">
              <w:rPr>
                <w:b/>
                <w:iCs/>
                <w:lang w:val="hu-HU"/>
              </w:rPr>
              <w:t>Teljes napi dózis</w:t>
            </w:r>
          </w:p>
        </w:tc>
      </w:tr>
      <w:tr w:rsidR="009C3CBA" w:rsidRPr="009C3CBA" w14:paraId="0B7DDB47" w14:textId="77777777" w:rsidTr="00A03CA9">
        <w:trPr>
          <w:trHeight w:hRule="exact" w:val="516"/>
        </w:trPr>
        <w:tc>
          <w:tcPr>
            <w:tcW w:w="1051" w:type="dxa"/>
          </w:tcPr>
          <w:p w14:paraId="0EE06193" w14:textId="2DC6B92A" w:rsidR="009C3CBA" w:rsidRPr="009C3CBA" w:rsidRDefault="009C3CBA" w:rsidP="00E65268">
            <w:pPr>
              <w:pStyle w:val="TableParagraph"/>
              <w:rPr>
                <w:bCs/>
                <w:iCs/>
                <w:lang w:val="hu-HU"/>
              </w:rPr>
            </w:pPr>
            <w:r w:rsidRPr="009C3CBA">
              <w:rPr>
                <w:bCs/>
                <w:iCs/>
                <w:lang w:val="hu-HU"/>
              </w:rPr>
              <w:t>250</w:t>
            </w:r>
            <w:r>
              <w:rPr>
                <w:bCs/>
                <w:iCs/>
                <w:lang w:val="lv-LV"/>
              </w:rPr>
              <w:t> </w:t>
            </w:r>
            <w:r w:rsidRPr="009C3CBA">
              <w:rPr>
                <w:bCs/>
                <w:iCs/>
                <w:lang w:val="hu-HU"/>
              </w:rPr>
              <w:t>mg</w:t>
            </w:r>
          </w:p>
        </w:tc>
        <w:tc>
          <w:tcPr>
            <w:tcW w:w="2422" w:type="dxa"/>
          </w:tcPr>
          <w:p w14:paraId="510BEBE4" w14:textId="63E92F35" w:rsidR="009C3CBA" w:rsidRPr="009C3CBA" w:rsidRDefault="009C3CBA" w:rsidP="004401DF">
            <w:pPr>
              <w:pStyle w:val="TableParagraph"/>
              <w:ind w:right="554"/>
              <w:rPr>
                <w:bCs/>
                <w:iCs/>
                <w:lang w:val="hu-HU"/>
              </w:rPr>
            </w:pPr>
            <w:r w:rsidRPr="009C3CBA">
              <w:rPr>
                <w:bCs/>
                <w:iCs/>
                <w:lang w:val="hu-HU"/>
              </w:rPr>
              <w:t>2,5</w:t>
            </w:r>
            <w:r>
              <w:rPr>
                <w:bCs/>
                <w:iCs/>
                <w:lang w:val="hu-HU"/>
              </w:rPr>
              <w:t> </w:t>
            </w:r>
            <w:r w:rsidRPr="009C3CBA">
              <w:rPr>
                <w:bCs/>
                <w:iCs/>
                <w:lang w:val="hu-HU"/>
              </w:rPr>
              <w:t>ml (egy 5</w:t>
            </w:r>
            <w:r>
              <w:rPr>
                <w:bCs/>
                <w:iCs/>
                <w:lang w:val="hu-HU"/>
              </w:rPr>
              <w:t> </w:t>
            </w:r>
            <w:r w:rsidRPr="009C3CBA">
              <w:rPr>
                <w:bCs/>
                <w:iCs/>
                <w:lang w:val="hu-HU"/>
              </w:rPr>
              <w:t>ml-es injekciós üveg fele)</w:t>
            </w:r>
          </w:p>
        </w:tc>
        <w:tc>
          <w:tcPr>
            <w:tcW w:w="1246" w:type="dxa"/>
          </w:tcPr>
          <w:p w14:paraId="5165591A" w14:textId="7EF81A09" w:rsidR="009C3CBA" w:rsidRPr="009C3CBA" w:rsidRDefault="009C3CBA" w:rsidP="00E65268">
            <w:pPr>
              <w:pStyle w:val="TableParagraph"/>
              <w:rPr>
                <w:bCs/>
                <w:iCs/>
                <w:lang w:val="hu-HU"/>
              </w:rPr>
            </w:pPr>
            <w:r w:rsidRPr="009C3CBA">
              <w:rPr>
                <w:bCs/>
                <w:iCs/>
                <w:lang w:val="hu-HU"/>
              </w:rPr>
              <w:t>100</w:t>
            </w:r>
            <w:r>
              <w:rPr>
                <w:bCs/>
                <w:iCs/>
                <w:lang w:val="hu-HU"/>
              </w:rPr>
              <w:t> </w:t>
            </w:r>
            <w:r w:rsidRPr="009C3CBA">
              <w:rPr>
                <w:bCs/>
                <w:iCs/>
                <w:lang w:val="hu-HU"/>
              </w:rPr>
              <w:t>ml</w:t>
            </w:r>
          </w:p>
        </w:tc>
        <w:tc>
          <w:tcPr>
            <w:tcW w:w="1275" w:type="dxa"/>
          </w:tcPr>
          <w:p w14:paraId="38181B07" w14:textId="01C9292D" w:rsidR="009C3CBA" w:rsidRPr="009C3CBA" w:rsidRDefault="009C3CBA" w:rsidP="00E65268">
            <w:pPr>
              <w:pStyle w:val="TableParagraph"/>
              <w:rPr>
                <w:bCs/>
                <w:iCs/>
                <w:lang w:val="hu-HU"/>
              </w:rPr>
            </w:pPr>
            <w:r w:rsidRPr="009C3CBA">
              <w:rPr>
                <w:bCs/>
                <w:iCs/>
                <w:lang w:val="hu-HU"/>
              </w:rPr>
              <w:t>15</w:t>
            </w:r>
            <w:r>
              <w:rPr>
                <w:bCs/>
                <w:iCs/>
                <w:lang w:val="hu-HU"/>
              </w:rPr>
              <w:t> </w:t>
            </w:r>
            <w:r w:rsidRPr="009C3CBA">
              <w:rPr>
                <w:bCs/>
                <w:iCs/>
                <w:lang w:val="hu-HU"/>
              </w:rPr>
              <w:t>perc</w:t>
            </w:r>
          </w:p>
        </w:tc>
        <w:tc>
          <w:tcPr>
            <w:tcW w:w="1649" w:type="dxa"/>
          </w:tcPr>
          <w:p w14:paraId="0FD1BA8E" w14:textId="77777777" w:rsidR="009C3CBA" w:rsidRPr="009C3CBA" w:rsidRDefault="009C3CBA" w:rsidP="00E65268">
            <w:pPr>
              <w:pStyle w:val="TableParagraph"/>
              <w:ind w:left="85" w:right="91"/>
              <w:jc w:val="center"/>
              <w:rPr>
                <w:bCs/>
                <w:iCs/>
                <w:lang w:val="hu-HU"/>
              </w:rPr>
            </w:pPr>
            <w:r w:rsidRPr="009C3CBA">
              <w:rPr>
                <w:bCs/>
                <w:iCs/>
                <w:lang w:val="hu-HU"/>
              </w:rPr>
              <w:t>Naponta kétszer</w:t>
            </w:r>
          </w:p>
        </w:tc>
        <w:tc>
          <w:tcPr>
            <w:tcW w:w="1380" w:type="dxa"/>
          </w:tcPr>
          <w:p w14:paraId="7BEE9959" w14:textId="38C697D8" w:rsidR="009C3CBA" w:rsidRPr="009C3CBA" w:rsidRDefault="009C3CBA" w:rsidP="00E65268">
            <w:pPr>
              <w:pStyle w:val="TableParagraph"/>
              <w:ind w:left="85" w:right="200"/>
              <w:jc w:val="center"/>
              <w:rPr>
                <w:bCs/>
                <w:iCs/>
                <w:lang w:val="hu-HU"/>
              </w:rPr>
            </w:pPr>
            <w:r w:rsidRPr="009C3CBA">
              <w:rPr>
                <w:bCs/>
                <w:iCs/>
                <w:lang w:val="hu-HU"/>
              </w:rPr>
              <w:t>500</w:t>
            </w:r>
            <w:r>
              <w:rPr>
                <w:bCs/>
                <w:iCs/>
                <w:lang w:val="hu-HU"/>
              </w:rPr>
              <w:t> </w:t>
            </w:r>
            <w:r w:rsidRPr="009C3CBA">
              <w:rPr>
                <w:bCs/>
                <w:iCs/>
                <w:lang w:val="hu-HU"/>
              </w:rPr>
              <w:t>mg/nap</w:t>
            </w:r>
          </w:p>
        </w:tc>
      </w:tr>
      <w:tr w:rsidR="009C3CBA" w:rsidRPr="009C3CBA" w14:paraId="3F956161" w14:textId="77777777" w:rsidTr="00A03CA9">
        <w:trPr>
          <w:trHeight w:hRule="exact" w:val="516"/>
        </w:trPr>
        <w:tc>
          <w:tcPr>
            <w:tcW w:w="1051" w:type="dxa"/>
          </w:tcPr>
          <w:p w14:paraId="7651F4A7" w14:textId="759B4299" w:rsidR="009C3CBA" w:rsidRPr="009C3CBA" w:rsidRDefault="009C3CBA" w:rsidP="00E65268">
            <w:pPr>
              <w:pStyle w:val="TableParagraph"/>
              <w:rPr>
                <w:bCs/>
                <w:iCs/>
                <w:lang w:val="hu-HU"/>
              </w:rPr>
            </w:pPr>
            <w:r w:rsidRPr="009C3CBA">
              <w:rPr>
                <w:bCs/>
                <w:iCs/>
                <w:lang w:val="hu-HU"/>
              </w:rPr>
              <w:t>500</w:t>
            </w:r>
            <w:r>
              <w:rPr>
                <w:bCs/>
                <w:iCs/>
                <w:lang w:val="hu-HU"/>
              </w:rPr>
              <w:t> </w:t>
            </w:r>
            <w:r w:rsidRPr="009C3CBA">
              <w:rPr>
                <w:bCs/>
                <w:iCs/>
                <w:lang w:val="hu-HU"/>
              </w:rPr>
              <w:t>mg</w:t>
            </w:r>
          </w:p>
        </w:tc>
        <w:tc>
          <w:tcPr>
            <w:tcW w:w="2422" w:type="dxa"/>
          </w:tcPr>
          <w:p w14:paraId="41239DE8" w14:textId="1C0B3431" w:rsidR="009C3CBA" w:rsidRPr="009C3CBA" w:rsidRDefault="009C3CBA" w:rsidP="004401DF">
            <w:pPr>
              <w:pStyle w:val="TableParagraph"/>
              <w:ind w:right="737"/>
              <w:rPr>
                <w:bCs/>
                <w:iCs/>
                <w:lang w:val="hu-HU"/>
              </w:rPr>
            </w:pPr>
            <w:r w:rsidRPr="009C3CBA">
              <w:rPr>
                <w:bCs/>
                <w:iCs/>
                <w:lang w:val="hu-HU"/>
              </w:rPr>
              <w:t>5</w:t>
            </w:r>
            <w:r>
              <w:rPr>
                <w:bCs/>
                <w:iCs/>
                <w:lang w:val="hu-HU"/>
              </w:rPr>
              <w:t> </w:t>
            </w:r>
            <w:r w:rsidRPr="009C3CBA">
              <w:rPr>
                <w:bCs/>
                <w:iCs/>
                <w:lang w:val="hu-HU"/>
              </w:rPr>
              <w:t>ml (egy 5</w:t>
            </w:r>
            <w:r>
              <w:rPr>
                <w:bCs/>
                <w:iCs/>
                <w:lang w:val="hu-HU"/>
              </w:rPr>
              <w:t> </w:t>
            </w:r>
            <w:r w:rsidRPr="009C3CBA">
              <w:rPr>
                <w:bCs/>
                <w:iCs/>
                <w:lang w:val="hu-HU"/>
              </w:rPr>
              <w:t>ml-es injekciós üveg)</w:t>
            </w:r>
          </w:p>
        </w:tc>
        <w:tc>
          <w:tcPr>
            <w:tcW w:w="1246" w:type="dxa"/>
          </w:tcPr>
          <w:p w14:paraId="0E6DB536" w14:textId="503F4D16" w:rsidR="009C3CBA" w:rsidRPr="009C3CBA" w:rsidRDefault="009C3CBA" w:rsidP="00E65268">
            <w:pPr>
              <w:pStyle w:val="TableParagraph"/>
              <w:rPr>
                <w:bCs/>
                <w:iCs/>
                <w:lang w:val="hu-HU"/>
              </w:rPr>
            </w:pPr>
            <w:r w:rsidRPr="009C3CBA">
              <w:rPr>
                <w:bCs/>
                <w:iCs/>
                <w:lang w:val="hu-HU"/>
              </w:rPr>
              <w:t>100</w:t>
            </w:r>
            <w:r>
              <w:rPr>
                <w:bCs/>
                <w:iCs/>
                <w:lang w:val="hu-HU"/>
              </w:rPr>
              <w:t> </w:t>
            </w:r>
            <w:r w:rsidRPr="009C3CBA">
              <w:rPr>
                <w:bCs/>
                <w:iCs/>
                <w:lang w:val="hu-HU"/>
              </w:rPr>
              <w:t>ml</w:t>
            </w:r>
          </w:p>
        </w:tc>
        <w:tc>
          <w:tcPr>
            <w:tcW w:w="1275" w:type="dxa"/>
          </w:tcPr>
          <w:p w14:paraId="21CD899F" w14:textId="56D97B93" w:rsidR="009C3CBA" w:rsidRPr="009C3CBA" w:rsidRDefault="009C3CBA" w:rsidP="00E65268">
            <w:pPr>
              <w:pStyle w:val="TableParagraph"/>
              <w:rPr>
                <w:bCs/>
                <w:iCs/>
                <w:lang w:val="hu-HU"/>
              </w:rPr>
            </w:pPr>
            <w:r w:rsidRPr="009C3CBA">
              <w:rPr>
                <w:bCs/>
                <w:iCs/>
                <w:lang w:val="hu-HU"/>
              </w:rPr>
              <w:t>15</w:t>
            </w:r>
            <w:r>
              <w:rPr>
                <w:bCs/>
                <w:iCs/>
                <w:lang w:val="hu-HU"/>
              </w:rPr>
              <w:t> </w:t>
            </w:r>
            <w:r w:rsidRPr="009C3CBA">
              <w:rPr>
                <w:bCs/>
                <w:iCs/>
                <w:lang w:val="hu-HU"/>
              </w:rPr>
              <w:t>perc</w:t>
            </w:r>
          </w:p>
        </w:tc>
        <w:tc>
          <w:tcPr>
            <w:tcW w:w="1649" w:type="dxa"/>
          </w:tcPr>
          <w:p w14:paraId="65256AA8" w14:textId="77777777" w:rsidR="009C3CBA" w:rsidRPr="009C3CBA" w:rsidRDefault="009C3CBA" w:rsidP="00E65268">
            <w:pPr>
              <w:pStyle w:val="TableParagraph"/>
              <w:ind w:left="85" w:right="91"/>
              <w:jc w:val="center"/>
              <w:rPr>
                <w:bCs/>
                <w:iCs/>
                <w:lang w:val="hu-HU"/>
              </w:rPr>
            </w:pPr>
            <w:r w:rsidRPr="009C3CBA">
              <w:rPr>
                <w:bCs/>
                <w:iCs/>
                <w:lang w:val="hu-HU"/>
              </w:rPr>
              <w:t>Naponta kétszer</w:t>
            </w:r>
          </w:p>
        </w:tc>
        <w:tc>
          <w:tcPr>
            <w:tcW w:w="1380" w:type="dxa"/>
          </w:tcPr>
          <w:p w14:paraId="67799D53" w14:textId="083B3209" w:rsidR="009C3CBA" w:rsidRPr="009C3CBA" w:rsidRDefault="009C3CBA" w:rsidP="00E65268">
            <w:pPr>
              <w:pStyle w:val="TableParagraph"/>
              <w:ind w:left="85" w:right="90"/>
              <w:jc w:val="center"/>
              <w:rPr>
                <w:bCs/>
                <w:iCs/>
                <w:lang w:val="hu-HU"/>
              </w:rPr>
            </w:pPr>
            <w:r w:rsidRPr="009C3CBA">
              <w:rPr>
                <w:bCs/>
                <w:iCs/>
                <w:lang w:val="hu-HU"/>
              </w:rPr>
              <w:t>1000</w:t>
            </w:r>
            <w:r>
              <w:rPr>
                <w:bCs/>
                <w:iCs/>
                <w:lang w:val="hu-HU"/>
              </w:rPr>
              <w:t> </w:t>
            </w:r>
            <w:r w:rsidRPr="009C3CBA">
              <w:rPr>
                <w:bCs/>
                <w:iCs/>
                <w:lang w:val="hu-HU"/>
              </w:rPr>
              <w:t>mg/nap</w:t>
            </w:r>
          </w:p>
        </w:tc>
      </w:tr>
      <w:tr w:rsidR="009C3CBA" w:rsidRPr="009C3CBA" w14:paraId="1E8E0F7B" w14:textId="77777777" w:rsidTr="00A03CA9">
        <w:trPr>
          <w:trHeight w:hRule="exact" w:val="516"/>
        </w:trPr>
        <w:tc>
          <w:tcPr>
            <w:tcW w:w="1051" w:type="dxa"/>
            <w:tcBorders>
              <w:bottom w:val="single" w:sz="4" w:space="0" w:color="000000"/>
            </w:tcBorders>
          </w:tcPr>
          <w:p w14:paraId="60C5931D" w14:textId="7D60A5DE" w:rsidR="009C3CBA" w:rsidRPr="009C3CBA" w:rsidRDefault="009C3CBA" w:rsidP="00E65268">
            <w:pPr>
              <w:pStyle w:val="TableParagraph"/>
              <w:rPr>
                <w:bCs/>
                <w:iCs/>
                <w:lang w:val="hu-HU"/>
              </w:rPr>
            </w:pPr>
            <w:r w:rsidRPr="009C3CBA">
              <w:rPr>
                <w:bCs/>
                <w:iCs/>
                <w:lang w:val="hu-HU"/>
              </w:rPr>
              <w:t>1000</w:t>
            </w:r>
            <w:r>
              <w:rPr>
                <w:bCs/>
                <w:iCs/>
                <w:lang w:val="hu-HU"/>
              </w:rPr>
              <w:t> </w:t>
            </w:r>
            <w:r w:rsidRPr="009C3CBA">
              <w:rPr>
                <w:bCs/>
                <w:iCs/>
                <w:lang w:val="hu-HU"/>
              </w:rPr>
              <w:t>mg</w:t>
            </w:r>
          </w:p>
        </w:tc>
        <w:tc>
          <w:tcPr>
            <w:tcW w:w="2422" w:type="dxa"/>
            <w:tcBorders>
              <w:bottom w:val="single" w:sz="4" w:space="0" w:color="000000"/>
            </w:tcBorders>
          </w:tcPr>
          <w:p w14:paraId="16A9A750" w14:textId="0D6F3F1B" w:rsidR="009C3CBA" w:rsidRPr="009C3CBA" w:rsidRDefault="009C3CBA" w:rsidP="004401DF">
            <w:pPr>
              <w:pStyle w:val="TableParagraph"/>
              <w:ind w:right="676"/>
              <w:rPr>
                <w:bCs/>
                <w:iCs/>
                <w:lang w:val="hu-HU"/>
              </w:rPr>
            </w:pPr>
            <w:r w:rsidRPr="009C3CBA">
              <w:rPr>
                <w:bCs/>
                <w:iCs/>
                <w:lang w:val="hu-HU"/>
              </w:rPr>
              <w:t>10</w:t>
            </w:r>
            <w:r>
              <w:rPr>
                <w:bCs/>
                <w:iCs/>
                <w:lang w:val="hu-HU"/>
              </w:rPr>
              <w:t> </w:t>
            </w:r>
            <w:r w:rsidRPr="009C3CBA">
              <w:rPr>
                <w:bCs/>
                <w:iCs/>
                <w:lang w:val="hu-HU"/>
              </w:rPr>
              <w:t>ml (két 5</w:t>
            </w:r>
            <w:r>
              <w:rPr>
                <w:bCs/>
                <w:iCs/>
                <w:lang w:val="hu-HU"/>
              </w:rPr>
              <w:t> </w:t>
            </w:r>
            <w:r w:rsidRPr="009C3CBA">
              <w:rPr>
                <w:bCs/>
                <w:iCs/>
                <w:lang w:val="hu-HU"/>
              </w:rPr>
              <w:t>ml-es injekciós üveg)</w:t>
            </w:r>
          </w:p>
        </w:tc>
        <w:tc>
          <w:tcPr>
            <w:tcW w:w="1246" w:type="dxa"/>
            <w:tcBorders>
              <w:bottom w:val="single" w:sz="4" w:space="0" w:color="000000"/>
            </w:tcBorders>
          </w:tcPr>
          <w:p w14:paraId="0584717F" w14:textId="06903D7E" w:rsidR="009C3CBA" w:rsidRPr="009C3CBA" w:rsidRDefault="009C3CBA" w:rsidP="00E65268">
            <w:pPr>
              <w:pStyle w:val="TableParagraph"/>
              <w:rPr>
                <w:bCs/>
                <w:iCs/>
                <w:lang w:val="hu-HU"/>
              </w:rPr>
            </w:pPr>
            <w:r w:rsidRPr="009C3CBA">
              <w:rPr>
                <w:bCs/>
                <w:iCs/>
                <w:lang w:val="hu-HU"/>
              </w:rPr>
              <w:t>100</w:t>
            </w:r>
            <w:r>
              <w:rPr>
                <w:bCs/>
                <w:iCs/>
                <w:lang w:val="hu-HU"/>
              </w:rPr>
              <w:t> </w:t>
            </w:r>
            <w:r w:rsidRPr="009C3CBA">
              <w:rPr>
                <w:bCs/>
                <w:iCs/>
                <w:lang w:val="hu-HU"/>
              </w:rPr>
              <w:t>ml</w:t>
            </w:r>
          </w:p>
        </w:tc>
        <w:tc>
          <w:tcPr>
            <w:tcW w:w="1275" w:type="dxa"/>
            <w:tcBorders>
              <w:bottom w:val="single" w:sz="4" w:space="0" w:color="000000"/>
            </w:tcBorders>
          </w:tcPr>
          <w:p w14:paraId="4502C8EA" w14:textId="29C9AB6C" w:rsidR="009C3CBA" w:rsidRPr="009C3CBA" w:rsidRDefault="009C3CBA" w:rsidP="00E65268">
            <w:pPr>
              <w:pStyle w:val="TableParagraph"/>
              <w:rPr>
                <w:bCs/>
                <w:iCs/>
                <w:lang w:val="hu-HU"/>
              </w:rPr>
            </w:pPr>
            <w:r w:rsidRPr="009C3CBA">
              <w:rPr>
                <w:bCs/>
                <w:iCs/>
                <w:lang w:val="hu-HU"/>
              </w:rPr>
              <w:t>15</w:t>
            </w:r>
            <w:r>
              <w:rPr>
                <w:bCs/>
                <w:iCs/>
                <w:lang w:val="hu-HU"/>
              </w:rPr>
              <w:t> </w:t>
            </w:r>
            <w:r w:rsidRPr="009C3CBA">
              <w:rPr>
                <w:bCs/>
                <w:iCs/>
                <w:lang w:val="hu-HU"/>
              </w:rPr>
              <w:t>perc</w:t>
            </w:r>
          </w:p>
        </w:tc>
        <w:tc>
          <w:tcPr>
            <w:tcW w:w="1649" w:type="dxa"/>
            <w:tcBorders>
              <w:bottom w:val="single" w:sz="4" w:space="0" w:color="000000"/>
            </w:tcBorders>
          </w:tcPr>
          <w:p w14:paraId="16E28031" w14:textId="77777777" w:rsidR="009C3CBA" w:rsidRPr="009C3CBA" w:rsidRDefault="009C3CBA" w:rsidP="00E65268">
            <w:pPr>
              <w:pStyle w:val="TableParagraph"/>
              <w:ind w:left="85" w:right="91"/>
              <w:jc w:val="center"/>
              <w:rPr>
                <w:bCs/>
                <w:iCs/>
                <w:lang w:val="hu-HU"/>
              </w:rPr>
            </w:pPr>
            <w:r w:rsidRPr="009C3CBA">
              <w:rPr>
                <w:bCs/>
                <w:iCs/>
                <w:lang w:val="hu-HU"/>
              </w:rPr>
              <w:t>Naponta kétszer</w:t>
            </w:r>
          </w:p>
        </w:tc>
        <w:tc>
          <w:tcPr>
            <w:tcW w:w="1380" w:type="dxa"/>
            <w:tcBorders>
              <w:bottom w:val="single" w:sz="4" w:space="0" w:color="000000"/>
            </w:tcBorders>
          </w:tcPr>
          <w:p w14:paraId="0A5CA0B6" w14:textId="7C285DCC" w:rsidR="009C3CBA" w:rsidRPr="009C3CBA" w:rsidRDefault="009C3CBA" w:rsidP="00E65268">
            <w:pPr>
              <w:pStyle w:val="TableParagraph"/>
              <w:ind w:left="85" w:right="90"/>
              <w:jc w:val="center"/>
              <w:rPr>
                <w:bCs/>
                <w:iCs/>
                <w:lang w:val="hu-HU"/>
              </w:rPr>
            </w:pPr>
            <w:r w:rsidRPr="009C3CBA">
              <w:rPr>
                <w:bCs/>
                <w:iCs/>
                <w:lang w:val="hu-HU"/>
              </w:rPr>
              <w:t>2000</w:t>
            </w:r>
            <w:r>
              <w:rPr>
                <w:bCs/>
                <w:iCs/>
                <w:lang w:val="hu-HU"/>
              </w:rPr>
              <w:t> </w:t>
            </w:r>
            <w:r w:rsidRPr="009C3CBA">
              <w:rPr>
                <w:bCs/>
                <w:iCs/>
                <w:lang w:val="hu-HU"/>
              </w:rPr>
              <w:t>mg/nap</w:t>
            </w:r>
          </w:p>
        </w:tc>
      </w:tr>
      <w:tr w:rsidR="009C3CBA" w:rsidRPr="009C3CBA" w14:paraId="443CDE20" w14:textId="77777777" w:rsidTr="00A03CA9">
        <w:trPr>
          <w:trHeight w:hRule="exact" w:val="516"/>
        </w:trPr>
        <w:tc>
          <w:tcPr>
            <w:tcW w:w="1051" w:type="dxa"/>
            <w:tcBorders>
              <w:top w:val="single" w:sz="4" w:space="0" w:color="000000"/>
            </w:tcBorders>
          </w:tcPr>
          <w:p w14:paraId="4AF49F59" w14:textId="404ACC8F" w:rsidR="009C3CBA" w:rsidRPr="009C3CBA" w:rsidRDefault="009C3CBA" w:rsidP="00E65268">
            <w:pPr>
              <w:pStyle w:val="TableParagraph"/>
              <w:rPr>
                <w:bCs/>
                <w:iCs/>
                <w:lang w:val="hu-HU"/>
              </w:rPr>
            </w:pPr>
            <w:r w:rsidRPr="009C3CBA">
              <w:rPr>
                <w:bCs/>
                <w:iCs/>
                <w:lang w:val="hu-HU"/>
              </w:rPr>
              <w:t>1500</w:t>
            </w:r>
            <w:r>
              <w:rPr>
                <w:bCs/>
                <w:iCs/>
                <w:lang w:val="hu-HU"/>
              </w:rPr>
              <w:t> </w:t>
            </w:r>
            <w:r w:rsidRPr="009C3CBA">
              <w:rPr>
                <w:bCs/>
                <w:iCs/>
                <w:lang w:val="hu-HU"/>
              </w:rPr>
              <w:t>mg</w:t>
            </w:r>
          </w:p>
        </w:tc>
        <w:tc>
          <w:tcPr>
            <w:tcW w:w="2422" w:type="dxa"/>
            <w:tcBorders>
              <w:top w:val="single" w:sz="4" w:space="0" w:color="000000"/>
            </w:tcBorders>
          </w:tcPr>
          <w:p w14:paraId="259205FB" w14:textId="09265D39" w:rsidR="009C3CBA" w:rsidRPr="009C3CBA" w:rsidRDefault="009C3CBA" w:rsidP="004401DF">
            <w:pPr>
              <w:pStyle w:val="TableParagraph"/>
              <w:ind w:right="383"/>
              <w:rPr>
                <w:bCs/>
                <w:iCs/>
                <w:lang w:val="hu-HU"/>
              </w:rPr>
            </w:pPr>
            <w:r w:rsidRPr="009C3CBA">
              <w:rPr>
                <w:bCs/>
                <w:iCs/>
                <w:lang w:val="hu-HU"/>
              </w:rPr>
              <w:t>15</w:t>
            </w:r>
            <w:r>
              <w:rPr>
                <w:bCs/>
                <w:iCs/>
                <w:lang w:val="hu-HU"/>
              </w:rPr>
              <w:t> </w:t>
            </w:r>
            <w:r w:rsidRPr="009C3CBA">
              <w:rPr>
                <w:bCs/>
                <w:iCs/>
                <w:lang w:val="hu-HU"/>
              </w:rPr>
              <w:t>ml (három 5</w:t>
            </w:r>
            <w:r>
              <w:rPr>
                <w:bCs/>
                <w:iCs/>
                <w:lang w:val="hu-HU"/>
              </w:rPr>
              <w:t> </w:t>
            </w:r>
            <w:r w:rsidRPr="009C3CBA">
              <w:rPr>
                <w:bCs/>
                <w:iCs/>
                <w:lang w:val="hu-HU"/>
              </w:rPr>
              <w:t>ml-es injekciós üveg)</w:t>
            </w:r>
          </w:p>
        </w:tc>
        <w:tc>
          <w:tcPr>
            <w:tcW w:w="1246" w:type="dxa"/>
            <w:tcBorders>
              <w:top w:val="single" w:sz="4" w:space="0" w:color="000000"/>
            </w:tcBorders>
          </w:tcPr>
          <w:p w14:paraId="6DFC3031" w14:textId="4F15B67B" w:rsidR="009C3CBA" w:rsidRPr="009C3CBA" w:rsidRDefault="009C3CBA" w:rsidP="00E65268">
            <w:pPr>
              <w:pStyle w:val="TableParagraph"/>
              <w:rPr>
                <w:bCs/>
                <w:iCs/>
                <w:lang w:val="hu-HU"/>
              </w:rPr>
            </w:pPr>
            <w:r w:rsidRPr="009C3CBA">
              <w:rPr>
                <w:bCs/>
                <w:iCs/>
                <w:lang w:val="hu-HU"/>
              </w:rPr>
              <w:t>100</w:t>
            </w:r>
            <w:r>
              <w:rPr>
                <w:bCs/>
                <w:iCs/>
                <w:lang w:val="hu-HU"/>
              </w:rPr>
              <w:t> </w:t>
            </w:r>
            <w:r w:rsidRPr="009C3CBA">
              <w:rPr>
                <w:bCs/>
                <w:iCs/>
                <w:lang w:val="hu-HU"/>
              </w:rPr>
              <w:t>ml</w:t>
            </w:r>
          </w:p>
        </w:tc>
        <w:tc>
          <w:tcPr>
            <w:tcW w:w="1275" w:type="dxa"/>
            <w:tcBorders>
              <w:top w:val="single" w:sz="4" w:space="0" w:color="000000"/>
            </w:tcBorders>
          </w:tcPr>
          <w:p w14:paraId="7ED1C8F9" w14:textId="07C25E08" w:rsidR="009C3CBA" w:rsidRPr="009C3CBA" w:rsidRDefault="009C3CBA" w:rsidP="00E65268">
            <w:pPr>
              <w:pStyle w:val="TableParagraph"/>
              <w:rPr>
                <w:bCs/>
                <w:iCs/>
                <w:lang w:val="hu-HU"/>
              </w:rPr>
            </w:pPr>
            <w:r w:rsidRPr="009C3CBA">
              <w:rPr>
                <w:bCs/>
                <w:iCs/>
                <w:lang w:val="hu-HU"/>
              </w:rPr>
              <w:t>15</w:t>
            </w:r>
            <w:r>
              <w:rPr>
                <w:bCs/>
                <w:iCs/>
                <w:lang w:val="hu-HU"/>
              </w:rPr>
              <w:t> </w:t>
            </w:r>
            <w:r w:rsidRPr="009C3CBA">
              <w:rPr>
                <w:bCs/>
                <w:iCs/>
                <w:lang w:val="hu-HU"/>
              </w:rPr>
              <w:t>perc</w:t>
            </w:r>
          </w:p>
        </w:tc>
        <w:tc>
          <w:tcPr>
            <w:tcW w:w="1649" w:type="dxa"/>
            <w:tcBorders>
              <w:top w:val="single" w:sz="4" w:space="0" w:color="000000"/>
            </w:tcBorders>
          </w:tcPr>
          <w:p w14:paraId="5117FE5A" w14:textId="77777777" w:rsidR="009C3CBA" w:rsidRPr="009C3CBA" w:rsidRDefault="009C3CBA" w:rsidP="00E65268">
            <w:pPr>
              <w:pStyle w:val="TableParagraph"/>
              <w:ind w:left="85" w:right="91"/>
              <w:jc w:val="center"/>
              <w:rPr>
                <w:bCs/>
                <w:iCs/>
                <w:lang w:val="hu-HU"/>
              </w:rPr>
            </w:pPr>
            <w:r w:rsidRPr="009C3CBA">
              <w:rPr>
                <w:bCs/>
                <w:iCs/>
                <w:lang w:val="hu-HU"/>
              </w:rPr>
              <w:t>Naponta kétszer</w:t>
            </w:r>
          </w:p>
        </w:tc>
        <w:tc>
          <w:tcPr>
            <w:tcW w:w="1380" w:type="dxa"/>
            <w:tcBorders>
              <w:top w:val="single" w:sz="4" w:space="0" w:color="000000"/>
            </w:tcBorders>
          </w:tcPr>
          <w:p w14:paraId="2085B351" w14:textId="1E4BCE4B" w:rsidR="009C3CBA" w:rsidRPr="009C3CBA" w:rsidRDefault="009C3CBA" w:rsidP="00E65268">
            <w:pPr>
              <w:pStyle w:val="TableParagraph"/>
              <w:ind w:left="85" w:right="90"/>
              <w:jc w:val="center"/>
              <w:rPr>
                <w:bCs/>
                <w:iCs/>
                <w:lang w:val="hu-HU"/>
              </w:rPr>
            </w:pPr>
            <w:r w:rsidRPr="009C3CBA">
              <w:rPr>
                <w:bCs/>
                <w:iCs/>
                <w:lang w:val="hu-HU"/>
              </w:rPr>
              <w:t>3000</w:t>
            </w:r>
            <w:r>
              <w:rPr>
                <w:bCs/>
                <w:iCs/>
                <w:lang w:val="hu-HU"/>
              </w:rPr>
              <w:t> </w:t>
            </w:r>
            <w:r w:rsidRPr="009C3CBA">
              <w:rPr>
                <w:bCs/>
                <w:iCs/>
                <w:lang w:val="hu-HU"/>
              </w:rPr>
              <w:t>mg/nap</w:t>
            </w:r>
          </w:p>
        </w:tc>
      </w:tr>
    </w:tbl>
    <w:p w14:paraId="6E225833" w14:textId="77777777" w:rsidR="009C3CBA" w:rsidRPr="009C3CBA" w:rsidRDefault="009C3CBA" w:rsidP="00E65268">
      <w:pPr>
        <w:pStyle w:val="Szvegtrzs"/>
        <w:spacing w:line="240" w:lineRule="auto"/>
        <w:rPr>
          <w:b w:val="0"/>
          <w:bCs/>
          <w:i w:val="0"/>
          <w:iCs/>
          <w:sz w:val="21"/>
          <w:lang w:val="hu-HU"/>
        </w:rPr>
      </w:pPr>
    </w:p>
    <w:p w14:paraId="369E8FEB" w14:textId="5AE62F0A" w:rsidR="009C3CBA" w:rsidRPr="009C3CBA" w:rsidRDefault="009C3CBA" w:rsidP="00E65268">
      <w:pPr>
        <w:pStyle w:val="Szvegtrzs"/>
        <w:spacing w:line="240" w:lineRule="auto"/>
        <w:ind w:right="296"/>
        <w:rPr>
          <w:b w:val="0"/>
          <w:bCs/>
          <w:i w:val="0"/>
          <w:iCs/>
          <w:lang w:val="hu-HU"/>
        </w:rPr>
      </w:pPr>
      <w:r w:rsidRPr="009C3CBA">
        <w:rPr>
          <w:b w:val="0"/>
          <w:bCs/>
          <w:i w:val="0"/>
          <w:iCs/>
          <w:lang w:val="hu-HU"/>
        </w:rPr>
        <w:t>Ez a gyógyszer kizárólag egyszeri alkalmazásra való, a fel nem használt oldatot meg kell semmisíteni.</w:t>
      </w:r>
    </w:p>
    <w:p w14:paraId="7C03F9B8" w14:textId="77777777" w:rsidR="009C3CBA" w:rsidRPr="009C3CBA" w:rsidRDefault="009C3CBA" w:rsidP="00E65268">
      <w:pPr>
        <w:pStyle w:val="Szvegtrzs"/>
        <w:spacing w:line="240" w:lineRule="auto"/>
        <w:rPr>
          <w:b w:val="0"/>
          <w:bCs/>
          <w:i w:val="0"/>
          <w:iCs/>
          <w:sz w:val="21"/>
          <w:lang w:val="hu-HU"/>
        </w:rPr>
      </w:pPr>
    </w:p>
    <w:p w14:paraId="0FDFD0BC" w14:textId="02028349" w:rsidR="009C3CBA" w:rsidRDefault="009C3CBA" w:rsidP="00E65268">
      <w:pPr>
        <w:pStyle w:val="Szvegtrzs"/>
        <w:spacing w:line="240" w:lineRule="auto"/>
        <w:rPr>
          <w:b w:val="0"/>
          <w:bCs/>
          <w:i w:val="0"/>
          <w:iCs/>
          <w:lang w:val="hu-HU"/>
        </w:rPr>
      </w:pPr>
      <w:r w:rsidRPr="009C3CBA">
        <w:rPr>
          <w:b w:val="0"/>
          <w:bCs/>
          <w:i w:val="0"/>
          <w:iCs/>
          <w:lang w:val="hu-HU"/>
        </w:rPr>
        <w:t xml:space="preserve">A </w:t>
      </w:r>
      <w:r>
        <w:rPr>
          <w:b w:val="0"/>
          <w:bCs/>
          <w:i w:val="0"/>
          <w:iCs/>
          <w:lang w:val="hu-HU"/>
        </w:rPr>
        <w:t>Levetiracetam Kalceks</w:t>
      </w:r>
      <w:r w:rsidRPr="009C3CBA">
        <w:rPr>
          <w:b w:val="0"/>
          <w:bCs/>
          <w:i w:val="0"/>
          <w:iCs/>
          <w:lang w:val="hu-HU"/>
        </w:rPr>
        <w:t xml:space="preserve"> koncentrátum oldatos infúzióhoz </w:t>
      </w:r>
      <w:bookmarkStart w:id="6" w:name="_Hlk215147599"/>
      <w:r w:rsidR="006629F4" w:rsidRPr="009C3CBA">
        <w:rPr>
          <w:b w:val="0"/>
          <w:bCs/>
          <w:i w:val="0"/>
          <w:iCs/>
          <w:lang w:val="hu-HU"/>
        </w:rPr>
        <w:t>7</w:t>
      </w:r>
      <w:r w:rsidR="006629F4">
        <w:rPr>
          <w:b w:val="0"/>
          <w:bCs/>
          <w:i w:val="0"/>
          <w:iCs/>
          <w:lang w:val="hu-HU"/>
        </w:rPr>
        <w:t> </w:t>
      </w:r>
      <w:r w:rsidR="006629F4" w:rsidRPr="009C3CBA">
        <w:rPr>
          <w:b w:val="0"/>
          <w:bCs/>
          <w:i w:val="0"/>
          <w:iCs/>
          <w:lang w:val="hu-HU"/>
        </w:rPr>
        <w:t>nap</w:t>
      </w:r>
      <w:r w:rsidR="006629F4">
        <w:rPr>
          <w:b w:val="0"/>
          <w:bCs/>
          <w:i w:val="0"/>
          <w:iCs/>
          <w:lang w:val="hu-HU"/>
        </w:rPr>
        <w:t>on át,</w:t>
      </w:r>
      <w:r w:rsidR="006629F4" w:rsidRPr="009C3CBA">
        <w:rPr>
          <w:b w:val="0"/>
          <w:bCs/>
          <w:i w:val="0"/>
          <w:iCs/>
          <w:lang w:val="hu-HU"/>
        </w:rPr>
        <w:t xml:space="preserve"> 25</w:t>
      </w:r>
      <w:r w:rsidR="006629F4">
        <w:rPr>
          <w:b w:val="0"/>
          <w:bCs/>
          <w:i w:val="0"/>
          <w:iCs/>
          <w:lang w:val="hu-HU"/>
        </w:rPr>
        <w:t> </w:t>
      </w:r>
      <w:r w:rsidR="006629F4" w:rsidRPr="009C3CBA">
        <w:rPr>
          <w:b w:val="0"/>
          <w:bCs/>
          <w:i w:val="0"/>
          <w:snapToGrid w:val="0"/>
          <w:lang w:val="hu-HU" w:eastAsia="hu-HU"/>
        </w:rPr>
        <w:t>°</w:t>
      </w:r>
      <w:r w:rsidR="006629F4" w:rsidRPr="009C3CBA">
        <w:rPr>
          <w:b w:val="0"/>
          <w:bCs/>
          <w:i w:val="0"/>
          <w:iCs/>
          <w:lang w:val="hu-HU"/>
        </w:rPr>
        <w:t>C-on és 2</w:t>
      </w:r>
      <w:r w:rsidR="006629F4">
        <w:rPr>
          <w:b w:val="0"/>
          <w:bCs/>
          <w:i w:val="0"/>
          <w:iCs/>
          <w:lang w:val="hu-HU"/>
        </w:rPr>
        <w:t> </w:t>
      </w:r>
      <w:r w:rsidR="006629F4" w:rsidRPr="009C3CBA">
        <w:rPr>
          <w:b w:val="0"/>
          <w:bCs/>
          <w:i w:val="0"/>
          <w:snapToGrid w:val="0"/>
          <w:lang w:val="hu-HU" w:eastAsia="hu-HU"/>
        </w:rPr>
        <w:t>°</w:t>
      </w:r>
      <w:r w:rsidR="006629F4" w:rsidRPr="009C3CBA">
        <w:rPr>
          <w:b w:val="0"/>
          <w:bCs/>
          <w:i w:val="0"/>
          <w:iCs/>
          <w:lang w:val="hu-HU"/>
        </w:rPr>
        <w:t>C</w:t>
      </w:r>
      <w:r w:rsidR="006629F4">
        <w:rPr>
          <w:b w:val="0"/>
          <w:bCs/>
          <w:i w:val="0"/>
          <w:iCs/>
          <w:lang w:val="hu-HU"/>
        </w:rPr>
        <w:t>–</w:t>
      </w:r>
      <w:r w:rsidR="006629F4" w:rsidRPr="009C3CBA">
        <w:rPr>
          <w:b w:val="0"/>
          <w:bCs/>
          <w:i w:val="0"/>
          <w:iCs/>
          <w:lang w:val="hu-HU"/>
        </w:rPr>
        <w:t>8</w:t>
      </w:r>
      <w:r w:rsidR="006629F4">
        <w:rPr>
          <w:b w:val="0"/>
          <w:bCs/>
          <w:i w:val="0"/>
          <w:iCs/>
          <w:lang w:val="hu-HU"/>
        </w:rPr>
        <w:t> </w:t>
      </w:r>
      <w:r w:rsidR="006629F4" w:rsidRPr="009C3CBA">
        <w:rPr>
          <w:b w:val="0"/>
          <w:bCs/>
          <w:i w:val="0"/>
          <w:snapToGrid w:val="0"/>
          <w:lang w:val="hu-HU" w:eastAsia="hu-HU"/>
        </w:rPr>
        <w:t>°</w:t>
      </w:r>
      <w:r w:rsidR="006629F4" w:rsidRPr="009C3CBA">
        <w:rPr>
          <w:b w:val="0"/>
          <w:bCs/>
          <w:i w:val="0"/>
          <w:iCs/>
          <w:lang w:val="hu-HU"/>
        </w:rPr>
        <w:t xml:space="preserve">C-on </w:t>
      </w:r>
      <w:bookmarkEnd w:id="6"/>
      <w:r w:rsidRPr="009C3CBA">
        <w:rPr>
          <w:b w:val="0"/>
          <w:bCs/>
          <w:i w:val="0"/>
          <w:iCs/>
          <w:lang w:val="hu-HU"/>
        </w:rPr>
        <w:t>fizikailag kompatibilisnek és kémiailag stabilnak bizonyult, ha a</w:t>
      </w:r>
      <w:r w:rsidR="00C461E3">
        <w:rPr>
          <w:b w:val="0"/>
          <w:bCs/>
          <w:i w:val="0"/>
          <w:iCs/>
          <w:lang w:val="hu-HU"/>
        </w:rPr>
        <w:t>z alábbi oldó</w:t>
      </w:r>
      <w:r w:rsidRPr="009C3CBA">
        <w:rPr>
          <w:b w:val="0"/>
          <w:bCs/>
          <w:i w:val="0"/>
          <w:iCs/>
          <w:lang w:val="hu-HU"/>
        </w:rPr>
        <w:t>szerekkel keverték, és polivinil-kloriddal, poliolefinnel, polietilénnel vagy polipropilén anyagokkal érintkezett.</w:t>
      </w:r>
    </w:p>
    <w:p w14:paraId="7A1A1BBA" w14:textId="77777777" w:rsidR="009C3CBA" w:rsidRPr="009C3CBA" w:rsidRDefault="009C3CBA" w:rsidP="00E65268">
      <w:pPr>
        <w:pStyle w:val="Szvegtrzs"/>
        <w:spacing w:line="240" w:lineRule="auto"/>
        <w:rPr>
          <w:b w:val="0"/>
          <w:bCs/>
          <w:i w:val="0"/>
          <w:iCs/>
          <w:lang w:val="hu-HU"/>
        </w:rPr>
      </w:pPr>
    </w:p>
    <w:p w14:paraId="18576403" w14:textId="77777777" w:rsidR="009C3CBA" w:rsidRPr="009C3CBA" w:rsidRDefault="009C3CBA" w:rsidP="00E65268">
      <w:pPr>
        <w:pStyle w:val="Szvegtrzs"/>
        <w:spacing w:line="240" w:lineRule="auto"/>
        <w:ind w:left="567" w:hanging="567"/>
        <w:rPr>
          <w:b w:val="0"/>
          <w:bCs/>
          <w:i w:val="0"/>
          <w:iCs/>
          <w:lang w:val="hu-HU"/>
        </w:rPr>
      </w:pPr>
      <w:r w:rsidRPr="009C3CBA">
        <w:rPr>
          <w:b w:val="0"/>
          <w:bCs/>
          <w:i w:val="0"/>
          <w:iCs/>
          <w:lang w:val="hu-HU"/>
        </w:rPr>
        <w:t>Oldószerek:</w:t>
      </w:r>
    </w:p>
    <w:p w14:paraId="6BA484E7" w14:textId="35734ACE" w:rsidR="009C3CBA" w:rsidRPr="009C3CBA" w:rsidRDefault="009C3CBA" w:rsidP="00E65268">
      <w:pPr>
        <w:pStyle w:val="Listaszerbekezds"/>
        <w:widowControl w:val="0"/>
        <w:numPr>
          <w:ilvl w:val="0"/>
          <w:numId w:val="18"/>
        </w:numPr>
        <w:tabs>
          <w:tab w:val="left" w:pos="685"/>
          <w:tab w:val="left" w:pos="686"/>
        </w:tabs>
        <w:autoSpaceDE w:val="0"/>
        <w:autoSpaceDN w:val="0"/>
        <w:spacing w:after="0" w:line="240" w:lineRule="auto"/>
        <w:ind w:left="567"/>
        <w:contextualSpacing w:val="0"/>
        <w:rPr>
          <w:rFonts w:ascii="Times New Roman" w:hAnsi="Times New Roman" w:cs="Times New Roman"/>
          <w:bCs/>
          <w:iCs/>
        </w:rPr>
      </w:pPr>
      <w:r w:rsidRPr="009C3CBA">
        <w:rPr>
          <w:rFonts w:ascii="Times New Roman" w:hAnsi="Times New Roman" w:cs="Times New Roman"/>
          <w:bCs/>
          <w:iCs/>
        </w:rPr>
        <w:t>9</w:t>
      </w:r>
      <w:r w:rsidR="00C461E3">
        <w:rPr>
          <w:rFonts w:ascii="Times New Roman" w:hAnsi="Times New Roman" w:cs="Times New Roman"/>
          <w:bCs/>
          <w:iCs/>
        </w:rPr>
        <w:t> </w:t>
      </w:r>
      <w:r w:rsidRPr="009C3CBA">
        <w:rPr>
          <w:rFonts w:ascii="Times New Roman" w:hAnsi="Times New Roman" w:cs="Times New Roman"/>
          <w:bCs/>
          <w:iCs/>
        </w:rPr>
        <w:t>mg/ml-es (0,9%-os) nátrium-klorid oldatos</w:t>
      </w:r>
      <w:r w:rsidRPr="009C3CBA">
        <w:rPr>
          <w:rFonts w:ascii="Times New Roman" w:hAnsi="Times New Roman" w:cs="Times New Roman"/>
          <w:bCs/>
          <w:iCs/>
          <w:spacing w:val="-17"/>
        </w:rPr>
        <w:t xml:space="preserve"> </w:t>
      </w:r>
      <w:r w:rsidRPr="009C3CBA">
        <w:rPr>
          <w:rFonts w:ascii="Times New Roman" w:hAnsi="Times New Roman" w:cs="Times New Roman"/>
          <w:bCs/>
          <w:iCs/>
        </w:rPr>
        <w:t>injekció</w:t>
      </w:r>
      <w:r w:rsidR="00C461E3">
        <w:rPr>
          <w:rFonts w:ascii="Times New Roman" w:hAnsi="Times New Roman" w:cs="Times New Roman"/>
          <w:bCs/>
          <w:iCs/>
        </w:rPr>
        <w:t>;</w:t>
      </w:r>
    </w:p>
    <w:p w14:paraId="218B8C81" w14:textId="2BFC1AFE" w:rsidR="009C3CBA" w:rsidRPr="009C3CBA" w:rsidRDefault="009C3CBA" w:rsidP="00E65268">
      <w:pPr>
        <w:pStyle w:val="Listaszerbekezds"/>
        <w:widowControl w:val="0"/>
        <w:numPr>
          <w:ilvl w:val="0"/>
          <w:numId w:val="18"/>
        </w:numPr>
        <w:tabs>
          <w:tab w:val="left" w:pos="685"/>
          <w:tab w:val="left" w:pos="686"/>
        </w:tabs>
        <w:autoSpaceDE w:val="0"/>
        <w:autoSpaceDN w:val="0"/>
        <w:spacing w:after="0" w:line="240" w:lineRule="auto"/>
        <w:ind w:left="567"/>
        <w:contextualSpacing w:val="0"/>
        <w:rPr>
          <w:rFonts w:ascii="Times New Roman" w:hAnsi="Times New Roman" w:cs="Times New Roman"/>
          <w:bCs/>
          <w:iCs/>
        </w:rPr>
      </w:pPr>
      <w:r w:rsidRPr="009C3CBA">
        <w:rPr>
          <w:rFonts w:ascii="Times New Roman" w:hAnsi="Times New Roman" w:cs="Times New Roman"/>
          <w:bCs/>
          <w:iCs/>
        </w:rPr>
        <w:t>Ringer-laktát oldatos</w:t>
      </w:r>
      <w:r w:rsidRPr="009C3CBA">
        <w:rPr>
          <w:rFonts w:ascii="Times New Roman" w:hAnsi="Times New Roman" w:cs="Times New Roman"/>
          <w:bCs/>
          <w:iCs/>
          <w:spacing w:val="-10"/>
        </w:rPr>
        <w:t xml:space="preserve"> </w:t>
      </w:r>
      <w:r w:rsidRPr="009C3CBA">
        <w:rPr>
          <w:rFonts w:ascii="Times New Roman" w:hAnsi="Times New Roman" w:cs="Times New Roman"/>
          <w:bCs/>
          <w:iCs/>
        </w:rPr>
        <w:t>injekció</w:t>
      </w:r>
      <w:r w:rsidR="00C461E3">
        <w:rPr>
          <w:rFonts w:ascii="Times New Roman" w:hAnsi="Times New Roman" w:cs="Times New Roman"/>
          <w:bCs/>
          <w:iCs/>
        </w:rPr>
        <w:t>;</w:t>
      </w:r>
    </w:p>
    <w:p w14:paraId="0199EAA3" w14:textId="23099F06" w:rsidR="009C3CBA" w:rsidRPr="009C3CBA" w:rsidRDefault="009C3CBA" w:rsidP="00E65268">
      <w:pPr>
        <w:pStyle w:val="Listaszerbekezds"/>
        <w:widowControl w:val="0"/>
        <w:numPr>
          <w:ilvl w:val="0"/>
          <w:numId w:val="18"/>
        </w:numPr>
        <w:tabs>
          <w:tab w:val="left" w:pos="685"/>
          <w:tab w:val="left" w:pos="686"/>
        </w:tabs>
        <w:autoSpaceDE w:val="0"/>
        <w:autoSpaceDN w:val="0"/>
        <w:spacing w:after="0" w:line="240" w:lineRule="auto"/>
        <w:ind w:left="567"/>
        <w:contextualSpacing w:val="0"/>
        <w:rPr>
          <w:rFonts w:ascii="Times New Roman" w:hAnsi="Times New Roman" w:cs="Times New Roman"/>
          <w:bCs/>
          <w:iCs/>
        </w:rPr>
      </w:pPr>
      <w:r w:rsidRPr="009C3CBA">
        <w:rPr>
          <w:rFonts w:ascii="Times New Roman" w:hAnsi="Times New Roman" w:cs="Times New Roman"/>
          <w:bCs/>
          <w:iCs/>
        </w:rPr>
        <w:t>50</w:t>
      </w:r>
      <w:r w:rsidR="00C461E3">
        <w:rPr>
          <w:rFonts w:ascii="Times New Roman" w:hAnsi="Times New Roman" w:cs="Times New Roman"/>
          <w:bCs/>
          <w:iCs/>
        </w:rPr>
        <w:t> </w:t>
      </w:r>
      <w:r w:rsidRPr="009C3CBA">
        <w:rPr>
          <w:rFonts w:ascii="Times New Roman" w:hAnsi="Times New Roman" w:cs="Times New Roman"/>
          <w:bCs/>
          <w:iCs/>
        </w:rPr>
        <w:t>mg/ml-es (5%-os) glükóz oldatos</w:t>
      </w:r>
      <w:r w:rsidRPr="009C3CBA">
        <w:rPr>
          <w:rFonts w:ascii="Times New Roman" w:hAnsi="Times New Roman" w:cs="Times New Roman"/>
          <w:bCs/>
          <w:iCs/>
          <w:spacing w:val="-11"/>
        </w:rPr>
        <w:t xml:space="preserve"> </w:t>
      </w:r>
      <w:r w:rsidRPr="009C3CBA">
        <w:rPr>
          <w:rFonts w:ascii="Times New Roman" w:hAnsi="Times New Roman" w:cs="Times New Roman"/>
          <w:bCs/>
          <w:iCs/>
        </w:rPr>
        <w:t>injekció</w:t>
      </w:r>
      <w:r w:rsidR="00C461E3">
        <w:rPr>
          <w:rFonts w:ascii="Times New Roman" w:hAnsi="Times New Roman" w:cs="Times New Roman"/>
          <w:bCs/>
          <w:iCs/>
        </w:rPr>
        <w:t>.</w:t>
      </w:r>
    </w:p>
    <w:p w14:paraId="08CB246B" w14:textId="77777777" w:rsidR="009C3CBA" w:rsidRPr="009C3CBA" w:rsidRDefault="009C3CBA" w:rsidP="00E65268">
      <w:pPr>
        <w:pStyle w:val="Szvegtrzs"/>
        <w:spacing w:line="240" w:lineRule="auto"/>
        <w:rPr>
          <w:b w:val="0"/>
          <w:bCs/>
          <w:i w:val="0"/>
          <w:iCs/>
          <w:sz w:val="20"/>
          <w:lang w:val="hu-HU"/>
        </w:rPr>
      </w:pPr>
    </w:p>
    <w:p w14:paraId="3E6D9366" w14:textId="43268006" w:rsidR="00775573" w:rsidRDefault="009C3CBA" w:rsidP="004401DF">
      <w:pPr>
        <w:pStyle w:val="Szvegtrzs"/>
        <w:spacing w:line="240" w:lineRule="auto"/>
        <w:ind w:right="-3"/>
        <w:rPr>
          <w:b w:val="0"/>
          <w:bCs/>
          <w:i w:val="0"/>
          <w:iCs/>
          <w:lang w:val="hu-HU"/>
        </w:rPr>
      </w:pPr>
      <w:r w:rsidRPr="009C3CBA">
        <w:rPr>
          <w:b w:val="0"/>
          <w:bCs/>
          <w:i w:val="0"/>
          <w:iCs/>
          <w:lang w:val="hu-HU"/>
        </w:rPr>
        <w:t>Látható részecskéket tartalmazó vagy elszíneződött gyógyszert nem szabad felhasználni.</w:t>
      </w:r>
    </w:p>
    <w:p w14:paraId="3590440F" w14:textId="77777777" w:rsidR="00775573" w:rsidRDefault="00775573" w:rsidP="004401DF">
      <w:pPr>
        <w:pStyle w:val="Szvegtrzs"/>
        <w:spacing w:line="240" w:lineRule="auto"/>
        <w:ind w:right="-3"/>
        <w:rPr>
          <w:b w:val="0"/>
          <w:bCs/>
          <w:i w:val="0"/>
          <w:iCs/>
          <w:lang w:val="hu-HU"/>
        </w:rPr>
      </w:pPr>
    </w:p>
    <w:p w14:paraId="7440CEFF" w14:textId="0CBC7990" w:rsidR="009C3CBA" w:rsidRDefault="009C3CBA" w:rsidP="004401DF">
      <w:pPr>
        <w:pStyle w:val="Szvegtrzs"/>
        <w:spacing w:line="240" w:lineRule="auto"/>
        <w:ind w:right="-3"/>
        <w:rPr>
          <w:b w:val="0"/>
          <w:bCs/>
          <w:i w:val="0"/>
          <w:iCs/>
          <w:lang w:val="hu-HU"/>
        </w:rPr>
      </w:pPr>
      <w:r w:rsidRPr="009C3CBA">
        <w:rPr>
          <w:b w:val="0"/>
          <w:bCs/>
          <w:i w:val="0"/>
          <w:iCs/>
          <w:lang w:val="hu-HU"/>
        </w:rPr>
        <w:t>Bármilyen fel nem használt gyógyszer, illetve hulladékanyag megsemmisítését a gyógyszerekre vonatkozó előírások szerint kell végrehajtani.</w:t>
      </w:r>
    </w:p>
    <w:p w14:paraId="05F3198C" w14:textId="77777777" w:rsidR="0021154F" w:rsidRPr="009C3CBA" w:rsidRDefault="0021154F" w:rsidP="004401DF">
      <w:pPr>
        <w:pStyle w:val="Szvegtrzs"/>
        <w:spacing w:line="240" w:lineRule="auto"/>
        <w:ind w:right="-3"/>
        <w:rPr>
          <w:b w:val="0"/>
          <w:bCs/>
          <w:i w:val="0"/>
          <w:iCs/>
          <w:lang w:val="hu-HU"/>
        </w:rPr>
      </w:pPr>
    </w:p>
    <w:p w14:paraId="7B2EF355" w14:textId="50036275" w:rsidR="0021154F" w:rsidRPr="0021154F" w:rsidRDefault="0021154F" w:rsidP="0021154F">
      <w:pPr>
        <w:suppressAutoHyphens/>
        <w:spacing w:after="0" w:line="240" w:lineRule="auto"/>
        <w:rPr>
          <w:rFonts w:ascii="Times New Roman" w:eastAsia="Times New Roman" w:hAnsi="Times New Roman" w:cs="Times New Roman"/>
        </w:rPr>
      </w:pPr>
      <w:r w:rsidRPr="0021154F">
        <w:rPr>
          <w:rFonts w:ascii="Times New Roman" w:eastAsia="Times New Roman" w:hAnsi="Times New Roman" w:cs="Times New Roman"/>
        </w:rPr>
        <w:t xml:space="preserve">Megjegyzés: </w:t>
      </w:r>
      <w:r w:rsidRPr="002C466C">
        <w:rPr>
          <w:rFonts w:ascii="Wingdings" w:hAnsi="Wingdings"/>
        </w:rPr>
        <w:t></w:t>
      </w:r>
      <w:r w:rsidRPr="0021154F">
        <w:rPr>
          <w:rFonts w:ascii="Times New Roman" w:eastAsia="Times New Roman" w:hAnsi="Times New Roman" w:cs="Times New Roman"/>
        </w:rPr>
        <w:t xml:space="preserve"> (egy keresztes)</w:t>
      </w:r>
    </w:p>
    <w:p w14:paraId="5917F262" w14:textId="542278AF" w:rsidR="0021154F" w:rsidRPr="00AA1346" w:rsidRDefault="0021154F" w:rsidP="0021154F">
      <w:pPr>
        <w:suppressAutoHyphens/>
        <w:spacing w:after="0" w:line="240" w:lineRule="auto"/>
        <w:rPr>
          <w:rFonts w:ascii="Times New Roman" w:eastAsia="Times New Roman" w:hAnsi="Times New Roman" w:cs="Times New Roman"/>
        </w:rPr>
      </w:pPr>
      <w:r w:rsidRPr="0021154F">
        <w:rPr>
          <w:rFonts w:ascii="Times New Roman" w:eastAsia="Times New Roman" w:hAnsi="Times New Roman" w:cs="Times New Roman"/>
        </w:rPr>
        <w:t>Osztályozás: II.</w:t>
      </w:r>
      <w:r w:rsidR="00A61EE0">
        <w:rPr>
          <w:rFonts w:ascii="Times New Roman" w:eastAsia="Times New Roman" w:hAnsi="Times New Roman" w:cs="Times New Roman"/>
        </w:rPr>
        <w:t>/3</w:t>
      </w:r>
      <w:r w:rsidRPr="0021154F">
        <w:rPr>
          <w:rFonts w:ascii="Times New Roman" w:eastAsia="Times New Roman" w:hAnsi="Times New Roman" w:cs="Times New Roman"/>
        </w:rPr>
        <w:t xml:space="preserve"> csoport</w:t>
      </w:r>
      <w:r>
        <w:rPr>
          <w:rFonts w:ascii="Times New Roman" w:eastAsia="Times New Roman" w:hAnsi="Times New Roman" w:cs="Times New Roman"/>
        </w:rPr>
        <w:t xml:space="preserve"> </w:t>
      </w:r>
    </w:p>
    <w:p w14:paraId="71075734" w14:textId="1834AA16" w:rsidR="0021154F" w:rsidRDefault="00A61EE0" w:rsidP="0021154F">
      <w:pPr>
        <w:suppressAutoHyphens/>
        <w:spacing w:after="0" w:line="240" w:lineRule="auto"/>
        <w:rPr>
          <w:rFonts w:ascii="Times New Roman" w:eastAsia="Times New Roman" w:hAnsi="Times New Roman" w:cs="Times New Roman"/>
        </w:rPr>
      </w:pPr>
      <w:r w:rsidRPr="00A61EE0">
        <w:rPr>
          <w:rFonts w:ascii="Times New Roman" w:eastAsia="Times New Roman" w:hAnsi="Times New Roman" w:cs="Times New Roman"/>
        </w:rPr>
        <w:t>Korlátozott érvényű orvosi rendelvényhez kötött, az egészségügyről szóló 1997. évi CLIV. Törvény 3. §-ának ga) pontja szerinti rendelőintézeti járóbeteg-szakellátást vagy fekvőbeteg-szakellátást nyújtó szolgáltatók által biztosított körülmények között alkalmazható gyógyszer (I).</w:t>
      </w:r>
    </w:p>
    <w:p w14:paraId="05A100C3" w14:textId="77777777" w:rsidR="0021154F" w:rsidRDefault="0021154F" w:rsidP="0021154F">
      <w:pPr>
        <w:suppressAutoHyphens/>
        <w:spacing w:after="0" w:line="240" w:lineRule="auto"/>
        <w:rPr>
          <w:rFonts w:ascii="Times New Roman" w:eastAsia="Times New Roman" w:hAnsi="Times New Roman" w:cs="Times New Roman"/>
        </w:rPr>
      </w:pPr>
    </w:p>
    <w:p w14:paraId="2F1FC0E8" w14:textId="77777777" w:rsidR="00A61EE0" w:rsidRPr="00AA1346" w:rsidRDefault="00A61EE0" w:rsidP="0021154F">
      <w:pPr>
        <w:suppressAutoHyphens/>
        <w:spacing w:after="0" w:line="240" w:lineRule="auto"/>
        <w:rPr>
          <w:rFonts w:ascii="Times New Roman" w:eastAsia="Times New Roman" w:hAnsi="Times New Roman" w:cs="Times New Roman"/>
        </w:rPr>
      </w:pPr>
    </w:p>
    <w:p w14:paraId="0B8F0C8C" w14:textId="77777777" w:rsidR="00394394" w:rsidRPr="00D77EE2" w:rsidRDefault="00394394" w:rsidP="004401DF">
      <w:pPr>
        <w:pStyle w:val="Nincstrkz"/>
        <w:tabs>
          <w:tab w:val="left" w:pos="567"/>
        </w:tabs>
        <w:rPr>
          <w:b/>
          <w:bCs/>
          <w:lang w:val="hu-HU"/>
        </w:rPr>
      </w:pPr>
      <w:r w:rsidRPr="00D77EE2">
        <w:rPr>
          <w:b/>
          <w:bCs/>
          <w:lang w:val="hu-HU"/>
        </w:rPr>
        <w:t>7.</w:t>
      </w:r>
      <w:r w:rsidRPr="00D77EE2">
        <w:rPr>
          <w:b/>
          <w:bCs/>
          <w:lang w:val="hu-HU"/>
        </w:rPr>
        <w:tab/>
        <w:t>A FORGALOMBA HOZATALI ENGEDÉLY JOGOSULTJA</w:t>
      </w:r>
    </w:p>
    <w:p w14:paraId="09E11893" w14:textId="77777777" w:rsidR="00394394" w:rsidRPr="00D77EE2" w:rsidRDefault="00394394" w:rsidP="004401DF">
      <w:pPr>
        <w:pStyle w:val="Nincstrkz"/>
        <w:rPr>
          <w:lang w:val="hu-HU"/>
        </w:rPr>
      </w:pPr>
    </w:p>
    <w:p w14:paraId="5E8550D1" w14:textId="77777777" w:rsidR="00D77EE2" w:rsidRPr="00994522" w:rsidRDefault="00D77EE2" w:rsidP="004401DF">
      <w:pPr>
        <w:pStyle w:val="Nincstrkz"/>
        <w:rPr>
          <w:rFonts w:eastAsia="SimSun"/>
          <w:snapToGrid w:val="0"/>
          <w:lang w:val="hu-HU" w:eastAsia="zh-CN"/>
        </w:rPr>
      </w:pPr>
      <w:r w:rsidRPr="00994522">
        <w:rPr>
          <w:rFonts w:eastAsia="SimSun"/>
          <w:snapToGrid w:val="0"/>
          <w:lang w:val="hu-HU" w:eastAsia="zh-CN"/>
        </w:rPr>
        <w:t>AS KALCEKS</w:t>
      </w:r>
    </w:p>
    <w:p w14:paraId="3B7A4BE0" w14:textId="77777777" w:rsidR="00D77EE2" w:rsidRPr="00994522" w:rsidRDefault="00D77EE2" w:rsidP="004401DF">
      <w:pPr>
        <w:pStyle w:val="Nincstrkz"/>
        <w:rPr>
          <w:rFonts w:eastAsia="SimSun"/>
          <w:snapToGrid w:val="0"/>
          <w:lang w:val="hu-HU" w:eastAsia="zh-CN"/>
        </w:rPr>
      </w:pPr>
      <w:r w:rsidRPr="00994522">
        <w:rPr>
          <w:rFonts w:eastAsia="SimSun"/>
          <w:snapToGrid w:val="0"/>
          <w:lang w:val="hu-HU" w:eastAsia="zh-CN"/>
        </w:rPr>
        <w:t>Krustpils iela 71E, Rīga, LV-1057, Lettország</w:t>
      </w:r>
    </w:p>
    <w:p w14:paraId="5DBDA412" w14:textId="77777777" w:rsidR="00D77EE2" w:rsidRPr="00994522" w:rsidRDefault="00D77EE2" w:rsidP="004401DF">
      <w:pPr>
        <w:pStyle w:val="Nincstrkz"/>
        <w:rPr>
          <w:rFonts w:eastAsia="SimSun"/>
          <w:snapToGrid w:val="0"/>
          <w:lang w:val="it-IT" w:eastAsia="zh-CN"/>
        </w:rPr>
      </w:pPr>
      <w:r w:rsidRPr="00994522">
        <w:rPr>
          <w:rFonts w:eastAsia="SimSun"/>
          <w:snapToGrid w:val="0"/>
          <w:lang w:val="it-IT" w:eastAsia="zh-CN"/>
        </w:rPr>
        <w:t>Tel.: +371 67083320</w:t>
      </w:r>
    </w:p>
    <w:p w14:paraId="5EA91696" w14:textId="2DE8B0A0" w:rsidR="00394394" w:rsidRPr="00994522" w:rsidRDefault="00D77EE2" w:rsidP="004401DF">
      <w:pPr>
        <w:pStyle w:val="Nincstrkz"/>
        <w:rPr>
          <w:rFonts w:eastAsia="SimSun"/>
          <w:snapToGrid w:val="0"/>
          <w:lang w:val="it-IT" w:eastAsia="zh-CN"/>
        </w:rPr>
      </w:pPr>
      <w:r w:rsidRPr="00994522">
        <w:rPr>
          <w:rFonts w:eastAsia="SimSun"/>
          <w:snapToGrid w:val="0"/>
          <w:lang w:val="it-IT" w:eastAsia="zh-CN"/>
        </w:rPr>
        <w:t xml:space="preserve">E-mail: </w:t>
      </w:r>
      <w:hyperlink r:id="rId8" w:history="1">
        <w:r w:rsidRPr="00994522">
          <w:rPr>
            <w:rStyle w:val="Hiperhivatkozs"/>
            <w:rFonts w:eastAsia="SimSun"/>
            <w:snapToGrid w:val="0"/>
            <w:lang w:val="it-IT" w:eastAsia="zh-CN"/>
          </w:rPr>
          <w:t>kalceks@kalceks.lv</w:t>
        </w:r>
      </w:hyperlink>
    </w:p>
    <w:p w14:paraId="4D009A9F" w14:textId="77777777" w:rsidR="00D77EE2" w:rsidRPr="00D77EE2" w:rsidRDefault="00D77EE2" w:rsidP="004401DF">
      <w:pPr>
        <w:pStyle w:val="Nincstrkz"/>
        <w:rPr>
          <w:lang w:val="hu-HU"/>
        </w:rPr>
      </w:pPr>
    </w:p>
    <w:p w14:paraId="17D45BC6"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48D18841"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b/>
        </w:rPr>
      </w:pPr>
      <w:r w:rsidRPr="00AA1346">
        <w:rPr>
          <w:rFonts w:ascii="Times New Roman" w:eastAsia="Times New Roman" w:hAnsi="Times New Roman" w:cs="Times New Roman"/>
          <w:b/>
        </w:rPr>
        <w:t>8.</w:t>
      </w:r>
      <w:r w:rsidRPr="00AA1346">
        <w:rPr>
          <w:rFonts w:ascii="Times New Roman" w:eastAsia="Times New Roman" w:hAnsi="Times New Roman" w:cs="Times New Roman"/>
          <w:b/>
        </w:rPr>
        <w:tab/>
        <w:t>A FORGALOMBA HOZATALI ENGEDÉLY SZÁMA(I)</w:t>
      </w:r>
    </w:p>
    <w:p w14:paraId="296510D6" w14:textId="77777777" w:rsidR="00394394" w:rsidRPr="00AA1346" w:rsidRDefault="00394394" w:rsidP="004401DF">
      <w:pPr>
        <w:tabs>
          <w:tab w:val="left" w:pos="708"/>
        </w:tabs>
        <w:suppressAutoHyphens/>
        <w:spacing w:after="0" w:line="240" w:lineRule="auto"/>
        <w:ind w:left="567" w:hanging="567"/>
        <w:rPr>
          <w:rFonts w:ascii="Times New Roman" w:eastAsia="Times New Roman" w:hAnsi="Times New Roman" w:cs="Times New Roman"/>
        </w:rPr>
      </w:pPr>
    </w:p>
    <w:p w14:paraId="279C9D24" w14:textId="1625DC60" w:rsidR="00E81FAF" w:rsidRPr="00AA1346" w:rsidRDefault="00A122C7" w:rsidP="004401DF">
      <w:pPr>
        <w:suppressAutoHyphens/>
        <w:spacing w:after="0" w:line="240" w:lineRule="auto"/>
        <w:rPr>
          <w:rFonts w:ascii="Times New Roman" w:eastAsia="Times New Roman" w:hAnsi="Times New Roman" w:cs="Times New Roman"/>
        </w:rPr>
      </w:pPr>
      <w:r w:rsidRPr="00A122C7">
        <w:rPr>
          <w:rFonts w:ascii="Times New Roman" w:eastAsia="Times New Roman" w:hAnsi="Times New Roman" w:cs="Times New Roman"/>
          <w:szCs w:val="24"/>
          <w:lang w:eastAsia="hu-HU"/>
        </w:rPr>
        <w:t>OGYI-T-24692/01</w:t>
      </w:r>
      <w:r>
        <w:rPr>
          <w:rFonts w:ascii="Times New Roman" w:eastAsia="Times New Roman" w:hAnsi="Times New Roman" w:cs="Times New Roman"/>
          <w:szCs w:val="24"/>
          <w:lang w:eastAsia="hu-HU"/>
        </w:rPr>
        <w:tab/>
      </w:r>
      <w:r w:rsidRPr="00A122C7">
        <w:rPr>
          <w:rFonts w:ascii="Times New Roman" w:eastAsia="Times New Roman" w:hAnsi="Times New Roman" w:cs="Times New Roman"/>
          <w:szCs w:val="24"/>
          <w:lang w:eastAsia="hu-HU"/>
        </w:rPr>
        <w:t>10x5</w:t>
      </w:r>
      <w:r>
        <w:rPr>
          <w:rFonts w:ascii="Times New Roman" w:eastAsia="Times New Roman" w:hAnsi="Times New Roman" w:cs="Times New Roman"/>
          <w:szCs w:val="24"/>
          <w:lang w:eastAsia="hu-HU"/>
        </w:rPr>
        <w:t> </w:t>
      </w:r>
      <w:r w:rsidRPr="00A122C7">
        <w:rPr>
          <w:rFonts w:ascii="Times New Roman" w:eastAsia="Times New Roman" w:hAnsi="Times New Roman" w:cs="Times New Roman"/>
          <w:szCs w:val="24"/>
          <w:lang w:eastAsia="hu-HU"/>
        </w:rPr>
        <w:t>ml</w:t>
      </w:r>
      <w:r>
        <w:rPr>
          <w:rFonts w:ascii="Times New Roman" w:eastAsia="Times New Roman" w:hAnsi="Times New Roman" w:cs="Times New Roman"/>
          <w:szCs w:val="24"/>
          <w:lang w:eastAsia="hu-HU"/>
        </w:rPr>
        <w:tab/>
      </w:r>
      <w:r w:rsidRPr="00A122C7">
        <w:rPr>
          <w:rFonts w:ascii="Times New Roman" w:eastAsia="Times New Roman" w:hAnsi="Times New Roman" w:cs="Times New Roman"/>
          <w:szCs w:val="24"/>
          <w:lang w:eastAsia="hu-HU"/>
        </w:rPr>
        <w:t>brómbutil gumidugóval lezárt, I. típusú üvegből készült injekciós üvegben</w:t>
      </w:r>
    </w:p>
    <w:p w14:paraId="2118D4A6" w14:textId="77777777" w:rsidR="00176A11" w:rsidRPr="00AA1346" w:rsidRDefault="00176A11" w:rsidP="004401DF">
      <w:pPr>
        <w:tabs>
          <w:tab w:val="left" w:pos="708"/>
        </w:tabs>
        <w:suppressAutoHyphens/>
        <w:spacing w:after="0" w:line="240" w:lineRule="auto"/>
        <w:ind w:left="567" w:hanging="567"/>
        <w:rPr>
          <w:rFonts w:ascii="Times New Roman" w:eastAsia="Times New Roman" w:hAnsi="Times New Roman" w:cs="Times New Roman"/>
        </w:rPr>
      </w:pPr>
    </w:p>
    <w:p w14:paraId="3215B996" w14:textId="77777777" w:rsidR="00394394" w:rsidRPr="00AA1346" w:rsidRDefault="00394394" w:rsidP="004401DF">
      <w:pPr>
        <w:suppressAutoHyphens/>
        <w:spacing w:after="0" w:line="240" w:lineRule="auto"/>
        <w:ind w:left="567" w:hanging="567"/>
        <w:outlineLvl w:val="0"/>
        <w:rPr>
          <w:rFonts w:ascii="Times New Roman" w:eastAsia="Times New Roman" w:hAnsi="Times New Roman" w:cs="Times New Roman"/>
          <w:b/>
        </w:rPr>
      </w:pPr>
      <w:r w:rsidRPr="00AA1346">
        <w:rPr>
          <w:rFonts w:ascii="Times New Roman" w:eastAsia="Times New Roman" w:hAnsi="Times New Roman" w:cs="Times New Roman"/>
          <w:b/>
          <w:noProof/>
        </w:rPr>
        <w:lastRenderedPageBreak/>
        <w:t>9.</w:t>
      </w:r>
      <w:r w:rsidRPr="00AA1346">
        <w:rPr>
          <w:rFonts w:ascii="Times New Roman" w:eastAsia="Times New Roman" w:hAnsi="Times New Roman" w:cs="Times New Roman"/>
          <w:b/>
          <w:noProof/>
        </w:rPr>
        <w:tab/>
        <w:t>A FORGALOMBA HOZATALI ENGEDÉLY ELSŐ KIADÁSÁNAK/ MEGÚJÍTÁSÁNAK</w:t>
      </w:r>
      <w:r w:rsidRPr="00AA1346">
        <w:rPr>
          <w:rFonts w:ascii="Times New Roman" w:eastAsia="Times New Roman" w:hAnsi="Times New Roman" w:cs="Times New Roman"/>
          <w:b/>
        </w:rPr>
        <w:t xml:space="preserve"> DÁTUMA</w:t>
      </w:r>
    </w:p>
    <w:p w14:paraId="067D87E9"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18D3B603" w14:textId="48E67359" w:rsidR="00394394" w:rsidRPr="00AA1346" w:rsidRDefault="00394394" w:rsidP="004401DF">
      <w:pPr>
        <w:suppressAutoHyphens/>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A forgalomba hozatali engedély első kiadásának dátuma:</w:t>
      </w:r>
      <w:r w:rsidR="00C377E1">
        <w:rPr>
          <w:rFonts w:ascii="Times New Roman" w:eastAsia="Times New Roman" w:hAnsi="Times New Roman" w:cs="Times New Roman"/>
        </w:rPr>
        <w:t xml:space="preserve"> 2026. </w:t>
      </w:r>
      <w:r w:rsidR="00A122C7">
        <w:rPr>
          <w:rFonts w:ascii="Times New Roman" w:eastAsia="Times New Roman" w:hAnsi="Times New Roman" w:cs="Times New Roman"/>
        </w:rPr>
        <w:t>január 27.</w:t>
      </w:r>
    </w:p>
    <w:p w14:paraId="0CFA45B1"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78505E68" w14:textId="77777777" w:rsidR="00394394" w:rsidRPr="00AA1346" w:rsidRDefault="00394394" w:rsidP="004401DF">
      <w:pPr>
        <w:suppressAutoHyphens/>
        <w:spacing w:after="0" w:line="240" w:lineRule="auto"/>
        <w:rPr>
          <w:rFonts w:ascii="Times New Roman" w:eastAsia="Times New Roman" w:hAnsi="Times New Roman" w:cs="Times New Roman"/>
        </w:rPr>
      </w:pPr>
    </w:p>
    <w:p w14:paraId="3E42A415" w14:textId="77777777" w:rsidR="00394394" w:rsidRPr="00AA1346" w:rsidRDefault="00394394" w:rsidP="004401DF">
      <w:pPr>
        <w:tabs>
          <w:tab w:val="left" w:pos="567"/>
        </w:tabs>
        <w:suppressAutoHyphens/>
        <w:spacing w:after="0" w:line="240" w:lineRule="auto"/>
        <w:rPr>
          <w:rFonts w:ascii="Times New Roman" w:eastAsia="Times New Roman" w:hAnsi="Times New Roman" w:cs="Times New Roman"/>
          <w:b/>
        </w:rPr>
      </w:pPr>
      <w:r w:rsidRPr="00AA1346">
        <w:rPr>
          <w:rFonts w:ascii="Times New Roman" w:eastAsia="Times New Roman" w:hAnsi="Times New Roman" w:cs="Times New Roman"/>
          <w:b/>
        </w:rPr>
        <w:t>10.</w:t>
      </w:r>
      <w:r w:rsidRPr="00AA1346">
        <w:rPr>
          <w:rFonts w:ascii="Times New Roman" w:eastAsia="Times New Roman" w:hAnsi="Times New Roman" w:cs="Times New Roman"/>
          <w:b/>
        </w:rPr>
        <w:tab/>
        <w:t>A SZÖVEG ELLENŐRZÉSÉNEK DÁTUMA</w:t>
      </w:r>
    </w:p>
    <w:p w14:paraId="1D9D8D7A" w14:textId="77777777" w:rsidR="00394394" w:rsidRDefault="00394394" w:rsidP="004401DF">
      <w:pPr>
        <w:tabs>
          <w:tab w:val="left" w:pos="567"/>
        </w:tabs>
        <w:suppressAutoHyphens/>
        <w:spacing w:after="0" w:line="240" w:lineRule="auto"/>
        <w:rPr>
          <w:rFonts w:ascii="Times New Roman" w:eastAsia="Times New Roman" w:hAnsi="Times New Roman" w:cs="Times New Roman"/>
        </w:rPr>
      </w:pPr>
    </w:p>
    <w:p w14:paraId="7FB16705" w14:textId="16FE3D80" w:rsidR="00C377E1" w:rsidRPr="00AA1346" w:rsidRDefault="00C377E1" w:rsidP="004401DF">
      <w:pPr>
        <w:tabs>
          <w:tab w:val="left" w:pos="567"/>
        </w:tabs>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2026.</w:t>
      </w:r>
      <w:r w:rsidR="00A122C7">
        <w:rPr>
          <w:rFonts w:ascii="Times New Roman" w:eastAsia="Times New Roman" w:hAnsi="Times New Roman" w:cs="Times New Roman"/>
        </w:rPr>
        <w:t xml:space="preserve"> január 27.</w:t>
      </w:r>
    </w:p>
    <w:sectPr w:rsidR="00C377E1" w:rsidRPr="00AA1346" w:rsidSect="00751424">
      <w:headerReference w:type="even" r:id="rId9"/>
      <w:headerReference w:type="default" r:id="rId10"/>
      <w:footerReference w:type="first" r:id="rId11"/>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AA7B3" w14:textId="77777777" w:rsidR="0075752B" w:rsidRDefault="0075752B">
      <w:pPr>
        <w:spacing w:after="0" w:line="240" w:lineRule="auto"/>
      </w:pPr>
      <w:r>
        <w:separator/>
      </w:r>
    </w:p>
  </w:endnote>
  <w:endnote w:type="continuationSeparator" w:id="0">
    <w:p w14:paraId="22CAE663" w14:textId="77777777" w:rsidR="0075752B" w:rsidRDefault="00757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6A58E" w14:textId="354B0025" w:rsidR="004A1883" w:rsidRPr="00D76F4D" w:rsidRDefault="004A1883">
    <w:pPr>
      <w:pStyle w:val="llb"/>
      <w:rPr>
        <w:sz w:val="18"/>
        <w:szCs w:val="18"/>
      </w:rPr>
    </w:pPr>
    <w:r w:rsidRPr="00D76F4D">
      <w:rPr>
        <w:sz w:val="18"/>
        <w:szCs w:val="18"/>
      </w:rPr>
      <w:t>NNGYK/ETGY/4108/2025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37DCF" w14:textId="77777777" w:rsidR="0075752B" w:rsidRDefault="0075752B">
      <w:pPr>
        <w:spacing w:after="0" w:line="240" w:lineRule="auto"/>
      </w:pPr>
      <w:r>
        <w:separator/>
      </w:r>
    </w:p>
  </w:footnote>
  <w:footnote w:type="continuationSeparator" w:id="0">
    <w:p w14:paraId="220E5833" w14:textId="77777777" w:rsidR="0075752B" w:rsidRDefault="00757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CDFD0" w14:textId="77777777" w:rsidR="000A6C7A" w:rsidRDefault="000A6C7A" w:rsidP="00447320">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80306C0" w14:textId="77777777" w:rsidR="000A6C7A" w:rsidRDefault="000A6C7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034110"/>
      <w:docPartObj>
        <w:docPartGallery w:val="Page Numbers (Top of Page)"/>
        <w:docPartUnique/>
      </w:docPartObj>
    </w:sdtPr>
    <w:sdtEndPr>
      <w:rPr>
        <w:sz w:val="18"/>
        <w:szCs w:val="18"/>
      </w:rPr>
    </w:sdtEndPr>
    <w:sdtContent>
      <w:p w14:paraId="3522F927" w14:textId="6EE4F78A" w:rsidR="000A6C7A" w:rsidRPr="00896DDB" w:rsidRDefault="000A6C7A" w:rsidP="00896DDB">
        <w:pPr>
          <w:pStyle w:val="lfej"/>
          <w:jc w:val="center"/>
          <w:rPr>
            <w:sz w:val="18"/>
            <w:szCs w:val="18"/>
          </w:rPr>
        </w:pPr>
        <w:r w:rsidRPr="00896DDB">
          <w:rPr>
            <w:sz w:val="18"/>
            <w:szCs w:val="18"/>
          </w:rPr>
          <w:fldChar w:fldCharType="begin"/>
        </w:r>
        <w:r w:rsidRPr="00896DDB">
          <w:rPr>
            <w:sz w:val="18"/>
            <w:szCs w:val="18"/>
          </w:rPr>
          <w:instrText>PAGE   \* MERGEFORMAT</w:instrText>
        </w:r>
        <w:r w:rsidRPr="00896DDB">
          <w:rPr>
            <w:sz w:val="18"/>
            <w:szCs w:val="18"/>
          </w:rPr>
          <w:fldChar w:fldCharType="separate"/>
        </w:r>
        <w:r w:rsidR="00176A11">
          <w:rPr>
            <w:noProof/>
            <w:sz w:val="18"/>
            <w:szCs w:val="18"/>
          </w:rPr>
          <w:t>13</w:t>
        </w:r>
        <w:r w:rsidRPr="00896DDB">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00000002"/>
    <w:multiLevelType w:val="singleLevel"/>
    <w:tmpl w:val="00000002"/>
    <w:name w:val="WW8Num2"/>
    <w:lvl w:ilvl="0">
      <w:start w:val="12"/>
      <w:numFmt w:val="decimal"/>
      <w:lvlText w:val="%1"/>
      <w:lvlJc w:val="left"/>
      <w:pPr>
        <w:tabs>
          <w:tab w:val="num" w:pos="360"/>
        </w:tabs>
        <w:ind w:left="360" w:hanging="360"/>
      </w:pPr>
    </w:lvl>
  </w:abstractNum>
  <w:abstractNum w:abstractNumId="2" w15:restartNumberingAfterBreak="0">
    <w:nsid w:val="00000003"/>
    <w:multiLevelType w:val="multilevel"/>
    <w:tmpl w:val="00000003"/>
    <w:name w:val="Outline"/>
    <w:lvl w:ilvl="0">
      <w:start w:val="1"/>
      <w:numFmt w:val="none"/>
      <w:pStyle w:val="Cmsor1"/>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pStyle w:val="Cmsor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pStyle w:val="Cmsor8"/>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0557C66"/>
    <w:multiLevelType w:val="hybridMultilevel"/>
    <w:tmpl w:val="4C1647D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1F71E26"/>
    <w:multiLevelType w:val="hybridMultilevel"/>
    <w:tmpl w:val="C10EAF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4D28AB"/>
    <w:multiLevelType w:val="hybridMultilevel"/>
    <w:tmpl w:val="06B23CDC"/>
    <w:lvl w:ilvl="0" w:tplc="8DE8974E">
      <w:numFmt w:val="bullet"/>
      <w:lvlText w:val="•"/>
      <w:lvlJc w:val="left"/>
      <w:pPr>
        <w:ind w:left="1068" w:hanging="708"/>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F7826E5"/>
    <w:multiLevelType w:val="multilevel"/>
    <w:tmpl w:val="971C9FC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07A3EBF"/>
    <w:multiLevelType w:val="hybridMultilevel"/>
    <w:tmpl w:val="800E1582"/>
    <w:lvl w:ilvl="0" w:tplc="B8A65474">
      <w:numFmt w:val="bullet"/>
      <w:lvlText w:val="•"/>
      <w:lvlJc w:val="left"/>
      <w:pPr>
        <w:ind w:left="1068" w:hanging="708"/>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8C33184"/>
    <w:multiLevelType w:val="hybridMultilevel"/>
    <w:tmpl w:val="0E60B992"/>
    <w:lvl w:ilvl="0" w:tplc="1702028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D8C43EA"/>
    <w:multiLevelType w:val="hybridMultilevel"/>
    <w:tmpl w:val="7640F70A"/>
    <w:lvl w:ilvl="0" w:tplc="F0EE704E">
      <w:numFmt w:val="bullet"/>
      <w:lvlText w:val="−"/>
      <w:lvlJc w:val="left"/>
      <w:pPr>
        <w:tabs>
          <w:tab w:val="num" w:pos="720"/>
        </w:tabs>
        <w:ind w:left="720" w:hanging="360"/>
      </w:pPr>
      <w:rPr>
        <w:rFonts w:ascii="Times New Roman" w:eastAsia="Times New Roman" w:hAnsi="Times New Roman" w:cs="Times New Roman" w:hint="default"/>
        <w:w w:val="99"/>
        <w:sz w:val="22"/>
        <w:szCs w:val="2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7332C4"/>
    <w:multiLevelType w:val="hybridMultilevel"/>
    <w:tmpl w:val="770A5DC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06191A"/>
    <w:multiLevelType w:val="hybridMultilevel"/>
    <w:tmpl w:val="5732A8F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BF7AA6"/>
    <w:multiLevelType w:val="hybridMultilevel"/>
    <w:tmpl w:val="FD1A78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01D4A55"/>
    <w:multiLevelType w:val="hybridMultilevel"/>
    <w:tmpl w:val="35403C1C"/>
    <w:lvl w:ilvl="0" w:tplc="04260001">
      <w:start w:val="1"/>
      <w:numFmt w:val="bullet"/>
      <w:lvlText w:val=""/>
      <w:lvlJc w:val="left"/>
      <w:pPr>
        <w:ind w:left="685" w:hanging="567"/>
      </w:pPr>
      <w:rPr>
        <w:rFonts w:ascii="Symbol" w:hAnsi="Symbol" w:hint="default"/>
        <w:w w:val="100"/>
        <w:sz w:val="22"/>
        <w:szCs w:val="22"/>
      </w:rPr>
    </w:lvl>
    <w:lvl w:ilvl="1" w:tplc="B436F6E0">
      <w:numFmt w:val="bullet"/>
      <w:lvlText w:val="•"/>
      <w:lvlJc w:val="left"/>
      <w:pPr>
        <w:ind w:left="1542" w:hanging="567"/>
      </w:pPr>
      <w:rPr>
        <w:rFonts w:hint="default"/>
      </w:rPr>
    </w:lvl>
    <w:lvl w:ilvl="2" w:tplc="8AEAC4CE">
      <w:numFmt w:val="bullet"/>
      <w:lvlText w:val="•"/>
      <w:lvlJc w:val="left"/>
      <w:pPr>
        <w:ind w:left="2405" w:hanging="567"/>
      </w:pPr>
      <w:rPr>
        <w:rFonts w:hint="default"/>
      </w:rPr>
    </w:lvl>
    <w:lvl w:ilvl="3" w:tplc="CD6EA7BE">
      <w:numFmt w:val="bullet"/>
      <w:lvlText w:val="•"/>
      <w:lvlJc w:val="left"/>
      <w:pPr>
        <w:ind w:left="3267" w:hanging="567"/>
      </w:pPr>
      <w:rPr>
        <w:rFonts w:hint="default"/>
      </w:rPr>
    </w:lvl>
    <w:lvl w:ilvl="4" w:tplc="BC34997E">
      <w:numFmt w:val="bullet"/>
      <w:lvlText w:val="•"/>
      <w:lvlJc w:val="left"/>
      <w:pPr>
        <w:ind w:left="4130" w:hanging="567"/>
      </w:pPr>
      <w:rPr>
        <w:rFonts w:hint="default"/>
      </w:rPr>
    </w:lvl>
    <w:lvl w:ilvl="5" w:tplc="02EEAC44">
      <w:numFmt w:val="bullet"/>
      <w:lvlText w:val="•"/>
      <w:lvlJc w:val="left"/>
      <w:pPr>
        <w:ind w:left="4993" w:hanging="567"/>
      </w:pPr>
      <w:rPr>
        <w:rFonts w:hint="default"/>
      </w:rPr>
    </w:lvl>
    <w:lvl w:ilvl="6" w:tplc="55F64DFE">
      <w:numFmt w:val="bullet"/>
      <w:lvlText w:val="•"/>
      <w:lvlJc w:val="left"/>
      <w:pPr>
        <w:ind w:left="5855" w:hanging="567"/>
      </w:pPr>
      <w:rPr>
        <w:rFonts w:hint="default"/>
      </w:rPr>
    </w:lvl>
    <w:lvl w:ilvl="7" w:tplc="5A0E3772">
      <w:numFmt w:val="bullet"/>
      <w:lvlText w:val="•"/>
      <w:lvlJc w:val="left"/>
      <w:pPr>
        <w:ind w:left="6718" w:hanging="567"/>
      </w:pPr>
      <w:rPr>
        <w:rFonts w:hint="default"/>
      </w:rPr>
    </w:lvl>
    <w:lvl w:ilvl="8" w:tplc="9C4CA730">
      <w:numFmt w:val="bullet"/>
      <w:lvlText w:val="•"/>
      <w:lvlJc w:val="left"/>
      <w:pPr>
        <w:ind w:left="7581" w:hanging="567"/>
      </w:pPr>
      <w:rPr>
        <w:rFonts w:hint="default"/>
      </w:rPr>
    </w:lvl>
  </w:abstractNum>
  <w:abstractNum w:abstractNumId="14" w15:restartNumberingAfterBreak="0">
    <w:nsid w:val="57632DE5"/>
    <w:multiLevelType w:val="hybridMultilevel"/>
    <w:tmpl w:val="BA8E50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76D4749"/>
    <w:multiLevelType w:val="multilevel"/>
    <w:tmpl w:val="11AEA2D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8C7174D"/>
    <w:multiLevelType w:val="hybridMultilevel"/>
    <w:tmpl w:val="428A2FA6"/>
    <w:lvl w:ilvl="0" w:tplc="4D1C7984">
      <w:numFmt w:val="bullet"/>
      <w:lvlText w:val="•"/>
      <w:lvlJc w:val="left"/>
      <w:pPr>
        <w:ind w:left="1068" w:hanging="708"/>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C100360"/>
    <w:multiLevelType w:val="hybridMultilevel"/>
    <w:tmpl w:val="30BC16C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98107907">
    <w:abstractNumId w:val="0"/>
  </w:num>
  <w:num w:numId="2" w16cid:durableId="544296964">
    <w:abstractNumId w:val="1"/>
  </w:num>
  <w:num w:numId="3" w16cid:durableId="605894431">
    <w:abstractNumId w:val="2"/>
  </w:num>
  <w:num w:numId="4" w16cid:durableId="1705793068">
    <w:abstractNumId w:val="3"/>
  </w:num>
  <w:num w:numId="5" w16cid:durableId="65305225">
    <w:abstractNumId w:val="11"/>
  </w:num>
  <w:num w:numId="6" w16cid:durableId="1618835768">
    <w:abstractNumId w:val="10"/>
  </w:num>
  <w:num w:numId="7" w16cid:durableId="893391605">
    <w:abstractNumId w:val="17"/>
  </w:num>
  <w:num w:numId="8" w16cid:durableId="561717208">
    <w:abstractNumId w:val="6"/>
  </w:num>
  <w:num w:numId="9" w16cid:durableId="859120438">
    <w:abstractNumId w:val="8"/>
  </w:num>
  <w:num w:numId="10" w16cid:durableId="1082218476">
    <w:abstractNumId w:val="9"/>
  </w:num>
  <w:num w:numId="11" w16cid:durableId="1624774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6674766">
    <w:abstractNumId w:val="12"/>
  </w:num>
  <w:num w:numId="13" w16cid:durableId="75176979">
    <w:abstractNumId w:val="5"/>
  </w:num>
  <w:num w:numId="14" w16cid:durableId="1063797497">
    <w:abstractNumId w:val="4"/>
  </w:num>
  <w:num w:numId="15" w16cid:durableId="1361316369">
    <w:abstractNumId w:val="7"/>
  </w:num>
  <w:num w:numId="16" w16cid:durableId="307369169">
    <w:abstractNumId w:val="14"/>
  </w:num>
  <w:num w:numId="17" w16cid:durableId="645623732">
    <w:abstractNumId w:val="16"/>
  </w:num>
  <w:num w:numId="18" w16cid:durableId="1865827905">
    <w:abstractNumId w:val="13"/>
  </w:num>
  <w:num w:numId="19" w16cid:durableId="3259858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394"/>
    <w:rsid w:val="00004006"/>
    <w:rsid w:val="000059CF"/>
    <w:rsid w:val="00007C09"/>
    <w:rsid w:val="00026BAF"/>
    <w:rsid w:val="00032491"/>
    <w:rsid w:val="00037572"/>
    <w:rsid w:val="00052B5B"/>
    <w:rsid w:val="00052F97"/>
    <w:rsid w:val="00061E6A"/>
    <w:rsid w:val="0009150B"/>
    <w:rsid w:val="0009380A"/>
    <w:rsid w:val="00096468"/>
    <w:rsid w:val="000A5F9B"/>
    <w:rsid w:val="000A6C7A"/>
    <w:rsid w:val="000A71DB"/>
    <w:rsid w:val="000B7586"/>
    <w:rsid w:val="000C577F"/>
    <w:rsid w:val="000D2E1D"/>
    <w:rsid w:val="000F4D48"/>
    <w:rsid w:val="000F7F47"/>
    <w:rsid w:val="00111336"/>
    <w:rsid w:val="00121244"/>
    <w:rsid w:val="00123816"/>
    <w:rsid w:val="00132D46"/>
    <w:rsid w:val="0013316C"/>
    <w:rsid w:val="00145300"/>
    <w:rsid w:val="00151C9A"/>
    <w:rsid w:val="00153236"/>
    <w:rsid w:val="00154C27"/>
    <w:rsid w:val="001576C3"/>
    <w:rsid w:val="00176A11"/>
    <w:rsid w:val="001816A3"/>
    <w:rsid w:val="001B3B02"/>
    <w:rsid w:val="001B440B"/>
    <w:rsid w:val="001C1504"/>
    <w:rsid w:val="001C5094"/>
    <w:rsid w:val="001D4713"/>
    <w:rsid w:val="001D6579"/>
    <w:rsid w:val="001E7972"/>
    <w:rsid w:val="001F5DBB"/>
    <w:rsid w:val="00202C9F"/>
    <w:rsid w:val="0020579F"/>
    <w:rsid w:val="0021154F"/>
    <w:rsid w:val="00233094"/>
    <w:rsid w:val="002401D3"/>
    <w:rsid w:val="00256696"/>
    <w:rsid w:val="00271456"/>
    <w:rsid w:val="002720A6"/>
    <w:rsid w:val="0029295C"/>
    <w:rsid w:val="002A79C3"/>
    <w:rsid w:val="002B3578"/>
    <w:rsid w:val="002C21D6"/>
    <w:rsid w:val="002C5C1E"/>
    <w:rsid w:val="002D773E"/>
    <w:rsid w:val="002F3361"/>
    <w:rsid w:val="00303049"/>
    <w:rsid w:val="003272C6"/>
    <w:rsid w:val="00332A12"/>
    <w:rsid w:val="00340FE4"/>
    <w:rsid w:val="00350866"/>
    <w:rsid w:val="00350F71"/>
    <w:rsid w:val="00351093"/>
    <w:rsid w:val="00352E95"/>
    <w:rsid w:val="00355574"/>
    <w:rsid w:val="00362302"/>
    <w:rsid w:val="00365E60"/>
    <w:rsid w:val="00367327"/>
    <w:rsid w:val="00371E2B"/>
    <w:rsid w:val="00373EFC"/>
    <w:rsid w:val="00377E7D"/>
    <w:rsid w:val="0038014B"/>
    <w:rsid w:val="00380B6E"/>
    <w:rsid w:val="00382717"/>
    <w:rsid w:val="00385D8E"/>
    <w:rsid w:val="00387625"/>
    <w:rsid w:val="003939F3"/>
    <w:rsid w:val="00394394"/>
    <w:rsid w:val="003B007D"/>
    <w:rsid w:val="003B3E5E"/>
    <w:rsid w:val="003B3ED0"/>
    <w:rsid w:val="003E33D6"/>
    <w:rsid w:val="003E4066"/>
    <w:rsid w:val="00401830"/>
    <w:rsid w:val="00402F7A"/>
    <w:rsid w:val="0041326C"/>
    <w:rsid w:val="00413EE1"/>
    <w:rsid w:val="00421AAB"/>
    <w:rsid w:val="0043749B"/>
    <w:rsid w:val="004401DF"/>
    <w:rsid w:val="00447320"/>
    <w:rsid w:val="00457039"/>
    <w:rsid w:val="004609C5"/>
    <w:rsid w:val="004739A8"/>
    <w:rsid w:val="004779F5"/>
    <w:rsid w:val="004977FA"/>
    <w:rsid w:val="004A1883"/>
    <w:rsid w:val="004B2CAA"/>
    <w:rsid w:val="004C17F6"/>
    <w:rsid w:val="004C4AED"/>
    <w:rsid w:val="004C542C"/>
    <w:rsid w:val="004E1659"/>
    <w:rsid w:val="00503C77"/>
    <w:rsid w:val="00524C99"/>
    <w:rsid w:val="00527E24"/>
    <w:rsid w:val="00542422"/>
    <w:rsid w:val="005541CE"/>
    <w:rsid w:val="00573BAD"/>
    <w:rsid w:val="00577D3F"/>
    <w:rsid w:val="0058195C"/>
    <w:rsid w:val="00592927"/>
    <w:rsid w:val="005A1088"/>
    <w:rsid w:val="005A69B4"/>
    <w:rsid w:val="005B44F9"/>
    <w:rsid w:val="005B4831"/>
    <w:rsid w:val="005B51D4"/>
    <w:rsid w:val="005C0ABD"/>
    <w:rsid w:val="005C4753"/>
    <w:rsid w:val="005E2021"/>
    <w:rsid w:val="005E75D3"/>
    <w:rsid w:val="005F4F96"/>
    <w:rsid w:val="00601AF2"/>
    <w:rsid w:val="00602705"/>
    <w:rsid w:val="00613FCE"/>
    <w:rsid w:val="00616B35"/>
    <w:rsid w:val="0063525F"/>
    <w:rsid w:val="006470F1"/>
    <w:rsid w:val="006629F4"/>
    <w:rsid w:val="006A2E81"/>
    <w:rsid w:val="006A4433"/>
    <w:rsid w:val="006F2D04"/>
    <w:rsid w:val="006F4337"/>
    <w:rsid w:val="00705646"/>
    <w:rsid w:val="0073183A"/>
    <w:rsid w:val="00736B71"/>
    <w:rsid w:val="0074275B"/>
    <w:rsid w:val="00751424"/>
    <w:rsid w:val="0075752B"/>
    <w:rsid w:val="00773FCA"/>
    <w:rsid w:val="00775573"/>
    <w:rsid w:val="00777D12"/>
    <w:rsid w:val="007831B0"/>
    <w:rsid w:val="00797394"/>
    <w:rsid w:val="007A7283"/>
    <w:rsid w:val="007B23AF"/>
    <w:rsid w:val="007E356F"/>
    <w:rsid w:val="00804D62"/>
    <w:rsid w:val="00806457"/>
    <w:rsid w:val="00824371"/>
    <w:rsid w:val="00827FAF"/>
    <w:rsid w:val="00840107"/>
    <w:rsid w:val="00846226"/>
    <w:rsid w:val="00846EDC"/>
    <w:rsid w:val="00863D3B"/>
    <w:rsid w:val="00872341"/>
    <w:rsid w:val="008772B7"/>
    <w:rsid w:val="0088333E"/>
    <w:rsid w:val="00892785"/>
    <w:rsid w:val="00894617"/>
    <w:rsid w:val="00896A95"/>
    <w:rsid w:val="00896DDB"/>
    <w:rsid w:val="008B143C"/>
    <w:rsid w:val="008D3DC6"/>
    <w:rsid w:val="008E011C"/>
    <w:rsid w:val="008F7F01"/>
    <w:rsid w:val="00900A80"/>
    <w:rsid w:val="0090353B"/>
    <w:rsid w:val="00905CAA"/>
    <w:rsid w:val="009214F7"/>
    <w:rsid w:val="00923A02"/>
    <w:rsid w:val="00923BC4"/>
    <w:rsid w:val="0092556A"/>
    <w:rsid w:val="009330F7"/>
    <w:rsid w:val="00942316"/>
    <w:rsid w:val="00953A5A"/>
    <w:rsid w:val="00991B94"/>
    <w:rsid w:val="00994512"/>
    <w:rsid w:val="00994522"/>
    <w:rsid w:val="009A36E4"/>
    <w:rsid w:val="009A7960"/>
    <w:rsid w:val="009B15B1"/>
    <w:rsid w:val="009B6D64"/>
    <w:rsid w:val="009C2274"/>
    <w:rsid w:val="009C343F"/>
    <w:rsid w:val="009C3CBA"/>
    <w:rsid w:val="009D25FD"/>
    <w:rsid w:val="009F5D0D"/>
    <w:rsid w:val="009F76AB"/>
    <w:rsid w:val="00A03C0E"/>
    <w:rsid w:val="00A03CA9"/>
    <w:rsid w:val="00A122C7"/>
    <w:rsid w:val="00A17247"/>
    <w:rsid w:val="00A21399"/>
    <w:rsid w:val="00A5333E"/>
    <w:rsid w:val="00A61EE0"/>
    <w:rsid w:val="00A65986"/>
    <w:rsid w:val="00A676CB"/>
    <w:rsid w:val="00A67D8A"/>
    <w:rsid w:val="00A70629"/>
    <w:rsid w:val="00A81EB7"/>
    <w:rsid w:val="00A862B9"/>
    <w:rsid w:val="00A96B96"/>
    <w:rsid w:val="00AA037A"/>
    <w:rsid w:val="00AA1346"/>
    <w:rsid w:val="00AA1A4C"/>
    <w:rsid w:val="00AA2CA2"/>
    <w:rsid w:val="00AA627F"/>
    <w:rsid w:val="00AB4E90"/>
    <w:rsid w:val="00AC49BF"/>
    <w:rsid w:val="00AC7032"/>
    <w:rsid w:val="00AE1BA0"/>
    <w:rsid w:val="00AE4D65"/>
    <w:rsid w:val="00AF23F6"/>
    <w:rsid w:val="00B023F1"/>
    <w:rsid w:val="00B27FBE"/>
    <w:rsid w:val="00B35BA0"/>
    <w:rsid w:val="00B428F3"/>
    <w:rsid w:val="00B45164"/>
    <w:rsid w:val="00B4636F"/>
    <w:rsid w:val="00B66917"/>
    <w:rsid w:val="00B707B1"/>
    <w:rsid w:val="00BA0C9A"/>
    <w:rsid w:val="00BB0493"/>
    <w:rsid w:val="00BD07EF"/>
    <w:rsid w:val="00BD3EF4"/>
    <w:rsid w:val="00BE0FE7"/>
    <w:rsid w:val="00BE4F5E"/>
    <w:rsid w:val="00BF50BC"/>
    <w:rsid w:val="00C201D5"/>
    <w:rsid w:val="00C21BDD"/>
    <w:rsid w:val="00C377E1"/>
    <w:rsid w:val="00C37DFB"/>
    <w:rsid w:val="00C40D5B"/>
    <w:rsid w:val="00C461E3"/>
    <w:rsid w:val="00C509C1"/>
    <w:rsid w:val="00C53E67"/>
    <w:rsid w:val="00C54764"/>
    <w:rsid w:val="00C61B98"/>
    <w:rsid w:val="00C72FA5"/>
    <w:rsid w:val="00C76B33"/>
    <w:rsid w:val="00C86381"/>
    <w:rsid w:val="00C93DD4"/>
    <w:rsid w:val="00C96C3F"/>
    <w:rsid w:val="00CA4A70"/>
    <w:rsid w:val="00CA6801"/>
    <w:rsid w:val="00CB734A"/>
    <w:rsid w:val="00CC381D"/>
    <w:rsid w:val="00CC4B0D"/>
    <w:rsid w:val="00CC67C6"/>
    <w:rsid w:val="00CD2D46"/>
    <w:rsid w:val="00CE78C2"/>
    <w:rsid w:val="00CF2B3B"/>
    <w:rsid w:val="00CF5E80"/>
    <w:rsid w:val="00D04B1E"/>
    <w:rsid w:val="00D25BA5"/>
    <w:rsid w:val="00D434C2"/>
    <w:rsid w:val="00D53456"/>
    <w:rsid w:val="00D76F4D"/>
    <w:rsid w:val="00D772D4"/>
    <w:rsid w:val="00D77EE2"/>
    <w:rsid w:val="00D91BD4"/>
    <w:rsid w:val="00D9587B"/>
    <w:rsid w:val="00DA5C47"/>
    <w:rsid w:val="00DB030C"/>
    <w:rsid w:val="00DB5D11"/>
    <w:rsid w:val="00DC3DA3"/>
    <w:rsid w:val="00DC3F85"/>
    <w:rsid w:val="00DD36F8"/>
    <w:rsid w:val="00DD3FFA"/>
    <w:rsid w:val="00DE514E"/>
    <w:rsid w:val="00E02BA0"/>
    <w:rsid w:val="00E11AEB"/>
    <w:rsid w:val="00E20363"/>
    <w:rsid w:val="00E24A8C"/>
    <w:rsid w:val="00E43C2F"/>
    <w:rsid w:val="00E5719C"/>
    <w:rsid w:val="00E60620"/>
    <w:rsid w:val="00E65268"/>
    <w:rsid w:val="00E66DF0"/>
    <w:rsid w:val="00E71813"/>
    <w:rsid w:val="00E810C4"/>
    <w:rsid w:val="00E81FAF"/>
    <w:rsid w:val="00EB331A"/>
    <w:rsid w:val="00EC08E8"/>
    <w:rsid w:val="00EC4844"/>
    <w:rsid w:val="00ED2376"/>
    <w:rsid w:val="00ED37C2"/>
    <w:rsid w:val="00ED7FA2"/>
    <w:rsid w:val="00EE15F1"/>
    <w:rsid w:val="00EF3EEA"/>
    <w:rsid w:val="00F14502"/>
    <w:rsid w:val="00F16979"/>
    <w:rsid w:val="00F22100"/>
    <w:rsid w:val="00F2378F"/>
    <w:rsid w:val="00F3612C"/>
    <w:rsid w:val="00F37CEE"/>
    <w:rsid w:val="00F561A6"/>
    <w:rsid w:val="00F63985"/>
    <w:rsid w:val="00F72FC3"/>
    <w:rsid w:val="00F8406B"/>
    <w:rsid w:val="00FA4349"/>
    <w:rsid w:val="00FF44D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C0C8DD"/>
  <w15:chartTrackingRefBased/>
  <w15:docId w15:val="{705D6F27-F3D8-4B7A-ADAB-5B3BFCE1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qFormat/>
    <w:rsid w:val="00394394"/>
    <w:pPr>
      <w:keepNext/>
      <w:numPr>
        <w:numId w:val="3"/>
      </w:numPr>
      <w:suppressAutoHyphens/>
      <w:spacing w:after="0" w:line="240" w:lineRule="auto"/>
      <w:outlineLvl w:val="0"/>
    </w:pPr>
    <w:rPr>
      <w:rFonts w:ascii="Times New Roman" w:eastAsia="Times New Roman" w:hAnsi="Times New Roman" w:cs="Times New Roman"/>
      <w:b/>
      <w:sz w:val="26"/>
      <w:szCs w:val="20"/>
    </w:rPr>
  </w:style>
  <w:style w:type="paragraph" w:styleId="Cmsor2">
    <w:name w:val="heading 2"/>
    <w:basedOn w:val="Norml"/>
    <w:next w:val="Norml"/>
    <w:link w:val="Cmsor2Char"/>
    <w:qFormat/>
    <w:rsid w:val="00394394"/>
    <w:pPr>
      <w:keepNext/>
      <w:numPr>
        <w:ilvl w:val="1"/>
        <w:numId w:val="3"/>
      </w:numPr>
      <w:suppressAutoHyphens/>
      <w:spacing w:after="0" w:line="240" w:lineRule="auto"/>
      <w:outlineLvl w:val="1"/>
    </w:pPr>
    <w:rPr>
      <w:rFonts w:ascii="Times New Roman" w:eastAsia="Times New Roman" w:hAnsi="Times New Roman" w:cs="Times New Roman"/>
      <w:b/>
      <w:sz w:val="26"/>
      <w:szCs w:val="20"/>
    </w:rPr>
  </w:style>
  <w:style w:type="paragraph" w:styleId="Cmsor4">
    <w:name w:val="heading 4"/>
    <w:basedOn w:val="Norml"/>
    <w:next w:val="Norml"/>
    <w:link w:val="Cmsor4Char"/>
    <w:qFormat/>
    <w:rsid w:val="00394394"/>
    <w:pPr>
      <w:keepNext/>
      <w:numPr>
        <w:ilvl w:val="3"/>
        <w:numId w:val="3"/>
      </w:numPr>
      <w:tabs>
        <w:tab w:val="left" w:pos="567"/>
      </w:tabs>
      <w:suppressAutoHyphens/>
      <w:spacing w:after="0" w:line="260" w:lineRule="exact"/>
      <w:jc w:val="both"/>
      <w:outlineLvl w:val="3"/>
    </w:pPr>
    <w:rPr>
      <w:rFonts w:ascii="Times New Roman" w:eastAsia="Times New Roman" w:hAnsi="Times New Roman" w:cs="Times New Roman"/>
      <w:b/>
      <w:szCs w:val="20"/>
    </w:rPr>
  </w:style>
  <w:style w:type="paragraph" w:styleId="Cmsor8">
    <w:name w:val="heading 8"/>
    <w:basedOn w:val="Norml"/>
    <w:next w:val="Norml"/>
    <w:link w:val="Cmsor8Char"/>
    <w:qFormat/>
    <w:rsid w:val="00394394"/>
    <w:pPr>
      <w:keepNext/>
      <w:numPr>
        <w:ilvl w:val="7"/>
        <w:numId w:val="3"/>
      </w:numPr>
      <w:tabs>
        <w:tab w:val="left" w:pos="0"/>
      </w:tabs>
      <w:suppressAutoHyphens/>
      <w:spacing w:after="0" w:line="260" w:lineRule="exact"/>
      <w:jc w:val="both"/>
      <w:outlineLvl w:val="7"/>
    </w:pPr>
    <w:rPr>
      <w:rFonts w:ascii="Times New Roman" w:eastAsia="Times New Roman" w:hAnsi="Times New Roman" w:cs="Times New Roman"/>
      <w:b/>
      <w:i/>
      <w:szCs w:val="20"/>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394394"/>
    <w:rPr>
      <w:rFonts w:ascii="Times New Roman" w:eastAsia="Times New Roman" w:hAnsi="Times New Roman" w:cs="Times New Roman"/>
      <w:b/>
      <w:sz w:val="26"/>
      <w:szCs w:val="20"/>
    </w:rPr>
  </w:style>
  <w:style w:type="character" w:customStyle="1" w:styleId="Cmsor2Char">
    <w:name w:val="Címsor 2 Char"/>
    <w:basedOn w:val="Bekezdsalapbettpusa"/>
    <w:link w:val="Cmsor2"/>
    <w:rsid w:val="00394394"/>
    <w:rPr>
      <w:rFonts w:ascii="Times New Roman" w:eastAsia="Times New Roman" w:hAnsi="Times New Roman" w:cs="Times New Roman"/>
      <w:b/>
      <w:sz w:val="26"/>
      <w:szCs w:val="20"/>
    </w:rPr>
  </w:style>
  <w:style w:type="character" w:customStyle="1" w:styleId="Cmsor4Char">
    <w:name w:val="Címsor 4 Char"/>
    <w:basedOn w:val="Bekezdsalapbettpusa"/>
    <w:link w:val="Cmsor4"/>
    <w:rsid w:val="00394394"/>
    <w:rPr>
      <w:rFonts w:ascii="Times New Roman" w:eastAsia="Times New Roman" w:hAnsi="Times New Roman" w:cs="Times New Roman"/>
      <w:b/>
      <w:szCs w:val="20"/>
      <w:lang w:val="hu-HU"/>
    </w:rPr>
  </w:style>
  <w:style w:type="character" w:customStyle="1" w:styleId="Cmsor8Char">
    <w:name w:val="Címsor 8 Char"/>
    <w:basedOn w:val="Bekezdsalapbettpusa"/>
    <w:link w:val="Cmsor8"/>
    <w:rsid w:val="00394394"/>
    <w:rPr>
      <w:rFonts w:ascii="Times New Roman" w:eastAsia="Times New Roman" w:hAnsi="Times New Roman" w:cs="Times New Roman"/>
      <w:b/>
      <w:i/>
      <w:szCs w:val="20"/>
      <w:lang w:val="en-GB"/>
    </w:rPr>
  </w:style>
  <w:style w:type="numbering" w:customStyle="1" w:styleId="Nemlista1">
    <w:name w:val="Nem lista1"/>
    <w:next w:val="Nemlista"/>
    <w:semiHidden/>
    <w:rsid w:val="00394394"/>
  </w:style>
  <w:style w:type="character" w:customStyle="1" w:styleId="WW8Num1z0">
    <w:name w:val="WW8Num1z0"/>
    <w:rsid w:val="00394394"/>
    <w:rPr>
      <w:rFonts w:ascii="Wingdings" w:hAnsi="Wingdings"/>
    </w:rPr>
  </w:style>
  <w:style w:type="character" w:customStyle="1" w:styleId="WW-Absatz-Standardschriftart">
    <w:name w:val="WW-Absatz-Standardschriftart"/>
    <w:rsid w:val="00394394"/>
  </w:style>
  <w:style w:type="character" w:customStyle="1" w:styleId="WW-WW8Num1z0">
    <w:name w:val="WW-WW8Num1z0"/>
    <w:rsid w:val="00394394"/>
    <w:rPr>
      <w:rFonts w:ascii="Wingdings" w:hAnsi="Wingdings"/>
    </w:rPr>
  </w:style>
  <w:style w:type="character" w:customStyle="1" w:styleId="WW-Absatz-Standardschriftart1">
    <w:name w:val="WW-Absatz-Standardschriftart1"/>
    <w:rsid w:val="00394394"/>
  </w:style>
  <w:style w:type="character" w:customStyle="1" w:styleId="WW-WW8Num1z01">
    <w:name w:val="WW-WW8Num1z01"/>
    <w:rsid w:val="00394394"/>
    <w:rPr>
      <w:rFonts w:ascii="Wingdings" w:hAnsi="Wingdings"/>
    </w:rPr>
  </w:style>
  <w:style w:type="character" w:customStyle="1" w:styleId="WW-Bekezdsalap-bettpusa">
    <w:name w:val="WW-Bekezdés alap-betűtípusa"/>
    <w:rsid w:val="00394394"/>
  </w:style>
  <w:style w:type="character" w:customStyle="1" w:styleId="WW-WW8Num1z011">
    <w:name w:val="WW-WW8Num1z011"/>
    <w:rsid w:val="00394394"/>
    <w:rPr>
      <w:rFonts w:ascii="Wingdings" w:hAnsi="Wingdings"/>
    </w:rPr>
  </w:style>
  <w:style w:type="character" w:customStyle="1" w:styleId="WW-Absatz-Standardschriftart11">
    <w:name w:val="WW-Absatz-Standardschriftart11"/>
    <w:rsid w:val="00394394"/>
  </w:style>
  <w:style w:type="character" w:customStyle="1" w:styleId="WW-WW8Num1z0111">
    <w:name w:val="WW-WW8Num1z0111"/>
    <w:rsid w:val="00394394"/>
    <w:rPr>
      <w:rFonts w:ascii="Wingdings" w:hAnsi="Wingdings"/>
    </w:rPr>
  </w:style>
  <w:style w:type="character" w:customStyle="1" w:styleId="WW-Absatz-Standardschriftart111">
    <w:name w:val="WW-Absatz-Standardschriftart111"/>
    <w:rsid w:val="00394394"/>
  </w:style>
  <w:style w:type="character" w:customStyle="1" w:styleId="WW-WW8Num1z01111">
    <w:name w:val="WW-WW8Num1z01111"/>
    <w:rsid w:val="00394394"/>
    <w:rPr>
      <w:rFonts w:ascii="Wingdings" w:hAnsi="Wingdings"/>
    </w:rPr>
  </w:style>
  <w:style w:type="character" w:customStyle="1" w:styleId="WW-Absatz-Standardschriftart1111">
    <w:name w:val="WW-Absatz-Standardschriftart1111"/>
    <w:rsid w:val="00394394"/>
  </w:style>
  <w:style w:type="character" w:customStyle="1" w:styleId="WW-WW8Num1z011111">
    <w:name w:val="WW-WW8Num1z011111"/>
    <w:rsid w:val="00394394"/>
    <w:rPr>
      <w:rFonts w:ascii="Wingdings" w:hAnsi="Wingdings"/>
    </w:rPr>
  </w:style>
  <w:style w:type="character" w:customStyle="1" w:styleId="WW-Absatz-Standardschriftart11111">
    <w:name w:val="WW-Absatz-Standardschriftart11111"/>
    <w:rsid w:val="00394394"/>
  </w:style>
  <w:style w:type="character" w:customStyle="1" w:styleId="WW-WW8Num1z0111111">
    <w:name w:val="WW-WW8Num1z0111111"/>
    <w:rsid w:val="00394394"/>
    <w:rPr>
      <w:rFonts w:ascii="Wingdings" w:hAnsi="Wingdings"/>
    </w:rPr>
  </w:style>
  <w:style w:type="character" w:customStyle="1" w:styleId="WW-Absatz-Standardschriftart111111">
    <w:name w:val="WW-Absatz-Standardschriftart111111"/>
    <w:rsid w:val="00394394"/>
  </w:style>
  <w:style w:type="character" w:customStyle="1" w:styleId="WW-WW8Num1z01111111">
    <w:name w:val="WW-WW8Num1z01111111"/>
    <w:rsid w:val="00394394"/>
    <w:rPr>
      <w:rFonts w:ascii="Wingdings" w:hAnsi="Wingdings"/>
    </w:rPr>
  </w:style>
  <w:style w:type="character" w:customStyle="1" w:styleId="WW-Absatz-Standardschriftart1111111">
    <w:name w:val="WW-Absatz-Standardschriftart1111111"/>
    <w:rsid w:val="00394394"/>
  </w:style>
  <w:style w:type="character" w:customStyle="1" w:styleId="WW8Num2z0">
    <w:name w:val="WW8Num2z0"/>
    <w:rsid w:val="00394394"/>
    <w:rPr>
      <w:rFonts w:ascii="Symbol" w:hAnsi="Symbol"/>
    </w:rPr>
  </w:style>
  <w:style w:type="character" w:customStyle="1" w:styleId="WW8Num3z0">
    <w:name w:val="WW8Num3z0"/>
    <w:rsid w:val="00394394"/>
    <w:rPr>
      <w:rFonts w:ascii="Symbol" w:hAnsi="Symbol"/>
    </w:rPr>
  </w:style>
  <w:style w:type="character" w:customStyle="1" w:styleId="WW8Num4z0">
    <w:name w:val="WW8Num4z0"/>
    <w:rsid w:val="00394394"/>
    <w:rPr>
      <w:rFonts w:ascii="Wingdings" w:hAnsi="Wingdings"/>
    </w:rPr>
  </w:style>
  <w:style w:type="character" w:customStyle="1" w:styleId="WW8Num5z0">
    <w:name w:val="WW8Num5z0"/>
    <w:rsid w:val="00394394"/>
    <w:rPr>
      <w:b/>
    </w:rPr>
  </w:style>
  <w:style w:type="character" w:customStyle="1" w:styleId="WW8Num8z0">
    <w:name w:val="WW8Num8z0"/>
    <w:rsid w:val="00394394"/>
    <w:rPr>
      <w:rFonts w:ascii="Symbol" w:hAnsi="Symbol"/>
    </w:rPr>
  </w:style>
  <w:style w:type="character" w:customStyle="1" w:styleId="WW-Bekezdsalap-bettpusa1">
    <w:name w:val="WW-Bekezdés alap-betűtípusa1"/>
    <w:rsid w:val="00394394"/>
  </w:style>
  <w:style w:type="character" w:styleId="Oldalszm">
    <w:name w:val="page number"/>
    <w:basedOn w:val="WW-Bekezdsalap-bettpusa1"/>
    <w:rsid w:val="00394394"/>
  </w:style>
  <w:style w:type="character" w:customStyle="1" w:styleId="Lbjegyzet-karakterek">
    <w:name w:val="Lábjegyzet-karakterek"/>
    <w:rsid w:val="00394394"/>
    <w:rPr>
      <w:vertAlign w:val="superscript"/>
    </w:rPr>
  </w:style>
  <w:style w:type="character" w:customStyle="1" w:styleId="WW-Lbjegyzet-karakterek">
    <w:name w:val="WW-Lábjegyzet-karakterek"/>
    <w:rsid w:val="00394394"/>
    <w:rPr>
      <w:vertAlign w:val="superscript"/>
    </w:rPr>
  </w:style>
  <w:style w:type="character" w:customStyle="1" w:styleId="WW-Lbjegyzet-karakterek1">
    <w:name w:val="WW-Lábjegyzet-karakterek1"/>
    <w:rsid w:val="00394394"/>
    <w:rPr>
      <w:vertAlign w:val="superscript"/>
    </w:rPr>
  </w:style>
  <w:style w:type="character" w:customStyle="1" w:styleId="WW-Lbjegyzet-karakterek11">
    <w:name w:val="WW-Lábjegyzet-karakterek11"/>
    <w:rsid w:val="00394394"/>
    <w:rPr>
      <w:vertAlign w:val="superscript"/>
    </w:rPr>
  </w:style>
  <w:style w:type="character" w:customStyle="1" w:styleId="WW-Lbjegyzet-karakterek111">
    <w:name w:val="WW-Lábjegyzet-karakterek111"/>
    <w:rsid w:val="00394394"/>
    <w:rPr>
      <w:vertAlign w:val="superscript"/>
    </w:rPr>
  </w:style>
  <w:style w:type="character" w:customStyle="1" w:styleId="WW-Lbjegyzet-karakterek1111">
    <w:name w:val="WW-Lábjegyzet-karakterek1111"/>
    <w:rsid w:val="00394394"/>
    <w:rPr>
      <w:vertAlign w:val="superscript"/>
    </w:rPr>
  </w:style>
  <w:style w:type="character" w:customStyle="1" w:styleId="WW-Lbjegyzet-karakterek11111">
    <w:name w:val="WW-Lábjegyzet-karakterek11111"/>
    <w:rsid w:val="00394394"/>
    <w:rPr>
      <w:vertAlign w:val="superscript"/>
    </w:rPr>
  </w:style>
  <w:style w:type="character" w:customStyle="1" w:styleId="WW-Lbjegyzet-karakterek111111">
    <w:name w:val="WW-Lábjegyzet-karakterek111111"/>
    <w:rsid w:val="00394394"/>
    <w:rPr>
      <w:vertAlign w:val="superscript"/>
    </w:rPr>
  </w:style>
  <w:style w:type="character" w:customStyle="1" w:styleId="WW-Lbjegyzet-karakterek1111111">
    <w:name w:val="WW-Lábjegyzet-karakterek1111111"/>
    <w:rsid w:val="00394394"/>
    <w:rPr>
      <w:vertAlign w:val="superscript"/>
    </w:rPr>
  </w:style>
  <w:style w:type="character" w:customStyle="1" w:styleId="WW-Lbjegyzet-karakterek11111111">
    <w:name w:val="WW-Lábjegyzet-karakterek11111111"/>
    <w:rsid w:val="00394394"/>
    <w:rPr>
      <w:vertAlign w:val="superscript"/>
    </w:rPr>
  </w:style>
  <w:style w:type="character" w:customStyle="1" w:styleId="Vgjegyzet-karakterek">
    <w:name w:val="Végjegyzet-karakterek"/>
    <w:rsid w:val="00394394"/>
    <w:rPr>
      <w:vertAlign w:val="superscript"/>
    </w:rPr>
  </w:style>
  <w:style w:type="character" w:customStyle="1" w:styleId="WW-Vgjegyzet-karakterek">
    <w:name w:val="WW-Végjegyzet-karakterek"/>
    <w:rsid w:val="00394394"/>
    <w:rPr>
      <w:vertAlign w:val="superscript"/>
    </w:rPr>
  </w:style>
  <w:style w:type="character" w:customStyle="1" w:styleId="WW-Vgjegyzet-karakterek1">
    <w:name w:val="WW-Végjegyzet-karakterek1"/>
    <w:rsid w:val="00394394"/>
    <w:rPr>
      <w:vertAlign w:val="superscript"/>
    </w:rPr>
  </w:style>
  <w:style w:type="character" w:customStyle="1" w:styleId="WW-Vgjegyzet-karakterek11">
    <w:name w:val="WW-Végjegyzet-karakterek11"/>
    <w:rsid w:val="00394394"/>
    <w:rPr>
      <w:vertAlign w:val="superscript"/>
    </w:rPr>
  </w:style>
  <w:style w:type="character" w:customStyle="1" w:styleId="WW-Vgjegyzet-karakterek111">
    <w:name w:val="WW-Végjegyzet-karakterek111"/>
    <w:rsid w:val="00394394"/>
    <w:rPr>
      <w:vertAlign w:val="superscript"/>
    </w:rPr>
  </w:style>
  <w:style w:type="character" w:customStyle="1" w:styleId="WW-Vgjegyzet-karakterek1111">
    <w:name w:val="WW-Végjegyzet-karakterek1111"/>
    <w:rsid w:val="00394394"/>
    <w:rPr>
      <w:vertAlign w:val="superscript"/>
    </w:rPr>
  </w:style>
  <w:style w:type="character" w:customStyle="1" w:styleId="WW-Vgjegyzet-karakterek11111">
    <w:name w:val="WW-Végjegyzet-karakterek11111"/>
    <w:rsid w:val="00394394"/>
    <w:rPr>
      <w:vertAlign w:val="superscript"/>
    </w:rPr>
  </w:style>
  <w:style w:type="character" w:customStyle="1" w:styleId="WW-Vgjegyzet-karakterek111111">
    <w:name w:val="WW-Végjegyzet-karakterek111111"/>
    <w:rsid w:val="00394394"/>
    <w:rPr>
      <w:vertAlign w:val="superscript"/>
    </w:rPr>
  </w:style>
  <w:style w:type="character" w:customStyle="1" w:styleId="WW-Vgjegyzet-karakterek1111111">
    <w:name w:val="WW-Végjegyzet-karakterek1111111"/>
    <w:rsid w:val="00394394"/>
    <w:rPr>
      <w:vertAlign w:val="superscript"/>
    </w:rPr>
  </w:style>
  <w:style w:type="character" w:customStyle="1" w:styleId="WW-Vgjegyzet-karakterek11111111">
    <w:name w:val="WW-Végjegyzet-karakterek11111111"/>
    <w:rsid w:val="00394394"/>
  </w:style>
  <w:style w:type="character" w:styleId="Lbjegyzet-hivatkozs">
    <w:name w:val="footnote reference"/>
    <w:semiHidden/>
    <w:rsid w:val="00394394"/>
    <w:rPr>
      <w:vertAlign w:val="superscript"/>
    </w:rPr>
  </w:style>
  <w:style w:type="character" w:styleId="Vgjegyzet-hivatkozs">
    <w:name w:val="endnote reference"/>
    <w:semiHidden/>
    <w:rsid w:val="00394394"/>
    <w:rPr>
      <w:vertAlign w:val="superscript"/>
    </w:rPr>
  </w:style>
  <w:style w:type="paragraph" w:styleId="Szvegtrzs">
    <w:name w:val="Body Text"/>
    <w:basedOn w:val="Norml"/>
    <w:link w:val="SzvegtrzsChar"/>
    <w:rsid w:val="00394394"/>
    <w:pPr>
      <w:tabs>
        <w:tab w:val="left" w:pos="567"/>
      </w:tabs>
      <w:suppressAutoHyphens/>
      <w:spacing w:after="0" w:line="260" w:lineRule="exact"/>
    </w:pPr>
    <w:rPr>
      <w:rFonts w:ascii="Times New Roman" w:eastAsia="Times New Roman" w:hAnsi="Times New Roman" w:cs="Times New Roman"/>
      <w:b/>
      <w:i/>
      <w:szCs w:val="20"/>
      <w:lang w:val="en-GB"/>
    </w:rPr>
  </w:style>
  <w:style w:type="character" w:customStyle="1" w:styleId="SzvegtrzsChar">
    <w:name w:val="Szövegtörzs Char"/>
    <w:basedOn w:val="Bekezdsalapbettpusa"/>
    <w:link w:val="Szvegtrzs"/>
    <w:rsid w:val="00394394"/>
    <w:rPr>
      <w:rFonts w:ascii="Times New Roman" w:eastAsia="Times New Roman" w:hAnsi="Times New Roman" w:cs="Times New Roman"/>
      <w:b/>
      <w:i/>
      <w:szCs w:val="20"/>
      <w:lang w:val="en-GB"/>
    </w:rPr>
  </w:style>
  <w:style w:type="paragraph" w:styleId="Lista">
    <w:name w:val="List"/>
    <w:basedOn w:val="Szvegtrzs"/>
    <w:rsid w:val="00394394"/>
    <w:rPr>
      <w:rFonts w:cs="Tahoma"/>
    </w:rPr>
  </w:style>
  <w:style w:type="paragraph" w:customStyle="1" w:styleId="Felirat">
    <w:name w:val="Felirat"/>
    <w:basedOn w:val="Norml"/>
    <w:rsid w:val="00394394"/>
    <w:pPr>
      <w:suppressLineNumbers/>
      <w:suppressAutoHyphens/>
      <w:spacing w:before="120" w:after="120" w:line="240" w:lineRule="auto"/>
    </w:pPr>
    <w:rPr>
      <w:rFonts w:ascii="Times New Roman" w:eastAsia="Times New Roman" w:hAnsi="Times New Roman" w:cs="Tahoma"/>
      <w:i/>
      <w:iCs/>
      <w:sz w:val="20"/>
      <w:szCs w:val="20"/>
    </w:rPr>
  </w:style>
  <w:style w:type="paragraph" w:customStyle="1" w:styleId="Trgymutat">
    <w:name w:val="Tárgymutató"/>
    <w:basedOn w:val="Norml"/>
    <w:rsid w:val="00394394"/>
    <w:pPr>
      <w:suppressLineNumbers/>
      <w:suppressAutoHyphens/>
      <w:spacing w:after="0" w:line="240" w:lineRule="auto"/>
    </w:pPr>
    <w:rPr>
      <w:rFonts w:ascii="Times New Roman" w:eastAsia="Times New Roman" w:hAnsi="Times New Roman" w:cs="Tahoma"/>
      <w:sz w:val="20"/>
      <w:szCs w:val="20"/>
    </w:rPr>
  </w:style>
  <w:style w:type="paragraph" w:customStyle="1" w:styleId="Cmsor">
    <w:name w:val="Címsor"/>
    <w:basedOn w:val="Norml"/>
    <w:next w:val="Szvegtrzs"/>
    <w:rsid w:val="00394394"/>
    <w:pPr>
      <w:keepNext/>
      <w:suppressAutoHyphens/>
      <w:spacing w:before="240" w:after="120" w:line="240" w:lineRule="auto"/>
    </w:pPr>
    <w:rPr>
      <w:rFonts w:ascii="Arial" w:eastAsia="MS Mincho" w:hAnsi="Arial" w:cs="Tahoma"/>
      <w:sz w:val="28"/>
      <w:szCs w:val="28"/>
    </w:rPr>
  </w:style>
  <w:style w:type="paragraph" w:customStyle="1" w:styleId="WW-Felirat">
    <w:name w:val="WW-Felirat"/>
    <w:basedOn w:val="Norml"/>
    <w:rsid w:val="00394394"/>
    <w:pPr>
      <w:suppressLineNumbers/>
      <w:suppressAutoHyphens/>
      <w:spacing w:before="120" w:after="120" w:line="240" w:lineRule="auto"/>
    </w:pPr>
    <w:rPr>
      <w:rFonts w:ascii="Times New Roman" w:eastAsia="Times New Roman" w:hAnsi="Times New Roman" w:cs="Tahoma"/>
      <w:i/>
      <w:iCs/>
      <w:sz w:val="20"/>
      <w:szCs w:val="20"/>
    </w:rPr>
  </w:style>
  <w:style w:type="paragraph" w:customStyle="1" w:styleId="WW-Trgymutat">
    <w:name w:val="WW-Tárgymutató"/>
    <w:basedOn w:val="Norml"/>
    <w:rsid w:val="00394394"/>
    <w:pPr>
      <w:suppressLineNumbers/>
      <w:suppressAutoHyphens/>
      <w:spacing w:after="0" w:line="240" w:lineRule="auto"/>
    </w:pPr>
    <w:rPr>
      <w:rFonts w:ascii="Times New Roman" w:eastAsia="Times New Roman" w:hAnsi="Times New Roman" w:cs="Tahoma"/>
      <w:sz w:val="20"/>
      <w:szCs w:val="20"/>
    </w:rPr>
  </w:style>
  <w:style w:type="paragraph" w:customStyle="1" w:styleId="WW-Cmsor">
    <w:name w:val="WW-Címsor"/>
    <w:basedOn w:val="Norml"/>
    <w:next w:val="Szvegtrzs"/>
    <w:rsid w:val="00394394"/>
    <w:pPr>
      <w:keepNext/>
      <w:suppressAutoHyphens/>
      <w:spacing w:before="240" w:after="120" w:line="240" w:lineRule="auto"/>
    </w:pPr>
    <w:rPr>
      <w:rFonts w:ascii="Arial" w:eastAsia="Lucida Sans Unicode" w:hAnsi="Arial" w:cs="Tahoma"/>
      <w:sz w:val="28"/>
      <w:szCs w:val="28"/>
    </w:rPr>
  </w:style>
  <w:style w:type="paragraph" w:customStyle="1" w:styleId="WW-Felirat1">
    <w:name w:val="WW-Felirat1"/>
    <w:basedOn w:val="Norml"/>
    <w:rsid w:val="00394394"/>
    <w:pPr>
      <w:suppressLineNumbers/>
      <w:suppressAutoHyphens/>
      <w:spacing w:before="120" w:after="120" w:line="240" w:lineRule="auto"/>
    </w:pPr>
    <w:rPr>
      <w:rFonts w:ascii="Times New Roman" w:eastAsia="Times New Roman" w:hAnsi="Times New Roman" w:cs="Tahoma"/>
      <w:i/>
      <w:iCs/>
      <w:sz w:val="20"/>
      <w:szCs w:val="20"/>
    </w:rPr>
  </w:style>
  <w:style w:type="paragraph" w:customStyle="1" w:styleId="WW-Trgymutat1">
    <w:name w:val="WW-Tárgymutató1"/>
    <w:basedOn w:val="Norml"/>
    <w:rsid w:val="00394394"/>
    <w:pPr>
      <w:suppressLineNumbers/>
      <w:suppressAutoHyphens/>
      <w:spacing w:after="0" w:line="240" w:lineRule="auto"/>
    </w:pPr>
    <w:rPr>
      <w:rFonts w:ascii="Times New Roman" w:eastAsia="Times New Roman" w:hAnsi="Times New Roman" w:cs="Tahoma"/>
      <w:sz w:val="20"/>
      <w:szCs w:val="20"/>
    </w:rPr>
  </w:style>
  <w:style w:type="paragraph" w:customStyle="1" w:styleId="WW-Cmsor1">
    <w:name w:val="WW-Címsor1"/>
    <w:basedOn w:val="Norml"/>
    <w:next w:val="Szvegtrzs"/>
    <w:rsid w:val="00394394"/>
    <w:pPr>
      <w:keepNext/>
      <w:suppressAutoHyphens/>
      <w:spacing w:before="240" w:after="120" w:line="240" w:lineRule="auto"/>
    </w:pPr>
    <w:rPr>
      <w:rFonts w:ascii="Arial" w:eastAsia="MS Mincho" w:hAnsi="Arial" w:cs="Tahoma"/>
      <w:sz w:val="28"/>
      <w:szCs w:val="28"/>
    </w:rPr>
  </w:style>
  <w:style w:type="paragraph" w:customStyle="1" w:styleId="WW-Felirat11">
    <w:name w:val="WW-Felirat11"/>
    <w:basedOn w:val="Norml"/>
    <w:rsid w:val="00394394"/>
    <w:pPr>
      <w:suppressLineNumbers/>
      <w:suppressAutoHyphens/>
      <w:spacing w:before="120" w:after="120" w:line="240" w:lineRule="auto"/>
    </w:pPr>
    <w:rPr>
      <w:rFonts w:ascii="Times New Roman" w:eastAsia="Times New Roman" w:hAnsi="Times New Roman" w:cs="Tahoma"/>
      <w:i/>
      <w:iCs/>
      <w:sz w:val="20"/>
      <w:szCs w:val="20"/>
    </w:rPr>
  </w:style>
  <w:style w:type="paragraph" w:customStyle="1" w:styleId="WW-Trgymutat11">
    <w:name w:val="WW-Tárgymutató11"/>
    <w:basedOn w:val="Norml"/>
    <w:rsid w:val="00394394"/>
    <w:pPr>
      <w:suppressLineNumbers/>
      <w:suppressAutoHyphens/>
      <w:spacing w:after="0" w:line="240" w:lineRule="auto"/>
    </w:pPr>
    <w:rPr>
      <w:rFonts w:ascii="Times New Roman" w:eastAsia="Times New Roman" w:hAnsi="Times New Roman" w:cs="Tahoma"/>
      <w:sz w:val="20"/>
      <w:szCs w:val="20"/>
    </w:rPr>
  </w:style>
  <w:style w:type="paragraph" w:customStyle="1" w:styleId="WW-Cmsor11">
    <w:name w:val="WW-Címsor11"/>
    <w:basedOn w:val="Norml"/>
    <w:next w:val="Szvegtrzs"/>
    <w:rsid w:val="00394394"/>
    <w:pPr>
      <w:keepNext/>
      <w:suppressAutoHyphens/>
      <w:spacing w:before="240" w:after="120" w:line="240" w:lineRule="auto"/>
    </w:pPr>
    <w:rPr>
      <w:rFonts w:ascii="Arial" w:eastAsia="Lucida Sans Unicode" w:hAnsi="Arial" w:cs="Tahoma"/>
      <w:sz w:val="28"/>
      <w:szCs w:val="28"/>
    </w:rPr>
  </w:style>
  <w:style w:type="paragraph" w:styleId="lfej">
    <w:name w:val="header"/>
    <w:basedOn w:val="Norml"/>
    <w:link w:val="lfejChar"/>
    <w:uiPriority w:val="99"/>
    <w:rsid w:val="00394394"/>
    <w:pPr>
      <w:tabs>
        <w:tab w:val="center" w:pos="4819"/>
        <w:tab w:val="right" w:pos="9071"/>
      </w:tabs>
      <w:suppressAutoHyphens/>
      <w:spacing w:after="0" w:line="240" w:lineRule="auto"/>
    </w:pPr>
    <w:rPr>
      <w:rFonts w:ascii="Times New Roman" w:eastAsia="Times New Roman" w:hAnsi="Times New Roman" w:cs="Times New Roman"/>
      <w:sz w:val="20"/>
      <w:szCs w:val="20"/>
    </w:rPr>
  </w:style>
  <w:style w:type="character" w:customStyle="1" w:styleId="lfejChar">
    <w:name w:val="Élőfej Char"/>
    <w:basedOn w:val="Bekezdsalapbettpusa"/>
    <w:link w:val="lfej"/>
    <w:uiPriority w:val="99"/>
    <w:rsid w:val="00394394"/>
    <w:rPr>
      <w:rFonts w:ascii="Times New Roman" w:eastAsia="Times New Roman" w:hAnsi="Times New Roman" w:cs="Times New Roman"/>
      <w:sz w:val="20"/>
      <w:szCs w:val="20"/>
    </w:rPr>
  </w:style>
  <w:style w:type="paragraph" w:styleId="llb">
    <w:name w:val="footer"/>
    <w:basedOn w:val="Norml"/>
    <w:link w:val="llbChar"/>
    <w:rsid w:val="00394394"/>
    <w:pPr>
      <w:tabs>
        <w:tab w:val="center" w:pos="4536"/>
        <w:tab w:val="right" w:pos="9072"/>
      </w:tabs>
      <w:suppressAutoHyphens/>
      <w:spacing w:after="0" w:line="240" w:lineRule="auto"/>
    </w:pPr>
    <w:rPr>
      <w:rFonts w:ascii="Times New Roman" w:eastAsia="Times New Roman" w:hAnsi="Times New Roman" w:cs="Times New Roman"/>
      <w:sz w:val="20"/>
      <w:szCs w:val="20"/>
    </w:rPr>
  </w:style>
  <w:style w:type="character" w:customStyle="1" w:styleId="llbChar">
    <w:name w:val="Élőláb Char"/>
    <w:basedOn w:val="Bekezdsalapbettpusa"/>
    <w:link w:val="llb"/>
    <w:rsid w:val="00394394"/>
    <w:rPr>
      <w:rFonts w:ascii="Times New Roman" w:eastAsia="Times New Roman" w:hAnsi="Times New Roman" w:cs="Times New Roman"/>
      <w:sz w:val="20"/>
      <w:szCs w:val="20"/>
    </w:rPr>
  </w:style>
  <w:style w:type="paragraph" w:styleId="Vgjegyzetszvege">
    <w:name w:val="endnote text"/>
    <w:basedOn w:val="Norml"/>
    <w:link w:val="VgjegyzetszvegeChar"/>
    <w:semiHidden/>
    <w:rsid w:val="00394394"/>
    <w:pPr>
      <w:tabs>
        <w:tab w:val="left" w:pos="567"/>
      </w:tabs>
      <w:suppressAutoHyphens/>
      <w:spacing w:after="0" w:line="240" w:lineRule="auto"/>
    </w:pPr>
    <w:rPr>
      <w:rFonts w:ascii="Times New Roman" w:eastAsia="Times New Roman" w:hAnsi="Times New Roman" w:cs="Times New Roman"/>
      <w:szCs w:val="20"/>
      <w:lang w:val="en-GB"/>
    </w:rPr>
  </w:style>
  <w:style w:type="character" w:customStyle="1" w:styleId="VgjegyzetszvegeChar">
    <w:name w:val="Végjegyzet szövege Char"/>
    <w:basedOn w:val="Bekezdsalapbettpusa"/>
    <w:link w:val="Vgjegyzetszvege"/>
    <w:semiHidden/>
    <w:rsid w:val="00394394"/>
    <w:rPr>
      <w:rFonts w:ascii="Times New Roman" w:eastAsia="Times New Roman" w:hAnsi="Times New Roman" w:cs="Times New Roman"/>
      <w:szCs w:val="20"/>
      <w:lang w:val="en-GB"/>
    </w:rPr>
  </w:style>
  <w:style w:type="paragraph" w:customStyle="1" w:styleId="CTRText">
    <w:name w:val="CTR:Text"/>
    <w:basedOn w:val="Norml"/>
    <w:rsid w:val="00394394"/>
    <w:pPr>
      <w:widowControl w:val="0"/>
      <w:suppressAutoHyphens/>
      <w:spacing w:after="240" w:line="360" w:lineRule="auto"/>
    </w:pPr>
    <w:rPr>
      <w:rFonts w:ascii="Arial" w:eastAsia="Times New Roman" w:hAnsi="Arial" w:cs="Times New Roman"/>
      <w:szCs w:val="20"/>
      <w:lang w:val="en-US"/>
    </w:rPr>
  </w:style>
  <w:style w:type="paragraph" w:customStyle="1" w:styleId="WW-Szvegtrzs2">
    <w:name w:val="WW-Szövegtörzs 2"/>
    <w:basedOn w:val="Norml"/>
    <w:rsid w:val="00394394"/>
    <w:pPr>
      <w:suppressAutoHyphens/>
      <w:spacing w:after="0" w:line="240" w:lineRule="auto"/>
    </w:pPr>
    <w:rPr>
      <w:rFonts w:ascii="Times New Roman" w:eastAsia="Times New Roman" w:hAnsi="Times New Roman" w:cs="Times New Roman"/>
      <w:sz w:val="26"/>
      <w:szCs w:val="20"/>
    </w:rPr>
  </w:style>
  <w:style w:type="paragraph" w:styleId="Lbjegyzetszveg">
    <w:name w:val="footnote text"/>
    <w:basedOn w:val="Norml"/>
    <w:link w:val="LbjegyzetszvegChar"/>
    <w:semiHidden/>
    <w:rsid w:val="00394394"/>
    <w:pPr>
      <w:tabs>
        <w:tab w:val="left" w:pos="567"/>
      </w:tabs>
      <w:suppressAutoHyphens/>
      <w:spacing w:after="0" w:line="260" w:lineRule="exact"/>
    </w:pPr>
    <w:rPr>
      <w:rFonts w:ascii="Times New Roman" w:eastAsia="Times New Roman" w:hAnsi="Times New Roman" w:cs="Times New Roman"/>
      <w:sz w:val="20"/>
      <w:szCs w:val="20"/>
      <w:lang w:val="en-GB"/>
    </w:rPr>
  </w:style>
  <w:style w:type="character" w:customStyle="1" w:styleId="LbjegyzetszvegChar">
    <w:name w:val="Lábjegyzetszöveg Char"/>
    <w:basedOn w:val="Bekezdsalapbettpusa"/>
    <w:link w:val="Lbjegyzetszveg"/>
    <w:semiHidden/>
    <w:rsid w:val="00394394"/>
    <w:rPr>
      <w:rFonts w:ascii="Times New Roman" w:eastAsia="Times New Roman" w:hAnsi="Times New Roman" w:cs="Times New Roman"/>
      <w:sz w:val="20"/>
      <w:szCs w:val="20"/>
      <w:lang w:val="en-GB"/>
    </w:rPr>
  </w:style>
  <w:style w:type="paragraph" w:customStyle="1" w:styleId="Tblzattartalom">
    <w:name w:val="Táblázattartalom"/>
    <w:basedOn w:val="Szvegtrzs"/>
    <w:rsid w:val="00394394"/>
    <w:pPr>
      <w:suppressLineNumbers/>
    </w:pPr>
  </w:style>
  <w:style w:type="paragraph" w:customStyle="1" w:styleId="WW-Tblzattartalom">
    <w:name w:val="WW-Táblázattartalom"/>
    <w:basedOn w:val="Szvegtrzs"/>
    <w:rsid w:val="00394394"/>
    <w:pPr>
      <w:suppressLineNumbers/>
    </w:pPr>
  </w:style>
  <w:style w:type="paragraph" w:customStyle="1" w:styleId="WW-Tblzattartalom1">
    <w:name w:val="WW-Táblázattartalom1"/>
    <w:basedOn w:val="Szvegtrzs"/>
    <w:rsid w:val="00394394"/>
    <w:pPr>
      <w:suppressLineNumbers/>
    </w:pPr>
  </w:style>
  <w:style w:type="paragraph" w:customStyle="1" w:styleId="WW-Tblzattartalom11">
    <w:name w:val="WW-Táblázattartalom11"/>
    <w:basedOn w:val="Szvegtrzs"/>
    <w:rsid w:val="00394394"/>
    <w:pPr>
      <w:suppressLineNumbers/>
    </w:pPr>
  </w:style>
  <w:style w:type="paragraph" w:customStyle="1" w:styleId="Tblzatfejlc">
    <w:name w:val="Táblázatfejléc"/>
    <w:basedOn w:val="Tblzattartalom"/>
    <w:rsid w:val="00394394"/>
    <w:pPr>
      <w:jc w:val="center"/>
    </w:pPr>
    <w:rPr>
      <w:bCs/>
      <w:iCs/>
    </w:rPr>
  </w:style>
  <w:style w:type="paragraph" w:customStyle="1" w:styleId="WW-Tblzatfejlc">
    <w:name w:val="WW-Táblázatfejléc"/>
    <w:basedOn w:val="WW-Tblzattartalom"/>
    <w:rsid w:val="00394394"/>
    <w:pPr>
      <w:jc w:val="center"/>
    </w:pPr>
    <w:rPr>
      <w:bCs/>
      <w:iCs/>
    </w:rPr>
  </w:style>
  <w:style w:type="paragraph" w:customStyle="1" w:styleId="WW-Tblzatfejlc1">
    <w:name w:val="WW-Táblázatfejléc1"/>
    <w:basedOn w:val="WW-Tblzattartalom1"/>
    <w:rsid w:val="00394394"/>
    <w:pPr>
      <w:jc w:val="center"/>
    </w:pPr>
    <w:rPr>
      <w:bCs/>
      <w:iCs/>
    </w:rPr>
  </w:style>
  <w:style w:type="paragraph" w:customStyle="1" w:styleId="WW-Tblzatfejlc11">
    <w:name w:val="WW-Táblázatfejléc11"/>
    <w:basedOn w:val="WW-Tblzattartalom11"/>
    <w:rsid w:val="00394394"/>
    <w:pPr>
      <w:jc w:val="center"/>
    </w:pPr>
    <w:rPr>
      <w:bCs/>
      <w:iCs/>
    </w:rPr>
  </w:style>
  <w:style w:type="paragraph" w:customStyle="1" w:styleId="Kerettartalom">
    <w:name w:val="Kerettartalom"/>
    <w:basedOn w:val="Szvegtrzs"/>
    <w:rsid w:val="00394394"/>
  </w:style>
  <w:style w:type="paragraph" w:customStyle="1" w:styleId="WW-Kerettartalom">
    <w:name w:val="WW-Kerettartalom"/>
    <w:basedOn w:val="Szvegtrzs"/>
    <w:rsid w:val="00394394"/>
  </w:style>
  <w:style w:type="paragraph" w:customStyle="1" w:styleId="WW-Kerettartalom1">
    <w:name w:val="WW-Kerettartalom1"/>
    <w:basedOn w:val="Szvegtrzs"/>
    <w:rsid w:val="00394394"/>
  </w:style>
  <w:style w:type="paragraph" w:customStyle="1" w:styleId="WW-Kerettartalom11">
    <w:name w:val="WW-Kerettartalom11"/>
    <w:basedOn w:val="Szvegtrzs"/>
    <w:rsid w:val="00394394"/>
  </w:style>
  <w:style w:type="paragraph" w:customStyle="1" w:styleId="WW-Buborkszveg">
    <w:name w:val="WW-Buborékszöveg"/>
    <w:basedOn w:val="Norml"/>
    <w:rsid w:val="00394394"/>
    <w:pPr>
      <w:suppressAutoHyphens/>
      <w:spacing w:after="0" w:line="240" w:lineRule="auto"/>
    </w:pPr>
    <w:rPr>
      <w:rFonts w:ascii="Tahoma" w:eastAsia="Times New Roman" w:hAnsi="Tahoma" w:cs="Tahoma"/>
      <w:sz w:val="16"/>
      <w:szCs w:val="16"/>
    </w:rPr>
  </w:style>
  <w:style w:type="paragraph" w:customStyle="1" w:styleId="Normal1">
    <w:name w:val="Normal1"/>
    <w:basedOn w:val="Norml"/>
    <w:rsid w:val="00394394"/>
    <w:pPr>
      <w:suppressAutoHyphens/>
      <w:spacing w:after="0" w:line="240" w:lineRule="auto"/>
    </w:pPr>
    <w:rPr>
      <w:rFonts w:ascii="Times New Roman" w:eastAsia="Times New Roman" w:hAnsi="Times New Roman" w:cs="Times New Roman"/>
      <w:sz w:val="20"/>
      <w:szCs w:val="20"/>
    </w:rPr>
  </w:style>
  <w:style w:type="paragraph" w:styleId="Buborkszveg">
    <w:name w:val="Balloon Text"/>
    <w:basedOn w:val="Norml"/>
    <w:link w:val="BuborkszvegChar"/>
    <w:semiHidden/>
    <w:rsid w:val="00394394"/>
    <w:pPr>
      <w:suppressAutoHyphens/>
      <w:spacing w:after="0" w:line="240" w:lineRule="auto"/>
    </w:pPr>
    <w:rPr>
      <w:rFonts w:ascii="Tahoma" w:eastAsia="Times New Roman" w:hAnsi="Tahoma" w:cs="Tahoma"/>
      <w:sz w:val="16"/>
      <w:szCs w:val="16"/>
    </w:rPr>
  </w:style>
  <w:style w:type="character" w:customStyle="1" w:styleId="BuborkszvegChar">
    <w:name w:val="Buborékszöveg Char"/>
    <w:basedOn w:val="Bekezdsalapbettpusa"/>
    <w:link w:val="Buborkszveg"/>
    <w:semiHidden/>
    <w:rsid w:val="00394394"/>
    <w:rPr>
      <w:rFonts w:ascii="Tahoma" w:eastAsia="Times New Roman" w:hAnsi="Tahoma" w:cs="Tahoma"/>
      <w:sz w:val="16"/>
      <w:szCs w:val="16"/>
    </w:rPr>
  </w:style>
  <w:style w:type="character" w:styleId="Jegyzethivatkozs">
    <w:name w:val="annotation reference"/>
    <w:uiPriority w:val="99"/>
    <w:semiHidden/>
    <w:rsid w:val="00394394"/>
    <w:rPr>
      <w:sz w:val="16"/>
      <w:szCs w:val="16"/>
    </w:rPr>
  </w:style>
  <w:style w:type="paragraph" w:styleId="Jegyzetszveg">
    <w:name w:val="annotation text"/>
    <w:basedOn w:val="Norml"/>
    <w:link w:val="JegyzetszvegChar"/>
    <w:uiPriority w:val="99"/>
    <w:rsid w:val="00394394"/>
    <w:pPr>
      <w:suppressAutoHyphens/>
      <w:spacing w:after="0" w:line="240" w:lineRule="auto"/>
    </w:pPr>
    <w:rPr>
      <w:rFonts w:ascii="Times New Roman" w:eastAsia="Times New Roman" w:hAnsi="Times New Roman" w:cs="Times New Roman"/>
      <w:sz w:val="20"/>
      <w:szCs w:val="20"/>
    </w:rPr>
  </w:style>
  <w:style w:type="character" w:customStyle="1" w:styleId="JegyzetszvegChar">
    <w:name w:val="Jegyzetszöveg Char"/>
    <w:basedOn w:val="Bekezdsalapbettpusa"/>
    <w:link w:val="Jegyzetszveg"/>
    <w:uiPriority w:val="99"/>
    <w:rsid w:val="00394394"/>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semiHidden/>
    <w:rsid w:val="00394394"/>
    <w:rPr>
      <w:b/>
      <w:bCs/>
    </w:rPr>
  </w:style>
  <w:style w:type="character" w:customStyle="1" w:styleId="MegjegyzstrgyaChar">
    <w:name w:val="Megjegyzés tárgya Char"/>
    <w:basedOn w:val="JegyzetszvegChar"/>
    <w:link w:val="Megjegyzstrgya"/>
    <w:semiHidden/>
    <w:rsid w:val="00394394"/>
    <w:rPr>
      <w:rFonts w:ascii="Times New Roman" w:eastAsia="Times New Roman" w:hAnsi="Times New Roman" w:cs="Times New Roman"/>
      <w:b/>
      <w:bCs/>
      <w:sz w:val="20"/>
      <w:szCs w:val="20"/>
    </w:rPr>
  </w:style>
  <w:style w:type="paragraph" w:styleId="Vltozat">
    <w:name w:val="Revision"/>
    <w:hidden/>
    <w:uiPriority w:val="99"/>
    <w:semiHidden/>
    <w:rsid w:val="00394394"/>
    <w:pPr>
      <w:spacing w:after="0" w:line="240" w:lineRule="auto"/>
    </w:pPr>
    <w:rPr>
      <w:rFonts w:ascii="Times New Roman" w:eastAsia="Times New Roman" w:hAnsi="Times New Roman" w:cs="Times New Roman"/>
      <w:sz w:val="20"/>
      <w:szCs w:val="20"/>
    </w:rPr>
  </w:style>
  <w:style w:type="paragraph" w:customStyle="1" w:styleId="EMEAEnBodyText">
    <w:name w:val="EMEA En Body Text"/>
    <w:basedOn w:val="Norml"/>
    <w:rsid w:val="00394394"/>
    <w:pPr>
      <w:spacing w:before="120" w:after="120" w:line="240" w:lineRule="auto"/>
      <w:jc w:val="both"/>
    </w:pPr>
    <w:rPr>
      <w:rFonts w:ascii="Times New Roman" w:eastAsia="Times New Roman" w:hAnsi="Times New Roman" w:cs="Times New Roman"/>
      <w:szCs w:val="20"/>
      <w:lang w:val="en-US"/>
    </w:rPr>
  </w:style>
  <w:style w:type="table" w:styleId="Rcsostblzat">
    <w:name w:val="Table Grid"/>
    <w:basedOn w:val="Normltblzat"/>
    <w:rsid w:val="00394394"/>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rsid w:val="00394394"/>
    <w:rPr>
      <w:rFonts w:cs="Times New Roman"/>
      <w:color w:val="0000FF"/>
      <w:u w:val="single"/>
    </w:rPr>
  </w:style>
  <w:style w:type="character" w:styleId="Kiemels2">
    <w:name w:val="Strong"/>
    <w:uiPriority w:val="22"/>
    <w:qFormat/>
    <w:rsid w:val="00394394"/>
    <w:rPr>
      <w:b/>
      <w:bCs/>
    </w:rPr>
  </w:style>
  <w:style w:type="paragraph" w:styleId="HTML-kntformzott">
    <w:name w:val="HTML Preformatted"/>
    <w:basedOn w:val="Norml"/>
    <w:link w:val="HTML-kntformzottChar"/>
    <w:uiPriority w:val="99"/>
    <w:unhideWhenUsed/>
    <w:rsid w:val="00394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394394"/>
    <w:rPr>
      <w:rFonts w:ascii="Courier New" w:eastAsia="Times New Roman" w:hAnsi="Courier New" w:cs="Courier New"/>
      <w:sz w:val="20"/>
      <w:szCs w:val="20"/>
      <w:lang w:eastAsia="hu-HU"/>
    </w:rPr>
  </w:style>
  <w:style w:type="character" w:customStyle="1" w:styleId="y2iqfc">
    <w:name w:val="y2iqfc"/>
    <w:basedOn w:val="Bekezdsalapbettpusa"/>
    <w:rsid w:val="00394394"/>
  </w:style>
  <w:style w:type="paragraph" w:styleId="Nincstrkz">
    <w:name w:val="No Spacing"/>
    <w:uiPriority w:val="1"/>
    <w:qFormat/>
    <w:rsid w:val="002D773E"/>
    <w:pPr>
      <w:spacing w:after="0" w:line="240" w:lineRule="auto"/>
      <w:ind w:left="10" w:hanging="10"/>
    </w:pPr>
    <w:rPr>
      <w:rFonts w:ascii="Times New Roman" w:eastAsia="Times New Roman" w:hAnsi="Times New Roman" w:cs="Times New Roman"/>
      <w:color w:val="000000"/>
      <w:lang w:val="en-US"/>
    </w:rPr>
  </w:style>
  <w:style w:type="paragraph" w:styleId="Listaszerbekezds">
    <w:name w:val="List Paragraph"/>
    <w:basedOn w:val="Norml"/>
    <w:uiPriority w:val="1"/>
    <w:qFormat/>
    <w:rsid w:val="004C4AED"/>
    <w:pPr>
      <w:ind w:left="720"/>
      <w:contextualSpacing/>
    </w:pPr>
  </w:style>
  <w:style w:type="paragraph" w:customStyle="1" w:styleId="TableParagraph">
    <w:name w:val="Table Paragraph"/>
    <w:basedOn w:val="Norml"/>
    <w:uiPriority w:val="1"/>
    <w:qFormat/>
    <w:rsid w:val="00350866"/>
    <w:pPr>
      <w:widowControl w:val="0"/>
      <w:autoSpaceDE w:val="0"/>
      <w:autoSpaceDN w:val="0"/>
      <w:spacing w:after="0" w:line="240" w:lineRule="auto"/>
      <w:ind w:left="103"/>
    </w:pPr>
    <w:rPr>
      <w:rFonts w:ascii="Times New Roman" w:eastAsia="Times New Roman" w:hAnsi="Times New Roman" w:cs="Times New Roman"/>
      <w:lang w:val="en-US"/>
    </w:rPr>
  </w:style>
  <w:style w:type="character" w:styleId="Feloldatlanmegemlts">
    <w:name w:val="Unresolved Mention"/>
    <w:basedOn w:val="Bekezdsalapbettpusa"/>
    <w:uiPriority w:val="99"/>
    <w:semiHidden/>
    <w:unhideWhenUsed/>
    <w:rsid w:val="00D77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33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lceks@kalcek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TotalTime>
  <Pages>18</Pages>
  <Words>6365</Words>
  <Characters>43922</Characters>
  <Application>Microsoft Office Word</Application>
  <DocSecurity>0</DocSecurity>
  <Lines>366</Lines>
  <Paragraphs>100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Vanda Varosi</dc:creator>
  <cp:keywords/>
  <dc:description/>
  <cp:lastModifiedBy>HU_OGYI_62.1</cp:lastModifiedBy>
  <cp:revision>36</cp:revision>
  <dcterms:created xsi:type="dcterms:W3CDTF">2025-11-28T09:18:00Z</dcterms:created>
  <dcterms:modified xsi:type="dcterms:W3CDTF">2026-01-27T10:16:00Z</dcterms:modified>
</cp:coreProperties>
</file>