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FC77D" w14:textId="77777777" w:rsidR="005E099E" w:rsidRPr="00C23108" w:rsidRDefault="005E099E" w:rsidP="005E099E">
      <w:pPr>
        <w:pStyle w:val="Buborkszveg"/>
        <w:rPr>
          <w:b/>
        </w:rPr>
      </w:pPr>
      <w:r w:rsidRPr="00C23108">
        <w:rPr>
          <w:b/>
        </w:rPr>
        <w:t>1.</w:t>
      </w:r>
      <w:r w:rsidRPr="00C23108">
        <w:rPr>
          <w:b/>
        </w:rPr>
        <w:tab/>
        <w:t>A GYÓGYSZER NEVE</w:t>
      </w:r>
    </w:p>
    <w:p w14:paraId="6314C7BF" w14:textId="77777777" w:rsidR="005E099E" w:rsidRPr="00472267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bCs/>
          <w:sz w:val="22"/>
          <w:szCs w:val="22"/>
        </w:rPr>
      </w:pPr>
    </w:p>
    <w:p w14:paraId="2F3FD336" w14:textId="50544FF8" w:rsidR="005E099E" w:rsidRPr="00065090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Cs/>
          <w:sz w:val="22"/>
          <w:szCs w:val="22"/>
        </w:rPr>
      </w:pPr>
      <w:r w:rsidRPr="00065090">
        <w:rPr>
          <w:bCs/>
          <w:sz w:val="22"/>
          <w:szCs w:val="22"/>
        </w:rPr>
        <w:t xml:space="preserve">Feiba NF </w:t>
      </w:r>
      <w:r w:rsidR="003B3931">
        <w:rPr>
          <w:bCs/>
          <w:sz w:val="22"/>
          <w:szCs w:val="22"/>
        </w:rPr>
        <w:t>10</w:t>
      </w:r>
      <w:r w:rsidRPr="00065090">
        <w:rPr>
          <w:bCs/>
          <w:sz w:val="22"/>
          <w:szCs w:val="22"/>
        </w:rPr>
        <w:t>0 Egység/ml por és oldószer oldatos injekcióhoz</w:t>
      </w:r>
    </w:p>
    <w:p w14:paraId="330D2A8C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0F46A75E" w14:textId="77777777" w:rsidR="005E099E" w:rsidRPr="00C066DF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1B26094A" w14:textId="77777777" w:rsidR="005E099E" w:rsidRPr="00C066DF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Cs/>
          <w:sz w:val="22"/>
          <w:szCs w:val="22"/>
          <w:lang w:val="hu-HU"/>
        </w:rPr>
      </w:pPr>
      <w:r w:rsidRPr="00C066DF">
        <w:rPr>
          <w:bCs/>
          <w:sz w:val="22"/>
          <w:szCs w:val="22"/>
          <w:lang w:val="hu-HU"/>
        </w:rPr>
        <w:t>2.</w:t>
      </w:r>
      <w:r w:rsidRPr="00C066DF">
        <w:rPr>
          <w:bCs/>
          <w:sz w:val="22"/>
          <w:szCs w:val="22"/>
          <w:lang w:val="hu-HU"/>
        </w:rPr>
        <w:tab/>
        <w:t>MINŐSÉGI ÉS MENNYISÉGI ÖSSZETÉTEL</w:t>
      </w:r>
    </w:p>
    <w:p w14:paraId="1D3F19DA" w14:textId="77777777" w:rsidR="005E099E" w:rsidRPr="00E86B67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bCs/>
          <w:sz w:val="22"/>
          <w:szCs w:val="22"/>
          <w:u w:val="single"/>
          <w:lang w:val="hu-HU"/>
        </w:rPr>
      </w:pPr>
    </w:p>
    <w:p w14:paraId="18CF7BFE" w14:textId="77777777" w:rsidR="005E099E" w:rsidRPr="00E86B67" w:rsidRDefault="005E099E" w:rsidP="005E099E">
      <w:pPr>
        <w:pStyle w:val="01"/>
        <w:tabs>
          <w:tab w:val="left" w:pos="17"/>
          <w:tab w:val="left" w:pos="567"/>
        </w:tabs>
        <w:spacing w:before="0" w:after="0" w:line="240" w:lineRule="auto"/>
        <w:ind w:left="17" w:firstLine="0"/>
        <w:rPr>
          <w:b w:val="0"/>
          <w:bCs/>
          <w:sz w:val="22"/>
          <w:szCs w:val="22"/>
          <w:lang w:val="hu-HU"/>
        </w:rPr>
      </w:pPr>
      <w:r w:rsidRPr="00E86B67">
        <w:rPr>
          <w:b w:val="0"/>
          <w:bCs/>
          <w:sz w:val="22"/>
          <w:szCs w:val="22"/>
          <w:u w:val="single"/>
          <w:lang w:val="hu-HU"/>
        </w:rPr>
        <w:t>Összetétel</w:t>
      </w:r>
      <w:r w:rsidRPr="00E86B67">
        <w:rPr>
          <w:b w:val="0"/>
          <w:bCs/>
          <w:sz w:val="22"/>
          <w:szCs w:val="22"/>
          <w:lang w:val="hu-HU"/>
        </w:rPr>
        <w:t>:</w:t>
      </w:r>
    </w:p>
    <w:p w14:paraId="6AD470CC" w14:textId="4D8CACF8" w:rsidR="005E099E" w:rsidRDefault="005E099E" w:rsidP="005E099E">
      <w:pPr>
        <w:pStyle w:val="01"/>
        <w:tabs>
          <w:tab w:val="left" w:pos="567"/>
          <w:tab w:val="left" w:pos="3828"/>
        </w:tabs>
        <w:spacing w:before="0" w:after="0" w:line="240" w:lineRule="auto"/>
        <w:ind w:firstLine="0"/>
        <w:rPr>
          <w:b w:val="0"/>
          <w:sz w:val="22"/>
          <w:szCs w:val="22"/>
          <w:lang w:val="hu-HU"/>
        </w:rPr>
      </w:pPr>
      <w:r w:rsidRPr="00E86B67">
        <w:rPr>
          <w:b w:val="0"/>
          <w:sz w:val="22"/>
          <w:szCs w:val="22"/>
          <w:lang w:val="hu-HU"/>
        </w:rPr>
        <w:t xml:space="preserve">1 ml </w:t>
      </w:r>
      <w:r>
        <w:rPr>
          <w:b w:val="0"/>
          <w:sz w:val="22"/>
          <w:szCs w:val="22"/>
          <w:lang w:val="hu-HU"/>
        </w:rPr>
        <w:t xml:space="preserve">készítmény </w:t>
      </w:r>
      <w:r w:rsidR="003B3931">
        <w:rPr>
          <w:b w:val="0"/>
          <w:sz w:val="22"/>
          <w:szCs w:val="22"/>
          <w:lang w:val="hu-HU"/>
        </w:rPr>
        <w:t>10</w:t>
      </w:r>
      <w:r>
        <w:rPr>
          <w:b w:val="0"/>
          <w:sz w:val="22"/>
          <w:szCs w:val="22"/>
          <w:lang w:val="hu-HU"/>
        </w:rPr>
        <w:t xml:space="preserve">0 Egység </w:t>
      </w:r>
      <w:r w:rsidRPr="00E86B67">
        <w:rPr>
          <w:b w:val="0"/>
          <w:sz w:val="22"/>
          <w:szCs w:val="22"/>
          <w:lang w:val="hu-HU"/>
        </w:rPr>
        <w:t>VIII. koagulációs faktor</w:t>
      </w:r>
      <w:r w:rsidRPr="00E86B67">
        <w:rPr>
          <w:b w:val="0"/>
          <w:sz w:val="22"/>
          <w:szCs w:val="22"/>
          <w:lang w:val="hu-HU"/>
        </w:rPr>
        <w:noBreakHyphen/>
        <w:t>ellenanyagot megkerülő aktivitású faktorkomplexet tartalmaz</w:t>
      </w:r>
      <w:r>
        <w:rPr>
          <w:b w:val="0"/>
          <w:sz w:val="22"/>
          <w:szCs w:val="22"/>
          <w:lang w:val="hu-HU"/>
        </w:rPr>
        <w:t>.</w:t>
      </w:r>
    </w:p>
    <w:p w14:paraId="72F844C8" w14:textId="77777777" w:rsidR="005E099E" w:rsidRDefault="005E099E" w:rsidP="005E099E">
      <w:pPr>
        <w:pStyle w:val="01"/>
        <w:tabs>
          <w:tab w:val="left" w:pos="567"/>
          <w:tab w:val="left" w:pos="3828"/>
        </w:tabs>
        <w:spacing w:before="0" w:after="0" w:line="240" w:lineRule="auto"/>
        <w:ind w:firstLine="0"/>
        <w:rPr>
          <w:b w:val="0"/>
          <w:sz w:val="22"/>
          <w:szCs w:val="22"/>
          <w:lang w:val="hu-HU"/>
        </w:rPr>
      </w:pPr>
    </w:p>
    <w:p w14:paraId="3973A478" w14:textId="791A9E11" w:rsidR="005E099E" w:rsidRDefault="005E099E" w:rsidP="005E099E">
      <w:pPr>
        <w:pStyle w:val="01"/>
        <w:tabs>
          <w:tab w:val="left" w:pos="567"/>
          <w:tab w:val="left" w:pos="3828"/>
        </w:tabs>
        <w:spacing w:before="0" w:after="0" w:line="240" w:lineRule="auto"/>
        <w:ind w:firstLine="0"/>
        <w:rPr>
          <w:b w:val="0"/>
          <w:sz w:val="22"/>
          <w:szCs w:val="22"/>
          <w:lang w:val="hu-HU"/>
        </w:rPr>
      </w:pPr>
      <w:r>
        <w:rPr>
          <w:b w:val="0"/>
          <w:sz w:val="22"/>
          <w:szCs w:val="22"/>
          <w:lang w:val="hu-HU"/>
        </w:rPr>
        <w:t xml:space="preserve">A Feiba NF </w:t>
      </w:r>
      <w:r w:rsidR="003B3931">
        <w:rPr>
          <w:b w:val="0"/>
          <w:sz w:val="22"/>
          <w:szCs w:val="22"/>
          <w:lang w:val="hu-HU"/>
        </w:rPr>
        <w:t>10</w:t>
      </w:r>
      <w:r>
        <w:rPr>
          <w:b w:val="0"/>
          <w:sz w:val="22"/>
          <w:szCs w:val="22"/>
          <w:lang w:val="hu-HU"/>
        </w:rPr>
        <w:t xml:space="preserve">0 Egység/ml </w:t>
      </w:r>
      <w:r w:rsidRPr="006C7666">
        <w:rPr>
          <w:b w:val="0"/>
          <w:sz w:val="22"/>
          <w:szCs w:val="22"/>
          <w:u w:val="single"/>
          <w:lang w:val="hu-HU"/>
        </w:rPr>
        <w:t>kétféle kiszerelésben</w:t>
      </w:r>
      <w:r>
        <w:rPr>
          <w:b w:val="0"/>
          <w:sz w:val="22"/>
          <w:szCs w:val="22"/>
          <w:lang w:val="hu-HU"/>
        </w:rPr>
        <w:t xml:space="preserve"> érhető el:</w:t>
      </w:r>
    </w:p>
    <w:p w14:paraId="24795428" w14:textId="599FECD1" w:rsidR="005E099E" w:rsidRDefault="005E099E" w:rsidP="005E099E">
      <w:pPr>
        <w:pStyle w:val="01"/>
        <w:tabs>
          <w:tab w:val="left" w:pos="567"/>
          <w:tab w:val="left" w:pos="3828"/>
        </w:tabs>
        <w:spacing w:before="0" w:after="0" w:line="240" w:lineRule="auto"/>
        <w:ind w:firstLine="0"/>
        <w:rPr>
          <w:b w:val="0"/>
          <w:sz w:val="22"/>
          <w:szCs w:val="22"/>
          <w:lang w:val="hu-HU"/>
        </w:rPr>
      </w:pPr>
      <w:r w:rsidRPr="00E86B67">
        <w:rPr>
          <w:b w:val="0"/>
          <w:sz w:val="22"/>
          <w:szCs w:val="22"/>
          <w:lang w:val="hu-HU"/>
        </w:rPr>
        <w:t>Az 500 Egység*-es kiszerelés 500 Egység VIII. koagulációs faktor</w:t>
      </w:r>
      <w:r w:rsidRPr="00E86B67">
        <w:rPr>
          <w:b w:val="0"/>
          <w:sz w:val="22"/>
          <w:szCs w:val="22"/>
          <w:lang w:val="hu-HU"/>
        </w:rPr>
        <w:noBreakHyphen/>
        <w:t>ellenanyagot megkerülő aktivitású faktorkomplexet tartalmaz (200</w:t>
      </w:r>
      <w:r w:rsidRPr="00E86B67">
        <w:rPr>
          <w:b w:val="0"/>
          <w:sz w:val="22"/>
          <w:szCs w:val="22"/>
          <w:lang w:val="hu-HU"/>
        </w:rPr>
        <w:noBreakHyphen/>
        <w:t>600 mg humán plazmafehérjében)</w:t>
      </w:r>
      <w:r>
        <w:rPr>
          <w:b w:val="0"/>
          <w:sz w:val="22"/>
          <w:szCs w:val="22"/>
          <w:lang w:val="hu-HU"/>
        </w:rPr>
        <w:t xml:space="preserve"> injekciós üvegenként (</w:t>
      </w:r>
      <w:r w:rsidR="003B3931">
        <w:rPr>
          <w:b w:val="0"/>
          <w:sz w:val="22"/>
          <w:szCs w:val="22"/>
          <w:lang w:val="hu-HU"/>
        </w:rPr>
        <w:t>5 </w:t>
      </w:r>
      <w:r>
        <w:rPr>
          <w:b w:val="0"/>
          <w:sz w:val="22"/>
          <w:szCs w:val="22"/>
          <w:lang w:val="hu-HU"/>
        </w:rPr>
        <w:t>ml)</w:t>
      </w:r>
      <w:r w:rsidRPr="00E86B67">
        <w:rPr>
          <w:b w:val="0"/>
          <w:sz w:val="22"/>
          <w:szCs w:val="22"/>
          <w:lang w:val="hu-HU"/>
        </w:rPr>
        <w:t>.</w:t>
      </w:r>
    </w:p>
    <w:p w14:paraId="5D9E3DB9" w14:textId="0DDCAAF0" w:rsidR="005E099E" w:rsidRPr="00E86B67" w:rsidRDefault="005E099E" w:rsidP="005E099E">
      <w:pPr>
        <w:pStyle w:val="01"/>
        <w:tabs>
          <w:tab w:val="left" w:pos="567"/>
          <w:tab w:val="left" w:pos="3828"/>
        </w:tabs>
        <w:spacing w:before="0" w:after="0" w:line="240" w:lineRule="auto"/>
        <w:ind w:firstLine="0"/>
        <w:rPr>
          <w:b w:val="0"/>
          <w:bCs/>
          <w:sz w:val="22"/>
          <w:szCs w:val="22"/>
          <w:lang w:val="hu-HU"/>
        </w:rPr>
      </w:pPr>
      <w:r w:rsidRPr="00E86B67">
        <w:rPr>
          <w:b w:val="0"/>
          <w:sz w:val="22"/>
          <w:szCs w:val="22"/>
          <w:lang w:val="hu-HU"/>
        </w:rPr>
        <w:t xml:space="preserve">Az </w:t>
      </w:r>
      <w:r w:rsidRPr="00E86B67">
        <w:rPr>
          <w:b w:val="0"/>
          <w:bCs/>
          <w:sz w:val="22"/>
          <w:szCs w:val="22"/>
          <w:lang w:val="hu-HU"/>
        </w:rPr>
        <w:t>1000 Egység</w:t>
      </w:r>
      <w:r w:rsidRPr="00E86B67">
        <w:rPr>
          <w:b w:val="0"/>
          <w:sz w:val="22"/>
          <w:szCs w:val="22"/>
          <w:lang w:val="hu-HU"/>
        </w:rPr>
        <w:t>*</w:t>
      </w:r>
      <w:r w:rsidRPr="006408A4">
        <w:rPr>
          <w:sz w:val="22"/>
          <w:szCs w:val="22"/>
        </w:rPr>
        <w:noBreakHyphen/>
      </w:r>
      <w:r w:rsidRPr="00E86B67">
        <w:rPr>
          <w:b w:val="0"/>
          <w:sz w:val="22"/>
          <w:szCs w:val="22"/>
          <w:lang w:val="hu-HU"/>
        </w:rPr>
        <w:t>es kiszerelés 1000 Egység</w:t>
      </w:r>
      <w:r w:rsidRPr="00E86B67">
        <w:rPr>
          <w:b w:val="0"/>
          <w:bCs/>
          <w:sz w:val="22"/>
          <w:szCs w:val="22"/>
          <w:lang w:val="hu-HU"/>
        </w:rPr>
        <w:t xml:space="preserve"> </w:t>
      </w:r>
      <w:r w:rsidRPr="00E86B67">
        <w:rPr>
          <w:b w:val="0"/>
          <w:sz w:val="22"/>
          <w:szCs w:val="22"/>
          <w:lang w:val="hu-HU"/>
        </w:rPr>
        <w:t>VIII. koagulációs faktor</w:t>
      </w:r>
      <w:r w:rsidRPr="00E86B67">
        <w:rPr>
          <w:b w:val="0"/>
          <w:sz w:val="22"/>
          <w:szCs w:val="22"/>
          <w:lang w:val="hu-HU"/>
        </w:rPr>
        <w:noBreakHyphen/>
        <w:t>ellenanyagot megkerülő aktivitású faktorkomplexet tartalmaz (</w:t>
      </w:r>
      <w:r w:rsidRPr="00E86B67">
        <w:rPr>
          <w:b w:val="0"/>
          <w:bCs/>
          <w:sz w:val="22"/>
          <w:szCs w:val="22"/>
          <w:lang w:val="hu-HU"/>
        </w:rPr>
        <w:t>400</w:t>
      </w:r>
      <w:r w:rsidRPr="00E86B67">
        <w:rPr>
          <w:b w:val="0"/>
          <w:bCs/>
          <w:sz w:val="22"/>
          <w:szCs w:val="22"/>
          <w:lang w:val="hu-HU"/>
        </w:rPr>
        <w:noBreakHyphen/>
        <w:t>1200 mg humán plazmafehérjében)</w:t>
      </w:r>
      <w:r>
        <w:rPr>
          <w:b w:val="0"/>
          <w:sz w:val="22"/>
          <w:szCs w:val="22"/>
          <w:lang w:val="hu-HU"/>
        </w:rPr>
        <w:t xml:space="preserve"> injekciós üvegenként (</w:t>
      </w:r>
      <w:r w:rsidR="003B3931">
        <w:rPr>
          <w:b w:val="0"/>
          <w:sz w:val="22"/>
          <w:szCs w:val="22"/>
          <w:lang w:val="hu-HU"/>
        </w:rPr>
        <w:t>1</w:t>
      </w:r>
      <w:r>
        <w:rPr>
          <w:b w:val="0"/>
          <w:sz w:val="22"/>
          <w:szCs w:val="22"/>
          <w:lang w:val="hu-HU"/>
        </w:rPr>
        <w:t>0</w:t>
      </w:r>
      <w:r w:rsidR="003B3931">
        <w:rPr>
          <w:b w:val="0"/>
          <w:sz w:val="22"/>
          <w:szCs w:val="22"/>
          <w:lang w:val="hu-HU"/>
        </w:rPr>
        <w:t> </w:t>
      </w:r>
      <w:r>
        <w:rPr>
          <w:b w:val="0"/>
          <w:sz w:val="22"/>
          <w:szCs w:val="22"/>
          <w:lang w:val="hu-HU"/>
        </w:rPr>
        <w:t>ml)</w:t>
      </w:r>
      <w:r w:rsidRPr="00E86B67">
        <w:rPr>
          <w:b w:val="0"/>
          <w:bCs/>
          <w:sz w:val="22"/>
          <w:szCs w:val="22"/>
          <w:lang w:val="hu-HU"/>
        </w:rPr>
        <w:t>.</w:t>
      </w:r>
    </w:p>
    <w:p w14:paraId="1AB2CF15" w14:textId="77777777" w:rsidR="005E099E" w:rsidRPr="00E86B67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</w:p>
    <w:p w14:paraId="58BF092E" w14:textId="77777777" w:rsidR="005E099E" w:rsidRPr="00E86B67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  <w:r w:rsidRPr="00E86B67">
        <w:rPr>
          <w:szCs w:val="22"/>
        </w:rPr>
        <w:t>A Feiba NF por (javarészt aktiválatlan) II., IX. és X. alvadási faktort, továbbá aktivált VII. faktort tartalmaz; a VIII. faktor</w:t>
      </w:r>
      <w:r>
        <w:rPr>
          <w:szCs w:val="22"/>
          <w:lang w:val="hu-HU"/>
        </w:rPr>
        <w:t>-</w:t>
      </w:r>
      <w:r w:rsidRPr="00E86B67">
        <w:rPr>
          <w:szCs w:val="22"/>
        </w:rPr>
        <w:t>koaguláns antigén (F VIII C:Ag) koncentrációja legfeljebb 0,1 E/1 E Feiba NF. A kallikrein-kinin rendszer összetevői csupán nyomokban vagy egyáltalán nem fordulnak elő a készítményben.</w:t>
      </w:r>
    </w:p>
    <w:p w14:paraId="33D01E86" w14:textId="77777777" w:rsidR="005E099E" w:rsidRPr="00E86B67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</w:p>
    <w:p w14:paraId="522FDB56" w14:textId="77777777" w:rsidR="005E099E" w:rsidRPr="00E86B67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  <w:r w:rsidRPr="00E86B67">
        <w:rPr>
          <w:szCs w:val="22"/>
        </w:rPr>
        <w:t>*Az 1 FEIBA (</w:t>
      </w:r>
      <w:r w:rsidRPr="00E86B67">
        <w:rPr>
          <w:b/>
          <w:szCs w:val="22"/>
        </w:rPr>
        <w:t>F</w:t>
      </w:r>
      <w:r w:rsidRPr="00E86B67">
        <w:rPr>
          <w:szCs w:val="22"/>
        </w:rPr>
        <w:t xml:space="preserve">actor </w:t>
      </w:r>
      <w:r w:rsidRPr="00E86B67">
        <w:rPr>
          <w:b/>
          <w:szCs w:val="22"/>
        </w:rPr>
        <w:t>E</w:t>
      </w:r>
      <w:r w:rsidRPr="00E86B67">
        <w:rPr>
          <w:szCs w:val="22"/>
        </w:rPr>
        <w:t xml:space="preserve">ight </w:t>
      </w:r>
      <w:r w:rsidRPr="00E86B67">
        <w:rPr>
          <w:b/>
          <w:szCs w:val="22"/>
        </w:rPr>
        <w:t>I</w:t>
      </w:r>
      <w:r w:rsidRPr="00E86B67">
        <w:rPr>
          <w:szCs w:val="22"/>
        </w:rPr>
        <w:t xml:space="preserve">nhibitor </w:t>
      </w:r>
      <w:r w:rsidRPr="00E86B67">
        <w:rPr>
          <w:b/>
          <w:szCs w:val="22"/>
        </w:rPr>
        <w:t>B</w:t>
      </w:r>
      <w:r w:rsidRPr="00E86B67">
        <w:rPr>
          <w:szCs w:val="22"/>
        </w:rPr>
        <w:t xml:space="preserve">ypassing </w:t>
      </w:r>
      <w:r w:rsidRPr="00E86B67">
        <w:rPr>
          <w:b/>
          <w:szCs w:val="22"/>
        </w:rPr>
        <w:t>A</w:t>
      </w:r>
      <w:r w:rsidRPr="00E86B67">
        <w:rPr>
          <w:szCs w:val="22"/>
        </w:rPr>
        <w:t>ctivity) Egység aktivitású oldat a pufferértékhez (kontroll) képest 50%-kal csökkenti a VIII. faktor</w:t>
      </w:r>
      <w:r w:rsidRPr="00E86B67">
        <w:rPr>
          <w:szCs w:val="22"/>
        </w:rPr>
        <w:noBreakHyphen/>
        <w:t>inhibitor</w:t>
      </w:r>
      <w:r>
        <w:rPr>
          <w:szCs w:val="22"/>
          <w:lang w:val="hu-HU"/>
        </w:rPr>
        <w:t>-</w:t>
      </w:r>
      <w:r w:rsidRPr="00E86B67">
        <w:rPr>
          <w:szCs w:val="22"/>
        </w:rPr>
        <w:t>tartalmú vérplazma aktivált parciális tromboplasztinidejét (aPTI).</w:t>
      </w:r>
      <w:r w:rsidRPr="00E86B67" w:rsidDel="00EC1E2D">
        <w:rPr>
          <w:szCs w:val="22"/>
        </w:rPr>
        <w:t xml:space="preserve"> </w:t>
      </w:r>
    </w:p>
    <w:p w14:paraId="10FE5839" w14:textId="77777777" w:rsidR="005E099E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</w:p>
    <w:p w14:paraId="0E616DB9" w14:textId="120E5122" w:rsidR="003C6B16" w:rsidRDefault="003C6B16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  <w:r>
        <w:rPr>
          <w:szCs w:val="22"/>
        </w:rPr>
        <w:t>Humán donoroktól származó plazmából gyártják.</w:t>
      </w:r>
    </w:p>
    <w:p w14:paraId="610F62BF" w14:textId="77777777" w:rsidR="003C6B16" w:rsidRDefault="003C6B16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</w:p>
    <w:p w14:paraId="088B3E5B" w14:textId="77777777" w:rsidR="005E099E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 w:val="22"/>
          <w:szCs w:val="22"/>
          <w:u w:val="single"/>
          <w:lang w:val="hu-HU"/>
        </w:rPr>
      </w:pPr>
      <w:r w:rsidRPr="00B72321">
        <w:rPr>
          <w:sz w:val="22"/>
          <w:szCs w:val="22"/>
          <w:u w:val="single"/>
          <w:lang w:val="hu-HU"/>
        </w:rPr>
        <w:t>Ismert hatású segédanyag:</w:t>
      </w:r>
    </w:p>
    <w:p w14:paraId="60E3CCA6" w14:textId="77777777" w:rsidR="005E099E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 w:val="22"/>
          <w:szCs w:val="22"/>
          <w:u w:val="single"/>
          <w:lang w:val="hu-HU"/>
        </w:rPr>
      </w:pPr>
    </w:p>
    <w:p w14:paraId="1E2EE0DC" w14:textId="77777777" w:rsidR="005E099E" w:rsidRPr="00B72321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500 Egység</w:t>
      </w:r>
    </w:p>
    <w:p w14:paraId="077528A0" w14:textId="77777777" w:rsidR="005E099E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Feiba NF hozzávetőlegesen 40 mg nátriumot tartalmaz injekciós üvegenként.</w:t>
      </w:r>
    </w:p>
    <w:p w14:paraId="34A4274A" w14:textId="77777777" w:rsidR="005E099E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</w:p>
    <w:p w14:paraId="18841F52" w14:textId="77777777" w:rsidR="005E099E" w:rsidRPr="00B72321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1000 Egység</w:t>
      </w:r>
    </w:p>
    <w:p w14:paraId="1FB253AC" w14:textId="77777777" w:rsidR="005E099E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Feiba NF hozzávetőlegesen 80 mg nátriumot tartalmaz injekciós üvegenként.</w:t>
      </w:r>
    </w:p>
    <w:p w14:paraId="1740C0E2" w14:textId="77777777" w:rsidR="005E099E" w:rsidRPr="00E86B67" w:rsidRDefault="005E099E" w:rsidP="005E099E">
      <w:pPr>
        <w:pStyle w:val="Szvegtrzsbehzssal"/>
        <w:tabs>
          <w:tab w:val="left" w:pos="567"/>
        </w:tabs>
        <w:spacing w:before="0" w:after="0"/>
        <w:ind w:left="17"/>
        <w:jc w:val="left"/>
        <w:rPr>
          <w:szCs w:val="22"/>
        </w:rPr>
      </w:pPr>
    </w:p>
    <w:p w14:paraId="2A3457F3" w14:textId="77777777" w:rsidR="005E099E" w:rsidRPr="00E86B67" w:rsidRDefault="005E099E" w:rsidP="005E099E">
      <w:pPr>
        <w:tabs>
          <w:tab w:val="left" w:pos="17"/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segédanyagok teljes listáját lásd a 6.1 pontban.</w:t>
      </w:r>
    </w:p>
    <w:p w14:paraId="351EC172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7F006C8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4E4114BA" w14:textId="77777777" w:rsidR="005E099E" w:rsidRPr="00E86B67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Cs/>
          <w:sz w:val="22"/>
          <w:szCs w:val="22"/>
          <w:lang w:val="pt-BR"/>
        </w:rPr>
      </w:pPr>
      <w:r w:rsidRPr="00E86B67">
        <w:rPr>
          <w:bCs/>
          <w:sz w:val="22"/>
          <w:szCs w:val="22"/>
          <w:lang w:val="pt-BR"/>
        </w:rPr>
        <w:t>3.</w:t>
      </w:r>
      <w:r w:rsidRPr="00E86B67">
        <w:rPr>
          <w:bCs/>
          <w:sz w:val="22"/>
          <w:szCs w:val="22"/>
          <w:lang w:val="pt-BR"/>
        </w:rPr>
        <w:tab/>
        <w:t>GYÓGYSZERFORMA</w:t>
      </w:r>
    </w:p>
    <w:p w14:paraId="31C4F6F7" w14:textId="77777777" w:rsidR="005E099E" w:rsidRPr="00E86B67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pt-BR"/>
        </w:rPr>
      </w:pPr>
    </w:p>
    <w:p w14:paraId="6C4341F0" w14:textId="77777777" w:rsidR="005E099E" w:rsidRPr="00E86B67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pt-BR"/>
        </w:rPr>
      </w:pPr>
      <w:r w:rsidRPr="00E86B67">
        <w:rPr>
          <w:b w:val="0"/>
          <w:sz w:val="22"/>
          <w:szCs w:val="22"/>
          <w:lang w:val="pt-BR"/>
        </w:rPr>
        <w:t>Por és oldószer oldatos injekcióhoz</w:t>
      </w:r>
    </w:p>
    <w:p w14:paraId="6B4576B7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2E8454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Por: fehér, csaknem fehér vagy halványzöld liofilizált por.</w:t>
      </w:r>
    </w:p>
    <w:p w14:paraId="03B6F6A3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Oldószer: injekcióhoz való víz.</w:t>
      </w:r>
    </w:p>
    <w:p w14:paraId="1D207B06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021C4450" w14:textId="5657ECFD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Az elkészített oldat pH-ja 6,</w:t>
      </w:r>
      <w:r w:rsidR="003B3931">
        <w:rPr>
          <w:sz w:val="22"/>
          <w:szCs w:val="22"/>
        </w:rPr>
        <w:t>5</w:t>
      </w:r>
      <w:r w:rsidRPr="00E86B67">
        <w:rPr>
          <w:sz w:val="22"/>
          <w:szCs w:val="22"/>
        </w:rPr>
        <w:t>–7,</w:t>
      </w:r>
      <w:r w:rsidR="003B3931">
        <w:rPr>
          <w:sz w:val="22"/>
          <w:szCs w:val="22"/>
        </w:rPr>
        <w:t>3</w:t>
      </w:r>
      <w:r w:rsidRPr="00E86B67">
        <w:rPr>
          <w:sz w:val="22"/>
          <w:szCs w:val="22"/>
        </w:rPr>
        <w:t>.</w:t>
      </w:r>
    </w:p>
    <w:p w14:paraId="11756E35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111A31F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CABD21F" w14:textId="77777777" w:rsidR="005E099E" w:rsidRPr="00E86B67" w:rsidRDefault="005E099E" w:rsidP="005E099E">
      <w:pPr>
        <w:tabs>
          <w:tab w:val="left" w:pos="567"/>
        </w:tabs>
        <w:ind w:left="-15"/>
        <w:rPr>
          <w:b/>
          <w:caps/>
          <w:sz w:val="22"/>
          <w:szCs w:val="22"/>
        </w:rPr>
      </w:pPr>
      <w:r w:rsidRPr="00E86B67">
        <w:rPr>
          <w:b/>
          <w:caps/>
          <w:sz w:val="22"/>
          <w:szCs w:val="22"/>
        </w:rPr>
        <w:t>4.</w:t>
      </w:r>
      <w:r w:rsidRPr="00E86B67">
        <w:rPr>
          <w:b/>
          <w:caps/>
          <w:sz w:val="22"/>
          <w:szCs w:val="22"/>
        </w:rPr>
        <w:tab/>
        <w:t>KLINIKAI JELLEMZŐK</w:t>
      </w:r>
    </w:p>
    <w:p w14:paraId="66A8E4BF" w14:textId="77777777" w:rsidR="005E099E" w:rsidRPr="00E86B67" w:rsidRDefault="005E099E" w:rsidP="005E099E">
      <w:pPr>
        <w:pStyle w:val="Vgjegyzetszvege"/>
        <w:tabs>
          <w:tab w:val="left" w:pos="567"/>
        </w:tabs>
        <w:spacing w:line="240" w:lineRule="auto"/>
        <w:ind w:left="-15"/>
        <w:rPr>
          <w:sz w:val="22"/>
          <w:szCs w:val="22"/>
        </w:rPr>
      </w:pPr>
    </w:p>
    <w:p w14:paraId="785C6C65" w14:textId="77777777" w:rsidR="005E099E" w:rsidRPr="00E86B67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E86B67">
        <w:rPr>
          <w:sz w:val="22"/>
          <w:szCs w:val="22"/>
          <w:lang w:val="hu-HU"/>
        </w:rPr>
        <w:t>4.1</w:t>
      </w:r>
      <w:r w:rsidRPr="00E86B67">
        <w:rPr>
          <w:sz w:val="22"/>
          <w:szCs w:val="22"/>
          <w:lang w:val="hu-HU"/>
        </w:rPr>
        <w:tab/>
        <w:t>Terápiás javallatok</w:t>
      </w:r>
    </w:p>
    <w:p w14:paraId="0CB745F2" w14:textId="77777777" w:rsidR="005E099E" w:rsidRPr="00E86B67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6E031413" w14:textId="77777777" w:rsidR="005E099E" w:rsidRPr="00894C1C" w:rsidRDefault="005E099E" w:rsidP="005E099E">
      <w:pPr>
        <w:numPr>
          <w:ilvl w:val="0"/>
          <w:numId w:val="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4C1C">
        <w:rPr>
          <w:sz w:val="22"/>
          <w:szCs w:val="22"/>
        </w:rPr>
        <w:t>vérzés megelőzése és kezelése VIII. faktor</w:t>
      </w:r>
      <w:r w:rsidRPr="00894C1C">
        <w:rPr>
          <w:sz w:val="22"/>
          <w:szCs w:val="22"/>
        </w:rPr>
        <w:noBreakHyphen/>
        <w:t>inhibitor megjelenésével szövődött haemophilia A</w:t>
      </w:r>
      <w:r w:rsidRPr="00894C1C">
        <w:rPr>
          <w:sz w:val="22"/>
          <w:szCs w:val="22"/>
        </w:rPr>
        <w:noBreakHyphen/>
        <w:t>ban,</w:t>
      </w:r>
    </w:p>
    <w:p w14:paraId="072621D4" w14:textId="77777777" w:rsidR="005E099E" w:rsidRPr="00894C1C" w:rsidRDefault="005E099E" w:rsidP="005E099E">
      <w:pPr>
        <w:numPr>
          <w:ilvl w:val="0"/>
          <w:numId w:val="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4C1C">
        <w:rPr>
          <w:sz w:val="22"/>
          <w:szCs w:val="22"/>
        </w:rPr>
        <w:t>vérzés megelőzése és csillapítása IX. faktor</w:t>
      </w:r>
      <w:r w:rsidRPr="00894C1C">
        <w:rPr>
          <w:sz w:val="22"/>
          <w:szCs w:val="22"/>
        </w:rPr>
        <w:noBreakHyphen/>
        <w:t>inhibitor megjelenésével szövődött haemophilia B</w:t>
      </w:r>
      <w:r w:rsidRPr="00894C1C">
        <w:rPr>
          <w:sz w:val="22"/>
          <w:szCs w:val="22"/>
        </w:rPr>
        <w:noBreakHyphen/>
        <w:t>ben,</w:t>
      </w:r>
    </w:p>
    <w:p w14:paraId="5CEC7E7B" w14:textId="77777777" w:rsidR="005E099E" w:rsidRPr="00894C1C" w:rsidRDefault="005E099E" w:rsidP="005E099E">
      <w:pPr>
        <w:numPr>
          <w:ilvl w:val="0"/>
          <w:numId w:val="4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94C1C">
        <w:rPr>
          <w:sz w:val="22"/>
          <w:szCs w:val="22"/>
        </w:rPr>
        <w:lastRenderedPageBreak/>
        <w:t>vérzés megelőzése és kezelése veleszületetten nem haemophiliás, azonban VIII., XI., vagy XII. faktor elleni, szerzett inhibitorokat hordozó betegek esetében.</w:t>
      </w:r>
    </w:p>
    <w:p w14:paraId="77BD24EC" w14:textId="77777777" w:rsidR="005E099E" w:rsidRPr="008B6F3B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</w:p>
    <w:p w14:paraId="2E3E75AF" w14:textId="5278CB0C" w:rsidR="005E099E" w:rsidRPr="008B6F3B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  <w:r w:rsidRPr="008B6F3B">
        <w:rPr>
          <w:sz w:val="22"/>
          <w:szCs w:val="22"/>
        </w:rPr>
        <w:t>A Feiba készítményt három esetben von Willebrand</w:t>
      </w:r>
      <w:r w:rsidRPr="00E86B67">
        <w:rPr>
          <w:b/>
          <w:sz w:val="22"/>
          <w:szCs w:val="22"/>
          <w:lang w:val="hu-HU"/>
        </w:rPr>
        <w:noBreakHyphen/>
      </w:r>
      <w:r w:rsidRPr="008B6F3B">
        <w:rPr>
          <w:sz w:val="22"/>
          <w:szCs w:val="22"/>
        </w:rPr>
        <w:t>faktorral szembeni inhibitort hordozó betegen is alkalmazták.</w:t>
      </w:r>
    </w:p>
    <w:p w14:paraId="2D358F78" w14:textId="77777777" w:rsidR="005E099E" w:rsidRPr="00E86B67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  <w:r w:rsidRPr="00E86B67">
        <w:rPr>
          <w:spacing w:val="-4"/>
          <w:sz w:val="22"/>
          <w:szCs w:val="22"/>
        </w:rPr>
        <w:t>A Feiba készítményt VIII. faktorkoncentrátummal kombinálva, hosszú távú kezelésben is alkalmazták a VIII. faktor</w:t>
      </w:r>
      <w:r w:rsidRPr="00E86B67">
        <w:rPr>
          <w:spacing w:val="-4"/>
          <w:sz w:val="22"/>
          <w:szCs w:val="22"/>
        </w:rPr>
        <w:noBreakHyphen/>
        <w:t>inhibitor teljes és tartós eliminálására.</w:t>
      </w:r>
    </w:p>
    <w:p w14:paraId="7ACDC0B6" w14:textId="77777777" w:rsidR="005E099E" w:rsidRPr="00E86B67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</w:p>
    <w:p w14:paraId="42670951" w14:textId="77777777" w:rsidR="005E099E" w:rsidRPr="00472267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  <w:r w:rsidRPr="00E86B67">
        <w:rPr>
          <w:sz w:val="22"/>
          <w:szCs w:val="22"/>
        </w:rPr>
        <w:t>A Feiba alkalmazása minden korcsoportban javallott.</w:t>
      </w:r>
    </w:p>
    <w:p w14:paraId="05DD445E" w14:textId="77777777" w:rsidR="005E099E" w:rsidRPr="00472267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</w:p>
    <w:p w14:paraId="149478C2" w14:textId="77777777" w:rsidR="005E099E" w:rsidRPr="006408A4" w:rsidRDefault="005E099E" w:rsidP="005E099E">
      <w:pPr>
        <w:keepNext/>
        <w:tabs>
          <w:tab w:val="left" w:pos="567"/>
        </w:tabs>
        <w:ind w:left="17"/>
        <w:rPr>
          <w:b/>
          <w:bCs/>
          <w:sz w:val="22"/>
          <w:szCs w:val="22"/>
        </w:rPr>
      </w:pPr>
      <w:r w:rsidRPr="006408A4">
        <w:rPr>
          <w:b/>
          <w:bCs/>
          <w:sz w:val="22"/>
          <w:szCs w:val="22"/>
        </w:rPr>
        <w:t>4.2</w:t>
      </w:r>
      <w:r w:rsidRPr="006408A4">
        <w:rPr>
          <w:b/>
          <w:bCs/>
          <w:sz w:val="22"/>
          <w:szCs w:val="22"/>
        </w:rPr>
        <w:tab/>
        <w:t>Adagolás és alkalmazás</w:t>
      </w:r>
    </w:p>
    <w:p w14:paraId="1EE95D35" w14:textId="77777777" w:rsidR="005E099E" w:rsidRPr="00065090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79A96C9A" w14:textId="77777777" w:rsidR="005E099E" w:rsidRPr="00081D9E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081D9E">
        <w:rPr>
          <w:b w:val="0"/>
          <w:sz w:val="22"/>
          <w:szCs w:val="22"/>
          <w:lang w:val="hu-HU"/>
        </w:rPr>
        <w:t>A kezelést egy haemophiliás betegek kezelésében jártas szakorvosnak kell elindítania és felügyelnie.</w:t>
      </w:r>
    </w:p>
    <w:p w14:paraId="73B8528B" w14:textId="77777777" w:rsidR="005E099E" w:rsidRPr="00824A5B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01438F6B" w14:textId="77777777" w:rsidR="005E099E" w:rsidRPr="00BE28DC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BE28DC">
        <w:rPr>
          <w:b/>
          <w:sz w:val="22"/>
          <w:szCs w:val="22"/>
        </w:rPr>
        <w:t>Adagolás</w:t>
      </w:r>
    </w:p>
    <w:p w14:paraId="17E1A529" w14:textId="77777777" w:rsidR="005E099E" w:rsidRPr="00C066DF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4689CC98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készítmény adagja és a szubsztitúciós kezelés időtartama a véralvadási zavar súlyosságától, a vérzés helyétől és mértékétől, valamint a beteg általános állapotától függ.</w:t>
      </w:r>
    </w:p>
    <w:p w14:paraId="2F7AB920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beadandó mennyiséget és az alkalmazás gyakoriságát minden esetben a klinikai hatásosság egyedi elbírálása alapján kell meghatározni.</w:t>
      </w:r>
    </w:p>
    <w:p w14:paraId="121CD0F4" w14:textId="77777777" w:rsidR="005E099E" w:rsidRPr="00E86B67" w:rsidRDefault="005E099E" w:rsidP="005E099E">
      <w:pPr>
        <w:tabs>
          <w:tab w:val="left" w:pos="567"/>
        </w:tabs>
        <w:rPr>
          <w:sz w:val="22"/>
          <w:szCs w:val="22"/>
        </w:rPr>
      </w:pPr>
    </w:p>
    <w:p w14:paraId="7688C953" w14:textId="062B970E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Feiba NF javasolt adagja általában 50</w:t>
      </w:r>
      <w:r w:rsidRPr="00E86B67">
        <w:rPr>
          <w:sz w:val="22"/>
          <w:szCs w:val="22"/>
        </w:rPr>
        <w:noBreakHyphen/>
        <w:t>100 Egység/testtömegkilogramm. Az egyszeri adag nem haladhatja meg a 100 Egység/ttkg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ot; napi dózisként legfeljebb 200 Egység/ttkg adható, hacsak a vérzés súlyossága nem igazolja és indokolja a magasabb dózis adagolását. Lásd 4.4 pont.</w:t>
      </w:r>
    </w:p>
    <w:p w14:paraId="78A06731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CA3AE53" w14:textId="77777777" w:rsidR="005E099E" w:rsidRPr="00E86B67" w:rsidRDefault="005E099E" w:rsidP="005E099E">
      <w:pPr>
        <w:tabs>
          <w:tab w:val="left" w:pos="567"/>
        </w:tabs>
        <w:ind w:left="17"/>
        <w:rPr>
          <w:i/>
          <w:sz w:val="22"/>
          <w:szCs w:val="22"/>
        </w:rPr>
      </w:pPr>
      <w:r w:rsidRPr="00E86B67">
        <w:rPr>
          <w:i/>
          <w:sz w:val="22"/>
          <w:szCs w:val="22"/>
        </w:rPr>
        <w:t>Gyermekek</w:t>
      </w:r>
    </w:p>
    <w:p w14:paraId="6E6372CD" w14:textId="77777777" w:rsidR="005E099E" w:rsidRPr="00824A5B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 xml:space="preserve">A 6 éves kor alatti gyermekekkel kapcsolatos tapasztalatok korlátozottak; a felnőtteknél alkalmazott adagolási rendet </w:t>
      </w:r>
      <w:r w:rsidRPr="00824A5B">
        <w:rPr>
          <w:sz w:val="22"/>
          <w:szCs w:val="22"/>
        </w:rPr>
        <w:t>a gyermek klinikai állapotához kell igazítani.</w:t>
      </w:r>
    </w:p>
    <w:p w14:paraId="78381BB4" w14:textId="77777777" w:rsidR="005E099E" w:rsidRPr="003554EA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1B8BC4B3" w14:textId="77777777" w:rsidR="005E099E" w:rsidRPr="00C066DF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C066DF">
        <w:rPr>
          <w:b/>
          <w:sz w:val="22"/>
          <w:szCs w:val="22"/>
        </w:rPr>
        <w:t>1. Spontán vérzés</w:t>
      </w:r>
    </w:p>
    <w:p w14:paraId="5C05C7B0" w14:textId="77777777" w:rsidR="005E099E" w:rsidRPr="003554EA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4CAA1C6" w14:textId="77777777" w:rsidR="005E099E" w:rsidRPr="00C066DF" w:rsidRDefault="005E099E" w:rsidP="005E099E">
      <w:pPr>
        <w:tabs>
          <w:tab w:val="left" w:pos="567"/>
        </w:tabs>
        <w:ind w:left="17"/>
        <w:rPr>
          <w:b/>
          <w:i/>
          <w:sz w:val="22"/>
          <w:szCs w:val="22"/>
        </w:rPr>
      </w:pPr>
      <w:r w:rsidRPr="00C066DF">
        <w:rPr>
          <w:b/>
          <w:i/>
          <w:sz w:val="22"/>
          <w:szCs w:val="22"/>
        </w:rPr>
        <w:t>Ízületi, izom</w:t>
      </w:r>
      <w:r w:rsidRPr="00E86B67">
        <w:rPr>
          <w:b/>
          <w:sz w:val="22"/>
          <w:szCs w:val="22"/>
        </w:rPr>
        <w:noBreakHyphen/>
      </w:r>
      <w:r w:rsidRPr="00C066DF">
        <w:rPr>
          <w:b/>
          <w:i/>
          <w:sz w:val="22"/>
          <w:szCs w:val="22"/>
        </w:rPr>
        <w:t xml:space="preserve"> és lágyrész</w:t>
      </w:r>
      <w:r w:rsidRPr="00E86B67">
        <w:rPr>
          <w:b/>
          <w:sz w:val="22"/>
          <w:szCs w:val="22"/>
        </w:rPr>
        <w:noBreakHyphen/>
      </w:r>
      <w:r w:rsidRPr="00C066DF">
        <w:rPr>
          <w:b/>
          <w:i/>
          <w:sz w:val="22"/>
          <w:szCs w:val="22"/>
        </w:rPr>
        <w:t>bevérzések</w:t>
      </w:r>
    </w:p>
    <w:p w14:paraId="4CAD05EA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Csekély és közepes mértékű bevérzés esetén 50</w:t>
      </w:r>
      <w:r w:rsidRPr="00E86B67">
        <w:rPr>
          <w:sz w:val="22"/>
          <w:szCs w:val="22"/>
        </w:rPr>
        <w:noBreakHyphen/>
        <w:t>75 Egység/ttkg dózis adása javasolt 12 órás időközönként. A kezelést a klinikai javulás egyértelmű jeleinek megjelenéséig (pl. a fájdalom enyhüléséig, a lágyrész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duzzanat mérséklődéséig, vagy az ízület mozgástartományának növekedéséig) kell folytatni.</w:t>
      </w:r>
    </w:p>
    <w:p w14:paraId="24C8CBCF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Súlyos izom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vagy lágyrész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bevérzés (pl. retroperitonealis vérzés) esetén 100 Egység/ttkg dózist javasolt adni, 12 órás időközönként.</w:t>
      </w:r>
    </w:p>
    <w:p w14:paraId="463F89F5" w14:textId="77777777" w:rsidR="005E099E" w:rsidRPr="003554EA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0E9C59F8" w14:textId="77777777" w:rsidR="005E099E" w:rsidRPr="00C066DF" w:rsidRDefault="005E099E" w:rsidP="005E099E">
      <w:pPr>
        <w:tabs>
          <w:tab w:val="left" w:pos="567"/>
        </w:tabs>
        <w:ind w:left="17"/>
        <w:rPr>
          <w:b/>
          <w:i/>
          <w:sz w:val="22"/>
          <w:szCs w:val="22"/>
        </w:rPr>
      </w:pPr>
      <w:r w:rsidRPr="00C066DF">
        <w:rPr>
          <w:b/>
          <w:i/>
          <w:sz w:val="22"/>
          <w:szCs w:val="22"/>
        </w:rPr>
        <w:t>Nyálkahártya</w:t>
      </w:r>
      <w:r>
        <w:rPr>
          <w:b/>
          <w:i/>
          <w:sz w:val="22"/>
          <w:szCs w:val="22"/>
        </w:rPr>
        <w:t>-</w:t>
      </w:r>
      <w:r w:rsidRPr="00C066DF">
        <w:rPr>
          <w:b/>
          <w:i/>
          <w:sz w:val="22"/>
          <w:szCs w:val="22"/>
        </w:rPr>
        <w:t>vérzések</w:t>
      </w:r>
    </w:p>
    <w:p w14:paraId="1F342A08" w14:textId="514EB233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javasolt adag 50 Egység/ttkg 6 órás időközönként, a beteg állapotának (ill. ha látható, a vérzés helyének) gondos ellenőrzésével, valamint a hematokritérték ismételt meghatározásával. Ha nem csillapodik a vérzés, 100 Egység/ttkg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ra növelhető a készítmény adagja, azonban a 200 Egység/ttkg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os maximális napi adagot nem szabad túllépni.</w:t>
      </w:r>
    </w:p>
    <w:p w14:paraId="2F3D2B75" w14:textId="77777777" w:rsidR="005E099E" w:rsidRPr="003554EA" w:rsidRDefault="005E099E" w:rsidP="005E099E">
      <w:pPr>
        <w:tabs>
          <w:tab w:val="left" w:pos="567"/>
        </w:tabs>
        <w:ind w:left="17"/>
        <w:rPr>
          <w:spacing w:val="2"/>
          <w:sz w:val="22"/>
          <w:szCs w:val="22"/>
        </w:rPr>
      </w:pPr>
    </w:p>
    <w:p w14:paraId="58B8E3F8" w14:textId="77777777" w:rsidR="005E099E" w:rsidRPr="00E86B67" w:rsidRDefault="005E099E" w:rsidP="005E099E">
      <w:pPr>
        <w:tabs>
          <w:tab w:val="left" w:pos="567"/>
        </w:tabs>
        <w:ind w:left="17"/>
        <w:rPr>
          <w:spacing w:val="2"/>
          <w:sz w:val="22"/>
          <w:szCs w:val="22"/>
        </w:rPr>
      </w:pPr>
      <w:r w:rsidRPr="00C066DF">
        <w:rPr>
          <w:b/>
          <w:i/>
          <w:spacing w:val="2"/>
          <w:sz w:val="22"/>
          <w:szCs w:val="22"/>
        </w:rPr>
        <w:t>Egyéb súlyos vérzések</w:t>
      </w:r>
    </w:p>
    <w:p w14:paraId="480E9156" w14:textId="77777777" w:rsidR="005E099E" w:rsidRPr="00E86B67" w:rsidRDefault="005E099E" w:rsidP="005E099E">
      <w:pPr>
        <w:tabs>
          <w:tab w:val="left" w:pos="567"/>
        </w:tabs>
        <w:ind w:left="17"/>
        <w:rPr>
          <w:spacing w:val="2"/>
          <w:sz w:val="22"/>
          <w:szCs w:val="22"/>
        </w:rPr>
      </w:pPr>
      <w:r w:rsidRPr="00E86B67">
        <w:rPr>
          <w:spacing w:val="2"/>
          <w:sz w:val="22"/>
          <w:szCs w:val="22"/>
        </w:rPr>
        <w:t>Súlyos, (pl. központi idegrendszeri) vérzések is kezelhetők 100 Egység/ttkg dózisok 12 óránkénti adásával. Indokolt esetben a Feiba NF 6 órás időközönként is adható, a klinikai javulás egyértelmű bekövetkezéséig. (A 200 Egység/ttkg</w:t>
      </w:r>
      <w:r w:rsidRPr="00E86B67">
        <w:rPr>
          <w:b/>
          <w:sz w:val="22"/>
          <w:szCs w:val="22"/>
        </w:rPr>
        <w:noBreakHyphen/>
      </w:r>
      <w:r w:rsidRPr="00E86B67">
        <w:rPr>
          <w:spacing w:val="2"/>
          <w:sz w:val="22"/>
          <w:szCs w:val="22"/>
        </w:rPr>
        <w:t>os maximális napi adagot nem szabad túllépni!)</w:t>
      </w:r>
    </w:p>
    <w:p w14:paraId="71EA6DD3" w14:textId="77777777" w:rsidR="005E099E" w:rsidRPr="00E86B67" w:rsidRDefault="005E099E" w:rsidP="005E099E">
      <w:pPr>
        <w:tabs>
          <w:tab w:val="left" w:pos="567"/>
        </w:tabs>
        <w:ind w:left="17"/>
        <w:rPr>
          <w:spacing w:val="2"/>
          <w:sz w:val="22"/>
          <w:szCs w:val="22"/>
        </w:rPr>
      </w:pPr>
    </w:p>
    <w:p w14:paraId="498432D6" w14:textId="77777777" w:rsidR="005E099E" w:rsidRPr="00E86B67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2. Műtéti vérzések</w:t>
      </w:r>
    </w:p>
    <w:p w14:paraId="6F9F06E5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42D86026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maximális napi adag betartásával 50</w:t>
      </w:r>
      <w:r w:rsidRPr="00E86B67">
        <w:rPr>
          <w:sz w:val="22"/>
          <w:szCs w:val="22"/>
        </w:rPr>
        <w:noBreakHyphen/>
        <w:t>100 Egység/ttkg adható, legfeljebb 6 órás időközönként.</w:t>
      </w:r>
    </w:p>
    <w:p w14:paraId="01ED6D72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0C8C6783" w14:textId="77777777" w:rsidR="005E099E" w:rsidRPr="00E86B67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3. Profilaxis</w:t>
      </w:r>
    </w:p>
    <w:p w14:paraId="016BCFCF" w14:textId="77777777" w:rsidR="005E099E" w:rsidRPr="00E86B67" w:rsidRDefault="005E099E" w:rsidP="005E099E">
      <w:pPr>
        <w:tabs>
          <w:tab w:val="left" w:pos="3930"/>
        </w:tabs>
        <w:ind w:left="17"/>
        <w:rPr>
          <w:sz w:val="22"/>
          <w:szCs w:val="22"/>
        </w:rPr>
      </w:pPr>
    </w:p>
    <w:p w14:paraId="200FD9AF" w14:textId="77777777" w:rsidR="005E099E" w:rsidRPr="00E86B67" w:rsidRDefault="005E099E" w:rsidP="005E099E">
      <w:pPr>
        <w:numPr>
          <w:ilvl w:val="0"/>
          <w:numId w:val="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86B67">
        <w:rPr>
          <w:sz w:val="22"/>
          <w:szCs w:val="22"/>
        </w:rPr>
        <w:lastRenderedPageBreak/>
        <w:t>Vérzésprofilaxis magas ellenanyagtiterű, gyakran vérző betegek esetében, akiknél az ITI (immuntolerancia</w:t>
      </w:r>
      <w:r w:rsidRPr="00E86B67">
        <w:rPr>
          <w:sz w:val="22"/>
          <w:szCs w:val="22"/>
        </w:rPr>
        <w:noBreakHyphen/>
        <w:t>indukció) sikertelen volt, vagy nem volt lehetséges:</w:t>
      </w:r>
    </w:p>
    <w:p w14:paraId="1B1EE094" w14:textId="77777777" w:rsidR="005E099E" w:rsidRPr="00E86B67" w:rsidRDefault="005E099E" w:rsidP="005E099E">
      <w:pPr>
        <w:tabs>
          <w:tab w:val="left" w:pos="567"/>
        </w:tabs>
        <w:ind w:left="567"/>
        <w:rPr>
          <w:sz w:val="22"/>
          <w:szCs w:val="22"/>
        </w:rPr>
      </w:pPr>
      <w:r w:rsidRPr="00E86B67">
        <w:rPr>
          <w:sz w:val="22"/>
          <w:szCs w:val="22"/>
        </w:rPr>
        <w:t>A javasolt adag 70</w:t>
      </w:r>
      <w:r w:rsidRPr="00E86B67">
        <w:rPr>
          <w:sz w:val="22"/>
          <w:szCs w:val="22"/>
        </w:rPr>
        <w:noBreakHyphen/>
        <w:t>100 Egység/ttkg másnaponta. Ez napi 100 Egység/ttkg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ig növelhető amennyiben a beteg továbbra is vérzik, vagy fokozatosan csökkenthető.</w:t>
      </w:r>
    </w:p>
    <w:p w14:paraId="0A9A493A" w14:textId="77777777" w:rsidR="005E099E" w:rsidRPr="00E86B67" w:rsidRDefault="005E099E" w:rsidP="005E099E">
      <w:pPr>
        <w:numPr>
          <w:ilvl w:val="0"/>
          <w:numId w:val="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E86B67">
        <w:rPr>
          <w:sz w:val="22"/>
          <w:szCs w:val="22"/>
        </w:rPr>
        <w:t>Vérzésprofilaxis magas ellenanyagtiterű, ITI (immuntolerancia</w:t>
      </w:r>
      <w:r w:rsidRPr="00E86B67">
        <w:rPr>
          <w:sz w:val="22"/>
          <w:szCs w:val="22"/>
        </w:rPr>
        <w:noBreakHyphen/>
        <w:t>indukció) kezelés alatt álló betegek esetén:</w:t>
      </w:r>
    </w:p>
    <w:p w14:paraId="5BF7DB6C" w14:textId="77777777" w:rsidR="005E099E" w:rsidRPr="00E86B67" w:rsidRDefault="005E099E" w:rsidP="005E099E">
      <w:pPr>
        <w:widowControl w:val="0"/>
        <w:tabs>
          <w:tab w:val="left" w:pos="567"/>
        </w:tabs>
        <w:suppressAutoHyphens w:val="0"/>
        <w:ind w:left="567"/>
        <w:rPr>
          <w:sz w:val="22"/>
          <w:szCs w:val="22"/>
        </w:rPr>
      </w:pPr>
      <w:r w:rsidRPr="00E86B67">
        <w:rPr>
          <w:sz w:val="22"/>
          <w:szCs w:val="22"/>
        </w:rPr>
        <w:t>A Feiba NF együtt alkalmazható VIII. faktorkoncentrátummal 50</w:t>
      </w:r>
      <w:r w:rsidRPr="00E86B67">
        <w:rPr>
          <w:sz w:val="22"/>
          <w:szCs w:val="22"/>
        </w:rPr>
        <w:noBreakHyphen/>
        <w:t>100 Egység/ttkg adagban, naponta 2 alkalommal addig, amíg az inhibitor szintje 2 </w:t>
      </w:r>
      <w:r w:rsidRPr="00E86B67">
        <w:rPr>
          <w:spacing w:val="2"/>
          <w:sz w:val="22"/>
          <w:szCs w:val="22"/>
        </w:rPr>
        <w:t>BE</w:t>
      </w:r>
      <w:r w:rsidRPr="00E86B67">
        <w:rPr>
          <w:b/>
          <w:sz w:val="22"/>
          <w:szCs w:val="22"/>
        </w:rPr>
        <w:noBreakHyphen/>
      </w:r>
      <w:r w:rsidRPr="00E86B67">
        <w:rPr>
          <w:spacing w:val="2"/>
          <w:sz w:val="22"/>
          <w:szCs w:val="22"/>
        </w:rPr>
        <w:t>re</w:t>
      </w:r>
      <w:r w:rsidRPr="00E86B67">
        <w:rPr>
          <w:rStyle w:val="WW-Lbjegyzet-karakterek1111"/>
          <w:spacing w:val="2"/>
          <w:sz w:val="22"/>
          <w:szCs w:val="22"/>
        </w:rPr>
        <w:footnoteReference w:customMarkFollows="1" w:id="1"/>
        <w:t>*</w:t>
      </w:r>
      <w:r w:rsidRPr="00E86B67">
        <w:rPr>
          <w:sz w:val="22"/>
          <w:szCs w:val="22"/>
        </w:rPr>
        <w:t xml:space="preserve"> csökken.</w:t>
      </w:r>
    </w:p>
    <w:p w14:paraId="4EA999E9" w14:textId="77777777" w:rsidR="005E099E" w:rsidRPr="00E86B67" w:rsidRDefault="005E099E" w:rsidP="005E099E">
      <w:pPr>
        <w:widowControl w:val="0"/>
        <w:tabs>
          <w:tab w:val="left" w:pos="567"/>
        </w:tabs>
        <w:suppressAutoHyphens w:val="0"/>
        <w:ind w:left="17"/>
        <w:rPr>
          <w:spacing w:val="2"/>
          <w:sz w:val="22"/>
          <w:szCs w:val="22"/>
        </w:rPr>
      </w:pPr>
    </w:p>
    <w:p w14:paraId="5B824F5E" w14:textId="77777777" w:rsidR="005E099E" w:rsidRPr="00E86B67" w:rsidRDefault="005E099E" w:rsidP="005E099E">
      <w:pPr>
        <w:tabs>
          <w:tab w:val="left" w:pos="567"/>
        </w:tabs>
        <w:ind w:left="17"/>
        <w:rPr>
          <w:b/>
          <w:spacing w:val="2"/>
          <w:sz w:val="22"/>
          <w:szCs w:val="22"/>
        </w:rPr>
      </w:pPr>
      <w:r w:rsidRPr="00E86B67">
        <w:rPr>
          <w:b/>
          <w:spacing w:val="2"/>
          <w:sz w:val="22"/>
          <w:szCs w:val="22"/>
        </w:rPr>
        <w:t>Monitorozás</w:t>
      </w:r>
    </w:p>
    <w:p w14:paraId="312BAD2E" w14:textId="77777777" w:rsidR="005E099E" w:rsidRPr="00E86B67" w:rsidRDefault="005E099E" w:rsidP="005E099E">
      <w:pPr>
        <w:tabs>
          <w:tab w:val="left" w:pos="567"/>
        </w:tabs>
        <w:ind w:left="17"/>
        <w:rPr>
          <w:spacing w:val="2"/>
          <w:sz w:val="22"/>
          <w:szCs w:val="22"/>
        </w:rPr>
      </w:pPr>
    </w:p>
    <w:p w14:paraId="739F83FE" w14:textId="1BB5C229" w:rsidR="005E099E" w:rsidRPr="00BE28DC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pacing w:val="2"/>
          <w:sz w:val="22"/>
          <w:szCs w:val="22"/>
        </w:rPr>
        <w:t xml:space="preserve">Az összetett hatásmechanizmusnak köszönhetően az aktív összetevők ellenőrzésére közvetlen módszer nem áll rendelkezésre. </w:t>
      </w:r>
      <w:r w:rsidRPr="00E86B67">
        <w:rPr>
          <w:sz w:val="22"/>
          <w:szCs w:val="22"/>
        </w:rPr>
        <w:t>A véralvadási vizsgálatok (pl. a teljes vér alvadási ideje, a tromboelas</w:t>
      </w:r>
      <w:r>
        <w:rPr>
          <w:sz w:val="22"/>
          <w:szCs w:val="22"/>
        </w:rPr>
        <w:t>z</w:t>
      </w:r>
      <w:r w:rsidRPr="003E578C">
        <w:rPr>
          <w:sz w:val="22"/>
          <w:szCs w:val="22"/>
        </w:rPr>
        <w:t>togram (TEG) r</w:t>
      </w:r>
      <w:r>
        <w:rPr>
          <w:sz w:val="22"/>
          <w:szCs w:val="22"/>
        </w:rPr>
        <w:noBreakHyphen/>
      </w:r>
      <w:r w:rsidRPr="003E578C">
        <w:rPr>
          <w:sz w:val="22"/>
          <w:szCs w:val="22"/>
        </w:rPr>
        <w:t>értéke, valamint az aPTI) eredményei, rendszerint alig – a klinikai javuláshoz képest csekély mértékben – csökken</w:t>
      </w:r>
      <w:r w:rsidRPr="00BE28DC">
        <w:rPr>
          <w:sz w:val="22"/>
          <w:szCs w:val="22"/>
        </w:rPr>
        <w:t>nek. Következésképp, ezek a vizsgálatok meglehetősen kevéssé alkalmasak a Feiba NF</w:t>
      </w:r>
      <w:r w:rsidRPr="00BE28DC">
        <w:rPr>
          <w:sz w:val="22"/>
          <w:szCs w:val="22"/>
        </w:rPr>
        <w:noBreakHyphen/>
        <w:t>kezelés hat</w:t>
      </w:r>
      <w:r w:rsidR="00FD3AF8">
        <w:rPr>
          <w:sz w:val="22"/>
          <w:szCs w:val="22"/>
        </w:rPr>
        <w:t>ásosságának</w:t>
      </w:r>
      <w:r w:rsidRPr="00BE28DC">
        <w:rPr>
          <w:sz w:val="22"/>
          <w:szCs w:val="22"/>
        </w:rPr>
        <w:t xml:space="preserve"> monitorozására. Lásd 4.4 pont.</w:t>
      </w:r>
    </w:p>
    <w:p w14:paraId="49978FA6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C066DF">
        <w:rPr>
          <w:sz w:val="22"/>
          <w:szCs w:val="22"/>
        </w:rPr>
        <w:t>A készítménnyel történő kezelésre adott elégtelen válasz esetén, javasolt a thrombocytaszám meghatározása, mert</w:t>
      </w:r>
      <w:r w:rsidRPr="00E86B67">
        <w:rPr>
          <w:sz w:val="22"/>
          <w:szCs w:val="22"/>
        </w:rPr>
        <w:t xml:space="preserve"> a készítmény hatásosságához elegendő számú, funkcionálisan ép thrombocytára van szükség.</w:t>
      </w:r>
    </w:p>
    <w:p w14:paraId="566EAE31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F1D744D" w14:textId="77777777" w:rsidR="005E099E" w:rsidRPr="00E86B67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Az alkalmazás módja</w:t>
      </w:r>
    </w:p>
    <w:p w14:paraId="58039A65" w14:textId="77777777" w:rsidR="005E099E" w:rsidRPr="008B6F3B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</w:p>
    <w:p w14:paraId="1D46E83D" w14:textId="17EBC7C3" w:rsidR="005E099E" w:rsidRPr="008B6F3B" w:rsidRDefault="003C6B16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  <w:r>
        <w:rPr>
          <w:sz w:val="22"/>
          <w:szCs w:val="22"/>
        </w:rPr>
        <w:t>A készítményt a 6.6 pontban leírtaknak megfelelően kell feloldani és lassan intravénásan kell beadni. A Feiba NF-et percenként 2 Egység/ttkg sebességgel kell beadni. Azoknál a betegeknél, akik jól tolerálják a 2 Egység/ttkg/perc sebességet, a későbbi infúziók során a sebesség legfeljebb percenként 10 Egység/ttkg-ra növelhető. Lásd 5.1 pont.</w:t>
      </w:r>
    </w:p>
    <w:p w14:paraId="444833F1" w14:textId="77777777" w:rsidR="005E099E" w:rsidRPr="00A662D6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0FD7ED7" w14:textId="77777777" w:rsidR="005E099E" w:rsidRPr="004722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472267">
        <w:rPr>
          <w:sz w:val="22"/>
          <w:szCs w:val="22"/>
          <w:lang w:val="hu-HU"/>
        </w:rPr>
        <w:t>4.3</w:t>
      </w:r>
      <w:r w:rsidRPr="00472267">
        <w:rPr>
          <w:sz w:val="22"/>
          <w:szCs w:val="22"/>
          <w:lang w:val="hu-HU"/>
        </w:rPr>
        <w:tab/>
        <w:t>Ellenjavallatok</w:t>
      </w:r>
    </w:p>
    <w:p w14:paraId="37F7D33A" w14:textId="77777777" w:rsidR="005E099E" w:rsidRPr="006408A4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396F18BC" w14:textId="77777777" w:rsidR="005E099E" w:rsidRPr="00081D9E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065090">
        <w:rPr>
          <w:b w:val="0"/>
          <w:sz w:val="22"/>
          <w:szCs w:val="22"/>
          <w:lang w:val="hu-HU"/>
        </w:rPr>
        <w:t>Amennyiben a Feiba NF terápiás alternatívája elérhető, az alábbi esetekben a Feiba NF</w:t>
      </w:r>
      <w:r w:rsidRPr="00E86B67">
        <w:rPr>
          <w:b w:val="0"/>
          <w:sz w:val="22"/>
          <w:szCs w:val="22"/>
        </w:rPr>
        <w:noBreakHyphen/>
      </w:r>
      <w:r w:rsidRPr="00065090">
        <w:rPr>
          <w:b w:val="0"/>
          <w:sz w:val="22"/>
          <w:szCs w:val="22"/>
          <w:lang w:val="hu-HU"/>
        </w:rPr>
        <w:t>et nem szabad alkalmazni:</w:t>
      </w:r>
    </w:p>
    <w:p w14:paraId="7614B4C4" w14:textId="77777777" w:rsidR="005E099E" w:rsidRPr="00824A5B" w:rsidRDefault="005E099E" w:rsidP="005E099E">
      <w:pPr>
        <w:numPr>
          <w:ilvl w:val="0"/>
          <w:numId w:val="5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824A5B">
        <w:rPr>
          <w:sz w:val="22"/>
          <w:szCs w:val="22"/>
        </w:rPr>
        <w:t>a készítmény hatóanyagával vagy a 6.1 pontban felsorolt bármely segédanyagával szembeni túlérzékenység,</w:t>
      </w:r>
    </w:p>
    <w:p w14:paraId="1367C68E" w14:textId="77777777" w:rsidR="005E099E" w:rsidRPr="00BE28DC" w:rsidRDefault="005E099E" w:rsidP="005E099E">
      <w:pPr>
        <w:numPr>
          <w:ilvl w:val="0"/>
          <w:numId w:val="5"/>
        </w:numPr>
        <w:tabs>
          <w:tab w:val="left" w:pos="567"/>
        </w:tabs>
        <w:ind w:left="426" w:hanging="426"/>
        <w:rPr>
          <w:sz w:val="22"/>
          <w:szCs w:val="22"/>
        </w:rPr>
      </w:pPr>
      <w:r w:rsidRPr="00BE28DC">
        <w:rPr>
          <w:sz w:val="22"/>
          <w:szCs w:val="22"/>
        </w:rPr>
        <w:t>disseminált intravascularis coagulatio (DIC),</w:t>
      </w:r>
    </w:p>
    <w:p w14:paraId="0F38F91A" w14:textId="77777777" w:rsidR="005E099E" w:rsidRPr="00C066DF" w:rsidRDefault="005E099E" w:rsidP="005E099E">
      <w:pPr>
        <w:numPr>
          <w:ilvl w:val="0"/>
          <w:numId w:val="5"/>
        </w:numPr>
        <w:tabs>
          <w:tab w:val="left" w:pos="567"/>
        </w:tabs>
        <w:ind w:left="426" w:hanging="426"/>
        <w:rPr>
          <w:sz w:val="22"/>
          <w:szCs w:val="22"/>
        </w:rPr>
      </w:pPr>
      <w:r w:rsidRPr="00C066DF">
        <w:rPr>
          <w:sz w:val="22"/>
          <w:szCs w:val="22"/>
        </w:rPr>
        <w:t>acut thrombosis vagy embolia (beleértve a myocardialis infarctust).</w:t>
      </w:r>
    </w:p>
    <w:p w14:paraId="17B900D0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F60DF0A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Lásd 4.4. pont.</w:t>
      </w:r>
    </w:p>
    <w:p w14:paraId="3259544E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8040DBA" w14:textId="77777777" w:rsidR="005E099E" w:rsidRPr="00E86B67" w:rsidRDefault="005E099E" w:rsidP="005E099E">
      <w:pPr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4.4</w:t>
      </w:r>
      <w:r w:rsidRPr="00E86B67">
        <w:rPr>
          <w:b/>
          <w:sz w:val="22"/>
          <w:szCs w:val="22"/>
        </w:rPr>
        <w:tab/>
        <w:t>Különleges figyelmeztetések és az alkalmazással kapcsolatos óvintézkedések</w:t>
      </w:r>
    </w:p>
    <w:p w14:paraId="3E8F66CC" w14:textId="77777777" w:rsidR="005E099E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1E676BDD" w14:textId="77777777" w:rsidR="005E099E" w:rsidRPr="00B72321" w:rsidRDefault="005E099E" w:rsidP="005E099E">
      <w:pPr>
        <w:rPr>
          <w:noProof/>
          <w:sz w:val="22"/>
          <w:szCs w:val="22"/>
          <w:u w:val="single"/>
        </w:rPr>
      </w:pPr>
      <w:r w:rsidRPr="00B72321">
        <w:rPr>
          <w:noProof/>
          <w:sz w:val="22"/>
          <w:szCs w:val="22"/>
          <w:u w:val="single"/>
        </w:rPr>
        <w:t>Nyomonkövethetőség</w:t>
      </w:r>
    </w:p>
    <w:p w14:paraId="00A1C944" w14:textId="77777777" w:rsidR="005E099E" w:rsidRPr="007B0E9B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bCs/>
          <w:sz w:val="22"/>
          <w:szCs w:val="22"/>
          <w:lang w:val="hu-HU"/>
        </w:rPr>
      </w:pPr>
      <w:r w:rsidRPr="007B0E9B">
        <w:rPr>
          <w:b w:val="0"/>
          <w:bCs/>
          <w:sz w:val="22"/>
          <w:szCs w:val="22"/>
          <w:lang w:val="hu-HU"/>
        </w:rPr>
        <w:t>A biológiai készítmények nyomonkövethetőségének javítása érdekében, az alkalmazott készítmény nevét és gyártási tételszámát egyértelműen kell feltüntetni.</w:t>
      </w:r>
    </w:p>
    <w:p w14:paraId="59B2F039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40B68F3A" w14:textId="77777777" w:rsidR="005E099E" w:rsidRPr="00E86B67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Figyelmeztetések</w:t>
      </w:r>
    </w:p>
    <w:p w14:paraId="36A1852E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D7EF8C5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</w:t>
      </w:r>
      <w:r w:rsidRPr="00E86B67">
        <w:rPr>
          <w:sz w:val="22"/>
          <w:szCs w:val="22"/>
          <w:u w:val="single"/>
        </w:rPr>
        <w:t>hromboemboliás események</w:t>
      </w:r>
    </w:p>
    <w:p w14:paraId="3B1A8D36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T</w:t>
      </w:r>
      <w:r w:rsidRPr="00E86B67">
        <w:rPr>
          <w:sz w:val="22"/>
          <w:szCs w:val="22"/>
        </w:rPr>
        <w:t>hro</w:t>
      </w:r>
      <w:r>
        <w:rPr>
          <w:sz w:val="22"/>
          <w:szCs w:val="22"/>
        </w:rPr>
        <w:t>m</w:t>
      </w:r>
      <w:r w:rsidRPr="00E86B67">
        <w:rPr>
          <w:sz w:val="22"/>
          <w:szCs w:val="22"/>
        </w:rPr>
        <w:t>boemboliás események, úgymint disseminált intravascularis coagulatio (DIC), vénás thrombosis, pulmonalis embolia, myocardialis infarctus és stroke előfordultak Feiba NF</w:t>
      </w:r>
      <w:r w:rsidRPr="00E86B67">
        <w:rPr>
          <w:sz w:val="22"/>
          <w:szCs w:val="22"/>
        </w:rPr>
        <w:noBreakHyphen/>
        <w:t>kezelés során.</w:t>
      </w:r>
    </w:p>
    <w:p w14:paraId="04A81CF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Ezek közül néhány eset 200 Egység/ttkg napi adag felett, vagy olyan betegeknél fordult elő, akiknél egyéb thromboemboliás rizikófaktor is jelen volt</w:t>
      </w:r>
      <w:r>
        <w:rPr>
          <w:sz w:val="22"/>
          <w:szCs w:val="22"/>
        </w:rPr>
        <w:t xml:space="preserve"> (úgymint DIC, előrehaladott atherosclerosis betegség, sérülés vagy septicaemia)</w:t>
      </w:r>
      <w:r w:rsidRPr="00E86B67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Rekombináns VIIa. faktor egyidejű alkalmazása megnövelheti a thromboemboliás események kialakulásának veszélyét. </w:t>
      </w:r>
      <w:r w:rsidRPr="00E86B67">
        <w:rPr>
          <w:sz w:val="22"/>
          <w:szCs w:val="22"/>
        </w:rPr>
        <w:t>Az ilyen jellegű rizikófaktorok jelenlétének lehetőségét mindig számításba kell venni veleszületett vagy szerzett haemophiliás betegeknél.</w:t>
      </w:r>
    </w:p>
    <w:p w14:paraId="406C3374" w14:textId="77777777" w:rsidR="005E099E" w:rsidRDefault="005E099E" w:rsidP="005E099E">
      <w:pPr>
        <w:rPr>
          <w:noProof/>
          <w:sz w:val="22"/>
          <w:szCs w:val="22"/>
        </w:rPr>
      </w:pPr>
      <w:r w:rsidRPr="00E86B67">
        <w:rPr>
          <w:noProof/>
          <w:sz w:val="22"/>
          <w:szCs w:val="22"/>
        </w:rPr>
        <w:t>A Feiba NF fokozott óvatossággal alkalmazható olyan betegeknél, ahol fennáll a DIC, az artériás vagy vénás thrombosis kockázata.</w:t>
      </w:r>
      <w:r w:rsidRPr="00E86B67">
        <w:rPr>
          <w:sz w:val="22"/>
          <w:szCs w:val="22"/>
        </w:rPr>
        <w:t xml:space="preserve"> </w:t>
      </w:r>
      <w:r w:rsidRPr="00E86B67">
        <w:rPr>
          <w:noProof/>
          <w:sz w:val="22"/>
          <w:szCs w:val="22"/>
        </w:rPr>
        <w:t>Lásd 4.3 pont.</w:t>
      </w:r>
    </w:p>
    <w:p w14:paraId="11FECF6C" w14:textId="77777777" w:rsidR="005E099E" w:rsidRDefault="005E099E" w:rsidP="005E099E">
      <w:pPr>
        <w:rPr>
          <w:sz w:val="22"/>
          <w:szCs w:val="22"/>
          <w:lang w:val="en-US"/>
        </w:rPr>
      </w:pPr>
      <w:r>
        <w:rPr>
          <w:noProof/>
          <w:sz w:val="22"/>
          <w:szCs w:val="22"/>
        </w:rPr>
        <w:t xml:space="preserve">A Feiba NF-fel végzett klinikai vizsgálatokból nem jelentettek thromboticus microangiopathiát (TMA). TMA eseteket jelentettek egy emicizumabbal végzett klinikai vizsgálatból, ahol a vizsgálati alanyok áttöréses vérzését Feiba NF-fel kezelték (lásd az emicizumab Európai Nyilvános Értékelő Jelentésének (EPAR) klinikai vitairatát, lásd még Oldenburg et al. </w:t>
      </w:r>
      <w:r w:rsidRPr="00D635D5">
        <w:rPr>
          <w:i/>
          <w:sz w:val="22"/>
          <w:szCs w:val="22"/>
          <w:lang w:val="en-US"/>
        </w:rPr>
        <w:t>Emicizumab Prophylaxis in Hemophilia A with Inhibitors.</w:t>
      </w:r>
      <w:r w:rsidRPr="00D6749B">
        <w:rPr>
          <w:sz w:val="22"/>
          <w:szCs w:val="22"/>
          <w:lang w:val="en-US"/>
        </w:rPr>
        <w:t xml:space="preserve"> N Engl J Med 2017:377:809-818).</w:t>
      </w:r>
      <w:r>
        <w:rPr>
          <w:sz w:val="22"/>
          <w:szCs w:val="22"/>
          <w:lang w:val="en-US"/>
        </w:rPr>
        <w:t xml:space="preserve"> Az emicizumabbal kezelt betegek áttöréses vérzéseinek kezelésére alkalmazott Feiba NF biztonságossága és hatásossága nem bizonyított. Amennyiben Feiba NF alkalmazása válik szükségessé emicizumab-profilaxisban részesülő betegeknél, mérlegelje az előnyt és kockázatot.</w:t>
      </w:r>
    </w:p>
    <w:p w14:paraId="77681362" w14:textId="77777777" w:rsidR="005E099E" w:rsidRPr="00E86B67" w:rsidRDefault="005E099E" w:rsidP="005E099E">
      <w:pPr>
        <w:rPr>
          <w:sz w:val="22"/>
          <w:szCs w:val="22"/>
        </w:rPr>
      </w:pPr>
      <w:r>
        <w:rPr>
          <w:sz w:val="22"/>
          <w:szCs w:val="22"/>
        </w:rPr>
        <w:t>Amennyiben emicizumabbal kezelt betegnél Feiba NF-kezelés szükségessége merül fel, a beteget szoros orvosi felügyelet alá kell vonni.</w:t>
      </w:r>
    </w:p>
    <w:p w14:paraId="6EBC9CCC" w14:textId="77777777" w:rsidR="005E099E" w:rsidRDefault="005E099E" w:rsidP="005E099E">
      <w:pPr>
        <w:tabs>
          <w:tab w:val="left" w:pos="567"/>
        </w:tabs>
        <w:ind w:left="17"/>
        <w:rPr>
          <w:noProof/>
          <w:sz w:val="22"/>
          <w:szCs w:val="22"/>
        </w:rPr>
      </w:pPr>
      <w:r w:rsidRPr="00472267">
        <w:rPr>
          <w:noProof/>
          <w:sz w:val="22"/>
          <w:szCs w:val="22"/>
        </w:rPr>
        <w:t>A thromboemboliás események első jelei esetén az infúziót azonnal le kell állítani, és meg kell tenni a megfelelő diagnosztikus és terápiás intézkedéseket.</w:t>
      </w:r>
    </w:p>
    <w:p w14:paraId="54D8243C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Az egyszeri adag nem haladhatja meg a 100 Egység/ttkg</w:t>
      </w:r>
      <w:r w:rsidRPr="00E86B67">
        <w:rPr>
          <w:sz w:val="22"/>
          <w:szCs w:val="22"/>
        </w:rPr>
        <w:noBreakHyphen/>
        <w:t xml:space="preserve">ot; napi dózisként legfeljebb 200 Egység/ttkg adható, hacsak a vérzés súlyossága nem </w:t>
      </w:r>
      <w:r>
        <w:rPr>
          <w:sz w:val="22"/>
          <w:szCs w:val="22"/>
        </w:rPr>
        <w:t xml:space="preserve">indokolja és </w:t>
      </w:r>
      <w:r w:rsidRPr="00E86B67">
        <w:rPr>
          <w:sz w:val="22"/>
          <w:szCs w:val="22"/>
        </w:rPr>
        <w:t>igazolja a magasabb dózis adagolását.</w:t>
      </w:r>
    </w:p>
    <w:p w14:paraId="02F301D2" w14:textId="77777777" w:rsidR="005E099E" w:rsidRPr="006408A4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Amennyiben a készítményt a vérzés megszüntetésére alkalmazzák, csak addig szabad adni, amíg a terápiás cél eléréséhez feltétlenül szükséges.</w:t>
      </w:r>
    </w:p>
    <w:p w14:paraId="3F99779B" w14:textId="77777777" w:rsidR="005E099E" w:rsidRPr="00C066DF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D8E567D" w14:textId="77777777" w:rsidR="005E099E" w:rsidRPr="00E86B67" w:rsidRDefault="005E099E" w:rsidP="005E099E">
      <w:pPr>
        <w:keepNext/>
        <w:tabs>
          <w:tab w:val="left" w:pos="567"/>
        </w:tabs>
        <w:ind w:left="17"/>
        <w:rPr>
          <w:sz w:val="22"/>
          <w:szCs w:val="22"/>
          <w:u w:val="single"/>
        </w:rPr>
      </w:pPr>
      <w:r w:rsidRPr="00E86B67">
        <w:rPr>
          <w:sz w:val="22"/>
          <w:szCs w:val="22"/>
          <w:u w:val="single"/>
        </w:rPr>
        <w:t>Allergiás típusú túlérzékenységi reakciók</w:t>
      </w:r>
    </w:p>
    <w:p w14:paraId="589900CE" w14:textId="77777777" w:rsidR="005E099E" w:rsidRPr="00E86B67" w:rsidRDefault="005E099E" w:rsidP="005E099E">
      <w:pPr>
        <w:tabs>
          <w:tab w:val="left" w:pos="372"/>
        </w:tabs>
        <w:rPr>
          <w:sz w:val="22"/>
          <w:szCs w:val="22"/>
        </w:rPr>
      </w:pPr>
      <w:r w:rsidRPr="00E86B67">
        <w:rPr>
          <w:noProof/>
          <w:sz w:val="22"/>
          <w:szCs w:val="22"/>
        </w:rPr>
        <w:t>A Feiba NF allergiás típusú túlérzékenységi reakciókat válthat ki, amelybe beletartozik az urticaria, az angiooedema, az emésztőrendszeri tünetek, a hörgőgörcs és a hypotensio; ezek a reakciók lehetnek súlyosak és szisztémásak is (pl. urticariával és angiooedemával, hörgőgörccsel és perifériás keringési shockal járó anaphylaxia).</w:t>
      </w:r>
      <w:r w:rsidRPr="00E86B67">
        <w:rPr>
          <w:sz w:val="22"/>
          <w:szCs w:val="22"/>
        </w:rPr>
        <w:t xml:space="preserve"> </w:t>
      </w:r>
      <w:r w:rsidRPr="00E86B67">
        <w:rPr>
          <w:noProof/>
          <w:sz w:val="22"/>
          <w:szCs w:val="22"/>
        </w:rPr>
        <w:t>Egyéb infúziós reakciókról is beszámoltak pl. hidegrázás, láz és hypertensio.</w:t>
      </w:r>
    </w:p>
    <w:p w14:paraId="00C0C15F" w14:textId="77777777" w:rsidR="005E099E" w:rsidRPr="006408A4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  <w:r w:rsidRPr="00472267">
        <w:rPr>
          <w:noProof/>
          <w:sz w:val="22"/>
          <w:szCs w:val="22"/>
        </w:rPr>
        <w:t>Az infúziós/túlérzékenységi reakció első jele vagy tünete esetén a Feiba NF</w:t>
      </w:r>
      <w:r w:rsidRPr="009F1C35">
        <w:rPr>
          <w:noProof/>
          <w:sz w:val="22"/>
          <w:szCs w:val="22"/>
        </w:rPr>
        <w:t xml:space="preserve"> alkalmazását le kell állítani, és biztosítani kell a megfelelő orvosi ell</w:t>
      </w:r>
      <w:r w:rsidRPr="006408A4">
        <w:rPr>
          <w:noProof/>
          <w:sz w:val="22"/>
          <w:szCs w:val="22"/>
        </w:rPr>
        <w:t>átást.</w:t>
      </w:r>
    </w:p>
    <w:p w14:paraId="7DC70784" w14:textId="77777777" w:rsidR="005E099E" w:rsidRPr="00E86B67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  <w:r w:rsidRPr="00065090">
        <w:rPr>
          <w:spacing w:val="-2"/>
          <w:sz w:val="22"/>
          <w:szCs w:val="22"/>
        </w:rPr>
        <w:t xml:space="preserve">Mint minden plazma eredetű készítmény alkalmazása során allergiás típusú túlérzékenységi reakciók fordulhatnak elő. </w:t>
      </w:r>
      <w:r w:rsidRPr="00081D9E">
        <w:rPr>
          <w:spacing w:val="-2"/>
          <w:sz w:val="22"/>
          <w:szCs w:val="22"/>
        </w:rPr>
        <w:t>A betegeket tájékoztatni kell az azonnali típusú túlérzékenységi reakció</w:t>
      </w:r>
      <w:r w:rsidRPr="00824A5B">
        <w:rPr>
          <w:spacing w:val="-2"/>
          <w:sz w:val="22"/>
          <w:szCs w:val="22"/>
        </w:rPr>
        <w:t xml:space="preserve">k jeleiről, </w:t>
      </w:r>
      <w:r w:rsidRPr="003E578C">
        <w:rPr>
          <w:spacing w:val="-2"/>
          <w:sz w:val="22"/>
          <w:szCs w:val="22"/>
        </w:rPr>
        <w:t>úgymint bőrkiütés</w:t>
      </w:r>
      <w:r w:rsidRPr="00CF338B">
        <w:rPr>
          <w:spacing w:val="-2"/>
          <w:sz w:val="22"/>
          <w:szCs w:val="22"/>
        </w:rPr>
        <w:t>, generalizált urticaria, mellkasi szorítás</w:t>
      </w:r>
      <w:r w:rsidRPr="00BE28DC">
        <w:rPr>
          <w:spacing w:val="-2"/>
          <w:sz w:val="22"/>
          <w:szCs w:val="22"/>
        </w:rPr>
        <w:t>, nehézlégzés, vérnyomásesés, anaphy</w:t>
      </w:r>
      <w:r w:rsidRPr="003554EA">
        <w:rPr>
          <w:spacing w:val="-2"/>
          <w:sz w:val="22"/>
          <w:szCs w:val="22"/>
        </w:rPr>
        <w:t xml:space="preserve">laxiás shock. Tájékoztassa betegét, hogy ezeknek a tüneteknek a megjelenése esetén a kezelést hagyja abba és azonnal forduljon orvoshoz. A shockot a </w:t>
      </w:r>
      <w:r w:rsidRPr="00C066DF">
        <w:rPr>
          <w:spacing w:val="-2"/>
          <w:sz w:val="22"/>
          <w:szCs w:val="22"/>
        </w:rPr>
        <w:t>jelenleg érvényes</w:t>
      </w:r>
      <w:r w:rsidRPr="00E86B67">
        <w:rPr>
          <w:spacing w:val="-2"/>
          <w:sz w:val="22"/>
          <w:szCs w:val="22"/>
        </w:rPr>
        <w:t xml:space="preserve"> shockra vonatkozó terápiás protokoll szabályai szerint kell kezelni.</w:t>
      </w:r>
    </w:p>
    <w:p w14:paraId="57784106" w14:textId="77777777" w:rsidR="005E099E" w:rsidRPr="00E86B67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</w:p>
    <w:p w14:paraId="3B63621D" w14:textId="77777777" w:rsidR="005E099E" w:rsidRPr="00E86B67" w:rsidRDefault="005E099E" w:rsidP="005E099E">
      <w:pPr>
        <w:tabs>
          <w:tab w:val="left" w:pos="567"/>
        </w:tabs>
        <w:ind w:left="17"/>
        <w:rPr>
          <w:spacing w:val="-2"/>
          <w:sz w:val="22"/>
          <w:szCs w:val="22"/>
        </w:rPr>
      </w:pPr>
      <w:r w:rsidRPr="00E86B67">
        <w:rPr>
          <w:spacing w:val="-2"/>
          <w:sz w:val="22"/>
          <w:szCs w:val="22"/>
        </w:rPr>
        <w:t>Amikor a Feiba NF ismételt alkalmazása kerül szóba olyan betegnél, akinél ismert, vagy gyanítható a készítmény hatóanyagával vagy bármely egyéb összetevőjével szembeni túlérzékenység, gondosan mérlegelni kell a kezelés várható előnyét és az ismételt adagolás veszélyét, figyelembe véve a beteg ismert vagy gyanított túlérzékenységét (allergiás vagy nem</w:t>
      </w:r>
      <w:r w:rsidRPr="00E86B67">
        <w:rPr>
          <w:spacing w:val="-2"/>
          <w:sz w:val="22"/>
          <w:szCs w:val="22"/>
        </w:rPr>
        <w:noBreakHyphen/>
        <w:t>allergiás), valamint a lehetséges gyógyító és/vagy megelőző kezelést, illetve alternatív terápiás tényezőket.</w:t>
      </w:r>
    </w:p>
    <w:p w14:paraId="6EB7D1B1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  <w:u w:val="single"/>
        </w:rPr>
      </w:pPr>
    </w:p>
    <w:p w14:paraId="1CF4675E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kezelés hatásosságának monitorozása</w:t>
      </w:r>
    </w:p>
    <w:p w14:paraId="672E428F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 xml:space="preserve">Nem szabad túllépni a maximális egyszeri 100 Egység/ttkg, ill. napi 200 Egység/ttkg adagot. </w:t>
      </w:r>
      <w:r>
        <w:rPr>
          <w:sz w:val="22"/>
          <w:szCs w:val="22"/>
        </w:rPr>
        <w:t xml:space="preserve">A </w:t>
      </w:r>
      <w:r w:rsidRPr="00E86B67">
        <w:rPr>
          <w:sz w:val="22"/>
          <w:szCs w:val="22"/>
        </w:rPr>
        <w:t>100 Egység/ttkg</w:t>
      </w:r>
      <w:r w:rsidRPr="00E86B67">
        <w:rPr>
          <w:b/>
          <w:sz w:val="22"/>
          <w:szCs w:val="22"/>
        </w:rPr>
        <w:noBreakHyphen/>
      </w:r>
      <w:r>
        <w:rPr>
          <w:sz w:val="22"/>
          <w:szCs w:val="22"/>
        </w:rPr>
        <w:t>nál nagyobb adaggal kezelt betegeket gondosan monitorozni kell a DIC</w:t>
      </w:r>
      <w:r w:rsidRPr="00E86B6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és/vagy a heveny coronaria ischaemia kialakulására vonatkozóan. </w:t>
      </w:r>
      <w:r w:rsidRPr="00E86B67">
        <w:rPr>
          <w:sz w:val="22"/>
          <w:szCs w:val="22"/>
        </w:rPr>
        <w:t>A nagy dózisú Feiba NF</w:t>
      </w:r>
      <w:r w:rsidRPr="00E86B67">
        <w:rPr>
          <w:sz w:val="22"/>
          <w:szCs w:val="22"/>
        </w:rPr>
        <w:noBreakHyphen/>
        <w:t>kezelést csak addig szabad folytatni, amíg ez a vérzés megszűntetéséhez feltétlenül szükséges.</w:t>
      </w:r>
    </w:p>
    <w:p w14:paraId="74BC57BD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87EEE2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bookmarkStart w:id="0" w:name="OLE_LINK1"/>
      <w:bookmarkStart w:id="1" w:name="OLE_LINK2"/>
      <w:r w:rsidRPr="00E86B67">
        <w:rPr>
          <w:sz w:val="22"/>
          <w:szCs w:val="22"/>
        </w:rPr>
        <w:t xml:space="preserve">A vérnyomás és a szívfrekvencia klinikai szempontból számottevő változása, légzési panaszok, mellkasi fájdalom vagy köhögés jelentkezésekor azonnal le kell állítani az infúzió beadását, tisztázni kell a panaszok okát, és megfelelő kezelést kell alkalmazni. </w:t>
      </w:r>
      <w:r w:rsidRPr="00E86B67">
        <w:rPr>
          <w:spacing w:val="-2"/>
          <w:sz w:val="22"/>
          <w:szCs w:val="22"/>
        </w:rPr>
        <w:t xml:space="preserve">A DIC laboratóriumi tünetei: a fibrinogénszint, valamint a thrombocytaszám csökkenése </w:t>
      </w:r>
      <w:r w:rsidRPr="00E86B67">
        <w:rPr>
          <w:sz w:val="22"/>
          <w:szCs w:val="22"/>
        </w:rPr>
        <w:t>és/vagy fibrin</w:t>
      </w:r>
      <w:r w:rsidRPr="00E86B67">
        <w:rPr>
          <w:sz w:val="22"/>
          <w:szCs w:val="22"/>
        </w:rPr>
        <w:noBreakHyphen/>
        <w:t>/fibrinogén bomlástermékek (FDP) megjelenése.</w:t>
      </w:r>
      <w:bookmarkEnd w:id="0"/>
      <w:bookmarkEnd w:id="1"/>
      <w:r w:rsidRPr="00E86B67">
        <w:rPr>
          <w:sz w:val="22"/>
          <w:szCs w:val="22"/>
        </w:rPr>
        <w:t xml:space="preserve"> Úgyszintén kórjelző a trombinidő, a protrombinidő és az aPTI jelentős megnyúlása.</w:t>
      </w:r>
    </w:p>
    <w:p w14:paraId="38838884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918FFE7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Szerzett haemophilia</w:t>
      </w:r>
    </w:p>
    <w:p w14:paraId="3F1E137D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Feiba NF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fel kezelt inhibitoros haemophiliás vagy véralvadási faktorok elleni szerzett inhibitoros betegeknél a vérzésre való hajlam és a thromboemboliák kockázata egyidőben lehet fokozott.</w:t>
      </w:r>
    </w:p>
    <w:p w14:paraId="7FDE82B0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1648A9CD" w14:textId="77777777" w:rsidR="005E099E" w:rsidRPr="005E099E" w:rsidRDefault="005E099E" w:rsidP="005E099E">
      <w:pPr>
        <w:pStyle w:val="Cmsor3"/>
        <w:keepNext w:val="0"/>
        <w:keepLines w:val="0"/>
        <w:tabs>
          <w:tab w:val="left" w:pos="567"/>
        </w:tabs>
        <w:spacing w:before="0" w:after="0"/>
        <w:ind w:left="17"/>
        <w:rPr>
          <w:rFonts w:eastAsia="Times New Roman" w:cs="Times New Roman"/>
          <w:color w:val="auto"/>
          <w:sz w:val="22"/>
          <w:szCs w:val="22"/>
        </w:rPr>
      </w:pPr>
      <w:r w:rsidRPr="005E099E">
        <w:rPr>
          <w:rFonts w:eastAsia="Times New Roman" w:cs="Times New Roman"/>
          <w:color w:val="auto"/>
          <w:sz w:val="22"/>
          <w:szCs w:val="22"/>
        </w:rPr>
        <w:t>Laboratóriumi vizsgálatok és a klinikai hatásosság</w:t>
      </w:r>
    </w:p>
    <w:p w14:paraId="7CA6EDB8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szubsztitúciós kezelés hatásosságára használatos</w:t>
      </w:r>
      <w:r w:rsidRPr="00E86B67">
        <w:rPr>
          <w:i/>
          <w:sz w:val="22"/>
          <w:szCs w:val="22"/>
        </w:rPr>
        <w:t xml:space="preserve"> in vitro </w:t>
      </w:r>
      <w:r w:rsidRPr="00E86B67">
        <w:rPr>
          <w:sz w:val="22"/>
          <w:szCs w:val="22"/>
        </w:rPr>
        <w:t>vizsgálatok (pl. aPTI, teljes vér alvadási ideje, TEG) eredményei nem feltétlenül állnak összhangban a mutatkozó klinikai javulással. Ezt szem előtt tartva, a Feiba NF adagjának növelése csupán az említett paraméterek normalizálása céljából feltehetően hiábavaló, ill. a DIC kialakulásának kockázata, továbbá a túladagolás veszélye miatt feltétlenül kerülendő.</w:t>
      </w:r>
    </w:p>
    <w:p w14:paraId="2AFA9A4A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AFDD8D4" w14:textId="77777777" w:rsidR="005E099E" w:rsidRPr="00E86B67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thrombocytaszám jelentősége</w:t>
      </w:r>
    </w:p>
    <w:p w14:paraId="277435F4" w14:textId="77777777" w:rsidR="005E099E" w:rsidRPr="00E86B67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Ha nem kielégítő a Feiba NF terápiás hatása, ajánlott ellenőrizni a beteg thrombocytaszámát, hiszen a készítmény hatása csak elegendő mennyiségű, ép működésű thrombocyta jelenlétében érvényesülhet.</w:t>
      </w:r>
    </w:p>
    <w:p w14:paraId="30468BB6" w14:textId="77777777" w:rsidR="005E099E" w:rsidRPr="00E86B67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</w:p>
    <w:p w14:paraId="1D6A9631" w14:textId="77777777" w:rsidR="005E099E" w:rsidRPr="00C066DF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  <w:r w:rsidRPr="003554EA">
        <w:rPr>
          <w:sz w:val="22"/>
          <w:szCs w:val="22"/>
          <w:u w:val="single"/>
        </w:rPr>
        <w:t>Intézkedések a fertőző ágensek átvitelének megelőzésére</w:t>
      </w:r>
    </w:p>
    <w:p w14:paraId="1D109DCF" w14:textId="77777777" w:rsidR="005E099E" w:rsidRPr="00B63223" w:rsidRDefault="005E099E" w:rsidP="005E099E">
      <w:pPr>
        <w:pStyle w:val="Szvegtrzs2"/>
        <w:tabs>
          <w:tab w:val="left" w:pos="567"/>
        </w:tabs>
        <w:rPr>
          <w:sz w:val="22"/>
          <w:szCs w:val="22"/>
        </w:rPr>
      </w:pPr>
      <w:r w:rsidRPr="008B6F3B">
        <w:rPr>
          <w:sz w:val="22"/>
          <w:szCs w:val="22"/>
        </w:rPr>
        <w:t>A humán vérből vagy vérplazmából előállított gyógyszerkészítmények alkalmazásából származó fertőzések megelőzésére meghatározott módszereket kell alkalmazni. Ezek közé tartozik a donorok megválasztása, az egyéni vérminták és a gyártási plazmakeverék szűrővizsgálata meghatározott fertőzést jelző markerekre, valamint a gyártás során alkalmazott vírusinaktiváló/</w:t>
      </w:r>
      <w:r w:rsidRPr="008B6F3B">
        <w:rPr>
          <w:sz w:val="22"/>
          <w:szCs w:val="22"/>
        </w:rPr>
        <w:noBreakHyphen/>
        <w:t xml:space="preserve">eltávolító eljárások. Mindezek ellenére, humán vérből vagy plazmából készült gyógyszerkészítmények alkalmazása esetén a fertőző ágensek átvitele nem zárható ki teljes bizonyossággal. </w:t>
      </w:r>
      <w:r w:rsidRPr="003B5409">
        <w:rPr>
          <w:sz w:val="22"/>
          <w:szCs w:val="22"/>
        </w:rPr>
        <w:t>Ugyanez érvényes az ismeretlen vagy új vírusokra és más kórokozókra.</w:t>
      </w:r>
    </w:p>
    <w:p w14:paraId="2182D708" w14:textId="77777777" w:rsidR="005E099E" w:rsidRPr="005E099E" w:rsidRDefault="005E099E" w:rsidP="005E099E">
      <w:pPr>
        <w:tabs>
          <w:tab w:val="left" w:pos="567"/>
        </w:tabs>
        <w:rPr>
          <w:sz w:val="22"/>
          <w:szCs w:val="22"/>
          <w:lang w:val="x-none"/>
        </w:rPr>
      </w:pPr>
    </w:p>
    <w:p w14:paraId="338016AA" w14:textId="77777777" w:rsidR="005E099E" w:rsidRPr="00065090" w:rsidRDefault="005E099E" w:rsidP="005E099E">
      <w:pPr>
        <w:tabs>
          <w:tab w:val="left" w:pos="567"/>
        </w:tabs>
        <w:rPr>
          <w:sz w:val="22"/>
          <w:szCs w:val="22"/>
        </w:rPr>
      </w:pPr>
      <w:r w:rsidRPr="006408A4">
        <w:rPr>
          <w:sz w:val="22"/>
          <w:szCs w:val="22"/>
        </w:rPr>
        <w:t>Az alkalmazott módszerek hatékonynak bizonyultak bizonyos burokkal rendelkező vírusok ellen, úgymint humán immu</w:t>
      </w:r>
      <w:r w:rsidRPr="00065090">
        <w:rPr>
          <w:sz w:val="22"/>
          <w:szCs w:val="22"/>
        </w:rPr>
        <w:t>ndeficiencia vírus (HIV), hepatitis B vírus (HBV) és hepatitis C vírus (HCV), valamint a burokkal nem rendelkező hepatitis A vírus (HAV) ellen.</w:t>
      </w:r>
      <w:r>
        <w:rPr>
          <w:sz w:val="22"/>
          <w:szCs w:val="22"/>
        </w:rPr>
        <w:t xml:space="preserve"> </w:t>
      </w:r>
      <w:r w:rsidRPr="00046824">
        <w:rPr>
          <w:sz w:val="22"/>
          <w:szCs w:val="22"/>
        </w:rPr>
        <w:t>Ezek az eljárások korlátozott hatékonysággal rendelkezhetnek bizonyos burok nélküli vírusokkal szemben, mint pl. a parvovírus</w:t>
      </w:r>
      <w:r>
        <w:rPr>
          <w:sz w:val="22"/>
          <w:szCs w:val="22"/>
        </w:rPr>
        <w:t> </w:t>
      </w:r>
      <w:r w:rsidRPr="00046824">
        <w:rPr>
          <w:sz w:val="22"/>
          <w:szCs w:val="22"/>
        </w:rPr>
        <w:t>B19. A parvovírus</w:t>
      </w:r>
      <w:r>
        <w:rPr>
          <w:sz w:val="22"/>
          <w:szCs w:val="22"/>
        </w:rPr>
        <w:t> </w:t>
      </w:r>
      <w:r w:rsidRPr="00046824">
        <w:rPr>
          <w:sz w:val="22"/>
          <w:szCs w:val="22"/>
        </w:rPr>
        <w:t>B19</w:t>
      </w:r>
      <w:r>
        <w:rPr>
          <w:sz w:val="22"/>
          <w:szCs w:val="22"/>
        </w:rPr>
        <w:noBreakHyphen/>
      </w:r>
      <w:r w:rsidRPr="00046824">
        <w:rPr>
          <w:sz w:val="22"/>
          <w:szCs w:val="22"/>
        </w:rPr>
        <w:t>fertőzés leginkább a terhes nőkre (magzati fertőzés miatt), és azokra a betegekre veszélyes, akik immunhiányban vagy fokozott erythropoesisben (pl. haemolyticus anaemia) szenvednek.</w:t>
      </w:r>
    </w:p>
    <w:p w14:paraId="53F2398B" w14:textId="77777777" w:rsidR="005E099E" w:rsidRPr="00081D9E" w:rsidRDefault="005E099E" w:rsidP="005E099E">
      <w:pPr>
        <w:tabs>
          <w:tab w:val="left" w:pos="567"/>
        </w:tabs>
        <w:rPr>
          <w:sz w:val="22"/>
          <w:szCs w:val="22"/>
        </w:rPr>
      </w:pPr>
    </w:p>
    <w:p w14:paraId="0E9675C5" w14:textId="77777777" w:rsidR="005E099E" w:rsidRPr="006408A4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472267">
        <w:rPr>
          <w:sz w:val="22"/>
          <w:szCs w:val="22"/>
        </w:rPr>
        <w:t>H</w:t>
      </w:r>
      <w:r w:rsidRPr="009F1C35">
        <w:rPr>
          <w:sz w:val="22"/>
          <w:szCs w:val="22"/>
        </w:rPr>
        <w:t>umán plazmából előállított gyógyszerkészítményekkel</w:t>
      </w:r>
      <w:r>
        <w:rPr>
          <w:sz w:val="22"/>
          <w:szCs w:val="22"/>
        </w:rPr>
        <w:t>,</w:t>
      </w:r>
      <w:r w:rsidRPr="009F1C35">
        <w:rPr>
          <w:sz w:val="22"/>
          <w:szCs w:val="22"/>
        </w:rPr>
        <w:t xml:space="preserve"> köztük Feiba NF</w:t>
      </w:r>
      <w:r w:rsidRPr="00E86B67">
        <w:rPr>
          <w:b/>
          <w:sz w:val="22"/>
          <w:szCs w:val="22"/>
        </w:rPr>
        <w:noBreakHyphen/>
      </w:r>
      <w:r w:rsidRPr="009F1C35">
        <w:rPr>
          <w:sz w:val="22"/>
          <w:szCs w:val="22"/>
        </w:rPr>
        <w:t xml:space="preserve">fel rendszeresen/ismételten </w:t>
      </w:r>
      <w:r w:rsidRPr="006408A4">
        <w:rPr>
          <w:sz w:val="22"/>
          <w:szCs w:val="22"/>
        </w:rPr>
        <w:t>kezelt betegeket ajánlott megfelelő (hepatitis A és B elleni) védőoltásban részesíteni.</w:t>
      </w:r>
    </w:p>
    <w:p w14:paraId="3D30CC1A" w14:textId="77777777" w:rsidR="005E099E" w:rsidRPr="00081D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1412CA81" w14:textId="77777777" w:rsidR="005E099E" w:rsidRPr="00824A5B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824A5B">
        <w:rPr>
          <w:b/>
          <w:sz w:val="22"/>
          <w:szCs w:val="22"/>
        </w:rPr>
        <w:t>Óvintézkedések</w:t>
      </w:r>
    </w:p>
    <w:p w14:paraId="2FEF6E29" w14:textId="77777777" w:rsidR="005E099E" w:rsidRPr="00BE28DC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Thromboemboliás szövődmények</w:t>
      </w:r>
    </w:p>
    <w:p w14:paraId="0F61F6AF" w14:textId="77777777" w:rsidR="005E099E" w:rsidRPr="009F1C35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C066DF">
        <w:rPr>
          <w:sz w:val="22"/>
          <w:szCs w:val="22"/>
        </w:rPr>
        <w:t xml:space="preserve">A következő körülmények között </w:t>
      </w:r>
      <w:r w:rsidRPr="00E86B67">
        <w:rPr>
          <w:sz w:val="22"/>
          <w:szCs w:val="22"/>
        </w:rPr>
        <w:t>Feiba NF</w:t>
      </w:r>
      <w:r w:rsidRPr="009F1C35">
        <w:rPr>
          <w:sz w:val="22"/>
          <w:szCs w:val="22"/>
        </w:rPr>
        <w:t xml:space="preserve"> csak abban az esetben adható, ha a megfelelő alvadási faktorkoncentrátum adása várhatóan hatástalan</w:t>
      </w:r>
      <w:r>
        <w:rPr>
          <w:sz w:val="22"/>
          <w:szCs w:val="22"/>
        </w:rPr>
        <w:t xml:space="preserve"> lesz</w:t>
      </w:r>
      <w:r w:rsidRPr="009F1C35">
        <w:rPr>
          <w:sz w:val="22"/>
          <w:szCs w:val="22"/>
        </w:rPr>
        <w:t>, pl. rendkívül magas inhibitorszint és életet veszélyeztető vérzés vagy vérzésveszély (poszttraumás vagy posztoperatív) esetén:</w:t>
      </w:r>
    </w:p>
    <w:p w14:paraId="3C415E9B" w14:textId="09D670DE" w:rsidR="005E099E" w:rsidRPr="009F1C35" w:rsidRDefault="005E099E" w:rsidP="005E099E">
      <w:pPr>
        <w:numPr>
          <w:ilvl w:val="0"/>
          <w:numId w:val="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9F1C35">
        <w:rPr>
          <w:sz w:val="22"/>
          <w:szCs w:val="22"/>
        </w:rPr>
        <w:t>disseminált intravascul</w:t>
      </w:r>
      <w:r>
        <w:rPr>
          <w:sz w:val="22"/>
          <w:szCs w:val="22"/>
        </w:rPr>
        <w:t>a</w:t>
      </w:r>
      <w:r w:rsidRPr="009F1C35">
        <w:rPr>
          <w:sz w:val="22"/>
          <w:szCs w:val="22"/>
        </w:rPr>
        <w:t>ris coagulatio (DIC) egyértelmű laboratóriumi és/vagy klinikai tünetei</w:t>
      </w:r>
      <w:r>
        <w:rPr>
          <w:sz w:val="22"/>
          <w:szCs w:val="22"/>
        </w:rPr>
        <w:t xml:space="preserve"> esetén</w:t>
      </w:r>
      <w:r w:rsidR="00B50E5A">
        <w:rPr>
          <w:sz w:val="22"/>
          <w:szCs w:val="22"/>
        </w:rPr>
        <w:t>,</w:t>
      </w:r>
    </w:p>
    <w:p w14:paraId="32D741A4" w14:textId="4B5B3F68" w:rsidR="005E099E" w:rsidRPr="009F1C35" w:rsidRDefault="005E099E" w:rsidP="005E099E">
      <w:pPr>
        <w:numPr>
          <w:ilvl w:val="1"/>
          <w:numId w:val="8"/>
        </w:numPr>
        <w:rPr>
          <w:sz w:val="22"/>
          <w:szCs w:val="22"/>
        </w:rPr>
      </w:pPr>
      <w:r w:rsidRPr="009F1C35">
        <w:rPr>
          <w:sz w:val="22"/>
          <w:szCs w:val="22"/>
        </w:rPr>
        <w:t xml:space="preserve">májkárosodás; a májműködés </w:t>
      </w:r>
      <w:r w:rsidR="00B50E5A">
        <w:rPr>
          <w:sz w:val="22"/>
          <w:szCs w:val="22"/>
        </w:rPr>
        <w:t>csökkenése</w:t>
      </w:r>
      <w:r w:rsidRPr="009F1C35">
        <w:rPr>
          <w:sz w:val="22"/>
          <w:szCs w:val="22"/>
        </w:rPr>
        <w:t xml:space="preserve"> esetén </w:t>
      </w:r>
      <w:r>
        <w:rPr>
          <w:sz w:val="22"/>
          <w:szCs w:val="22"/>
        </w:rPr>
        <w:noBreakHyphen/>
        <w:t xml:space="preserve"> </w:t>
      </w:r>
      <w:r w:rsidRPr="009F1C35">
        <w:rPr>
          <w:sz w:val="22"/>
          <w:szCs w:val="22"/>
        </w:rPr>
        <w:t>az aktivált alvadási faktorok lassú clearance</w:t>
      </w:r>
      <w:r>
        <w:rPr>
          <w:sz w:val="22"/>
          <w:szCs w:val="22"/>
        </w:rPr>
        <w:noBreakHyphen/>
      </w:r>
      <w:r w:rsidRPr="009F1C35">
        <w:rPr>
          <w:sz w:val="22"/>
          <w:szCs w:val="22"/>
        </w:rPr>
        <w:t>e miatt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noBreakHyphen/>
      </w:r>
      <w:r w:rsidRPr="009F1C35">
        <w:rPr>
          <w:sz w:val="22"/>
          <w:szCs w:val="22"/>
        </w:rPr>
        <w:t xml:space="preserve"> fokozott a DIC kialakulásának kockázata</w:t>
      </w:r>
      <w:r w:rsidR="00B50E5A">
        <w:rPr>
          <w:sz w:val="22"/>
          <w:szCs w:val="22"/>
        </w:rPr>
        <w:t>,</w:t>
      </w:r>
    </w:p>
    <w:p w14:paraId="06FE088C" w14:textId="425DC571" w:rsidR="005E099E" w:rsidRPr="00081D9E" w:rsidRDefault="005E099E" w:rsidP="005E099E">
      <w:pPr>
        <w:numPr>
          <w:ilvl w:val="0"/>
          <w:numId w:val="7"/>
        </w:numPr>
        <w:tabs>
          <w:tab w:val="left" w:pos="567"/>
        </w:tabs>
        <w:ind w:left="426" w:hanging="426"/>
        <w:rPr>
          <w:sz w:val="22"/>
          <w:szCs w:val="22"/>
        </w:rPr>
      </w:pPr>
      <w:r w:rsidRPr="006408A4">
        <w:rPr>
          <w:sz w:val="22"/>
          <w:szCs w:val="22"/>
        </w:rPr>
        <w:t>coronaria</w:t>
      </w:r>
      <w:r w:rsidRPr="006408A4">
        <w:rPr>
          <w:sz w:val="22"/>
          <w:szCs w:val="22"/>
        </w:rPr>
        <w:noBreakHyphen/>
        <w:t>szívbetegség (CHD), akut t</w:t>
      </w:r>
      <w:r w:rsidRPr="00065090">
        <w:rPr>
          <w:sz w:val="22"/>
          <w:szCs w:val="22"/>
        </w:rPr>
        <w:t>hrombos</w:t>
      </w:r>
      <w:r w:rsidRPr="00081D9E">
        <w:rPr>
          <w:sz w:val="22"/>
          <w:szCs w:val="22"/>
        </w:rPr>
        <w:t>is és/vagy embolia</w:t>
      </w:r>
      <w:r w:rsidR="00B50E5A">
        <w:rPr>
          <w:sz w:val="22"/>
          <w:szCs w:val="22"/>
        </w:rPr>
        <w:t>.</w:t>
      </w:r>
    </w:p>
    <w:p w14:paraId="5A9A9FC6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8F0629E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A Feiba NF</w:t>
      </w:r>
      <w:r>
        <w:rPr>
          <w:sz w:val="22"/>
          <w:szCs w:val="22"/>
        </w:rPr>
        <w:noBreakHyphen/>
        <w:t xml:space="preserve">fel kezelt betegeket monitorozni kell DIC kialakulására, akut coronaria-ischaemiára és egyéb </w:t>
      </w:r>
      <w:r w:rsidRPr="00472267">
        <w:rPr>
          <w:noProof/>
          <w:sz w:val="22"/>
          <w:szCs w:val="22"/>
        </w:rPr>
        <w:t xml:space="preserve">thromboemboliás események </w:t>
      </w:r>
      <w:r>
        <w:rPr>
          <w:noProof/>
          <w:sz w:val="22"/>
          <w:szCs w:val="22"/>
        </w:rPr>
        <w:t xml:space="preserve">jeleire és tüneteire. </w:t>
      </w:r>
      <w:r w:rsidRPr="00472267">
        <w:rPr>
          <w:noProof/>
          <w:sz w:val="22"/>
          <w:szCs w:val="22"/>
        </w:rPr>
        <w:t>A thromboemboliás események első jelei</w:t>
      </w:r>
      <w:r>
        <w:rPr>
          <w:noProof/>
          <w:sz w:val="22"/>
          <w:szCs w:val="22"/>
        </w:rPr>
        <w:t xml:space="preserve"> vagy tünetei</w:t>
      </w:r>
      <w:r w:rsidRPr="00472267">
        <w:rPr>
          <w:noProof/>
          <w:sz w:val="22"/>
          <w:szCs w:val="22"/>
        </w:rPr>
        <w:t xml:space="preserve"> esetén az infúziót azonnal le kell állítani, és meg kell tenni a megfelelő diagnosztikus és terápiás intézkedéseket.</w:t>
      </w:r>
    </w:p>
    <w:p w14:paraId="3904329F" w14:textId="77777777" w:rsidR="005E099E" w:rsidRPr="00824A5B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116D4E7" w14:textId="77777777" w:rsidR="005E099E" w:rsidRPr="00BE28DC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BE28DC">
        <w:rPr>
          <w:sz w:val="22"/>
          <w:szCs w:val="22"/>
        </w:rPr>
        <w:t>Eltérő válasz a megkerülő (bypassing) aktivitású készítményekre</w:t>
      </w:r>
    </w:p>
    <w:p w14:paraId="13F28547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C066DF">
        <w:rPr>
          <w:sz w:val="22"/>
          <w:szCs w:val="22"/>
        </w:rPr>
        <w:t xml:space="preserve">A bypassing aktivitású </w:t>
      </w:r>
      <w:r w:rsidRPr="00E86B67">
        <w:rPr>
          <w:sz w:val="22"/>
          <w:szCs w:val="22"/>
        </w:rPr>
        <w:t>készítményre adott válasz, a beteg</w:t>
      </w:r>
      <w:r w:rsidRPr="00E86B67">
        <w:rPr>
          <w:sz w:val="22"/>
          <w:szCs w:val="22"/>
        </w:rPr>
        <w:noBreakHyphen/>
        <w:t>specifikus tényezők miatt, különböző lehet. Egy előforduló vérzéses esemény kapcsán a beteg az egyik készítményre nem megfelelő választ, míg a másikra megfelelőt tapasztalhat. Egyik bypassing aktivitású készítményre adott nem megfelelő válasz esetén számításba kell venni egy másik készítmény alkalmazását.</w:t>
      </w:r>
    </w:p>
    <w:p w14:paraId="59EFA2DF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59483A0C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Anamnesztikus válaszok</w:t>
      </w:r>
    </w:p>
    <w:p w14:paraId="42E7D3EC" w14:textId="77777777" w:rsidR="005E099E" w:rsidRPr="00081D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Inhibitoros betegeknél a Feiba NF alkalmazása az inhibitorszint kezdeti, anamnesztikus emelkedését okozhatja. A Feiba NF folyamatos alkalmazás</w:t>
      </w:r>
      <w:r>
        <w:rPr>
          <w:sz w:val="22"/>
          <w:szCs w:val="22"/>
        </w:rPr>
        <w:t>a</w:t>
      </w:r>
      <w:r w:rsidRPr="00081D9E">
        <w:rPr>
          <w:sz w:val="22"/>
          <w:szCs w:val="22"/>
        </w:rPr>
        <w:t xml:space="preserve"> mellett az inhibitorok szintj</w:t>
      </w:r>
      <w:r>
        <w:rPr>
          <w:sz w:val="22"/>
          <w:szCs w:val="22"/>
        </w:rPr>
        <w:t>e</w:t>
      </w:r>
      <w:r w:rsidRPr="00081D9E">
        <w:rPr>
          <w:sz w:val="22"/>
          <w:szCs w:val="22"/>
        </w:rPr>
        <w:t xml:space="preserve"> csökkenhet. A klinikai és publikált adatok alapján a Feiba NF hatásossága nem csökken.</w:t>
      </w:r>
    </w:p>
    <w:p w14:paraId="52B9DE59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F93DF76" w14:textId="77777777" w:rsidR="005E099E" w:rsidRPr="00824A5B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Interferencia laboratóriumi vizsgálatokkal</w:t>
      </w:r>
    </w:p>
    <w:p w14:paraId="26F0979F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C066DF">
        <w:rPr>
          <w:sz w:val="22"/>
          <w:szCs w:val="22"/>
        </w:rPr>
        <w:t>Nagydózisú Feiba NF alkalmazása után, a passzívan átvitt hepatitis B felületi</w:t>
      </w:r>
      <w:r w:rsidRPr="00E86B67">
        <w:rPr>
          <w:sz w:val="22"/>
          <w:szCs w:val="22"/>
        </w:rPr>
        <w:t xml:space="preserve"> antitestek átmeneti emelkedése a szerológiai tesztek fals pozitív eredményét okozhatják.</w:t>
      </w:r>
    </w:p>
    <w:p w14:paraId="76F57BDC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 xml:space="preserve">A Feiba NF vércsoport-izohemagglutinineket (anti-A és anti-B) tartalmaz. Vörösvértest-antigének </w:t>
      </w:r>
      <w:r w:rsidRPr="00A34EFF">
        <w:rPr>
          <w:sz w:val="22"/>
          <w:szCs w:val="22"/>
        </w:rPr>
        <w:t>(pl. A, B, D)</w:t>
      </w:r>
      <w:r>
        <w:rPr>
          <w:sz w:val="22"/>
          <w:szCs w:val="22"/>
        </w:rPr>
        <w:t xml:space="preserve"> elleni antitestek passzív átvitele kölcsönhatásba léphet olyan szerológiai tesztekkel, amelyek vörösvértest-antitestek kimutatására szolgálnak (Coombs teszt).</w:t>
      </w:r>
    </w:p>
    <w:p w14:paraId="429DA39A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49A2E60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Gyermekek</w:t>
      </w:r>
    </w:p>
    <w:p w14:paraId="19F1F424" w14:textId="77777777" w:rsidR="005E099E" w:rsidRPr="00530D49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jelentett esetekből és a klinikai vizsgálatokból származó korlátozott mennyiségű adatok alapján a Feiba NF 6 évesnél fiatalabb gyermekeknél</w:t>
      </w:r>
      <w:r w:rsidRPr="00530D4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is </w:t>
      </w:r>
      <w:r w:rsidRPr="00530D49">
        <w:rPr>
          <w:sz w:val="22"/>
          <w:szCs w:val="22"/>
        </w:rPr>
        <w:t>alkalmazható.</w:t>
      </w:r>
    </w:p>
    <w:p w14:paraId="722FC5B1" w14:textId="77777777" w:rsidR="005E099E" w:rsidRPr="006408A4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DC0157B" w14:textId="77777777" w:rsidR="005E099E" w:rsidRPr="00065090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065090">
        <w:rPr>
          <w:sz w:val="22"/>
          <w:szCs w:val="22"/>
        </w:rPr>
        <w:t>Profilaxis</w:t>
      </w:r>
    </w:p>
    <w:p w14:paraId="3D04E507" w14:textId="77777777" w:rsidR="005E099E" w:rsidRPr="00081D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081D9E">
        <w:rPr>
          <w:sz w:val="22"/>
          <w:szCs w:val="22"/>
        </w:rPr>
        <w:t>Csak korlátozott mennyiségű klinikai adat áll rendelkezésre a haemophiliás betegek vérzéseinek megelőzésére alkalmazott Feiba NF</w:t>
      </w:r>
      <w:r w:rsidRPr="00E86B67">
        <w:rPr>
          <w:sz w:val="22"/>
          <w:szCs w:val="22"/>
        </w:rPr>
        <w:noBreakHyphen/>
      </w:r>
      <w:r w:rsidRPr="00081D9E">
        <w:rPr>
          <w:sz w:val="22"/>
          <w:szCs w:val="22"/>
        </w:rPr>
        <w:t>ről.</w:t>
      </w:r>
    </w:p>
    <w:p w14:paraId="7FD3131C" w14:textId="77777777" w:rsidR="005E099E" w:rsidRPr="00824A5B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5F9103A5" w14:textId="77777777" w:rsidR="005E099E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  <w:u w:val="single"/>
        </w:rPr>
      </w:pPr>
      <w:r w:rsidRPr="00F50D87">
        <w:rPr>
          <w:sz w:val="22"/>
          <w:szCs w:val="22"/>
          <w:u w:val="single"/>
        </w:rPr>
        <w:t>Nátrium</w:t>
      </w:r>
    </w:p>
    <w:p w14:paraId="5945AF20" w14:textId="77777777" w:rsidR="005E099E" w:rsidRPr="00F50D87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</w:p>
    <w:p w14:paraId="615C44D3" w14:textId="77777777" w:rsidR="005E099E" w:rsidRPr="00246541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  <w:u w:val="single"/>
        </w:rPr>
      </w:pPr>
      <w:r w:rsidRPr="00246541">
        <w:rPr>
          <w:sz w:val="22"/>
          <w:szCs w:val="22"/>
          <w:u w:val="single"/>
        </w:rPr>
        <w:t>500 Egység</w:t>
      </w:r>
    </w:p>
    <w:p w14:paraId="6417FD44" w14:textId="069C6222" w:rsidR="005E099E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A Feiba NF hozzávetőlegesen 40 mg nátriumot tartalmaz injekciós üvegenként, ami felnőtteknél megfelel a WHO által ajánlott maximális napi 2 g nátriumbevitel 2%-ának</w:t>
      </w:r>
      <w:r w:rsidRPr="00530D49">
        <w:rPr>
          <w:sz w:val="22"/>
          <w:szCs w:val="22"/>
        </w:rPr>
        <w:t>.</w:t>
      </w:r>
    </w:p>
    <w:p w14:paraId="075BFF62" w14:textId="77777777" w:rsidR="005E099E" w:rsidRDefault="005E099E" w:rsidP="005E099E">
      <w:pPr>
        <w:widowControl w:val="0"/>
        <w:tabs>
          <w:tab w:val="left" w:pos="567"/>
        </w:tabs>
        <w:rPr>
          <w:sz w:val="22"/>
          <w:szCs w:val="22"/>
        </w:rPr>
      </w:pPr>
    </w:p>
    <w:p w14:paraId="6F6118BB" w14:textId="77777777" w:rsidR="005E099E" w:rsidRPr="00246541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  <w:u w:val="single"/>
        </w:rPr>
      </w:pPr>
      <w:r w:rsidRPr="00246541">
        <w:rPr>
          <w:sz w:val="22"/>
          <w:szCs w:val="22"/>
          <w:u w:val="single"/>
        </w:rPr>
        <w:t>1000 Egység</w:t>
      </w:r>
    </w:p>
    <w:p w14:paraId="19E8156E" w14:textId="386D74AA" w:rsidR="005E099E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A Feiba NF hozzávetőlegesen 80 mg nátriumot tartalmaz injekciós üvegenként, ami felnőtteknél megfelel a WHO által ajánlott maximális napi 2 g nátriumbevitel 4%-ának</w:t>
      </w:r>
      <w:r w:rsidRPr="00530D49">
        <w:rPr>
          <w:sz w:val="22"/>
          <w:szCs w:val="22"/>
        </w:rPr>
        <w:t>.</w:t>
      </w:r>
    </w:p>
    <w:p w14:paraId="778ADC6C" w14:textId="77777777" w:rsidR="005E099E" w:rsidRPr="00530D49" w:rsidRDefault="005E099E" w:rsidP="005E099E">
      <w:pPr>
        <w:widowControl w:val="0"/>
        <w:tabs>
          <w:tab w:val="left" w:pos="567"/>
        </w:tabs>
        <w:rPr>
          <w:sz w:val="22"/>
          <w:szCs w:val="22"/>
        </w:rPr>
      </w:pPr>
    </w:p>
    <w:p w14:paraId="253715AB" w14:textId="77777777" w:rsidR="005E099E" w:rsidRPr="00530D49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4D471378" w14:textId="77777777" w:rsidR="005E099E" w:rsidRPr="006408A4" w:rsidRDefault="005E099E" w:rsidP="005E099E">
      <w:pPr>
        <w:pStyle w:val="02"/>
        <w:widowControl w:val="0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6408A4">
        <w:rPr>
          <w:sz w:val="22"/>
          <w:szCs w:val="22"/>
          <w:lang w:val="hu-HU"/>
        </w:rPr>
        <w:t>4.5</w:t>
      </w:r>
      <w:r w:rsidRPr="006408A4">
        <w:rPr>
          <w:sz w:val="22"/>
          <w:szCs w:val="22"/>
          <w:lang w:val="hu-HU"/>
        </w:rPr>
        <w:tab/>
        <w:t>Gyógyszerkölcsönhatások és egyéb interakciók</w:t>
      </w:r>
    </w:p>
    <w:p w14:paraId="3AC2ADF9" w14:textId="77777777" w:rsidR="005E099E" w:rsidRPr="00065090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</w:p>
    <w:p w14:paraId="5998F8F4" w14:textId="77777777" w:rsidR="005E099E" w:rsidRPr="00530D49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  <w:r w:rsidRPr="00065090">
        <w:rPr>
          <w:sz w:val="22"/>
          <w:szCs w:val="22"/>
        </w:rPr>
        <w:t xml:space="preserve">Nem végeztek megfelelő és </w:t>
      </w:r>
      <w:r w:rsidRPr="00642D69">
        <w:rPr>
          <w:sz w:val="22"/>
          <w:szCs w:val="22"/>
        </w:rPr>
        <w:t>jól kontrollált</w:t>
      </w:r>
      <w:r w:rsidRPr="00065090">
        <w:rPr>
          <w:sz w:val="22"/>
          <w:szCs w:val="22"/>
        </w:rPr>
        <w:t xml:space="preserve"> vizsgálatokat a Feiba NF és rekombináns aktivált VII</w:t>
      </w:r>
      <w:r>
        <w:rPr>
          <w:sz w:val="22"/>
          <w:szCs w:val="22"/>
        </w:rPr>
        <w:t>.</w:t>
      </w:r>
      <w:r w:rsidRPr="00530D49">
        <w:rPr>
          <w:sz w:val="22"/>
          <w:szCs w:val="22"/>
        </w:rPr>
        <w:t xml:space="preserve"> faktor</w:t>
      </w:r>
      <w:r>
        <w:rPr>
          <w:sz w:val="22"/>
          <w:szCs w:val="22"/>
        </w:rPr>
        <w:t>,</w:t>
      </w:r>
      <w:r w:rsidRPr="00530D49">
        <w:rPr>
          <w:sz w:val="22"/>
          <w:szCs w:val="22"/>
        </w:rPr>
        <w:t xml:space="preserve"> </w:t>
      </w:r>
      <w:r w:rsidRPr="00530D49">
        <w:rPr>
          <w:spacing w:val="-4"/>
          <w:sz w:val="22"/>
          <w:szCs w:val="22"/>
        </w:rPr>
        <w:t>antifibrinol</w:t>
      </w:r>
      <w:r>
        <w:rPr>
          <w:spacing w:val="-4"/>
          <w:sz w:val="22"/>
          <w:szCs w:val="22"/>
        </w:rPr>
        <w:t>i</w:t>
      </w:r>
      <w:r w:rsidRPr="00530D49">
        <w:rPr>
          <w:spacing w:val="-4"/>
          <w:sz w:val="22"/>
          <w:szCs w:val="22"/>
        </w:rPr>
        <w:t>ti</w:t>
      </w:r>
      <w:r>
        <w:rPr>
          <w:spacing w:val="-4"/>
          <w:sz w:val="22"/>
          <w:szCs w:val="22"/>
        </w:rPr>
        <w:t>k</w:t>
      </w:r>
      <w:r w:rsidRPr="00530D49">
        <w:rPr>
          <w:spacing w:val="-4"/>
          <w:sz w:val="22"/>
          <w:szCs w:val="22"/>
        </w:rPr>
        <w:t>um</w:t>
      </w:r>
      <w:r w:rsidRPr="00530D49">
        <w:rPr>
          <w:sz w:val="22"/>
          <w:szCs w:val="22"/>
        </w:rPr>
        <w:t xml:space="preserve">ok </w:t>
      </w:r>
      <w:r>
        <w:rPr>
          <w:sz w:val="22"/>
          <w:szCs w:val="22"/>
        </w:rPr>
        <w:t xml:space="preserve">vagy emicizumab </w:t>
      </w:r>
      <w:r w:rsidRPr="00530D49">
        <w:rPr>
          <w:sz w:val="22"/>
          <w:szCs w:val="22"/>
        </w:rPr>
        <w:t>együttes</w:t>
      </w:r>
      <w:r>
        <w:rPr>
          <w:sz w:val="22"/>
          <w:szCs w:val="22"/>
        </w:rPr>
        <w:t>,</w:t>
      </w:r>
      <w:r w:rsidRPr="00530D49">
        <w:rPr>
          <w:sz w:val="22"/>
          <w:szCs w:val="22"/>
        </w:rPr>
        <w:t xml:space="preserve"> vagy egymást követő alkalmazására</w:t>
      </w:r>
      <w:r>
        <w:rPr>
          <w:sz w:val="22"/>
          <w:szCs w:val="22"/>
        </w:rPr>
        <w:t xml:space="preserve"> vonatkozóan</w:t>
      </w:r>
      <w:r w:rsidRPr="00530D49">
        <w:rPr>
          <w:sz w:val="22"/>
          <w:szCs w:val="22"/>
        </w:rPr>
        <w:t>.</w:t>
      </w:r>
    </w:p>
    <w:p w14:paraId="5C939E20" w14:textId="77777777" w:rsidR="005E099E" w:rsidRPr="00472267" w:rsidRDefault="005E099E" w:rsidP="005E099E">
      <w:pPr>
        <w:tabs>
          <w:tab w:val="left" w:pos="567"/>
        </w:tabs>
        <w:ind w:left="17"/>
        <w:rPr>
          <w:spacing w:val="-4"/>
          <w:sz w:val="22"/>
          <w:szCs w:val="22"/>
        </w:rPr>
      </w:pPr>
      <w:r w:rsidRPr="00275789">
        <w:rPr>
          <w:spacing w:val="-4"/>
          <w:sz w:val="22"/>
          <w:szCs w:val="22"/>
        </w:rPr>
        <w:t xml:space="preserve">A </w:t>
      </w:r>
      <w:r w:rsidRPr="00275789">
        <w:rPr>
          <w:sz w:val="22"/>
          <w:szCs w:val="22"/>
        </w:rPr>
        <w:t>Feiba NF alkalmazásával egyidejűleg adott szisztémás antifibrinol</w:t>
      </w:r>
      <w:r>
        <w:rPr>
          <w:sz w:val="22"/>
          <w:szCs w:val="22"/>
        </w:rPr>
        <w:t>i</w:t>
      </w:r>
      <w:r w:rsidRPr="00275789">
        <w:rPr>
          <w:sz w:val="22"/>
          <w:szCs w:val="22"/>
        </w:rPr>
        <w:t>ti</w:t>
      </w:r>
      <w:r>
        <w:rPr>
          <w:sz w:val="22"/>
          <w:szCs w:val="22"/>
        </w:rPr>
        <w:t>k</w:t>
      </w:r>
      <w:r w:rsidRPr="00275789">
        <w:rPr>
          <w:sz w:val="22"/>
          <w:szCs w:val="22"/>
        </w:rPr>
        <w:t>us szerek, úgymint tranexámsav vagy aminokapronsav</w:t>
      </w:r>
      <w:r>
        <w:rPr>
          <w:sz w:val="22"/>
          <w:szCs w:val="22"/>
        </w:rPr>
        <w:t xml:space="preserve"> </w:t>
      </w:r>
      <w:r w:rsidRPr="00275789">
        <w:rPr>
          <w:sz w:val="22"/>
          <w:szCs w:val="22"/>
        </w:rPr>
        <w:t xml:space="preserve">alkalmazásakor számításba kell venni </w:t>
      </w:r>
      <w:r>
        <w:rPr>
          <w:sz w:val="22"/>
          <w:szCs w:val="22"/>
        </w:rPr>
        <w:t xml:space="preserve">a </w:t>
      </w:r>
      <w:r w:rsidRPr="00275789">
        <w:rPr>
          <w:sz w:val="22"/>
          <w:szCs w:val="22"/>
        </w:rPr>
        <w:t>t</w:t>
      </w:r>
      <w:r>
        <w:rPr>
          <w:sz w:val="22"/>
          <w:szCs w:val="22"/>
        </w:rPr>
        <w:t>h</w:t>
      </w:r>
      <w:r w:rsidRPr="00275789">
        <w:rPr>
          <w:sz w:val="22"/>
          <w:szCs w:val="22"/>
        </w:rPr>
        <w:t>romboemboliás események kialakulásának lehetőségét.</w:t>
      </w:r>
    </w:p>
    <w:p w14:paraId="26262AA3" w14:textId="77777777" w:rsidR="005E099E" w:rsidRPr="004722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472267">
        <w:rPr>
          <w:spacing w:val="-4"/>
          <w:sz w:val="22"/>
          <w:szCs w:val="22"/>
        </w:rPr>
        <w:t>Ha antifibrinol</w:t>
      </w:r>
      <w:r>
        <w:rPr>
          <w:spacing w:val="-4"/>
          <w:sz w:val="22"/>
          <w:szCs w:val="22"/>
        </w:rPr>
        <w:t>i</w:t>
      </w:r>
      <w:r w:rsidRPr="00472267">
        <w:rPr>
          <w:spacing w:val="-4"/>
          <w:sz w:val="22"/>
          <w:szCs w:val="22"/>
        </w:rPr>
        <w:t>ti</w:t>
      </w:r>
      <w:r>
        <w:rPr>
          <w:spacing w:val="-4"/>
          <w:sz w:val="22"/>
          <w:szCs w:val="22"/>
        </w:rPr>
        <w:t>k</w:t>
      </w:r>
      <w:r w:rsidRPr="00472267">
        <w:rPr>
          <w:spacing w:val="-4"/>
          <w:sz w:val="22"/>
          <w:szCs w:val="22"/>
        </w:rPr>
        <w:t>um (pl. EAC) adása javallt, akkor ezt a</w:t>
      </w:r>
      <w:r w:rsidRPr="00472267">
        <w:rPr>
          <w:sz w:val="22"/>
          <w:szCs w:val="22"/>
        </w:rPr>
        <w:t xml:space="preserve"> Feiba NF alkalmazásának időpontjához képest legalább 6 óra időkülönbséggel kell beadni.</w:t>
      </w:r>
    </w:p>
    <w:p w14:paraId="213E701B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i/>
          <w:sz w:val="22"/>
          <w:szCs w:val="22"/>
        </w:rPr>
        <w:t>In vitro</w:t>
      </w:r>
      <w:r w:rsidRPr="009F1C35">
        <w:rPr>
          <w:sz w:val="22"/>
          <w:szCs w:val="22"/>
        </w:rPr>
        <w:t xml:space="preserve"> adatok és klinikai megfigyelések alapján a r</w:t>
      </w:r>
      <w:r w:rsidRPr="00530D49">
        <w:rPr>
          <w:sz w:val="22"/>
          <w:szCs w:val="22"/>
        </w:rPr>
        <w:t>ekombináns FVIIa</w:t>
      </w:r>
      <w:r>
        <w:rPr>
          <w:sz w:val="22"/>
          <w:szCs w:val="22"/>
        </w:rPr>
        <w:t>.</w:t>
      </w:r>
      <w:r>
        <w:rPr>
          <w:sz w:val="22"/>
          <w:szCs w:val="22"/>
        </w:rPr>
        <w:noBreakHyphen/>
      </w:r>
      <w:r w:rsidRPr="00530D49">
        <w:rPr>
          <w:sz w:val="22"/>
          <w:szCs w:val="22"/>
        </w:rPr>
        <w:t>val történő együttes adagolása esetén lehetséges gyógyszer</w:t>
      </w:r>
      <w:r>
        <w:rPr>
          <w:sz w:val="22"/>
          <w:szCs w:val="22"/>
        </w:rPr>
        <w:noBreakHyphen/>
      </w:r>
      <w:r w:rsidRPr="00530D49">
        <w:rPr>
          <w:sz w:val="22"/>
          <w:szCs w:val="22"/>
        </w:rPr>
        <w:t>interakciók fordulhatnak elő (amelyek nemkívánatos eseményeket eredményezhetnek</w:t>
      </w:r>
      <w:r>
        <w:rPr>
          <w:sz w:val="22"/>
          <w:szCs w:val="22"/>
        </w:rPr>
        <w:t>,</w:t>
      </w:r>
      <w:r w:rsidRPr="00530D49">
        <w:rPr>
          <w:sz w:val="22"/>
          <w:szCs w:val="22"/>
        </w:rPr>
        <w:t xml:space="preserve"> úgymint thrombo</w:t>
      </w:r>
      <w:r>
        <w:rPr>
          <w:sz w:val="22"/>
          <w:szCs w:val="22"/>
        </w:rPr>
        <w:t>emboliás</w:t>
      </w:r>
      <w:r w:rsidRPr="00530D49">
        <w:rPr>
          <w:sz w:val="22"/>
          <w:szCs w:val="22"/>
        </w:rPr>
        <w:t xml:space="preserve"> eseményeket).</w:t>
      </w:r>
    </w:p>
    <w:p w14:paraId="735F7AD2" w14:textId="77777777" w:rsidR="005E099E" w:rsidRPr="00530D49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Egy emicizumabbal végzett klinikai vizsgálatból származó tapasztalatok alapján, gyógyszerkölcsönhatás léphet fel az emicizumabbal, amennyiben a Feiba NF része volt az áttöréses vérzések kezelésének (lásd 4.4 pont).</w:t>
      </w:r>
    </w:p>
    <w:p w14:paraId="30F7C147" w14:textId="77777777" w:rsidR="005E099E" w:rsidRPr="006408A4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BBE855B" w14:textId="77777777" w:rsidR="005E099E" w:rsidRPr="00065090" w:rsidRDefault="005E099E" w:rsidP="005E099E">
      <w:pPr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065090">
        <w:rPr>
          <w:b/>
          <w:sz w:val="22"/>
          <w:szCs w:val="22"/>
        </w:rPr>
        <w:t>4.6</w:t>
      </w:r>
      <w:r w:rsidRPr="00065090">
        <w:rPr>
          <w:b/>
          <w:sz w:val="22"/>
          <w:szCs w:val="22"/>
        </w:rPr>
        <w:tab/>
        <w:t>Termékenység, terhesség és szoptatás</w:t>
      </w:r>
    </w:p>
    <w:p w14:paraId="470EAF40" w14:textId="77777777" w:rsidR="005E099E" w:rsidRPr="00081D9E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19661720" w14:textId="77777777" w:rsidR="005E099E" w:rsidRPr="00824A5B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824A5B">
        <w:rPr>
          <w:b w:val="0"/>
          <w:sz w:val="22"/>
          <w:szCs w:val="22"/>
          <w:lang w:val="hu-HU"/>
        </w:rPr>
        <w:t>A terhesség vagy a szoptatás ideje alatt végzett Feiba NF</w:t>
      </w:r>
      <w:r w:rsidRPr="00824A5B">
        <w:rPr>
          <w:b w:val="0"/>
          <w:sz w:val="22"/>
          <w:szCs w:val="22"/>
          <w:lang w:val="hu-HU"/>
        </w:rPr>
        <w:noBreakHyphen/>
        <w:t>kezelés biztonságossága nem bizonyított.</w:t>
      </w:r>
    </w:p>
    <w:p w14:paraId="7C91D72D" w14:textId="77777777" w:rsidR="005E099E" w:rsidRPr="0023350B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824A5B">
        <w:rPr>
          <w:b w:val="0"/>
          <w:sz w:val="22"/>
          <w:szCs w:val="22"/>
          <w:lang w:val="hu-HU"/>
        </w:rPr>
        <w:t>A</w:t>
      </w:r>
      <w:r w:rsidRPr="003E578C">
        <w:rPr>
          <w:b w:val="0"/>
          <w:sz w:val="22"/>
          <w:szCs w:val="22"/>
          <w:lang w:val="hu-HU"/>
        </w:rPr>
        <w:t xml:space="preserve"> kezelőorvosnak</w:t>
      </w:r>
      <w:r w:rsidRPr="00CF338B">
        <w:rPr>
          <w:b w:val="0"/>
          <w:sz w:val="22"/>
          <w:szCs w:val="22"/>
          <w:lang w:val="hu-HU"/>
        </w:rPr>
        <w:t xml:space="preserve"> gondosan mérlegelni kell a </w:t>
      </w:r>
      <w:r w:rsidRPr="0023350B">
        <w:rPr>
          <w:b w:val="0"/>
          <w:sz w:val="22"/>
          <w:szCs w:val="22"/>
          <w:lang w:val="hu-HU"/>
        </w:rPr>
        <w:t xml:space="preserve">kezelésből származó </w:t>
      </w:r>
      <w:r w:rsidRPr="00530D49">
        <w:rPr>
          <w:b w:val="0"/>
          <w:sz w:val="22"/>
          <w:szCs w:val="22"/>
          <w:lang w:val="hu-HU"/>
        </w:rPr>
        <w:t>lehetséges kockázato</w:t>
      </w:r>
      <w:r w:rsidRPr="0023350B">
        <w:rPr>
          <w:b w:val="0"/>
          <w:sz w:val="22"/>
          <w:szCs w:val="22"/>
          <w:lang w:val="hu-HU"/>
        </w:rPr>
        <w:t>ka</w:t>
      </w:r>
      <w:r w:rsidRPr="00530D49">
        <w:rPr>
          <w:b w:val="0"/>
          <w:sz w:val="22"/>
          <w:szCs w:val="22"/>
          <w:lang w:val="hu-HU"/>
        </w:rPr>
        <w:t>t és előny</w:t>
      </w:r>
      <w:r w:rsidRPr="0023350B">
        <w:rPr>
          <w:b w:val="0"/>
          <w:sz w:val="22"/>
          <w:szCs w:val="22"/>
          <w:lang w:val="hu-HU"/>
        </w:rPr>
        <w:t>öke</w:t>
      </w:r>
      <w:r w:rsidRPr="00530D49">
        <w:rPr>
          <w:b w:val="0"/>
          <w:sz w:val="22"/>
          <w:szCs w:val="22"/>
          <w:lang w:val="hu-HU"/>
        </w:rPr>
        <w:t>t. Feiba</w:t>
      </w:r>
      <w:r>
        <w:rPr>
          <w:b w:val="0"/>
          <w:sz w:val="22"/>
          <w:szCs w:val="22"/>
          <w:lang w:val="hu-HU"/>
        </w:rPr>
        <w:t xml:space="preserve"> NF</w:t>
      </w:r>
      <w:r w:rsidRPr="0023350B">
        <w:rPr>
          <w:b w:val="0"/>
          <w:sz w:val="22"/>
          <w:szCs w:val="22"/>
          <w:lang w:val="hu-HU"/>
        </w:rPr>
        <w:noBreakHyphen/>
      </w:r>
      <w:r w:rsidRPr="00530D49">
        <w:rPr>
          <w:b w:val="0"/>
          <w:sz w:val="22"/>
          <w:szCs w:val="22"/>
          <w:lang w:val="hu-HU"/>
        </w:rPr>
        <w:t xml:space="preserve">kezelést csak akkor </w:t>
      </w:r>
      <w:r w:rsidRPr="0023350B">
        <w:rPr>
          <w:b w:val="0"/>
          <w:sz w:val="22"/>
          <w:szCs w:val="22"/>
          <w:lang w:val="hu-HU"/>
        </w:rPr>
        <w:t>alkalmazzon,</w:t>
      </w:r>
      <w:r w:rsidRPr="00530D49">
        <w:rPr>
          <w:b w:val="0"/>
          <w:sz w:val="22"/>
          <w:szCs w:val="22"/>
          <w:lang w:val="hu-HU"/>
        </w:rPr>
        <w:t xml:space="preserve"> ha </w:t>
      </w:r>
      <w:r w:rsidRPr="0023350B">
        <w:rPr>
          <w:b w:val="0"/>
          <w:sz w:val="22"/>
          <w:szCs w:val="22"/>
          <w:lang w:val="hu-HU"/>
        </w:rPr>
        <w:t xml:space="preserve">az </w:t>
      </w:r>
      <w:r w:rsidRPr="00530D49">
        <w:rPr>
          <w:b w:val="0"/>
          <w:sz w:val="22"/>
          <w:szCs w:val="22"/>
          <w:lang w:val="hu-HU"/>
        </w:rPr>
        <w:t xml:space="preserve">egyértelműen szükséges, mivel </w:t>
      </w:r>
      <w:r w:rsidRPr="0023350B">
        <w:rPr>
          <w:b w:val="0"/>
          <w:sz w:val="22"/>
          <w:szCs w:val="22"/>
          <w:lang w:val="hu-HU"/>
        </w:rPr>
        <w:t>a terhesség és a gyermekágyi időszak a thrombosis szempontjából megnövekedett kockázatú időszaknak számít és a terhesség során bekövetkező számos komplikáció is összefüggésbe hozható a DIC megnövekedett kockázatával.</w:t>
      </w:r>
    </w:p>
    <w:p w14:paraId="01F8CE2A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6408A4">
        <w:rPr>
          <w:sz w:val="22"/>
          <w:szCs w:val="22"/>
        </w:rPr>
        <w:t>Reprodukciós állatkísérleteket nem végeztek a Feiba NF</w:t>
      </w:r>
      <w:r w:rsidRPr="00E86B67">
        <w:rPr>
          <w:b/>
          <w:sz w:val="22"/>
          <w:szCs w:val="22"/>
        </w:rPr>
        <w:noBreakHyphen/>
      </w:r>
      <w:r w:rsidRPr="006408A4">
        <w:rPr>
          <w:sz w:val="22"/>
          <w:szCs w:val="22"/>
        </w:rPr>
        <w:t xml:space="preserve">fel, és a Feiba NF termékenységre gyakorolt hatását </w:t>
      </w:r>
      <w:r w:rsidRPr="00642D69">
        <w:rPr>
          <w:sz w:val="22"/>
          <w:szCs w:val="22"/>
        </w:rPr>
        <w:t>kontrollált</w:t>
      </w:r>
      <w:r w:rsidRPr="006408A4">
        <w:rPr>
          <w:sz w:val="22"/>
          <w:szCs w:val="22"/>
        </w:rPr>
        <w:t xml:space="preserve"> klinikai vizsgálatokban</w:t>
      </w:r>
      <w:r w:rsidRPr="00065090">
        <w:rPr>
          <w:sz w:val="22"/>
          <w:szCs w:val="22"/>
        </w:rPr>
        <w:t xml:space="preserve"> nem határozták meg.</w:t>
      </w:r>
    </w:p>
    <w:p w14:paraId="4109DBA1" w14:textId="77777777" w:rsidR="005E099E" w:rsidRPr="00065090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046824">
        <w:rPr>
          <w:sz w:val="22"/>
          <w:szCs w:val="22"/>
        </w:rPr>
        <w:t>parvovírus</w:t>
      </w:r>
      <w:r>
        <w:rPr>
          <w:sz w:val="22"/>
          <w:szCs w:val="22"/>
        </w:rPr>
        <w:t> </w:t>
      </w:r>
      <w:r w:rsidRPr="00046824">
        <w:rPr>
          <w:sz w:val="22"/>
          <w:szCs w:val="22"/>
        </w:rPr>
        <w:t>B19</w:t>
      </w:r>
      <w:r>
        <w:rPr>
          <w:sz w:val="22"/>
          <w:szCs w:val="22"/>
        </w:rPr>
        <w:t>-</w:t>
      </w:r>
      <w:r w:rsidRPr="00046824">
        <w:rPr>
          <w:sz w:val="22"/>
          <w:szCs w:val="22"/>
        </w:rPr>
        <w:t>fertőzés</w:t>
      </w:r>
      <w:r>
        <w:rPr>
          <w:sz w:val="22"/>
          <w:szCs w:val="22"/>
        </w:rPr>
        <w:t>re vonatkozóan lásd a 4.4 pontot.</w:t>
      </w:r>
    </w:p>
    <w:p w14:paraId="323B7613" w14:textId="77777777" w:rsidR="005E099E" w:rsidRPr="00081D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E2D856E" w14:textId="77777777" w:rsidR="005E099E" w:rsidRPr="00530D49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824A5B">
        <w:rPr>
          <w:b/>
          <w:sz w:val="22"/>
          <w:szCs w:val="22"/>
        </w:rPr>
        <w:t>4.7</w:t>
      </w:r>
      <w:r w:rsidRPr="00824A5B">
        <w:rPr>
          <w:b/>
          <w:sz w:val="22"/>
          <w:szCs w:val="22"/>
        </w:rPr>
        <w:tab/>
        <w:t xml:space="preserve">A készítmény hatásai a gépjárművezetéshez és </w:t>
      </w:r>
      <w:r>
        <w:rPr>
          <w:b/>
          <w:sz w:val="22"/>
          <w:szCs w:val="22"/>
        </w:rPr>
        <w:t xml:space="preserve">a </w:t>
      </w:r>
      <w:r w:rsidRPr="00530D49">
        <w:rPr>
          <w:b/>
          <w:sz w:val="22"/>
          <w:szCs w:val="22"/>
        </w:rPr>
        <w:t>gépek kezeléséhez szükséges képességekre</w:t>
      </w:r>
    </w:p>
    <w:p w14:paraId="23648E3A" w14:textId="77777777" w:rsidR="005E099E" w:rsidRPr="00530D49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63B10290" w14:textId="77777777" w:rsidR="005E099E" w:rsidRPr="006408A4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6408A4">
        <w:rPr>
          <w:sz w:val="22"/>
          <w:szCs w:val="22"/>
        </w:rPr>
        <w:t>Nem észlelték, hogy a Feiba NF befolyásolná a gépjárművezetéshez és a gépek kezeléséhez szükséges képességeket.</w:t>
      </w:r>
    </w:p>
    <w:p w14:paraId="18BC30B2" w14:textId="77777777" w:rsidR="005E099E" w:rsidRPr="00065090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06A4E31A" w14:textId="77777777" w:rsidR="005E099E" w:rsidRPr="00081D9E" w:rsidRDefault="005E099E" w:rsidP="005E099E">
      <w:pPr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081D9E">
        <w:rPr>
          <w:b/>
          <w:sz w:val="22"/>
          <w:szCs w:val="22"/>
        </w:rPr>
        <w:t>4.8</w:t>
      </w:r>
      <w:r w:rsidRPr="00081D9E">
        <w:rPr>
          <w:b/>
          <w:sz w:val="22"/>
          <w:szCs w:val="22"/>
        </w:rPr>
        <w:tab/>
        <w:t>Nemkívánatos hatások, mellékhatások</w:t>
      </w:r>
    </w:p>
    <w:p w14:paraId="7EA90607" w14:textId="77777777" w:rsidR="005E099E" w:rsidRPr="00081D9E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3559337A" w14:textId="5A216E14" w:rsidR="005E099E" w:rsidRPr="0023350B" w:rsidRDefault="005E099E" w:rsidP="005E099E">
      <w:pPr>
        <w:rPr>
          <w:sz w:val="22"/>
          <w:szCs w:val="22"/>
        </w:rPr>
      </w:pPr>
      <w:r w:rsidRPr="006408A4">
        <w:rPr>
          <w:sz w:val="22"/>
          <w:szCs w:val="22"/>
        </w:rPr>
        <w:t>Az ebben a pontban szereplő mellékhatások a forgalomba hozatalt követő nyomonkövetésből és olyan vizsgálat</w:t>
      </w:r>
      <w:r w:rsidR="003B3931">
        <w:rPr>
          <w:sz w:val="22"/>
          <w:szCs w:val="22"/>
        </w:rPr>
        <w:t>ok</w:t>
      </w:r>
      <w:r w:rsidRPr="006408A4">
        <w:rPr>
          <w:sz w:val="22"/>
          <w:szCs w:val="22"/>
        </w:rPr>
        <w:t>ból származnak, amelyek a Feiba NF alkalmazását haemophilia A</w:t>
      </w:r>
      <w:r>
        <w:rPr>
          <w:sz w:val="22"/>
          <w:szCs w:val="22"/>
        </w:rPr>
        <w:noBreakHyphen/>
      </w:r>
      <w:r w:rsidRPr="006408A4">
        <w:rPr>
          <w:sz w:val="22"/>
          <w:szCs w:val="22"/>
        </w:rPr>
        <w:t>ban vagy B</w:t>
      </w:r>
      <w:r>
        <w:rPr>
          <w:sz w:val="22"/>
          <w:szCs w:val="22"/>
        </w:rPr>
        <w:noBreakHyphen/>
      </w:r>
      <w:r w:rsidRPr="006408A4">
        <w:rPr>
          <w:sz w:val="22"/>
          <w:szCs w:val="22"/>
        </w:rPr>
        <w:t>ben szenvedő, és VIII. vagy IX. faktor</w:t>
      </w:r>
      <w:r>
        <w:rPr>
          <w:sz w:val="22"/>
          <w:szCs w:val="22"/>
        </w:rPr>
        <w:noBreakHyphen/>
      </w:r>
      <w:r w:rsidRPr="006408A4">
        <w:rPr>
          <w:sz w:val="22"/>
          <w:szCs w:val="22"/>
        </w:rPr>
        <w:t>inhibitorokkal rendelkező gyermek és felnőtt betegeknél előforduló vérzéses epizódok kezelésében értékelték. Az egyik vizsgálatba VIII. faktor</w:t>
      </w:r>
      <w:r>
        <w:rPr>
          <w:sz w:val="22"/>
          <w:szCs w:val="22"/>
        </w:rPr>
        <w:noBreakHyphen/>
      </w:r>
      <w:r w:rsidRPr="006408A4">
        <w:rPr>
          <w:sz w:val="22"/>
          <w:szCs w:val="22"/>
        </w:rPr>
        <w:t>inhibitorokkal rendelkező, szerzett haemophiliás beteg</w:t>
      </w:r>
      <w:r w:rsidRPr="00065090">
        <w:rPr>
          <w:sz w:val="22"/>
          <w:szCs w:val="22"/>
        </w:rPr>
        <w:t>eket is beválasztottak (49 beteg közül 2).</w:t>
      </w:r>
    </w:p>
    <w:p w14:paraId="3A18AFC1" w14:textId="77777777" w:rsidR="005E099E" w:rsidRPr="00824A5B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081D9E">
        <w:rPr>
          <w:b w:val="0"/>
          <w:sz w:val="22"/>
          <w:szCs w:val="22"/>
          <w:lang w:val="hu-HU"/>
        </w:rPr>
        <w:t>Egy harmadik, a profilaktikus és a szükség szerinti kezelést összehasonlító vizsgálatban észlelt mellékhatásokat is feltüntettük.</w:t>
      </w:r>
    </w:p>
    <w:p w14:paraId="601B502F" w14:textId="77777777" w:rsidR="005E099E" w:rsidRPr="00CF338B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12E00972" w14:textId="77777777" w:rsidR="005E099E" w:rsidRPr="00BE28DC" w:rsidRDefault="005E099E" w:rsidP="005E099E">
      <w:pPr>
        <w:pStyle w:val="02"/>
        <w:keepNext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BE28DC">
        <w:rPr>
          <w:b w:val="0"/>
          <w:sz w:val="22"/>
          <w:szCs w:val="22"/>
          <w:lang w:val="hu-HU"/>
        </w:rPr>
        <w:t>A gyakorisági kategóriákat a következő egyezmény alapján határozták meg:</w:t>
      </w:r>
    </w:p>
    <w:p w14:paraId="37D7233F" w14:textId="77777777" w:rsidR="005E099E" w:rsidRPr="009F1C35" w:rsidRDefault="005E099E" w:rsidP="005E099E">
      <w:pPr>
        <w:pStyle w:val="WW-NormlWeb"/>
        <w:keepNext/>
        <w:spacing w:before="0" w:after="0" w:line="240" w:lineRule="auto"/>
        <w:ind w:left="1843" w:hanging="1843"/>
        <w:jc w:val="both"/>
        <w:rPr>
          <w:rFonts w:ascii="Times New Roman" w:eastAsia="Times New Roman" w:hAnsi="Times New Roman"/>
          <w:sz w:val="22"/>
          <w:szCs w:val="22"/>
        </w:rPr>
      </w:pPr>
      <w:r w:rsidRPr="00C066DF">
        <w:rPr>
          <w:rFonts w:ascii="Times New Roman" w:eastAsia="Times New Roman" w:hAnsi="Times New Roman"/>
          <w:sz w:val="22"/>
          <w:szCs w:val="22"/>
        </w:rPr>
        <w:t>nagyon gyakori</w:t>
      </w:r>
      <w:r w:rsidRPr="00E86B67">
        <w:rPr>
          <w:rFonts w:ascii="Times New Roman" w:eastAsia="Times New Roman" w:hAnsi="Times New Roman"/>
          <w:sz w:val="22"/>
          <w:szCs w:val="22"/>
        </w:rPr>
        <w:tab/>
      </w:r>
      <w:r w:rsidRPr="00472267">
        <w:rPr>
          <w:rFonts w:ascii="Times New Roman" w:hAnsi="Times New Roman"/>
          <w:sz w:val="22"/>
          <w:szCs w:val="22"/>
          <w:lang w:val="en-US"/>
        </w:rPr>
        <w:sym w:font="Symbol" w:char="F0B3"/>
      </w:r>
      <w:r w:rsidRPr="00472267">
        <w:rPr>
          <w:rFonts w:ascii="Times New Roman" w:hAnsi="Times New Roman"/>
          <w:sz w:val="22"/>
          <w:szCs w:val="22"/>
        </w:rPr>
        <w:t> </w:t>
      </w:r>
      <w:r w:rsidRPr="00472267">
        <w:rPr>
          <w:rFonts w:ascii="Times New Roman" w:eastAsia="Times New Roman" w:hAnsi="Times New Roman"/>
          <w:sz w:val="22"/>
          <w:szCs w:val="22"/>
        </w:rPr>
        <w:t>1/10</w:t>
      </w:r>
    </w:p>
    <w:p w14:paraId="536FF0A4" w14:textId="77777777" w:rsidR="005E099E" w:rsidRPr="009F1C35" w:rsidRDefault="005E099E" w:rsidP="005E099E">
      <w:pPr>
        <w:pStyle w:val="WW-NormlWeb"/>
        <w:spacing w:before="0" w:after="0" w:line="240" w:lineRule="auto"/>
        <w:ind w:left="1843" w:hanging="1843"/>
        <w:jc w:val="both"/>
        <w:rPr>
          <w:rFonts w:ascii="Times New Roman" w:eastAsia="Times New Roman" w:hAnsi="Times New Roman"/>
          <w:sz w:val="22"/>
          <w:szCs w:val="22"/>
        </w:rPr>
      </w:pPr>
      <w:r w:rsidRPr="009F1C35">
        <w:rPr>
          <w:rFonts w:ascii="Times New Roman" w:eastAsia="Times New Roman" w:hAnsi="Times New Roman"/>
          <w:sz w:val="22"/>
          <w:szCs w:val="22"/>
        </w:rPr>
        <w:t>g</w:t>
      </w:r>
      <w:r w:rsidRPr="00530D49">
        <w:rPr>
          <w:rFonts w:ascii="Times New Roman" w:eastAsia="Times New Roman" w:hAnsi="Times New Roman"/>
          <w:sz w:val="22"/>
          <w:szCs w:val="22"/>
        </w:rPr>
        <w:t>yakori</w:t>
      </w:r>
      <w:r w:rsidRPr="00530D49">
        <w:rPr>
          <w:rFonts w:ascii="Times New Roman" w:eastAsia="Times New Roman" w:hAnsi="Times New Roman"/>
          <w:sz w:val="22"/>
          <w:szCs w:val="22"/>
        </w:rPr>
        <w:tab/>
      </w:r>
      <w:r w:rsidRPr="00472267">
        <w:rPr>
          <w:rFonts w:ascii="Times New Roman" w:eastAsia="Times New Roman" w:hAnsi="Times New Roman"/>
          <w:sz w:val="22"/>
          <w:szCs w:val="22"/>
        </w:rPr>
        <w:sym w:font="Symbol" w:char="F0B3"/>
      </w:r>
      <w:r w:rsidRPr="00472267">
        <w:rPr>
          <w:rFonts w:ascii="Times New Roman" w:eastAsia="Times New Roman" w:hAnsi="Times New Roman"/>
          <w:sz w:val="22"/>
          <w:szCs w:val="22"/>
        </w:rPr>
        <w:t> 1/100 - &lt; </w:t>
      </w:r>
      <w:r w:rsidRPr="009F1C35">
        <w:rPr>
          <w:rFonts w:ascii="Times New Roman" w:eastAsia="Times New Roman" w:hAnsi="Times New Roman"/>
          <w:sz w:val="22"/>
          <w:szCs w:val="22"/>
        </w:rPr>
        <w:t>1/10</w:t>
      </w:r>
    </w:p>
    <w:p w14:paraId="086FABBB" w14:textId="77777777" w:rsidR="005E099E" w:rsidRPr="009F1C35" w:rsidRDefault="005E099E" w:rsidP="005E099E">
      <w:pPr>
        <w:pStyle w:val="WW-NormlWeb"/>
        <w:spacing w:before="0" w:after="0" w:line="240" w:lineRule="auto"/>
        <w:ind w:left="1843" w:hanging="1843"/>
        <w:jc w:val="both"/>
        <w:rPr>
          <w:rFonts w:ascii="Times New Roman" w:eastAsia="Times New Roman" w:hAnsi="Times New Roman"/>
          <w:sz w:val="22"/>
          <w:szCs w:val="22"/>
        </w:rPr>
      </w:pPr>
      <w:r w:rsidRPr="00530D49">
        <w:rPr>
          <w:rFonts w:ascii="Times New Roman" w:eastAsia="Times New Roman" w:hAnsi="Times New Roman"/>
          <w:sz w:val="22"/>
          <w:szCs w:val="22"/>
        </w:rPr>
        <w:t>nem gyakori</w:t>
      </w:r>
      <w:r w:rsidRPr="00530D49">
        <w:rPr>
          <w:rFonts w:ascii="Times New Roman" w:eastAsia="Times New Roman" w:hAnsi="Times New Roman"/>
          <w:sz w:val="22"/>
          <w:szCs w:val="22"/>
        </w:rPr>
        <w:tab/>
      </w:r>
      <w:r w:rsidRPr="00472267">
        <w:rPr>
          <w:rFonts w:ascii="Times New Roman" w:eastAsia="Times New Roman" w:hAnsi="Times New Roman"/>
          <w:sz w:val="22"/>
          <w:szCs w:val="22"/>
        </w:rPr>
        <w:sym w:font="Symbol" w:char="F0B3"/>
      </w:r>
      <w:r w:rsidRPr="00472267">
        <w:rPr>
          <w:rFonts w:ascii="Times New Roman" w:eastAsia="Times New Roman" w:hAnsi="Times New Roman"/>
          <w:sz w:val="22"/>
          <w:szCs w:val="22"/>
        </w:rPr>
        <w:t> 1/1000 - &lt; 1/100</w:t>
      </w:r>
    </w:p>
    <w:p w14:paraId="3F1BEAD8" w14:textId="77777777" w:rsidR="005E099E" w:rsidRPr="006408A4" w:rsidRDefault="005E099E" w:rsidP="005E099E">
      <w:pPr>
        <w:pStyle w:val="WW-NormlWeb"/>
        <w:spacing w:before="0" w:after="0" w:line="240" w:lineRule="auto"/>
        <w:ind w:left="1843" w:hanging="1843"/>
        <w:jc w:val="both"/>
        <w:rPr>
          <w:rFonts w:ascii="Times New Roman" w:eastAsia="Times New Roman" w:hAnsi="Times New Roman"/>
          <w:sz w:val="22"/>
          <w:szCs w:val="22"/>
        </w:rPr>
      </w:pPr>
      <w:r w:rsidRPr="006408A4">
        <w:rPr>
          <w:rFonts w:ascii="Times New Roman" w:eastAsia="Times New Roman" w:hAnsi="Times New Roman"/>
          <w:sz w:val="22"/>
          <w:szCs w:val="22"/>
        </w:rPr>
        <w:t>ritka</w:t>
      </w:r>
      <w:r w:rsidRPr="006408A4">
        <w:rPr>
          <w:rFonts w:ascii="Times New Roman" w:eastAsia="Times New Roman" w:hAnsi="Times New Roman"/>
          <w:sz w:val="22"/>
          <w:szCs w:val="22"/>
        </w:rPr>
        <w:tab/>
        <w:t>≥ 1/10 000 - &lt; 1/1000</w:t>
      </w:r>
    </w:p>
    <w:p w14:paraId="2D0D2601" w14:textId="77777777" w:rsidR="005E099E" w:rsidRPr="006408A4" w:rsidRDefault="005E099E" w:rsidP="005E099E">
      <w:pPr>
        <w:pStyle w:val="WW-NormlWeb"/>
        <w:spacing w:before="0" w:after="0" w:line="240" w:lineRule="auto"/>
        <w:ind w:left="1843" w:hanging="1843"/>
        <w:jc w:val="both"/>
        <w:rPr>
          <w:rFonts w:ascii="Times New Roman" w:eastAsia="Times New Roman" w:hAnsi="Times New Roman"/>
          <w:sz w:val="22"/>
          <w:szCs w:val="22"/>
        </w:rPr>
      </w:pPr>
      <w:r w:rsidRPr="006408A4">
        <w:rPr>
          <w:rFonts w:ascii="Times New Roman" w:eastAsia="Times New Roman" w:hAnsi="Times New Roman"/>
          <w:sz w:val="22"/>
          <w:szCs w:val="22"/>
        </w:rPr>
        <w:t>nagyon ritka</w:t>
      </w:r>
      <w:r w:rsidRPr="006408A4">
        <w:rPr>
          <w:rFonts w:ascii="Times New Roman" w:eastAsia="Times New Roman" w:hAnsi="Times New Roman"/>
          <w:sz w:val="22"/>
          <w:szCs w:val="22"/>
        </w:rPr>
        <w:tab/>
        <w:t>&lt; 1/10</w:t>
      </w:r>
      <w:r>
        <w:rPr>
          <w:rFonts w:ascii="Times New Roman" w:eastAsia="Times New Roman" w:hAnsi="Times New Roman"/>
          <w:sz w:val="22"/>
          <w:szCs w:val="22"/>
        </w:rPr>
        <w:t> </w:t>
      </w:r>
      <w:r w:rsidRPr="006408A4">
        <w:rPr>
          <w:rFonts w:ascii="Times New Roman" w:eastAsia="Times New Roman" w:hAnsi="Times New Roman"/>
          <w:sz w:val="22"/>
          <w:szCs w:val="22"/>
        </w:rPr>
        <w:t>000</w:t>
      </w:r>
    </w:p>
    <w:p w14:paraId="6C77BD6A" w14:textId="664DDCC2" w:rsidR="005E099E" w:rsidRPr="00065090" w:rsidRDefault="005E099E" w:rsidP="005E099E">
      <w:pPr>
        <w:pStyle w:val="WW-NormlWeb"/>
        <w:spacing w:before="0" w:after="0" w:line="240" w:lineRule="auto"/>
        <w:ind w:left="1843" w:hanging="1843"/>
        <w:jc w:val="both"/>
        <w:rPr>
          <w:rFonts w:ascii="Times New Roman" w:eastAsia="Times New Roman" w:hAnsi="Times New Roman"/>
          <w:sz w:val="22"/>
          <w:szCs w:val="22"/>
        </w:rPr>
      </w:pPr>
      <w:r w:rsidRPr="00065090">
        <w:rPr>
          <w:rFonts w:ascii="Times New Roman" w:eastAsia="Times New Roman" w:hAnsi="Times New Roman"/>
          <w:sz w:val="22"/>
          <w:szCs w:val="22"/>
        </w:rPr>
        <w:t>nem ismert</w:t>
      </w:r>
      <w:r w:rsidRPr="00065090">
        <w:rPr>
          <w:rFonts w:ascii="Times New Roman" w:eastAsia="Times New Roman" w:hAnsi="Times New Roman"/>
          <w:sz w:val="22"/>
          <w:szCs w:val="22"/>
        </w:rPr>
        <w:tab/>
        <w:t>a</w:t>
      </w:r>
      <w:r w:rsidR="00726ED5">
        <w:rPr>
          <w:rFonts w:ascii="Times New Roman" w:eastAsia="Times New Roman" w:hAnsi="Times New Roman"/>
          <w:sz w:val="22"/>
          <w:szCs w:val="22"/>
        </w:rPr>
        <w:t xml:space="preserve"> gyakoriság</w:t>
      </w:r>
      <w:r w:rsidRPr="00065090">
        <w:rPr>
          <w:rFonts w:ascii="Times New Roman" w:eastAsia="Times New Roman" w:hAnsi="Times New Roman"/>
          <w:sz w:val="22"/>
          <w:szCs w:val="22"/>
        </w:rPr>
        <w:t xml:space="preserve"> </w:t>
      </w:r>
      <w:r w:rsidR="00BA36BF">
        <w:rPr>
          <w:rFonts w:ascii="Times New Roman" w:eastAsia="Times New Roman" w:hAnsi="Times New Roman"/>
          <w:sz w:val="22"/>
          <w:szCs w:val="22"/>
        </w:rPr>
        <w:t xml:space="preserve">a </w:t>
      </w:r>
      <w:r w:rsidRPr="00065090">
        <w:rPr>
          <w:rFonts w:ascii="Times New Roman" w:eastAsia="Times New Roman" w:hAnsi="Times New Roman"/>
          <w:sz w:val="22"/>
          <w:szCs w:val="22"/>
        </w:rPr>
        <w:t>rendelkezésre álló adatok alapján nem becsülhető meg</w:t>
      </w:r>
    </w:p>
    <w:p w14:paraId="48AA8F88" w14:textId="77777777" w:rsidR="005E099E" w:rsidRPr="00065090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16"/>
        <w:gridCol w:w="3979"/>
        <w:gridCol w:w="1647"/>
      </w:tblGrid>
      <w:tr w:rsidR="005E099E" w:rsidRPr="00E86B67" w14:paraId="0FB874F1" w14:textId="77777777" w:rsidTr="004B7FAC">
        <w:tc>
          <w:tcPr>
            <w:tcW w:w="9268" w:type="dxa"/>
            <w:gridSpan w:val="3"/>
            <w:vAlign w:val="center"/>
          </w:tcPr>
          <w:p w14:paraId="52513058" w14:textId="77777777" w:rsidR="005E099E" w:rsidRPr="00065090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065090">
              <w:rPr>
                <w:sz w:val="22"/>
                <w:szCs w:val="22"/>
                <w:lang w:val="hu-HU"/>
              </w:rPr>
              <w:t>Mellékhatások</w:t>
            </w:r>
          </w:p>
        </w:tc>
      </w:tr>
      <w:tr w:rsidR="005E099E" w:rsidRPr="00E86B67" w14:paraId="097B5AB6" w14:textId="77777777" w:rsidTr="004B7FAC">
        <w:tc>
          <w:tcPr>
            <w:tcW w:w="3493" w:type="dxa"/>
            <w:vAlign w:val="center"/>
          </w:tcPr>
          <w:p w14:paraId="326AF447" w14:textId="750E9E70" w:rsidR="005E099E" w:rsidRPr="009F1C35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472267">
              <w:rPr>
                <w:sz w:val="22"/>
                <w:szCs w:val="22"/>
                <w:lang w:val="hu-HU"/>
              </w:rPr>
              <w:t>Szervrendszer(SOC)</w:t>
            </w:r>
          </w:p>
        </w:tc>
        <w:tc>
          <w:tcPr>
            <w:tcW w:w="4111" w:type="dxa"/>
            <w:vAlign w:val="center"/>
          </w:tcPr>
          <w:p w14:paraId="4C2A2082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sz w:val="22"/>
                <w:szCs w:val="22"/>
                <w:lang w:val="hu-HU"/>
              </w:rPr>
            </w:pPr>
            <w:r w:rsidRPr="006408A4">
              <w:rPr>
                <w:bCs/>
                <w:kern w:val="0"/>
                <w:sz w:val="22"/>
                <w:szCs w:val="22"/>
                <w:lang w:val="hu-HU"/>
              </w:rPr>
              <w:t>MedDRA szerinti meghatározás</w:t>
            </w:r>
          </w:p>
        </w:tc>
        <w:tc>
          <w:tcPr>
            <w:tcW w:w="1664" w:type="dxa"/>
            <w:vAlign w:val="center"/>
          </w:tcPr>
          <w:p w14:paraId="072DF778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sz w:val="22"/>
                <w:szCs w:val="22"/>
                <w:vertAlign w:val="superscript"/>
                <w:lang w:val="hu-HU"/>
              </w:rPr>
            </w:pPr>
            <w:r w:rsidRPr="00065090">
              <w:rPr>
                <w:sz w:val="22"/>
                <w:szCs w:val="22"/>
                <w:lang w:val="hu-HU"/>
              </w:rPr>
              <w:t>Gyakorisági kategória</w:t>
            </w:r>
            <w:r w:rsidRPr="00065090">
              <w:rPr>
                <w:sz w:val="22"/>
                <w:szCs w:val="22"/>
                <w:vertAlign w:val="superscript"/>
                <w:lang w:val="hu-HU"/>
              </w:rPr>
              <w:t>*</w:t>
            </w:r>
          </w:p>
        </w:tc>
      </w:tr>
      <w:tr w:rsidR="005E099E" w:rsidRPr="00E86B67" w14:paraId="76DACBD8" w14:textId="77777777" w:rsidTr="004B7FAC">
        <w:tc>
          <w:tcPr>
            <w:tcW w:w="3493" w:type="dxa"/>
            <w:vAlign w:val="center"/>
          </w:tcPr>
          <w:p w14:paraId="5C53C0B9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4111" w:type="dxa"/>
            <w:vAlign w:val="center"/>
          </w:tcPr>
          <w:p w14:paraId="1415536C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dissemin</w:t>
            </w:r>
            <w:r>
              <w:rPr>
                <w:b w:val="0"/>
                <w:sz w:val="22"/>
                <w:szCs w:val="22"/>
                <w:lang w:val="hu-HU"/>
              </w:rPr>
              <w:t>á</w:t>
            </w:r>
            <w:r w:rsidRPr="006408A4">
              <w:rPr>
                <w:b w:val="0"/>
                <w:sz w:val="22"/>
                <w:szCs w:val="22"/>
                <w:lang w:val="hu-HU"/>
              </w:rPr>
              <w:t>lt intravascularis coagulatio (DIC)</w:t>
            </w:r>
          </w:p>
          <w:p w14:paraId="112E2463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vertAlign w:val="superscript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az inhibitortiter növekedése (anamnesztikus válasz)</w:t>
            </w:r>
            <w:r w:rsidRPr="00065090">
              <w:rPr>
                <w:b w:val="0"/>
                <w:sz w:val="22"/>
                <w:szCs w:val="22"/>
                <w:vertAlign w:val="superscript"/>
                <w:lang w:val="hu-HU"/>
              </w:rPr>
              <w:t>a, *</w:t>
            </w:r>
          </w:p>
        </w:tc>
        <w:tc>
          <w:tcPr>
            <w:tcW w:w="1664" w:type="dxa"/>
            <w:vAlign w:val="center"/>
          </w:tcPr>
          <w:p w14:paraId="3236AEC0" w14:textId="77777777" w:rsidR="005E099E" w:rsidRPr="00081D9E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n</w:t>
            </w:r>
            <w:r w:rsidRPr="00081D9E">
              <w:rPr>
                <w:b w:val="0"/>
                <w:sz w:val="22"/>
                <w:szCs w:val="22"/>
                <w:lang w:val="hu-HU"/>
              </w:rPr>
              <w:t>em ismert</w:t>
            </w:r>
          </w:p>
        </w:tc>
      </w:tr>
      <w:tr w:rsidR="005E099E" w:rsidRPr="00E86B67" w14:paraId="7D9F1201" w14:textId="77777777" w:rsidTr="004B7FAC">
        <w:tc>
          <w:tcPr>
            <w:tcW w:w="3493" w:type="dxa"/>
            <w:vMerge w:val="restart"/>
            <w:vAlign w:val="center"/>
          </w:tcPr>
          <w:p w14:paraId="42CB2457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Immunrendszeri betegségek és tünetek</w:t>
            </w:r>
          </w:p>
        </w:tc>
        <w:tc>
          <w:tcPr>
            <w:tcW w:w="4111" w:type="dxa"/>
            <w:vAlign w:val="center"/>
          </w:tcPr>
          <w:p w14:paraId="063DF5A6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530D49">
              <w:rPr>
                <w:b w:val="0"/>
                <w:sz w:val="22"/>
                <w:szCs w:val="22"/>
                <w:lang w:val="hu-HU"/>
              </w:rPr>
              <w:t>túlérzékenység</w:t>
            </w:r>
          </w:p>
        </w:tc>
        <w:tc>
          <w:tcPr>
            <w:tcW w:w="1664" w:type="dxa"/>
            <w:vAlign w:val="center"/>
          </w:tcPr>
          <w:p w14:paraId="1205A531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gyakori</w:t>
            </w:r>
          </w:p>
        </w:tc>
      </w:tr>
      <w:tr w:rsidR="005E099E" w:rsidRPr="00E86B67" w14:paraId="6DE971AD" w14:textId="77777777" w:rsidTr="004B7FAC">
        <w:tc>
          <w:tcPr>
            <w:tcW w:w="3493" w:type="dxa"/>
            <w:vMerge/>
            <w:vAlign w:val="center"/>
          </w:tcPr>
          <w:p w14:paraId="5A829BF6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</w:p>
        </w:tc>
        <w:tc>
          <w:tcPr>
            <w:tcW w:w="4111" w:type="dxa"/>
            <w:vAlign w:val="center"/>
          </w:tcPr>
          <w:p w14:paraId="5FA5FFE9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urticaria</w:t>
            </w:r>
          </w:p>
          <w:p w14:paraId="7E577BC9" w14:textId="77777777" w:rsidR="005E099E" w:rsidRPr="009F1C35" w:rsidDel="00FE0C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anaphylaxiás reakció</w:t>
            </w:r>
          </w:p>
        </w:tc>
        <w:tc>
          <w:tcPr>
            <w:tcW w:w="1664" w:type="dxa"/>
            <w:vAlign w:val="center"/>
          </w:tcPr>
          <w:p w14:paraId="7D34CEAB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530FDD"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  <w:tr w:rsidR="005E099E" w:rsidRPr="00E86B67" w14:paraId="11F6674C" w14:textId="77777777" w:rsidTr="004B7FAC">
        <w:tc>
          <w:tcPr>
            <w:tcW w:w="3493" w:type="dxa"/>
            <w:vMerge w:val="restart"/>
            <w:vAlign w:val="center"/>
          </w:tcPr>
          <w:p w14:paraId="2FBAE7EB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Idegrendszeri betegségek és tünetek</w:t>
            </w:r>
          </w:p>
        </w:tc>
        <w:tc>
          <w:tcPr>
            <w:tcW w:w="4111" w:type="dxa"/>
            <w:vAlign w:val="center"/>
          </w:tcPr>
          <w:p w14:paraId="305FF5C4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fejfájás</w:t>
            </w:r>
            <w:r w:rsidRPr="006408A4">
              <w:rPr>
                <w:b w:val="0"/>
                <w:sz w:val="22"/>
                <w:szCs w:val="22"/>
                <w:vertAlign w:val="superscript"/>
                <w:lang w:val="hu-HU"/>
              </w:rPr>
              <w:t>c</w:t>
            </w:r>
          </w:p>
          <w:p w14:paraId="6C644069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szédülés</w:t>
            </w:r>
            <w:r w:rsidRPr="006408A4">
              <w:rPr>
                <w:b w:val="0"/>
                <w:sz w:val="22"/>
                <w:szCs w:val="22"/>
                <w:vertAlign w:val="superscript"/>
                <w:lang w:val="hu-HU"/>
              </w:rPr>
              <w:t>b</w:t>
            </w:r>
          </w:p>
        </w:tc>
        <w:tc>
          <w:tcPr>
            <w:tcW w:w="1664" w:type="dxa"/>
            <w:vAlign w:val="center"/>
          </w:tcPr>
          <w:p w14:paraId="5D07DEAC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gyakori</w:t>
            </w:r>
          </w:p>
        </w:tc>
      </w:tr>
      <w:tr w:rsidR="005E099E" w:rsidRPr="00E86B67" w14:paraId="2CEF72AB" w14:textId="77777777" w:rsidTr="004B7FAC">
        <w:tc>
          <w:tcPr>
            <w:tcW w:w="3493" w:type="dxa"/>
            <w:vMerge/>
            <w:vAlign w:val="center"/>
          </w:tcPr>
          <w:p w14:paraId="34E576EC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</w:p>
        </w:tc>
        <w:tc>
          <w:tcPr>
            <w:tcW w:w="4111" w:type="dxa"/>
            <w:vAlign w:val="center"/>
          </w:tcPr>
          <w:p w14:paraId="62100AEF" w14:textId="77777777" w:rsidR="005E099E" w:rsidRPr="009F1C35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9F1C35">
              <w:rPr>
                <w:b w:val="0"/>
                <w:sz w:val="22"/>
                <w:szCs w:val="22"/>
                <w:lang w:val="hu-HU"/>
              </w:rPr>
              <w:t>paraesthesia</w:t>
            </w:r>
          </w:p>
          <w:p w14:paraId="1C804C71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hypaesthesia</w:t>
            </w:r>
          </w:p>
          <w:p w14:paraId="010147D2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thromboticus stroke</w:t>
            </w:r>
          </w:p>
          <w:p w14:paraId="292D02AE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emboliás stroke</w:t>
            </w:r>
          </w:p>
          <w:p w14:paraId="3ECC9A50" w14:textId="77777777" w:rsidR="005E099E" w:rsidRPr="00530FDD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aluszékonyság</w:t>
            </w:r>
            <w:r w:rsidRPr="00530FDD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  <w:p w14:paraId="4A48D0E2" w14:textId="77777777" w:rsidR="005E099E" w:rsidRPr="009F1C35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ízérzészavar</w:t>
            </w:r>
            <w:r w:rsidRPr="00530FDD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1664" w:type="dxa"/>
            <w:vAlign w:val="center"/>
          </w:tcPr>
          <w:p w14:paraId="668239C7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530FDD"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  <w:tr w:rsidR="005E099E" w:rsidRPr="00E86B67" w14:paraId="05296B7C" w14:textId="77777777" w:rsidTr="004B7FAC">
        <w:tc>
          <w:tcPr>
            <w:tcW w:w="3493" w:type="dxa"/>
            <w:vAlign w:val="center"/>
          </w:tcPr>
          <w:p w14:paraId="790EC8C2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Szívbetegségek és a szívvel kapcsolatos tünetek</w:t>
            </w:r>
          </w:p>
        </w:tc>
        <w:tc>
          <w:tcPr>
            <w:tcW w:w="4111" w:type="dxa"/>
            <w:vAlign w:val="center"/>
          </w:tcPr>
          <w:p w14:paraId="4738B4FC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myocardialis infarctus</w:t>
            </w:r>
          </w:p>
          <w:p w14:paraId="658400C9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tachycardia</w:t>
            </w:r>
          </w:p>
        </w:tc>
        <w:tc>
          <w:tcPr>
            <w:tcW w:w="1664" w:type="dxa"/>
            <w:vAlign w:val="center"/>
          </w:tcPr>
          <w:p w14:paraId="141F05AD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  <w:tr w:rsidR="005E099E" w:rsidRPr="00E86B67" w14:paraId="1AA099AE" w14:textId="77777777" w:rsidTr="004B7FAC">
        <w:tc>
          <w:tcPr>
            <w:tcW w:w="3493" w:type="dxa"/>
            <w:vMerge w:val="restart"/>
            <w:vAlign w:val="center"/>
          </w:tcPr>
          <w:p w14:paraId="210D18EA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Érbetegségek és tünetek</w:t>
            </w:r>
          </w:p>
        </w:tc>
        <w:tc>
          <w:tcPr>
            <w:tcW w:w="4111" w:type="dxa"/>
            <w:vAlign w:val="center"/>
          </w:tcPr>
          <w:p w14:paraId="0E818A93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hypotensio</w:t>
            </w:r>
            <w:r w:rsidRPr="006408A4">
              <w:rPr>
                <w:b w:val="0"/>
                <w:sz w:val="22"/>
                <w:szCs w:val="22"/>
                <w:vertAlign w:val="superscript"/>
                <w:lang w:val="hu-HU"/>
              </w:rPr>
              <w:t>c</w:t>
            </w:r>
          </w:p>
        </w:tc>
        <w:tc>
          <w:tcPr>
            <w:tcW w:w="1664" w:type="dxa"/>
            <w:vAlign w:val="center"/>
          </w:tcPr>
          <w:p w14:paraId="1AADDA68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530FDD">
              <w:rPr>
                <w:b w:val="0"/>
                <w:sz w:val="22"/>
                <w:szCs w:val="22"/>
                <w:lang w:val="hu-HU"/>
              </w:rPr>
              <w:t>gyakori</w:t>
            </w:r>
          </w:p>
        </w:tc>
      </w:tr>
      <w:tr w:rsidR="005E099E" w:rsidRPr="00E86B67" w14:paraId="459BBCA9" w14:textId="77777777" w:rsidTr="004B7FAC">
        <w:tc>
          <w:tcPr>
            <w:tcW w:w="3493" w:type="dxa"/>
            <w:vMerge/>
            <w:vAlign w:val="center"/>
          </w:tcPr>
          <w:p w14:paraId="1E347025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</w:p>
        </w:tc>
        <w:tc>
          <w:tcPr>
            <w:tcW w:w="4111" w:type="dxa"/>
            <w:vAlign w:val="center"/>
          </w:tcPr>
          <w:p w14:paraId="5CBEFD4D" w14:textId="77777777" w:rsidR="005E099E" w:rsidRPr="009F1C35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9F1C35">
              <w:rPr>
                <w:b w:val="0"/>
                <w:sz w:val="22"/>
                <w:szCs w:val="22"/>
                <w:lang w:val="hu-HU"/>
              </w:rPr>
              <w:t>thrombosis</w:t>
            </w:r>
          </w:p>
          <w:p w14:paraId="26086637" w14:textId="77777777" w:rsidR="005E099E" w:rsidRPr="00530D49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530D49">
              <w:rPr>
                <w:b w:val="0"/>
                <w:sz w:val="22"/>
                <w:szCs w:val="22"/>
                <w:lang w:val="hu-HU"/>
              </w:rPr>
              <w:t>vénás thrombosis</w:t>
            </w:r>
          </w:p>
          <w:p w14:paraId="2B460D65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artériás thrombosis</w:t>
            </w:r>
          </w:p>
          <w:p w14:paraId="397CA51F" w14:textId="77777777" w:rsidR="005E099E" w:rsidRPr="00530FDD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embolia (thromboemboliá</w:t>
            </w:r>
            <w:r w:rsidRPr="00530FDD">
              <w:rPr>
                <w:b w:val="0"/>
                <w:sz w:val="22"/>
                <w:szCs w:val="22"/>
                <w:lang w:val="hu-HU"/>
              </w:rPr>
              <w:t>s komplikációk</w:t>
            </w:r>
            <w:r>
              <w:rPr>
                <w:b w:val="0"/>
                <w:sz w:val="22"/>
                <w:szCs w:val="22"/>
                <w:lang w:val="hu-HU"/>
              </w:rPr>
              <w:t>)</w:t>
            </w:r>
          </w:p>
          <w:p w14:paraId="7DD77066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hypertensio</w:t>
            </w:r>
          </w:p>
          <w:p w14:paraId="4CFFE699" w14:textId="77777777" w:rsidR="005E099E" w:rsidRPr="009F1C35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530FDD">
              <w:rPr>
                <w:b w:val="0"/>
                <w:sz w:val="22"/>
                <w:szCs w:val="22"/>
                <w:lang w:val="hu-HU"/>
              </w:rPr>
              <w:t>kipirulás</w:t>
            </w:r>
          </w:p>
        </w:tc>
        <w:tc>
          <w:tcPr>
            <w:tcW w:w="1664" w:type="dxa"/>
            <w:vAlign w:val="center"/>
          </w:tcPr>
          <w:p w14:paraId="103E6B01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  <w:tr w:rsidR="005E099E" w:rsidRPr="00E86B67" w14:paraId="634E10D0" w14:textId="77777777" w:rsidTr="004B7FAC">
        <w:tc>
          <w:tcPr>
            <w:tcW w:w="3493" w:type="dxa"/>
            <w:vAlign w:val="center"/>
          </w:tcPr>
          <w:p w14:paraId="02A17B30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Légzőrendszeri, mellkasi és mediastinalis betegségek és tünetek</w:t>
            </w:r>
          </w:p>
        </w:tc>
        <w:tc>
          <w:tcPr>
            <w:tcW w:w="4111" w:type="dxa"/>
            <w:vAlign w:val="center"/>
          </w:tcPr>
          <w:p w14:paraId="07FF811C" w14:textId="77777777" w:rsidR="005E099E" w:rsidRPr="009F1C35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9F1C35">
              <w:rPr>
                <w:b w:val="0"/>
                <w:sz w:val="22"/>
                <w:szCs w:val="22"/>
                <w:lang w:val="hu-HU"/>
              </w:rPr>
              <w:t>tüdőembólia</w:t>
            </w:r>
          </w:p>
          <w:p w14:paraId="7008CA24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bronchospasmus</w:t>
            </w:r>
          </w:p>
          <w:p w14:paraId="1C3FB60A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zihálás</w:t>
            </w:r>
          </w:p>
          <w:p w14:paraId="533768A3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köhögés</w:t>
            </w:r>
          </w:p>
          <w:p w14:paraId="0FB6083D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nehézlégzés</w:t>
            </w:r>
            <w:r w:rsidRPr="00065090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1664" w:type="dxa"/>
            <w:vAlign w:val="center"/>
          </w:tcPr>
          <w:p w14:paraId="5566C987" w14:textId="77777777" w:rsidR="005E099E" w:rsidRPr="00081D9E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  <w:tr w:rsidR="005E099E" w:rsidRPr="00E86B67" w14:paraId="41EC4F40" w14:textId="77777777" w:rsidTr="004B7FAC">
        <w:tc>
          <w:tcPr>
            <w:tcW w:w="3493" w:type="dxa"/>
            <w:vAlign w:val="center"/>
          </w:tcPr>
          <w:p w14:paraId="44E7F46C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Emésztőrendszeri betegségek és tünetek</w:t>
            </w:r>
          </w:p>
        </w:tc>
        <w:tc>
          <w:tcPr>
            <w:tcW w:w="4111" w:type="dxa"/>
            <w:vAlign w:val="center"/>
          </w:tcPr>
          <w:p w14:paraId="1198AC8D" w14:textId="77777777" w:rsidR="005E099E" w:rsidRPr="009F1C35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9F1C35">
              <w:rPr>
                <w:b w:val="0"/>
                <w:sz w:val="22"/>
                <w:szCs w:val="22"/>
                <w:lang w:val="hu-HU"/>
              </w:rPr>
              <w:t>hányás</w:t>
            </w:r>
          </w:p>
          <w:p w14:paraId="2920647B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hasmenés</w:t>
            </w:r>
          </w:p>
          <w:p w14:paraId="5ABB928E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hasi diszkomfortérzés</w:t>
            </w:r>
          </w:p>
          <w:p w14:paraId="68F2438D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hányinger</w:t>
            </w:r>
            <w:r w:rsidRPr="00065090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1664" w:type="dxa"/>
            <w:vAlign w:val="center"/>
          </w:tcPr>
          <w:p w14:paraId="31165CA1" w14:textId="77777777" w:rsidR="005E099E" w:rsidRPr="00081D9E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  <w:tr w:rsidR="005E099E" w:rsidRPr="00E86B67" w14:paraId="6A7C879F" w14:textId="77777777" w:rsidTr="004B7FAC">
        <w:tc>
          <w:tcPr>
            <w:tcW w:w="3493" w:type="dxa"/>
            <w:vMerge w:val="restart"/>
            <w:vAlign w:val="center"/>
          </w:tcPr>
          <w:p w14:paraId="21A91E06" w14:textId="77777777" w:rsidR="005E099E" w:rsidRPr="00E86B67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A bőr és a bőralatti szövet betegségei és tünetei</w:t>
            </w:r>
          </w:p>
        </w:tc>
        <w:tc>
          <w:tcPr>
            <w:tcW w:w="4111" w:type="dxa"/>
            <w:vAlign w:val="center"/>
          </w:tcPr>
          <w:p w14:paraId="6FF18280" w14:textId="77777777" w:rsidR="005E099E" w:rsidRPr="00065090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kiütés</w:t>
            </w:r>
            <w:r w:rsidRPr="00065090">
              <w:rPr>
                <w:b w:val="0"/>
                <w:sz w:val="22"/>
                <w:szCs w:val="22"/>
                <w:vertAlign w:val="superscript"/>
                <w:lang w:val="hu-HU"/>
              </w:rPr>
              <w:t>c</w:t>
            </w:r>
          </w:p>
        </w:tc>
        <w:tc>
          <w:tcPr>
            <w:tcW w:w="1664" w:type="dxa"/>
            <w:vAlign w:val="center"/>
          </w:tcPr>
          <w:p w14:paraId="1F285CCB" w14:textId="77777777" w:rsidR="005E099E" w:rsidRPr="00824A5B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>gyakori</w:t>
            </w:r>
          </w:p>
        </w:tc>
      </w:tr>
      <w:tr w:rsidR="005E099E" w:rsidRPr="00E86B67" w14:paraId="2FADC3D9" w14:textId="77777777" w:rsidTr="004B7FAC">
        <w:tc>
          <w:tcPr>
            <w:tcW w:w="3493" w:type="dxa"/>
            <w:vMerge/>
            <w:vAlign w:val="center"/>
          </w:tcPr>
          <w:p w14:paraId="466BE196" w14:textId="77777777" w:rsidR="005E099E" w:rsidRPr="00BE28DC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</w:p>
        </w:tc>
        <w:tc>
          <w:tcPr>
            <w:tcW w:w="4111" w:type="dxa"/>
            <w:vAlign w:val="center"/>
          </w:tcPr>
          <w:p w14:paraId="33BA16E1" w14:textId="77777777" w:rsidR="005E099E" w:rsidRPr="006408A4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9F1C35">
              <w:rPr>
                <w:b w:val="0"/>
                <w:sz w:val="22"/>
                <w:szCs w:val="22"/>
                <w:lang w:val="hu-HU"/>
              </w:rPr>
              <w:t>zsibbadásérzés az arc</w:t>
            </w:r>
            <w:r w:rsidRPr="00530D49">
              <w:rPr>
                <w:b w:val="0"/>
                <w:sz w:val="22"/>
                <w:szCs w:val="22"/>
                <w:lang w:val="hu-HU"/>
              </w:rPr>
              <w:t>on</w:t>
            </w:r>
          </w:p>
          <w:p w14:paraId="050C71FC" w14:textId="77777777" w:rsidR="005E099E" w:rsidRPr="00065090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angiooedema</w:t>
            </w:r>
          </w:p>
          <w:p w14:paraId="497D8585" w14:textId="77777777" w:rsidR="005E099E" w:rsidRPr="00065090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urticaria</w:t>
            </w:r>
          </w:p>
          <w:p w14:paraId="6F782943" w14:textId="77777777" w:rsidR="005E099E" w:rsidRPr="006408A4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viszketés</w:t>
            </w:r>
          </w:p>
        </w:tc>
        <w:tc>
          <w:tcPr>
            <w:tcW w:w="1664" w:type="dxa"/>
            <w:vAlign w:val="center"/>
          </w:tcPr>
          <w:p w14:paraId="6FD3E965" w14:textId="77777777" w:rsidR="005E099E" w:rsidRPr="00824A5B" w:rsidRDefault="005E099E" w:rsidP="004B7FAC">
            <w:pPr>
              <w:pStyle w:val="02"/>
              <w:keepNext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  <w:tr w:rsidR="005E099E" w:rsidRPr="00E86B67" w14:paraId="29FE1BCD" w14:textId="77777777" w:rsidTr="004B7FAC">
        <w:tc>
          <w:tcPr>
            <w:tcW w:w="3493" w:type="dxa"/>
            <w:vAlign w:val="center"/>
          </w:tcPr>
          <w:p w14:paraId="383F34EC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4111" w:type="dxa"/>
            <w:vAlign w:val="center"/>
          </w:tcPr>
          <w:p w14:paraId="6BDE1A72" w14:textId="77777777" w:rsidR="005E099E" w:rsidRPr="006408A4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fájdalom a beadás helyén</w:t>
            </w:r>
          </w:p>
          <w:p w14:paraId="42A98A04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gyengeségérzés</w:t>
            </w:r>
          </w:p>
          <w:p w14:paraId="7D208601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forróságérzés</w:t>
            </w:r>
          </w:p>
          <w:p w14:paraId="63C1CA4C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hidegségérzés</w:t>
            </w:r>
            <w:r w:rsidRPr="00065090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  <w:p w14:paraId="1C7AC238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láz</w:t>
            </w:r>
            <w:r w:rsidRPr="00065090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  <w:p w14:paraId="2C799472" w14:textId="77777777" w:rsidR="005E099E" w:rsidRPr="00065090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mellkasi fájdalom</w:t>
            </w:r>
            <w:r w:rsidRPr="00065090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  <w:p w14:paraId="4F40926F" w14:textId="77777777" w:rsidR="005E099E" w:rsidRPr="00081D9E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081D9E">
              <w:rPr>
                <w:b w:val="0"/>
                <w:sz w:val="22"/>
                <w:szCs w:val="22"/>
                <w:lang w:val="hu-HU"/>
              </w:rPr>
              <w:t>mellkasi diszkomfortérzés</w:t>
            </w:r>
            <w:r w:rsidRPr="00081D9E">
              <w:rPr>
                <w:b w:val="0"/>
                <w:sz w:val="22"/>
                <w:szCs w:val="22"/>
                <w:vertAlign w:val="superscript"/>
                <w:lang w:val="hu-HU"/>
              </w:rPr>
              <w:t>*</w:t>
            </w:r>
          </w:p>
        </w:tc>
        <w:tc>
          <w:tcPr>
            <w:tcW w:w="1664" w:type="dxa"/>
            <w:vAlign w:val="center"/>
          </w:tcPr>
          <w:p w14:paraId="7B3E8EED" w14:textId="77777777" w:rsidR="005E099E" w:rsidRPr="00E86B67" w:rsidRDefault="005E099E" w:rsidP="004B7FAC">
            <w:pPr>
              <w:pStyle w:val="02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824A5B">
              <w:rPr>
                <w:b w:val="0"/>
                <w:sz w:val="22"/>
                <w:szCs w:val="22"/>
                <w:lang w:val="hu-HU"/>
              </w:rPr>
              <w:t xml:space="preserve">nem </w:t>
            </w:r>
            <w:r w:rsidRPr="003E578C">
              <w:rPr>
                <w:b w:val="0"/>
                <w:sz w:val="22"/>
                <w:szCs w:val="22"/>
                <w:lang w:val="hu-HU"/>
              </w:rPr>
              <w:t>ismert</w:t>
            </w:r>
          </w:p>
        </w:tc>
      </w:tr>
      <w:tr w:rsidR="005E099E" w:rsidRPr="00E86B67" w14:paraId="5559E625" w14:textId="77777777" w:rsidTr="004B7FAC">
        <w:tc>
          <w:tcPr>
            <w:tcW w:w="3493" w:type="dxa"/>
            <w:vMerge w:val="restart"/>
            <w:vAlign w:val="center"/>
          </w:tcPr>
          <w:p w14:paraId="147D4B23" w14:textId="77777777" w:rsidR="005E099E" w:rsidRPr="00E86B67" w:rsidRDefault="005E099E" w:rsidP="004B7FAC">
            <w:pPr>
              <w:pStyle w:val="02"/>
              <w:keepNext/>
              <w:widowControl w:val="0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  <w:r w:rsidRPr="00E86B67">
              <w:rPr>
                <w:sz w:val="22"/>
                <w:szCs w:val="22"/>
                <w:lang w:val="hu-HU"/>
              </w:rPr>
              <w:t>Laboratóriumi és egyéb vizsgálatok eredményei</w:t>
            </w:r>
          </w:p>
        </w:tc>
        <w:tc>
          <w:tcPr>
            <w:tcW w:w="4111" w:type="dxa"/>
            <w:vAlign w:val="center"/>
          </w:tcPr>
          <w:p w14:paraId="25B83204" w14:textId="77777777" w:rsidR="005E099E" w:rsidRPr="006408A4" w:rsidRDefault="005E099E" w:rsidP="004B7FAC">
            <w:pPr>
              <w:pStyle w:val="02"/>
              <w:keepNext/>
              <w:widowControl w:val="0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 w:rsidRPr="006408A4">
              <w:rPr>
                <w:b w:val="0"/>
                <w:sz w:val="22"/>
                <w:szCs w:val="22"/>
                <w:lang w:val="hu-HU"/>
              </w:rPr>
              <w:t>hepatitis B felületi antitest pozitivitás</w:t>
            </w:r>
            <w:r w:rsidRPr="006408A4">
              <w:rPr>
                <w:b w:val="0"/>
                <w:sz w:val="22"/>
                <w:szCs w:val="22"/>
                <w:vertAlign w:val="superscript"/>
                <w:lang w:val="hu-HU"/>
              </w:rPr>
              <w:t>c</w:t>
            </w:r>
          </w:p>
        </w:tc>
        <w:tc>
          <w:tcPr>
            <w:tcW w:w="1664" w:type="dxa"/>
            <w:vAlign w:val="center"/>
          </w:tcPr>
          <w:p w14:paraId="2663950D" w14:textId="77777777" w:rsidR="005E099E" w:rsidRPr="00065090" w:rsidRDefault="005E099E" w:rsidP="004B7FAC">
            <w:pPr>
              <w:pStyle w:val="02"/>
              <w:keepNext/>
              <w:widowControl w:val="0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 w:rsidRPr="00065090">
              <w:rPr>
                <w:b w:val="0"/>
                <w:sz w:val="22"/>
                <w:szCs w:val="22"/>
                <w:lang w:val="hu-HU"/>
              </w:rPr>
              <w:t>gyakori</w:t>
            </w:r>
          </w:p>
        </w:tc>
      </w:tr>
      <w:tr w:rsidR="005E099E" w:rsidRPr="00E86B67" w14:paraId="6726A778" w14:textId="77777777" w:rsidTr="004B7FAC">
        <w:tc>
          <w:tcPr>
            <w:tcW w:w="3493" w:type="dxa"/>
            <w:vMerge/>
            <w:vAlign w:val="center"/>
          </w:tcPr>
          <w:p w14:paraId="74DEEBC9" w14:textId="77777777" w:rsidR="005E099E" w:rsidRPr="00E86B67" w:rsidRDefault="005E099E" w:rsidP="004B7FAC">
            <w:pPr>
              <w:pStyle w:val="02"/>
              <w:keepNext/>
              <w:widowControl w:val="0"/>
              <w:tabs>
                <w:tab w:val="left" w:pos="567"/>
              </w:tabs>
              <w:spacing w:before="0" w:after="0" w:line="240" w:lineRule="auto"/>
              <w:ind w:firstLine="0"/>
              <w:rPr>
                <w:sz w:val="22"/>
                <w:szCs w:val="22"/>
                <w:lang w:val="hu-HU"/>
              </w:rPr>
            </w:pPr>
          </w:p>
        </w:tc>
        <w:tc>
          <w:tcPr>
            <w:tcW w:w="4111" w:type="dxa"/>
            <w:vAlign w:val="center"/>
          </w:tcPr>
          <w:p w14:paraId="27086FC3" w14:textId="77777777" w:rsidR="005E099E" w:rsidRPr="006408A4" w:rsidRDefault="005E099E" w:rsidP="004B7FAC">
            <w:pPr>
              <w:pStyle w:val="02"/>
              <w:keepNext/>
              <w:widowControl w:val="0"/>
              <w:tabs>
                <w:tab w:val="left" w:pos="567"/>
              </w:tabs>
              <w:spacing w:before="0" w:after="0" w:line="240" w:lineRule="auto"/>
              <w:ind w:firstLine="0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>emelkedett fibrin D</w:t>
            </w:r>
            <w:r>
              <w:rPr>
                <w:b w:val="0"/>
                <w:sz w:val="22"/>
                <w:szCs w:val="22"/>
                <w:lang w:val="hu-HU"/>
              </w:rPr>
              <w:noBreakHyphen/>
              <w:t>dimer</w:t>
            </w:r>
          </w:p>
        </w:tc>
        <w:tc>
          <w:tcPr>
            <w:tcW w:w="1664" w:type="dxa"/>
            <w:vAlign w:val="center"/>
          </w:tcPr>
          <w:p w14:paraId="09B45B7E" w14:textId="77777777" w:rsidR="005E099E" w:rsidRPr="00065090" w:rsidRDefault="005E099E" w:rsidP="004B7FAC">
            <w:pPr>
              <w:pStyle w:val="02"/>
              <w:keepNext/>
              <w:widowControl w:val="0"/>
              <w:tabs>
                <w:tab w:val="left" w:pos="567"/>
              </w:tabs>
              <w:spacing w:before="0" w:after="0" w:line="240" w:lineRule="auto"/>
              <w:ind w:firstLine="0"/>
              <w:jc w:val="center"/>
              <w:rPr>
                <w:b w:val="0"/>
                <w:sz w:val="22"/>
                <w:szCs w:val="22"/>
                <w:lang w:val="hu-HU"/>
              </w:rPr>
            </w:pPr>
            <w:r>
              <w:rPr>
                <w:b w:val="0"/>
                <w:sz w:val="22"/>
                <w:szCs w:val="22"/>
                <w:lang w:val="hu-HU"/>
              </w:rPr>
              <w:t>nem ismert</w:t>
            </w:r>
          </w:p>
        </w:tc>
      </w:tr>
    </w:tbl>
    <w:p w14:paraId="50F3975C" w14:textId="77777777" w:rsidR="005E099E" w:rsidRPr="006408A4" w:rsidRDefault="005E099E" w:rsidP="005E099E">
      <w:pPr>
        <w:pStyle w:val="02"/>
        <w:tabs>
          <w:tab w:val="left" w:pos="284"/>
        </w:tabs>
        <w:spacing w:before="0" w:after="0" w:line="240" w:lineRule="auto"/>
        <w:ind w:left="284" w:hanging="267"/>
        <w:rPr>
          <w:b w:val="0"/>
          <w:sz w:val="22"/>
          <w:szCs w:val="22"/>
          <w:lang w:val="hu-HU"/>
        </w:rPr>
      </w:pPr>
      <w:r w:rsidRPr="00065090">
        <w:rPr>
          <w:b w:val="0"/>
          <w:sz w:val="22"/>
          <w:szCs w:val="22"/>
          <w:vertAlign w:val="superscript"/>
          <w:lang w:val="hu-HU"/>
        </w:rPr>
        <w:t>*</w:t>
      </w:r>
      <w:r>
        <w:rPr>
          <w:b w:val="0"/>
          <w:sz w:val="22"/>
          <w:szCs w:val="22"/>
          <w:vertAlign w:val="superscript"/>
          <w:lang w:val="hu-HU"/>
        </w:rPr>
        <w:tab/>
      </w:r>
      <w:r w:rsidRPr="009F1C35">
        <w:rPr>
          <w:b w:val="0"/>
          <w:sz w:val="22"/>
          <w:szCs w:val="22"/>
          <w:lang w:val="hu-HU"/>
        </w:rPr>
        <w:t>ezen mellékhatások gyakoriságának pontos megbecsülésére a rendelkezésre álló adatokból nincs lehetőség</w:t>
      </w:r>
      <w:r>
        <w:rPr>
          <w:b w:val="0"/>
          <w:sz w:val="22"/>
          <w:szCs w:val="22"/>
          <w:lang w:val="hu-HU"/>
        </w:rPr>
        <w:t>.</w:t>
      </w:r>
    </w:p>
    <w:p w14:paraId="2C028C6D" w14:textId="77777777" w:rsidR="005E099E" w:rsidRPr="00065090" w:rsidRDefault="005E099E" w:rsidP="005E099E">
      <w:pPr>
        <w:pStyle w:val="02"/>
        <w:tabs>
          <w:tab w:val="left" w:pos="284"/>
        </w:tabs>
        <w:spacing w:before="0" w:after="0" w:line="240" w:lineRule="auto"/>
        <w:ind w:left="284" w:hanging="267"/>
        <w:rPr>
          <w:b w:val="0"/>
          <w:sz w:val="22"/>
          <w:szCs w:val="22"/>
          <w:lang w:val="hu-HU"/>
        </w:rPr>
      </w:pPr>
      <w:r w:rsidRPr="006408A4">
        <w:rPr>
          <w:b w:val="0"/>
          <w:sz w:val="22"/>
          <w:szCs w:val="22"/>
          <w:vertAlign w:val="superscript"/>
          <w:lang w:val="hu-HU"/>
        </w:rPr>
        <w:t>a</w:t>
      </w:r>
      <w:r>
        <w:rPr>
          <w:b w:val="0"/>
          <w:sz w:val="22"/>
          <w:szCs w:val="22"/>
          <w:lang w:val="hu-HU"/>
        </w:rPr>
        <w:tab/>
      </w:r>
      <w:r w:rsidRPr="006408A4">
        <w:rPr>
          <w:b w:val="0"/>
          <w:kern w:val="22"/>
          <w:sz w:val="22"/>
          <w:szCs w:val="22"/>
          <w:lang w:val="hu-HU"/>
        </w:rPr>
        <w:t xml:space="preserve">az </w:t>
      </w:r>
      <w:r w:rsidRPr="006408A4">
        <w:rPr>
          <w:b w:val="0"/>
          <w:sz w:val="22"/>
          <w:szCs w:val="22"/>
          <w:lang w:val="hu-HU"/>
        </w:rPr>
        <w:t>inhibitortiter növekedése (anamnesztikus válasz) [nem MedDRA szerinti meghatározás]: a korábban meglévő inhibitortiter Feiba NF alkalmazásának</w:t>
      </w:r>
      <w:r w:rsidRPr="00065090">
        <w:rPr>
          <w:b w:val="0"/>
          <w:sz w:val="22"/>
          <w:szCs w:val="22"/>
          <w:lang w:val="hu-HU"/>
        </w:rPr>
        <w:t xml:space="preserve"> hatására megnövekszik. Lásd 4.4 pont.</w:t>
      </w:r>
    </w:p>
    <w:p w14:paraId="78D1E991" w14:textId="77777777" w:rsidR="005E099E" w:rsidRPr="00065090" w:rsidRDefault="005E099E" w:rsidP="005E099E">
      <w:pPr>
        <w:pStyle w:val="02"/>
        <w:tabs>
          <w:tab w:val="left" w:pos="284"/>
        </w:tabs>
        <w:spacing w:before="0" w:after="0" w:line="240" w:lineRule="auto"/>
        <w:ind w:left="284" w:hanging="267"/>
        <w:rPr>
          <w:b w:val="0"/>
          <w:sz w:val="22"/>
          <w:szCs w:val="22"/>
          <w:lang w:val="hu-HU"/>
        </w:rPr>
      </w:pPr>
      <w:r w:rsidRPr="00065090">
        <w:rPr>
          <w:b w:val="0"/>
          <w:sz w:val="22"/>
          <w:szCs w:val="22"/>
          <w:vertAlign w:val="superscript"/>
          <w:lang w:val="hu-HU"/>
        </w:rPr>
        <w:t>b</w:t>
      </w:r>
      <w:r>
        <w:rPr>
          <w:b w:val="0"/>
          <w:sz w:val="22"/>
          <w:szCs w:val="22"/>
          <w:lang w:val="hu-HU"/>
        </w:rPr>
        <w:tab/>
      </w:r>
      <w:r w:rsidRPr="00065090">
        <w:rPr>
          <w:b w:val="0"/>
          <w:sz w:val="22"/>
          <w:szCs w:val="22"/>
          <w:lang w:val="hu-HU"/>
        </w:rPr>
        <w:t>a mellékhatást az eredeti és a pro</w:t>
      </w:r>
      <w:r>
        <w:rPr>
          <w:b w:val="0"/>
          <w:sz w:val="22"/>
          <w:szCs w:val="22"/>
          <w:lang w:val="hu-HU"/>
        </w:rPr>
        <w:t>fi</w:t>
      </w:r>
      <w:r w:rsidRPr="00065090">
        <w:rPr>
          <w:b w:val="0"/>
          <w:sz w:val="22"/>
          <w:szCs w:val="22"/>
          <w:lang w:val="hu-HU"/>
        </w:rPr>
        <w:t>laxis vizsgálatokból jelentették. A gyakoriság csak a pro</w:t>
      </w:r>
      <w:r>
        <w:rPr>
          <w:b w:val="0"/>
          <w:sz w:val="22"/>
          <w:szCs w:val="22"/>
          <w:lang w:val="hu-HU"/>
        </w:rPr>
        <w:t>fi</w:t>
      </w:r>
      <w:r w:rsidRPr="00065090">
        <w:rPr>
          <w:b w:val="0"/>
          <w:sz w:val="22"/>
          <w:szCs w:val="22"/>
          <w:lang w:val="hu-HU"/>
        </w:rPr>
        <w:t>laxis vizsgálatból származik.</w:t>
      </w:r>
    </w:p>
    <w:p w14:paraId="27FA53D1" w14:textId="77777777" w:rsidR="005E099E" w:rsidRPr="00065090" w:rsidRDefault="005E099E" w:rsidP="005E099E">
      <w:pPr>
        <w:pStyle w:val="02"/>
        <w:tabs>
          <w:tab w:val="left" w:pos="284"/>
        </w:tabs>
        <w:spacing w:before="0" w:after="0" w:line="240" w:lineRule="auto"/>
        <w:ind w:left="284" w:hanging="267"/>
        <w:rPr>
          <w:b w:val="0"/>
          <w:sz w:val="22"/>
          <w:szCs w:val="22"/>
          <w:lang w:val="hu-HU"/>
        </w:rPr>
      </w:pPr>
      <w:r w:rsidRPr="00065090">
        <w:rPr>
          <w:b w:val="0"/>
          <w:sz w:val="22"/>
          <w:szCs w:val="22"/>
          <w:vertAlign w:val="superscript"/>
          <w:lang w:val="hu-HU"/>
        </w:rPr>
        <w:t>c</w:t>
      </w:r>
      <w:r>
        <w:rPr>
          <w:b w:val="0"/>
          <w:sz w:val="22"/>
          <w:szCs w:val="22"/>
          <w:lang w:val="hu-HU"/>
        </w:rPr>
        <w:tab/>
      </w:r>
      <w:r w:rsidRPr="00065090">
        <w:rPr>
          <w:b w:val="0"/>
          <w:sz w:val="22"/>
          <w:szCs w:val="22"/>
          <w:lang w:val="hu-HU"/>
        </w:rPr>
        <w:t>a mellékhatást a pro</w:t>
      </w:r>
      <w:r>
        <w:rPr>
          <w:b w:val="0"/>
          <w:sz w:val="22"/>
          <w:szCs w:val="22"/>
          <w:lang w:val="hu-HU"/>
        </w:rPr>
        <w:t>fi</w:t>
      </w:r>
      <w:r w:rsidRPr="00065090">
        <w:rPr>
          <w:b w:val="0"/>
          <w:sz w:val="22"/>
          <w:szCs w:val="22"/>
          <w:lang w:val="hu-HU"/>
        </w:rPr>
        <w:t>laxis vizsgálatból jelentették. A gyakoriság a pro</w:t>
      </w:r>
      <w:r>
        <w:rPr>
          <w:b w:val="0"/>
          <w:sz w:val="22"/>
          <w:szCs w:val="22"/>
          <w:lang w:val="hu-HU"/>
        </w:rPr>
        <w:t>fi</w:t>
      </w:r>
      <w:r w:rsidRPr="00065090">
        <w:rPr>
          <w:b w:val="0"/>
          <w:sz w:val="22"/>
          <w:szCs w:val="22"/>
          <w:lang w:val="hu-HU"/>
        </w:rPr>
        <w:t>laxis vizsgálatból származik.</w:t>
      </w:r>
    </w:p>
    <w:p w14:paraId="496E4162" w14:textId="77777777" w:rsidR="005E099E" w:rsidRPr="00065090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25CF18E1" w14:textId="77777777" w:rsidR="005E099E" w:rsidRPr="00081D9E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081D9E">
        <w:rPr>
          <w:b w:val="0"/>
          <w:sz w:val="22"/>
          <w:szCs w:val="22"/>
          <w:lang w:val="hu-HU"/>
        </w:rPr>
        <w:t>A gyógyszercsoportra jellemző reakciók</w:t>
      </w:r>
    </w:p>
    <w:p w14:paraId="14FA4622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824A5B">
        <w:rPr>
          <w:b w:val="0"/>
          <w:sz w:val="22"/>
          <w:szCs w:val="22"/>
          <w:lang w:val="hu-HU"/>
        </w:rPr>
        <w:t xml:space="preserve">A vérplazmából előállított gyógyszerkészítmények </w:t>
      </w:r>
      <w:r w:rsidRPr="00CF338B">
        <w:rPr>
          <w:b w:val="0"/>
          <w:sz w:val="22"/>
          <w:szCs w:val="22"/>
          <w:lang w:val="hu-HU"/>
        </w:rPr>
        <w:t>t</w:t>
      </w:r>
      <w:r w:rsidRPr="00BE28DC">
        <w:rPr>
          <w:b w:val="0"/>
          <w:sz w:val="22"/>
          <w:szCs w:val="22"/>
          <w:lang w:val="hu-HU"/>
        </w:rPr>
        <w:t>úlérzékenységi reakcióinak egyéb tünetei, köztük a letargia és nyugtalanság</w:t>
      </w:r>
      <w:r w:rsidRPr="00C066DF">
        <w:rPr>
          <w:b w:val="0"/>
          <w:sz w:val="22"/>
          <w:szCs w:val="22"/>
          <w:lang w:val="hu-HU"/>
        </w:rPr>
        <w:t>.</w:t>
      </w:r>
    </w:p>
    <w:p w14:paraId="60614A63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0F6F8F1C" w14:textId="77777777" w:rsidR="005E099E" w:rsidRPr="00E86B67" w:rsidRDefault="005E099E" w:rsidP="005E099E">
      <w:pPr>
        <w:pStyle w:val="02"/>
        <w:widowControl w:val="0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E86B67">
        <w:rPr>
          <w:sz w:val="22"/>
          <w:szCs w:val="22"/>
          <w:lang w:val="hu-HU"/>
        </w:rPr>
        <w:t>Feltételezett mellékhatások bejelentése</w:t>
      </w:r>
    </w:p>
    <w:p w14:paraId="45D1E22A" w14:textId="77777777" w:rsidR="005E099E" w:rsidRPr="00472267" w:rsidRDefault="005E099E" w:rsidP="005E099E">
      <w:pPr>
        <w:pStyle w:val="02"/>
        <w:widowControl w:val="0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081D9E">
        <w:rPr>
          <w:b w:val="0"/>
          <w:sz w:val="22"/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  <w:r w:rsidRPr="00824A5B">
        <w:rPr>
          <w:b w:val="0"/>
          <w:sz w:val="22"/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E86B67">
          <w:rPr>
            <w:rStyle w:val="Hiperhivatkozs"/>
            <w:b w:val="0"/>
            <w:sz w:val="22"/>
            <w:szCs w:val="22"/>
            <w:highlight w:val="lightGray"/>
            <w:lang w:val="hu-HU"/>
          </w:rPr>
          <w:t>V. függelékben</w:t>
        </w:r>
      </w:hyperlink>
      <w:r w:rsidRPr="00E86B67">
        <w:rPr>
          <w:b w:val="0"/>
          <w:sz w:val="22"/>
          <w:szCs w:val="22"/>
          <w:highlight w:val="lightGray"/>
          <w:lang w:val="hu-HU"/>
        </w:rPr>
        <w:t xml:space="preserve"> található elérhetőségek valamelyikén keresztül</w:t>
      </w:r>
      <w:r w:rsidRPr="00472267">
        <w:rPr>
          <w:b w:val="0"/>
          <w:sz w:val="22"/>
          <w:szCs w:val="22"/>
          <w:lang w:val="hu-HU"/>
        </w:rPr>
        <w:t>.</w:t>
      </w:r>
    </w:p>
    <w:p w14:paraId="1FDE398E" w14:textId="77777777" w:rsidR="005E099E" w:rsidRPr="006408A4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2B52BD53" w14:textId="77777777" w:rsidR="005E099E" w:rsidRPr="00065090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065090">
        <w:rPr>
          <w:sz w:val="22"/>
          <w:szCs w:val="22"/>
          <w:lang w:val="hu-HU"/>
        </w:rPr>
        <w:t>4.9</w:t>
      </w:r>
      <w:r w:rsidRPr="00065090">
        <w:rPr>
          <w:sz w:val="22"/>
          <w:szCs w:val="22"/>
          <w:lang w:val="hu-HU"/>
        </w:rPr>
        <w:tab/>
        <w:t>Túladagolás</w:t>
      </w:r>
    </w:p>
    <w:p w14:paraId="2035F099" w14:textId="77777777" w:rsidR="005E099E" w:rsidRPr="00081D9E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505BD015" w14:textId="77777777" w:rsidR="005E099E" w:rsidRPr="00065090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A</w:t>
      </w:r>
      <w:r w:rsidRPr="00065090">
        <w:rPr>
          <w:sz w:val="22"/>
          <w:szCs w:val="22"/>
        </w:rPr>
        <w:t xml:space="preserve"> jelentett </w:t>
      </w:r>
      <w:r>
        <w:rPr>
          <w:sz w:val="22"/>
          <w:szCs w:val="22"/>
        </w:rPr>
        <w:t xml:space="preserve">thromboemboliás </w:t>
      </w:r>
      <w:r w:rsidRPr="00065090">
        <w:rPr>
          <w:sz w:val="22"/>
          <w:szCs w:val="22"/>
        </w:rPr>
        <w:t xml:space="preserve">esetek közül </w:t>
      </w:r>
      <w:r>
        <w:rPr>
          <w:sz w:val="22"/>
          <w:szCs w:val="22"/>
        </w:rPr>
        <w:t xml:space="preserve">néhány </w:t>
      </w:r>
      <w:r w:rsidRPr="00065090">
        <w:rPr>
          <w:sz w:val="22"/>
          <w:szCs w:val="22"/>
        </w:rPr>
        <w:t xml:space="preserve">200 Egység/ttkg </w:t>
      </w:r>
      <w:r>
        <w:rPr>
          <w:sz w:val="22"/>
          <w:szCs w:val="22"/>
        </w:rPr>
        <w:t xml:space="preserve">Feiba NF </w:t>
      </w:r>
      <w:r w:rsidRPr="00065090">
        <w:rPr>
          <w:sz w:val="22"/>
          <w:szCs w:val="22"/>
        </w:rPr>
        <w:t>dózis felett fordult elő. Amennyiben thromboemboliás esemény jelei tapasztalhatók</w:t>
      </w:r>
      <w:r>
        <w:rPr>
          <w:sz w:val="22"/>
          <w:szCs w:val="22"/>
        </w:rPr>
        <w:t>,</w:t>
      </w:r>
      <w:r w:rsidRPr="00065090">
        <w:rPr>
          <w:sz w:val="22"/>
          <w:szCs w:val="22"/>
        </w:rPr>
        <w:t xml:space="preserve"> az infúziót azonnal le kell állítani és a megfelelő vizsgálati, kezelési lépéseket meg kell kezdeni. Lásd 4.4 pont.</w:t>
      </w:r>
    </w:p>
    <w:p w14:paraId="6D4A9FCD" w14:textId="77777777" w:rsidR="005E099E" w:rsidRPr="00081D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2E16412" w14:textId="77777777" w:rsidR="005E099E" w:rsidRPr="00824A5B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BC8F641" w14:textId="77777777" w:rsidR="005E099E" w:rsidRPr="00BE28DC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Cs/>
          <w:sz w:val="22"/>
          <w:szCs w:val="22"/>
          <w:lang w:val="hu-HU"/>
        </w:rPr>
      </w:pPr>
      <w:r w:rsidRPr="00BE28DC">
        <w:rPr>
          <w:bCs/>
          <w:sz w:val="22"/>
          <w:szCs w:val="22"/>
          <w:lang w:val="hu-HU"/>
        </w:rPr>
        <w:t>5.</w:t>
      </w:r>
      <w:r w:rsidRPr="00BE28DC">
        <w:rPr>
          <w:bCs/>
          <w:sz w:val="22"/>
          <w:szCs w:val="22"/>
          <w:lang w:val="hu-HU"/>
        </w:rPr>
        <w:tab/>
        <w:t>FARMAKOLÓGIAI TULAJDONSÁGOK</w:t>
      </w:r>
    </w:p>
    <w:p w14:paraId="679C1525" w14:textId="77777777" w:rsidR="005E099E" w:rsidRPr="00C066DF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bCs/>
          <w:sz w:val="22"/>
          <w:szCs w:val="22"/>
          <w:lang w:val="hu-HU"/>
        </w:rPr>
      </w:pPr>
    </w:p>
    <w:p w14:paraId="69E41E41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E86B67">
        <w:rPr>
          <w:sz w:val="22"/>
          <w:szCs w:val="22"/>
          <w:lang w:val="hu-HU"/>
        </w:rPr>
        <w:t>5.1</w:t>
      </w:r>
      <w:r w:rsidRPr="00E86B67">
        <w:rPr>
          <w:sz w:val="22"/>
          <w:szCs w:val="22"/>
          <w:lang w:val="hu-HU"/>
        </w:rPr>
        <w:tab/>
        <w:t>Farmakodinámiás tulajdonságok</w:t>
      </w:r>
    </w:p>
    <w:p w14:paraId="6F69A071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423D006B" w14:textId="2651CD53" w:rsidR="005E099E" w:rsidRPr="004C1675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  <w:r w:rsidRPr="00E86B67">
        <w:rPr>
          <w:b w:val="0"/>
          <w:sz w:val="22"/>
          <w:szCs w:val="22"/>
          <w:lang w:val="hu-HU"/>
        </w:rPr>
        <w:t xml:space="preserve">Farmakoterápás csoport: </w:t>
      </w:r>
      <w:r w:rsidR="00CC0FF3" w:rsidRPr="00CC0FF3">
        <w:rPr>
          <w:b w:val="0"/>
          <w:sz w:val="22"/>
          <w:szCs w:val="22"/>
          <w:lang w:val="hu-HU"/>
        </w:rPr>
        <w:t>Vérzéscsillapítók</w:t>
      </w:r>
      <w:r w:rsidR="00BC7F8A">
        <w:rPr>
          <w:b w:val="0"/>
          <w:sz w:val="22"/>
          <w:szCs w:val="22"/>
          <w:lang w:val="hu-HU"/>
        </w:rPr>
        <w:t xml:space="preserve">, </w:t>
      </w:r>
      <w:r w:rsidRPr="00E86B67">
        <w:rPr>
          <w:b w:val="0"/>
          <w:sz w:val="22"/>
          <w:szCs w:val="22"/>
          <w:lang w:val="hu-HU"/>
        </w:rPr>
        <w:t xml:space="preserve">Inhibitoros haemophiliában alkalmazható </w:t>
      </w:r>
      <w:r w:rsidRPr="004C1675">
        <w:rPr>
          <w:b w:val="0"/>
          <w:sz w:val="22"/>
          <w:szCs w:val="22"/>
          <w:lang w:val="hu-HU"/>
        </w:rPr>
        <w:t xml:space="preserve">aktivált </w:t>
      </w:r>
      <w:r>
        <w:rPr>
          <w:b w:val="0"/>
          <w:sz w:val="22"/>
          <w:szCs w:val="22"/>
          <w:lang w:val="hu-HU"/>
        </w:rPr>
        <w:t>protro</w:t>
      </w:r>
      <w:r w:rsidRPr="004C1675">
        <w:rPr>
          <w:b w:val="0"/>
          <w:sz w:val="22"/>
          <w:szCs w:val="22"/>
          <w:lang w:val="hu-HU"/>
        </w:rPr>
        <w:t>mbinkomplex</w:t>
      </w:r>
      <w:r w:rsidRPr="00081D9E">
        <w:rPr>
          <w:b w:val="0"/>
          <w:sz w:val="22"/>
          <w:szCs w:val="22"/>
          <w:lang w:val="hu-HU"/>
        </w:rPr>
        <w:noBreakHyphen/>
        <w:t>koncentrátum</w:t>
      </w:r>
    </w:p>
    <w:p w14:paraId="3945DBF8" w14:textId="77777777" w:rsidR="005E099E" w:rsidRPr="00081D9E" w:rsidRDefault="005E099E" w:rsidP="005E099E">
      <w:pPr>
        <w:pStyle w:val="01"/>
        <w:tabs>
          <w:tab w:val="left" w:pos="567"/>
        </w:tabs>
        <w:spacing w:before="0" w:after="0" w:line="240" w:lineRule="auto"/>
        <w:ind w:left="17" w:firstLine="0"/>
        <w:rPr>
          <w:b w:val="0"/>
          <w:bCs/>
          <w:sz w:val="22"/>
          <w:szCs w:val="22"/>
          <w:lang w:val="hu-HU"/>
        </w:rPr>
      </w:pPr>
      <w:r w:rsidRPr="00081D9E">
        <w:rPr>
          <w:b w:val="0"/>
          <w:bCs/>
          <w:sz w:val="22"/>
          <w:szCs w:val="22"/>
          <w:lang w:val="hu-HU"/>
        </w:rPr>
        <w:t>ATC kód:</w:t>
      </w:r>
      <w:r w:rsidRPr="00081D9E">
        <w:rPr>
          <w:sz w:val="22"/>
          <w:szCs w:val="22"/>
          <w:lang w:val="hu-HU"/>
        </w:rPr>
        <w:t xml:space="preserve"> </w:t>
      </w:r>
      <w:r w:rsidRPr="004C1675">
        <w:rPr>
          <w:b w:val="0"/>
          <w:bCs/>
          <w:sz w:val="22"/>
          <w:szCs w:val="22"/>
          <w:lang w:val="hu-HU"/>
        </w:rPr>
        <w:t>B02B</w:t>
      </w:r>
      <w:r w:rsidRPr="00081D9E">
        <w:rPr>
          <w:b w:val="0"/>
          <w:bCs/>
          <w:sz w:val="22"/>
          <w:szCs w:val="22"/>
          <w:lang w:val="hu-HU"/>
        </w:rPr>
        <w:t> D03</w:t>
      </w:r>
    </w:p>
    <w:p w14:paraId="48147D6E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551CB19D" w14:textId="77777777" w:rsidR="005E099E" w:rsidRPr="004C1675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4C1675">
        <w:rPr>
          <w:sz w:val="22"/>
          <w:szCs w:val="22"/>
        </w:rPr>
        <w:t xml:space="preserve">Bár a hetvenes évek elején kifejlesztett Feiba NF készítmény VIII. faktor elleni antitesteket megkerülő </w:t>
      </w:r>
      <w:r w:rsidRPr="00081D9E">
        <w:rPr>
          <w:sz w:val="22"/>
          <w:szCs w:val="22"/>
        </w:rPr>
        <w:t xml:space="preserve">aktivitását </w:t>
      </w:r>
      <w:r w:rsidRPr="00081D9E">
        <w:rPr>
          <w:i/>
          <w:sz w:val="22"/>
          <w:szCs w:val="22"/>
        </w:rPr>
        <w:t>in vitro</w:t>
      </w:r>
      <w:r w:rsidRPr="00081D9E">
        <w:rPr>
          <w:sz w:val="22"/>
          <w:szCs w:val="22"/>
        </w:rPr>
        <w:t xml:space="preserve"> és </w:t>
      </w:r>
      <w:r w:rsidRPr="00824A5B">
        <w:rPr>
          <w:i/>
          <w:sz w:val="22"/>
          <w:szCs w:val="22"/>
        </w:rPr>
        <w:t>in vivo</w:t>
      </w:r>
      <w:r w:rsidRPr="00824A5B">
        <w:rPr>
          <w:sz w:val="22"/>
          <w:szCs w:val="22"/>
        </w:rPr>
        <w:t xml:space="preserve"> vizsgálatokkal bizonyították, hatóanyagának természete továbbra is tudományos viták tárgya. A közelmúlt kutatási eredményei alapján úgy tűnik, hogy az aktivált </w:t>
      </w:r>
      <w:r>
        <w:rPr>
          <w:sz w:val="22"/>
          <w:szCs w:val="22"/>
        </w:rPr>
        <w:t>protro</w:t>
      </w:r>
      <w:r w:rsidRPr="00824A5B">
        <w:rPr>
          <w:sz w:val="22"/>
          <w:szCs w:val="22"/>
        </w:rPr>
        <w:t>mbinkomplex egye</w:t>
      </w:r>
      <w:r w:rsidRPr="00BE28DC">
        <w:rPr>
          <w:sz w:val="22"/>
          <w:szCs w:val="22"/>
        </w:rPr>
        <w:t>s összetevői, a z</w:t>
      </w:r>
      <w:r>
        <w:rPr>
          <w:sz w:val="22"/>
          <w:szCs w:val="22"/>
        </w:rPr>
        <w:t>i</w:t>
      </w:r>
      <w:r w:rsidRPr="00BE28DC">
        <w:rPr>
          <w:sz w:val="22"/>
          <w:szCs w:val="22"/>
        </w:rPr>
        <w:t>mogén protrombin (II. faktor) és az aktivált X. faktor (FXa</w:t>
      </w:r>
      <w:r>
        <w:rPr>
          <w:sz w:val="22"/>
          <w:szCs w:val="22"/>
        </w:rPr>
        <w:t>.</w:t>
      </w:r>
      <w:r w:rsidRPr="004C1675">
        <w:rPr>
          <w:sz w:val="22"/>
          <w:szCs w:val="22"/>
        </w:rPr>
        <w:t>) legalább részben felelősek a Feiba NF hatásaiért.</w:t>
      </w:r>
    </w:p>
    <w:p w14:paraId="48D6A6E8" w14:textId="77777777" w:rsid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84966F7" w14:textId="398D0B5C" w:rsidR="003C6B16" w:rsidRDefault="003C6B16" w:rsidP="005E099E">
      <w:pPr>
        <w:tabs>
          <w:tab w:val="left" w:pos="567"/>
        </w:tabs>
        <w:ind w:left="17"/>
        <w:rPr>
          <w:sz w:val="22"/>
          <w:szCs w:val="22"/>
          <w:lang w:val="en"/>
        </w:rPr>
      </w:pPr>
      <w:r>
        <w:rPr>
          <w:sz w:val="22"/>
          <w:szCs w:val="22"/>
          <w:lang w:val="en"/>
        </w:rPr>
        <w:t xml:space="preserve">A szokásos vagy 50 %-kal csökkentett térfogatban feloldott, valamint nagyobb infúziós sebességgel alkalmazott Feiba NF tolerálhatóságát és biztonságosságát vizsgálták egy inhibitoros hemofíliás betegek körében végzett prospektív, nyílt, randomizált, keresztezett elrendezésű vizsgálatban. </w:t>
      </w:r>
      <w:r w:rsidRPr="00863987">
        <w:rPr>
          <w:sz w:val="22"/>
          <w:szCs w:val="22"/>
          <w:lang w:val="en"/>
        </w:rPr>
        <w:t>33</w:t>
      </w:r>
      <w:r w:rsidRPr="00673C67">
        <w:rPr>
          <w:sz w:val="22"/>
          <w:szCs w:val="22"/>
          <w:lang w:val="en"/>
        </w:rPr>
        <w:t xml:space="preserve"> beteget kezeltek, és </w:t>
      </w:r>
      <w:r w:rsidRPr="00863987">
        <w:rPr>
          <w:sz w:val="22"/>
          <w:szCs w:val="22"/>
          <w:lang w:val="en"/>
        </w:rPr>
        <w:t>28</w:t>
      </w:r>
      <w:r w:rsidRPr="00673C67">
        <w:rPr>
          <w:sz w:val="22"/>
          <w:szCs w:val="22"/>
          <w:lang w:val="en"/>
        </w:rPr>
        <w:t xml:space="preserve"> beteg fejezte be a vizsgálatot. A vizsgálat során a Feib</w:t>
      </w:r>
      <w:r w:rsidRPr="00863987">
        <w:rPr>
          <w:sz w:val="22"/>
          <w:szCs w:val="22"/>
          <w:lang w:val="en"/>
        </w:rPr>
        <w:t>a NF-et</w:t>
      </w:r>
      <w:r w:rsidRPr="00673C67">
        <w:rPr>
          <w:sz w:val="22"/>
          <w:szCs w:val="22"/>
          <w:lang w:val="en"/>
        </w:rPr>
        <w:t xml:space="preserve"> 50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%-kal csökkentett térfogatban (100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/ml koncentráció</w:t>
      </w:r>
      <w:r>
        <w:rPr>
          <w:sz w:val="22"/>
          <w:szCs w:val="22"/>
          <w:lang w:val="en"/>
        </w:rPr>
        <w:t>ban</w:t>
      </w:r>
      <w:r w:rsidRPr="00673C67">
        <w:rPr>
          <w:sz w:val="22"/>
          <w:szCs w:val="22"/>
          <w:lang w:val="en"/>
        </w:rPr>
        <w:t xml:space="preserve">) </w:t>
      </w:r>
      <w:r>
        <w:rPr>
          <w:sz w:val="22"/>
          <w:szCs w:val="22"/>
          <w:lang w:val="en"/>
        </w:rPr>
        <w:t>oldották fel</w:t>
      </w:r>
      <w:r w:rsidRPr="00673C67">
        <w:rPr>
          <w:sz w:val="22"/>
          <w:szCs w:val="22"/>
          <w:lang w:val="en"/>
        </w:rPr>
        <w:t>, és intravénásan adagolták 2, 4 és 10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 xml:space="preserve">/ttkg/perc infúziós sebességgel, a </w:t>
      </w:r>
      <w:r>
        <w:rPr>
          <w:sz w:val="22"/>
          <w:szCs w:val="22"/>
          <w:lang w:val="en"/>
        </w:rPr>
        <w:t>feltüntetett</w:t>
      </w:r>
      <w:r w:rsidRPr="00673C67">
        <w:rPr>
          <w:sz w:val="22"/>
          <w:szCs w:val="22"/>
          <w:lang w:val="en"/>
        </w:rPr>
        <w:t xml:space="preserve"> 85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 ± 15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 dózisban minden beteg esetében. Az elsődleges végpontok a tolerálhatóság és a biztonságosság voltak az 50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 xml:space="preserve">%-kal csökkentett térfogat (megnövelt koncentráció) mellett, standard és </w:t>
      </w:r>
      <w:r>
        <w:rPr>
          <w:sz w:val="22"/>
          <w:szCs w:val="22"/>
          <w:lang w:val="en"/>
        </w:rPr>
        <w:t>megnövelt</w:t>
      </w:r>
      <w:r w:rsidRPr="00673C67">
        <w:rPr>
          <w:sz w:val="22"/>
          <w:szCs w:val="22"/>
          <w:lang w:val="en"/>
        </w:rPr>
        <w:t xml:space="preserve"> infúziós sebességek esetén. A vizsgálat kimutatta, hogy mind a magasabb koncentráció (100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 xml:space="preserve">/ml), mind a </w:t>
      </w:r>
      <w:r>
        <w:rPr>
          <w:sz w:val="22"/>
          <w:szCs w:val="22"/>
          <w:lang w:val="en"/>
        </w:rPr>
        <w:t>nagyobb</w:t>
      </w:r>
      <w:r w:rsidRPr="00673C67">
        <w:rPr>
          <w:sz w:val="22"/>
          <w:szCs w:val="22"/>
          <w:lang w:val="en"/>
        </w:rPr>
        <w:t xml:space="preserve"> infúziós sebességek (4 és 10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 xml:space="preserve">/ttkg/perc) jól tolerálhatók voltak, és a biztonságossági profil összevethető volt a </w:t>
      </w:r>
      <w:r>
        <w:rPr>
          <w:sz w:val="22"/>
          <w:szCs w:val="22"/>
          <w:lang w:val="en"/>
        </w:rPr>
        <w:t>feltüntetett</w:t>
      </w:r>
      <w:r w:rsidRPr="00673C67">
        <w:rPr>
          <w:sz w:val="22"/>
          <w:szCs w:val="22"/>
          <w:lang w:val="en"/>
        </w:rPr>
        <w:t xml:space="preserve"> 85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 ± 15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 dózis</w:t>
      </w:r>
      <w:r>
        <w:rPr>
          <w:sz w:val="22"/>
          <w:szCs w:val="22"/>
          <w:lang w:val="en"/>
        </w:rPr>
        <w:t>ok esetén</w:t>
      </w:r>
      <w:r w:rsidRPr="00673C67">
        <w:rPr>
          <w:sz w:val="22"/>
          <w:szCs w:val="22"/>
          <w:lang w:val="en"/>
        </w:rPr>
        <w:t>. Azoknál a betegeknél, akik az 50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%-kal csökkentett térfogatot (megnövelt koncentráció</w:t>
      </w:r>
      <w:r>
        <w:rPr>
          <w:sz w:val="22"/>
          <w:szCs w:val="22"/>
          <w:lang w:val="en"/>
        </w:rPr>
        <w:t>t</w:t>
      </w:r>
      <w:r w:rsidRPr="00673C67">
        <w:rPr>
          <w:sz w:val="22"/>
          <w:szCs w:val="22"/>
          <w:lang w:val="en"/>
        </w:rPr>
        <w:t>) kapták a standard 2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 infúziós sebességgel, a kezelés</w:t>
      </w:r>
      <w:r>
        <w:rPr>
          <w:sz w:val="22"/>
          <w:szCs w:val="22"/>
          <w:lang w:val="en"/>
        </w:rPr>
        <w:t>sel összefüggő</w:t>
      </w:r>
      <w:r w:rsidRPr="00673C67">
        <w:rPr>
          <w:sz w:val="22"/>
          <w:szCs w:val="22"/>
          <w:lang w:val="en"/>
        </w:rPr>
        <w:t xml:space="preserve"> </w:t>
      </w:r>
      <w:r>
        <w:rPr>
          <w:sz w:val="22"/>
          <w:szCs w:val="22"/>
          <w:lang w:val="en"/>
        </w:rPr>
        <w:t>mellékhatások</w:t>
      </w:r>
      <w:r w:rsidRPr="00673C67">
        <w:rPr>
          <w:sz w:val="22"/>
          <w:szCs w:val="22"/>
          <w:lang w:val="en"/>
        </w:rPr>
        <w:t xml:space="preserve"> (TEAE-k) előfordulási aránya hasonló volt azokhoz, akik a </w:t>
      </w:r>
      <w:r>
        <w:rPr>
          <w:sz w:val="22"/>
          <w:szCs w:val="22"/>
          <w:lang w:val="en"/>
        </w:rPr>
        <w:t>szokásos</w:t>
      </w:r>
      <w:r w:rsidRPr="00673C67">
        <w:rPr>
          <w:sz w:val="22"/>
          <w:szCs w:val="22"/>
          <w:lang w:val="en"/>
        </w:rPr>
        <w:t xml:space="preserve"> térfogatot (50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/ml koncentráció</w:t>
      </w:r>
      <w:r>
        <w:rPr>
          <w:sz w:val="22"/>
          <w:szCs w:val="22"/>
          <w:lang w:val="en"/>
        </w:rPr>
        <w:t>t</w:t>
      </w:r>
      <w:r w:rsidRPr="00673C67">
        <w:rPr>
          <w:sz w:val="22"/>
          <w:szCs w:val="22"/>
          <w:lang w:val="en"/>
        </w:rPr>
        <w:t>) kapták ugyanilyen infúziós sebességgel. A 4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 infúziós sebességnél nem jelentettek kapcsolódó TEAE-t. Azoknál a betegeknél, akik az 50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%-kal csökkentett térfogatot (100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/ml) kapták 10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 infúziós sebességgel, egy kapcsolódó, nem súlyos TEAE fordult elő. Továbbá azoknál a betegeknél, akik az 50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%-kal csökkentett térfogatot (megnövelt koncentráció</w:t>
      </w:r>
      <w:r>
        <w:rPr>
          <w:sz w:val="22"/>
          <w:szCs w:val="22"/>
          <w:lang w:val="en"/>
        </w:rPr>
        <w:t>t</w:t>
      </w:r>
      <w:r w:rsidRPr="00673C67">
        <w:rPr>
          <w:sz w:val="22"/>
          <w:szCs w:val="22"/>
          <w:lang w:val="en"/>
        </w:rPr>
        <w:t>) kapták a 4 és 10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 xml:space="preserve">/ttkg/perc </w:t>
      </w:r>
      <w:r>
        <w:rPr>
          <w:sz w:val="22"/>
          <w:szCs w:val="22"/>
          <w:lang w:val="en"/>
        </w:rPr>
        <w:t>megnövelt</w:t>
      </w:r>
      <w:r w:rsidRPr="00673C67">
        <w:rPr>
          <w:sz w:val="22"/>
          <w:szCs w:val="22"/>
          <w:lang w:val="en"/>
        </w:rPr>
        <w:t xml:space="preserve"> infúziós sebességgel, nem fordult elő súlyos TEAE, túlérzékenységi reakció, infúziós helyi reakció, trombotikus TEAE, illetve olyan TEAE, amely a gyógyszer elhagyásához vagy a vizsgálat megszakításához vezetett volna. Összességében a vizsgálat során megfigyelt TEAE-k összhangban voltak a Feiba</w:t>
      </w:r>
      <w:r w:rsidRPr="00863987">
        <w:rPr>
          <w:sz w:val="22"/>
          <w:szCs w:val="22"/>
          <w:lang w:val="en"/>
        </w:rPr>
        <w:t xml:space="preserve"> NF</w:t>
      </w:r>
      <w:r w:rsidRPr="00673C67">
        <w:rPr>
          <w:sz w:val="22"/>
          <w:szCs w:val="22"/>
          <w:lang w:val="en"/>
        </w:rPr>
        <w:t xml:space="preserve"> ismert biztonságossági profiljával inhibitor</w:t>
      </w:r>
      <w:r>
        <w:rPr>
          <w:sz w:val="22"/>
          <w:szCs w:val="22"/>
          <w:lang w:val="en"/>
        </w:rPr>
        <w:t>os</w:t>
      </w:r>
      <w:r w:rsidRPr="00673C67">
        <w:rPr>
          <w:sz w:val="22"/>
          <w:szCs w:val="22"/>
          <w:lang w:val="en"/>
        </w:rPr>
        <w:t xml:space="preserve"> hemofíliás betegek esetében.</w:t>
      </w:r>
    </w:p>
    <w:p w14:paraId="44EA9633" w14:textId="77777777" w:rsidR="003C6B16" w:rsidRDefault="003C6B16" w:rsidP="005E099E">
      <w:pPr>
        <w:tabs>
          <w:tab w:val="left" w:pos="567"/>
        </w:tabs>
        <w:ind w:left="17"/>
        <w:rPr>
          <w:sz w:val="22"/>
          <w:szCs w:val="22"/>
          <w:lang w:val="en"/>
        </w:rPr>
      </w:pPr>
    </w:p>
    <w:p w14:paraId="3D15889F" w14:textId="2CF91293" w:rsidR="003C6B16" w:rsidRDefault="003C6B16" w:rsidP="005E099E">
      <w:pPr>
        <w:tabs>
          <w:tab w:val="left" w:pos="567"/>
        </w:tabs>
        <w:ind w:left="17"/>
        <w:rPr>
          <w:sz w:val="22"/>
          <w:szCs w:val="22"/>
        </w:rPr>
      </w:pPr>
      <w:r w:rsidRPr="00673C67">
        <w:rPr>
          <w:sz w:val="22"/>
          <w:szCs w:val="22"/>
          <w:lang w:val="en"/>
        </w:rPr>
        <w:t xml:space="preserve">Egy nyílt, kontrollcsoport nélküli, </w:t>
      </w:r>
      <w:r>
        <w:rPr>
          <w:sz w:val="22"/>
          <w:szCs w:val="22"/>
          <w:lang w:val="en"/>
        </w:rPr>
        <w:t>beavatkozással nem járó</w:t>
      </w:r>
      <w:r w:rsidRPr="00673C67">
        <w:rPr>
          <w:sz w:val="22"/>
          <w:szCs w:val="22"/>
          <w:lang w:val="en"/>
        </w:rPr>
        <w:t>, megfigyeléses, forgalomba hozatalt követő biztonságossági vizsgálatban (PASS-EU-006) 75 beteget (átlagéletkor 34,8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év; 70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férfi és 5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nő) kezeltek Feib</w:t>
      </w:r>
      <w:r w:rsidRPr="00863987">
        <w:rPr>
          <w:sz w:val="22"/>
          <w:szCs w:val="22"/>
          <w:lang w:val="en"/>
        </w:rPr>
        <w:t>a NF készítménnyel</w:t>
      </w:r>
      <w:r w:rsidRPr="00673C67">
        <w:rPr>
          <w:sz w:val="22"/>
          <w:szCs w:val="22"/>
          <w:lang w:val="en"/>
        </w:rPr>
        <w:t xml:space="preserve">, közülük 73-nál </w:t>
      </w:r>
      <w:r>
        <w:rPr>
          <w:sz w:val="22"/>
          <w:szCs w:val="22"/>
          <w:lang w:val="en"/>
        </w:rPr>
        <w:t xml:space="preserve">inhibitoros </w:t>
      </w:r>
      <w:r w:rsidRPr="00673C67">
        <w:rPr>
          <w:sz w:val="22"/>
          <w:szCs w:val="22"/>
          <w:lang w:val="en"/>
        </w:rPr>
        <w:t>h</w:t>
      </w:r>
      <w:r>
        <w:rPr>
          <w:sz w:val="22"/>
          <w:szCs w:val="22"/>
          <w:lang w:val="en"/>
        </w:rPr>
        <w:t>a</w:t>
      </w:r>
      <w:r w:rsidRPr="00673C67">
        <w:rPr>
          <w:sz w:val="22"/>
          <w:szCs w:val="22"/>
          <w:lang w:val="en"/>
        </w:rPr>
        <w:t>emo</w:t>
      </w:r>
      <w:r>
        <w:rPr>
          <w:sz w:val="22"/>
          <w:szCs w:val="22"/>
          <w:lang w:val="en"/>
        </w:rPr>
        <w:t>philia </w:t>
      </w:r>
      <w:r w:rsidRPr="00673C67">
        <w:rPr>
          <w:sz w:val="22"/>
          <w:szCs w:val="22"/>
          <w:lang w:val="en"/>
        </w:rPr>
        <w:t xml:space="preserve">A, 2-nél </w:t>
      </w:r>
      <w:r>
        <w:rPr>
          <w:sz w:val="22"/>
          <w:szCs w:val="22"/>
          <w:lang w:val="en"/>
        </w:rPr>
        <w:t xml:space="preserve">inhibitoros </w:t>
      </w:r>
      <w:r w:rsidRPr="00673C67">
        <w:rPr>
          <w:sz w:val="22"/>
          <w:szCs w:val="22"/>
          <w:lang w:val="en"/>
        </w:rPr>
        <w:t>h</w:t>
      </w:r>
      <w:r>
        <w:rPr>
          <w:sz w:val="22"/>
          <w:szCs w:val="22"/>
          <w:lang w:val="en"/>
        </w:rPr>
        <w:t>a</w:t>
      </w:r>
      <w:r w:rsidRPr="00673C67">
        <w:rPr>
          <w:sz w:val="22"/>
          <w:szCs w:val="22"/>
          <w:lang w:val="en"/>
        </w:rPr>
        <w:t>emo</w:t>
      </w:r>
      <w:r>
        <w:rPr>
          <w:sz w:val="22"/>
          <w:szCs w:val="22"/>
          <w:lang w:val="en"/>
        </w:rPr>
        <w:t>philia </w:t>
      </w:r>
      <w:r w:rsidRPr="00673C67">
        <w:rPr>
          <w:sz w:val="22"/>
          <w:szCs w:val="22"/>
          <w:lang w:val="en"/>
        </w:rPr>
        <w:t>B állt fenn. A 65 veleszületett hemofíliás beteg közül 63-nál h</w:t>
      </w:r>
      <w:r>
        <w:rPr>
          <w:sz w:val="22"/>
          <w:szCs w:val="22"/>
          <w:lang w:val="en"/>
        </w:rPr>
        <w:t>a</w:t>
      </w:r>
      <w:r w:rsidRPr="00673C67">
        <w:rPr>
          <w:sz w:val="22"/>
          <w:szCs w:val="22"/>
          <w:lang w:val="en"/>
        </w:rPr>
        <w:t>emo</w:t>
      </w:r>
      <w:r>
        <w:rPr>
          <w:sz w:val="22"/>
          <w:szCs w:val="22"/>
          <w:lang w:val="en"/>
        </w:rPr>
        <w:t>philia </w:t>
      </w:r>
      <w:r w:rsidRPr="00673C67">
        <w:rPr>
          <w:sz w:val="22"/>
          <w:szCs w:val="22"/>
          <w:lang w:val="en"/>
        </w:rPr>
        <w:t>A, 2-nél h</w:t>
      </w:r>
      <w:r>
        <w:rPr>
          <w:sz w:val="22"/>
          <w:szCs w:val="22"/>
          <w:lang w:val="en"/>
        </w:rPr>
        <w:t>a</w:t>
      </w:r>
      <w:r w:rsidRPr="00673C67">
        <w:rPr>
          <w:sz w:val="22"/>
          <w:szCs w:val="22"/>
          <w:lang w:val="en"/>
        </w:rPr>
        <w:t>emo</w:t>
      </w:r>
      <w:r>
        <w:rPr>
          <w:sz w:val="22"/>
          <w:szCs w:val="22"/>
          <w:lang w:val="en"/>
        </w:rPr>
        <w:t>philia </w:t>
      </w:r>
      <w:r w:rsidRPr="00673C67">
        <w:rPr>
          <w:sz w:val="22"/>
          <w:szCs w:val="22"/>
          <w:lang w:val="en"/>
        </w:rPr>
        <w:t>B volt jelen. A kiinduláskor 43 beteg profilaktikus céllal, míg 32 beteg szükség szerinti (on-demand) Feib</w:t>
      </w:r>
      <w:r w:rsidRPr="00863987">
        <w:rPr>
          <w:sz w:val="22"/>
          <w:szCs w:val="22"/>
          <w:lang w:val="en"/>
        </w:rPr>
        <w:t xml:space="preserve">a NF </w:t>
      </w:r>
      <w:r>
        <w:rPr>
          <w:sz w:val="22"/>
          <w:szCs w:val="22"/>
          <w:lang w:val="en"/>
        </w:rPr>
        <w:t>kezelést kapott</w:t>
      </w:r>
      <w:r w:rsidRPr="00673C67">
        <w:rPr>
          <w:sz w:val="22"/>
          <w:szCs w:val="22"/>
          <w:lang w:val="en"/>
        </w:rPr>
        <w:t xml:space="preserve">. </w:t>
      </w:r>
      <w:r>
        <w:rPr>
          <w:sz w:val="22"/>
          <w:szCs w:val="22"/>
          <w:lang w:val="en"/>
        </w:rPr>
        <w:t>Megnövelt</w:t>
      </w:r>
      <w:r w:rsidRPr="00673C67">
        <w:rPr>
          <w:sz w:val="22"/>
          <w:szCs w:val="22"/>
          <w:lang w:val="en"/>
        </w:rPr>
        <w:t xml:space="preserve"> infúziós sebességet (&gt;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2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/ttkg/perc) alkalmaztak 6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gyermeknél (11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hónapos és 1</w:t>
      </w:r>
      <w:r w:rsidR="00AD0664">
        <w:rPr>
          <w:sz w:val="22"/>
          <w:szCs w:val="22"/>
          <w:lang w:val="en"/>
        </w:rPr>
        <w:t>1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éves kor között) és 5 serdülőnél (13–16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éves kor között).</w:t>
      </w:r>
      <w:r w:rsidRPr="00863987">
        <w:t xml:space="preserve"> </w:t>
      </w:r>
      <w:r w:rsidRPr="00863987">
        <w:rPr>
          <w:sz w:val="22"/>
          <w:szCs w:val="22"/>
          <w:lang w:val="en-US"/>
        </w:rPr>
        <w:t>A 320</w:t>
      </w:r>
      <w:r>
        <w:rPr>
          <w:sz w:val="22"/>
          <w:szCs w:val="22"/>
          <w:lang w:val="en-US"/>
        </w:rPr>
        <w:t> </w:t>
      </w:r>
      <w:r w:rsidRPr="00863987">
        <w:rPr>
          <w:sz w:val="22"/>
          <w:szCs w:val="22"/>
          <w:lang w:val="en-US"/>
        </w:rPr>
        <w:t xml:space="preserve">infúzióból, amelyekhez infúziós sebességi adat </w:t>
      </w:r>
      <w:r w:rsidRPr="00863987">
        <w:rPr>
          <w:sz w:val="22"/>
          <w:szCs w:val="22"/>
        </w:rPr>
        <w:t>ál</w:t>
      </w:r>
      <w:r>
        <w:rPr>
          <w:sz w:val="22"/>
          <w:szCs w:val="22"/>
        </w:rPr>
        <w:t>l</w:t>
      </w:r>
      <w:r w:rsidRPr="00863987">
        <w:rPr>
          <w:sz w:val="22"/>
          <w:szCs w:val="22"/>
        </w:rPr>
        <w:t xml:space="preserve">t </w:t>
      </w:r>
      <w:r w:rsidRPr="00863987">
        <w:rPr>
          <w:sz w:val="22"/>
          <w:szCs w:val="22"/>
          <w:lang w:val="en-US"/>
        </w:rPr>
        <w:t>rendelkezésre 7</w:t>
      </w:r>
      <w:r>
        <w:rPr>
          <w:sz w:val="22"/>
          <w:szCs w:val="22"/>
          <w:lang w:val="en-US"/>
        </w:rPr>
        <w:t> </w:t>
      </w:r>
      <w:r w:rsidRPr="00863987">
        <w:rPr>
          <w:sz w:val="22"/>
          <w:szCs w:val="22"/>
          <w:lang w:val="en-US"/>
        </w:rPr>
        <w:t>gyermek és 6</w:t>
      </w:r>
      <w:r>
        <w:rPr>
          <w:sz w:val="22"/>
          <w:szCs w:val="22"/>
          <w:lang w:val="en-US"/>
        </w:rPr>
        <w:t> </w:t>
      </w:r>
      <w:r w:rsidRPr="00863987">
        <w:rPr>
          <w:sz w:val="22"/>
          <w:szCs w:val="22"/>
          <w:lang w:val="en-US"/>
        </w:rPr>
        <w:t>serdülő beteg esetében,</w:t>
      </w:r>
      <w:r>
        <w:rPr>
          <w:sz w:val="22"/>
          <w:szCs w:val="22"/>
          <w:lang w:val="en-US"/>
        </w:rPr>
        <w:t xml:space="preserve"> </w:t>
      </w:r>
      <w:r w:rsidRPr="00673C67">
        <w:rPr>
          <w:sz w:val="22"/>
          <w:szCs w:val="22"/>
          <w:lang w:val="en"/>
        </w:rPr>
        <w:t>129 infúzió</w:t>
      </w:r>
      <w:r>
        <w:rPr>
          <w:sz w:val="22"/>
          <w:szCs w:val="22"/>
          <w:lang w:val="en"/>
        </w:rPr>
        <w:t>t</w:t>
      </w:r>
      <w:r w:rsidRPr="00673C67">
        <w:rPr>
          <w:sz w:val="22"/>
          <w:szCs w:val="22"/>
          <w:lang w:val="en"/>
        </w:rPr>
        <w:t xml:space="preserve"> (40,3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 xml:space="preserve">%) </w:t>
      </w:r>
      <w:r>
        <w:rPr>
          <w:sz w:val="22"/>
          <w:szCs w:val="22"/>
          <w:lang w:val="en"/>
        </w:rPr>
        <w:t>adtak be</w:t>
      </w:r>
      <w:r w:rsidRPr="00673C67">
        <w:rPr>
          <w:sz w:val="22"/>
          <w:szCs w:val="22"/>
          <w:lang w:val="en"/>
        </w:rPr>
        <w:t xml:space="preserve"> 2 beteg</w:t>
      </w:r>
      <w:r>
        <w:rPr>
          <w:sz w:val="22"/>
          <w:szCs w:val="22"/>
          <w:lang w:val="en"/>
        </w:rPr>
        <w:t>nek</w:t>
      </w:r>
      <w:r w:rsidRPr="00673C67">
        <w:rPr>
          <w:sz w:val="22"/>
          <w:szCs w:val="22"/>
          <w:lang w:val="en"/>
        </w:rPr>
        <w:t xml:space="preserve"> (mindkettő gyermek) &gt;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10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 infúziós sebességgel,</w:t>
      </w:r>
      <w:r>
        <w:rPr>
          <w:sz w:val="22"/>
          <w:szCs w:val="22"/>
          <w:lang w:val="en"/>
        </w:rPr>
        <w:t xml:space="preserve"> </w:t>
      </w:r>
      <w:r w:rsidRPr="00673C67">
        <w:rPr>
          <w:sz w:val="22"/>
          <w:szCs w:val="22"/>
          <w:lang w:val="en"/>
        </w:rPr>
        <w:t>26 infúzió</w:t>
      </w:r>
      <w:r>
        <w:rPr>
          <w:sz w:val="22"/>
          <w:szCs w:val="22"/>
          <w:lang w:val="en"/>
        </w:rPr>
        <w:t>t</w:t>
      </w:r>
      <w:r w:rsidRPr="00673C67">
        <w:rPr>
          <w:sz w:val="22"/>
          <w:szCs w:val="22"/>
          <w:lang w:val="en"/>
        </w:rPr>
        <w:t xml:space="preserve"> (8,1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 xml:space="preserve">%) </w:t>
      </w:r>
      <w:r>
        <w:rPr>
          <w:sz w:val="22"/>
          <w:szCs w:val="22"/>
          <w:lang w:val="en"/>
        </w:rPr>
        <w:t>adtak be</w:t>
      </w:r>
      <w:r w:rsidRPr="00863987">
        <w:rPr>
          <w:sz w:val="22"/>
          <w:szCs w:val="22"/>
          <w:lang w:val="en"/>
        </w:rPr>
        <w:t xml:space="preserve"> </w:t>
      </w:r>
      <w:r w:rsidRPr="00673C67">
        <w:rPr>
          <w:sz w:val="22"/>
          <w:szCs w:val="22"/>
          <w:lang w:val="en"/>
        </w:rPr>
        <w:t>7 beteg</w:t>
      </w:r>
      <w:r>
        <w:rPr>
          <w:sz w:val="22"/>
          <w:szCs w:val="22"/>
          <w:lang w:val="en"/>
        </w:rPr>
        <w:t>nek</w:t>
      </w:r>
      <w:r w:rsidRPr="00673C67">
        <w:rPr>
          <w:sz w:val="22"/>
          <w:szCs w:val="22"/>
          <w:lang w:val="en"/>
        </w:rPr>
        <w:t xml:space="preserve"> (4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gyermek, 3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serdülő) &gt;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4 és ≤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10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 sebességgel,</w:t>
      </w:r>
      <w:r>
        <w:rPr>
          <w:sz w:val="22"/>
          <w:szCs w:val="22"/>
          <w:lang w:val="en"/>
        </w:rPr>
        <w:t xml:space="preserve"> </w:t>
      </w:r>
      <w:r w:rsidRPr="00673C67">
        <w:rPr>
          <w:sz w:val="22"/>
          <w:szCs w:val="22"/>
          <w:lang w:val="en"/>
        </w:rPr>
        <w:t>135 infúzió</w:t>
      </w:r>
      <w:r>
        <w:rPr>
          <w:sz w:val="22"/>
          <w:szCs w:val="22"/>
          <w:lang w:val="en"/>
        </w:rPr>
        <w:t>t</w:t>
      </w:r>
      <w:r w:rsidRPr="00673C67">
        <w:rPr>
          <w:sz w:val="22"/>
          <w:szCs w:val="22"/>
          <w:lang w:val="en"/>
        </w:rPr>
        <w:t xml:space="preserve"> (42,2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%)</w:t>
      </w:r>
      <w:r w:rsidRPr="00863987">
        <w:rPr>
          <w:sz w:val="22"/>
          <w:szCs w:val="22"/>
          <w:lang w:val="en"/>
        </w:rPr>
        <w:t xml:space="preserve"> </w:t>
      </w:r>
      <w:r>
        <w:rPr>
          <w:sz w:val="22"/>
          <w:szCs w:val="22"/>
          <w:lang w:val="en"/>
        </w:rPr>
        <w:t>adtak be</w:t>
      </w:r>
      <w:r w:rsidRPr="00673C67">
        <w:rPr>
          <w:sz w:val="22"/>
          <w:szCs w:val="22"/>
          <w:lang w:val="en"/>
        </w:rPr>
        <w:t xml:space="preserve"> 7 beteg</w:t>
      </w:r>
      <w:r>
        <w:rPr>
          <w:sz w:val="22"/>
          <w:szCs w:val="22"/>
          <w:lang w:val="en"/>
        </w:rPr>
        <w:t>nek</w:t>
      </w:r>
      <w:r w:rsidRPr="00673C67">
        <w:rPr>
          <w:sz w:val="22"/>
          <w:szCs w:val="22"/>
          <w:lang w:val="en"/>
        </w:rPr>
        <w:t xml:space="preserve"> (3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gyermek, 4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serdülő) &gt;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2 és ≤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4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 sebességgel,</w:t>
      </w:r>
      <w:r>
        <w:rPr>
          <w:sz w:val="22"/>
          <w:szCs w:val="22"/>
          <w:lang w:val="en"/>
        </w:rPr>
        <w:t xml:space="preserve"> </w:t>
      </w:r>
      <w:r w:rsidRPr="00673C67">
        <w:rPr>
          <w:sz w:val="22"/>
          <w:szCs w:val="22"/>
          <w:lang w:val="en"/>
        </w:rPr>
        <w:t>30 infúzió</w:t>
      </w:r>
      <w:r>
        <w:rPr>
          <w:sz w:val="22"/>
          <w:szCs w:val="22"/>
          <w:lang w:val="en"/>
        </w:rPr>
        <w:t>t</w:t>
      </w:r>
      <w:r w:rsidRPr="00673C67">
        <w:rPr>
          <w:sz w:val="22"/>
          <w:szCs w:val="22"/>
          <w:lang w:val="en"/>
        </w:rPr>
        <w:t xml:space="preserve"> (9,4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%) 3 beteg</w:t>
      </w:r>
      <w:r>
        <w:rPr>
          <w:sz w:val="22"/>
          <w:szCs w:val="22"/>
          <w:lang w:val="en"/>
        </w:rPr>
        <w:t>nek</w:t>
      </w:r>
      <w:r w:rsidRPr="00673C67">
        <w:rPr>
          <w:sz w:val="22"/>
          <w:szCs w:val="22"/>
          <w:lang w:val="en"/>
        </w:rPr>
        <w:t xml:space="preserve"> (1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gyermek, 2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serdülő) ≤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2</w:t>
      </w:r>
      <w:r>
        <w:rPr>
          <w:sz w:val="22"/>
          <w:szCs w:val="22"/>
          <w:lang w:val="en"/>
        </w:rPr>
        <w:t> </w:t>
      </w:r>
      <w:r w:rsidRPr="00673C67">
        <w:rPr>
          <w:sz w:val="22"/>
          <w:szCs w:val="22"/>
          <w:lang w:val="en"/>
        </w:rPr>
        <w:t>E</w:t>
      </w:r>
      <w:r>
        <w:rPr>
          <w:sz w:val="22"/>
          <w:szCs w:val="22"/>
          <w:lang w:val="en"/>
        </w:rPr>
        <w:t>gység</w:t>
      </w:r>
      <w:r w:rsidRPr="00673C67">
        <w:rPr>
          <w:sz w:val="22"/>
          <w:szCs w:val="22"/>
          <w:lang w:val="en"/>
        </w:rPr>
        <w:t>/ttkg/perc sebességgel.</w:t>
      </w:r>
    </w:p>
    <w:p w14:paraId="45DF1803" w14:textId="77777777" w:rsidR="003C6B16" w:rsidRPr="00081D9E" w:rsidRDefault="003C6B16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DCDE812" w14:textId="77777777" w:rsidR="005E099E" w:rsidRPr="00824A5B" w:rsidRDefault="005E099E" w:rsidP="005E099E">
      <w:pPr>
        <w:keepNext/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824A5B">
        <w:rPr>
          <w:b/>
          <w:sz w:val="22"/>
          <w:szCs w:val="22"/>
        </w:rPr>
        <w:t>5.2</w:t>
      </w:r>
      <w:r w:rsidRPr="00824A5B">
        <w:rPr>
          <w:b/>
          <w:sz w:val="22"/>
          <w:szCs w:val="22"/>
        </w:rPr>
        <w:tab/>
        <w:t>Farmakokinetikai tulajdonságok</w:t>
      </w:r>
    </w:p>
    <w:p w14:paraId="0F4CF9EC" w14:textId="77777777" w:rsidR="005E099E" w:rsidRPr="00824A5B" w:rsidRDefault="005E099E" w:rsidP="005E099E">
      <w:pPr>
        <w:pStyle w:val="02"/>
        <w:keepNext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171C7E1F" w14:textId="77777777" w:rsidR="005E099E" w:rsidRPr="00BE28DC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CF338B">
        <w:rPr>
          <w:sz w:val="22"/>
          <w:szCs w:val="22"/>
        </w:rPr>
        <w:t>Mivel a Feiba</w:t>
      </w:r>
      <w:r w:rsidRPr="00BE28DC">
        <w:rPr>
          <w:sz w:val="22"/>
          <w:szCs w:val="22"/>
        </w:rPr>
        <w:t> NF különböző koagulációs faktorokból áll össze, amelyeknek a féléletideje eltérő</w:t>
      </w:r>
      <w:r>
        <w:rPr>
          <w:sz w:val="22"/>
          <w:szCs w:val="22"/>
        </w:rPr>
        <w:t>,</w:t>
      </w:r>
      <w:r w:rsidRPr="004C1675">
        <w:rPr>
          <w:sz w:val="22"/>
          <w:szCs w:val="22"/>
        </w:rPr>
        <w:t xml:space="preserve"> e</w:t>
      </w:r>
      <w:r w:rsidRPr="00081D9E">
        <w:rPr>
          <w:sz w:val="22"/>
          <w:szCs w:val="22"/>
        </w:rPr>
        <w:t>zért a Feiba</w:t>
      </w:r>
      <w:r w:rsidRPr="00824A5B">
        <w:rPr>
          <w:sz w:val="22"/>
          <w:szCs w:val="22"/>
        </w:rPr>
        <w:t> NF farmakokinetikai tulajdonságai</w:t>
      </w:r>
      <w:r w:rsidRPr="00CF338B">
        <w:rPr>
          <w:sz w:val="22"/>
          <w:szCs w:val="22"/>
        </w:rPr>
        <w:t>t</w:t>
      </w:r>
      <w:r w:rsidRPr="00BE28DC">
        <w:rPr>
          <w:sz w:val="22"/>
          <w:szCs w:val="22"/>
        </w:rPr>
        <w:t xml:space="preserve"> nem lehet pontosan jellemezni.</w:t>
      </w:r>
    </w:p>
    <w:p w14:paraId="3B1F2542" w14:textId="77777777" w:rsidR="005E099E" w:rsidRPr="00C066DF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4E51F15" w14:textId="77777777" w:rsidR="005E099E" w:rsidRPr="00E86B67" w:rsidRDefault="005E099E" w:rsidP="005E099E">
      <w:pPr>
        <w:keepNext/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5.3</w:t>
      </w:r>
      <w:r w:rsidRPr="00E86B67">
        <w:rPr>
          <w:b/>
          <w:sz w:val="22"/>
          <w:szCs w:val="22"/>
        </w:rPr>
        <w:tab/>
        <w:t>A preklinikai biztonságossági vizsgálatok eredményei</w:t>
      </w:r>
    </w:p>
    <w:p w14:paraId="54E634C1" w14:textId="77777777" w:rsidR="005E099E" w:rsidRPr="00E86B67" w:rsidRDefault="005E099E" w:rsidP="005E099E">
      <w:pPr>
        <w:pStyle w:val="02"/>
        <w:keepNext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1E82BEEF" w14:textId="5A834FD6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VIII. faktorhiányos egerek</w:t>
      </w:r>
      <w:r w:rsidR="00BB665C">
        <w:rPr>
          <w:sz w:val="22"/>
          <w:szCs w:val="22"/>
        </w:rPr>
        <w:t>kel</w:t>
      </w:r>
      <w:r w:rsidRPr="00E86B67">
        <w:rPr>
          <w:sz w:val="22"/>
          <w:szCs w:val="22"/>
        </w:rPr>
        <w:t>, ill. egészséges egerek</w:t>
      </w:r>
      <w:r w:rsidR="00BB665C">
        <w:rPr>
          <w:sz w:val="22"/>
          <w:szCs w:val="22"/>
        </w:rPr>
        <w:t>kel</w:t>
      </w:r>
      <w:r w:rsidRPr="00E86B67">
        <w:rPr>
          <w:sz w:val="22"/>
          <w:szCs w:val="22"/>
        </w:rPr>
        <w:t xml:space="preserve"> és patkányok</w:t>
      </w:r>
      <w:r w:rsidR="00BB665C">
        <w:rPr>
          <w:sz w:val="22"/>
          <w:szCs w:val="22"/>
        </w:rPr>
        <w:t>kal</w:t>
      </w:r>
      <w:r w:rsidRPr="00E86B67">
        <w:rPr>
          <w:sz w:val="22"/>
          <w:szCs w:val="22"/>
        </w:rPr>
        <w:t xml:space="preserve"> végzett akut toxicitási vizsgálatok során, a humán gyógyászati célokra javasolt maximális napi adagot meghaladó (&gt; 200 Egység/ttkg) dózisban alkalmazták a Feiba NF készítményt. Az észlelt mellékhatások zöme a készítmény farmakológiai hatása következtében kialakult fokozott véralvadékonyság következtében lépett fel.</w:t>
      </w:r>
    </w:p>
    <w:p w14:paraId="18E3A31B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Az ismételt dózisú toxicitási vizsgálatokat lehetetlen állatkísérletekkel elvégezni, mert a heterológ fehérjével szemben antitestek képződnek.</w:t>
      </w:r>
    </w:p>
    <w:p w14:paraId="6FF4F2D6" w14:textId="7A9AA9BE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Nem merült fel a gyanú, hogy az emberi plazmafehérjék daganatkeltő vagy mutagén hatásúak lennének, ezért e hatások állatkísérletes tanulmányozását (különösen heterológ fajok</w:t>
      </w:r>
      <w:r w:rsidR="00BB665C">
        <w:rPr>
          <w:sz w:val="22"/>
          <w:szCs w:val="22"/>
        </w:rPr>
        <w:t>nál</w:t>
      </w:r>
      <w:r w:rsidRPr="00E86B67">
        <w:rPr>
          <w:sz w:val="22"/>
          <w:szCs w:val="22"/>
        </w:rPr>
        <w:t>) mellőzhetőnek ítélték.</w:t>
      </w:r>
    </w:p>
    <w:p w14:paraId="2314E624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73CDCA38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8D3A9B3" w14:textId="77777777" w:rsidR="005E099E" w:rsidRPr="00C066DF" w:rsidRDefault="005E099E" w:rsidP="005E099E">
      <w:pPr>
        <w:keepNext/>
        <w:widowControl w:val="0"/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3554EA">
        <w:rPr>
          <w:b/>
          <w:sz w:val="22"/>
          <w:szCs w:val="22"/>
        </w:rPr>
        <w:t>6.</w:t>
      </w:r>
      <w:r w:rsidRPr="003554EA">
        <w:rPr>
          <w:b/>
          <w:sz w:val="22"/>
          <w:szCs w:val="22"/>
        </w:rPr>
        <w:tab/>
        <w:t>GYÓGYSZERÉSZETI JELLEMZŐ</w:t>
      </w:r>
      <w:r w:rsidRPr="00C066DF">
        <w:rPr>
          <w:b/>
          <w:sz w:val="22"/>
          <w:szCs w:val="22"/>
        </w:rPr>
        <w:t>K</w:t>
      </w:r>
    </w:p>
    <w:p w14:paraId="2B220C79" w14:textId="77777777" w:rsidR="005E099E" w:rsidRPr="00E86B67" w:rsidRDefault="005E099E" w:rsidP="005E099E">
      <w:pPr>
        <w:keepNext/>
        <w:widowControl w:val="0"/>
        <w:tabs>
          <w:tab w:val="left" w:pos="158"/>
          <w:tab w:val="left" w:pos="567"/>
        </w:tabs>
        <w:ind w:left="17"/>
        <w:rPr>
          <w:sz w:val="22"/>
          <w:szCs w:val="22"/>
        </w:rPr>
      </w:pPr>
    </w:p>
    <w:p w14:paraId="54454CA1" w14:textId="77777777" w:rsidR="005E099E" w:rsidRPr="00E86B67" w:rsidRDefault="005E099E" w:rsidP="005E099E">
      <w:pPr>
        <w:keepNext/>
        <w:widowControl w:val="0"/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6.1</w:t>
      </w:r>
      <w:r w:rsidRPr="00E86B67">
        <w:rPr>
          <w:b/>
          <w:sz w:val="22"/>
          <w:szCs w:val="22"/>
        </w:rPr>
        <w:tab/>
        <w:t>Segédanyagok felsorolása</w:t>
      </w:r>
    </w:p>
    <w:p w14:paraId="0199B20E" w14:textId="77777777" w:rsidR="005E099E" w:rsidRPr="00E86B67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</w:p>
    <w:p w14:paraId="00507657" w14:textId="77777777" w:rsidR="005E099E" w:rsidRPr="00E86B67" w:rsidRDefault="005E099E" w:rsidP="005E099E">
      <w:pPr>
        <w:tabs>
          <w:tab w:val="left" w:pos="567"/>
        </w:tabs>
        <w:rPr>
          <w:spacing w:val="-3"/>
          <w:sz w:val="22"/>
          <w:szCs w:val="22"/>
        </w:rPr>
      </w:pPr>
      <w:r w:rsidRPr="00E86B67">
        <w:rPr>
          <w:sz w:val="22"/>
          <w:szCs w:val="22"/>
          <w:u w:val="single"/>
        </w:rPr>
        <w:t>Por</w:t>
      </w:r>
      <w:r w:rsidRPr="00E86B67">
        <w:rPr>
          <w:sz w:val="22"/>
          <w:szCs w:val="22"/>
        </w:rPr>
        <w:t>:</w:t>
      </w:r>
    </w:p>
    <w:p w14:paraId="29D8A460" w14:textId="77777777" w:rsidR="005E099E" w:rsidRPr="00E86B67" w:rsidRDefault="005E099E" w:rsidP="005E099E">
      <w:pPr>
        <w:tabs>
          <w:tab w:val="left" w:pos="567"/>
        </w:tabs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n</w:t>
      </w:r>
      <w:r w:rsidRPr="00E86B67">
        <w:rPr>
          <w:spacing w:val="-3"/>
          <w:sz w:val="22"/>
          <w:szCs w:val="22"/>
        </w:rPr>
        <w:t>átrium</w:t>
      </w:r>
      <w:r w:rsidRPr="00E86B67">
        <w:rPr>
          <w:b/>
          <w:sz w:val="22"/>
          <w:szCs w:val="22"/>
        </w:rPr>
        <w:noBreakHyphen/>
      </w:r>
      <w:r w:rsidRPr="00E86B67">
        <w:rPr>
          <w:spacing w:val="-3"/>
          <w:sz w:val="22"/>
          <w:szCs w:val="22"/>
        </w:rPr>
        <w:t>klorid,</w:t>
      </w:r>
    </w:p>
    <w:p w14:paraId="7726C1C3" w14:textId="77777777" w:rsidR="005E099E" w:rsidRPr="00E86B67" w:rsidRDefault="005E099E" w:rsidP="005E099E">
      <w:pPr>
        <w:tabs>
          <w:tab w:val="left" w:pos="567"/>
        </w:tabs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t</w:t>
      </w:r>
      <w:r w:rsidRPr="00E86B67">
        <w:rPr>
          <w:spacing w:val="-3"/>
          <w:sz w:val="22"/>
          <w:szCs w:val="22"/>
        </w:rPr>
        <w:t>rinátrium</w:t>
      </w:r>
      <w:r w:rsidRPr="00E86B67">
        <w:rPr>
          <w:b/>
          <w:sz w:val="22"/>
          <w:szCs w:val="22"/>
        </w:rPr>
        <w:noBreakHyphen/>
      </w:r>
      <w:r w:rsidRPr="00E86B67">
        <w:rPr>
          <w:spacing w:val="-3"/>
          <w:sz w:val="22"/>
          <w:szCs w:val="22"/>
        </w:rPr>
        <w:t>citrát</w:t>
      </w:r>
    </w:p>
    <w:p w14:paraId="24E443D6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40B3518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  <w:u w:val="single"/>
        </w:rPr>
        <w:t>Oldószer</w:t>
      </w:r>
      <w:r w:rsidRPr="00E86B67">
        <w:rPr>
          <w:sz w:val="22"/>
          <w:szCs w:val="22"/>
        </w:rPr>
        <w:t>:</w:t>
      </w:r>
    </w:p>
    <w:p w14:paraId="1D00B715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s</w:t>
      </w:r>
      <w:r w:rsidRPr="00E86B67">
        <w:rPr>
          <w:sz w:val="22"/>
          <w:szCs w:val="22"/>
        </w:rPr>
        <w:t>teril injekcióhoz való víz</w:t>
      </w:r>
    </w:p>
    <w:p w14:paraId="3F7C608B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1908C04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E86B67">
        <w:rPr>
          <w:sz w:val="22"/>
          <w:szCs w:val="22"/>
          <w:lang w:val="hu-HU"/>
        </w:rPr>
        <w:t>6.2</w:t>
      </w:r>
      <w:r w:rsidRPr="00E86B67">
        <w:rPr>
          <w:sz w:val="22"/>
          <w:szCs w:val="22"/>
          <w:lang w:val="hu-HU"/>
        </w:rPr>
        <w:tab/>
        <w:t>Inkompatibilitások</w:t>
      </w:r>
    </w:p>
    <w:p w14:paraId="41582EEC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6F0CF9C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készítménnyel kompatibilitási vizsgálatokat nem végeztek. Ezért a Feiba NF oldatot nem szabad egyéb gyógyszerekkel vagy oldatokkal elegyíteni. Az infúziós szereléket a Feiba NF infúzió bekötése előtt és beadás után is célszerű izotóniás sóoldattal átöblíteni.</w:t>
      </w:r>
    </w:p>
    <w:p w14:paraId="5FD77CFE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humán plazmából előállított véralvadási faktorok adszorbeálódhatnak bizonyos típusú injekciós/infúziós eszközök belső felületén. Amennyiben ez előfordul, a kezelés eredményességét veszélyeztetheti. Ezért a Feiba NF alkalmazásakor csak a mellékelt műanyag infúziós eszközök használhatók.</w:t>
      </w:r>
    </w:p>
    <w:p w14:paraId="68E3088B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68CBA864" w14:textId="77777777" w:rsidR="005E099E" w:rsidRPr="00E86B67" w:rsidRDefault="005E099E" w:rsidP="005E099E">
      <w:pPr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6.3</w:t>
      </w:r>
      <w:r w:rsidRPr="00E86B67">
        <w:rPr>
          <w:b/>
          <w:sz w:val="22"/>
          <w:szCs w:val="22"/>
        </w:rPr>
        <w:tab/>
        <w:t>Felhasználhatósági időtartam</w:t>
      </w:r>
    </w:p>
    <w:p w14:paraId="6807F3BF" w14:textId="77777777" w:rsidR="005E099E" w:rsidRPr="00E86B67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141EC40D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2 év</w:t>
      </w:r>
    </w:p>
    <w:p w14:paraId="7B53DC25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43E8BA1D" w14:textId="2665FDF9" w:rsidR="00171461" w:rsidRPr="0006774C" w:rsidRDefault="00171461" w:rsidP="00171461">
      <w:pPr>
        <w:tabs>
          <w:tab w:val="left" w:pos="567"/>
        </w:tabs>
        <w:ind w:left="17"/>
        <w:rPr>
          <w:sz w:val="22"/>
          <w:szCs w:val="22"/>
        </w:rPr>
      </w:pPr>
      <w:r w:rsidRPr="0006774C">
        <w:rPr>
          <w:sz w:val="22"/>
          <w:szCs w:val="22"/>
        </w:rPr>
        <w:t>Az elkészített oldat fizikai-kémiai stabilitása 20‒25ºC közötti hőmérsékleten 3 órán át igazolt.</w:t>
      </w:r>
    </w:p>
    <w:p w14:paraId="5238B936" w14:textId="77777777" w:rsidR="00171461" w:rsidRPr="0006774C" w:rsidRDefault="00171461" w:rsidP="00171461">
      <w:pPr>
        <w:tabs>
          <w:tab w:val="left" w:pos="567"/>
        </w:tabs>
        <w:ind w:left="17"/>
        <w:rPr>
          <w:sz w:val="22"/>
          <w:szCs w:val="22"/>
        </w:rPr>
      </w:pPr>
      <w:r w:rsidRPr="0006774C">
        <w:rPr>
          <w:sz w:val="22"/>
          <w:szCs w:val="22"/>
        </w:rPr>
        <w:t>Mikrobiológiai megfontolások alapján az elkészített oldatot azonnal fel kell használni. Amennyiben az elkészített oldat nem kerül azonnal felhasználásra, a tárolás körülményei és ideje a felhasználó felelőssége.</w:t>
      </w:r>
    </w:p>
    <w:p w14:paraId="3A4735CA" w14:textId="01586C94" w:rsidR="005E099E" w:rsidRPr="0006774C" w:rsidRDefault="00171461" w:rsidP="00171461">
      <w:pPr>
        <w:tabs>
          <w:tab w:val="left" w:pos="567"/>
        </w:tabs>
        <w:ind w:left="17"/>
        <w:rPr>
          <w:sz w:val="22"/>
          <w:szCs w:val="22"/>
        </w:rPr>
      </w:pPr>
      <w:r w:rsidRPr="0006774C">
        <w:rPr>
          <w:sz w:val="22"/>
          <w:szCs w:val="22"/>
        </w:rPr>
        <w:t>Az elkészített oldatot nem szabad hűtőszekrénybe tenni.</w:t>
      </w:r>
    </w:p>
    <w:p w14:paraId="384A0EB5" w14:textId="77777777" w:rsidR="00171461" w:rsidRPr="0006774C" w:rsidRDefault="00171461" w:rsidP="00171461">
      <w:pPr>
        <w:tabs>
          <w:tab w:val="left" w:pos="567"/>
        </w:tabs>
        <w:ind w:left="17"/>
        <w:rPr>
          <w:sz w:val="22"/>
          <w:szCs w:val="22"/>
        </w:rPr>
      </w:pPr>
    </w:p>
    <w:p w14:paraId="58E74B3E" w14:textId="77777777" w:rsidR="005E099E" w:rsidRPr="0006774C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sz w:val="22"/>
          <w:szCs w:val="22"/>
          <w:lang w:val="hu-HU"/>
        </w:rPr>
      </w:pPr>
      <w:r w:rsidRPr="0006774C">
        <w:rPr>
          <w:sz w:val="22"/>
          <w:szCs w:val="22"/>
          <w:lang w:val="hu-HU"/>
        </w:rPr>
        <w:t>6.4</w:t>
      </w:r>
      <w:r w:rsidRPr="0006774C">
        <w:rPr>
          <w:sz w:val="22"/>
          <w:szCs w:val="22"/>
          <w:lang w:val="hu-HU"/>
        </w:rPr>
        <w:tab/>
        <w:t>Különleges tárolási előírások</w:t>
      </w:r>
    </w:p>
    <w:p w14:paraId="3C3E6097" w14:textId="77777777" w:rsidR="005E099E" w:rsidRPr="0006774C" w:rsidRDefault="005E099E" w:rsidP="005E099E">
      <w:pPr>
        <w:pStyle w:val="02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400C5D3E" w14:textId="23534A98" w:rsidR="005E099E" w:rsidRPr="0006774C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06774C">
        <w:rPr>
          <w:sz w:val="22"/>
          <w:szCs w:val="22"/>
        </w:rPr>
        <w:t>Legfeljebb 25</w:t>
      </w:r>
      <w:r w:rsidR="003B3931" w:rsidRPr="0006774C">
        <w:rPr>
          <w:sz w:val="22"/>
          <w:szCs w:val="22"/>
        </w:rPr>
        <w:t> </w:t>
      </w:r>
      <w:r w:rsidRPr="0006774C">
        <w:rPr>
          <w:spacing w:val="-4"/>
          <w:sz w:val="22"/>
          <w:szCs w:val="22"/>
        </w:rPr>
        <w:t>°C</w:t>
      </w:r>
      <w:r w:rsidRPr="0006774C">
        <w:rPr>
          <w:b/>
          <w:sz w:val="22"/>
          <w:szCs w:val="22"/>
        </w:rPr>
        <w:noBreakHyphen/>
      </w:r>
      <w:r w:rsidRPr="0006774C">
        <w:rPr>
          <w:spacing w:val="-4"/>
          <w:sz w:val="22"/>
          <w:szCs w:val="22"/>
        </w:rPr>
        <w:t>on</w:t>
      </w:r>
      <w:r w:rsidRPr="0006774C">
        <w:rPr>
          <w:sz w:val="22"/>
          <w:szCs w:val="22"/>
        </w:rPr>
        <w:t xml:space="preserve"> tárolandó. Nem fagyasztható!</w:t>
      </w:r>
    </w:p>
    <w:p w14:paraId="3561EBF1" w14:textId="77777777" w:rsidR="005E099E" w:rsidRPr="0006774C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06774C">
        <w:rPr>
          <w:sz w:val="22"/>
          <w:szCs w:val="22"/>
        </w:rPr>
        <w:t>A fénytől való védelem érdekében az eredeti csomagolásban tárolandó.</w:t>
      </w:r>
    </w:p>
    <w:p w14:paraId="08A53CEB" w14:textId="77777777" w:rsidR="005E099E" w:rsidRPr="0006774C" w:rsidRDefault="005E099E" w:rsidP="005E099E">
      <w:pPr>
        <w:tabs>
          <w:tab w:val="left" w:pos="567"/>
        </w:tabs>
        <w:rPr>
          <w:sz w:val="22"/>
          <w:szCs w:val="22"/>
        </w:rPr>
      </w:pPr>
    </w:p>
    <w:p w14:paraId="461EB7F9" w14:textId="77777777" w:rsidR="005E099E" w:rsidRPr="0006774C" w:rsidRDefault="005E099E" w:rsidP="005E099E">
      <w:pPr>
        <w:tabs>
          <w:tab w:val="left" w:pos="158"/>
          <w:tab w:val="left" w:pos="567"/>
        </w:tabs>
        <w:ind w:left="17"/>
        <w:rPr>
          <w:b/>
          <w:sz w:val="22"/>
          <w:szCs w:val="22"/>
        </w:rPr>
      </w:pPr>
      <w:r w:rsidRPr="0006774C">
        <w:rPr>
          <w:b/>
          <w:sz w:val="22"/>
          <w:szCs w:val="22"/>
        </w:rPr>
        <w:t>6.5</w:t>
      </w:r>
      <w:r w:rsidRPr="0006774C">
        <w:rPr>
          <w:b/>
          <w:sz w:val="22"/>
          <w:szCs w:val="22"/>
        </w:rPr>
        <w:tab/>
        <w:t>Csomagolás típusa és kiszerelése</w:t>
      </w:r>
    </w:p>
    <w:p w14:paraId="23849291" w14:textId="77777777" w:rsidR="005E099E" w:rsidRPr="0006774C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FF7869D" w14:textId="77777777" w:rsidR="005E099E" w:rsidRPr="0006774C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pacing w:val="-2"/>
          <w:sz w:val="22"/>
          <w:szCs w:val="22"/>
        </w:rPr>
      </w:pPr>
      <w:r w:rsidRPr="0006774C">
        <w:rPr>
          <w:spacing w:val="-2"/>
          <w:sz w:val="22"/>
          <w:szCs w:val="22"/>
          <w:u w:val="single"/>
        </w:rPr>
        <w:t>Port tartalmazó injekciós üveg</w:t>
      </w:r>
      <w:r w:rsidRPr="0006774C">
        <w:rPr>
          <w:spacing w:val="-2"/>
          <w:sz w:val="22"/>
          <w:szCs w:val="22"/>
        </w:rPr>
        <w:t xml:space="preserve">: butil gumidugóval és védőkupakkal lezárt, felületkezelt, átlátszó, színtelen injekciós üveg </w:t>
      </w:r>
      <w:r w:rsidRPr="0006774C">
        <w:rPr>
          <w:spacing w:val="-2"/>
          <w:sz w:val="22"/>
          <w:szCs w:val="22"/>
          <w:lang w:val="hu-HU"/>
        </w:rPr>
        <w:t>(500 Egység: I-es hidrolitikai osztály, 1000 Egység II-es hidrolitikai osztály)</w:t>
      </w:r>
    </w:p>
    <w:p w14:paraId="45F408E1" w14:textId="7DBB4A9F" w:rsidR="005E099E" w:rsidRPr="009275E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pacing w:val="-2"/>
          <w:sz w:val="22"/>
          <w:szCs w:val="22"/>
        </w:rPr>
      </w:pPr>
      <w:r w:rsidRPr="0006774C">
        <w:rPr>
          <w:spacing w:val="-2"/>
          <w:sz w:val="22"/>
          <w:szCs w:val="22"/>
          <w:u w:val="single"/>
        </w:rPr>
        <w:t>Oldószert tartalmazó injekciós üveg</w:t>
      </w:r>
      <w:r w:rsidRPr="0006774C">
        <w:rPr>
          <w:spacing w:val="-2"/>
          <w:sz w:val="22"/>
          <w:szCs w:val="22"/>
        </w:rPr>
        <w:t xml:space="preserve">: butil gumidugóval és védőkupakkal lezárt, felületkezelt, átlátszó, színtelen injekciós üveg </w:t>
      </w:r>
      <w:r w:rsidRPr="0006774C">
        <w:rPr>
          <w:spacing w:val="-3"/>
          <w:sz w:val="22"/>
          <w:szCs w:val="22"/>
        </w:rPr>
        <w:t>(</w:t>
      </w:r>
      <w:r w:rsidR="003B3931" w:rsidRPr="0006774C">
        <w:rPr>
          <w:spacing w:val="-3"/>
          <w:sz w:val="22"/>
          <w:szCs w:val="22"/>
          <w:lang w:val="hu-HU"/>
        </w:rPr>
        <w:t>5</w:t>
      </w:r>
      <w:r w:rsidRPr="0006774C">
        <w:rPr>
          <w:spacing w:val="-3"/>
          <w:sz w:val="22"/>
          <w:szCs w:val="22"/>
          <w:lang w:val="hu-HU"/>
        </w:rPr>
        <w:t> ml/</w:t>
      </w:r>
      <w:r w:rsidR="003B3931" w:rsidRPr="0006774C">
        <w:rPr>
          <w:spacing w:val="-3"/>
          <w:sz w:val="22"/>
          <w:szCs w:val="22"/>
          <w:lang w:val="hu-HU"/>
        </w:rPr>
        <w:t>1</w:t>
      </w:r>
      <w:r w:rsidRPr="0006774C">
        <w:rPr>
          <w:spacing w:val="-3"/>
          <w:sz w:val="22"/>
          <w:szCs w:val="22"/>
          <w:lang w:val="hu-HU"/>
        </w:rPr>
        <w:t>0 ml: I-es hidrolitikai osztály</w:t>
      </w:r>
      <w:r w:rsidRPr="0006774C">
        <w:rPr>
          <w:spacing w:val="-3"/>
          <w:sz w:val="22"/>
          <w:szCs w:val="22"/>
        </w:rPr>
        <w:t>)</w:t>
      </w:r>
      <w:r w:rsidRPr="0006774C">
        <w:rPr>
          <w:spacing w:val="-2"/>
          <w:sz w:val="22"/>
          <w:szCs w:val="22"/>
        </w:rPr>
        <w:t>.</w:t>
      </w:r>
    </w:p>
    <w:p w14:paraId="3E058365" w14:textId="77777777" w:rsidR="005E099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  <w:lang w:val="hu-HU"/>
        </w:rPr>
      </w:pPr>
    </w:p>
    <w:p w14:paraId="748E837E" w14:textId="0EE3432F" w:rsidR="005E099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Feiba NF </w:t>
      </w:r>
      <w:r w:rsidR="003B3931">
        <w:rPr>
          <w:sz w:val="22"/>
          <w:szCs w:val="22"/>
          <w:lang w:val="hu-HU"/>
        </w:rPr>
        <w:t>10</w:t>
      </w:r>
      <w:r>
        <w:rPr>
          <w:sz w:val="22"/>
          <w:szCs w:val="22"/>
          <w:lang w:val="hu-HU"/>
        </w:rPr>
        <w:t>0 Egység/ml a következő kiszerelésekben elérhető:</w:t>
      </w:r>
    </w:p>
    <w:p w14:paraId="1A5775C2" w14:textId="77777777" w:rsidR="005E099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1×500 Egység</w:t>
      </w:r>
    </w:p>
    <w:p w14:paraId="284D460E" w14:textId="77777777" w:rsidR="005E099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1×1000 Egység</w:t>
      </w:r>
    </w:p>
    <w:p w14:paraId="378551DD" w14:textId="77777777" w:rsidR="005E099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  <w:lang w:val="hu-HU"/>
        </w:rPr>
      </w:pPr>
    </w:p>
    <w:p w14:paraId="10A26FC4" w14:textId="77777777" w:rsidR="005E099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  <w:lang w:val="hu-HU"/>
        </w:rPr>
      </w:pPr>
      <w:r>
        <w:rPr>
          <w:sz w:val="22"/>
          <w:szCs w:val="22"/>
        </w:rPr>
        <w:t>Nem feltétlenül mindegyik</w:t>
      </w:r>
      <w:r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</w:rPr>
        <w:t xml:space="preserve">kiszerelés kerül </w:t>
      </w:r>
      <w:r>
        <w:rPr>
          <w:sz w:val="22"/>
          <w:szCs w:val="22"/>
          <w:lang w:val="hu-HU"/>
        </w:rPr>
        <w:t xml:space="preserve">kereskedelmi </w:t>
      </w:r>
      <w:r>
        <w:rPr>
          <w:sz w:val="22"/>
          <w:szCs w:val="22"/>
        </w:rPr>
        <w:t>forgalomba.</w:t>
      </w:r>
    </w:p>
    <w:p w14:paraId="42A67BEF" w14:textId="77777777" w:rsidR="005E099E" w:rsidRPr="00793A8B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</w:p>
    <w:p w14:paraId="07ED4F7A" w14:textId="77777777" w:rsidR="005E099E" w:rsidRPr="009275EE" w:rsidRDefault="005E099E" w:rsidP="005E099E">
      <w:pPr>
        <w:pStyle w:val="Szvegtrzs"/>
        <w:keepNext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  <w:r w:rsidRPr="009275EE">
        <w:rPr>
          <w:sz w:val="22"/>
          <w:szCs w:val="22"/>
        </w:rPr>
        <w:t>A</w:t>
      </w:r>
      <w:r>
        <w:rPr>
          <w:sz w:val="22"/>
          <w:szCs w:val="22"/>
          <w:lang w:val="hu-HU"/>
        </w:rPr>
        <w:t>z 500 Egység és 1000 Egység</w:t>
      </w:r>
      <w:r w:rsidRPr="009275EE">
        <w:rPr>
          <w:sz w:val="22"/>
          <w:szCs w:val="22"/>
        </w:rPr>
        <w:t xml:space="preserve"> csomagolás tartalma:</w:t>
      </w:r>
    </w:p>
    <w:p w14:paraId="360EB205" w14:textId="77777777" w:rsidR="005E099E" w:rsidRPr="009275E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  <w:r w:rsidRPr="009275EE">
        <w:rPr>
          <w:sz w:val="22"/>
          <w:szCs w:val="22"/>
        </w:rPr>
        <w:t xml:space="preserve">1 db </w:t>
      </w:r>
      <w:r>
        <w:rPr>
          <w:sz w:val="22"/>
          <w:szCs w:val="22"/>
          <w:lang w:val="hu-HU"/>
        </w:rPr>
        <w:t>500 Egység/1000 Egység</w:t>
      </w:r>
      <w:r w:rsidRPr="009275EE">
        <w:rPr>
          <w:sz w:val="22"/>
          <w:szCs w:val="22"/>
        </w:rPr>
        <w:t xml:space="preserve"> port tartalmazó gumidugóval lezárt injekciós üveg</w:t>
      </w:r>
    </w:p>
    <w:p w14:paraId="6CD03438" w14:textId="5509B829" w:rsidR="005E099E" w:rsidRPr="009275E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  <w:r w:rsidRPr="009275EE">
        <w:rPr>
          <w:sz w:val="22"/>
          <w:szCs w:val="22"/>
        </w:rPr>
        <w:t xml:space="preserve">1 db gumidugóval lezárt oldószert tartalmazó injekciós üveg, </w:t>
      </w:r>
      <w:r w:rsidR="003B3931">
        <w:rPr>
          <w:sz w:val="22"/>
          <w:szCs w:val="22"/>
          <w:lang w:val="hu-HU"/>
        </w:rPr>
        <w:t>5</w:t>
      </w:r>
      <w:r w:rsidRPr="009275EE">
        <w:rPr>
          <w:sz w:val="22"/>
          <w:szCs w:val="22"/>
        </w:rPr>
        <w:t> ml</w:t>
      </w:r>
      <w:r>
        <w:rPr>
          <w:sz w:val="22"/>
          <w:szCs w:val="22"/>
          <w:lang w:val="hu-HU"/>
        </w:rPr>
        <w:t>/</w:t>
      </w:r>
      <w:r w:rsidR="003B3931">
        <w:rPr>
          <w:sz w:val="22"/>
          <w:szCs w:val="22"/>
        </w:rPr>
        <w:t>1</w:t>
      </w:r>
      <w:r w:rsidRPr="009275EE">
        <w:rPr>
          <w:sz w:val="22"/>
          <w:szCs w:val="22"/>
        </w:rPr>
        <w:t>0 ml steril injekcióhoz való vízzel</w:t>
      </w:r>
    </w:p>
    <w:p w14:paraId="0A703059" w14:textId="77777777" w:rsidR="005E099E" w:rsidRPr="009275EE" w:rsidRDefault="005E099E" w:rsidP="005E099E">
      <w:pPr>
        <w:pStyle w:val="Szvegtrzs"/>
        <w:tabs>
          <w:tab w:val="left" w:pos="567"/>
        </w:tabs>
        <w:spacing w:after="0"/>
        <w:ind w:left="426" w:hanging="409"/>
        <w:jc w:val="left"/>
        <w:rPr>
          <w:sz w:val="22"/>
          <w:szCs w:val="22"/>
        </w:rPr>
      </w:pPr>
      <w:r w:rsidRPr="009275EE">
        <w:rPr>
          <w:sz w:val="22"/>
          <w:szCs w:val="22"/>
        </w:rPr>
        <w:t>1 db Baxject II Hi-Flow tű nélküli eszköz, a két külön injekciós üvegben található por és oldószer összekeveréséhez és egy fecskendőbe juttatásához</w:t>
      </w:r>
    </w:p>
    <w:p w14:paraId="0CFB7E4F" w14:textId="77777777" w:rsidR="005E099E" w:rsidRPr="009275E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  <w:r w:rsidRPr="009275EE">
        <w:rPr>
          <w:sz w:val="22"/>
          <w:szCs w:val="22"/>
        </w:rPr>
        <w:t>1 db steril egyszer használatos fecskendő</w:t>
      </w:r>
    </w:p>
    <w:p w14:paraId="7526D4D7" w14:textId="7F4D78A9" w:rsidR="005E099E" w:rsidRPr="009275E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  <w:r w:rsidRPr="009275EE">
        <w:rPr>
          <w:sz w:val="22"/>
          <w:szCs w:val="22"/>
        </w:rPr>
        <w:t>1 db steril szárnyas tű (infúziós készlet)</w:t>
      </w:r>
    </w:p>
    <w:p w14:paraId="6DC020CE" w14:textId="77777777" w:rsidR="005E099E" w:rsidRPr="009275E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sz w:val="22"/>
          <w:szCs w:val="22"/>
        </w:rPr>
      </w:pPr>
    </w:p>
    <w:p w14:paraId="7EB783D5" w14:textId="77777777" w:rsidR="005E099E" w:rsidRPr="00E86B67" w:rsidRDefault="005E099E" w:rsidP="005E099E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3554EA">
        <w:rPr>
          <w:b/>
          <w:sz w:val="22"/>
          <w:szCs w:val="22"/>
        </w:rPr>
        <w:t>6.6</w:t>
      </w:r>
      <w:r w:rsidRPr="003554EA">
        <w:rPr>
          <w:b/>
          <w:sz w:val="22"/>
          <w:szCs w:val="22"/>
        </w:rPr>
        <w:tab/>
      </w:r>
      <w:r w:rsidRPr="00C066DF">
        <w:rPr>
          <w:b/>
          <w:noProof/>
          <w:sz w:val="22"/>
          <w:szCs w:val="22"/>
        </w:rPr>
        <w:t>A megsemmisítésre vonatkozó különleges óvintézkedések és egyéb, a készítmény kezelésével kapcsolatos információk</w:t>
      </w:r>
    </w:p>
    <w:p w14:paraId="61496C1A" w14:textId="77777777" w:rsidR="005E099E" w:rsidRPr="00E86B67" w:rsidRDefault="005E099E" w:rsidP="005E099E">
      <w:pPr>
        <w:pStyle w:val="02"/>
        <w:widowControl w:val="0"/>
        <w:tabs>
          <w:tab w:val="left" w:pos="567"/>
        </w:tabs>
        <w:spacing w:before="0" w:after="0" w:line="240" w:lineRule="auto"/>
        <w:ind w:left="17" w:firstLine="0"/>
        <w:rPr>
          <w:b w:val="0"/>
          <w:sz w:val="22"/>
          <w:szCs w:val="22"/>
          <w:lang w:val="hu-HU"/>
        </w:rPr>
      </w:pPr>
    </w:p>
    <w:p w14:paraId="58C506AC" w14:textId="77777777" w:rsidR="005E099E" w:rsidRPr="00E86B67" w:rsidRDefault="005E099E" w:rsidP="005E099E">
      <w:pPr>
        <w:widowControl w:val="0"/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Feiba NF oldat elkészítéséhez kizárólag a csomagolásban mellékelt injekcióhoz való vizet és eszközöket használja. Használjon aszeptikus technikát a teljes folyamat során.</w:t>
      </w:r>
    </w:p>
    <w:p w14:paraId="199DDD8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58489D92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 Feiba NF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et kizárólag közvetlenül beadás előtt szabad feloldani. Az elkészített oldatot haladéktalanul fel kell használni (a készítmény nem tartalmaz tartósítószert).</w:t>
      </w:r>
    </w:p>
    <w:p w14:paraId="74D1CAD8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F5FB462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Finom mozdulatokkal mozgassa körbe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körbe, amíg a por teljesen feloldódik. Győzödjön meg róla, hogy a Feiba NF teljesen feloldódott, máskülönben kevesebb Feiba NF Egység jut keresztül a szűrőn.</w:t>
      </w:r>
    </w:p>
    <w:p w14:paraId="0597ED72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07CD9B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Az elkészített oldatot az alkalmazás előtt ellenőrizni kell, hogy nincsenek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e benne látható részecskék vagy nem történt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e elszíneződés. Ne használja fel az oldatot amennyiben zavaros vagy üledékes.</w:t>
      </w:r>
    </w:p>
    <w:p w14:paraId="40B9679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3C826CF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Ne használja fel a por feloldásához szükséges tű nélküli eszközt, ha steril védelme, csomagolása sérült vagy a rongálódás bármely jele látszódik.</w:t>
      </w:r>
    </w:p>
    <w:p w14:paraId="50859EF3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12FC29F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Amennyiben a Feiba NF alkalmazásához nem a mellékelt eszközöket használja, biztosítsa a megfelelő, legalább 149 mikrométer pórusméretű szűrő használatát.</w:t>
      </w:r>
    </w:p>
    <w:p w14:paraId="104A0849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032C86AE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86B67">
        <w:rPr>
          <w:sz w:val="22"/>
          <w:szCs w:val="22"/>
        </w:rPr>
        <w:t>Bármilyen fel nem használt készítmény, illetve hulladékanyag megsemmisítését a helyi előírások szerint kell végrehajtani.</w:t>
      </w:r>
    </w:p>
    <w:p w14:paraId="5E37707D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0FE35CDB" w14:textId="77777777" w:rsidR="005E099E" w:rsidRPr="00E86B67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E86B67">
        <w:rPr>
          <w:b/>
          <w:sz w:val="22"/>
          <w:szCs w:val="22"/>
        </w:rPr>
        <w:t>A por oldatos injekcióhoz elkészítése a Baxject II Hi-Flow segítségével:</w:t>
      </w:r>
    </w:p>
    <w:p w14:paraId="206E0830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383CEFFB" w14:textId="53DEB492" w:rsidR="005E099E" w:rsidRPr="00CF338B" w:rsidRDefault="005E099E" w:rsidP="005E099E">
      <w:pPr>
        <w:pStyle w:val="WW-Szvegtrzsbehzssal3"/>
        <w:tabs>
          <w:tab w:val="left" w:pos="567"/>
        </w:tabs>
        <w:ind w:left="567" w:hanging="550"/>
        <w:jc w:val="left"/>
        <w:rPr>
          <w:szCs w:val="22"/>
        </w:rPr>
      </w:pPr>
      <w:r w:rsidRPr="00E86B67">
        <w:rPr>
          <w:szCs w:val="22"/>
        </w:rPr>
        <w:t>1.</w:t>
      </w:r>
      <w:r w:rsidRPr="00E86B67">
        <w:rPr>
          <w:szCs w:val="22"/>
        </w:rPr>
        <w:tab/>
        <w:t>Melegítse a felbontatlan oldószeres (steril injekcióhoz való vizet tartalmazó) injekciós üveget szobahőmérsékletre (15</w:t>
      </w:r>
      <w:r w:rsidR="003B3931">
        <w:rPr>
          <w:szCs w:val="22"/>
        </w:rPr>
        <w:t> </w:t>
      </w:r>
      <w:r w:rsidRPr="00E86B67">
        <w:rPr>
          <w:szCs w:val="22"/>
        </w:rPr>
        <w:t>°C</w:t>
      </w:r>
      <w:r w:rsidRPr="00E86B67">
        <w:rPr>
          <w:szCs w:val="22"/>
        </w:rPr>
        <w:noBreakHyphen/>
        <w:t>25</w:t>
      </w:r>
      <w:r w:rsidR="003B3931">
        <w:rPr>
          <w:szCs w:val="22"/>
        </w:rPr>
        <w:t> </w:t>
      </w:r>
      <w:r w:rsidRPr="00E86B67">
        <w:rPr>
          <w:szCs w:val="22"/>
        </w:rPr>
        <w:t xml:space="preserve">°C), </w:t>
      </w:r>
      <w:r w:rsidRPr="0052493D">
        <w:rPr>
          <w:szCs w:val="22"/>
        </w:rPr>
        <w:t>pl. néhány percre steril vízfürdőbe helyezve (legfeljebb 37</w:t>
      </w:r>
      <w:r>
        <w:rPr>
          <w:szCs w:val="22"/>
        </w:rPr>
        <w:t> </w:t>
      </w:r>
      <w:r w:rsidRPr="0052493D">
        <w:rPr>
          <w:szCs w:val="22"/>
        </w:rPr>
        <w:t>°C),</w:t>
      </w:r>
      <w:r w:rsidRPr="00081D9E">
        <w:rPr>
          <w:szCs w:val="22"/>
        </w:rPr>
        <w:t xml:space="preserve"> </w:t>
      </w:r>
      <w:r w:rsidRPr="00824A5B">
        <w:rPr>
          <w:szCs w:val="22"/>
        </w:rPr>
        <w:t>ha szükséges.</w:t>
      </w:r>
    </w:p>
    <w:p w14:paraId="14CF4228" w14:textId="77777777" w:rsidR="005E099E" w:rsidRPr="00BE28DC" w:rsidRDefault="005E099E" w:rsidP="005E099E">
      <w:pPr>
        <w:tabs>
          <w:tab w:val="left" w:pos="567"/>
        </w:tabs>
        <w:ind w:left="567" w:hanging="550"/>
        <w:rPr>
          <w:sz w:val="22"/>
          <w:szCs w:val="22"/>
        </w:rPr>
      </w:pPr>
      <w:r w:rsidRPr="00BE28DC">
        <w:rPr>
          <w:sz w:val="22"/>
          <w:szCs w:val="22"/>
        </w:rPr>
        <w:t>2.</w:t>
      </w:r>
      <w:r w:rsidRPr="00BE28DC">
        <w:rPr>
          <w:sz w:val="22"/>
          <w:szCs w:val="22"/>
        </w:rPr>
        <w:tab/>
        <w:t>Távolítsa el a Feiba NF</w:t>
      </w:r>
      <w:r w:rsidRPr="00E86B67">
        <w:rPr>
          <w:b/>
          <w:sz w:val="22"/>
          <w:szCs w:val="22"/>
        </w:rPr>
        <w:noBreakHyphen/>
      </w:r>
      <w:r w:rsidRPr="00BE28DC">
        <w:rPr>
          <w:sz w:val="22"/>
          <w:szCs w:val="22"/>
        </w:rPr>
        <w:t>et tartalmazó és az oldószeres injekciós üveg zárókupakját és tisztítsa meg mindkettő gumidugóját. Helyezze az injekciós üvegeket egy sima felületre.</w:t>
      </w:r>
    </w:p>
    <w:p w14:paraId="6E29C76E" w14:textId="77777777" w:rsidR="005E099E" w:rsidRPr="00E86B67" w:rsidRDefault="005E099E" w:rsidP="005E099E">
      <w:pPr>
        <w:tabs>
          <w:tab w:val="left" w:pos="567"/>
        </w:tabs>
        <w:ind w:left="567" w:hanging="550"/>
        <w:rPr>
          <w:sz w:val="22"/>
          <w:szCs w:val="22"/>
        </w:rPr>
      </w:pPr>
      <w:r w:rsidRPr="00C066DF">
        <w:rPr>
          <w:sz w:val="22"/>
          <w:szCs w:val="22"/>
        </w:rPr>
        <w:t>3.</w:t>
      </w:r>
      <w:r w:rsidRPr="00C066DF">
        <w:rPr>
          <w:sz w:val="22"/>
          <w:szCs w:val="22"/>
        </w:rPr>
        <w:tab/>
        <w:t>Bontsa fel a Baxject II Hi-Flow eszköz csomagolásá</w:t>
      </w:r>
      <w:r w:rsidRPr="00E86B67">
        <w:rPr>
          <w:sz w:val="22"/>
          <w:szCs w:val="22"/>
        </w:rPr>
        <w:t>t. Úgy húzza le a papírfedelet, hogy ne nyúljon a belsejébe (a. ábra). Még ne vegye ki az eszközt a csomagból.</w:t>
      </w:r>
    </w:p>
    <w:p w14:paraId="53D4AB10" w14:textId="079DF319" w:rsidR="005E099E" w:rsidRPr="00E86B67" w:rsidRDefault="005E099E" w:rsidP="005E099E">
      <w:pPr>
        <w:tabs>
          <w:tab w:val="left" w:pos="567"/>
        </w:tabs>
        <w:ind w:left="567" w:hanging="550"/>
        <w:rPr>
          <w:sz w:val="22"/>
          <w:szCs w:val="22"/>
        </w:rPr>
      </w:pPr>
      <w:r w:rsidRPr="00E86B67">
        <w:rPr>
          <w:sz w:val="22"/>
          <w:szCs w:val="22"/>
        </w:rPr>
        <w:t>4.</w:t>
      </w:r>
      <w:r w:rsidRPr="00E86B67">
        <w:rPr>
          <w:sz w:val="22"/>
          <w:szCs w:val="22"/>
        </w:rPr>
        <w:tab/>
        <w:t>Fordítsa meg a csomagot és szúrja be a</w:t>
      </w:r>
      <w:r w:rsidR="003B3931">
        <w:rPr>
          <w:sz w:val="22"/>
          <w:szCs w:val="22"/>
        </w:rPr>
        <w:t>z</w:t>
      </w:r>
      <w:r w:rsidRPr="00E86B67">
        <w:rPr>
          <w:sz w:val="22"/>
          <w:szCs w:val="22"/>
        </w:rPr>
        <w:t xml:space="preserve"> átlátszó műanyag tűt az oldószeres injekciós üveg dugójába (b. ábra). Most húzza le a pereménél fogva a csomagolást a Baxject II Hi</w:t>
      </w:r>
      <w:r w:rsidRPr="00E86B67">
        <w:rPr>
          <w:sz w:val="22"/>
          <w:szCs w:val="22"/>
        </w:rPr>
        <w:noBreakHyphen/>
        <w:t>Flow eszközről (c. ábra). Ne vegye le a kék sapkát a Baxject II Hi</w:t>
      </w:r>
      <w:r w:rsidRPr="00E86B67">
        <w:rPr>
          <w:sz w:val="22"/>
          <w:szCs w:val="22"/>
        </w:rPr>
        <w:noBreakHyphen/>
        <w:t>Flow eszközről.</w:t>
      </w:r>
    </w:p>
    <w:p w14:paraId="20B3786E" w14:textId="77777777" w:rsidR="005E099E" w:rsidRPr="00E86B67" w:rsidRDefault="005E099E" w:rsidP="005E099E">
      <w:pPr>
        <w:tabs>
          <w:tab w:val="left" w:pos="567"/>
        </w:tabs>
        <w:ind w:left="567" w:hanging="550"/>
        <w:rPr>
          <w:sz w:val="22"/>
          <w:szCs w:val="22"/>
        </w:rPr>
      </w:pPr>
      <w:r w:rsidRPr="00E86B67">
        <w:rPr>
          <w:sz w:val="22"/>
          <w:szCs w:val="22"/>
        </w:rPr>
        <w:t>5.</w:t>
      </w:r>
      <w:r w:rsidRPr="00E86B67">
        <w:rPr>
          <w:sz w:val="22"/>
          <w:szCs w:val="22"/>
        </w:rPr>
        <w:tab/>
        <w:t>Fordítsa meg az összeillesztett Baxject II Hi</w:t>
      </w:r>
      <w:r w:rsidRPr="00E86B67">
        <w:rPr>
          <w:sz w:val="22"/>
          <w:szCs w:val="22"/>
        </w:rPr>
        <w:noBreakHyphen/>
        <w:t xml:space="preserve">Flow eszközt és oldószeres injekciós üveget úgy, hogy az oldószeres injekciós üveg felülre kerüljön. Szúrja be a lila műanyag tűt a </w:t>
      </w:r>
      <w:r w:rsidRPr="00E86B67">
        <w:rPr>
          <w:spacing w:val="-2"/>
          <w:sz w:val="22"/>
          <w:szCs w:val="22"/>
        </w:rPr>
        <w:t xml:space="preserve">Feiba NF </w:t>
      </w:r>
      <w:r w:rsidRPr="00E86B67">
        <w:rPr>
          <w:sz w:val="22"/>
          <w:szCs w:val="22"/>
        </w:rPr>
        <w:t xml:space="preserve">injekciós üveg dugójába. A kialakult vákuum miatt az oldószer átfolyik a </w:t>
      </w:r>
      <w:r w:rsidRPr="00E86B67">
        <w:rPr>
          <w:spacing w:val="-2"/>
          <w:sz w:val="22"/>
          <w:szCs w:val="22"/>
        </w:rPr>
        <w:t>Feiba NF</w:t>
      </w:r>
      <w:r w:rsidRPr="00E86B67">
        <w:rPr>
          <w:sz w:val="22"/>
          <w:szCs w:val="22"/>
        </w:rPr>
        <w:t xml:space="preserve"> injekciós üvegbe (d. ábra).</w:t>
      </w:r>
    </w:p>
    <w:p w14:paraId="201FD1DB" w14:textId="77777777" w:rsidR="005E099E" w:rsidRPr="00E86B67" w:rsidRDefault="005E099E" w:rsidP="005E099E">
      <w:pPr>
        <w:tabs>
          <w:tab w:val="left" w:pos="567"/>
        </w:tabs>
        <w:ind w:left="567" w:hanging="550"/>
        <w:rPr>
          <w:sz w:val="22"/>
          <w:szCs w:val="22"/>
        </w:rPr>
      </w:pPr>
      <w:r w:rsidRPr="00E86B67">
        <w:rPr>
          <w:sz w:val="22"/>
          <w:szCs w:val="22"/>
        </w:rPr>
        <w:t>6.</w:t>
      </w:r>
      <w:r w:rsidRPr="00E86B67">
        <w:rPr>
          <w:sz w:val="22"/>
          <w:szCs w:val="22"/>
        </w:rPr>
        <w:tab/>
        <w:t>Finom mozdulatokkal mozgassa körbe</w:t>
      </w:r>
      <w:r w:rsidRPr="00E86B67">
        <w:rPr>
          <w:b/>
          <w:sz w:val="22"/>
          <w:szCs w:val="22"/>
        </w:rPr>
        <w:noBreakHyphen/>
      </w:r>
      <w:r w:rsidRPr="00E86B67">
        <w:rPr>
          <w:sz w:val="22"/>
          <w:szCs w:val="22"/>
        </w:rPr>
        <w:t>körbe, de ne rázza az injekciós üveget, amíg a por feloldódik. Ellenőrizze, hogy a por teljesen feloldódott, máskülönben a készülék szűrője nem engedi át a hatóanyagot.</w:t>
      </w:r>
    </w:p>
    <w:p w14:paraId="7FC27361" w14:textId="77777777" w:rsidR="005E099E" w:rsidRPr="00E86B67" w:rsidRDefault="005E099E" w:rsidP="005E099E">
      <w:pPr>
        <w:tabs>
          <w:tab w:val="left" w:pos="567"/>
        </w:tabs>
        <w:ind w:left="567" w:hanging="55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33"/>
        <w:gridCol w:w="3031"/>
        <w:gridCol w:w="2995"/>
      </w:tblGrid>
      <w:tr w:rsidR="005E099E" w:rsidRPr="00E86B67" w14:paraId="3EE42BB0" w14:textId="77777777" w:rsidTr="004B7FAC">
        <w:tc>
          <w:tcPr>
            <w:tcW w:w="3148" w:type="dxa"/>
          </w:tcPr>
          <w:p w14:paraId="61D1529D" w14:textId="77777777" w:rsidR="005E099E" w:rsidRPr="00E86B67" w:rsidRDefault="005E099E" w:rsidP="005E099E">
            <w:pPr>
              <w:keepNext/>
              <w:numPr>
                <w:ilvl w:val="0"/>
                <w:numId w:val="2"/>
              </w:numPr>
              <w:tabs>
                <w:tab w:val="left" w:pos="567"/>
              </w:tabs>
              <w:ind w:left="0" w:firstLine="360"/>
              <w:rPr>
                <w:color w:val="000000"/>
                <w:sz w:val="22"/>
                <w:szCs w:val="22"/>
              </w:rPr>
            </w:pPr>
            <w:r w:rsidRPr="00E86B67">
              <w:rPr>
                <w:color w:val="000000"/>
                <w:sz w:val="22"/>
                <w:szCs w:val="22"/>
              </w:rPr>
              <w:t>ábra</w:t>
            </w:r>
          </w:p>
        </w:tc>
        <w:tc>
          <w:tcPr>
            <w:tcW w:w="3143" w:type="dxa"/>
          </w:tcPr>
          <w:p w14:paraId="365B2CF9" w14:textId="77777777" w:rsidR="005E099E" w:rsidRPr="00E86B67" w:rsidRDefault="005E099E" w:rsidP="005E099E">
            <w:pPr>
              <w:keepNext/>
              <w:numPr>
                <w:ilvl w:val="0"/>
                <w:numId w:val="2"/>
              </w:numPr>
              <w:tabs>
                <w:tab w:val="left" w:pos="567"/>
              </w:tabs>
              <w:rPr>
                <w:color w:val="000000"/>
                <w:sz w:val="22"/>
                <w:szCs w:val="22"/>
              </w:rPr>
            </w:pPr>
            <w:r w:rsidRPr="00E86B67">
              <w:rPr>
                <w:color w:val="000000"/>
                <w:sz w:val="22"/>
                <w:szCs w:val="22"/>
              </w:rPr>
              <w:t>ábra</w:t>
            </w:r>
          </w:p>
        </w:tc>
        <w:tc>
          <w:tcPr>
            <w:tcW w:w="3141" w:type="dxa"/>
          </w:tcPr>
          <w:p w14:paraId="62D9216D" w14:textId="77777777" w:rsidR="005E099E" w:rsidRPr="00E86B67" w:rsidRDefault="005E099E" w:rsidP="005E099E">
            <w:pPr>
              <w:keepNext/>
              <w:numPr>
                <w:ilvl w:val="0"/>
                <w:numId w:val="2"/>
              </w:numPr>
              <w:tabs>
                <w:tab w:val="left" w:pos="567"/>
              </w:tabs>
              <w:rPr>
                <w:color w:val="000000"/>
                <w:sz w:val="22"/>
                <w:szCs w:val="22"/>
              </w:rPr>
            </w:pPr>
            <w:r w:rsidRPr="00E86B67">
              <w:rPr>
                <w:color w:val="000000"/>
                <w:sz w:val="22"/>
                <w:szCs w:val="22"/>
              </w:rPr>
              <w:t>ábra</w:t>
            </w:r>
          </w:p>
        </w:tc>
      </w:tr>
      <w:tr w:rsidR="005E099E" w:rsidRPr="00E86B67" w14:paraId="4A353C72" w14:textId="77777777" w:rsidTr="004B7FAC">
        <w:tc>
          <w:tcPr>
            <w:tcW w:w="3148" w:type="dxa"/>
          </w:tcPr>
          <w:p w14:paraId="526CD7A7" w14:textId="58D0C7B0" w:rsidR="005E099E" w:rsidRPr="00E86B67" w:rsidRDefault="005E099E" w:rsidP="004B7FAC">
            <w:pPr>
              <w:tabs>
                <w:tab w:val="left" w:pos="567"/>
              </w:tabs>
              <w:rPr>
                <w:color w:val="000000"/>
                <w:sz w:val="22"/>
                <w:szCs w:val="22"/>
              </w:rPr>
            </w:pPr>
            <w:r w:rsidRPr="00E86B67">
              <w:rPr>
                <w:noProof/>
                <w:color w:val="000000"/>
                <w:sz w:val="22"/>
                <w:szCs w:val="22"/>
                <w:lang w:eastAsia="hu-HU"/>
              </w:rPr>
              <w:drawing>
                <wp:inline distT="0" distB="0" distL="0" distR="0" wp14:anchorId="68C642D9" wp14:editId="0623B209">
                  <wp:extent cx="1689100" cy="1689100"/>
                  <wp:effectExtent l="0" t="0" r="6350" b="6350"/>
                  <wp:docPr id="469448453" name="Picture 6" descr="A close-up of a plastic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448453" name="Picture 6" descr="A close-up of a plastic contain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68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3" w:type="dxa"/>
          </w:tcPr>
          <w:p w14:paraId="3499FDE8" w14:textId="0F2BA003" w:rsidR="005E099E" w:rsidRPr="00E86B67" w:rsidRDefault="005E099E" w:rsidP="004B7FAC">
            <w:pPr>
              <w:tabs>
                <w:tab w:val="left" w:pos="567"/>
              </w:tabs>
              <w:rPr>
                <w:color w:val="000000"/>
                <w:sz w:val="22"/>
                <w:szCs w:val="22"/>
              </w:rPr>
            </w:pPr>
            <w:r w:rsidRPr="00E86B67">
              <w:rPr>
                <w:noProof/>
                <w:color w:val="000000"/>
                <w:sz w:val="22"/>
                <w:szCs w:val="22"/>
                <w:lang w:eastAsia="hu-HU"/>
              </w:rPr>
              <w:drawing>
                <wp:inline distT="0" distB="0" distL="0" distR="0" wp14:anchorId="18FF63B0" wp14:editId="57C39B25">
                  <wp:extent cx="1689100" cy="1689100"/>
                  <wp:effectExtent l="0" t="0" r="6350" b="6350"/>
                  <wp:docPr id="778152898" name="Picture 5" descr="A drawing of a bott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152898" name="Picture 5" descr="A drawing of a bott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68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1" w:type="dxa"/>
          </w:tcPr>
          <w:p w14:paraId="12AE77C3" w14:textId="1CFAF104" w:rsidR="005E099E" w:rsidRPr="00E86B67" w:rsidRDefault="005E099E" w:rsidP="004B7FAC">
            <w:pPr>
              <w:tabs>
                <w:tab w:val="left" w:pos="567"/>
              </w:tabs>
              <w:rPr>
                <w:color w:val="000000"/>
                <w:sz w:val="22"/>
                <w:szCs w:val="22"/>
              </w:rPr>
            </w:pPr>
            <w:r w:rsidRPr="00E86B67">
              <w:rPr>
                <w:noProof/>
                <w:color w:val="000000"/>
                <w:sz w:val="22"/>
                <w:szCs w:val="22"/>
                <w:lang w:eastAsia="hu-HU"/>
              </w:rPr>
              <w:drawing>
                <wp:inline distT="0" distB="0" distL="0" distR="0" wp14:anchorId="18A01D26" wp14:editId="6946AF65">
                  <wp:extent cx="1644650" cy="1644650"/>
                  <wp:effectExtent l="0" t="0" r="0" b="0"/>
                  <wp:docPr id="935222467" name="Picture 4" descr="A drawing of a bottle and a c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222467" name="Picture 4" descr="A drawing of a bottle and a cap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650" cy="164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5CBBA0" w14:textId="77777777" w:rsidR="005E099E" w:rsidRPr="00472267" w:rsidRDefault="005E099E" w:rsidP="005E099E">
      <w:pPr>
        <w:tabs>
          <w:tab w:val="left" w:pos="567"/>
        </w:tabs>
        <w:ind w:left="426" w:hanging="409"/>
        <w:rPr>
          <w:sz w:val="22"/>
          <w:szCs w:val="22"/>
        </w:rPr>
      </w:pPr>
    </w:p>
    <w:p w14:paraId="3B96DDA4" w14:textId="77777777" w:rsidR="005E099E" w:rsidRPr="006408A4" w:rsidRDefault="005E099E" w:rsidP="005E099E">
      <w:pPr>
        <w:tabs>
          <w:tab w:val="left" w:pos="567"/>
        </w:tabs>
        <w:ind w:left="426" w:hanging="409"/>
        <w:rPr>
          <w:b/>
          <w:sz w:val="22"/>
          <w:szCs w:val="22"/>
        </w:rPr>
      </w:pPr>
      <w:r w:rsidRPr="006408A4">
        <w:rPr>
          <w:b/>
          <w:sz w:val="22"/>
          <w:szCs w:val="22"/>
        </w:rPr>
        <w:t>Az injekció/infúzió beadása:</w:t>
      </w:r>
    </w:p>
    <w:p w14:paraId="25C1A170" w14:textId="77777777" w:rsidR="005E099E" w:rsidRPr="006408A4" w:rsidRDefault="005E099E" w:rsidP="005E099E">
      <w:pPr>
        <w:numPr>
          <w:ilvl w:val="0"/>
          <w:numId w:val="3"/>
        </w:numPr>
        <w:tabs>
          <w:tab w:val="left" w:pos="567"/>
        </w:tabs>
        <w:ind w:left="567" w:hanging="550"/>
        <w:rPr>
          <w:sz w:val="22"/>
          <w:szCs w:val="22"/>
        </w:rPr>
      </w:pPr>
      <w:r w:rsidRPr="006408A4">
        <w:rPr>
          <w:sz w:val="22"/>
          <w:szCs w:val="22"/>
        </w:rPr>
        <w:t>Távolítsa el a Baxject II Hi</w:t>
      </w:r>
      <w:r w:rsidRPr="00E86B67">
        <w:rPr>
          <w:b/>
          <w:sz w:val="22"/>
          <w:szCs w:val="22"/>
        </w:rPr>
        <w:noBreakHyphen/>
      </w:r>
      <w:r w:rsidRPr="006408A4">
        <w:rPr>
          <w:sz w:val="22"/>
          <w:szCs w:val="22"/>
        </w:rPr>
        <w:t>Flow kék sapkáját. Fogja meg a fecskendőt és szorosan csatlakoztassa a Baxject II Hi</w:t>
      </w:r>
      <w:r w:rsidRPr="00E86B67">
        <w:rPr>
          <w:b/>
          <w:sz w:val="22"/>
          <w:szCs w:val="22"/>
        </w:rPr>
        <w:noBreakHyphen/>
      </w:r>
      <w:r w:rsidRPr="006408A4">
        <w:rPr>
          <w:sz w:val="22"/>
          <w:szCs w:val="22"/>
        </w:rPr>
        <w:t>Flow eszközhöz. (Ne szívjon levegőt a fecskendőbe!) (e. ábra) Annak érdekében, hogy a fecskendő és a Baxject II Hi</w:t>
      </w:r>
      <w:r w:rsidRPr="006408A4">
        <w:rPr>
          <w:sz w:val="22"/>
          <w:szCs w:val="22"/>
        </w:rPr>
        <w:noBreakHyphen/>
        <w:t>Flow eszköz közötti szoros kapcsolat biztosítva legyen, kifejezetten ajánlott a luer lock fecskendő használata. (Csatlakoztatás során csavarja a fecskendőt az óramutató járásával egyező irányba ütközésig.)</w:t>
      </w:r>
    </w:p>
    <w:p w14:paraId="105B1CC2" w14:textId="77777777" w:rsidR="005E099E" w:rsidRPr="00081D9E" w:rsidRDefault="005E099E" w:rsidP="005E099E">
      <w:pPr>
        <w:numPr>
          <w:ilvl w:val="0"/>
          <w:numId w:val="3"/>
        </w:numPr>
        <w:tabs>
          <w:tab w:val="left" w:pos="567"/>
        </w:tabs>
        <w:ind w:left="567" w:hanging="550"/>
        <w:rPr>
          <w:sz w:val="22"/>
          <w:szCs w:val="22"/>
        </w:rPr>
      </w:pPr>
      <w:r w:rsidRPr="00065090">
        <w:rPr>
          <w:sz w:val="22"/>
          <w:szCs w:val="22"/>
        </w:rPr>
        <w:t>Fordítsa meg az összeillesztett rendszert úgy, hogy a feloldott készítmény legyen felül. Szívja a Feiba NF oldatot a fecskendőbe a dugattyú LASSÚ hátrahúzásával és győ</w:t>
      </w:r>
      <w:r w:rsidRPr="00081D9E">
        <w:rPr>
          <w:sz w:val="22"/>
          <w:szCs w:val="22"/>
        </w:rPr>
        <w:t>ződjön meg róla, hogy a Baxject II Hi</w:t>
      </w:r>
      <w:r w:rsidRPr="00E86B67">
        <w:rPr>
          <w:b/>
          <w:sz w:val="22"/>
          <w:szCs w:val="22"/>
        </w:rPr>
        <w:noBreakHyphen/>
      </w:r>
      <w:r w:rsidRPr="00081D9E">
        <w:rPr>
          <w:sz w:val="22"/>
          <w:szCs w:val="22"/>
        </w:rPr>
        <w:t>Flow eszköz és a fecskendő közötti szoros illeszkedés a szívás teljes ideje alatt fennáll. (f. ábra).</w:t>
      </w:r>
    </w:p>
    <w:p w14:paraId="126AF481" w14:textId="77777777" w:rsidR="005E099E" w:rsidRPr="00824A5B" w:rsidRDefault="005E099E" w:rsidP="005E099E">
      <w:pPr>
        <w:numPr>
          <w:ilvl w:val="0"/>
          <w:numId w:val="3"/>
        </w:numPr>
        <w:tabs>
          <w:tab w:val="left" w:pos="567"/>
        </w:tabs>
        <w:ind w:left="567" w:hanging="550"/>
        <w:rPr>
          <w:sz w:val="22"/>
          <w:szCs w:val="22"/>
        </w:rPr>
      </w:pPr>
      <w:r w:rsidRPr="00824A5B">
        <w:rPr>
          <w:sz w:val="22"/>
          <w:szCs w:val="22"/>
        </w:rPr>
        <w:t>Vegye le a fecskendőt.</w:t>
      </w:r>
    </w:p>
    <w:p w14:paraId="2C32AAEB" w14:textId="21C237AE" w:rsidR="005E099E" w:rsidRPr="0052493D" w:rsidRDefault="005E099E" w:rsidP="005E099E">
      <w:pPr>
        <w:numPr>
          <w:ilvl w:val="0"/>
          <w:numId w:val="3"/>
        </w:numPr>
        <w:tabs>
          <w:tab w:val="left" w:pos="567"/>
        </w:tabs>
        <w:ind w:left="567" w:hanging="550"/>
        <w:rPr>
          <w:sz w:val="22"/>
          <w:szCs w:val="22"/>
        </w:rPr>
      </w:pPr>
      <w:r w:rsidRPr="00BE28DC">
        <w:rPr>
          <w:sz w:val="22"/>
          <w:szCs w:val="22"/>
        </w:rPr>
        <w:t>Amennyiben hab képződik a fecskendőben, várjon, amíg az összeesik. Adja be lassan</w:t>
      </w:r>
      <w:r>
        <w:rPr>
          <w:sz w:val="22"/>
          <w:szCs w:val="22"/>
        </w:rPr>
        <w:t>,</w:t>
      </w:r>
      <w:r w:rsidRPr="0052493D">
        <w:rPr>
          <w:sz w:val="22"/>
          <w:szCs w:val="22"/>
        </w:rPr>
        <w:t xml:space="preserve"> intravénásan az oldatot a szárnyas injekciós készlet segítségével.</w:t>
      </w:r>
    </w:p>
    <w:p w14:paraId="2ED3B9BC" w14:textId="77777777" w:rsidR="005E099E" w:rsidRPr="00081D9E" w:rsidRDefault="005E099E" w:rsidP="005E099E">
      <w:pPr>
        <w:tabs>
          <w:tab w:val="left" w:pos="567"/>
        </w:tabs>
        <w:ind w:left="426" w:hanging="409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6"/>
        <w:gridCol w:w="3066"/>
        <w:gridCol w:w="2927"/>
      </w:tblGrid>
      <w:tr w:rsidR="005E099E" w:rsidRPr="00E86B67" w14:paraId="59606E53" w14:textId="77777777" w:rsidTr="004B7FAC">
        <w:tc>
          <w:tcPr>
            <w:tcW w:w="3146" w:type="dxa"/>
          </w:tcPr>
          <w:p w14:paraId="0B893C43" w14:textId="77777777" w:rsidR="005E099E" w:rsidRPr="00E86B67" w:rsidRDefault="005E099E" w:rsidP="005E099E">
            <w:pPr>
              <w:keepNext/>
              <w:numPr>
                <w:ilvl w:val="0"/>
                <w:numId w:val="2"/>
              </w:numPr>
              <w:tabs>
                <w:tab w:val="left" w:pos="567"/>
              </w:tabs>
              <w:rPr>
                <w:sz w:val="22"/>
                <w:szCs w:val="22"/>
              </w:rPr>
            </w:pPr>
            <w:r w:rsidRPr="00E86B67">
              <w:rPr>
                <w:sz w:val="22"/>
                <w:szCs w:val="22"/>
              </w:rPr>
              <w:t>ábra</w:t>
            </w:r>
          </w:p>
        </w:tc>
        <w:tc>
          <w:tcPr>
            <w:tcW w:w="3167" w:type="dxa"/>
          </w:tcPr>
          <w:p w14:paraId="2AD99D73" w14:textId="77777777" w:rsidR="005E099E" w:rsidRPr="00E86B67" w:rsidRDefault="005E099E" w:rsidP="005E099E">
            <w:pPr>
              <w:keepNext/>
              <w:numPr>
                <w:ilvl w:val="0"/>
                <w:numId w:val="2"/>
              </w:numPr>
              <w:tabs>
                <w:tab w:val="left" w:pos="567"/>
              </w:tabs>
              <w:rPr>
                <w:sz w:val="22"/>
                <w:szCs w:val="22"/>
              </w:rPr>
            </w:pPr>
            <w:r w:rsidRPr="00E86B67">
              <w:rPr>
                <w:sz w:val="22"/>
                <w:szCs w:val="22"/>
              </w:rPr>
              <w:t>ábra</w:t>
            </w:r>
          </w:p>
        </w:tc>
        <w:tc>
          <w:tcPr>
            <w:tcW w:w="3119" w:type="dxa"/>
          </w:tcPr>
          <w:p w14:paraId="797A06B6" w14:textId="77777777" w:rsidR="005E099E" w:rsidRPr="00E86B67" w:rsidRDefault="005E099E" w:rsidP="005E099E">
            <w:pPr>
              <w:keepNext/>
              <w:numPr>
                <w:ilvl w:val="0"/>
                <w:numId w:val="2"/>
              </w:numPr>
              <w:tabs>
                <w:tab w:val="left" w:pos="567"/>
              </w:tabs>
              <w:rPr>
                <w:sz w:val="22"/>
                <w:szCs w:val="22"/>
              </w:rPr>
            </w:pPr>
            <w:r w:rsidRPr="00E86B67">
              <w:rPr>
                <w:sz w:val="22"/>
                <w:szCs w:val="22"/>
              </w:rPr>
              <w:t>ábra</w:t>
            </w:r>
          </w:p>
        </w:tc>
      </w:tr>
      <w:tr w:rsidR="005E099E" w:rsidRPr="00E86B67" w14:paraId="3B294654" w14:textId="77777777" w:rsidTr="004B7FAC">
        <w:tc>
          <w:tcPr>
            <w:tcW w:w="3146" w:type="dxa"/>
          </w:tcPr>
          <w:p w14:paraId="637549E1" w14:textId="14FFEA48" w:rsidR="005E099E" w:rsidRPr="00E86B67" w:rsidRDefault="005E099E" w:rsidP="004B7FAC">
            <w:pPr>
              <w:keepNext/>
              <w:tabs>
                <w:tab w:val="left" w:pos="567"/>
              </w:tabs>
              <w:rPr>
                <w:sz w:val="22"/>
                <w:szCs w:val="22"/>
                <w:highlight w:val="yellow"/>
              </w:rPr>
            </w:pPr>
            <w:r w:rsidRPr="00E86B67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518AF5D9" wp14:editId="49C36D58">
                  <wp:extent cx="1828800" cy="1828800"/>
                  <wp:effectExtent l="0" t="0" r="0" b="0"/>
                  <wp:docPr id="1746567795" name="Picture 3" descr="A close-up of a bott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567795" name="Picture 3" descr="A close-up of a bott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7" w:type="dxa"/>
          </w:tcPr>
          <w:p w14:paraId="25A033E0" w14:textId="47B80F31" w:rsidR="005E099E" w:rsidRPr="00E86B67" w:rsidRDefault="005E099E" w:rsidP="004B7FAC">
            <w:pPr>
              <w:keepNext/>
              <w:tabs>
                <w:tab w:val="left" w:pos="567"/>
              </w:tabs>
              <w:rPr>
                <w:sz w:val="22"/>
                <w:szCs w:val="22"/>
                <w:highlight w:val="yellow"/>
              </w:rPr>
            </w:pPr>
            <w:r w:rsidRPr="00E86B67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5B0664C4" wp14:editId="55D43A0A">
                  <wp:extent cx="1828800" cy="1828800"/>
                  <wp:effectExtent l="0" t="0" r="0" b="0"/>
                  <wp:docPr id="1638974166" name="Picture 2" descr="A syringe and a glass bott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974166" name="Picture 2" descr="A syringe and a glass bott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14:paraId="0DF2EAE0" w14:textId="2CE5E87C" w:rsidR="005E099E" w:rsidRPr="00E86B67" w:rsidRDefault="005E099E" w:rsidP="004B7FAC">
            <w:pPr>
              <w:keepNext/>
              <w:tabs>
                <w:tab w:val="left" w:pos="567"/>
              </w:tabs>
              <w:rPr>
                <w:sz w:val="22"/>
                <w:szCs w:val="22"/>
                <w:highlight w:val="yellow"/>
              </w:rPr>
            </w:pPr>
            <w:r w:rsidRPr="00E86B67">
              <w:rPr>
                <w:noProof/>
                <w:sz w:val="22"/>
                <w:szCs w:val="22"/>
                <w:lang w:eastAsia="hu-HU"/>
              </w:rPr>
              <w:drawing>
                <wp:inline distT="0" distB="0" distL="0" distR="0" wp14:anchorId="1F54925D" wp14:editId="5CA234E6">
                  <wp:extent cx="1739900" cy="1739900"/>
                  <wp:effectExtent l="0" t="0" r="0" b="0"/>
                  <wp:docPr id="112650222" name="Picture 1" descr="A syringe with a glass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50222" name="Picture 1" descr="A syringe with a glass contain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900" cy="173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7BCBC6" w14:textId="77777777" w:rsidR="005E099E" w:rsidRPr="00472267" w:rsidRDefault="005E099E" w:rsidP="005E099E">
      <w:pPr>
        <w:tabs>
          <w:tab w:val="left" w:pos="567"/>
        </w:tabs>
        <w:ind w:left="426" w:hanging="409"/>
        <w:rPr>
          <w:sz w:val="22"/>
          <w:szCs w:val="22"/>
        </w:rPr>
      </w:pPr>
    </w:p>
    <w:p w14:paraId="5D453ACD" w14:textId="32DEE49B" w:rsidR="005E099E" w:rsidRPr="006408A4" w:rsidRDefault="005E099E" w:rsidP="005E099E">
      <w:pPr>
        <w:tabs>
          <w:tab w:val="left" w:pos="567"/>
        </w:tabs>
        <w:ind w:left="426" w:hanging="409"/>
        <w:rPr>
          <w:b/>
          <w:sz w:val="22"/>
          <w:szCs w:val="22"/>
        </w:rPr>
      </w:pPr>
      <w:r w:rsidRPr="006408A4">
        <w:rPr>
          <w:b/>
          <w:sz w:val="22"/>
          <w:szCs w:val="22"/>
        </w:rPr>
        <w:t xml:space="preserve">A Feiba NF injekció/infúzió legfeljebb </w:t>
      </w:r>
      <w:r w:rsidR="003B3931">
        <w:rPr>
          <w:b/>
          <w:sz w:val="22"/>
          <w:szCs w:val="22"/>
        </w:rPr>
        <w:t>10</w:t>
      </w:r>
      <w:r w:rsidRPr="006408A4">
        <w:rPr>
          <w:b/>
          <w:sz w:val="22"/>
          <w:szCs w:val="22"/>
        </w:rPr>
        <w:t> Egység/ttkg/perc sebességgel adható be!</w:t>
      </w:r>
    </w:p>
    <w:p w14:paraId="43EDBC70" w14:textId="77777777" w:rsidR="005E099E" w:rsidRPr="006408A4" w:rsidRDefault="005E099E" w:rsidP="005E099E">
      <w:pPr>
        <w:tabs>
          <w:tab w:val="left" w:pos="567"/>
        </w:tabs>
        <w:rPr>
          <w:sz w:val="22"/>
          <w:szCs w:val="22"/>
        </w:rPr>
      </w:pPr>
    </w:p>
    <w:p w14:paraId="1262F918" w14:textId="77777777" w:rsidR="005E099E" w:rsidRPr="00472267" w:rsidRDefault="005E099E" w:rsidP="005E099E">
      <w:pPr>
        <w:tabs>
          <w:tab w:val="left" w:pos="567"/>
        </w:tabs>
        <w:ind w:left="17"/>
        <w:rPr>
          <w:b/>
          <w:sz w:val="22"/>
          <w:szCs w:val="22"/>
        </w:rPr>
      </w:pPr>
      <w:r w:rsidRPr="00065090">
        <w:rPr>
          <w:b/>
          <w:sz w:val="22"/>
          <w:szCs w:val="22"/>
        </w:rPr>
        <w:t xml:space="preserve">Megjegyzés: </w:t>
      </w:r>
      <w:r w:rsidRPr="00472267">
        <w:rPr>
          <w:b/>
          <w:sz w:val="22"/>
          <w:szCs w:val="22"/>
        </w:rPr>
        <w:sym w:font="Wingdings" w:char="F058"/>
      </w:r>
      <w:r w:rsidRPr="00472267">
        <w:rPr>
          <w:b/>
          <w:sz w:val="22"/>
          <w:szCs w:val="22"/>
        </w:rPr>
        <w:t xml:space="preserve"> (egy keresztes)</w:t>
      </w:r>
    </w:p>
    <w:p w14:paraId="79FAD07A" w14:textId="77777777" w:rsidR="005E099E" w:rsidRPr="006408A4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3B5409">
        <w:rPr>
          <w:b/>
          <w:sz w:val="22"/>
          <w:szCs w:val="22"/>
        </w:rPr>
        <w:t>Osztályozás:</w:t>
      </w:r>
      <w:r w:rsidRPr="006408A4">
        <w:rPr>
          <w:sz w:val="22"/>
          <w:szCs w:val="22"/>
        </w:rPr>
        <w:t xml:space="preserve"> II./2 csoport</w:t>
      </w:r>
    </w:p>
    <w:p w14:paraId="261CD275" w14:textId="2BF4D258" w:rsidR="005E099E" w:rsidRPr="005E09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5E099E">
        <w:rPr>
          <w:sz w:val="22"/>
          <w:szCs w:val="22"/>
        </w:rPr>
        <w:t>Korlátozott érvényű orvosi rendelvényhez kötött, szakorvosi</w:t>
      </w:r>
      <w:r w:rsidR="00BB665C">
        <w:rPr>
          <w:sz w:val="22"/>
          <w:szCs w:val="22"/>
        </w:rPr>
        <w:t>/</w:t>
      </w:r>
      <w:r w:rsidRPr="005E099E">
        <w:rPr>
          <w:sz w:val="22"/>
          <w:szCs w:val="22"/>
        </w:rPr>
        <w:t>kórházi diagnózist követően folyamatos szakorvosi ellenőrzés mellett alkalmazható gyógyszer (Sz).</w:t>
      </w:r>
    </w:p>
    <w:p w14:paraId="3AC288FA" w14:textId="77777777" w:rsidR="005E099E" w:rsidRPr="005E099E" w:rsidRDefault="005E099E" w:rsidP="005E099E">
      <w:pPr>
        <w:tabs>
          <w:tab w:val="left" w:pos="567"/>
        </w:tabs>
        <w:ind w:left="17"/>
        <w:rPr>
          <w:bCs/>
          <w:iCs/>
          <w:sz w:val="22"/>
          <w:szCs w:val="22"/>
        </w:rPr>
      </w:pPr>
    </w:p>
    <w:p w14:paraId="540DBAAE" w14:textId="77777777" w:rsidR="005E099E" w:rsidRPr="005E099E" w:rsidRDefault="005E099E" w:rsidP="005E099E">
      <w:pPr>
        <w:pStyle w:val="Szvegtrzs"/>
        <w:tabs>
          <w:tab w:val="left" w:pos="567"/>
        </w:tabs>
        <w:spacing w:after="0"/>
        <w:ind w:left="17"/>
        <w:jc w:val="left"/>
        <w:rPr>
          <w:bCs/>
          <w:iCs/>
          <w:sz w:val="22"/>
          <w:szCs w:val="22"/>
        </w:rPr>
      </w:pPr>
    </w:p>
    <w:p w14:paraId="2DBF9993" w14:textId="77777777" w:rsidR="005E099E" w:rsidRPr="00C066DF" w:rsidRDefault="005E099E" w:rsidP="005E099E">
      <w:pPr>
        <w:tabs>
          <w:tab w:val="left" w:pos="567"/>
        </w:tabs>
        <w:ind w:left="17"/>
        <w:rPr>
          <w:b/>
          <w:bCs/>
          <w:sz w:val="22"/>
          <w:szCs w:val="22"/>
        </w:rPr>
      </w:pPr>
      <w:r w:rsidRPr="00C066DF">
        <w:rPr>
          <w:b/>
          <w:bCs/>
          <w:sz w:val="22"/>
          <w:szCs w:val="22"/>
        </w:rPr>
        <w:t>7.</w:t>
      </w:r>
      <w:r w:rsidRPr="00C066DF">
        <w:rPr>
          <w:b/>
          <w:bCs/>
          <w:sz w:val="22"/>
          <w:szCs w:val="22"/>
        </w:rPr>
        <w:tab/>
        <w:t>FORGALOMBA HOZATALI ENGEDÉLY JOGOSULTJA</w:t>
      </w:r>
    </w:p>
    <w:p w14:paraId="2A73799D" w14:textId="77777777" w:rsidR="005E099E" w:rsidRPr="00E86B67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2B0D5461" w14:textId="77777777" w:rsidR="005E099E" w:rsidRPr="00E46E35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46E35">
        <w:rPr>
          <w:sz w:val="22"/>
          <w:szCs w:val="22"/>
        </w:rPr>
        <w:t>Baxalta Innovations GmbH,</w:t>
      </w:r>
    </w:p>
    <w:p w14:paraId="396AC6A2" w14:textId="77777777" w:rsidR="005E099E" w:rsidRPr="00E46E35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46E35">
        <w:rPr>
          <w:sz w:val="22"/>
          <w:szCs w:val="22"/>
        </w:rPr>
        <w:t>Industriestrasse 67, 1221 Bécs</w:t>
      </w:r>
    </w:p>
    <w:p w14:paraId="505313EF" w14:textId="77777777" w:rsidR="005E099E" w:rsidRPr="00E46E35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  <w:r w:rsidRPr="00E46E35">
        <w:rPr>
          <w:sz w:val="22"/>
          <w:szCs w:val="22"/>
        </w:rPr>
        <w:t>Ausztria</w:t>
      </w:r>
    </w:p>
    <w:p w14:paraId="1E30A4EC" w14:textId="77777777" w:rsidR="005E099E" w:rsidRPr="00081D9E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4B33B731" w14:textId="77777777" w:rsidR="005E099E" w:rsidRPr="00824A5B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1A07BB41" w14:textId="77777777" w:rsidR="005E099E" w:rsidRPr="00BE28DC" w:rsidRDefault="005E099E" w:rsidP="005E099E">
      <w:pPr>
        <w:keepNext/>
        <w:tabs>
          <w:tab w:val="left" w:pos="567"/>
        </w:tabs>
        <w:ind w:left="17"/>
        <w:rPr>
          <w:b/>
          <w:bCs/>
          <w:sz w:val="22"/>
          <w:szCs w:val="22"/>
        </w:rPr>
      </w:pPr>
      <w:r w:rsidRPr="00BE28DC">
        <w:rPr>
          <w:b/>
          <w:bCs/>
          <w:sz w:val="22"/>
          <w:szCs w:val="22"/>
        </w:rPr>
        <w:t>8.</w:t>
      </w:r>
      <w:r w:rsidRPr="00BE28DC">
        <w:rPr>
          <w:b/>
          <w:bCs/>
          <w:sz w:val="22"/>
          <w:szCs w:val="22"/>
        </w:rPr>
        <w:tab/>
        <w:t>FORGALOMBA HOZATALI ENGEDÉLY SZÁMA(I)</w:t>
      </w:r>
    </w:p>
    <w:p w14:paraId="35A76808" w14:textId="77777777" w:rsidR="005E099E" w:rsidRPr="00C066DF" w:rsidRDefault="005E099E" w:rsidP="005E099E">
      <w:pPr>
        <w:tabs>
          <w:tab w:val="left" w:pos="567"/>
        </w:tabs>
        <w:ind w:left="17"/>
        <w:rPr>
          <w:bCs/>
          <w:sz w:val="22"/>
          <w:szCs w:val="22"/>
        </w:rPr>
      </w:pPr>
    </w:p>
    <w:p w14:paraId="057B584D" w14:textId="43B5813F" w:rsidR="00772D2F" w:rsidRPr="00772D2F" w:rsidRDefault="00772D2F" w:rsidP="00772D2F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OGYI-T-1804/04      1×</w:t>
      </w:r>
      <w:r w:rsidRPr="00772D2F">
        <w:rPr>
          <w:sz w:val="22"/>
          <w:szCs w:val="22"/>
        </w:rPr>
        <w:t xml:space="preserve">           port tartalmazó, butil gumidugóval lezárt I-es típusú átlátszó, színtelen injekciós üvegben (500 E) + oldószert tartalmazó, butil gumidugóval lezárt I-es típusú injekciós üvegben</w:t>
      </w:r>
    </w:p>
    <w:p w14:paraId="4F0866D9" w14:textId="12F754E6" w:rsidR="000321D4" w:rsidRDefault="00772D2F" w:rsidP="00772D2F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OGYI-T-1804/05      1×</w:t>
      </w:r>
      <w:bookmarkStart w:id="2" w:name="_GoBack"/>
      <w:bookmarkEnd w:id="2"/>
      <w:r w:rsidRPr="00772D2F">
        <w:rPr>
          <w:sz w:val="22"/>
          <w:szCs w:val="22"/>
        </w:rPr>
        <w:t xml:space="preserve">          port tartalmazó, butil gumidugóval lezárt II-es típusú átlátszó, színtelen injekciós üvegben (1000 E) + oldószert tartalmazó, butil gumidugóval lezárt I-es típusú injekciós üvegben</w:t>
      </w:r>
    </w:p>
    <w:p w14:paraId="7B99C07E" w14:textId="77777777" w:rsidR="00772D2F" w:rsidRPr="00E86B67" w:rsidRDefault="00772D2F" w:rsidP="000321D4">
      <w:pPr>
        <w:tabs>
          <w:tab w:val="left" w:pos="567"/>
        </w:tabs>
        <w:ind w:left="17"/>
        <w:rPr>
          <w:sz w:val="22"/>
          <w:szCs w:val="22"/>
        </w:rPr>
      </w:pPr>
    </w:p>
    <w:p w14:paraId="0320EC46" w14:textId="77777777" w:rsidR="005E099E" w:rsidRPr="00E86B67" w:rsidRDefault="005E099E" w:rsidP="005E099E">
      <w:pPr>
        <w:tabs>
          <w:tab w:val="left" w:pos="567"/>
        </w:tabs>
        <w:ind w:left="567" w:hanging="550"/>
        <w:rPr>
          <w:b/>
          <w:bCs/>
          <w:sz w:val="22"/>
          <w:szCs w:val="22"/>
        </w:rPr>
      </w:pPr>
      <w:r w:rsidRPr="00E86B67">
        <w:rPr>
          <w:b/>
          <w:bCs/>
          <w:sz w:val="22"/>
          <w:szCs w:val="22"/>
        </w:rPr>
        <w:t>9.</w:t>
      </w:r>
      <w:r w:rsidRPr="00E86B67">
        <w:rPr>
          <w:b/>
          <w:bCs/>
          <w:sz w:val="22"/>
          <w:szCs w:val="22"/>
        </w:rPr>
        <w:tab/>
        <w:t>A FORGALOMBA HOZATALI ENGEDÉLY KIADÁSÁNAK / MEGÚJÍTÁSÁNAK DÁTUMA</w:t>
      </w:r>
    </w:p>
    <w:p w14:paraId="2114FB12" w14:textId="77777777" w:rsidR="005E099E" w:rsidRPr="00E86B67" w:rsidRDefault="005E099E" w:rsidP="005E099E">
      <w:pPr>
        <w:tabs>
          <w:tab w:val="left" w:pos="567"/>
        </w:tabs>
        <w:ind w:left="17"/>
        <w:rPr>
          <w:bCs/>
          <w:sz w:val="22"/>
          <w:szCs w:val="22"/>
        </w:rPr>
      </w:pPr>
    </w:p>
    <w:p w14:paraId="3CF09983" w14:textId="59D00F3A" w:rsidR="005E099E" w:rsidRPr="00E86B67" w:rsidRDefault="005E099E" w:rsidP="005E099E">
      <w:pPr>
        <w:tabs>
          <w:tab w:val="left" w:pos="567"/>
        </w:tabs>
        <w:ind w:left="17"/>
        <w:rPr>
          <w:bCs/>
          <w:sz w:val="22"/>
          <w:szCs w:val="22"/>
        </w:rPr>
      </w:pPr>
      <w:r w:rsidRPr="00E86B67">
        <w:rPr>
          <w:bCs/>
          <w:sz w:val="22"/>
          <w:szCs w:val="22"/>
        </w:rPr>
        <w:t xml:space="preserve">A forgalomba hozatali engedély első kiadásának dátuma: </w:t>
      </w:r>
      <w:r w:rsidR="000321D4">
        <w:rPr>
          <w:bCs/>
          <w:sz w:val="22"/>
          <w:szCs w:val="22"/>
        </w:rPr>
        <w:t>2026. április 22.</w:t>
      </w:r>
    </w:p>
    <w:p w14:paraId="753E1B5E" w14:textId="77777777" w:rsidR="005E099E" w:rsidRPr="00E86B67" w:rsidRDefault="005E099E" w:rsidP="005E099E">
      <w:pPr>
        <w:tabs>
          <w:tab w:val="left" w:pos="567"/>
        </w:tabs>
        <w:ind w:left="17"/>
        <w:rPr>
          <w:bCs/>
          <w:sz w:val="22"/>
          <w:szCs w:val="22"/>
        </w:rPr>
      </w:pPr>
    </w:p>
    <w:p w14:paraId="31693B5B" w14:textId="77777777" w:rsidR="005E099E" w:rsidRPr="00E86B67" w:rsidRDefault="005E099E" w:rsidP="005E099E">
      <w:pPr>
        <w:tabs>
          <w:tab w:val="left" w:pos="567"/>
        </w:tabs>
        <w:ind w:left="17"/>
        <w:rPr>
          <w:bCs/>
          <w:sz w:val="22"/>
          <w:szCs w:val="22"/>
        </w:rPr>
      </w:pPr>
    </w:p>
    <w:p w14:paraId="2D16CE61" w14:textId="77777777" w:rsidR="005E099E" w:rsidRPr="00E86B67" w:rsidRDefault="005E099E" w:rsidP="005E099E">
      <w:pPr>
        <w:tabs>
          <w:tab w:val="left" w:pos="567"/>
        </w:tabs>
        <w:ind w:left="17"/>
        <w:rPr>
          <w:b/>
          <w:bCs/>
          <w:sz w:val="22"/>
          <w:szCs w:val="22"/>
        </w:rPr>
      </w:pPr>
      <w:r w:rsidRPr="00E86B67">
        <w:rPr>
          <w:b/>
          <w:bCs/>
          <w:sz w:val="22"/>
          <w:szCs w:val="22"/>
        </w:rPr>
        <w:t>10.</w:t>
      </w:r>
      <w:r w:rsidRPr="00E86B67">
        <w:rPr>
          <w:b/>
          <w:bCs/>
          <w:sz w:val="22"/>
          <w:szCs w:val="22"/>
        </w:rPr>
        <w:tab/>
        <w:t>A SZÖVEG ELLENŐRZÉSÉNEK DÁTUMA</w:t>
      </w:r>
    </w:p>
    <w:p w14:paraId="50A88DE5" w14:textId="77777777" w:rsidR="000321D4" w:rsidRDefault="000321D4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5EF8322F" w14:textId="6AB5847D" w:rsidR="005E099E" w:rsidRPr="00E86B67" w:rsidRDefault="000321D4" w:rsidP="005E099E">
      <w:pPr>
        <w:tabs>
          <w:tab w:val="left" w:pos="567"/>
        </w:tabs>
        <w:ind w:left="17"/>
        <w:rPr>
          <w:sz w:val="22"/>
          <w:szCs w:val="22"/>
        </w:rPr>
      </w:pPr>
      <w:r>
        <w:rPr>
          <w:sz w:val="22"/>
          <w:szCs w:val="22"/>
        </w:rPr>
        <w:t>2026. április 22.</w:t>
      </w:r>
    </w:p>
    <w:p w14:paraId="72AA11D5" w14:textId="5ED961E6" w:rsidR="005E099E" w:rsidRPr="0052493D" w:rsidRDefault="005E099E" w:rsidP="005E099E">
      <w:pPr>
        <w:tabs>
          <w:tab w:val="left" w:pos="567"/>
        </w:tabs>
        <w:ind w:left="17"/>
        <w:rPr>
          <w:sz w:val="22"/>
          <w:szCs w:val="22"/>
        </w:rPr>
      </w:pPr>
    </w:p>
    <w:p w14:paraId="5080C7AE" w14:textId="77777777" w:rsidR="00CD561F" w:rsidRDefault="00CD561F"/>
    <w:sectPr w:rsidR="00CD561F" w:rsidSect="005E099E">
      <w:headerReference w:type="default" r:id="rId14"/>
      <w:headerReference w:type="first" r:id="rId15"/>
      <w:footerReference w:type="first" r:id="rId16"/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74186F4" w16cex:dateUtc="2026-04-07T13:01:00Z"/>
  <w16cex:commentExtensible w16cex:durableId="4AF14F26" w16cex:dateUtc="2026-04-07T13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56FEC37" w16cid:durableId="656FEC37"/>
  <w16cid:commentId w16cid:paraId="029C04B7" w16cid:durableId="774186F4"/>
  <w16cid:commentId w16cid:paraId="7F33B838" w16cid:durableId="7F33B838"/>
  <w16cid:commentId w16cid:paraId="49DAFC98" w16cid:durableId="4AF14F2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08025" w14:textId="77777777" w:rsidR="00D4290A" w:rsidRDefault="00D4290A" w:rsidP="005E099E">
      <w:r>
        <w:separator/>
      </w:r>
    </w:p>
  </w:endnote>
  <w:endnote w:type="continuationSeparator" w:id="0">
    <w:p w14:paraId="4909C9E9" w14:textId="77777777" w:rsidR="00D4290A" w:rsidRDefault="00D4290A" w:rsidP="005E0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F7E90A" w14:textId="548D9D3B" w:rsidR="003B3931" w:rsidRPr="00030F4B" w:rsidRDefault="00B822CD" w:rsidP="00682FD9">
    <w:pPr>
      <w:pStyle w:val="llb"/>
      <w:rPr>
        <w:sz w:val="18"/>
        <w:szCs w:val="18"/>
      </w:rPr>
    </w:pPr>
    <w:r>
      <w:rPr>
        <w:sz w:val="18"/>
        <w:szCs w:val="18"/>
      </w:rPr>
      <w:t>NNGYK</w:t>
    </w:r>
    <w:r>
      <w:rPr>
        <w:sz w:val="18"/>
        <w:szCs w:val="18"/>
        <w:lang w:val="hu-HU"/>
      </w:rPr>
      <w:t>/</w:t>
    </w:r>
    <w:r>
      <w:rPr>
        <w:sz w:val="18"/>
        <w:szCs w:val="18"/>
      </w:rPr>
      <w:t>GYSZ</w:t>
    </w:r>
    <w:r>
      <w:rPr>
        <w:sz w:val="18"/>
        <w:szCs w:val="18"/>
        <w:lang w:val="hu-HU"/>
      </w:rPr>
      <w:t>/</w:t>
    </w:r>
    <w:r>
      <w:rPr>
        <w:sz w:val="18"/>
        <w:szCs w:val="18"/>
      </w:rPr>
      <w:t>54934</w:t>
    </w:r>
    <w:r>
      <w:rPr>
        <w:sz w:val="18"/>
        <w:szCs w:val="18"/>
        <w:lang w:val="hu-HU"/>
      </w:rPr>
      <w:t>/</w:t>
    </w:r>
    <w:r w:rsidRPr="00B822CD">
      <w:rPr>
        <w:sz w:val="18"/>
        <w:szCs w:val="18"/>
      </w:rPr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D865C" w14:textId="77777777" w:rsidR="00D4290A" w:rsidRDefault="00D4290A" w:rsidP="005E099E">
      <w:r>
        <w:separator/>
      </w:r>
    </w:p>
  </w:footnote>
  <w:footnote w:type="continuationSeparator" w:id="0">
    <w:p w14:paraId="3ABD82FB" w14:textId="77777777" w:rsidR="00D4290A" w:rsidRDefault="00D4290A" w:rsidP="005E099E">
      <w:r>
        <w:continuationSeparator/>
      </w:r>
    </w:p>
  </w:footnote>
  <w:footnote w:id="1">
    <w:p w14:paraId="017B13A4" w14:textId="77777777" w:rsidR="005E099E" w:rsidRDefault="005E099E" w:rsidP="005E099E">
      <w:pPr>
        <w:pStyle w:val="Lbjegyzetszveg"/>
        <w:spacing w:line="240" w:lineRule="auto"/>
        <w:ind w:left="142" w:hanging="142"/>
      </w:pPr>
      <w:r>
        <w:rPr>
          <w:rStyle w:val="Lbjegyzet-karakterek"/>
        </w:rPr>
        <w:t>*</w:t>
      </w:r>
      <w:r>
        <w:rPr>
          <w:lang w:val="hu-HU"/>
        </w:rPr>
        <w:tab/>
        <w:t xml:space="preserve">Bethesda egység: az antitest azon mennyisége, amely </w:t>
      </w:r>
      <w:smartTag w:uri="urn:schemas-microsoft-com:office:smarttags" w:element="metricconverter">
        <w:smartTagPr>
          <w:attr w:name="ProductID" w:val="37°C"/>
        </w:smartTagPr>
        <w:r>
          <w:rPr>
            <w:lang w:val="hu-HU"/>
          </w:rPr>
          <w:t>37°C</w:t>
        </w:r>
      </w:smartTag>
      <w:r>
        <w:rPr>
          <w:lang w:val="hu-HU"/>
        </w:rPr>
        <w:t xml:space="preserve"> hőmérsékleten, 2 órán keresztül inkubálva a friss normál emberi vérplazma VIII. faktor aktivitását 50%-kal csökkenti.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3E969" w14:textId="7794A2FF" w:rsidR="003B3931" w:rsidRDefault="005E099E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9AD2669" wp14:editId="7BEE147B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37490" cy="139700"/>
              <wp:effectExtent l="0" t="635" r="635" b="2540"/>
              <wp:wrapNone/>
              <wp:docPr id="253612700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90" cy="139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A76DF4" w14:textId="6CA6A0DF" w:rsidR="003B3931" w:rsidRPr="00AC6102" w:rsidRDefault="003B3931">
                          <w:pPr>
                            <w:pStyle w:val="lfej"/>
                            <w:rPr>
                              <w:sz w:val="18"/>
                              <w:szCs w:val="18"/>
                            </w:rPr>
                          </w:pPr>
                          <w:r w:rsidRPr="00AC6102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AC6102">
                            <w:rPr>
                              <w:rStyle w:val="Oldalszm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 w:rsidRPr="00AC6102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72D2F">
                            <w:rPr>
                              <w:rStyle w:val="Oldalszm"/>
                              <w:noProof/>
                              <w:sz w:val="18"/>
                              <w:szCs w:val="18"/>
                            </w:rPr>
                            <w:t>13</w:t>
                          </w:r>
                          <w:r w:rsidRPr="00AC6102">
                            <w:rPr>
                              <w:rStyle w:val="Oldalszm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AD266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.05pt;width:18.7pt;height:11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" stroked="f">
              <v:textbox inset="0,0,0,0">
                <w:txbxContent>
                  <w:p w14:paraId="32A76DF4" w14:textId="6CA6A0DF" w:rsidR="003B3931" w:rsidRPr="00AC6102" w:rsidRDefault="003B3931">
                    <w:pPr>
                      <w:pStyle w:val="lfej"/>
                      <w:rPr>
                        <w:sz w:val="18"/>
                        <w:szCs w:val="18"/>
                      </w:rPr>
                    </w:pPr>
                    <w:r w:rsidRPr="00AC6102">
                      <w:rPr>
                        <w:rStyle w:val="Oldalszm"/>
                        <w:sz w:val="18"/>
                        <w:szCs w:val="18"/>
                      </w:rPr>
                      <w:fldChar w:fldCharType="begin"/>
                    </w:r>
                    <w:r w:rsidRPr="00AC6102">
                      <w:rPr>
                        <w:rStyle w:val="Oldalszm"/>
                        <w:sz w:val="18"/>
                        <w:szCs w:val="18"/>
                      </w:rPr>
                      <w:instrText xml:space="preserve"> PAGE \*ARABIC </w:instrText>
                    </w:r>
                    <w:r w:rsidRPr="00AC6102">
                      <w:rPr>
                        <w:rStyle w:val="Oldalszm"/>
                        <w:sz w:val="18"/>
                        <w:szCs w:val="18"/>
                      </w:rPr>
                      <w:fldChar w:fldCharType="separate"/>
                    </w:r>
                    <w:r w:rsidR="00772D2F">
                      <w:rPr>
                        <w:rStyle w:val="Oldalszm"/>
                        <w:noProof/>
                        <w:sz w:val="18"/>
                        <w:szCs w:val="18"/>
                      </w:rPr>
                      <w:t>13</w:t>
                    </w:r>
                    <w:r w:rsidRPr="00AC6102">
                      <w:rPr>
                        <w:rStyle w:val="Oldalszm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32688" w14:textId="77777777" w:rsidR="003B3931" w:rsidRDefault="003B3931">
    <w:pPr>
      <w:pStyle w:val="lfej"/>
      <w:tabs>
        <w:tab w:val="clear" w:pos="4819"/>
        <w:tab w:val="clear" w:pos="9071"/>
        <w:tab w:val="left" w:pos="6700"/>
        <w:tab w:val="left" w:pos="7655"/>
      </w:tabs>
      <w:ind w:right="-367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37A4E"/>
    <w:multiLevelType w:val="hybridMultilevel"/>
    <w:tmpl w:val="44807614"/>
    <w:lvl w:ilvl="0" w:tplc="46BA9ACC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1C8A3792">
      <w:start w:val="1"/>
      <w:numFmt w:val="bullet"/>
      <w:lvlText w:val="–"/>
      <w:lvlJc w:val="left"/>
      <w:pPr>
        <w:tabs>
          <w:tab w:val="num" w:pos="567"/>
        </w:tabs>
        <w:ind w:left="567" w:hanging="567"/>
      </w:pPr>
      <w:rPr>
        <w:rFonts w:ascii="Gill Sans MT" w:hAnsi="Gill Sans MT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1" w15:restartNumberingAfterBreak="0">
    <w:nsid w:val="39ED6E68"/>
    <w:multiLevelType w:val="hybridMultilevel"/>
    <w:tmpl w:val="AACA80CA"/>
    <w:lvl w:ilvl="0" w:tplc="46BA9ACC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" w15:restartNumberingAfterBreak="0">
    <w:nsid w:val="4860597C"/>
    <w:multiLevelType w:val="hybridMultilevel"/>
    <w:tmpl w:val="CA7C80B0"/>
    <w:lvl w:ilvl="0" w:tplc="46BA9ACC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66CE815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2" w:tplc="51CC57C8">
      <w:start w:val="4"/>
      <w:numFmt w:val="bullet"/>
      <w:lvlText w:val=""/>
      <w:lvlJc w:val="left"/>
      <w:pPr>
        <w:ind w:left="2177" w:hanging="360"/>
      </w:pPr>
      <w:rPr>
        <w:rFonts w:ascii="Symbol" w:eastAsia="Times New Roman" w:hAnsi="Symbol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3" w15:restartNumberingAfterBreak="0">
    <w:nsid w:val="4AF01C59"/>
    <w:multiLevelType w:val="hybridMultilevel"/>
    <w:tmpl w:val="86DAC328"/>
    <w:lvl w:ilvl="0" w:tplc="46BA9ACC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4" w15:restartNumberingAfterBreak="0">
    <w:nsid w:val="536D505A"/>
    <w:multiLevelType w:val="hybridMultilevel"/>
    <w:tmpl w:val="A1B8864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14571AD"/>
    <w:multiLevelType w:val="hybridMultilevel"/>
    <w:tmpl w:val="901045A6"/>
    <w:lvl w:ilvl="0" w:tplc="CE949116">
      <w:start w:val="1"/>
      <w:numFmt w:val="decimal"/>
      <w:lvlText w:val="%1."/>
      <w:lvlJc w:val="left"/>
      <w:pPr>
        <w:ind w:left="37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3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9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  <w:rPr>
        <w:rFonts w:cs="Times New Roman"/>
      </w:rPr>
    </w:lvl>
  </w:abstractNum>
  <w:abstractNum w:abstractNumId="6" w15:restartNumberingAfterBreak="0">
    <w:nsid w:val="6B323DE6"/>
    <w:multiLevelType w:val="hybridMultilevel"/>
    <w:tmpl w:val="AF0E34C4"/>
    <w:lvl w:ilvl="0" w:tplc="137488EA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7D306C79"/>
    <w:multiLevelType w:val="hybridMultilevel"/>
    <w:tmpl w:val="66624ACC"/>
    <w:lvl w:ilvl="0" w:tplc="137488EA">
      <w:start w:val="1"/>
      <w:numFmt w:val="bullet"/>
      <w:lvlText w:val=""/>
      <w:lvlJc w:val="left"/>
      <w:pPr>
        <w:ind w:left="7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99E"/>
    <w:rsid w:val="000321D4"/>
    <w:rsid w:val="0003346A"/>
    <w:rsid w:val="0006312C"/>
    <w:rsid w:val="0006774C"/>
    <w:rsid w:val="00101851"/>
    <w:rsid w:val="00171461"/>
    <w:rsid w:val="00246541"/>
    <w:rsid w:val="00335CAD"/>
    <w:rsid w:val="003B3931"/>
    <w:rsid w:val="003B5409"/>
    <w:rsid w:val="003C6B16"/>
    <w:rsid w:val="004179A8"/>
    <w:rsid w:val="00485317"/>
    <w:rsid w:val="00547548"/>
    <w:rsid w:val="0055400B"/>
    <w:rsid w:val="005547A0"/>
    <w:rsid w:val="00566573"/>
    <w:rsid w:val="005E099E"/>
    <w:rsid w:val="00642D69"/>
    <w:rsid w:val="00726ED5"/>
    <w:rsid w:val="0076318F"/>
    <w:rsid w:val="00772D2F"/>
    <w:rsid w:val="00833125"/>
    <w:rsid w:val="00894C1C"/>
    <w:rsid w:val="008D3764"/>
    <w:rsid w:val="008D4C6A"/>
    <w:rsid w:val="009E0FA6"/>
    <w:rsid w:val="00AD0664"/>
    <w:rsid w:val="00B50E5A"/>
    <w:rsid w:val="00B63223"/>
    <w:rsid w:val="00B72B76"/>
    <w:rsid w:val="00B822CD"/>
    <w:rsid w:val="00BA36BF"/>
    <w:rsid w:val="00BB0474"/>
    <w:rsid w:val="00BB665C"/>
    <w:rsid w:val="00BC7F8A"/>
    <w:rsid w:val="00BF1211"/>
    <w:rsid w:val="00C2365E"/>
    <w:rsid w:val="00CC0FF3"/>
    <w:rsid w:val="00CD561F"/>
    <w:rsid w:val="00CE37DB"/>
    <w:rsid w:val="00D178F4"/>
    <w:rsid w:val="00D4290A"/>
    <w:rsid w:val="00DA6EFC"/>
    <w:rsid w:val="00E01D84"/>
    <w:rsid w:val="00FC08D9"/>
    <w:rsid w:val="00FD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  <w14:docId w14:val="130D6B80"/>
  <w15:chartTrackingRefBased/>
  <w15:docId w15:val="{E6912294-0979-4DDE-B46E-ADB26EF4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E099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5E09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5E09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5E09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E09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E09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E099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E099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E099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E099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5E09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semiHidden/>
    <w:rsid w:val="005E09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semiHidden/>
    <w:rsid w:val="005E09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E099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E099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E099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E099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E099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E099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E099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E09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E09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E09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E09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E099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E099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E099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E09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E099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E099E"/>
    <w:rPr>
      <w:b/>
      <w:bCs/>
      <w:smallCaps/>
      <w:color w:val="2F5496" w:themeColor="accent1" w:themeShade="BF"/>
      <w:spacing w:val="5"/>
    </w:rPr>
  </w:style>
  <w:style w:type="character" w:customStyle="1" w:styleId="Lbjegyzet-karakterek">
    <w:name w:val="Lábjegyzet-karakterek"/>
    <w:rsid w:val="005E099E"/>
    <w:rPr>
      <w:vertAlign w:val="superscript"/>
    </w:rPr>
  </w:style>
  <w:style w:type="character" w:customStyle="1" w:styleId="WW-Lbjegyzet-karakterek1111">
    <w:name w:val="WW-Lábjegyzet-karakterek1111"/>
    <w:rsid w:val="005E099E"/>
    <w:rPr>
      <w:vertAlign w:val="superscript"/>
    </w:rPr>
  </w:style>
  <w:style w:type="character" w:styleId="Oldalszm">
    <w:name w:val="page number"/>
    <w:rsid w:val="005E099E"/>
    <w:rPr>
      <w:rFonts w:cs="Times New Roman"/>
    </w:rPr>
  </w:style>
  <w:style w:type="paragraph" w:styleId="Szvegtrzs">
    <w:name w:val="Body Text"/>
    <w:basedOn w:val="Norml"/>
    <w:link w:val="SzvegtrzsChar"/>
    <w:rsid w:val="005E099E"/>
    <w:pPr>
      <w:spacing w:after="40"/>
      <w:jc w:val="both"/>
    </w:pPr>
    <w:rPr>
      <w:lang w:val="x-none"/>
    </w:rPr>
  </w:style>
  <w:style w:type="character" w:customStyle="1" w:styleId="SzvegtrzsChar">
    <w:name w:val="Szövegtörzs Char"/>
    <w:basedOn w:val="Bekezdsalapbettpusa"/>
    <w:link w:val="Szvegtrzs"/>
    <w:rsid w:val="005E099E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lfej">
    <w:name w:val="header"/>
    <w:basedOn w:val="Norml"/>
    <w:link w:val="lfejChar"/>
    <w:rsid w:val="005E099E"/>
    <w:pPr>
      <w:tabs>
        <w:tab w:val="center" w:pos="4819"/>
        <w:tab w:val="right" w:pos="9071"/>
      </w:tabs>
    </w:pPr>
    <w:rPr>
      <w:lang w:val="x-none"/>
    </w:rPr>
  </w:style>
  <w:style w:type="character" w:customStyle="1" w:styleId="lfejChar">
    <w:name w:val="Élőfej Char"/>
    <w:basedOn w:val="Bekezdsalapbettpusa"/>
    <w:link w:val="lfej"/>
    <w:rsid w:val="005E099E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llb">
    <w:name w:val="footer"/>
    <w:basedOn w:val="Norml"/>
    <w:link w:val="llbChar"/>
    <w:rsid w:val="005E099E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basedOn w:val="Bekezdsalapbettpusa"/>
    <w:link w:val="llb"/>
    <w:rsid w:val="005E099E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customStyle="1" w:styleId="01">
    <w:name w:val="01"/>
    <w:basedOn w:val="Norml"/>
    <w:rsid w:val="005E099E"/>
    <w:pPr>
      <w:spacing w:before="240" w:after="120" w:line="264" w:lineRule="auto"/>
      <w:ind w:hanging="425"/>
    </w:pPr>
    <w:rPr>
      <w:b/>
      <w:kern w:val="1"/>
      <w:sz w:val="24"/>
      <w:lang w:val="en-US"/>
    </w:rPr>
  </w:style>
  <w:style w:type="paragraph" w:styleId="Szvegtrzsbehzssal">
    <w:name w:val="Body Text Indent"/>
    <w:basedOn w:val="Norml"/>
    <w:link w:val="SzvegtrzsbehzssalChar"/>
    <w:rsid w:val="005E099E"/>
    <w:pPr>
      <w:tabs>
        <w:tab w:val="left" w:pos="709"/>
      </w:tabs>
      <w:spacing w:before="240" w:after="120"/>
      <w:ind w:left="709"/>
      <w:jc w:val="both"/>
    </w:pPr>
    <w:rPr>
      <w:lang w:val="x-none"/>
    </w:rPr>
  </w:style>
  <w:style w:type="character" w:customStyle="1" w:styleId="SzvegtrzsbehzssalChar">
    <w:name w:val="Szövegtörzs behúzással Char"/>
    <w:basedOn w:val="Bekezdsalapbettpusa"/>
    <w:link w:val="Szvegtrzsbehzssal"/>
    <w:rsid w:val="005E099E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customStyle="1" w:styleId="WW-Szvegtrzsbehzssal3">
    <w:name w:val="WW-Szövegtörzs behúzással 3"/>
    <w:basedOn w:val="Norml"/>
    <w:rsid w:val="005E099E"/>
    <w:pPr>
      <w:ind w:left="284" w:hanging="284"/>
      <w:jc w:val="both"/>
    </w:pPr>
    <w:rPr>
      <w:sz w:val="22"/>
    </w:rPr>
  </w:style>
  <w:style w:type="paragraph" w:customStyle="1" w:styleId="02">
    <w:name w:val="02"/>
    <w:basedOn w:val="Norml"/>
    <w:rsid w:val="005E099E"/>
    <w:pPr>
      <w:spacing w:before="120" w:after="120" w:line="264" w:lineRule="auto"/>
      <w:ind w:hanging="426"/>
    </w:pPr>
    <w:rPr>
      <w:b/>
      <w:kern w:val="1"/>
      <w:sz w:val="24"/>
      <w:lang w:val="en-US"/>
    </w:rPr>
  </w:style>
  <w:style w:type="paragraph" w:styleId="Lbjegyzetszveg">
    <w:name w:val="footnote text"/>
    <w:basedOn w:val="Norml"/>
    <w:link w:val="LbjegyzetszvegChar"/>
    <w:semiHidden/>
    <w:rsid w:val="005E099E"/>
    <w:pPr>
      <w:spacing w:line="264" w:lineRule="auto"/>
    </w:pPr>
    <w:rPr>
      <w:lang w:val="x-none"/>
    </w:rPr>
  </w:style>
  <w:style w:type="character" w:customStyle="1" w:styleId="LbjegyzetszvegChar">
    <w:name w:val="Lábjegyzetszöveg Char"/>
    <w:basedOn w:val="Bekezdsalapbettpusa"/>
    <w:link w:val="Lbjegyzetszveg"/>
    <w:semiHidden/>
    <w:rsid w:val="005E099E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Vgjegyzetszvege">
    <w:name w:val="endnote text"/>
    <w:basedOn w:val="Norml"/>
    <w:next w:val="Norml"/>
    <w:link w:val="VgjegyzetszvegeChar"/>
    <w:semiHidden/>
    <w:rsid w:val="005E099E"/>
    <w:pPr>
      <w:spacing w:line="260" w:lineRule="atLeast"/>
    </w:pPr>
    <w:rPr>
      <w:lang w:val="x-none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5E099E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Szvegtrzs2">
    <w:name w:val="Body Text 2"/>
    <w:basedOn w:val="Norml"/>
    <w:link w:val="Szvegtrzs2Char"/>
    <w:rsid w:val="005E099E"/>
    <w:pPr>
      <w:tabs>
        <w:tab w:val="left" w:pos="8640"/>
      </w:tabs>
    </w:pPr>
    <w:rPr>
      <w:lang w:val="x-none"/>
    </w:rPr>
  </w:style>
  <w:style w:type="character" w:customStyle="1" w:styleId="Szvegtrzs2Char">
    <w:name w:val="Szövegtörzs 2 Char"/>
    <w:basedOn w:val="Bekezdsalapbettpusa"/>
    <w:link w:val="Szvegtrzs2"/>
    <w:rsid w:val="005E099E"/>
    <w:rPr>
      <w:rFonts w:ascii="Times New Roman" w:eastAsia="Times New Roman" w:hAnsi="Times New Roman" w:cs="Times New Roman"/>
      <w:kern w:val="0"/>
      <w:sz w:val="20"/>
      <w:szCs w:val="20"/>
      <w:lang w:val="x-none" w:eastAsia="ar-SA"/>
      <w14:ligatures w14:val="none"/>
    </w:rPr>
  </w:style>
  <w:style w:type="paragraph" w:styleId="Buborkszveg">
    <w:name w:val="Balloon Text"/>
    <w:basedOn w:val="Norml"/>
    <w:link w:val="BuborkszvegChar"/>
    <w:semiHidden/>
    <w:rsid w:val="005E099E"/>
    <w:rPr>
      <w:sz w:val="22"/>
      <w:lang w:val="x-none"/>
    </w:rPr>
  </w:style>
  <w:style w:type="character" w:customStyle="1" w:styleId="BuborkszvegChar">
    <w:name w:val="Buborékszöveg Char"/>
    <w:basedOn w:val="Bekezdsalapbettpusa"/>
    <w:link w:val="Buborkszveg"/>
    <w:semiHidden/>
    <w:rsid w:val="005E099E"/>
    <w:rPr>
      <w:rFonts w:ascii="Times New Roman" w:eastAsia="Times New Roman" w:hAnsi="Times New Roman" w:cs="Times New Roman"/>
      <w:kern w:val="0"/>
      <w:szCs w:val="20"/>
      <w:lang w:val="x-none" w:eastAsia="ar-SA"/>
      <w14:ligatures w14:val="none"/>
    </w:rPr>
  </w:style>
  <w:style w:type="character" w:customStyle="1" w:styleId="tw4winExternal">
    <w:name w:val="tw4winExternal"/>
    <w:rsid w:val="005E099E"/>
    <w:rPr>
      <w:rFonts w:ascii="Courier New" w:hAnsi="Courier New"/>
      <w:noProof/>
      <w:color w:val="808080"/>
    </w:rPr>
  </w:style>
  <w:style w:type="paragraph" w:customStyle="1" w:styleId="WW-NormlWeb">
    <w:name w:val="WW-Normál (Web)"/>
    <w:basedOn w:val="Norml"/>
    <w:rsid w:val="005E099E"/>
    <w:pPr>
      <w:spacing w:before="100" w:after="119" w:line="260" w:lineRule="atLeast"/>
    </w:pPr>
    <w:rPr>
      <w:rFonts w:ascii="Arial Unicode MS" w:eastAsia="Arial Unicode MS" w:hAnsi="Arial Unicode MS"/>
      <w:sz w:val="24"/>
    </w:rPr>
  </w:style>
  <w:style w:type="character" w:styleId="Hiperhivatkozs">
    <w:name w:val="Hyperlink"/>
    <w:rsid w:val="005E099E"/>
    <w:rPr>
      <w:color w:val="0000FF"/>
      <w:u w:val="single"/>
    </w:rPr>
  </w:style>
  <w:style w:type="paragraph" w:styleId="Vltozat">
    <w:name w:val="Revision"/>
    <w:hidden/>
    <w:uiPriority w:val="99"/>
    <w:semiHidden/>
    <w:rsid w:val="003B393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D178F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178F4"/>
  </w:style>
  <w:style w:type="character" w:customStyle="1" w:styleId="JegyzetszvegChar">
    <w:name w:val="Jegyzetszöveg Char"/>
    <w:basedOn w:val="Bekezdsalapbettpusa"/>
    <w:link w:val="Jegyzetszveg"/>
    <w:uiPriority w:val="99"/>
    <w:rsid w:val="00D178F4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178F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178F4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styleId="Mrltotthiperhivatkozs">
    <w:name w:val="FollowedHyperlink"/>
    <w:basedOn w:val="Bekezdsalapbettpusa"/>
    <w:uiPriority w:val="99"/>
    <w:semiHidden/>
    <w:unhideWhenUsed/>
    <w:rsid w:val="00CC0FF3"/>
    <w:rPr>
      <w:color w:val="954F72" w:themeColor="followedHyperlink"/>
      <w:u w:val="single"/>
    </w:rPr>
  </w:style>
  <w:style w:type="paragraph" w:customStyle="1" w:styleId="DocText">
    <w:name w:val="Doc Text"/>
    <w:basedOn w:val="Norml"/>
    <w:rsid w:val="0003346A"/>
    <w:pPr>
      <w:suppressAutoHyphens w:val="0"/>
      <w:spacing w:before="120" w:after="240" w:line="288" w:lineRule="auto"/>
    </w:pPr>
    <w:rPr>
      <w:rFonts w:eastAsia="Batang"/>
      <w:sz w:val="24"/>
      <w:szCs w:val="24"/>
      <w:lang w:val="en-US" w:eastAsia="en-US"/>
    </w:rPr>
  </w:style>
  <w:style w:type="paragraph" w:customStyle="1" w:styleId="Default">
    <w:name w:val="Default"/>
    <w:rsid w:val="000334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  <w:style w:type="character" w:styleId="Helyrzszveg">
    <w:name w:val="Placeholder Text"/>
    <w:basedOn w:val="Bekezdsalapbettpusa"/>
    <w:uiPriority w:val="99"/>
    <w:semiHidden/>
    <w:rsid w:val="001714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microsoft.com/office/2016/09/relationships/commentsIds" Target="commentsId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19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4402</Words>
  <Characters>30379</Characters>
  <Application>Microsoft Office Word</Application>
  <DocSecurity>0</DocSecurity>
  <Lines>253</Lines>
  <Paragraphs>69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 Takeda</dc:creator>
  <cp:keywords/>
  <dc:description/>
  <cp:lastModifiedBy>HU_OGYI_7.1</cp:lastModifiedBy>
  <cp:revision>5</cp:revision>
  <dcterms:created xsi:type="dcterms:W3CDTF">2026-04-07T13:03:00Z</dcterms:created>
  <dcterms:modified xsi:type="dcterms:W3CDTF">2026-04-22T13:30:00Z</dcterms:modified>
</cp:coreProperties>
</file>