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B6600" w14:textId="77777777" w:rsidR="00835B06" w:rsidRDefault="004D03F7">
      <w:pPr>
        <w:ind w:left="567" w:hanging="567"/>
        <w:rPr>
          <w:b/>
          <w:szCs w:val="22"/>
          <w:lang w:val="hu-HU"/>
        </w:rPr>
      </w:pPr>
      <w:r>
        <w:rPr>
          <w:b/>
          <w:szCs w:val="22"/>
          <w:lang w:val="hu-HU"/>
        </w:rPr>
        <w:t>1.</w:t>
      </w:r>
      <w:r>
        <w:rPr>
          <w:b/>
          <w:szCs w:val="22"/>
          <w:lang w:val="hu-HU"/>
        </w:rPr>
        <w:tab/>
        <w:t>A GYÓGYSZER NEVE</w:t>
      </w:r>
    </w:p>
    <w:p w14:paraId="2614EAEA" w14:textId="77777777" w:rsidR="00835B06" w:rsidRDefault="00835B06">
      <w:pPr>
        <w:widowControl w:val="0"/>
        <w:tabs>
          <w:tab w:val="left" w:pos="567"/>
        </w:tabs>
        <w:rPr>
          <w:iCs/>
          <w:szCs w:val="22"/>
          <w:lang w:val="hu-HU" w:eastAsia="en-US"/>
        </w:rPr>
      </w:pPr>
    </w:p>
    <w:p w14:paraId="0B84CF7A" w14:textId="77777777" w:rsidR="00835B06" w:rsidRDefault="004D03F7">
      <w:pPr>
        <w:widowControl w:val="0"/>
        <w:tabs>
          <w:tab w:val="left" w:pos="567"/>
        </w:tabs>
        <w:rPr>
          <w:szCs w:val="22"/>
          <w:lang w:val="hu-HU" w:eastAsia="en-US"/>
        </w:rPr>
      </w:pPr>
      <w:r>
        <w:rPr>
          <w:szCs w:val="22"/>
          <w:lang w:val="hu-HU" w:eastAsia="en-US"/>
        </w:rPr>
        <w:t>Roxera Plus 5 mg/10 mg filmtabletta</w:t>
      </w:r>
    </w:p>
    <w:p w14:paraId="01184534" w14:textId="77777777" w:rsidR="00835B06" w:rsidRDefault="004D03F7">
      <w:pPr>
        <w:widowControl w:val="0"/>
        <w:tabs>
          <w:tab w:val="left" w:pos="567"/>
        </w:tabs>
        <w:rPr>
          <w:szCs w:val="22"/>
          <w:lang w:val="hu-HU" w:eastAsia="en-US"/>
        </w:rPr>
      </w:pPr>
      <w:r>
        <w:rPr>
          <w:szCs w:val="22"/>
          <w:lang w:val="hu-HU" w:eastAsia="en-US"/>
        </w:rPr>
        <w:t>Roxera Plus 10 mg/10 mg filmtabletta</w:t>
      </w:r>
    </w:p>
    <w:p w14:paraId="1B23931E" w14:textId="77777777" w:rsidR="00835B06" w:rsidRDefault="004D03F7">
      <w:pPr>
        <w:widowControl w:val="0"/>
        <w:tabs>
          <w:tab w:val="left" w:pos="567"/>
        </w:tabs>
        <w:rPr>
          <w:szCs w:val="22"/>
          <w:lang w:val="hu-HU" w:eastAsia="en-US"/>
        </w:rPr>
      </w:pPr>
      <w:r>
        <w:rPr>
          <w:szCs w:val="22"/>
          <w:lang w:val="hu-HU" w:eastAsia="en-US"/>
        </w:rPr>
        <w:t>Roxera Plus 15 mg/10 mg filmtabletta</w:t>
      </w:r>
    </w:p>
    <w:p w14:paraId="3ECF945B" w14:textId="77777777" w:rsidR="00835B06" w:rsidRDefault="004D03F7">
      <w:pPr>
        <w:widowControl w:val="0"/>
        <w:tabs>
          <w:tab w:val="left" w:pos="567"/>
        </w:tabs>
        <w:rPr>
          <w:szCs w:val="22"/>
          <w:lang w:val="hu-HU" w:eastAsia="en-US"/>
        </w:rPr>
      </w:pPr>
      <w:r>
        <w:rPr>
          <w:szCs w:val="22"/>
          <w:lang w:val="hu-HU" w:eastAsia="en-US"/>
        </w:rPr>
        <w:t>Roxera Plus 20 mg/10 mg filmtabletta</w:t>
      </w:r>
    </w:p>
    <w:p w14:paraId="3C7B3DB7" w14:textId="77777777" w:rsidR="00835B06" w:rsidRDefault="004D03F7">
      <w:pPr>
        <w:widowControl w:val="0"/>
        <w:tabs>
          <w:tab w:val="left" w:pos="567"/>
        </w:tabs>
        <w:rPr>
          <w:szCs w:val="22"/>
          <w:lang w:val="hu-HU" w:eastAsia="en-US"/>
        </w:rPr>
      </w:pPr>
      <w:r>
        <w:rPr>
          <w:szCs w:val="22"/>
          <w:lang w:val="hu-HU" w:eastAsia="en-US"/>
        </w:rPr>
        <w:t>Roxera Plus 30 mg/10 mg filmtabletta</w:t>
      </w:r>
    </w:p>
    <w:p w14:paraId="5EFB5EC2" w14:textId="77777777" w:rsidR="00835B06" w:rsidRDefault="004D03F7">
      <w:pPr>
        <w:widowControl w:val="0"/>
        <w:tabs>
          <w:tab w:val="left" w:pos="567"/>
        </w:tabs>
        <w:rPr>
          <w:szCs w:val="22"/>
          <w:lang w:val="hu-HU" w:eastAsia="en-US"/>
        </w:rPr>
      </w:pPr>
      <w:r>
        <w:rPr>
          <w:szCs w:val="22"/>
          <w:lang w:val="hu-HU" w:eastAsia="en-US"/>
        </w:rPr>
        <w:t>Roxera Plus 40 mg/10 mg filmtabletta</w:t>
      </w:r>
    </w:p>
    <w:p w14:paraId="6C6F2B0A" w14:textId="77777777" w:rsidR="00835B06" w:rsidRDefault="00835B06">
      <w:pPr>
        <w:widowControl w:val="0"/>
        <w:tabs>
          <w:tab w:val="left" w:pos="567"/>
        </w:tabs>
        <w:rPr>
          <w:b/>
          <w:szCs w:val="22"/>
          <w:lang w:val="hu-HU" w:eastAsia="en-US"/>
        </w:rPr>
      </w:pPr>
    </w:p>
    <w:p w14:paraId="7FD3146B" w14:textId="77777777" w:rsidR="00835B06" w:rsidRDefault="00835B06">
      <w:pPr>
        <w:widowControl w:val="0"/>
        <w:tabs>
          <w:tab w:val="left" w:pos="567"/>
        </w:tabs>
        <w:rPr>
          <w:b/>
          <w:szCs w:val="22"/>
          <w:lang w:val="hu-HU" w:eastAsia="en-US"/>
        </w:rPr>
      </w:pPr>
    </w:p>
    <w:p w14:paraId="5FC33B64" w14:textId="77777777" w:rsidR="00835B06" w:rsidRDefault="004D03F7">
      <w:pPr>
        <w:ind w:left="567" w:hanging="567"/>
        <w:rPr>
          <w:b/>
          <w:szCs w:val="22"/>
          <w:lang w:val="hu-HU"/>
        </w:rPr>
      </w:pPr>
      <w:r>
        <w:rPr>
          <w:b/>
          <w:szCs w:val="22"/>
          <w:lang w:val="hu-HU"/>
        </w:rPr>
        <w:t>2.</w:t>
      </w:r>
      <w:r>
        <w:rPr>
          <w:b/>
          <w:szCs w:val="22"/>
          <w:lang w:val="hu-HU"/>
        </w:rPr>
        <w:tab/>
        <w:t>MINŐSÉGI ÉS MENNYISÉGI ÖSSZETÉTEL</w:t>
      </w:r>
    </w:p>
    <w:p w14:paraId="5FCA422B" w14:textId="77777777" w:rsidR="00835B06" w:rsidRDefault="00835B06">
      <w:pPr>
        <w:widowControl w:val="0"/>
        <w:tabs>
          <w:tab w:val="left" w:pos="567"/>
        </w:tabs>
        <w:rPr>
          <w:szCs w:val="22"/>
          <w:lang w:val="hu-HU" w:eastAsia="en-US"/>
        </w:rPr>
      </w:pPr>
    </w:p>
    <w:p w14:paraId="6D595977" w14:textId="77777777" w:rsidR="00835B06" w:rsidRDefault="004D03F7">
      <w:pPr>
        <w:widowControl w:val="0"/>
        <w:autoSpaceDE w:val="0"/>
        <w:autoSpaceDN w:val="0"/>
        <w:adjustRightInd w:val="0"/>
        <w:rPr>
          <w:szCs w:val="22"/>
          <w:lang w:val="hu-HU" w:eastAsia="en-US"/>
        </w:rPr>
      </w:pPr>
      <w:r>
        <w:rPr>
          <w:szCs w:val="22"/>
          <w:u w:val="single"/>
          <w:lang w:val="hu-HU" w:eastAsia="en-US"/>
        </w:rPr>
        <w:t>Roxera Plus 5 mg/10 mg filmtabletta</w:t>
      </w:r>
      <w:r>
        <w:rPr>
          <w:szCs w:val="22"/>
          <w:lang w:val="hu-HU" w:eastAsia="en-US"/>
        </w:rPr>
        <w:t>: 5 mg rozuvasztatint (rozuvasztatin-kalcium formájában) és 10 mg ezetimibet tartalmaz filmtablettánként.</w:t>
      </w:r>
    </w:p>
    <w:p w14:paraId="17CA0F03" w14:textId="77777777" w:rsidR="00835B06" w:rsidRDefault="004D03F7">
      <w:pPr>
        <w:widowControl w:val="0"/>
        <w:autoSpaceDE w:val="0"/>
        <w:autoSpaceDN w:val="0"/>
        <w:adjustRightInd w:val="0"/>
        <w:rPr>
          <w:szCs w:val="22"/>
          <w:lang w:val="hu-HU" w:eastAsia="en-US"/>
        </w:rPr>
      </w:pPr>
      <w:r>
        <w:rPr>
          <w:szCs w:val="22"/>
          <w:u w:val="single"/>
          <w:lang w:val="hu-HU" w:eastAsia="en-US"/>
        </w:rPr>
        <w:t>Roxera Plus 10 mg/10 mg filmtabletta</w:t>
      </w:r>
      <w:r>
        <w:rPr>
          <w:szCs w:val="22"/>
          <w:lang w:val="hu-HU" w:eastAsia="en-US"/>
        </w:rPr>
        <w:t>: 10 mg rozuvasztatint (rozuvasztatin-kalcium formájában) és 10 mg ezetimibet tartalmaz filmtablettánként.</w:t>
      </w:r>
    </w:p>
    <w:p w14:paraId="3DAEA568" w14:textId="77777777" w:rsidR="00835B06" w:rsidRDefault="004D03F7">
      <w:pPr>
        <w:widowControl w:val="0"/>
        <w:autoSpaceDE w:val="0"/>
        <w:autoSpaceDN w:val="0"/>
        <w:adjustRightInd w:val="0"/>
        <w:rPr>
          <w:szCs w:val="22"/>
          <w:lang w:val="hu-HU" w:eastAsia="en-US"/>
        </w:rPr>
      </w:pPr>
      <w:r>
        <w:rPr>
          <w:szCs w:val="22"/>
          <w:u w:val="single"/>
          <w:lang w:val="hu-HU" w:eastAsia="en-US"/>
        </w:rPr>
        <w:t>Roxera Plus 15 mg/10 mg filmtabletta</w:t>
      </w:r>
      <w:r>
        <w:rPr>
          <w:szCs w:val="22"/>
          <w:lang w:val="hu-HU" w:eastAsia="en-US"/>
        </w:rPr>
        <w:t>: 15 mg rozuvasztatint (rozuvasztatin-kalcium formájában) és 10 mg ezetimibet tartalmaz filmtablettánként.</w:t>
      </w:r>
    </w:p>
    <w:p w14:paraId="700C4CE9" w14:textId="77777777" w:rsidR="00835B06" w:rsidRDefault="004D03F7">
      <w:pPr>
        <w:widowControl w:val="0"/>
        <w:autoSpaceDE w:val="0"/>
        <w:autoSpaceDN w:val="0"/>
        <w:adjustRightInd w:val="0"/>
        <w:rPr>
          <w:szCs w:val="22"/>
          <w:lang w:val="hu-HU" w:eastAsia="en-US"/>
        </w:rPr>
      </w:pPr>
      <w:r>
        <w:rPr>
          <w:szCs w:val="22"/>
          <w:u w:val="single"/>
          <w:lang w:val="hu-HU" w:eastAsia="en-US"/>
        </w:rPr>
        <w:t>Roxera Plus 20 mg/10 mg filmtabletta</w:t>
      </w:r>
      <w:r>
        <w:rPr>
          <w:szCs w:val="22"/>
          <w:lang w:val="hu-HU" w:eastAsia="en-US"/>
        </w:rPr>
        <w:t>: 20 mg rozuvasztatint (rozuvasztatin-kalcium formájában) és 10 mg ezetimibet tartalmaz filmtablettánként.</w:t>
      </w:r>
    </w:p>
    <w:p w14:paraId="22EF8773" w14:textId="77777777" w:rsidR="00835B06" w:rsidRDefault="004D03F7">
      <w:pPr>
        <w:widowControl w:val="0"/>
        <w:autoSpaceDE w:val="0"/>
        <w:autoSpaceDN w:val="0"/>
        <w:adjustRightInd w:val="0"/>
        <w:rPr>
          <w:szCs w:val="22"/>
          <w:lang w:val="hu-HU" w:eastAsia="en-US"/>
        </w:rPr>
      </w:pPr>
      <w:r>
        <w:rPr>
          <w:szCs w:val="22"/>
          <w:u w:val="single"/>
          <w:lang w:val="hu-HU" w:eastAsia="en-US"/>
        </w:rPr>
        <w:t>Roxera Plus 30 mg/10 mg filmtabletta</w:t>
      </w:r>
      <w:r>
        <w:rPr>
          <w:szCs w:val="22"/>
          <w:lang w:val="hu-HU" w:eastAsia="en-US"/>
        </w:rPr>
        <w:t>: 30 mg rozuvasztatint (rozuvasztatin-kalcium formájában) és 10 mg ezetimibet tartalmaz filmtablettánként.</w:t>
      </w:r>
    </w:p>
    <w:p w14:paraId="5A2C038B" w14:textId="77777777" w:rsidR="00835B06" w:rsidRDefault="004D03F7">
      <w:pPr>
        <w:widowControl w:val="0"/>
        <w:autoSpaceDE w:val="0"/>
        <w:autoSpaceDN w:val="0"/>
        <w:adjustRightInd w:val="0"/>
        <w:rPr>
          <w:szCs w:val="22"/>
          <w:lang w:val="hu-HU" w:eastAsia="en-US"/>
        </w:rPr>
      </w:pPr>
      <w:r>
        <w:rPr>
          <w:szCs w:val="22"/>
          <w:u w:val="single"/>
          <w:lang w:val="hu-HU" w:eastAsia="en-US"/>
        </w:rPr>
        <w:t>Roxera Plus 40 mg/10 mg filmtabletta</w:t>
      </w:r>
      <w:r>
        <w:rPr>
          <w:szCs w:val="22"/>
          <w:lang w:val="hu-HU" w:eastAsia="en-US"/>
        </w:rPr>
        <w:t>: 40 mg rozuvasztatint (rozuvasztatin-kalcium formájában) és 10 mg ezetimibet tartalmaz filmtablettánként.</w:t>
      </w:r>
    </w:p>
    <w:p w14:paraId="6590D13F" w14:textId="77777777" w:rsidR="00835B06" w:rsidRDefault="00835B06">
      <w:pPr>
        <w:widowControl w:val="0"/>
        <w:autoSpaceDE w:val="0"/>
        <w:autoSpaceDN w:val="0"/>
        <w:adjustRightInd w:val="0"/>
        <w:rPr>
          <w:bCs/>
          <w:szCs w:val="22"/>
          <w:lang w:val="hu-HU" w:eastAsia="en-US"/>
        </w:rPr>
      </w:pPr>
    </w:p>
    <w:p w14:paraId="7FB85159" w14:textId="77777777" w:rsidR="00835B06" w:rsidRDefault="004D03F7">
      <w:pPr>
        <w:rPr>
          <w:iCs/>
          <w:szCs w:val="22"/>
          <w:u w:val="single"/>
          <w:lang w:val="hu-HU"/>
        </w:rPr>
      </w:pPr>
      <w:r>
        <w:rPr>
          <w:iCs/>
          <w:szCs w:val="22"/>
          <w:u w:val="single"/>
          <w:lang w:val="hu-HU"/>
        </w:rPr>
        <w:t>Ismert hatású segédanyagok:</w:t>
      </w:r>
    </w:p>
    <w:p w14:paraId="5D15C003" w14:textId="77777777" w:rsidR="00835B06" w:rsidRDefault="00835B06">
      <w:pPr>
        <w:widowControl w:val="0"/>
        <w:autoSpaceDE w:val="0"/>
        <w:autoSpaceDN w:val="0"/>
        <w:adjustRightInd w:val="0"/>
        <w:rPr>
          <w:bCs/>
          <w:szCs w:val="22"/>
          <w:u w:val="single"/>
          <w:lang w:val="hu-HU"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1280"/>
        <w:gridCol w:w="1390"/>
        <w:gridCol w:w="1390"/>
        <w:gridCol w:w="1390"/>
        <w:gridCol w:w="1390"/>
        <w:gridCol w:w="1390"/>
      </w:tblGrid>
      <w:tr w:rsidR="00835B06" w14:paraId="6E4EE4D3" w14:textId="77777777" w:rsidTr="002B2396">
        <w:tc>
          <w:tcPr>
            <w:tcW w:w="931" w:type="dxa"/>
            <w:shd w:val="clear" w:color="auto" w:fill="auto"/>
          </w:tcPr>
          <w:p w14:paraId="26741686" w14:textId="77777777" w:rsidR="00835B06" w:rsidRDefault="00835B06">
            <w:pPr>
              <w:widowControl w:val="0"/>
              <w:rPr>
                <w:rFonts w:eastAsia="Calibri"/>
                <w:szCs w:val="22"/>
                <w:lang w:val="hu-HU" w:eastAsia="en-US"/>
              </w:rPr>
            </w:pPr>
          </w:p>
        </w:tc>
        <w:tc>
          <w:tcPr>
            <w:tcW w:w="1265" w:type="dxa"/>
            <w:shd w:val="clear" w:color="auto" w:fill="auto"/>
          </w:tcPr>
          <w:p w14:paraId="4E90C794" w14:textId="77777777" w:rsidR="00835B06" w:rsidRDefault="004D03F7">
            <w:pPr>
              <w:widowControl w:val="0"/>
              <w:jc w:val="center"/>
              <w:rPr>
                <w:rFonts w:eastAsia="Calibri"/>
                <w:szCs w:val="22"/>
                <w:lang w:val="hu-HU" w:eastAsia="en-US"/>
              </w:rPr>
            </w:pPr>
            <w:r>
              <w:rPr>
                <w:rFonts w:eastAsia="Calibri"/>
                <w:szCs w:val="22"/>
                <w:lang w:val="hu-HU" w:eastAsia="en-US"/>
              </w:rPr>
              <w:t>5 mg/10 mg filmtabletta</w:t>
            </w:r>
          </w:p>
        </w:tc>
        <w:tc>
          <w:tcPr>
            <w:tcW w:w="1374" w:type="dxa"/>
            <w:shd w:val="clear" w:color="auto" w:fill="auto"/>
          </w:tcPr>
          <w:p w14:paraId="23455BBF" w14:textId="77777777" w:rsidR="00835B06" w:rsidRDefault="004D03F7">
            <w:pPr>
              <w:widowControl w:val="0"/>
              <w:jc w:val="center"/>
              <w:rPr>
                <w:rFonts w:eastAsia="Calibri"/>
                <w:szCs w:val="22"/>
                <w:lang w:val="hu-HU" w:eastAsia="en-US"/>
              </w:rPr>
            </w:pPr>
            <w:r>
              <w:rPr>
                <w:rFonts w:eastAsia="Calibri"/>
                <w:szCs w:val="22"/>
                <w:lang w:val="hu-HU" w:eastAsia="en-US"/>
              </w:rPr>
              <w:t>10 mg/10 mg filmtabletta</w:t>
            </w:r>
          </w:p>
        </w:tc>
        <w:tc>
          <w:tcPr>
            <w:tcW w:w="1374" w:type="dxa"/>
            <w:shd w:val="clear" w:color="auto" w:fill="auto"/>
          </w:tcPr>
          <w:p w14:paraId="36DD8634" w14:textId="77777777" w:rsidR="00835B06" w:rsidRDefault="004D03F7">
            <w:pPr>
              <w:widowControl w:val="0"/>
              <w:jc w:val="center"/>
              <w:rPr>
                <w:rFonts w:eastAsia="Calibri"/>
                <w:szCs w:val="22"/>
                <w:lang w:val="hu-HU" w:eastAsia="en-US"/>
              </w:rPr>
            </w:pPr>
            <w:r>
              <w:rPr>
                <w:rFonts w:eastAsia="Calibri"/>
                <w:szCs w:val="22"/>
                <w:lang w:val="hu-HU" w:eastAsia="en-US"/>
              </w:rPr>
              <w:t>15 mg/10 mg filmtabletta</w:t>
            </w:r>
          </w:p>
        </w:tc>
        <w:tc>
          <w:tcPr>
            <w:tcW w:w="1374" w:type="dxa"/>
            <w:shd w:val="clear" w:color="auto" w:fill="auto"/>
          </w:tcPr>
          <w:p w14:paraId="6B724E3B" w14:textId="77777777" w:rsidR="00835B06" w:rsidRDefault="004D03F7">
            <w:pPr>
              <w:widowControl w:val="0"/>
              <w:jc w:val="center"/>
              <w:rPr>
                <w:rFonts w:eastAsia="Calibri"/>
                <w:szCs w:val="22"/>
                <w:lang w:val="hu-HU" w:eastAsia="en-US"/>
              </w:rPr>
            </w:pPr>
            <w:r>
              <w:rPr>
                <w:rFonts w:eastAsia="Calibri"/>
                <w:szCs w:val="22"/>
                <w:lang w:val="hu-HU" w:eastAsia="en-US"/>
              </w:rPr>
              <w:t>20 mg/10 mg filmtabletta</w:t>
            </w:r>
          </w:p>
        </w:tc>
        <w:tc>
          <w:tcPr>
            <w:tcW w:w="1374" w:type="dxa"/>
          </w:tcPr>
          <w:p w14:paraId="1B30295E" w14:textId="77777777" w:rsidR="00835B06" w:rsidRDefault="004D03F7">
            <w:pPr>
              <w:widowControl w:val="0"/>
              <w:jc w:val="center"/>
              <w:rPr>
                <w:rFonts w:eastAsia="Calibri"/>
                <w:szCs w:val="22"/>
                <w:lang w:val="hu-HU" w:eastAsia="en-US"/>
              </w:rPr>
            </w:pPr>
            <w:r>
              <w:rPr>
                <w:rFonts w:eastAsia="Calibri"/>
                <w:szCs w:val="22"/>
                <w:lang w:val="hu-HU" w:eastAsia="en-US"/>
              </w:rPr>
              <w:t>30 mg/10 mg filmtabletta</w:t>
            </w:r>
          </w:p>
        </w:tc>
        <w:tc>
          <w:tcPr>
            <w:tcW w:w="1374" w:type="dxa"/>
            <w:shd w:val="clear" w:color="auto" w:fill="auto"/>
          </w:tcPr>
          <w:p w14:paraId="21AFBF69" w14:textId="77777777" w:rsidR="00835B06" w:rsidRDefault="004D03F7">
            <w:pPr>
              <w:widowControl w:val="0"/>
              <w:jc w:val="center"/>
              <w:rPr>
                <w:rFonts w:eastAsia="Calibri"/>
                <w:szCs w:val="22"/>
                <w:lang w:val="hu-HU" w:eastAsia="en-US"/>
              </w:rPr>
            </w:pPr>
            <w:r>
              <w:rPr>
                <w:rFonts w:eastAsia="Calibri"/>
                <w:szCs w:val="22"/>
                <w:lang w:val="hu-HU" w:eastAsia="en-US"/>
              </w:rPr>
              <w:t>40 mg/10 mg filmtabletta</w:t>
            </w:r>
          </w:p>
        </w:tc>
      </w:tr>
      <w:tr w:rsidR="00835B06" w14:paraId="64DD4372" w14:textId="77777777" w:rsidTr="002B2396">
        <w:tc>
          <w:tcPr>
            <w:tcW w:w="931" w:type="dxa"/>
            <w:shd w:val="clear" w:color="auto" w:fill="auto"/>
          </w:tcPr>
          <w:p w14:paraId="63AD7001" w14:textId="77777777" w:rsidR="00835B06" w:rsidRDefault="004D03F7">
            <w:pPr>
              <w:widowControl w:val="0"/>
              <w:rPr>
                <w:rFonts w:eastAsia="Calibri"/>
                <w:szCs w:val="22"/>
                <w:lang w:val="hu-HU" w:eastAsia="en-US"/>
              </w:rPr>
            </w:pPr>
            <w:r>
              <w:rPr>
                <w:rFonts w:eastAsia="Calibri"/>
                <w:szCs w:val="22"/>
                <w:lang w:val="hu-HU" w:eastAsia="en-US"/>
              </w:rPr>
              <w:t>Laktóz</w:t>
            </w:r>
          </w:p>
        </w:tc>
        <w:tc>
          <w:tcPr>
            <w:tcW w:w="1265" w:type="dxa"/>
            <w:shd w:val="clear" w:color="auto" w:fill="auto"/>
          </w:tcPr>
          <w:p w14:paraId="0FAED239" w14:textId="77777777" w:rsidR="00835B06" w:rsidRDefault="004D03F7">
            <w:pPr>
              <w:widowControl w:val="0"/>
              <w:jc w:val="center"/>
              <w:rPr>
                <w:rFonts w:eastAsia="Calibri"/>
                <w:szCs w:val="22"/>
                <w:lang w:val="hu-HU" w:eastAsia="en-US"/>
              </w:rPr>
            </w:pPr>
            <w:r>
              <w:rPr>
                <w:rFonts w:eastAsia="Calibri"/>
                <w:szCs w:val="22"/>
                <w:lang w:val="hu-HU" w:eastAsia="en-US"/>
              </w:rPr>
              <w:t>62,86 mg</w:t>
            </w:r>
          </w:p>
        </w:tc>
        <w:tc>
          <w:tcPr>
            <w:tcW w:w="1374" w:type="dxa"/>
            <w:shd w:val="clear" w:color="auto" w:fill="auto"/>
          </w:tcPr>
          <w:p w14:paraId="40C391D9" w14:textId="77777777" w:rsidR="00835B06" w:rsidRDefault="004D03F7">
            <w:pPr>
              <w:widowControl w:val="0"/>
              <w:jc w:val="center"/>
              <w:rPr>
                <w:rFonts w:eastAsia="Calibri"/>
                <w:szCs w:val="22"/>
                <w:lang w:val="hu-HU" w:eastAsia="en-US"/>
              </w:rPr>
            </w:pPr>
            <w:r>
              <w:rPr>
                <w:rFonts w:eastAsia="Calibri"/>
                <w:szCs w:val="22"/>
                <w:lang w:val="hu-HU" w:eastAsia="en-US"/>
              </w:rPr>
              <w:t>62,85 mg</w:t>
            </w:r>
          </w:p>
        </w:tc>
        <w:tc>
          <w:tcPr>
            <w:tcW w:w="1374" w:type="dxa"/>
            <w:shd w:val="clear" w:color="auto" w:fill="auto"/>
          </w:tcPr>
          <w:p w14:paraId="29BF1411" w14:textId="77777777" w:rsidR="00835B06" w:rsidRDefault="004D03F7">
            <w:pPr>
              <w:widowControl w:val="0"/>
              <w:jc w:val="center"/>
              <w:rPr>
                <w:rFonts w:eastAsia="Calibri"/>
                <w:szCs w:val="22"/>
                <w:lang w:val="hu-HU" w:eastAsia="en-US"/>
              </w:rPr>
            </w:pPr>
            <w:r>
              <w:rPr>
                <w:rFonts w:eastAsia="Calibri"/>
                <w:szCs w:val="22"/>
                <w:lang w:val="hu-HU" w:eastAsia="en-US"/>
              </w:rPr>
              <w:t>62,84 mg</w:t>
            </w:r>
          </w:p>
        </w:tc>
        <w:tc>
          <w:tcPr>
            <w:tcW w:w="1374" w:type="dxa"/>
            <w:shd w:val="clear" w:color="auto" w:fill="auto"/>
          </w:tcPr>
          <w:p w14:paraId="227188AD" w14:textId="77777777" w:rsidR="00835B06" w:rsidRDefault="004D03F7">
            <w:pPr>
              <w:widowControl w:val="0"/>
              <w:jc w:val="center"/>
              <w:rPr>
                <w:rFonts w:eastAsia="Calibri"/>
                <w:szCs w:val="22"/>
                <w:lang w:val="hu-HU" w:eastAsia="en-US"/>
              </w:rPr>
            </w:pPr>
            <w:r>
              <w:rPr>
                <w:rFonts w:eastAsia="Calibri"/>
                <w:szCs w:val="22"/>
                <w:lang w:val="hu-HU" w:eastAsia="en-US"/>
              </w:rPr>
              <w:t>62,85 mg</w:t>
            </w:r>
          </w:p>
        </w:tc>
        <w:tc>
          <w:tcPr>
            <w:tcW w:w="1374" w:type="dxa"/>
          </w:tcPr>
          <w:p w14:paraId="789506AC" w14:textId="77777777" w:rsidR="00835B06" w:rsidRDefault="004D03F7">
            <w:pPr>
              <w:widowControl w:val="0"/>
              <w:jc w:val="center"/>
              <w:rPr>
                <w:rFonts w:eastAsia="Calibri"/>
                <w:szCs w:val="22"/>
                <w:lang w:val="hu-HU" w:eastAsia="en-US"/>
              </w:rPr>
            </w:pPr>
            <w:r>
              <w:rPr>
                <w:rFonts w:eastAsia="Calibri"/>
                <w:szCs w:val="22"/>
                <w:lang w:val="hu-HU" w:eastAsia="en-US"/>
              </w:rPr>
              <w:t>62,79 mg</w:t>
            </w:r>
          </w:p>
        </w:tc>
        <w:tc>
          <w:tcPr>
            <w:tcW w:w="1374" w:type="dxa"/>
            <w:shd w:val="clear" w:color="auto" w:fill="auto"/>
          </w:tcPr>
          <w:p w14:paraId="082DECAC" w14:textId="77777777" w:rsidR="00835B06" w:rsidRDefault="004D03F7">
            <w:pPr>
              <w:widowControl w:val="0"/>
              <w:jc w:val="center"/>
              <w:rPr>
                <w:rFonts w:eastAsia="Calibri"/>
                <w:szCs w:val="22"/>
                <w:lang w:val="hu-HU" w:eastAsia="en-US"/>
              </w:rPr>
            </w:pPr>
            <w:r>
              <w:rPr>
                <w:rFonts w:eastAsia="Calibri"/>
                <w:szCs w:val="22"/>
                <w:lang w:val="hu-HU" w:eastAsia="en-US"/>
              </w:rPr>
              <w:t>62,84 mg</w:t>
            </w:r>
          </w:p>
        </w:tc>
      </w:tr>
    </w:tbl>
    <w:p w14:paraId="177158C3" w14:textId="77777777" w:rsidR="00835B06" w:rsidRDefault="00835B06">
      <w:pPr>
        <w:widowControl w:val="0"/>
        <w:tabs>
          <w:tab w:val="left" w:pos="567"/>
        </w:tabs>
        <w:rPr>
          <w:bCs/>
          <w:szCs w:val="22"/>
          <w:lang w:val="hu-HU" w:eastAsia="en-US"/>
        </w:rPr>
      </w:pPr>
    </w:p>
    <w:p w14:paraId="7266FD57" w14:textId="77777777" w:rsidR="00835B06" w:rsidRDefault="004D03F7">
      <w:pPr>
        <w:rPr>
          <w:szCs w:val="22"/>
          <w:lang w:val="hu-HU"/>
        </w:rPr>
      </w:pPr>
      <w:r>
        <w:rPr>
          <w:szCs w:val="22"/>
          <w:lang w:val="hu-HU"/>
        </w:rPr>
        <w:t>A segédanyagok teljes listáját lásd a 6.1 pontban.</w:t>
      </w:r>
    </w:p>
    <w:p w14:paraId="7411DDE6" w14:textId="77777777" w:rsidR="00835B06" w:rsidRDefault="00835B06">
      <w:pPr>
        <w:rPr>
          <w:szCs w:val="22"/>
          <w:lang w:val="hu-HU"/>
        </w:rPr>
      </w:pPr>
    </w:p>
    <w:p w14:paraId="6C7AC4F3" w14:textId="77777777" w:rsidR="00835B06" w:rsidRDefault="00835B06">
      <w:pPr>
        <w:rPr>
          <w:szCs w:val="22"/>
          <w:lang w:val="hu-HU"/>
        </w:rPr>
      </w:pPr>
    </w:p>
    <w:p w14:paraId="3CE29CFB" w14:textId="77777777" w:rsidR="00835B06" w:rsidRDefault="004D03F7">
      <w:pPr>
        <w:ind w:left="567" w:hanging="567"/>
        <w:rPr>
          <w:b/>
          <w:szCs w:val="22"/>
          <w:lang w:val="hu-HU"/>
        </w:rPr>
      </w:pPr>
      <w:r>
        <w:rPr>
          <w:b/>
          <w:szCs w:val="22"/>
          <w:lang w:val="hu-HU"/>
        </w:rPr>
        <w:t>3.</w:t>
      </w:r>
      <w:r>
        <w:rPr>
          <w:b/>
          <w:szCs w:val="22"/>
          <w:lang w:val="hu-HU"/>
        </w:rPr>
        <w:tab/>
        <w:t>GYÓGYSZERFORMA</w:t>
      </w:r>
    </w:p>
    <w:p w14:paraId="5CAD2904" w14:textId="77777777" w:rsidR="00835B06" w:rsidRDefault="00835B06">
      <w:pPr>
        <w:rPr>
          <w:szCs w:val="22"/>
          <w:lang w:val="hu-HU"/>
        </w:rPr>
      </w:pPr>
    </w:p>
    <w:p w14:paraId="7A0B6481" w14:textId="77777777" w:rsidR="00835B06" w:rsidRDefault="004D03F7">
      <w:pPr>
        <w:rPr>
          <w:szCs w:val="22"/>
          <w:lang w:val="hu-HU"/>
        </w:rPr>
      </w:pPr>
      <w:r>
        <w:rPr>
          <w:szCs w:val="22"/>
          <w:lang w:val="hu-HU"/>
        </w:rPr>
        <w:t>Filmtabletta</w:t>
      </w:r>
    </w:p>
    <w:p w14:paraId="221B91D7" w14:textId="77777777" w:rsidR="00835B06" w:rsidRDefault="00835B06">
      <w:pPr>
        <w:widowControl w:val="0"/>
        <w:tabs>
          <w:tab w:val="left" w:pos="567"/>
        </w:tabs>
        <w:rPr>
          <w:szCs w:val="22"/>
          <w:lang w:val="hu-HU" w:eastAsia="en-US"/>
        </w:rPr>
      </w:pPr>
    </w:p>
    <w:p w14:paraId="16B6AB04" w14:textId="77777777" w:rsidR="00835B06" w:rsidRDefault="004D03F7">
      <w:pPr>
        <w:widowControl w:val="0"/>
        <w:tabs>
          <w:tab w:val="left" w:pos="567"/>
        </w:tabs>
        <w:rPr>
          <w:szCs w:val="22"/>
          <w:lang w:val="hu-HU" w:eastAsia="en-US"/>
        </w:rPr>
      </w:pPr>
      <w:r>
        <w:rPr>
          <w:szCs w:val="22"/>
          <w:u w:val="single"/>
          <w:lang w:val="hu-HU" w:eastAsia="en-US"/>
        </w:rPr>
        <w:t>Roxera Plus 5 mg/10 mg filmtabletta</w:t>
      </w:r>
      <w:r>
        <w:rPr>
          <w:szCs w:val="22"/>
          <w:lang w:val="hu-HU" w:eastAsia="en-US"/>
        </w:rPr>
        <w:t>:</w:t>
      </w:r>
      <w:r>
        <w:rPr>
          <w:szCs w:val="22"/>
          <w:lang w:val="hu-HU"/>
        </w:rPr>
        <w:t xml:space="preserve"> </w:t>
      </w:r>
      <w:r>
        <w:rPr>
          <w:szCs w:val="22"/>
          <w:lang w:val="hu-HU" w:eastAsia="en-US"/>
        </w:rPr>
        <w:t>Fehér, vagy csaknem fehér, kerek, mindkét oldalán enyhén domború, metszett élű filmtabletta, egyik oldalán „R1” mélynyomású jelöléssel ellátva. Tabletta átmérő: kb. 10 mm.</w:t>
      </w:r>
    </w:p>
    <w:p w14:paraId="78CB7DFC" w14:textId="77777777" w:rsidR="00835B06" w:rsidRDefault="00835B06">
      <w:pPr>
        <w:widowControl w:val="0"/>
        <w:tabs>
          <w:tab w:val="left" w:pos="567"/>
        </w:tabs>
        <w:rPr>
          <w:szCs w:val="22"/>
          <w:lang w:val="hu-HU" w:eastAsia="en-US"/>
        </w:rPr>
      </w:pPr>
    </w:p>
    <w:p w14:paraId="31AD1BF7" w14:textId="77777777" w:rsidR="00835B06" w:rsidRDefault="004D03F7">
      <w:pPr>
        <w:widowControl w:val="0"/>
        <w:tabs>
          <w:tab w:val="left" w:pos="567"/>
        </w:tabs>
        <w:rPr>
          <w:szCs w:val="22"/>
          <w:lang w:val="hu-HU" w:eastAsia="en-US"/>
        </w:rPr>
      </w:pPr>
      <w:r>
        <w:rPr>
          <w:szCs w:val="22"/>
          <w:u w:val="single"/>
          <w:lang w:val="hu-HU" w:eastAsia="en-US"/>
        </w:rPr>
        <w:t>Roxera Plus 10 mg/10 mg filmtabletta</w:t>
      </w:r>
      <w:r>
        <w:rPr>
          <w:szCs w:val="22"/>
          <w:lang w:val="hu-HU" w:eastAsia="en-US"/>
        </w:rPr>
        <w:t>: Halvány barnás-sárga, kerek, mindkét oldalán enyhén domború, metszett élű filmtabletta, egyik oldalán „R2” mélynyomású jelöléssel ellátva. Tabletta átmérő: kb. 10 mm.</w:t>
      </w:r>
    </w:p>
    <w:p w14:paraId="5916B077" w14:textId="77777777" w:rsidR="00835B06" w:rsidRDefault="00835B06">
      <w:pPr>
        <w:widowControl w:val="0"/>
        <w:tabs>
          <w:tab w:val="left" w:pos="567"/>
        </w:tabs>
        <w:rPr>
          <w:szCs w:val="22"/>
          <w:lang w:val="hu-HU" w:eastAsia="en-US"/>
        </w:rPr>
      </w:pPr>
    </w:p>
    <w:p w14:paraId="567CA7FC" w14:textId="77777777" w:rsidR="00835B06" w:rsidRDefault="004D03F7">
      <w:pPr>
        <w:widowControl w:val="0"/>
        <w:tabs>
          <w:tab w:val="left" w:pos="567"/>
        </w:tabs>
        <w:rPr>
          <w:szCs w:val="22"/>
          <w:lang w:val="hu-HU" w:eastAsia="en-US"/>
        </w:rPr>
      </w:pPr>
      <w:r>
        <w:rPr>
          <w:szCs w:val="22"/>
          <w:u w:val="single"/>
          <w:lang w:val="hu-HU" w:eastAsia="en-US"/>
        </w:rPr>
        <w:t>Roxera Plus 15 mg/10 mg filmtabletta</w:t>
      </w:r>
      <w:r>
        <w:rPr>
          <w:szCs w:val="22"/>
          <w:lang w:val="hu-HU" w:eastAsia="en-US"/>
        </w:rPr>
        <w:t>:</w:t>
      </w:r>
      <w:r>
        <w:rPr>
          <w:szCs w:val="22"/>
          <w:lang w:val="hu-HU"/>
        </w:rPr>
        <w:t xml:space="preserve"> Halvány rózsaszínes-narancs, </w:t>
      </w:r>
      <w:r>
        <w:rPr>
          <w:szCs w:val="22"/>
          <w:lang w:val="hu-HU" w:eastAsia="en-US"/>
        </w:rPr>
        <w:t>kerek, mindkét oldalán enyhén domború, metszett élű filmtabletta, egyik oldalán „R3” mélynyomású jelöléssel ellátva. Tabletta átmérő: kb. 10 mm.</w:t>
      </w:r>
    </w:p>
    <w:p w14:paraId="074557D3" w14:textId="77777777" w:rsidR="00835B06" w:rsidRDefault="00835B06">
      <w:pPr>
        <w:widowControl w:val="0"/>
        <w:tabs>
          <w:tab w:val="left" w:pos="567"/>
        </w:tabs>
        <w:rPr>
          <w:szCs w:val="22"/>
          <w:lang w:val="hu-HU"/>
        </w:rPr>
      </w:pPr>
    </w:p>
    <w:p w14:paraId="0A46F500" w14:textId="77777777" w:rsidR="00835B06" w:rsidRDefault="004D03F7">
      <w:pPr>
        <w:widowControl w:val="0"/>
        <w:tabs>
          <w:tab w:val="left" w:pos="567"/>
        </w:tabs>
        <w:rPr>
          <w:szCs w:val="22"/>
          <w:lang w:val="hu-HU" w:eastAsia="en-US"/>
        </w:rPr>
      </w:pPr>
      <w:r>
        <w:rPr>
          <w:szCs w:val="22"/>
          <w:u w:val="single"/>
          <w:lang w:val="hu-HU" w:eastAsia="en-US"/>
        </w:rPr>
        <w:t>Roxera Plus 20 mg/10 mg filmtabletta</w:t>
      </w:r>
      <w:r>
        <w:rPr>
          <w:szCs w:val="22"/>
          <w:lang w:val="hu-HU" w:eastAsia="en-US"/>
        </w:rPr>
        <w:t>: Halvány rózsaszínű, kerek, mindkét oldalán enyhén domború, metszett élű filmtabletta, egyik oldalán „R4” mélynyomású jelöléssel ellátva. Tabletta átmérő: kb. 10 mm.</w:t>
      </w:r>
    </w:p>
    <w:p w14:paraId="5F31AF14" w14:textId="77777777" w:rsidR="00835B06" w:rsidRDefault="00835B06">
      <w:pPr>
        <w:widowControl w:val="0"/>
        <w:tabs>
          <w:tab w:val="left" w:pos="567"/>
        </w:tabs>
        <w:rPr>
          <w:szCs w:val="22"/>
          <w:lang w:val="hu-HU" w:eastAsia="en-US"/>
        </w:rPr>
      </w:pPr>
    </w:p>
    <w:p w14:paraId="1016874F" w14:textId="77777777" w:rsidR="00835B06" w:rsidRDefault="004D03F7">
      <w:pPr>
        <w:widowControl w:val="0"/>
        <w:tabs>
          <w:tab w:val="left" w:pos="567"/>
        </w:tabs>
        <w:rPr>
          <w:szCs w:val="22"/>
          <w:lang w:val="hu-HU" w:eastAsia="en-US"/>
        </w:rPr>
      </w:pPr>
      <w:r>
        <w:rPr>
          <w:szCs w:val="22"/>
          <w:u w:val="single"/>
          <w:lang w:val="hu-HU" w:eastAsia="en-US"/>
        </w:rPr>
        <w:lastRenderedPageBreak/>
        <w:t>Roxera Plus 30 mg/10 mg filmtabletta</w:t>
      </w:r>
      <w:r>
        <w:rPr>
          <w:szCs w:val="22"/>
          <w:lang w:val="hu-HU" w:eastAsia="en-US"/>
        </w:rPr>
        <w:t>: Világosbarna, kerek, mindkét oldalán enyhén domború, metszett élű filmtabletta, egyik oldalán „30” mélynyomású jelöléssel ellátva. Tabletta átmérő: kb. 10 mm.</w:t>
      </w:r>
    </w:p>
    <w:p w14:paraId="4B518A89" w14:textId="77777777" w:rsidR="00835B06" w:rsidRDefault="00835B06">
      <w:pPr>
        <w:widowControl w:val="0"/>
        <w:tabs>
          <w:tab w:val="left" w:pos="567"/>
        </w:tabs>
        <w:rPr>
          <w:szCs w:val="22"/>
          <w:u w:val="single"/>
          <w:lang w:val="hu-HU" w:eastAsia="en-US"/>
        </w:rPr>
      </w:pPr>
    </w:p>
    <w:p w14:paraId="123C8363" w14:textId="77777777" w:rsidR="00835B06" w:rsidRDefault="004D03F7">
      <w:pPr>
        <w:widowControl w:val="0"/>
        <w:tabs>
          <w:tab w:val="left" w:pos="567"/>
        </w:tabs>
        <w:rPr>
          <w:szCs w:val="22"/>
          <w:lang w:val="hu-HU" w:eastAsia="en-US"/>
        </w:rPr>
      </w:pPr>
      <w:r>
        <w:rPr>
          <w:szCs w:val="22"/>
          <w:u w:val="single"/>
          <w:lang w:val="hu-HU" w:eastAsia="en-US"/>
        </w:rPr>
        <w:t>Roxera Plus 40 mg/10 mg filmtabletta</w:t>
      </w:r>
      <w:r>
        <w:rPr>
          <w:szCs w:val="22"/>
          <w:lang w:val="hu-HU" w:eastAsia="en-US"/>
        </w:rPr>
        <w:t>: Halvány szürkés-lila, kerek, mindkét oldalán enyhén domború, metszett élű filmtabletta, egyik oldalán „R5” mélynyomású jelöléssel ellátva. Tabletta átmérő: kb. 10 mm.</w:t>
      </w:r>
    </w:p>
    <w:p w14:paraId="368929BC" w14:textId="77777777" w:rsidR="00835B06" w:rsidRDefault="00835B06">
      <w:pPr>
        <w:widowControl w:val="0"/>
        <w:tabs>
          <w:tab w:val="left" w:pos="567"/>
        </w:tabs>
        <w:rPr>
          <w:szCs w:val="22"/>
          <w:lang w:val="hu-HU" w:eastAsia="en-US"/>
        </w:rPr>
      </w:pPr>
    </w:p>
    <w:p w14:paraId="4712D0B0" w14:textId="77777777" w:rsidR="00835B06" w:rsidRDefault="00835B06">
      <w:pPr>
        <w:widowControl w:val="0"/>
        <w:tabs>
          <w:tab w:val="left" w:pos="567"/>
        </w:tabs>
        <w:rPr>
          <w:szCs w:val="22"/>
          <w:lang w:val="hu-HU" w:eastAsia="en-US"/>
        </w:rPr>
      </w:pPr>
    </w:p>
    <w:p w14:paraId="37DCBD0A" w14:textId="77777777" w:rsidR="00835B06" w:rsidRDefault="004D03F7">
      <w:pPr>
        <w:ind w:left="567" w:hanging="567"/>
        <w:rPr>
          <w:b/>
          <w:caps/>
          <w:szCs w:val="22"/>
          <w:lang w:val="hu-HU"/>
        </w:rPr>
      </w:pPr>
      <w:r>
        <w:rPr>
          <w:b/>
          <w:caps/>
          <w:szCs w:val="22"/>
          <w:lang w:val="hu-HU"/>
        </w:rPr>
        <w:t>4.</w:t>
      </w:r>
      <w:r>
        <w:rPr>
          <w:b/>
          <w:caps/>
          <w:szCs w:val="22"/>
          <w:lang w:val="hu-HU"/>
        </w:rPr>
        <w:tab/>
        <w:t>KLINIKAI JELLEMZŐK</w:t>
      </w:r>
    </w:p>
    <w:p w14:paraId="2A4CFEF4" w14:textId="77777777" w:rsidR="00835B06" w:rsidRDefault="00835B06">
      <w:pPr>
        <w:rPr>
          <w:szCs w:val="22"/>
          <w:lang w:val="hu-HU"/>
        </w:rPr>
      </w:pPr>
    </w:p>
    <w:p w14:paraId="66DD93B5" w14:textId="77777777" w:rsidR="00835B06" w:rsidRDefault="004D03F7">
      <w:pPr>
        <w:ind w:left="567" w:hanging="567"/>
        <w:rPr>
          <w:b/>
          <w:szCs w:val="22"/>
          <w:lang w:val="hu-HU"/>
        </w:rPr>
      </w:pPr>
      <w:r>
        <w:rPr>
          <w:b/>
          <w:szCs w:val="22"/>
          <w:lang w:val="hu-HU"/>
        </w:rPr>
        <w:t>4.1</w:t>
      </w:r>
      <w:r>
        <w:rPr>
          <w:b/>
          <w:szCs w:val="22"/>
          <w:lang w:val="hu-HU"/>
        </w:rPr>
        <w:tab/>
        <w:t>Terápiás javallatok</w:t>
      </w:r>
    </w:p>
    <w:p w14:paraId="5D786204" w14:textId="77777777" w:rsidR="00835B06" w:rsidRDefault="00835B06">
      <w:pPr>
        <w:widowControl w:val="0"/>
        <w:tabs>
          <w:tab w:val="left" w:pos="567"/>
        </w:tabs>
        <w:rPr>
          <w:szCs w:val="22"/>
          <w:lang w:val="hu-HU" w:eastAsia="en-US"/>
        </w:rPr>
      </w:pPr>
    </w:p>
    <w:p w14:paraId="6E55166E" w14:textId="77777777" w:rsidR="00835B06" w:rsidRDefault="004D03F7">
      <w:pPr>
        <w:pStyle w:val="Szvegtrzs"/>
        <w:rPr>
          <w:szCs w:val="22"/>
          <w:lang w:val="hu-HU"/>
        </w:rPr>
      </w:pPr>
      <w:r>
        <w:rPr>
          <w:spacing w:val="-2"/>
          <w:szCs w:val="22"/>
          <w:lang w:val="hu-HU" w:eastAsia="en-US"/>
        </w:rPr>
        <w:t xml:space="preserve">A Roxera Plus filmtabletta </w:t>
      </w:r>
      <w:r>
        <w:rPr>
          <w:spacing w:val="-2"/>
          <w:szCs w:val="22"/>
          <w:lang w:val="hu-HU"/>
        </w:rPr>
        <w:t>primaer (heterozygota familiaris és nem familiaris)</w:t>
      </w:r>
      <w:r>
        <w:rPr>
          <w:szCs w:val="22"/>
          <w:lang w:val="hu-HU"/>
        </w:rPr>
        <w:t xml:space="preserve"> hypercholesterinaemia vagy homozygota familiaris hypercholesterinaemia adjuváns kezelésére javallott diéta és egyéb nem gyógyszeres kezelés (pl. mozgásterápia, testtömegcsökkenés) mellett – szubsztitúciós terápiaként – olyan felnőtt betegeknek, akiknél a külön készítményben, de egyidejűleg adott ezetimib és rozuvasztatin kombinációval már folyamatban lévő kezelés megfelelő kontrollt biztosít.</w:t>
      </w:r>
    </w:p>
    <w:p w14:paraId="514A7824" w14:textId="77777777" w:rsidR="00835B06" w:rsidRDefault="00835B06">
      <w:pPr>
        <w:widowControl w:val="0"/>
        <w:tabs>
          <w:tab w:val="left" w:pos="567"/>
        </w:tabs>
        <w:rPr>
          <w:szCs w:val="22"/>
          <w:lang w:val="hu-HU" w:eastAsia="en-US"/>
        </w:rPr>
      </w:pPr>
    </w:p>
    <w:p w14:paraId="30EFD26C" w14:textId="77777777" w:rsidR="00835B06" w:rsidRDefault="004D03F7">
      <w:pPr>
        <w:ind w:left="567" w:hanging="567"/>
        <w:rPr>
          <w:b/>
          <w:szCs w:val="22"/>
          <w:lang w:val="hu-HU"/>
        </w:rPr>
      </w:pPr>
      <w:r>
        <w:rPr>
          <w:b/>
          <w:szCs w:val="22"/>
          <w:lang w:val="hu-HU"/>
        </w:rPr>
        <w:t>4.2</w:t>
      </w:r>
      <w:r>
        <w:rPr>
          <w:b/>
          <w:szCs w:val="22"/>
          <w:lang w:val="hu-HU"/>
        </w:rPr>
        <w:tab/>
        <w:t>Adagolás és alkalmazás</w:t>
      </w:r>
    </w:p>
    <w:p w14:paraId="7B684ECD" w14:textId="77777777" w:rsidR="00835B06" w:rsidRDefault="00835B06">
      <w:pPr>
        <w:pStyle w:val="Szvegtrzs"/>
        <w:rPr>
          <w:szCs w:val="22"/>
          <w:lang w:val="hu-HU"/>
        </w:rPr>
      </w:pPr>
    </w:p>
    <w:p w14:paraId="6BA3F8F2" w14:textId="77777777" w:rsidR="00835B06" w:rsidRDefault="004D03F7">
      <w:pPr>
        <w:pStyle w:val="Szvegtrzs2"/>
        <w:spacing w:after="0" w:line="240" w:lineRule="auto"/>
        <w:rPr>
          <w:szCs w:val="22"/>
          <w:u w:val="single"/>
          <w:lang w:val="hu-HU"/>
        </w:rPr>
      </w:pPr>
      <w:r>
        <w:rPr>
          <w:szCs w:val="22"/>
          <w:u w:val="single"/>
          <w:lang w:val="hu-HU"/>
        </w:rPr>
        <w:t>Adagolás</w:t>
      </w:r>
    </w:p>
    <w:p w14:paraId="0C923A1A" w14:textId="77777777" w:rsidR="00835B06" w:rsidRDefault="00835B06">
      <w:pPr>
        <w:widowControl w:val="0"/>
        <w:rPr>
          <w:i/>
          <w:iCs/>
          <w:szCs w:val="22"/>
          <w:lang w:val="hu-HU" w:eastAsia="en-US"/>
        </w:rPr>
      </w:pPr>
    </w:p>
    <w:p w14:paraId="60CBB75C" w14:textId="77777777" w:rsidR="00835B06" w:rsidRDefault="004D03F7">
      <w:pPr>
        <w:widowControl w:val="0"/>
        <w:rPr>
          <w:szCs w:val="22"/>
          <w:lang w:val="hu-HU" w:eastAsia="en-US"/>
        </w:rPr>
      </w:pPr>
      <w:r>
        <w:rPr>
          <w:szCs w:val="22"/>
          <w:lang w:val="hu-HU" w:eastAsia="en-US"/>
        </w:rPr>
        <w:t>A terápia megkezdése előtt a beteget hagyományos koleszterincsökkentő diétára kell állítani, melyet a gyógyszeres kezelés ideje alatt is folytatni kell.</w:t>
      </w:r>
    </w:p>
    <w:p w14:paraId="02461BF1" w14:textId="77777777" w:rsidR="00835B06" w:rsidRDefault="00835B06">
      <w:pPr>
        <w:widowControl w:val="0"/>
        <w:rPr>
          <w:szCs w:val="22"/>
          <w:lang w:val="hu-HU" w:eastAsia="en-US"/>
        </w:rPr>
      </w:pPr>
    </w:p>
    <w:p w14:paraId="56AAA605" w14:textId="77777777" w:rsidR="00835B06" w:rsidRDefault="004D03F7">
      <w:pPr>
        <w:widowControl w:val="0"/>
        <w:rPr>
          <w:szCs w:val="22"/>
          <w:lang w:val="hu-HU" w:eastAsia="en-US"/>
        </w:rPr>
      </w:pPr>
      <w:r>
        <w:rPr>
          <w:szCs w:val="22"/>
          <w:lang w:val="hu-HU" w:eastAsia="en-US"/>
        </w:rPr>
        <w:t>A Roxera Plus filmtabletta ajánlott dózisa egy tabletta naponta.</w:t>
      </w:r>
    </w:p>
    <w:p w14:paraId="6BAFF3DE" w14:textId="77777777" w:rsidR="00835B06" w:rsidRDefault="004D03F7">
      <w:pPr>
        <w:widowControl w:val="0"/>
        <w:rPr>
          <w:szCs w:val="22"/>
          <w:lang w:val="hu-HU" w:eastAsia="en-US"/>
        </w:rPr>
      </w:pPr>
      <w:r>
        <w:rPr>
          <w:szCs w:val="22"/>
          <w:lang w:val="hu-HU" w:eastAsia="en-US"/>
        </w:rPr>
        <w:t>A Roxera Plus filmtabletta a nap bármely szakában bevehető, étkezés közben vagy étkezéstől függetlenül.</w:t>
      </w:r>
    </w:p>
    <w:p w14:paraId="582B8BA0" w14:textId="77777777" w:rsidR="00835B06" w:rsidRDefault="00835B06">
      <w:pPr>
        <w:widowControl w:val="0"/>
        <w:rPr>
          <w:szCs w:val="22"/>
          <w:lang w:val="hu-HU" w:eastAsia="en-US"/>
        </w:rPr>
      </w:pPr>
    </w:p>
    <w:p w14:paraId="19985C42" w14:textId="77777777" w:rsidR="00835B06" w:rsidRDefault="004D03F7">
      <w:pPr>
        <w:widowControl w:val="0"/>
        <w:rPr>
          <w:szCs w:val="22"/>
          <w:lang w:val="hu-HU" w:eastAsia="en-US"/>
        </w:rPr>
      </w:pPr>
      <w:r>
        <w:rPr>
          <w:szCs w:val="22"/>
          <w:lang w:val="hu-HU" w:eastAsia="en-US"/>
        </w:rPr>
        <w:t>A Roxera Plus filmtablettára történő váltás előtt a betegeket megfelelően be kell állítani az egyidejűleg szedett monokomponensek stabil dózisaira. A Roxera Plus filmtabletta dózisát a kombinációban adott egyes összetevőknek a terápiaváltás időpontjában alkalmazott dózisai alapján kell megállapítani.</w:t>
      </w:r>
    </w:p>
    <w:p w14:paraId="05180F5F" w14:textId="77777777" w:rsidR="00835B06" w:rsidRDefault="00835B06">
      <w:pPr>
        <w:widowControl w:val="0"/>
        <w:rPr>
          <w:szCs w:val="22"/>
          <w:lang w:val="hu-HU" w:eastAsia="en-US"/>
        </w:rPr>
      </w:pPr>
    </w:p>
    <w:p w14:paraId="07125641" w14:textId="77777777" w:rsidR="00835B06" w:rsidRDefault="004D03F7">
      <w:pPr>
        <w:pStyle w:val="Szvegtrzs2"/>
        <w:spacing w:after="0" w:line="240" w:lineRule="auto"/>
        <w:rPr>
          <w:szCs w:val="22"/>
          <w:lang w:val="hu-HU"/>
        </w:rPr>
      </w:pPr>
      <w:r>
        <w:rPr>
          <w:szCs w:val="22"/>
          <w:lang w:val="hu-HU" w:eastAsia="en-US"/>
        </w:rPr>
        <w:t xml:space="preserve">A Roxera Plus filmtabletta nem alkalmas kezdő terápiára. </w:t>
      </w:r>
      <w:r>
        <w:rPr>
          <w:szCs w:val="22"/>
          <w:lang w:val="hu-HU"/>
        </w:rPr>
        <w:t>A terápia megkezdése, illetve – ha szükséges – a dózismódosítás csak a monokomponensű készítményekkel végezhető el és a megfelelő dózisok beállítása után lehet a fix dózisú kombináció megfelelő hatáserősségére váltani.</w:t>
      </w:r>
    </w:p>
    <w:p w14:paraId="6583AB91" w14:textId="77777777" w:rsidR="00835B06" w:rsidRDefault="00835B06">
      <w:pPr>
        <w:widowControl w:val="0"/>
        <w:rPr>
          <w:szCs w:val="22"/>
          <w:lang w:val="hu-HU" w:eastAsia="en-US"/>
        </w:rPr>
      </w:pPr>
    </w:p>
    <w:p w14:paraId="0759BD1C" w14:textId="77777777" w:rsidR="00835B06" w:rsidRDefault="004D03F7">
      <w:pPr>
        <w:widowControl w:val="0"/>
        <w:rPr>
          <w:iCs/>
          <w:szCs w:val="22"/>
          <w:u w:val="single"/>
          <w:lang w:val="hu-HU" w:eastAsia="en-US"/>
        </w:rPr>
      </w:pPr>
      <w:r>
        <w:rPr>
          <w:iCs/>
          <w:szCs w:val="22"/>
          <w:u w:val="single"/>
          <w:lang w:val="hu-HU" w:eastAsia="en-US"/>
        </w:rPr>
        <w:t>Együttadás epesavkötő szerekkel</w:t>
      </w:r>
    </w:p>
    <w:p w14:paraId="18B89013" w14:textId="77777777" w:rsidR="00835B06" w:rsidRDefault="004D03F7">
      <w:pPr>
        <w:widowControl w:val="0"/>
        <w:rPr>
          <w:iCs/>
          <w:szCs w:val="22"/>
          <w:lang w:val="hu-HU" w:eastAsia="en-US"/>
        </w:rPr>
      </w:pPr>
      <w:r>
        <w:rPr>
          <w:spacing w:val="-2"/>
          <w:szCs w:val="22"/>
          <w:lang w:val="hu-HU" w:eastAsia="en-US"/>
        </w:rPr>
        <w:t>A Roxera Plus filmtabletta az epesavkötő szerek adása előtt legalább 2 órával</w:t>
      </w:r>
      <w:r>
        <w:rPr>
          <w:szCs w:val="22"/>
          <w:lang w:val="hu-HU" w:eastAsia="en-US"/>
        </w:rPr>
        <w:t xml:space="preserve"> korábban, vagy azok adása után legalább 4 órával később adható.</w:t>
      </w:r>
    </w:p>
    <w:p w14:paraId="7B7BE584" w14:textId="77777777" w:rsidR="00835B06" w:rsidRDefault="00835B06">
      <w:pPr>
        <w:widowControl w:val="0"/>
        <w:rPr>
          <w:iCs/>
          <w:szCs w:val="22"/>
          <w:lang w:val="hu-HU" w:eastAsia="en-US"/>
        </w:rPr>
      </w:pPr>
    </w:p>
    <w:p w14:paraId="5B20F722" w14:textId="77777777" w:rsidR="00835B06" w:rsidRDefault="004D03F7">
      <w:pPr>
        <w:widowControl w:val="0"/>
        <w:rPr>
          <w:i/>
          <w:iCs/>
          <w:szCs w:val="22"/>
          <w:u w:val="single"/>
          <w:lang w:val="hu-HU" w:eastAsia="en-US"/>
        </w:rPr>
      </w:pPr>
      <w:r>
        <w:rPr>
          <w:i/>
          <w:iCs/>
          <w:szCs w:val="22"/>
          <w:u w:val="single"/>
          <w:lang w:val="hu-HU" w:eastAsia="en-US"/>
        </w:rPr>
        <w:t>További információ különleges betegcsoportokról</w:t>
      </w:r>
    </w:p>
    <w:p w14:paraId="1AB5A8B3" w14:textId="77777777" w:rsidR="00835B06" w:rsidRDefault="00835B06">
      <w:pPr>
        <w:widowControl w:val="0"/>
        <w:rPr>
          <w:i/>
          <w:szCs w:val="22"/>
          <w:u w:val="single"/>
          <w:lang w:val="hu-HU"/>
        </w:rPr>
      </w:pPr>
    </w:p>
    <w:p w14:paraId="46158A3B" w14:textId="77777777" w:rsidR="00835B06" w:rsidRDefault="004D03F7">
      <w:pPr>
        <w:widowControl w:val="0"/>
        <w:rPr>
          <w:szCs w:val="22"/>
          <w:u w:val="single"/>
          <w:lang w:val="hu-HU" w:eastAsia="en-US"/>
        </w:rPr>
      </w:pPr>
      <w:r>
        <w:rPr>
          <w:szCs w:val="22"/>
          <w:u w:val="single"/>
          <w:lang w:val="hu-HU" w:eastAsia="en-US"/>
        </w:rPr>
        <w:t>Idősek</w:t>
      </w:r>
    </w:p>
    <w:p w14:paraId="4364E3E8" w14:textId="77777777" w:rsidR="00835B06" w:rsidRDefault="004D03F7">
      <w:pPr>
        <w:rPr>
          <w:szCs w:val="22"/>
          <w:lang w:val="hu-HU"/>
        </w:rPr>
      </w:pPr>
      <w:r>
        <w:rPr>
          <w:szCs w:val="22"/>
          <w:lang w:val="hu-HU"/>
        </w:rPr>
        <w:t>70 évesnél idősebb betegek számára 5 mg rozuvasztatin az ajánlott kezdő dózis (lásd 4.4 pont). Az életkorból adódóan egyéb dózismódosítás nem szükséges.</w:t>
      </w:r>
    </w:p>
    <w:p w14:paraId="10881965" w14:textId="77777777" w:rsidR="00835B06" w:rsidRPr="002B2396" w:rsidRDefault="00835B06">
      <w:pPr>
        <w:widowControl w:val="0"/>
        <w:rPr>
          <w:bCs/>
          <w:szCs w:val="22"/>
          <w:lang w:val="hu-HU" w:eastAsia="en-US"/>
        </w:rPr>
      </w:pPr>
    </w:p>
    <w:p w14:paraId="5042F090" w14:textId="77777777" w:rsidR="00835B06" w:rsidRDefault="004D03F7">
      <w:pPr>
        <w:widowControl w:val="0"/>
        <w:rPr>
          <w:szCs w:val="22"/>
          <w:u w:val="single"/>
          <w:lang w:val="hu-HU" w:eastAsia="en-US"/>
        </w:rPr>
      </w:pPr>
      <w:r>
        <w:rPr>
          <w:szCs w:val="22"/>
          <w:u w:val="single"/>
          <w:lang w:val="hu-HU" w:eastAsia="en-US"/>
        </w:rPr>
        <w:t>Vesekárosodás</w:t>
      </w:r>
    </w:p>
    <w:p w14:paraId="331398FC" w14:textId="77777777" w:rsidR="00835B06" w:rsidRDefault="004D03F7">
      <w:pPr>
        <w:rPr>
          <w:szCs w:val="22"/>
          <w:lang w:val="hu-HU"/>
        </w:rPr>
      </w:pPr>
      <w:r>
        <w:rPr>
          <w:szCs w:val="22"/>
          <w:lang w:val="hu-HU"/>
        </w:rPr>
        <w:t>Enyhe és közepesen súlyos fokú vesekárosodásban szenvedő betegeknél dózismódosítás nem szükséges.</w:t>
      </w:r>
    </w:p>
    <w:p w14:paraId="11E0B8C4" w14:textId="7D2F95D7" w:rsidR="00835B06" w:rsidRDefault="004D03F7">
      <w:pPr>
        <w:rPr>
          <w:szCs w:val="22"/>
          <w:lang w:val="hu-HU"/>
        </w:rPr>
      </w:pPr>
      <w:r>
        <w:rPr>
          <w:szCs w:val="22"/>
          <w:lang w:val="hu-HU"/>
        </w:rPr>
        <w:t>Közepesen súlyos fokú vesekárosodásban (kreatinin-clearance 30</w:t>
      </w:r>
      <w:r w:rsidR="00A21E63">
        <w:rPr>
          <w:szCs w:val="22"/>
          <w:lang w:val="hu-HU"/>
        </w:rPr>
        <w:sym w:font="Symbol" w:char="F02D"/>
      </w:r>
      <w:r w:rsidR="00A21E63">
        <w:rPr>
          <w:szCs w:val="22"/>
          <w:lang w:val="hu-HU"/>
        </w:rPr>
        <w:t>60</w:t>
      </w:r>
      <w:r>
        <w:rPr>
          <w:szCs w:val="22"/>
          <w:lang w:val="hu-HU"/>
        </w:rPr>
        <w:t xml:space="preserve"> ml/perc) szenvedő betegek számára a rozuvasztatin ajánlott kezdő dózisa 5 mg. A 30 mg-os és a 40 mg-os dózisok közepesen súlyos fokú vesekárosodásban ellenjavalltak. Súlyos fokú vesekárosodásban a </w:t>
      </w:r>
      <w:r>
        <w:rPr>
          <w:szCs w:val="22"/>
          <w:lang w:val="hu-HU" w:eastAsia="en-US"/>
        </w:rPr>
        <w:t xml:space="preserve">Roxera Plus filmtabletta </w:t>
      </w:r>
      <w:r>
        <w:rPr>
          <w:szCs w:val="22"/>
          <w:lang w:val="hu-HU"/>
        </w:rPr>
        <w:t>alkalmazása minden dózisra vonatkozóan ellenjavallt (lásd 4.3 és 5.2 pont).</w:t>
      </w:r>
    </w:p>
    <w:p w14:paraId="751CFA09" w14:textId="77777777" w:rsidR="00835B06" w:rsidRDefault="00835B06">
      <w:pPr>
        <w:widowControl w:val="0"/>
        <w:rPr>
          <w:szCs w:val="22"/>
          <w:lang w:val="hu-HU" w:eastAsia="en-US"/>
        </w:rPr>
      </w:pPr>
    </w:p>
    <w:p w14:paraId="73B12C5E" w14:textId="77777777" w:rsidR="00835B06" w:rsidRDefault="004D03F7">
      <w:pPr>
        <w:widowControl w:val="0"/>
        <w:rPr>
          <w:iCs/>
          <w:szCs w:val="22"/>
          <w:u w:val="single"/>
          <w:lang w:val="hu-HU" w:eastAsia="en-US"/>
        </w:rPr>
      </w:pPr>
      <w:r>
        <w:rPr>
          <w:iCs/>
          <w:szCs w:val="22"/>
          <w:u w:val="single"/>
          <w:lang w:val="hu-HU" w:eastAsia="en-US"/>
        </w:rPr>
        <w:t>Májkárosodás</w:t>
      </w:r>
    </w:p>
    <w:p w14:paraId="6F001126" w14:textId="77777777" w:rsidR="00835B06" w:rsidRDefault="004D03F7">
      <w:pPr>
        <w:rPr>
          <w:szCs w:val="22"/>
          <w:lang w:val="hu-HU"/>
        </w:rPr>
      </w:pPr>
      <w:r>
        <w:rPr>
          <w:szCs w:val="22"/>
          <w:lang w:val="hu-HU"/>
        </w:rPr>
        <w:lastRenderedPageBreak/>
        <w:t>A szisztémás rozuvasztatin-expozíció 7, vagy kisebb Child–Pugh pontérték esetén nem növekedett. Azonban a szisztémás expozíció emelkedését figyelték meg 8 és 9 Child–Pugh pontérték mellett (lásd 5.2 pont). Ezeknél a betegeknél megfontolandó a májfunkció ellenőrzése (lásd 4.4 pont).</w:t>
      </w:r>
    </w:p>
    <w:p w14:paraId="709EDA82" w14:textId="77777777" w:rsidR="00835B06" w:rsidRDefault="004D03F7">
      <w:pPr>
        <w:rPr>
          <w:szCs w:val="22"/>
          <w:lang w:val="hu-HU"/>
        </w:rPr>
      </w:pPr>
      <w:r>
        <w:rPr>
          <w:szCs w:val="22"/>
          <w:lang w:val="hu-HU"/>
        </w:rPr>
        <w:t>A rozuvasztatinnal nincs tapasztalat 9-nél nagyobb Child–Pugh pontértékeknél.</w:t>
      </w:r>
    </w:p>
    <w:p w14:paraId="1931A93C" w14:textId="77777777" w:rsidR="00835B06" w:rsidRDefault="00835B06">
      <w:pPr>
        <w:rPr>
          <w:szCs w:val="22"/>
          <w:lang w:val="hu-HU"/>
        </w:rPr>
      </w:pPr>
    </w:p>
    <w:p w14:paraId="21362DF4" w14:textId="25944754" w:rsidR="00835B06" w:rsidRDefault="004D03F7">
      <w:pPr>
        <w:rPr>
          <w:szCs w:val="22"/>
          <w:lang w:val="hu-HU"/>
        </w:rPr>
      </w:pPr>
      <w:r>
        <w:rPr>
          <w:szCs w:val="22"/>
          <w:lang w:val="hu-HU" w:eastAsia="en-US"/>
        </w:rPr>
        <w:t>A Roxera Plus filmtabletta nem ajánlott közepesen súlyos (Child–Pugh pontszám 7-9), vagy súlyos (Child–Pugh pontszám &gt;</w:t>
      </w:r>
      <w:r>
        <w:t> </w:t>
      </w:r>
      <w:r>
        <w:rPr>
          <w:szCs w:val="22"/>
          <w:lang w:val="hu-HU" w:eastAsia="en-US"/>
        </w:rPr>
        <w:t>9) májkárosodás esetén (lásd 4.4 pont).</w:t>
      </w:r>
    </w:p>
    <w:p w14:paraId="368DA43C" w14:textId="77777777" w:rsidR="00835B06" w:rsidRDefault="00835B06">
      <w:pPr>
        <w:rPr>
          <w:szCs w:val="22"/>
          <w:lang w:val="hu-HU"/>
        </w:rPr>
      </w:pPr>
    </w:p>
    <w:p w14:paraId="72E26D48" w14:textId="77777777" w:rsidR="00835B06" w:rsidRDefault="004D03F7">
      <w:pPr>
        <w:rPr>
          <w:spacing w:val="-2"/>
          <w:szCs w:val="22"/>
          <w:lang w:val="hu-HU"/>
        </w:rPr>
      </w:pPr>
      <w:r>
        <w:rPr>
          <w:spacing w:val="-2"/>
          <w:szCs w:val="22"/>
          <w:lang w:val="hu-HU" w:eastAsia="en-US"/>
        </w:rPr>
        <w:t>A Roxera Plus filmtabletta aktív</w:t>
      </w:r>
      <w:r>
        <w:rPr>
          <w:spacing w:val="-2"/>
          <w:szCs w:val="22"/>
          <w:lang w:val="hu-HU"/>
        </w:rPr>
        <w:t xml:space="preserve"> májbetegségben ellenjavallt (lásd 4.3 pont).</w:t>
      </w:r>
    </w:p>
    <w:p w14:paraId="73875B0A" w14:textId="77777777" w:rsidR="00835B06" w:rsidRDefault="00835B06">
      <w:pPr>
        <w:widowControl w:val="0"/>
        <w:rPr>
          <w:iCs/>
          <w:szCs w:val="22"/>
          <w:u w:val="single"/>
          <w:lang w:val="hu-HU" w:eastAsia="en-US"/>
        </w:rPr>
      </w:pPr>
    </w:p>
    <w:p w14:paraId="2ABC8073" w14:textId="77777777" w:rsidR="00835B06" w:rsidRDefault="004D03F7">
      <w:pPr>
        <w:widowControl w:val="0"/>
        <w:rPr>
          <w:iCs/>
          <w:szCs w:val="22"/>
          <w:u w:val="single"/>
          <w:lang w:val="hu-HU" w:eastAsia="en-US"/>
        </w:rPr>
      </w:pPr>
      <w:r>
        <w:rPr>
          <w:iCs/>
          <w:szCs w:val="22"/>
          <w:u w:val="single"/>
          <w:lang w:val="hu-HU" w:eastAsia="en-US"/>
        </w:rPr>
        <w:t>Népcsoportok</w:t>
      </w:r>
    </w:p>
    <w:p w14:paraId="1C989252" w14:textId="77777777" w:rsidR="00835B06" w:rsidRDefault="004D03F7">
      <w:pPr>
        <w:rPr>
          <w:szCs w:val="22"/>
          <w:lang w:val="hu-HU"/>
        </w:rPr>
      </w:pPr>
      <w:r>
        <w:rPr>
          <w:szCs w:val="22"/>
          <w:lang w:val="hu-HU"/>
        </w:rPr>
        <w:t>A rozuvasztatin fokozott szisztémás expozícióját észlelték ázsiai származású alanyoknál (lásd 4.3, 4.4 és 5.2 pont). Ázsiai származású betegek számára 5 mg az ajánlott kezdő dózis. A 30 mg-os és a 40 mg-os dózisok alkalmazása ezeknél a betegeknél ellenjavallt.</w:t>
      </w:r>
    </w:p>
    <w:p w14:paraId="243225C3" w14:textId="77777777" w:rsidR="00835B06" w:rsidRDefault="00835B06">
      <w:pPr>
        <w:widowControl w:val="0"/>
        <w:rPr>
          <w:iCs/>
          <w:szCs w:val="22"/>
          <w:lang w:val="hu-HU" w:eastAsia="en-US"/>
        </w:rPr>
      </w:pPr>
    </w:p>
    <w:p w14:paraId="32DF78BE" w14:textId="77777777" w:rsidR="00835B06" w:rsidRDefault="004D03F7">
      <w:pPr>
        <w:widowControl w:val="0"/>
        <w:rPr>
          <w:iCs/>
          <w:szCs w:val="22"/>
          <w:u w:val="single"/>
          <w:lang w:val="hu-HU" w:eastAsia="en-US"/>
        </w:rPr>
      </w:pPr>
      <w:r>
        <w:rPr>
          <w:iCs/>
          <w:szCs w:val="22"/>
          <w:u w:val="single"/>
          <w:lang w:val="hu-HU" w:eastAsia="en-US"/>
        </w:rPr>
        <w:t>Genetikai polimorfizmusok</w:t>
      </w:r>
    </w:p>
    <w:p w14:paraId="4227CEC4" w14:textId="77777777" w:rsidR="00835B06" w:rsidRDefault="004D03F7">
      <w:pPr>
        <w:rPr>
          <w:szCs w:val="22"/>
          <w:lang w:val="hu-HU"/>
        </w:rPr>
      </w:pPr>
      <w:r>
        <w:rPr>
          <w:szCs w:val="22"/>
          <w:lang w:val="hu-HU"/>
        </w:rPr>
        <w:t>Specifikus típusú genetikai polimorfizmusokról ismert, hogy megnövekedett rozuvasztatin</w:t>
      </w:r>
      <w:r>
        <w:rPr>
          <w:szCs w:val="22"/>
          <w:lang w:val="hu-HU"/>
        </w:rPr>
        <w:noBreakHyphen/>
        <w:t>expozícióhoz vezethetnek (lásd 5.2 pont). Az ismerten ilyen specifikus polimorfizmussal rendelkező betegeknél alacsonyabb napi rozuvasztatin dózis javasolt.</w:t>
      </w:r>
    </w:p>
    <w:p w14:paraId="0C340275" w14:textId="77777777" w:rsidR="00835B06" w:rsidRDefault="00835B06">
      <w:pPr>
        <w:widowControl w:val="0"/>
        <w:rPr>
          <w:iCs/>
          <w:szCs w:val="22"/>
          <w:lang w:val="hu-HU" w:eastAsia="en-US"/>
        </w:rPr>
      </w:pPr>
    </w:p>
    <w:p w14:paraId="424F0065" w14:textId="77777777" w:rsidR="00835B06" w:rsidRDefault="004D03F7">
      <w:pPr>
        <w:widowControl w:val="0"/>
        <w:tabs>
          <w:tab w:val="left" w:pos="567"/>
        </w:tabs>
        <w:rPr>
          <w:szCs w:val="22"/>
          <w:u w:val="single"/>
          <w:lang w:val="hu-HU" w:eastAsia="en-US"/>
        </w:rPr>
      </w:pPr>
      <w:r>
        <w:rPr>
          <w:szCs w:val="22"/>
          <w:u w:val="single"/>
          <w:lang w:val="hu-HU" w:eastAsia="en-US"/>
        </w:rPr>
        <w:t>Adagolás myopathiára hajlamosító tényezőkkel terhelt betegeknél</w:t>
      </w:r>
    </w:p>
    <w:p w14:paraId="6BCEFDE0" w14:textId="44811C7C" w:rsidR="00835B06" w:rsidRDefault="004D03F7">
      <w:pPr>
        <w:widowControl w:val="0"/>
        <w:tabs>
          <w:tab w:val="left" w:pos="567"/>
        </w:tabs>
        <w:rPr>
          <w:szCs w:val="22"/>
          <w:lang w:val="hu-HU" w:eastAsia="en-US"/>
        </w:rPr>
      </w:pPr>
      <w:r>
        <w:rPr>
          <w:szCs w:val="22"/>
          <w:lang w:val="hu-HU" w:eastAsia="en-US"/>
        </w:rPr>
        <w:t xml:space="preserve">Azoknál a betegeknél, akiknél myopathia kialakulására hajlamosító tényezők állnak fenn, rozuvasztatinból 5 mg az ajánlott kezdő dózis (lásd 4.4 pont). A </w:t>
      </w:r>
      <w:r>
        <w:rPr>
          <w:szCs w:val="22"/>
          <w:lang w:val="hu-HU"/>
        </w:rPr>
        <w:t xml:space="preserve">30 mg-os és a </w:t>
      </w:r>
      <w:r>
        <w:rPr>
          <w:szCs w:val="22"/>
          <w:lang w:val="hu-HU" w:eastAsia="en-US"/>
        </w:rPr>
        <w:t xml:space="preserve">40 mg-os dózisok (Roxera Plus 30 mg/10 mg és a 40 mg/10 mg filmtabletták) alkalmazása ellenjavallt ezen betegeknél (lásd 4.3 pont). </w:t>
      </w:r>
    </w:p>
    <w:p w14:paraId="7EEE7CBF" w14:textId="77777777" w:rsidR="00835B06" w:rsidRDefault="00835B06">
      <w:pPr>
        <w:widowControl w:val="0"/>
        <w:tabs>
          <w:tab w:val="left" w:pos="567"/>
        </w:tabs>
        <w:rPr>
          <w:szCs w:val="22"/>
          <w:lang w:val="hu-HU" w:eastAsia="en-US"/>
        </w:rPr>
      </w:pPr>
    </w:p>
    <w:p w14:paraId="1E34ADB0" w14:textId="77777777" w:rsidR="00835B06" w:rsidRDefault="004D03F7">
      <w:pPr>
        <w:widowControl w:val="0"/>
        <w:tabs>
          <w:tab w:val="left" w:pos="567"/>
        </w:tabs>
        <w:rPr>
          <w:szCs w:val="22"/>
          <w:u w:val="single"/>
          <w:lang w:val="hu-HU" w:eastAsia="en-US"/>
        </w:rPr>
      </w:pPr>
      <w:r>
        <w:rPr>
          <w:szCs w:val="22"/>
          <w:u w:val="single"/>
          <w:lang w:val="hu-HU" w:eastAsia="en-US"/>
        </w:rPr>
        <w:t>Egyidejű terápia</w:t>
      </w:r>
    </w:p>
    <w:p w14:paraId="65F80DFB" w14:textId="77777777" w:rsidR="00835B06" w:rsidRDefault="004D03F7">
      <w:pPr>
        <w:pStyle w:val="Szvegtrzs"/>
        <w:rPr>
          <w:szCs w:val="22"/>
          <w:lang w:val="hu-HU" w:eastAsia="en-US"/>
        </w:rPr>
      </w:pPr>
      <w:r>
        <w:rPr>
          <w:szCs w:val="22"/>
          <w:lang w:val="hu-HU" w:eastAsia="en-US"/>
        </w:rPr>
        <w:t>A rozuvasztatin különböző transzportfehérjék szubsztrátja (például OATP1B1 és BCRP). A myopathia (pl. rhabdomyolysis) kockázata fokozódik, amikor a rozuvasztatint egyidejűleg alkalmazzák bizonyos gyógyszerekkel, amelyek megnövelhetik a rozuvasztatin plazmakoncentrációját az adott transzportfehérjével történő interakció következtében (például ciklosporin és bizonyos proteáz</w:t>
      </w:r>
      <w:r>
        <w:rPr>
          <w:szCs w:val="22"/>
          <w:lang w:val="hu-HU" w:eastAsia="en-US"/>
        </w:rPr>
        <w:noBreakHyphen/>
        <w:t>inhibitorok, beleértve a ritonavir kombinációját atazanavirrel, lopinavirrel és/vagy tipranavirrel; lásd 4.4 és 4.5 pont). Amikor csak lehetséges, más gyógyszerek alkalmazását kell megfontolni, és szükség esetén mérlegelni a rozuvasztatin-terápia átmeneti felfüggesztését. Azokban az esetekben, amikor ezeknek a gyógyszereknek az együttes alkalmazása elkerülhetetlen, az egyidejű kezelésnek és a rozuvasztatin-adagolás módosításának előnyét és kockázatát gondosan kell mérlegelni (lásd 4.5 pont).</w:t>
      </w:r>
    </w:p>
    <w:p w14:paraId="783D363D" w14:textId="77777777" w:rsidR="00835B06" w:rsidRDefault="00835B06">
      <w:pPr>
        <w:widowControl w:val="0"/>
        <w:tabs>
          <w:tab w:val="left" w:pos="567"/>
        </w:tabs>
        <w:rPr>
          <w:szCs w:val="22"/>
          <w:lang w:val="hu-HU" w:eastAsia="en-US"/>
        </w:rPr>
      </w:pPr>
    </w:p>
    <w:p w14:paraId="5F56BD1E" w14:textId="77777777" w:rsidR="00835B06" w:rsidRDefault="004D03F7">
      <w:pPr>
        <w:widowControl w:val="0"/>
        <w:tabs>
          <w:tab w:val="left" w:pos="567"/>
        </w:tabs>
        <w:rPr>
          <w:i/>
          <w:szCs w:val="22"/>
          <w:lang w:val="hu-HU" w:eastAsia="en-US"/>
        </w:rPr>
      </w:pPr>
      <w:r>
        <w:rPr>
          <w:i/>
          <w:szCs w:val="22"/>
          <w:lang w:val="hu-HU" w:eastAsia="en-US"/>
        </w:rPr>
        <w:t>Gyermekek és serdülők</w:t>
      </w:r>
    </w:p>
    <w:p w14:paraId="1DA20496" w14:textId="77777777" w:rsidR="00835B06" w:rsidRDefault="004D03F7">
      <w:pPr>
        <w:widowControl w:val="0"/>
        <w:tabs>
          <w:tab w:val="left" w:pos="567"/>
        </w:tabs>
        <w:rPr>
          <w:szCs w:val="22"/>
          <w:lang w:val="hu-HU" w:eastAsia="en-US"/>
        </w:rPr>
      </w:pPr>
      <w:r>
        <w:rPr>
          <w:szCs w:val="22"/>
          <w:lang w:val="hu-HU" w:eastAsia="en-US"/>
        </w:rPr>
        <w:t>A Roxera Plus filmtabletta biztonságosságát és hatásosságát 18 évesnél fiatalabb gyermekek és serdülők esetében nem igazolták. A Roxera Plus filmtabletta alkalmazása 18 év alatti betegeknél nem ajánlott.</w:t>
      </w:r>
    </w:p>
    <w:p w14:paraId="6B96BC6A" w14:textId="77777777" w:rsidR="00835B06" w:rsidRDefault="00835B06">
      <w:pPr>
        <w:widowControl w:val="0"/>
        <w:rPr>
          <w:szCs w:val="22"/>
          <w:lang w:val="hu-HU" w:eastAsia="en-US"/>
        </w:rPr>
      </w:pPr>
    </w:p>
    <w:p w14:paraId="10C72B1E" w14:textId="77777777" w:rsidR="00835B06" w:rsidRDefault="004D03F7">
      <w:pPr>
        <w:widowControl w:val="0"/>
        <w:tabs>
          <w:tab w:val="left" w:pos="567"/>
        </w:tabs>
        <w:rPr>
          <w:szCs w:val="22"/>
          <w:u w:val="single"/>
          <w:lang w:val="hu-HU" w:eastAsia="en-US"/>
        </w:rPr>
      </w:pPr>
      <w:r>
        <w:rPr>
          <w:szCs w:val="22"/>
          <w:u w:val="single"/>
          <w:lang w:val="hu-HU" w:eastAsia="en-US"/>
        </w:rPr>
        <w:t>Az alkalmazás módja</w:t>
      </w:r>
    </w:p>
    <w:p w14:paraId="43CDD412" w14:textId="77777777" w:rsidR="00835B06" w:rsidRDefault="004D03F7">
      <w:pPr>
        <w:pStyle w:val="Szvegtrzs"/>
        <w:rPr>
          <w:szCs w:val="22"/>
          <w:lang w:val="hu-HU"/>
        </w:rPr>
      </w:pPr>
      <w:r>
        <w:rPr>
          <w:szCs w:val="22"/>
          <w:lang w:val="hu-HU"/>
        </w:rPr>
        <w:t>Szájon át történő alkalmazásra.</w:t>
      </w:r>
    </w:p>
    <w:p w14:paraId="4A4D9CE4" w14:textId="77777777" w:rsidR="00835B06" w:rsidRDefault="00835B06">
      <w:pPr>
        <w:widowControl w:val="0"/>
        <w:tabs>
          <w:tab w:val="left" w:pos="567"/>
        </w:tabs>
        <w:rPr>
          <w:szCs w:val="22"/>
          <w:lang w:val="hu-HU" w:eastAsia="en-US"/>
        </w:rPr>
      </w:pPr>
    </w:p>
    <w:p w14:paraId="1E88B551" w14:textId="77777777" w:rsidR="00835B06" w:rsidRDefault="004D03F7">
      <w:pPr>
        <w:widowControl w:val="0"/>
        <w:tabs>
          <w:tab w:val="left" w:pos="567"/>
        </w:tabs>
        <w:rPr>
          <w:szCs w:val="22"/>
          <w:lang w:val="hu-HU" w:eastAsia="en-US"/>
        </w:rPr>
      </w:pPr>
      <w:r>
        <w:rPr>
          <w:b/>
          <w:szCs w:val="22"/>
          <w:lang w:val="hu-HU" w:eastAsia="en-US"/>
        </w:rPr>
        <w:t>4.3</w:t>
      </w:r>
      <w:r>
        <w:rPr>
          <w:b/>
          <w:szCs w:val="22"/>
          <w:lang w:val="hu-HU" w:eastAsia="en-US"/>
        </w:rPr>
        <w:tab/>
        <w:t>Ellenjavallatok</w:t>
      </w:r>
    </w:p>
    <w:p w14:paraId="7DA099C5" w14:textId="77777777" w:rsidR="00835B06" w:rsidRDefault="00835B06">
      <w:pPr>
        <w:widowControl w:val="0"/>
        <w:tabs>
          <w:tab w:val="left" w:pos="567"/>
        </w:tabs>
        <w:rPr>
          <w:szCs w:val="22"/>
          <w:lang w:val="hu-HU" w:eastAsia="en-US"/>
        </w:rPr>
      </w:pPr>
    </w:p>
    <w:p w14:paraId="1538275C" w14:textId="77777777" w:rsidR="00835B06" w:rsidRDefault="004D03F7">
      <w:pPr>
        <w:widowControl w:val="0"/>
        <w:tabs>
          <w:tab w:val="left" w:pos="567"/>
        </w:tabs>
        <w:rPr>
          <w:szCs w:val="22"/>
          <w:lang w:val="hu-HU" w:eastAsia="en-US"/>
        </w:rPr>
      </w:pPr>
      <w:r>
        <w:rPr>
          <w:szCs w:val="22"/>
          <w:lang w:val="hu-HU" w:eastAsia="en-US"/>
        </w:rPr>
        <w:t>A Roxera Plus filmtabletta ellenjavallt:</w:t>
      </w:r>
    </w:p>
    <w:p w14:paraId="264AB397" w14:textId="77777777" w:rsidR="00835B06" w:rsidRDefault="004D03F7">
      <w:pPr>
        <w:pStyle w:val="Szvegtrzs"/>
        <w:numPr>
          <w:ilvl w:val="0"/>
          <w:numId w:val="37"/>
        </w:numPr>
        <w:tabs>
          <w:tab w:val="clear" w:pos="8505"/>
        </w:tabs>
        <w:ind w:right="0"/>
        <w:rPr>
          <w:szCs w:val="22"/>
          <w:lang w:val="hu-HU"/>
        </w:rPr>
      </w:pPr>
      <w:r>
        <w:rPr>
          <w:szCs w:val="22"/>
          <w:lang w:val="hu-HU"/>
        </w:rPr>
        <w:t>a készítmény hatóanyagaival (rozuvasztatin, ezetimib) vagy a 6.1 pontban felsorolt bármely segédanyagával szembeni túlérzékenység esetén.</w:t>
      </w:r>
    </w:p>
    <w:p w14:paraId="1AD8600E" w14:textId="044268D7" w:rsidR="00835B06" w:rsidRDefault="004D03F7">
      <w:pPr>
        <w:pStyle w:val="Szvegtrzs"/>
        <w:numPr>
          <w:ilvl w:val="0"/>
          <w:numId w:val="37"/>
        </w:numPr>
        <w:tabs>
          <w:tab w:val="clear" w:pos="8505"/>
        </w:tabs>
        <w:ind w:right="0"/>
        <w:rPr>
          <w:szCs w:val="22"/>
          <w:lang w:val="hu-HU"/>
        </w:rPr>
      </w:pPr>
      <w:r>
        <w:rPr>
          <w:szCs w:val="22"/>
          <w:lang w:val="hu-HU"/>
        </w:rPr>
        <w:t>aktív májbetegségben szenvedő betegeknél, beleértve a szérum transzaminázszintjének ismeretlen eredetű, tartós emelkedését, valamint bármilyen szérum transzaminázszint-emelkedést, amennyiben az a normálérték felső határának (ULN, Upper Level of Normal) háromszorosát meghaladja.</w:t>
      </w:r>
    </w:p>
    <w:p w14:paraId="79E9B566" w14:textId="77777777" w:rsidR="00835B06" w:rsidRDefault="004D03F7">
      <w:pPr>
        <w:pStyle w:val="Szvegtrzs"/>
        <w:numPr>
          <w:ilvl w:val="0"/>
          <w:numId w:val="37"/>
        </w:numPr>
        <w:tabs>
          <w:tab w:val="clear" w:pos="8505"/>
        </w:tabs>
        <w:ind w:right="0"/>
        <w:rPr>
          <w:szCs w:val="22"/>
          <w:lang w:val="hu-HU"/>
        </w:rPr>
      </w:pPr>
      <w:r>
        <w:rPr>
          <w:szCs w:val="22"/>
          <w:lang w:val="hu-HU"/>
        </w:rPr>
        <w:t xml:space="preserve">súlyos vesekárosodásban szenvedőknél (kreatinin-clearance </w:t>
      </w:r>
      <w:r>
        <w:rPr>
          <w:szCs w:val="22"/>
          <w:lang w:val="hu-HU"/>
        </w:rPr>
        <w:sym w:font="Symbol" w:char="F03C"/>
      </w:r>
      <w:r>
        <w:rPr>
          <w:szCs w:val="22"/>
          <w:lang w:val="hu-HU"/>
        </w:rPr>
        <w:t> 30 ml/perc).</w:t>
      </w:r>
    </w:p>
    <w:p w14:paraId="15E112BA" w14:textId="77777777" w:rsidR="00835B06" w:rsidRDefault="004D03F7">
      <w:pPr>
        <w:pStyle w:val="Szvegtrzs"/>
        <w:numPr>
          <w:ilvl w:val="0"/>
          <w:numId w:val="37"/>
        </w:numPr>
        <w:tabs>
          <w:tab w:val="clear" w:pos="8505"/>
        </w:tabs>
        <w:ind w:right="0"/>
        <w:rPr>
          <w:szCs w:val="22"/>
          <w:lang w:val="hu-HU"/>
        </w:rPr>
      </w:pPr>
      <w:r>
        <w:rPr>
          <w:szCs w:val="22"/>
          <w:lang w:val="hu-HU"/>
        </w:rPr>
        <w:t>myopathiában szenvedő betegeknél.</w:t>
      </w:r>
    </w:p>
    <w:p w14:paraId="76982908" w14:textId="77777777" w:rsidR="00835B06" w:rsidRDefault="004D03F7">
      <w:pPr>
        <w:pStyle w:val="Szvegtrzs"/>
        <w:numPr>
          <w:ilvl w:val="0"/>
          <w:numId w:val="37"/>
        </w:numPr>
        <w:tabs>
          <w:tab w:val="clear" w:pos="8505"/>
        </w:tabs>
        <w:ind w:right="0"/>
        <w:rPr>
          <w:szCs w:val="22"/>
          <w:lang w:val="hu-HU"/>
        </w:rPr>
      </w:pPr>
      <w:r>
        <w:rPr>
          <w:szCs w:val="22"/>
          <w:lang w:val="hu-HU"/>
        </w:rPr>
        <w:t>olyan betegeknél, akiket egyidejűleg szofoszbuvir/velpataszvir/voxilaprevir kombinációjával kezelnek (lásd 4.5. pont).</w:t>
      </w:r>
    </w:p>
    <w:p w14:paraId="466B1257" w14:textId="77777777" w:rsidR="00835B06" w:rsidRDefault="004D03F7">
      <w:pPr>
        <w:pStyle w:val="Szvegtrzs"/>
        <w:numPr>
          <w:ilvl w:val="0"/>
          <w:numId w:val="37"/>
        </w:numPr>
        <w:tabs>
          <w:tab w:val="clear" w:pos="8505"/>
        </w:tabs>
        <w:ind w:right="0"/>
        <w:rPr>
          <w:szCs w:val="22"/>
          <w:lang w:val="hu-HU"/>
        </w:rPr>
      </w:pPr>
      <w:r>
        <w:rPr>
          <w:szCs w:val="22"/>
          <w:lang w:val="hu-HU"/>
        </w:rPr>
        <w:t>ciklosporin egyidejű alkalmazásakor.</w:t>
      </w:r>
    </w:p>
    <w:p w14:paraId="14AB65F4" w14:textId="77777777" w:rsidR="00835B06" w:rsidRDefault="004D03F7">
      <w:pPr>
        <w:pStyle w:val="Szvegtrzs"/>
        <w:numPr>
          <w:ilvl w:val="0"/>
          <w:numId w:val="37"/>
        </w:numPr>
        <w:tabs>
          <w:tab w:val="clear" w:pos="8505"/>
        </w:tabs>
        <w:ind w:right="0"/>
        <w:rPr>
          <w:szCs w:val="22"/>
          <w:lang w:val="hu-HU"/>
        </w:rPr>
      </w:pPr>
      <w:r>
        <w:rPr>
          <w:szCs w:val="22"/>
          <w:lang w:val="hu-HU"/>
        </w:rPr>
        <w:t>terhesség és szoptatás ideje alatt, illetve ha a fogamzóképes nő nem alkalmaz megfelelő fogamzásgátló módszert.</w:t>
      </w:r>
    </w:p>
    <w:p w14:paraId="0E730D06" w14:textId="77777777" w:rsidR="00835B06" w:rsidRDefault="00835B06">
      <w:pPr>
        <w:widowControl w:val="0"/>
        <w:tabs>
          <w:tab w:val="left" w:pos="567"/>
        </w:tabs>
        <w:rPr>
          <w:szCs w:val="22"/>
          <w:lang w:val="hu-HU" w:eastAsia="en-US"/>
        </w:rPr>
      </w:pPr>
    </w:p>
    <w:p w14:paraId="6EC74850" w14:textId="77777777" w:rsidR="00835B06" w:rsidRDefault="004D03F7">
      <w:pPr>
        <w:keepNext/>
        <w:tabs>
          <w:tab w:val="left" w:pos="567"/>
        </w:tabs>
        <w:rPr>
          <w:szCs w:val="22"/>
          <w:lang w:val="hu-HU" w:eastAsia="en-US"/>
        </w:rPr>
      </w:pPr>
      <w:r>
        <w:rPr>
          <w:szCs w:val="22"/>
          <w:lang w:val="hu-HU" w:eastAsia="en-US"/>
        </w:rPr>
        <w:t>A Roxera Plus filmtabletta 30 mg/10 mg-os és 40 mg/10 mg-os hatáserősségei ellenjavalltak myopathiára/rhabdomyolysisre hajlamosító tényezők fennállása esetén, többek között:</w:t>
      </w:r>
    </w:p>
    <w:p w14:paraId="6E2E1A8C" w14:textId="77777777" w:rsidR="00835B06" w:rsidRDefault="004D03F7">
      <w:pPr>
        <w:pStyle w:val="Szvegtrzs"/>
        <w:numPr>
          <w:ilvl w:val="0"/>
          <w:numId w:val="37"/>
        </w:numPr>
        <w:tabs>
          <w:tab w:val="clear" w:pos="8505"/>
        </w:tabs>
        <w:ind w:right="0"/>
        <w:rPr>
          <w:szCs w:val="22"/>
          <w:lang w:val="hu-HU"/>
        </w:rPr>
      </w:pPr>
      <w:r>
        <w:rPr>
          <w:szCs w:val="22"/>
          <w:lang w:val="hu-HU"/>
        </w:rPr>
        <w:t>közepesen súlyos vesekárosodásban (kreatinin-clearance &lt; 60 ml/perc),</w:t>
      </w:r>
    </w:p>
    <w:p w14:paraId="79BD65DE" w14:textId="77777777" w:rsidR="00835B06" w:rsidRDefault="004D03F7">
      <w:pPr>
        <w:pStyle w:val="Szvegtrzs"/>
        <w:numPr>
          <w:ilvl w:val="0"/>
          <w:numId w:val="37"/>
        </w:numPr>
        <w:tabs>
          <w:tab w:val="clear" w:pos="8505"/>
        </w:tabs>
        <w:ind w:right="0"/>
        <w:rPr>
          <w:szCs w:val="22"/>
          <w:lang w:val="hu-HU"/>
        </w:rPr>
      </w:pPr>
      <w:r>
        <w:rPr>
          <w:szCs w:val="22"/>
          <w:lang w:val="hu-HU"/>
        </w:rPr>
        <w:t>hypothyreosisban,</w:t>
      </w:r>
    </w:p>
    <w:p w14:paraId="71F9DCF9" w14:textId="77777777" w:rsidR="00835B06" w:rsidRDefault="004D03F7">
      <w:pPr>
        <w:pStyle w:val="Szvegtrzs"/>
        <w:numPr>
          <w:ilvl w:val="0"/>
          <w:numId w:val="37"/>
        </w:numPr>
        <w:tabs>
          <w:tab w:val="clear" w:pos="8505"/>
        </w:tabs>
        <w:ind w:right="0"/>
        <w:rPr>
          <w:szCs w:val="22"/>
          <w:lang w:val="hu-HU"/>
        </w:rPr>
      </w:pPr>
      <w:r>
        <w:rPr>
          <w:szCs w:val="22"/>
          <w:lang w:val="hu-HU"/>
        </w:rPr>
        <w:t>az egyéni, vagy a családi anamnézisben szereplő, örökletes izombetegség esetén,</w:t>
      </w:r>
    </w:p>
    <w:p w14:paraId="199F28E2" w14:textId="77777777" w:rsidR="00835B06" w:rsidRDefault="004D03F7">
      <w:pPr>
        <w:pStyle w:val="Szvegtrzs"/>
        <w:numPr>
          <w:ilvl w:val="0"/>
          <w:numId w:val="37"/>
        </w:numPr>
        <w:tabs>
          <w:tab w:val="clear" w:pos="8505"/>
        </w:tabs>
        <w:ind w:right="0"/>
        <w:rPr>
          <w:szCs w:val="22"/>
          <w:lang w:val="hu-HU"/>
        </w:rPr>
      </w:pPr>
      <w:r>
        <w:rPr>
          <w:szCs w:val="22"/>
          <w:lang w:val="hu-HU"/>
        </w:rPr>
        <w:t>más HMG-CoA reduktáz-gátló, vagy fibrát alkalmazásához társuló toxikus izomkárosodás kórelőzménye esetén,</w:t>
      </w:r>
    </w:p>
    <w:p w14:paraId="09F01349" w14:textId="77777777" w:rsidR="00835B06" w:rsidRDefault="004D03F7">
      <w:pPr>
        <w:pStyle w:val="Szvegtrzs"/>
        <w:numPr>
          <w:ilvl w:val="0"/>
          <w:numId w:val="37"/>
        </w:numPr>
        <w:tabs>
          <w:tab w:val="clear" w:pos="8505"/>
        </w:tabs>
        <w:ind w:right="0"/>
        <w:rPr>
          <w:szCs w:val="22"/>
          <w:lang w:val="hu-HU"/>
        </w:rPr>
      </w:pPr>
      <w:r>
        <w:rPr>
          <w:szCs w:val="22"/>
          <w:lang w:val="hu-HU"/>
        </w:rPr>
        <w:t>alkoholabúzus esetén,</w:t>
      </w:r>
    </w:p>
    <w:p w14:paraId="5A209F4D" w14:textId="77777777" w:rsidR="00835B06" w:rsidRDefault="004D03F7">
      <w:pPr>
        <w:pStyle w:val="Szvegtrzs"/>
        <w:numPr>
          <w:ilvl w:val="0"/>
          <w:numId w:val="37"/>
        </w:numPr>
        <w:tabs>
          <w:tab w:val="clear" w:pos="8505"/>
        </w:tabs>
        <w:ind w:right="0"/>
        <w:rPr>
          <w:szCs w:val="22"/>
          <w:lang w:val="hu-HU"/>
        </w:rPr>
      </w:pPr>
      <w:r>
        <w:rPr>
          <w:szCs w:val="22"/>
          <w:lang w:val="hu-HU"/>
        </w:rPr>
        <w:t>olyan esetekben, amikor a rozuvasztatin plazmakoncentrációjának emelkedése fordulhat elő,</w:t>
      </w:r>
    </w:p>
    <w:p w14:paraId="308C2743" w14:textId="77777777" w:rsidR="00835B06" w:rsidRDefault="004D03F7">
      <w:pPr>
        <w:pStyle w:val="Szvegtrzs"/>
        <w:numPr>
          <w:ilvl w:val="0"/>
          <w:numId w:val="37"/>
        </w:numPr>
        <w:tabs>
          <w:tab w:val="clear" w:pos="8505"/>
        </w:tabs>
        <w:ind w:right="0"/>
        <w:rPr>
          <w:szCs w:val="22"/>
          <w:lang w:val="hu-HU"/>
        </w:rPr>
      </w:pPr>
      <w:r>
        <w:rPr>
          <w:szCs w:val="22"/>
          <w:lang w:val="hu-HU"/>
        </w:rPr>
        <w:t>ázsiai származású betegek esetében,</w:t>
      </w:r>
    </w:p>
    <w:p w14:paraId="0BCB0A76" w14:textId="77777777" w:rsidR="00835B06" w:rsidRDefault="004D03F7">
      <w:pPr>
        <w:pStyle w:val="Szvegtrzs"/>
        <w:numPr>
          <w:ilvl w:val="0"/>
          <w:numId w:val="37"/>
        </w:numPr>
        <w:tabs>
          <w:tab w:val="clear" w:pos="8505"/>
        </w:tabs>
        <w:ind w:right="0"/>
        <w:rPr>
          <w:szCs w:val="22"/>
          <w:lang w:val="hu-HU"/>
        </w:rPr>
      </w:pPr>
      <w:r>
        <w:rPr>
          <w:szCs w:val="22"/>
          <w:lang w:val="hu-HU"/>
        </w:rPr>
        <w:t>fibrátok egyidejű alkalmazása során (lásd 4.4, 4.5, és 5.2 pont).</w:t>
      </w:r>
    </w:p>
    <w:p w14:paraId="075D1189" w14:textId="77777777" w:rsidR="00835B06" w:rsidRDefault="00835B06">
      <w:pPr>
        <w:pStyle w:val="Szvegtrzs"/>
        <w:numPr>
          <w:ilvl w:val="0"/>
          <w:numId w:val="0"/>
        </w:numPr>
        <w:tabs>
          <w:tab w:val="clear" w:pos="8505"/>
        </w:tabs>
        <w:ind w:right="0"/>
        <w:rPr>
          <w:szCs w:val="22"/>
          <w:lang w:val="hu-HU"/>
        </w:rPr>
      </w:pPr>
    </w:p>
    <w:p w14:paraId="18765EE2" w14:textId="77777777" w:rsidR="00835B06" w:rsidRDefault="004D03F7">
      <w:pPr>
        <w:widowControl w:val="0"/>
        <w:tabs>
          <w:tab w:val="left" w:pos="567"/>
        </w:tabs>
        <w:rPr>
          <w:szCs w:val="22"/>
          <w:lang w:val="hu-HU" w:eastAsia="en-US"/>
        </w:rPr>
      </w:pPr>
      <w:r>
        <w:rPr>
          <w:b/>
          <w:szCs w:val="22"/>
          <w:lang w:val="hu-HU" w:eastAsia="en-US"/>
        </w:rPr>
        <w:t>4.4</w:t>
      </w:r>
      <w:r>
        <w:rPr>
          <w:b/>
          <w:szCs w:val="22"/>
          <w:lang w:val="hu-HU" w:eastAsia="en-US"/>
        </w:rPr>
        <w:tab/>
        <w:t>Különleges figyelmeztetések és az alkalmazással kapcsolatos óvintézkedések</w:t>
      </w:r>
    </w:p>
    <w:p w14:paraId="1022BABA" w14:textId="77777777" w:rsidR="00835B06" w:rsidRDefault="00835B06">
      <w:pPr>
        <w:widowControl w:val="0"/>
        <w:tabs>
          <w:tab w:val="left" w:pos="567"/>
        </w:tabs>
        <w:rPr>
          <w:szCs w:val="22"/>
          <w:lang w:val="hu-HU" w:eastAsia="en-US"/>
        </w:rPr>
      </w:pPr>
    </w:p>
    <w:p w14:paraId="1F623502" w14:textId="77777777" w:rsidR="00835B06" w:rsidRDefault="004D03F7">
      <w:pPr>
        <w:widowControl w:val="0"/>
        <w:rPr>
          <w:szCs w:val="22"/>
          <w:u w:val="single"/>
          <w:lang w:val="hu-HU"/>
        </w:rPr>
      </w:pPr>
      <w:r>
        <w:rPr>
          <w:szCs w:val="22"/>
          <w:u w:val="single"/>
          <w:lang w:val="hu-HU"/>
        </w:rPr>
        <w:t>Vesére gyakorolt hatások</w:t>
      </w:r>
    </w:p>
    <w:p w14:paraId="1598537D" w14:textId="77777777" w:rsidR="00835B06" w:rsidRDefault="004D03F7">
      <w:pPr>
        <w:rPr>
          <w:szCs w:val="22"/>
          <w:lang w:val="hu-HU"/>
        </w:rPr>
      </w:pPr>
      <w:r>
        <w:rPr>
          <w:szCs w:val="22"/>
          <w:lang w:val="hu-HU"/>
        </w:rPr>
        <w:t xml:space="preserve">Magasabb rozuvasztatin dózissal, különösen a 40 mg-os adaggal kezelt betegek esetében tesztcsíkkal kimutatott, főleg tubuláris eredetű proteinuriát figyeltek meg, amely az esetek többségében átmeneti volt, vagy csak időszakosan jelentkezett. Nem igazolták, hogy a proteinuria akut vagy súlyosbodó vesebetegség kialakulását jelezné (lásd. 4.8 pont). A posztmarketing alkalmazás során a súlyos renális események bejelentési gyakorisága magasabb a rozuvasztatin 40 mg-os dózisának alkalmazása mellett. A </w:t>
      </w:r>
      <w:r>
        <w:rPr>
          <w:szCs w:val="22"/>
          <w:lang w:val="hu-HU" w:eastAsia="en-US"/>
        </w:rPr>
        <w:t>30 mg-os vagy</w:t>
      </w:r>
      <w:r>
        <w:rPr>
          <w:szCs w:val="22"/>
          <w:lang w:val="hu-HU"/>
        </w:rPr>
        <w:t xml:space="preserve"> 40 mg-os dózissal kezelt betegek rutin követése során megfontolandó a vesefunkció ellenőrzése.</w:t>
      </w:r>
    </w:p>
    <w:p w14:paraId="0FC79A03" w14:textId="77777777" w:rsidR="00835B06" w:rsidRDefault="00835B06">
      <w:pPr>
        <w:widowControl w:val="0"/>
        <w:rPr>
          <w:szCs w:val="22"/>
          <w:lang w:val="hu-HU"/>
        </w:rPr>
      </w:pPr>
    </w:p>
    <w:p w14:paraId="776C1005" w14:textId="77777777" w:rsidR="00835B06" w:rsidRDefault="004D03F7">
      <w:pPr>
        <w:tabs>
          <w:tab w:val="left" w:pos="567"/>
        </w:tabs>
        <w:spacing w:line="240" w:lineRule="exact"/>
        <w:rPr>
          <w:szCs w:val="22"/>
          <w:u w:val="single"/>
        </w:rPr>
      </w:pPr>
      <w:r>
        <w:rPr>
          <w:szCs w:val="22"/>
          <w:u w:val="single"/>
        </w:rPr>
        <w:t>Myastehnia gravis</w:t>
      </w:r>
      <w:r>
        <w:rPr>
          <w:u w:val="single"/>
        </w:rPr>
        <w:t xml:space="preserve"> vagy ocularis myasthenia</w:t>
      </w:r>
    </w:p>
    <w:p w14:paraId="07AF9318" w14:textId="77777777" w:rsidR="00835B06" w:rsidRDefault="004D03F7">
      <w:pPr>
        <w:rPr>
          <w:szCs w:val="22"/>
        </w:rPr>
      </w:pPr>
      <w:r>
        <w:rPr>
          <w:szCs w:val="22"/>
        </w:rPr>
        <w:t xml:space="preserve">Néhány esetben beszámoltak arról, hogy a sztatinok </w:t>
      </w:r>
      <w:r>
        <w:rPr>
          <w:i/>
          <w:szCs w:val="22"/>
        </w:rPr>
        <w:t>de novo</w:t>
      </w:r>
      <w:r>
        <w:rPr>
          <w:szCs w:val="22"/>
        </w:rPr>
        <w:t xml:space="preserve"> myasthenia gravist vagy ocularis myastheniát okoztak, illetve súlyosbították ezeket, ha már korábban is fennálltak (lásd 4.8 pont). A Roxera Plus filmtabletta alkalmazását le kell állítani, ha a tünetek súlyosbodnak. Beszámoltak a tünetek kiújulásáról, miután a beteg (ismét) alkalmazni kezdte ugyanazt vagy egy másik sztatint.</w:t>
      </w:r>
    </w:p>
    <w:p w14:paraId="75AABC2F" w14:textId="77777777" w:rsidR="00835B06" w:rsidRDefault="00835B06">
      <w:pPr>
        <w:widowControl w:val="0"/>
        <w:rPr>
          <w:szCs w:val="22"/>
          <w:u w:val="single"/>
          <w:lang w:val="hu-HU"/>
        </w:rPr>
      </w:pPr>
    </w:p>
    <w:p w14:paraId="32024751" w14:textId="77777777" w:rsidR="00835B06" w:rsidRDefault="004D03F7">
      <w:pPr>
        <w:widowControl w:val="0"/>
        <w:rPr>
          <w:szCs w:val="22"/>
          <w:u w:val="single"/>
          <w:lang w:val="hu-HU"/>
        </w:rPr>
      </w:pPr>
      <w:r>
        <w:rPr>
          <w:szCs w:val="22"/>
          <w:u w:val="single"/>
          <w:lang w:val="hu-HU"/>
        </w:rPr>
        <w:t>A vázizomzatra kifejtett hatások</w:t>
      </w:r>
    </w:p>
    <w:p w14:paraId="1C76CC2A" w14:textId="77777777" w:rsidR="00835B06" w:rsidRDefault="004D03F7">
      <w:pPr>
        <w:rPr>
          <w:szCs w:val="22"/>
          <w:lang w:val="hu-HU"/>
        </w:rPr>
      </w:pPr>
      <w:r>
        <w:rPr>
          <w:szCs w:val="22"/>
          <w:lang w:val="hu-HU"/>
        </w:rPr>
        <w:t>A vázizmok érintettségéről (pl. myalgia, myopathia és ritkán rhabdomyolysis) számoltak be rozuvasztatinnal kezelt betegeknél, mindegyik dózis, de legfőképpen a 20 mg-nál nagyobb adagok alkalmazásakor. Rhabdomyolysis nagyon ritka eseteit jelentették ezetimib és HMG</w:t>
      </w:r>
      <w:r>
        <w:rPr>
          <w:szCs w:val="22"/>
          <w:lang w:val="hu-HU"/>
        </w:rPr>
        <w:noBreakHyphen/>
        <w:t>CoA</w:t>
      </w:r>
      <w:r>
        <w:rPr>
          <w:szCs w:val="22"/>
          <w:lang w:val="hu-HU"/>
        </w:rPr>
        <w:noBreakHyphen/>
        <w:t>reduktáz</w:t>
      </w:r>
      <w:r>
        <w:rPr>
          <w:szCs w:val="22"/>
          <w:lang w:val="hu-HU"/>
        </w:rPr>
        <w:noBreakHyphen/>
        <w:t>inhibitorok kombinációinak alkalmazásakor. Más HMG</w:t>
      </w:r>
      <w:r>
        <w:rPr>
          <w:szCs w:val="22"/>
          <w:lang w:val="hu-HU"/>
        </w:rPr>
        <w:noBreakHyphen/>
        <w:t>CoA</w:t>
      </w:r>
      <w:r>
        <w:rPr>
          <w:szCs w:val="22"/>
          <w:lang w:val="hu-HU"/>
        </w:rPr>
        <w:noBreakHyphen/>
        <w:t>reduktáz</w:t>
      </w:r>
      <w:r>
        <w:rPr>
          <w:szCs w:val="22"/>
          <w:lang w:val="hu-HU"/>
        </w:rPr>
        <w:noBreakHyphen/>
        <w:t>inhibitorokhoz hasonlóan, a forgalomba hozatalt követő alkalmazás során a rozuvasztatin adásával összefüggésbe hozható rhabdomyolysises esetek bejelentésének gyakorisága magasabb a 40 mg-os dózisnál.</w:t>
      </w:r>
    </w:p>
    <w:p w14:paraId="148323A7" w14:textId="77777777" w:rsidR="00835B06" w:rsidRDefault="00835B06">
      <w:pPr>
        <w:rPr>
          <w:szCs w:val="22"/>
          <w:lang w:val="hu-HU"/>
        </w:rPr>
      </w:pPr>
    </w:p>
    <w:p w14:paraId="05FB8095" w14:textId="77777777" w:rsidR="00835B06" w:rsidRDefault="004D03F7">
      <w:pPr>
        <w:rPr>
          <w:szCs w:val="22"/>
          <w:lang w:val="hu-HU"/>
        </w:rPr>
      </w:pPr>
      <w:r>
        <w:rPr>
          <w:szCs w:val="22"/>
          <w:lang w:val="hu-HU"/>
        </w:rPr>
        <w:t xml:space="preserve">Az ezetimib forgalomba hozatalát követően myopathiáról és rhabdomyolysisről számoltak be. A legtöbb beteg, akinél rhabdomyolysis alakult ki, az ezetimib mellett sztatint is szedett. </w:t>
      </w:r>
      <w:r>
        <w:rPr>
          <w:lang w:val="hu-HU"/>
        </w:rPr>
        <w:t xml:space="preserve">Ha myopathia gyanúja áll fenn az izomtünetek alapján, illetve bizonyított a kreatin-foszfokináz szintje alapján (&gt; 10×ULN), azonnal fel kell függeszteni az ezetimib, bármely sztatin, vagy bármely más említett szer alkalmazását, melyeket a beteg egyidejűleg szed. </w:t>
      </w:r>
      <w:r>
        <w:rPr>
          <w:szCs w:val="22"/>
          <w:lang w:val="hu-HU"/>
        </w:rPr>
        <w:t>Minden Roxera Plus-kezelést megkezdő beteget tájékoztatni kell a myopathia kockázatáról. Figyelmeztetni kell őket arra is, hogy azonnal számoljanak be bármiféle izomfájdalomról, izomérzékenységről vagy izomgyengeségről (lásd 4.8 pont).</w:t>
      </w:r>
    </w:p>
    <w:p w14:paraId="1C808F79" w14:textId="77777777" w:rsidR="00835B06" w:rsidRDefault="00835B06">
      <w:pPr>
        <w:widowControl w:val="0"/>
        <w:rPr>
          <w:lang w:val="hu-HU"/>
        </w:rPr>
      </w:pPr>
    </w:p>
    <w:p w14:paraId="0B0CE968" w14:textId="77777777" w:rsidR="00835B06" w:rsidRDefault="004D03F7">
      <w:pPr>
        <w:widowControl w:val="0"/>
        <w:rPr>
          <w:i/>
          <w:szCs w:val="22"/>
          <w:lang w:val="hu-HU"/>
        </w:rPr>
      </w:pPr>
      <w:r>
        <w:rPr>
          <w:i/>
          <w:szCs w:val="22"/>
          <w:lang w:val="hu-HU"/>
        </w:rPr>
        <w:t>A kreatin-kináz-szint mérése</w:t>
      </w:r>
    </w:p>
    <w:p w14:paraId="0962E319" w14:textId="77777777" w:rsidR="00835B06" w:rsidRDefault="004D03F7">
      <w:pPr>
        <w:rPr>
          <w:szCs w:val="22"/>
          <w:lang w:val="hu-HU"/>
        </w:rPr>
      </w:pPr>
      <w:r>
        <w:rPr>
          <w:szCs w:val="22"/>
          <w:lang w:val="hu-HU"/>
        </w:rPr>
        <w:t>A kreatin-kináz- (CK) szintet nem szabad kimerítő edzés után vagy a CK-szint-emelkedés egyéb kézenfekvő okának fennállása esetén mérni, mert ez a mérési eredmény értékelésében félrevezető lehet. Amennyiben a kiindulási CK-szint szignifikánsan emelkedett (&gt; 5×ULN), 5</w:t>
      </w:r>
      <w:r>
        <w:rPr>
          <w:szCs w:val="22"/>
          <w:lang w:val="hu-HU"/>
        </w:rPr>
        <w:noBreakHyphen/>
        <w:t>7 napon belül ellenőrző mérést kell végezni. Ha az ismételt mérés megerősíti a kiindulási CK-szint &gt; 5×ULN értéket, akkor nem szabad megkezdeni a kezelést.</w:t>
      </w:r>
    </w:p>
    <w:p w14:paraId="31AEDEEB" w14:textId="77777777" w:rsidR="00835B06" w:rsidRDefault="00835B06">
      <w:pPr>
        <w:widowControl w:val="0"/>
        <w:rPr>
          <w:szCs w:val="22"/>
          <w:lang w:val="hu-HU"/>
        </w:rPr>
      </w:pPr>
    </w:p>
    <w:p w14:paraId="1CAAB6FD" w14:textId="77777777" w:rsidR="00835B06" w:rsidRDefault="004D03F7">
      <w:pPr>
        <w:rPr>
          <w:i/>
          <w:iCs/>
          <w:szCs w:val="22"/>
          <w:lang w:val="hu-HU"/>
        </w:rPr>
      </w:pPr>
      <w:r>
        <w:rPr>
          <w:i/>
          <w:iCs/>
          <w:szCs w:val="22"/>
          <w:lang w:val="hu-HU"/>
        </w:rPr>
        <w:t>A kezelés megkezdése előtt</w:t>
      </w:r>
    </w:p>
    <w:p w14:paraId="5C3AC4AD" w14:textId="77777777" w:rsidR="00835B06" w:rsidRDefault="004D03F7">
      <w:pPr>
        <w:keepNext/>
        <w:widowControl w:val="0"/>
        <w:rPr>
          <w:szCs w:val="22"/>
          <w:lang w:val="hu-HU"/>
        </w:rPr>
      </w:pPr>
      <w:r>
        <w:rPr>
          <w:szCs w:val="22"/>
          <w:lang w:val="hu-HU"/>
        </w:rPr>
        <w:t xml:space="preserve">A </w:t>
      </w:r>
      <w:r>
        <w:rPr>
          <w:szCs w:val="22"/>
          <w:lang w:val="hu-HU" w:eastAsia="en-US"/>
        </w:rPr>
        <w:t xml:space="preserve">Roxera Plus filmtablettát </w:t>
      </w:r>
      <w:r>
        <w:rPr>
          <w:szCs w:val="22"/>
          <w:lang w:val="hu-HU"/>
        </w:rPr>
        <w:t>– más HMG-CoA-reduktáz-inhibitorokhoz hasonlóan – csak elővigyázatossággal szabad felírni myopathia/rhabdomyolysis kialakulására hajlamosító tényezőkkel terhelt betegeknek. Ezek a tényezők többek között:</w:t>
      </w:r>
    </w:p>
    <w:p w14:paraId="55980699" w14:textId="77777777" w:rsidR="00835B06" w:rsidRDefault="004D03F7">
      <w:pPr>
        <w:numPr>
          <w:ilvl w:val="0"/>
          <w:numId w:val="43"/>
        </w:numPr>
        <w:tabs>
          <w:tab w:val="clear" w:pos="720"/>
        </w:tabs>
        <w:suppressAutoHyphens/>
        <w:ind w:left="568" w:hanging="284"/>
        <w:rPr>
          <w:szCs w:val="22"/>
          <w:lang w:val="hu-HU"/>
        </w:rPr>
      </w:pPr>
      <w:r>
        <w:rPr>
          <w:szCs w:val="22"/>
          <w:lang w:val="hu-HU"/>
        </w:rPr>
        <w:t>vesekárosodás,</w:t>
      </w:r>
    </w:p>
    <w:p w14:paraId="44420F0C" w14:textId="77777777" w:rsidR="00835B06" w:rsidRDefault="004D03F7">
      <w:pPr>
        <w:widowControl w:val="0"/>
        <w:numPr>
          <w:ilvl w:val="0"/>
          <w:numId w:val="43"/>
        </w:numPr>
        <w:tabs>
          <w:tab w:val="clear" w:pos="720"/>
        </w:tabs>
        <w:suppressAutoHyphens/>
        <w:ind w:left="567" w:hanging="283"/>
        <w:rPr>
          <w:szCs w:val="22"/>
          <w:lang w:val="hu-HU"/>
        </w:rPr>
      </w:pPr>
      <w:r>
        <w:rPr>
          <w:szCs w:val="22"/>
          <w:lang w:val="hu-HU"/>
        </w:rPr>
        <w:t>hypothyreosis,</w:t>
      </w:r>
    </w:p>
    <w:p w14:paraId="354815AE" w14:textId="77777777" w:rsidR="00835B06" w:rsidRDefault="004D03F7">
      <w:pPr>
        <w:widowControl w:val="0"/>
        <w:numPr>
          <w:ilvl w:val="0"/>
          <w:numId w:val="43"/>
        </w:numPr>
        <w:tabs>
          <w:tab w:val="clear" w:pos="720"/>
        </w:tabs>
        <w:suppressAutoHyphens/>
        <w:ind w:left="567" w:hanging="283"/>
        <w:rPr>
          <w:szCs w:val="22"/>
          <w:lang w:val="hu-HU"/>
        </w:rPr>
      </w:pPr>
      <w:r>
        <w:rPr>
          <w:szCs w:val="22"/>
          <w:lang w:val="hu-HU"/>
        </w:rPr>
        <w:t>örökletes izombetegségek egyéni megjelenése, vagy családi anamnézise,</w:t>
      </w:r>
    </w:p>
    <w:p w14:paraId="29747147" w14:textId="77777777" w:rsidR="00835B06" w:rsidRDefault="004D03F7">
      <w:pPr>
        <w:widowControl w:val="0"/>
        <w:numPr>
          <w:ilvl w:val="0"/>
          <w:numId w:val="43"/>
        </w:numPr>
        <w:suppressAutoHyphens/>
        <w:ind w:left="567" w:hanging="283"/>
        <w:rPr>
          <w:szCs w:val="22"/>
          <w:lang w:val="hu-HU"/>
        </w:rPr>
      </w:pPr>
      <w:r>
        <w:rPr>
          <w:szCs w:val="22"/>
          <w:lang w:val="hu-HU"/>
        </w:rPr>
        <w:t>az anamnézisben, egyéb HMG-CoA-reduktáz-inhibitor vagy fibrát-kezelés hatására kialakult izomkárosodás,</w:t>
      </w:r>
    </w:p>
    <w:p w14:paraId="732A8C0E" w14:textId="77777777" w:rsidR="00835B06" w:rsidRDefault="004D03F7">
      <w:pPr>
        <w:widowControl w:val="0"/>
        <w:numPr>
          <w:ilvl w:val="0"/>
          <w:numId w:val="43"/>
        </w:numPr>
        <w:tabs>
          <w:tab w:val="clear" w:pos="720"/>
        </w:tabs>
        <w:suppressAutoHyphens/>
        <w:ind w:left="567" w:hanging="283"/>
        <w:rPr>
          <w:szCs w:val="22"/>
          <w:lang w:val="hu-HU"/>
        </w:rPr>
      </w:pPr>
      <w:r>
        <w:rPr>
          <w:szCs w:val="22"/>
          <w:lang w:val="hu-HU"/>
        </w:rPr>
        <w:t>alkoholabúzus,</w:t>
      </w:r>
    </w:p>
    <w:p w14:paraId="424BD811" w14:textId="77777777" w:rsidR="00835B06" w:rsidRDefault="004D03F7">
      <w:pPr>
        <w:widowControl w:val="0"/>
        <w:numPr>
          <w:ilvl w:val="0"/>
          <w:numId w:val="43"/>
        </w:numPr>
        <w:tabs>
          <w:tab w:val="clear" w:pos="720"/>
        </w:tabs>
        <w:suppressAutoHyphens/>
        <w:ind w:left="567" w:hanging="283"/>
        <w:rPr>
          <w:szCs w:val="22"/>
          <w:lang w:val="hu-HU"/>
        </w:rPr>
      </w:pPr>
      <w:r>
        <w:rPr>
          <w:szCs w:val="22"/>
          <w:lang w:val="hu-HU"/>
        </w:rPr>
        <w:t>70 év feletti életkor,</w:t>
      </w:r>
    </w:p>
    <w:p w14:paraId="72ACDC10" w14:textId="77777777" w:rsidR="00835B06" w:rsidRDefault="004D03F7">
      <w:pPr>
        <w:widowControl w:val="0"/>
        <w:numPr>
          <w:ilvl w:val="0"/>
          <w:numId w:val="43"/>
        </w:numPr>
        <w:tabs>
          <w:tab w:val="clear" w:pos="720"/>
        </w:tabs>
        <w:suppressAutoHyphens/>
        <w:ind w:left="567" w:hanging="283"/>
        <w:rPr>
          <w:szCs w:val="22"/>
          <w:lang w:val="hu-HU"/>
        </w:rPr>
      </w:pPr>
      <w:r>
        <w:rPr>
          <w:szCs w:val="22"/>
          <w:lang w:val="hu-HU"/>
        </w:rPr>
        <w:t>szituációk, amelyekben előfordulhat a rozuvasztatin plazmaszintjének emelkedése (lásd 4.2, 4.5 és 5.2 pont),</w:t>
      </w:r>
    </w:p>
    <w:p w14:paraId="6C83547C" w14:textId="77777777" w:rsidR="00835B06" w:rsidRDefault="004D03F7">
      <w:pPr>
        <w:widowControl w:val="0"/>
        <w:numPr>
          <w:ilvl w:val="0"/>
          <w:numId w:val="43"/>
        </w:numPr>
        <w:tabs>
          <w:tab w:val="clear" w:pos="720"/>
        </w:tabs>
        <w:suppressAutoHyphens/>
        <w:ind w:left="567" w:hanging="283"/>
        <w:rPr>
          <w:szCs w:val="22"/>
          <w:lang w:val="hu-HU"/>
        </w:rPr>
      </w:pPr>
      <w:r>
        <w:rPr>
          <w:szCs w:val="22"/>
          <w:lang w:val="hu-HU"/>
        </w:rPr>
        <w:t>fibrátok egyidejű alkalmazása.</w:t>
      </w:r>
    </w:p>
    <w:p w14:paraId="054D10DC" w14:textId="77777777" w:rsidR="00835B06" w:rsidRDefault="00835B06">
      <w:pPr>
        <w:rPr>
          <w:szCs w:val="22"/>
          <w:lang w:val="hu-HU"/>
        </w:rPr>
      </w:pPr>
    </w:p>
    <w:p w14:paraId="788C8C7A" w14:textId="77777777" w:rsidR="00835B06" w:rsidRDefault="004D03F7">
      <w:pPr>
        <w:rPr>
          <w:szCs w:val="22"/>
          <w:lang w:val="hu-HU"/>
        </w:rPr>
      </w:pPr>
      <w:r>
        <w:rPr>
          <w:szCs w:val="22"/>
          <w:lang w:val="hu-HU"/>
        </w:rPr>
        <w:t>Ezeknél a betegeknél mérlegelni kell a kezeléssel járó kockázatot a terápia lehetséges előnyével szemben, továbbá klinikai monitorozásuk is ajánlott. Amennyiben a kiindulási CK</w:t>
      </w:r>
      <w:r>
        <w:rPr>
          <w:szCs w:val="22"/>
          <w:lang w:val="hu-HU"/>
        </w:rPr>
        <w:noBreakHyphen/>
        <w:t>szint szignifikánsan emelkedett (&gt; 5×ULN), nem szabad megkezdeni a kezelést.</w:t>
      </w:r>
    </w:p>
    <w:p w14:paraId="42F62C3E" w14:textId="77777777" w:rsidR="00835B06" w:rsidRDefault="00835B06">
      <w:pPr>
        <w:widowControl w:val="0"/>
        <w:rPr>
          <w:szCs w:val="22"/>
          <w:lang w:val="hu-HU"/>
        </w:rPr>
      </w:pPr>
    </w:p>
    <w:p w14:paraId="790C0D2D" w14:textId="77777777" w:rsidR="00835B06" w:rsidRDefault="004D03F7">
      <w:pPr>
        <w:rPr>
          <w:i/>
          <w:iCs/>
          <w:szCs w:val="22"/>
          <w:lang w:val="hu-HU"/>
        </w:rPr>
      </w:pPr>
      <w:r>
        <w:rPr>
          <w:i/>
          <w:iCs/>
          <w:szCs w:val="22"/>
          <w:lang w:val="hu-HU"/>
        </w:rPr>
        <w:t>A kezelés ideje alatt</w:t>
      </w:r>
    </w:p>
    <w:p w14:paraId="5E628290" w14:textId="77777777" w:rsidR="00835B06" w:rsidRDefault="004D03F7">
      <w:pPr>
        <w:widowControl w:val="0"/>
        <w:rPr>
          <w:szCs w:val="22"/>
          <w:lang w:val="hu-HU"/>
        </w:rPr>
      </w:pPr>
      <w:r>
        <w:rPr>
          <w:szCs w:val="22"/>
          <w:lang w:val="hu-HU"/>
        </w:rPr>
        <w:t>A beteget meg kell kérni, hogy haladéktalanul számoljon be ismeretlen eredetű izomfájdalom, izomgyengeség vagy izomgörcsök jelentkezéséről, főleg ha azt rosszullét vagy láz kíséri. Ezeknél a betegeknél a CK</w:t>
      </w:r>
      <w:r>
        <w:rPr>
          <w:szCs w:val="22"/>
          <w:lang w:val="hu-HU"/>
        </w:rPr>
        <w:noBreakHyphen/>
        <w:t xml:space="preserve">szint ellenőrzése szükséges. A terápiát fel kell függeszteni, ha a CK-szint jelentősen megemelkedik (&gt; 5×ULN), vagy az izomtünetek súlyosak és a mindennapi tevékenység során panaszokat okoznak (akkor is, ha a CK-szint ≤5×ULN). Ha a tünetek megszűnnek, és a CK-szint is normalizálódik, megfontolandó a kezelés újraindítása a </w:t>
      </w:r>
      <w:r>
        <w:rPr>
          <w:szCs w:val="22"/>
          <w:lang w:val="hu-HU" w:eastAsia="en-US"/>
        </w:rPr>
        <w:t xml:space="preserve">Roxera Plus filmtabletta, vagy más </w:t>
      </w:r>
      <w:r>
        <w:rPr>
          <w:szCs w:val="22"/>
          <w:lang w:val="hu-HU"/>
        </w:rPr>
        <w:t>HMG</w:t>
      </w:r>
      <w:r>
        <w:rPr>
          <w:szCs w:val="22"/>
          <w:lang w:val="hu-HU"/>
        </w:rPr>
        <w:noBreakHyphen/>
        <w:t>CoA-reduktáz-inhibitor legalacsonyabb dózisával, szoros ellenőrzés mellett. Tünetmentes betegeknél nem indokolt a CK-szintek rutinszerű monitorozása.</w:t>
      </w:r>
    </w:p>
    <w:p w14:paraId="0437BB0A" w14:textId="77777777" w:rsidR="00835B06" w:rsidRDefault="00835B06">
      <w:pPr>
        <w:widowControl w:val="0"/>
        <w:rPr>
          <w:szCs w:val="22"/>
          <w:lang w:val="hu-HU"/>
        </w:rPr>
      </w:pPr>
    </w:p>
    <w:p w14:paraId="690F113F" w14:textId="218D8480" w:rsidR="00835B06" w:rsidRDefault="004D03F7">
      <w:pPr>
        <w:pStyle w:val="Szvegtrzs3"/>
        <w:widowControl w:val="0"/>
        <w:spacing w:after="0"/>
        <w:rPr>
          <w:sz w:val="22"/>
          <w:szCs w:val="22"/>
          <w:lang w:val="hu-HU"/>
        </w:rPr>
      </w:pPr>
      <w:r>
        <w:rPr>
          <w:spacing w:val="-4"/>
          <w:sz w:val="22"/>
          <w:szCs w:val="22"/>
          <w:lang w:val="hu-HU"/>
        </w:rPr>
        <w:t>Nagyon ritkán beszámoltak immunmediált nekrotizáló myopathiáról (IMNM) a sztatin- (beleértve a rozuvasztatint is)</w:t>
      </w:r>
      <w:r>
        <w:rPr>
          <w:sz w:val="22"/>
          <w:szCs w:val="22"/>
          <w:lang w:val="hu-HU"/>
        </w:rPr>
        <w:t xml:space="preserve"> kezelés során, vagy azt követően. Az IMNM klinikai jellemzői a tartós, proximális izomgyengeség, és a kreatin-kináz emelkedett szérumszintje, amelyek a sztatin-kezelés leállítása után is perzisztálnak.</w:t>
      </w:r>
    </w:p>
    <w:p w14:paraId="02159AF2" w14:textId="77777777" w:rsidR="00835B06" w:rsidRDefault="00835B06">
      <w:pPr>
        <w:pStyle w:val="Szvegtrzs3"/>
        <w:widowControl w:val="0"/>
        <w:spacing w:after="0"/>
        <w:rPr>
          <w:sz w:val="22"/>
          <w:szCs w:val="22"/>
          <w:lang w:val="hu-HU"/>
        </w:rPr>
      </w:pPr>
    </w:p>
    <w:p w14:paraId="11E5EF76" w14:textId="77777777" w:rsidR="00835B06" w:rsidRDefault="004D03F7">
      <w:pPr>
        <w:rPr>
          <w:szCs w:val="22"/>
          <w:lang w:val="hu-HU"/>
        </w:rPr>
      </w:pPr>
      <w:r>
        <w:rPr>
          <w:szCs w:val="22"/>
          <w:lang w:val="hu-HU"/>
        </w:rPr>
        <w:t xml:space="preserve">A klinikai vizsgálatok során, a rozuvasztatin kombinációs terápiával kezelt kis létszámú betegcsoportban a vázizmokat érintő mellékhatások előfordulásának növekedése nem volt bizonyított. Ugyanakkor egyéb HMG CoA-reduktáz-inhibitor és fibrinsavszármazékok, mint pl. gemfibrozil, ciklosporin, nikotinsav, azol-típusú antimikotikumok, proteáz-inhibitorok és makrolid antibiotikumok együttadásakor a myositis és myopathia incidenciájának növekedését figyelték meg. A gemfibrozil, egyéb HMG CoA-reduktáz-inhibitorral együtt adva növeli a myopathia kockázatát, ezért a Roxera Plus filmtabletta és a gemfibrozil kombinációja nem ajánlott. A Roxera Plus filmtabletta fibrátokkal vagy niacinnal kombinált alkalmazásakor gondosan mérlegelni kell a további lipidszintcsökkentés előnyével szemben az ezen kombinációk alkalmazásának rizikóját. A </w:t>
      </w:r>
      <w:r>
        <w:rPr>
          <w:szCs w:val="22"/>
          <w:lang w:val="hu-HU" w:eastAsia="en-US"/>
        </w:rPr>
        <w:t>30 mg-os és a</w:t>
      </w:r>
      <w:r>
        <w:rPr>
          <w:szCs w:val="22"/>
          <w:lang w:val="hu-HU"/>
        </w:rPr>
        <w:t xml:space="preserve"> 40 mg-os rozuvasztatin dózisok alkalmazása ellenjavallt fibrát egyidejű alkalmazásakor (lásd 4.5 és 4.8 pont).</w:t>
      </w:r>
    </w:p>
    <w:p w14:paraId="3D204887" w14:textId="77777777" w:rsidR="00835B06" w:rsidRDefault="00835B06">
      <w:pPr>
        <w:pStyle w:val="Szvegtrzs3"/>
        <w:widowControl w:val="0"/>
        <w:spacing w:after="0"/>
        <w:rPr>
          <w:sz w:val="22"/>
          <w:szCs w:val="22"/>
          <w:lang w:val="hu-HU"/>
        </w:rPr>
      </w:pPr>
    </w:p>
    <w:p w14:paraId="1A8B388A" w14:textId="77777777" w:rsidR="00835B06" w:rsidRDefault="004D03F7">
      <w:pPr>
        <w:pStyle w:val="Default"/>
        <w:rPr>
          <w:sz w:val="22"/>
          <w:szCs w:val="22"/>
          <w:lang w:val="hu-HU"/>
        </w:rPr>
      </w:pPr>
      <w:r>
        <w:rPr>
          <w:sz w:val="22"/>
          <w:szCs w:val="22"/>
          <w:lang w:val="hu-HU"/>
        </w:rPr>
        <w:t xml:space="preserve">A </w:t>
      </w:r>
      <w:r>
        <w:rPr>
          <w:sz w:val="22"/>
          <w:szCs w:val="22"/>
          <w:lang w:val="hu-HU" w:eastAsia="en-US"/>
        </w:rPr>
        <w:t xml:space="preserve">Roxera Plus filmtablettát </w:t>
      </w:r>
      <w:r>
        <w:rPr>
          <w:sz w:val="22"/>
          <w:szCs w:val="22"/>
          <w:lang w:val="hu-HU"/>
        </w:rPr>
        <w:t>tilos együtt adni szisztémás fuzidinsav készítményekkel, vagy a fuzidinsav-kezelés leállítását követő 7 napon belül alkalmazni. Azoknál a betegeknél, akiknél elengedhetetlen a szisztémás fuzidinsav-kezelés, a sztatin-kezelést a fuzidinsav-kezelés teljes időtartamára fel kell függeszteni. Rhabdomyolysis eseteiről számoltak be (néhány esetben halálos kimenetellel) olyan betegeknél, akik sztatin- és fuzidinsav-kezelést kaptak kombinációban (lásd 4.5 pont). A beteg figyelmét fel kell hívni arra, hogy kérjen azonnali orvosi segítséget, ha izomgyengeséget, izomfájdalmat vagy izomérzékenységet észlel.</w:t>
      </w:r>
    </w:p>
    <w:p w14:paraId="6A04C346" w14:textId="77777777" w:rsidR="00835B06" w:rsidRDefault="00835B06">
      <w:pPr>
        <w:pStyle w:val="Szvegtrzsbehzssal"/>
        <w:widowControl w:val="0"/>
        <w:overflowPunct w:val="0"/>
        <w:autoSpaceDE w:val="0"/>
        <w:autoSpaceDN w:val="0"/>
        <w:adjustRightInd w:val="0"/>
        <w:spacing w:after="0"/>
        <w:ind w:left="0"/>
        <w:textAlignment w:val="baseline"/>
        <w:rPr>
          <w:szCs w:val="22"/>
          <w:lang w:val="hu-HU"/>
        </w:rPr>
      </w:pPr>
    </w:p>
    <w:p w14:paraId="53C436A9" w14:textId="77777777" w:rsidR="00835B06" w:rsidRDefault="004D03F7">
      <w:pPr>
        <w:widowControl w:val="0"/>
        <w:rPr>
          <w:szCs w:val="22"/>
          <w:lang w:val="hu-HU"/>
        </w:rPr>
      </w:pPr>
      <w:r>
        <w:rPr>
          <w:szCs w:val="22"/>
          <w:lang w:val="hu-HU"/>
        </w:rPr>
        <w:t>A sztatin-kezelés a fuzidinsav utolsó dózisa után 7 nappal kezdhető újra.</w:t>
      </w:r>
    </w:p>
    <w:p w14:paraId="2971D041" w14:textId="77777777" w:rsidR="00835B06" w:rsidRDefault="00835B06">
      <w:pPr>
        <w:widowControl w:val="0"/>
        <w:rPr>
          <w:szCs w:val="22"/>
          <w:lang w:val="hu-HU"/>
        </w:rPr>
      </w:pPr>
    </w:p>
    <w:p w14:paraId="0E4F25CF" w14:textId="77777777" w:rsidR="00835B06" w:rsidRDefault="004D03F7">
      <w:pPr>
        <w:widowControl w:val="0"/>
        <w:rPr>
          <w:color w:val="000000"/>
          <w:szCs w:val="22"/>
          <w:lang w:val="hu-HU"/>
        </w:rPr>
      </w:pPr>
      <w:r>
        <w:rPr>
          <w:color w:val="000000"/>
          <w:szCs w:val="22"/>
          <w:lang w:val="hu-HU"/>
        </w:rPr>
        <w:t>Kivételes körülmények között, amikor a fuzidinsav tartós szisztémás alkalmazására van szükség – például súlyos fertőzések kezelésekor – a Roxera Plus és a fuzidinsav együttes alkalmazásának szükségességéről csakis egyedi mérlegelés alapján szabad dönteni, és a beteget szoros orvosi felügyelet alatt kell tartani.</w:t>
      </w:r>
    </w:p>
    <w:p w14:paraId="0D6A21A9" w14:textId="77777777" w:rsidR="00835B06" w:rsidRDefault="00835B06">
      <w:pPr>
        <w:widowControl w:val="0"/>
        <w:rPr>
          <w:szCs w:val="22"/>
          <w:lang w:val="hu-HU"/>
        </w:rPr>
      </w:pPr>
    </w:p>
    <w:p w14:paraId="3B9A115C" w14:textId="77777777" w:rsidR="00835B06" w:rsidRDefault="004D03F7">
      <w:pPr>
        <w:widowControl w:val="0"/>
        <w:rPr>
          <w:szCs w:val="22"/>
          <w:lang w:val="hu-HU"/>
        </w:rPr>
      </w:pPr>
      <w:r>
        <w:rPr>
          <w:szCs w:val="22"/>
          <w:lang w:val="hu-HU"/>
        </w:rPr>
        <w:t>A Roxera Plus filmtablettát nem szabad súlyos, akut állapotban alkalmazni, amikor myopathia gyanúja merül fel, vagy amikor a rhabdomyolysis miatti szekunder veseelégtelenség kialakulásának kockázata áll fenn (pl. sepsis, hypotensio, nagyobb műtéti beavatkozás, trauma, súlyos metabolikus és endokrin rendellenességek, az elektrolit háztartás zavara, kezeletlen görcsrohamok).</w:t>
      </w:r>
    </w:p>
    <w:p w14:paraId="2098BC68" w14:textId="77777777" w:rsidR="00835B06" w:rsidRDefault="00835B06">
      <w:pPr>
        <w:widowControl w:val="0"/>
        <w:rPr>
          <w:szCs w:val="22"/>
          <w:lang w:val="hu-HU"/>
        </w:rPr>
      </w:pPr>
    </w:p>
    <w:p w14:paraId="1E80AE49" w14:textId="77777777" w:rsidR="00835B06" w:rsidRDefault="004D03F7">
      <w:pPr>
        <w:keepNext/>
        <w:widowControl w:val="0"/>
        <w:rPr>
          <w:szCs w:val="22"/>
          <w:u w:val="single"/>
          <w:lang w:val="hu-HU"/>
        </w:rPr>
      </w:pPr>
      <w:r>
        <w:rPr>
          <w:szCs w:val="22"/>
          <w:u w:val="single"/>
          <w:lang w:val="hu-HU"/>
        </w:rPr>
        <w:t>Májra gyakorolt hatások</w:t>
      </w:r>
    </w:p>
    <w:p w14:paraId="49AAEB74" w14:textId="77777777" w:rsidR="00835B06" w:rsidRDefault="004D03F7">
      <w:pPr>
        <w:widowControl w:val="0"/>
        <w:rPr>
          <w:szCs w:val="22"/>
          <w:lang w:val="hu-HU"/>
        </w:rPr>
      </w:pPr>
      <w:r>
        <w:rPr>
          <w:szCs w:val="22"/>
          <w:lang w:val="hu-HU"/>
        </w:rPr>
        <w:t xml:space="preserve">Más HMG-CoA-reduktáz-gátlókhoz hasonlóan, a </w:t>
      </w:r>
      <w:r>
        <w:rPr>
          <w:szCs w:val="22"/>
          <w:lang w:val="hu-HU" w:eastAsia="en-US"/>
        </w:rPr>
        <w:t xml:space="preserve">Roxera Plus filmtablettát </w:t>
      </w:r>
      <w:r>
        <w:rPr>
          <w:spacing w:val="-2"/>
          <w:szCs w:val="22"/>
          <w:lang w:val="hu-HU" w:eastAsia="en-US"/>
        </w:rPr>
        <w:t>körültekintően kell alkalmazni nagy mennyiségű alkoholt fogyasztó betegeknél és/vagy amennyiben az anamnézisben valamely májbetegség szerepel</w:t>
      </w:r>
      <w:r>
        <w:rPr>
          <w:szCs w:val="22"/>
          <w:lang w:val="hu-HU" w:eastAsia="en-US"/>
        </w:rPr>
        <w:t>.</w:t>
      </w:r>
    </w:p>
    <w:p w14:paraId="3D179F2D" w14:textId="77777777" w:rsidR="00835B06" w:rsidRDefault="00835B06">
      <w:pPr>
        <w:widowControl w:val="0"/>
        <w:rPr>
          <w:szCs w:val="22"/>
          <w:u w:val="single"/>
          <w:lang w:val="hu-HU"/>
        </w:rPr>
      </w:pPr>
    </w:p>
    <w:p w14:paraId="4E42599D" w14:textId="395340AD" w:rsidR="00835B06" w:rsidRDefault="004D03F7">
      <w:pPr>
        <w:widowControl w:val="0"/>
        <w:rPr>
          <w:szCs w:val="22"/>
          <w:lang w:val="hu-HU"/>
        </w:rPr>
      </w:pPr>
      <w:r>
        <w:rPr>
          <w:szCs w:val="22"/>
          <w:lang w:val="hu-HU"/>
        </w:rPr>
        <w:t xml:space="preserve">A kezelés megkezdése előtt, továbbá 3 hónap múlva ajánlott májfunkciós vizsgálatokat végezni. A </w:t>
      </w:r>
      <w:r>
        <w:rPr>
          <w:szCs w:val="22"/>
          <w:lang w:val="hu-HU" w:eastAsia="en-US"/>
        </w:rPr>
        <w:t>Roxera Plus filmtabletta alkalmazását fel kell függeszteni, vagy csökkenteni kell a gyógyszeradagot, ha a szérum-transzaminázok szintje meghaladja a normálérték felső határának háromszorosát. A májat érintő, (főleg emelkedett transzaminázszintek formájában jelentkező) súlyos nemkívánatos eseményekről  a forgalomba hozatalt követő alkalmazás során gyakrabban számoltak be 40 mg-os rozuvasztatin dózis alkalmazásakor.</w:t>
      </w:r>
    </w:p>
    <w:p w14:paraId="6274B4D3" w14:textId="77777777" w:rsidR="00835B06" w:rsidRDefault="00835B06">
      <w:pPr>
        <w:pStyle w:val="ndringar"/>
        <w:widowControl w:val="0"/>
        <w:overflowPunct/>
        <w:autoSpaceDE/>
        <w:autoSpaceDN/>
        <w:adjustRightInd/>
        <w:textAlignment w:val="auto"/>
        <w:rPr>
          <w:rFonts w:ascii="Times New Roman" w:hAnsi="Times New Roman" w:cs="Times New Roman"/>
          <w:color w:val="auto"/>
          <w:szCs w:val="22"/>
          <w:lang w:val="hu-HU"/>
        </w:rPr>
      </w:pPr>
    </w:p>
    <w:p w14:paraId="3249E5DC" w14:textId="77777777" w:rsidR="00835B06" w:rsidRDefault="004D03F7">
      <w:pPr>
        <w:widowControl w:val="0"/>
        <w:rPr>
          <w:szCs w:val="22"/>
          <w:lang w:val="hu-HU"/>
        </w:rPr>
      </w:pPr>
      <w:r>
        <w:rPr>
          <w:szCs w:val="22"/>
          <w:lang w:val="hu-HU"/>
        </w:rPr>
        <w:t xml:space="preserve">Hypothyreosis, vagy nephrosis syndroma miatt kialakult szekunder hypercholesterinaemia esetén az alapbetegség kezelése szükséges a </w:t>
      </w:r>
      <w:r>
        <w:rPr>
          <w:szCs w:val="22"/>
          <w:lang w:val="hu-HU" w:eastAsia="en-US"/>
        </w:rPr>
        <w:t>Roxera Plus filmtablettával végzett terápia megkezdése előtt.</w:t>
      </w:r>
    </w:p>
    <w:p w14:paraId="5803EF47" w14:textId="77777777" w:rsidR="00835B06" w:rsidRPr="002B2396" w:rsidRDefault="00835B06">
      <w:pPr>
        <w:widowControl w:val="0"/>
        <w:rPr>
          <w:bCs/>
          <w:kern w:val="28"/>
          <w:szCs w:val="22"/>
          <w:u w:val="dotted"/>
          <w:lang w:val="hu-HU"/>
        </w:rPr>
      </w:pPr>
    </w:p>
    <w:p w14:paraId="29FF6623" w14:textId="49E4F3E2" w:rsidR="00835B06" w:rsidRDefault="004D03F7">
      <w:pPr>
        <w:widowControl w:val="0"/>
        <w:rPr>
          <w:szCs w:val="22"/>
          <w:lang w:val="hu-HU"/>
        </w:rPr>
      </w:pPr>
      <w:r>
        <w:rPr>
          <w:szCs w:val="22"/>
          <w:lang w:val="hu-HU"/>
        </w:rPr>
        <w:t>Az ezetimib és valamely sztatin kombinációs alkalmazásával végzett kontrollos klinikai vizsgálatokban ismétlődő (a normálérték felső határának háromszorosát elérő, illetve meghaladó) transzaminázszint-emelkedést észleltek.</w:t>
      </w:r>
    </w:p>
    <w:p w14:paraId="45FE2368" w14:textId="424F62CD" w:rsidR="00835B06" w:rsidRDefault="004D03F7">
      <w:pPr>
        <w:widowControl w:val="0"/>
        <w:rPr>
          <w:szCs w:val="22"/>
          <w:lang w:val="hu-HU"/>
        </w:rPr>
      </w:pPr>
      <w:r>
        <w:rPr>
          <w:szCs w:val="22"/>
          <w:lang w:val="hu-HU"/>
        </w:rPr>
        <w:t xml:space="preserve">A kezelés megkezdése előtt, továbbá 3 hónap múlva ajánlott májfunkciós vizsgálatokat végezni (lásd 4.8 pont). A </w:t>
      </w:r>
      <w:r>
        <w:rPr>
          <w:szCs w:val="22"/>
          <w:lang w:val="hu-HU" w:eastAsia="en-US"/>
        </w:rPr>
        <w:t>Roxera Plus filmtabletta alkalmazását fel kell függeszteni, vagy csökkenteni kell a gyógyszeradagot, ha a szérum-transzaminázok szintje meghaladja a normálérték felső határának háromszorosát. A májat érintő, súlyos nemkívánatos (főleg emelkedett transzaminázszintek formájában jelentkező) eseményekről a forgalomba hozatalt követő alkalmazás során gyakrabban számoltak be 40 mg-os rozuvasztatin dózis alkalmazásakor.</w:t>
      </w:r>
    </w:p>
    <w:p w14:paraId="41A12CB1" w14:textId="77777777" w:rsidR="00835B06" w:rsidRDefault="00835B06">
      <w:pPr>
        <w:widowControl w:val="0"/>
        <w:rPr>
          <w:szCs w:val="22"/>
          <w:lang w:val="hu-HU"/>
        </w:rPr>
      </w:pPr>
    </w:p>
    <w:p w14:paraId="5F3C48F5" w14:textId="77777777" w:rsidR="00835B06" w:rsidRDefault="004D03F7">
      <w:pPr>
        <w:widowControl w:val="0"/>
        <w:rPr>
          <w:szCs w:val="22"/>
          <w:u w:val="single"/>
          <w:lang w:val="hu-HU"/>
        </w:rPr>
      </w:pPr>
      <w:r>
        <w:rPr>
          <w:szCs w:val="22"/>
          <w:u w:val="single"/>
          <w:lang w:val="hu-HU"/>
        </w:rPr>
        <w:t>Népcsoportok</w:t>
      </w:r>
    </w:p>
    <w:p w14:paraId="26C7C3DC" w14:textId="77777777" w:rsidR="00835B06" w:rsidRDefault="004D03F7">
      <w:pPr>
        <w:widowControl w:val="0"/>
        <w:rPr>
          <w:szCs w:val="22"/>
          <w:lang w:val="hu-HU"/>
        </w:rPr>
      </w:pPr>
      <w:r>
        <w:rPr>
          <w:szCs w:val="22"/>
          <w:lang w:val="hu-HU"/>
        </w:rPr>
        <w:t>Rozuvasztatinnal elvégzett farmakokinetikai vizsgálatok során ázsiai származású betegeknél fokozott expozíciót tapasztaltak, kaukázusi betegekkel összehasonlítva (lásd 4.2, 4.3 és 5.2 pont).</w:t>
      </w:r>
    </w:p>
    <w:p w14:paraId="58B19521" w14:textId="77777777" w:rsidR="00835B06" w:rsidRDefault="00835B06">
      <w:pPr>
        <w:widowControl w:val="0"/>
        <w:rPr>
          <w:szCs w:val="22"/>
          <w:lang w:val="hu-HU"/>
        </w:rPr>
      </w:pPr>
    </w:p>
    <w:p w14:paraId="2FB2F465" w14:textId="77777777" w:rsidR="00835B06" w:rsidRDefault="004D03F7">
      <w:pPr>
        <w:widowControl w:val="0"/>
        <w:rPr>
          <w:szCs w:val="22"/>
          <w:u w:val="single"/>
          <w:lang w:val="hu-HU"/>
        </w:rPr>
      </w:pPr>
      <w:r>
        <w:rPr>
          <w:szCs w:val="22"/>
          <w:u w:val="single"/>
          <w:lang w:val="hu-HU"/>
        </w:rPr>
        <w:t>Proteáz-inhibitorok</w:t>
      </w:r>
    </w:p>
    <w:p w14:paraId="7F56A59F" w14:textId="77777777" w:rsidR="00835B06" w:rsidRDefault="004D03F7">
      <w:pPr>
        <w:widowControl w:val="0"/>
        <w:rPr>
          <w:szCs w:val="22"/>
          <w:lang w:val="hu-HU"/>
        </w:rPr>
      </w:pPr>
      <w:r>
        <w:rPr>
          <w:szCs w:val="22"/>
          <w:lang w:val="hu-HU"/>
        </w:rPr>
        <w:t xml:space="preserve">Fokozott szisztémás rozuvasztatin-expozíciót figyeltek meg különböző proteáz-gátlók és ritonavir kombinációja mellett, egyidejűleg rozuvasztatinnal is kezelt betegeknél. Proteáz-inhibitorokkal kezelt HIV-betegeknél a Roxera Plus filmtabletta alkalmazásakor a lipidszintcsökkentés előnyét és a rozuvasztatin plazmakoncentráció emelkedésének lehetőségét egyaránt szem </w:t>
      </w:r>
      <w:r>
        <w:rPr>
          <w:spacing w:val="-2"/>
          <w:szCs w:val="22"/>
          <w:lang w:val="hu-HU"/>
        </w:rPr>
        <w:t>előtt kell tartani, amikor a proteáz</w:t>
      </w:r>
      <w:r>
        <w:rPr>
          <w:spacing w:val="-2"/>
          <w:szCs w:val="22"/>
          <w:lang w:val="hu-HU"/>
        </w:rPr>
        <w:noBreakHyphen/>
        <w:t>inhibitorokkal kezelt betegeknél megkezdik a rozuvasztatin-kezelést</w:t>
      </w:r>
      <w:r>
        <w:rPr>
          <w:szCs w:val="22"/>
          <w:lang w:val="hu-HU"/>
        </w:rPr>
        <w:t xml:space="preserve"> és növelik a rozuvasztatin dózisát. Az egyidejű alkalmazás bizonyos proteáz-inhibitorokkal nem javasolt, kivéve, ha módosítják a Roxera Plus filmtabletta dózisát (lásd 4.2 és 4.5 pont).</w:t>
      </w:r>
    </w:p>
    <w:p w14:paraId="3A1CCA49" w14:textId="77777777" w:rsidR="00835B06" w:rsidRDefault="00835B06">
      <w:pPr>
        <w:widowControl w:val="0"/>
        <w:rPr>
          <w:szCs w:val="22"/>
          <w:lang w:val="hu-HU"/>
        </w:rPr>
      </w:pPr>
    </w:p>
    <w:p w14:paraId="7D89205E" w14:textId="77777777" w:rsidR="00835B06" w:rsidRDefault="004D03F7">
      <w:pPr>
        <w:widowControl w:val="0"/>
        <w:rPr>
          <w:szCs w:val="22"/>
          <w:u w:val="single"/>
          <w:lang w:val="hu-HU"/>
        </w:rPr>
      </w:pPr>
      <w:r>
        <w:rPr>
          <w:szCs w:val="22"/>
          <w:u w:val="single"/>
          <w:lang w:val="hu-HU"/>
        </w:rPr>
        <w:t>Interstitialis tüdőbetegség</w:t>
      </w:r>
    </w:p>
    <w:p w14:paraId="10ABABCA" w14:textId="77777777" w:rsidR="00835B06" w:rsidRDefault="004D03F7">
      <w:pPr>
        <w:widowControl w:val="0"/>
        <w:rPr>
          <w:szCs w:val="22"/>
          <w:lang w:val="hu-HU"/>
        </w:rPr>
      </w:pPr>
      <w:r>
        <w:rPr>
          <w:szCs w:val="22"/>
          <w:lang w:val="hu-HU"/>
        </w:rPr>
        <w:t>Sztatinok főként hosszú távú alkalmazása mellett, kivételes esetekben beszámoltak interstitialis tüdőbetegség kialakulásáról (lásd 4.8 pont). Kezdeti tünetként többek között dyspnoe, improduktív köhögés, és az általános egészségi állapot romlása (fáradékonyság, fogyás és láz) jelentkezhet. Ha felmerül az interstitialis tüdőbetegség gyanúja, a sztatin-terápiát le kell állítani.</w:t>
      </w:r>
    </w:p>
    <w:p w14:paraId="24EA1EC1" w14:textId="77777777" w:rsidR="00835B06" w:rsidRDefault="00835B06">
      <w:pPr>
        <w:widowControl w:val="0"/>
        <w:rPr>
          <w:szCs w:val="22"/>
          <w:lang w:val="hu-HU"/>
        </w:rPr>
      </w:pPr>
    </w:p>
    <w:p w14:paraId="44AA98B2" w14:textId="77777777" w:rsidR="00835B06" w:rsidRDefault="004D03F7">
      <w:pPr>
        <w:widowControl w:val="0"/>
        <w:autoSpaceDE w:val="0"/>
        <w:autoSpaceDN w:val="0"/>
        <w:adjustRightInd w:val="0"/>
        <w:rPr>
          <w:szCs w:val="22"/>
          <w:u w:val="single"/>
          <w:lang w:val="hu-HU"/>
        </w:rPr>
      </w:pPr>
      <w:r>
        <w:rPr>
          <w:szCs w:val="22"/>
          <w:u w:val="single"/>
          <w:lang w:val="hu-HU"/>
        </w:rPr>
        <w:t>Diabetes mellitus</w:t>
      </w:r>
    </w:p>
    <w:p w14:paraId="5FB0C28C" w14:textId="77777777" w:rsidR="00835B06" w:rsidRDefault="004D03F7">
      <w:pPr>
        <w:widowControl w:val="0"/>
        <w:autoSpaceDE w:val="0"/>
        <w:autoSpaceDN w:val="0"/>
        <w:adjustRightInd w:val="0"/>
        <w:rPr>
          <w:szCs w:val="22"/>
          <w:lang w:val="hu-HU"/>
        </w:rPr>
      </w:pPr>
      <w:r>
        <w:rPr>
          <w:szCs w:val="22"/>
          <w:lang w:val="hu-HU"/>
        </w:rPr>
        <w:t xml:space="preserve">Egyes bizonyítékok amellett szólnak, hogy az összes sztatin emeli a vér glükózszintjét, </w:t>
      </w:r>
      <w:r>
        <w:rPr>
          <w:rFonts w:eastAsia="TimesNewRomanPSMT"/>
          <w:szCs w:val="22"/>
          <w:lang w:val="hu-HU"/>
        </w:rPr>
        <w:t>valamint olyan betegeknél, akik a későbbi diabetes kialakulása szempontjából nagy kockázatúak, hyperglykaemiát okozhatnak, antidiabetikus kezelést téve szükségessé</w:t>
      </w:r>
      <w:r>
        <w:rPr>
          <w:szCs w:val="22"/>
          <w:lang w:val="hu-HU"/>
        </w:rPr>
        <w:t xml:space="preserve">. </w:t>
      </w:r>
      <w:r>
        <w:rPr>
          <w:rFonts w:eastAsia="TimesNewRomanPSMT"/>
          <w:szCs w:val="22"/>
          <w:lang w:val="hu-HU"/>
        </w:rPr>
        <w:t>A sztatin-kezelés leállítása azonban nem indokolt, mivel a sztatinok vaszkuláris betegségek kockázatainak csökkentéséből származó előnye meghaladja a hyperglykaemia kialakulásának kockázatát.</w:t>
      </w:r>
      <w:r>
        <w:rPr>
          <w:szCs w:val="22"/>
          <w:lang w:val="hu-HU"/>
        </w:rPr>
        <w:t xml:space="preserve"> A veszélyeztetett betegek (éhomi glukózszint 5,6-6,9 mmol/l, BMI &gt; 30 kg/m², hypertriglyceridaemia, hypertonia) klinikai és biokémiai monitorozása szükséges, a nemzeti irányelveknek megfelelően.</w:t>
      </w:r>
    </w:p>
    <w:p w14:paraId="1B24658E" w14:textId="77777777" w:rsidR="00835B06" w:rsidRDefault="00835B06">
      <w:pPr>
        <w:widowControl w:val="0"/>
        <w:autoSpaceDE w:val="0"/>
        <w:autoSpaceDN w:val="0"/>
        <w:adjustRightInd w:val="0"/>
        <w:rPr>
          <w:szCs w:val="22"/>
          <w:lang w:val="hu-HU"/>
        </w:rPr>
      </w:pPr>
    </w:p>
    <w:p w14:paraId="5E58B341" w14:textId="77777777" w:rsidR="00835B06" w:rsidRDefault="004D03F7">
      <w:pPr>
        <w:autoSpaceDE w:val="0"/>
        <w:autoSpaceDN w:val="0"/>
        <w:adjustRightInd w:val="0"/>
        <w:rPr>
          <w:rFonts w:eastAsia="TimesNewRomanPSMT"/>
          <w:szCs w:val="22"/>
          <w:lang w:val="hu-HU"/>
        </w:rPr>
      </w:pPr>
      <w:r>
        <w:rPr>
          <w:rFonts w:eastAsia="TimesNewRomanPSMT"/>
          <w:szCs w:val="22"/>
          <w:lang w:val="hu-HU"/>
        </w:rPr>
        <w:t>A JUPITER vizsgálatban a bejelentett diabetes mellitus esetek teljes gyakorisága 2,8% volt rozuvasztatin, és 2,3% placebo esetén, legfőképpen azoknál a betegeknél, akiknek az éhomi glükózszintje 5,6–6,9 mmol/l volt.</w:t>
      </w:r>
    </w:p>
    <w:p w14:paraId="0BE1A713" w14:textId="77777777" w:rsidR="00835B06" w:rsidRDefault="00835B06">
      <w:pPr>
        <w:widowControl w:val="0"/>
        <w:autoSpaceDE w:val="0"/>
        <w:autoSpaceDN w:val="0"/>
        <w:adjustRightInd w:val="0"/>
        <w:rPr>
          <w:szCs w:val="22"/>
          <w:lang w:val="hu-HU"/>
        </w:rPr>
      </w:pPr>
    </w:p>
    <w:p w14:paraId="6AD32AF0" w14:textId="77777777" w:rsidR="00835B06" w:rsidRDefault="004D03F7">
      <w:pPr>
        <w:widowControl w:val="0"/>
        <w:autoSpaceDE w:val="0"/>
        <w:autoSpaceDN w:val="0"/>
        <w:adjustRightInd w:val="0"/>
        <w:rPr>
          <w:szCs w:val="22"/>
          <w:u w:val="single"/>
          <w:lang w:val="hu-HU"/>
        </w:rPr>
      </w:pPr>
      <w:r>
        <w:rPr>
          <w:szCs w:val="22"/>
          <w:u w:val="single"/>
          <w:lang w:val="hu-HU"/>
        </w:rPr>
        <w:t>Fibrátok</w:t>
      </w:r>
    </w:p>
    <w:p w14:paraId="42232B61" w14:textId="77777777" w:rsidR="00835B06" w:rsidRDefault="004D03F7">
      <w:pPr>
        <w:widowControl w:val="0"/>
        <w:tabs>
          <w:tab w:val="left" w:pos="567"/>
        </w:tabs>
        <w:rPr>
          <w:szCs w:val="22"/>
          <w:lang w:val="hu-HU"/>
        </w:rPr>
      </w:pPr>
      <w:r>
        <w:rPr>
          <w:szCs w:val="22"/>
          <w:lang w:val="hu-HU"/>
        </w:rPr>
        <w:t>Az ezetimib biztonságosságát és hatásosságát a fibrátokkal való együttes alkalmazás esetén nem vizsgálták. Roxera Plus filmtablettát és fenofibrátot együtt szedő betegeknél felmerülő cholelithiasis gyanúja esetén epehólyag vizsgálatokra van szükség és a terápiát meg kell szakítani (lásd 4.5 és 4.8 pont).</w:t>
      </w:r>
    </w:p>
    <w:p w14:paraId="5A43FB2F" w14:textId="77777777" w:rsidR="00835B06" w:rsidRDefault="00835B06">
      <w:pPr>
        <w:widowControl w:val="0"/>
        <w:tabs>
          <w:tab w:val="left" w:pos="567"/>
        </w:tabs>
        <w:rPr>
          <w:szCs w:val="22"/>
          <w:lang w:val="hu-HU" w:eastAsia="en-US"/>
        </w:rPr>
      </w:pPr>
    </w:p>
    <w:p w14:paraId="7D0816D5" w14:textId="77777777" w:rsidR="00835B06" w:rsidRDefault="004D03F7">
      <w:pPr>
        <w:widowControl w:val="0"/>
        <w:tabs>
          <w:tab w:val="left" w:pos="567"/>
        </w:tabs>
        <w:rPr>
          <w:szCs w:val="22"/>
          <w:u w:val="single"/>
          <w:lang w:val="hu-HU" w:eastAsia="en-US"/>
        </w:rPr>
      </w:pPr>
      <w:r>
        <w:rPr>
          <w:szCs w:val="22"/>
          <w:u w:val="single"/>
          <w:lang w:val="hu-HU" w:eastAsia="en-US"/>
        </w:rPr>
        <w:t>Antikoagulánsok</w:t>
      </w:r>
    </w:p>
    <w:p w14:paraId="3A60E4A3" w14:textId="77777777" w:rsidR="00835B06" w:rsidRDefault="004D03F7">
      <w:pPr>
        <w:widowControl w:val="0"/>
        <w:tabs>
          <w:tab w:val="left" w:pos="567"/>
        </w:tabs>
        <w:rPr>
          <w:szCs w:val="22"/>
          <w:lang w:val="hu-HU" w:eastAsia="en-US"/>
        </w:rPr>
      </w:pPr>
      <w:r>
        <w:rPr>
          <w:szCs w:val="22"/>
          <w:lang w:val="hu-HU" w:eastAsia="en-US"/>
        </w:rPr>
        <w:t>Ha a Roxera Plus filmtablettát warfarinnal, más kumarin-típusú antikoagulánssal, vagy fluindionnal együtt adják, szakszerűen monitorozni kell az INR (International Normalized Ratio,</w:t>
      </w:r>
      <w:r>
        <w:t xml:space="preserve"> </w:t>
      </w:r>
      <w:r>
        <w:rPr>
          <w:szCs w:val="22"/>
          <w:lang w:val="hu-HU" w:eastAsia="en-US"/>
        </w:rPr>
        <w:t>nemzetközi normalizált arány) értékét (lásd 4.5 pont).</w:t>
      </w:r>
    </w:p>
    <w:p w14:paraId="3230136A" w14:textId="77777777" w:rsidR="00835B06" w:rsidRDefault="00835B06">
      <w:pPr>
        <w:widowControl w:val="0"/>
        <w:tabs>
          <w:tab w:val="left" w:pos="567"/>
        </w:tabs>
        <w:rPr>
          <w:szCs w:val="22"/>
          <w:lang w:val="hu-HU" w:eastAsia="en-US"/>
        </w:rPr>
      </w:pPr>
    </w:p>
    <w:p w14:paraId="796586F2" w14:textId="77777777" w:rsidR="00835B06" w:rsidRDefault="004D03F7">
      <w:pPr>
        <w:widowControl w:val="0"/>
        <w:tabs>
          <w:tab w:val="left" w:pos="567"/>
        </w:tabs>
        <w:rPr>
          <w:szCs w:val="22"/>
          <w:u w:val="single"/>
          <w:lang w:val="hu-HU" w:eastAsia="en-US"/>
        </w:rPr>
      </w:pPr>
      <w:r>
        <w:rPr>
          <w:szCs w:val="22"/>
          <w:u w:val="single"/>
          <w:lang w:val="hu-HU" w:eastAsia="en-US"/>
        </w:rPr>
        <w:t>Súlyos, bőrt érintő mellékhatások</w:t>
      </w:r>
    </w:p>
    <w:p w14:paraId="46F6F005" w14:textId="77777777" w:rsidR="00835B06" w:rsidRDefault="004D03F7">
      <w:pPr>
        <w:widowControl w:val="0"/>
        <w:tabs>
          <w:tab w:val="left" w:pos="567"/>
        </w:tabs>
        <w:rPr>
          <w:szCs w:val="22"/>
          <w:lang w:val="hu-HU" w:eastAsia="en-US"/>
        </w:rPr>
      </w:pPr>
      <w:r>
        <w:rPr>
          <w:szCs w:val="22"/>
          <w:lang w:val="hu-HU" w:eastAsia="en-US"/>
        </w:rPr>
        <w:t>A rozuvasztatin-kezeléssel kapcsolatban súlyos, bőrt érintő mellékhatásokat jelentettek, beleértve a Stevens–Johnson-szindrómát (SJS) és az eosinophyliával és szisztémás tünetekkel járó gyógyszerreakciót (</w:t>
      </w:r>
      <w:r>
        <w:rPr>
          <w:i/>
          <w:szCs w:val="22"/>
          <w:lang w:val="hu-HU" w:eastAsia="en-US"/>
        </w:rPr>
        <w:t>drug reaction with eosinophilia and systemic symptoms</w:t>
      </w:r>
      <w:r>
        <w:rPr>
          <w:szCs w:val="22"/>
          <w:lang w:val="hu-HU" w:eastAsia="en-US"/>
        </w:rPr>
        <w:t>, DRESS) is, amely életveszélyes vagy halálos kimenetű is lehet. A beteget a gyógyszer rendelésekor tájékoztatni kell a súlyos bőrreakciók jeleiről és tüneteiről, továbbá szoros felügyelet szükséges. Amennyiben ezen reakciókra utaló jelek és tünetek jelentkeznek, a Roxera Plus alkalmazását azonnal fel kell függeszteni, és más kezelés lehetőségét kell megfontolni.</w:t>
      </w:r>
    </w:p>
    <w:p w14:paraId="0A62BE45" w14:textId="77777777" w:rsidR="00835B06" w:rsidRDefault="004D03F7">
      <w:pPr>
        <w:widowControl w:val="0"/>
        <w:tabs>
          <w:tab w:val="left" w:pos="567"/>
        </w:tabs>
        <w:rPr>
          <w:szCs w:val="22"/>
          <w:lang w:val="hu-HU" w:eastAsia="en-US"/>
        </w:rPr>
      </w:pPr>
      <w:r>
        <w:rPr>
          <w:szCs w:val="22"/>
          <w:lang w:val="hu-HU" w:eastAsia="en-US"/>
        </w:rPr>
        <w:t>Ha a betegnél súlyos mellékhatás – például SJS vagy DRESS – jelentkezik a Roxera Plus alkalmazása során, akkor ezeknél a betegnél a Roxera Plus-kezelés újrakezdése a későbbiekben is tilos.</w:t>
      </w:r>
    </w:p>
    <w:p w14:paraId="092A175D" w14:textId="77777777" w:rsidR="00835B06" w:rsidRDefault="00835B06">
      <w:pPr>
        <w:widowControl w:val="0"/>
        <w:tabs>
          <w:tab w:val="left" w:pos="567"/>
        </w:tabs>
        <w:rPr>
          <w:szCs w:val="22"/>
          <w:u w:val="single"/>
          <w:lang w:val="hu-HU" w:eastAsia="en-US"/>
        </w:rPr>
      </w:pPr>
    </w:p>
    <w:p w14:paraId="2ECF0A67" w14:textId="77777777" w:rsidR="00835B06" w:rsidRDefault="004D03F7">
      <w:pPr>
        <w:widowControl w:val="0"/>
        <w:tabs>
          <w:tab w:val="left" w:pos="567"/>
        </w:tabs>
        <w:rPr>
          <w:szCs w:val="22"/>
          <w:u w:val="single"/>
          <w:lang w:val="hu-HU" w:eastAsia="en-US"/>
        </w:rPr>
      </w:pPr>
      <w:r>
        <w:rPr>
          <w:szCs w:val="22"/>
          <w:u w:val="single"/>
          <w:lang w:val="hu-HU" w:eastAsia="en-US"/>
        </w:rPr>
        <w:t>Segédanyagok</w:t>
      </w:r>
    </w:p>
    <w:p w14:paraId="57CECD0F" w14:textId="77777777" w:rsidR="00835B06" w:rsidRDefault="004D03F7">
      <w:pPr>
        <w:widowControl w:val="0"/>
        <w:tabs>
          <w:tab w:val="left" w:pos="567"/>
        </w:tabs>
        <w:rPr>
          <w:szCs w:val="22"/>
          <w:lang w:val="hu-HU"/>
        </w:rPr>
      </w:pPr>
      <w:r>
        <w:rPr>
          <w:szCs w:val="22"/>
          <w:lang w:val="hu-HU" w:eastAsia="en-US"/>
        </w:rPr>
        <w:t>A Roxera Plus filmtabletta laktózt tartalmaz.</w:t>
      </w:r>
      <w:r>
        <w:rPr>
          <w:szCs w:val="22"/>
          <w:lang w:val="hu-HU"/>
        </w:rPr>
        <w:t xml:space="preserve"> Ritkán előforduló, örökletes galaktózintoleranciában, teljes laktázhiányban vagy glükóz-galaktóz malabszorpcióban a készítmény nem szedhető.</w:t>
      </w:r>
    </w:p>
    <w:p w14:paraId="339DA8C5" w14:textId="77777777" w:rsidR="00835B06" w:rsidRDefault="00835B06">
      <w:pPr>
        <w:widowControl w:val="0"/>
        <w:tabs>
          <w:tab w:val="left" w:pos="567"/>
        </w:tabs>
        <w:rPr>
          <w:szCs w:val="22"/>
          <w:lang w:val="hu-HU"/>
        </w:rPr>
      </w:pPr>
    </w:p>
    <w:p w14:paraId="42604BC2" w14:textId="77777777" w:rsidR="00835B06" w:rsidRDefault="004D03F7">
      <w:pPr>
        <w:widowControl w:val="0"/>
        <w:tabs>
          <w:tab w:val="left" w:pos="567"/>
        </w:tabs>
        <w:rPr>
          <w:szCs w:val="22"/>
          <w:lang w:val="hu-HU" w:eastAsia="en-US"/>
        </w:rPr>
      </w:pPr>
      <w:r>
        <w:rPr>
          <w:szCs w:val="22"/>
          <w:lang w:val="hu-HU" w:eastAsia="en-US"/>
        </w:rPr>
        <w:t>A Roxera Plus kevesebb mint 1 mmol (23 mg) nátriumot tartalmaz filmtablettánként, azaz gyakorlatilag „nátriummentes”.</w:t>
      </w:r>
    </w:p>
    <w:p w14:paraId="0347222E" w14:textId="77777777" w:rsidR="00835B06" w:rsidRDefault="00835B06">
      <w:pPr>
        <w:widowControl w:val="0"/>
        <w:tabs>
          <w:tab w:val="left" w:pos="567"/>
        </w:tabs>
        <w:rPr>
          <w:szCs w:val="22"/>
          <w:lang w:val="hu-HU" w:eastAsia="en-US"/>
        </w:rPr>
      </w:pPr>
    </w:p>
    <w:p w14:paraId="5AF6E3E0" w14:textId="77777777" w:rsidR="00835B06" w:rsidRDefault="004D03F7">
      <w:pPr>
        <w:widowControl w:val="0"/>
        <w:tabs>
          <w:tab w:val="left" w:pos="567"/>
        </w:tabs>
        <w:rPr>
          <w:szCs w:val="22"/>
          <w:lang w:val="hu-HU" w:eastAsia="en-US"/>
        </w:rPr>
      </w:pPr>
      <w:r>
        <w:rPr>
          <w:b/>
          <w:szCs w:val="22"/>
          <w:lang w:val="hu-HU" w:eastAsia="en-US"/>
        </w:rPr>
        <w:t>4.5</w:t>
      </w:r>
      <w:r>
        <w:rPr>
          <w:b/>
          <w:szCs w:val="22"/>
          <w:lang w:val="hu-HU" w:eastAsia="en-US"/>
        </w:rPr>
        <w:tab/>
        <w:t>Gyógyszerkölcsönhatások és egyéb interakciók</w:t>
      </w:r>
    </w:p>
    <w:p w14:paraId="4C90E5D0" w14:textId="77777777" w:rsidR="00835B06" w:rsidRDefault="00835B06">
      <w:pPr>
        <w:widowControl w:val="0"/>
        <w:tabs>
          <w:tab w:val="left" w:pos="567"/>
        </w:tabs>
        <w:rPr>
          <w:szCs w:val="22"/>
          <w:lang w:val="hu-HU" w:eastAsia="en-US"/>
        </w:rPr>
      </w:pPr>
    </w:p>
    <w:p w14:paraId="6DCD3A72" w14:textId="77777777" w:rsidR="00835B06" w:rsidRDefault="004D03F7">
      <w:pPr>
        <w:widowControl w:val="0"/>
        <w:tabs>
          <w:tab w:val="left" w:pos="567"/>
        </w:tabs>
        <w:rPr>
          <w:szCs w:val="22"/>
          <w:u w:val="single"/>
          <w:lang w:val="hu-HU" w:eastAsia="en-US"/>
        </w:rPr>
      </w:pPr>
      <w:r>
        <w:rPr>
          <w:szCs w:val="22"/>
          <w:u w:val="single"/>
          <w:lang w:val="hu-HU" w:eastAsia="en-US"/>
        </w:rPr>
        <w:t>A rozuvasztatin összetevőhöz kapcsolódóan</w:t>
      </w:r>
    </w:p>
    <w:p w14:paraId="7548181A" w14:textId="77777777" w:rsidR="00835B06" w:rsidRDefault="00835B06">
      <w:pPr>
        <w:widowControl w:val="0"/>
        <w:tabs>
          <w:tab w:val="left" w:pos="567"/>
        </w:tabs>
        <w:rPr>
          <w:szCs w:val="22"/>
          <w:u w:val="single"/>
          <w:lang w:val="hu-HU" w:eastAsia="en-US"/>
        </w:rPr>
      </w:pPr>
    </w:p>
    <w:p w14:paraId="69D1A4D7" w14:textId="77777777" w:rsidR="00835B06" w:rsidRDefault="004D03F7">
      <w:pPr>
        <w:widowControl w:val="0"/>
        <w:tabs>
          <w:tab w:val="left" w:pos="567"/>
        </w:tabs>
        <w:rPr>
          <w:i/>
          <w:szCs w:val="22"/>
          <w:u w:val="single"/>
          <w:lang w:val="hu-HU" w:eastAsia="en-US"/>
        </w:rPr>
      </w:pPr>
      <w:r>
        <w:rPr>
          <w:i/>
          <w:szCs w:val="22"/>
          <w:u w:val="single"/>
          <w:lang w:val="hu-HU" w:eastAsia="en-US"/>
        </w:rPr>
        <w:t>Az egyidejűleg alkalmazott gyógyszerek hatása a rozuvasztatinra</w:t>
      </w:r>
    </w:p>
    <w:p w14:paraId="2AADAEA3" w14:textId="77777777" w:rsidR="00835B06" w:rsidRDefault="00835B06">
      <w:pPr>
        <w:widowControl w:val="0"/>
        <w:tabs>
          <w:tab w:val="left" w:pos="567"/>
        </w:tabs>
        <w:rPr>
          <w:szCs w:val="22"/>
          <w:u w:val="single"/>
          <w:lang w:val="hu-HU"/>
        </w:rPr>
      </w:pPr>
    </w:p>
    <w:p w14:paraId="64117795" w14:textId="77777777" w:rsidR="00835B06" w:rsidRDefault="004D03F7">
      <w:pPr>
        <w:widowControl w:val="0"/>
        <w:tabs>
          <w:tab w:val="left" w:pos="567"/>
        </w:tabs>
        <w:rPr>
          <w:szCs w:val="22"/>
          <w:lang w:val="hu-HU"/>
        </w:rPr>
      </w:pPr>
      <w:r>
        <w:rPr>
          <w:i/>
          <w:szCs w:val="22"/>
          <w:lang w:val="hu-HU"/>
        </w:rPr>
        <w:t>Transzportfehérje-gátlók:</w:t>
      </w:r>
      <w:r>
        <w:rPr>
          <w:szCs w:val="22"/>
          <w:lang w:val="hu-HU"/>
        </w:rPr>
        <w:t xml:space="preserve"> A rozuvasztatin bizonyos transzportfehérjék szubsztrátja, beleértve </w:t>
      </w:r>
      <w:r>
        <w:t>hepatikus uptake transzporter OATP1B1</w:t>
      </w:r>
      <w:r>
        <w:noBreakHyphen/>
        <w:t>et és efflux transzporter BCRP</w:t>
      </w:r>
      <w:r>
        <w:noBreakHyphen/>
        <w:t>t</w:t>
      </w:r>
      <w:r>
        <w:rPr>
          <w:szCs w:val="22"/>
          <w:lang w:val="hu-HU"/>
        </w:rPr>
        <w:t>. A rozuvasztatin egyidejű alkalmazása olyan gyógyszerekkel, amelyek gátolják ezeket a transzportfehérjéket, a rozuvasztatin megnövekedett plazmakoncentrációját és a myopathia fokozott kockázatát eredményezheti (lásd 4.2 és 4.4 pont, valamint 1. táblázat a 4.5 pontban).</w:t>
      </w:r>
    </w:p>
    <w:p w14:paraId="0D257D34" w14:textId="77777777" w:rsidR="00835B06" w:rsidRDefault="00835B06">
      <w:pPr>
        <w:widowControl w:val="0"/>
        <w:tabs>
          <w:tab w:val="left" w:pos="567"/>
        </w:tabs>
        <w:rPr>
          <w:szCs w:val="22"/>
          <w:lang w:val="hu-HU"/>
        </w:rPr>
      </w:pPr>
    </w:p>
    <w:p w14:paraId="7240E0D8" w14:textId="77777777" w:rsidR="00835B06" w:rsidRDefault="004D03F7">
      <w:pPr>
        <w:rPr>
          <w:szCs w:val="22"/>
          <w:lang w:val="hu-HU"/>
        </w:rPr>
      </w:pPr>
      <w:r>
        <w:rPr>
          <w:i/>
          <w:szCs w:val="22"/>
          <w:lang w:val="hu-HU"/>
        </w:rPr>
        <w:t xml:space="preserve">Ciklosporin: </w:t>
      </w:r>
      <w:r>
        <w:rPr>
          <w:szCs w:val="22"/>
          <w:lang w:val="hu-HU"/>
        </w:rPr>
        <w:t>Ciklosporin és rozuvasztatin egyidejű alkalmazásakor a rozuvasztatin AUC (</w:t>
      </w:r>
      <w:r>
        <w:rPr>
          <w:i/>
          <w:szCs w:val="22"/>
          <w:lang w:val="hu-HU"/>
        </w:rPr>
        <w:t>Area Under Curve</w:t>
      </w:r>
      <w:r>
        <w:rPr>
          <w:szCs w:val="22"/>
          <w:lang w:val="hu-HU"/>
        </w:rPr>
        <w:t>, plazmakoncentráció-idő görbe alatti terület) értéke átlagosan hétszer magasabb volt az egészséges önkénteseknél mért értékekhez képest (lásd 1. táblázat). A rozuvasztatin ellenjavallt azoknál a betegeknél, akik egyidejűleg ciklosporint is kapnak (lásd 4.3 pont). Az egyidejű alkalmazás nem befolyásolta a ciklosporin plazmakoncentrációját.</w:t>
      </w:r>
    </w:p>
    <w:p w14:paraId="3DFEBE12" w14:textId="77777777" w:rsidR="00835B06" w:rsidRDefault="00835B06">
      <w:pPr>
        <w:widowControl w:val="0"/>
        <w:tabs>
          <w:tab w:val="left" w:pos="567"/>
        </w:tabs>
        <w:rPr>
          <w:szCs w:val="22"/>
          <w:lang w:val="hu-HU"/>
        </w:rPr>
      </w:pPr>
    </w:p>
    <w:p w14:paraId="70CE9F43" w14:textId="77777777" w:rsidR="00835B06" w:rsidRDefault="004D03F7">
      <w:pPr>
        <w:widowControl w:val="0"/>
        <w:tabs>
          <w:tab w:val="left" w:pos="567"/>
        </w:tabs>
        <w:rPr>
          <w:szCs w:val="22"/>
          <w:lang w:val="hu-HU"/>
        </w:rPr>
      </w:pPr>
      <w:r>
        <w:rPr>
          <w:i/>
          <w:szCs w:val="22"/>
          <w:lang w:val="hu-HU"/>
        </w:rPr>
        <w:t>Proteáz-gátlók:</w:t>
      </w:r>
      <w:r>
        <w:rPr>
          <w:szCs w:val="22"/>
          <w:lang w:val="hu-HU"/>
        </w:rPr>
        <w:t xml:space="preserve"> Habár az interakció pontos mechanizmusa nem ismert, proteáz-inhibitorok egyidejű alkalmazásakor a rozuvasztatin-expozíció erőteljesen megnövekedhet (lásd 1. táblázat). Például egy egészséges önkénteseken elvégzett farmakokinetikai vizsgálatban, 10 mg rozuvasztatint és két proteáz inhibitort tartalmazó kombinált készítmény (300 mg atazanavir/100 mg ritonavir) együttadásakor a rozuvasztatin egyensúlyi AUC</w:t>
      </w:r>
      <w:r>
        <w:rPr>
          <w:szCs w:val="22"/>
          <w:vertAlign w:val="subscript"/>
          <w:lang w:val="hu-HU"/>
        </w:rPr>
        <w:t>(0</w:t>
      </w:r>
      <w:r>
        <w:rPr>
          <w:szCs w:val="22"/>
          <w:vertAlign w:val="subscript"/>
          <w:lang w:val="hu-HU"/>
        </w:rPr>
        <w:noBreakHyphen/>
        <w:t>24)</w:t>
      </w:r>
      <w:r>
        <w:rPr>
          <w:szCs w:val="22"/>
          <w:lang w:val="hu-HU"/>
        </w:rPr>
        <w:t xml:space="preserve"> értéke kb. 3</w:t>
      </w:r>
      <w:r>
        <w:rPr>
          <w:szCs w:val="22"/>
          <w:lang w:val="hu-HU"/>
        </w:rPr>
        <w:noBreakHyphen/>
        <w:t>szorosára, c</w:t>
      </w:r>
      <w:r>
        <w:rPr>
          <w:szCs w:val="22"/>
          <w:vertAlign w:val="subscript"/>
          <w:lang w:val="hu-HU"/>
        </w:rPr>
        <w:t>max</w:t>
      </w:r>
      <w:r>
        <w:rPr>
          <w:szCs w:val="22"/>
          <w:lang w:val="hu-HU"/>
        </w:rPr>
        <w:t xml:space="preserve"> értéke 7-szeresére nőtt. A rozuvasztatin és néhány </w:t>
      </w:r>
      <w:r>
        <w:rPr>
          <w:spacing w:val="-2"/>
          <w:szCs w:val="22"/>
          <w:lang w:val="hu-HU"/>
        </w:rPr>
        <w:t>proteáz-inhibitor kombinációjának egyidejű alkalmazása megfontolható a rozuvasztatin</w:t>
      </w:r>
      <w:r>
        <w:rPr>
          <w:spacing w:val="-2"/>
          <w:szCs w:val="22"/>
          <w:lang w:val="hu-HU"/>
        </w:rPr>
        <w:noBreakHyphen/>
        <w:t>dózismódosítás</w:t>
      </w:r>
      <w:r>
        <w:rPr>
          <w:szCs w:val="22"/>
          <w:lang w:val="hu-HU"/>
        </w:rPr>
        <w:t xml:space="preserve"> gondos mérlegelése után, a rozuvasztatin-expozíció várható növekedését alapul véve (lásd 4.2 és 4.4 pont, valamint 1. táblázat).</w:t>
      </w:r>
    </w:p>
    <w:p w14:paraId="41C0CEAB" w14:textId="77777777" w:rsidR="00835B06" w:rsidRDefault="00835B06">
      <w:pPr>
        <w:widowControl w:val="0"/>
        <w:tabs>
          <w:tab w:val="left" w:pos="567"/>
        </w:tabs>
        <w:rPr>
          <w:szCs w:val="22"/>
          <w:u w:val="single"/>
          <w:lang w:val="hu-HU"/>
        </w:rPr>
      </w:pPr>
    </w:p>
    <w:p w14:paraId="1CC53D61" w14:textId="77777777" w:rsidR="00835B06" w:rsidRDefault="004D03F7">
      <w:pPr>
        <w:rPr>
          <w:bCs/>
          <w:szCs w:val="22"/>
          <w:lang w:val="hu-HU"/>
        </w:rPr>
      </w:pPr>
      <w:r>
        <w:rPr>
          <w:bCs/>
          <w:i/>
          <w:iCs/>
          <w:szCs w:val="22"/>
          <w:lang w:val="hu-HU"/>
        </w:rPr>
        <w:t>Gemfibrozil és más lipidszintcsökkentő szerek:</w:t>
      </w:r>
      <w:r>
        <w:rPr>
          <w:b/>
          <w:bCs/>
          <w:iCs/>
          <w:szCs w:val="22"/>
          <w:lang w:val="hu-HU"/>
        </w:rPr>
        <w:t xml:space="preserve"> </w:t>
      </w:r>
      <w:r>
        <w:rPr>
          <w:bCs/>
          <w:szCs w:val="22"/>
          <w:lang w:val="hu-HU"/>
        </w:rPr>
        <w:t>Rozuvasztatin és gemfibrozil egyidejű alkalmazásakor a rozuvasztatin c</w:t>
      </w:r>
      <w:r>
        <w:rPr>
          <w:bCs/>
          <w:szCs w:val="22"/>
          <w:vertAlign w:val="subscript"/>
          <w:lang w:val="hu-HU"/>
        </w:rPr>
        <w:t>max</w:t>
      </w:r>
      <w:r>
        <w:rPr>
          <w:bCs/>
          <w:szCs w:val="22"/>
          <w:lang w:val="hu-HU"/>
        </w:rPr>
        <w:t xml:space="preserve"> és AUC-értékei kétszeresére növekedtek (lásd 4.4 pont). Specifikus gyógyszer-</w:t>
      </w:r>
      <w:r>
        <w:rPr>
          <w:spacing w:val="-4"/>
          <w:szCs w:val="22"/>
          <w:lang w:val="hu-HU"/>
        </w:rPr>
        <w:t>kölcsönhatási vizsgálatok során nyert adatok alapján, fenofibráttal nem várható lényeges farmakokinetikai</w:t>
      </w:r>
      <w:r>
        <w:rPr>
          <w:bCs/>
          <w:szCs w:val="22"/>
          <w:lang w:val="hu-HU"/>
        </w:rPr>
        <w:t xml:space="preserve"> interakció, bár farmakodinámiás kölcsönhatás felléphet. A gemfibrozil, a fenofibrát és más fibrátok, vagy a niacin (nikotinsav) lipidszint csökkentő dózisai (≥ 1 g/nap) HMG-CoA-reduktáz-inhibitorokkal együtt adva fokozzák a myopathia kockázatát, ennek valószínűsíthető oka, hogy ezek a készítmények </w:t>
      </w:r>
      <w:r>
        <w:rPr>
          <w:spacing w:val="-4"/>
          <w:szCs w:val="22"/>
          <w:lang w:val="hu-HU"/>
        </w:rPr>
        <w:t>monoterápiában alkalmazva is előidézhetnek myopathiát. A rozuvasztatin 30 mg-os és 40 mg-os dózisai ellenjavalltak</w:t>
      </w:r>
      <w:r>
        <w:rPr>
          <w:bCs/>
          <w:szCs w:val="22"/>
          <w:lang w:val="hu-HU"/>
        </w:rPr>
        <w:t xml:space="preserve"> fibrátok egyidejű alkalmazásakor (lásd 4.3 és 4.4 pont). Ezeknek a betegeknek a kezelését úgyszintén 5 mg-os dózissal kell kezdeni.</w:t>
      </w:r>
    </w:p>
    <w:p w14:paraId="55D0821C" w14:textId="77777777" w:rsidR="00835B06" w:rsidRDefault="00835B06">
      <w:pPr>
        <w:widowControl w:val="0"/>
        <w:rPr>
          <w:bCs/>
          <w:szCs w:val="22"/>
          <w:lang w:val="hu-HU"/>
        </w:rPr>
      </w:pPr>
    </w:p>
    <w:p w14:paraId="3B1C5E23" w14:textId="77777777" w:rsidR="00835B06" w:rsidRDefault="004D03F7">
      <w:pPr>
        <w:widowControl w:val="0"/>
        <w:rPr>
          <w:bCs/>
          <w:szCs w:val="22"/>
          <w:lang w:val="hu-HU"/>
        </w:rPr>
      </w:pPr>
      <w:r>
        <w:rPr>
          <w:bCs/>
          <w:i/>
          <w:szCs w:val="22"/>
          <w:lang w:val="hu-HU"/>
        </w:rPr>
        <w:t>Antacidok:</w:t>
      </w:r>
      <w:r>
        <w:rPr>
          <w:bCs/>
          <w:szCs w:val="22"/>
          <w:lang w:val="hu-HU"/>
        </w:rPr>
        <w:t xml:space="preserve"> Valamely alumínium- és magnézium-hidroxid-tartalmú antacid-szuszpenzió és rozuvasztatin együttadása a rozuvasztatin plazmakoncentráció megközelítőleg 50%-os csökkenését okozta. Ez a hatás mérséklődött, amikor az antacidot a rozuvasztatin bevétele után 2 órával alkalmazták. Ennek az interakciónak a klinikai jelentőségét nem vizsgálták.</w:t>
      </w:r>
    </w:p>
    <w:p w14:paraId="4A54491E" w14:textId="77777777" w:rsidR="00835B06" w:rsidRDefault="00835B06">
      <w:pPr>
        <w:widowControl w:val="0"/>
        <w:rPr>
          <w:bCs/>
          <w:szCs w:val="22"/>
          <w:lang w:val="hu-HU"/>
        </w:rPr>
      </w:pPr>
    </w:p>
    <w:p w14:paraId="1E85ED06" w14:textId="77777777" w:rsidR="00835B06" w:rsidRDefault="004D03F7">
      <w:pPr>
        <w:pStyle w:val="Cmsor1"/>
        <w:keepNext w:val="0"/>
        <w:widowControl w:val="0"/>
        <w:spacing w:before="0" w:after="0"/>
        <w:rPr>
          <w:rFonts w:ascii="Times New Roman" w:hAnsi="Times New Roman" w:cs="Times New Roman"/>
          <w:b w:val="0"/>
          <w:kern w:val="0"/>
          <w:sz w:val="22"/>
          <w:szCs w:val="22"/>
          <w:lang w:val="hu-HU"/>
        </w:rPr>
      </w:pPr>
      <w:r>
        <w:rPr>
          <w:rFonts w:ascii="Times New Roman" w:hAnsi="Times New Roman" w:cs="Times New Roman"/>
          <w:b w:val="0"/>
          <w:i/>
          <w:kern w:val="0"/>
          <w:sz w:val="22"/>
          <w:szCs w:val="22"/>
          <w:lang w:val="hu-HU"/>
        </w:rPr>
        <w:t>Eritromicin:</w:t>
      </w:r>
      <w:r>
        <w:rPr>
          <w:rFonts w:ascii="Times New Roman" w:hAnsi="Times New Roman" w:cs="Times New Roman"/>
          <w:b w:val="0"/>
          <w:kern w:val="0"/>
          <w:sz w:val="22"/>
          <w:szCs w:val="22"/>
          <w:lang w:val="hu-HU"/>
        </w:rPr>
        <w:t xml:space="preserve"> Rozuvasztatin és eritromicin egyidejű alkalmazásakor a rozuvasztatin AUC</w:t>
      </w:r>
      <w:r>
        <w:rPr>
          <w:rFonts w:ascii="Times New Roman" w:hAnsi="Times New Roman" w:cs="Times New Roman"/>
          <w:b w:val="0"/>
          <w:kern w:val="0"/>
          <w:sz w:val="22"/>
          <w:szCs w:val="22"/>
          <w:vertAlign w:val="subscript"/>
          <w:lang w:val="hu-HU"/>
        </w:rPr>
        <w:t>(0-t)</w:t>
      </w:r>
      <w:r>
        <w:rPr>
          <w:rFonts w:ascii="Times New Roman" w:hAnsi="Times New Roman" w:cs="Times New Roman"/>
          <w:b w:val="0"/>
          <w:kern w:val="0"/>
          <w:sz w:val="22"/>
          <w:szCs w:val="22"/>
          <w:lang w:val="hu-HU"/>
        </w:rPr>
        <w:t xml:space="preserve"> értéke 20%-kal, C</w:t>
      </w:r>
      <w:r>
        <w:rPr>
          <w:rFonts w:ascii="Times New Roman" w:hAnsi="Times New Roman" w:cs="Times New Roman"/>
          <w:b w:val="0"/>
          <w:kern w:val="0"/>
          <w:sz w:val="22"/>
          <w:szCs w:val="22"/>
          <w:vertAlign w:val="subscript"/>
          <w:lang w:val="hu-HU"/>
        </w:rPr>
        <w:t>max</w:t>
      </w:r>
      <w:r>
        <w:rPr>
          <w:rFonts w:ascii="Times New Roman" w:hAnsi="Times New Roman" w:cs="Times New Roman"/>
          <w:b w:val="0"/>
          <w:kern w:val="0"/>
          <w:sz w:val="22"/>
          <w:szCs w:val="22"/>
          <w:lang w:val="hu-HU"/>
        </w:rPr>
        <w:t xml:space="preserve"> értéke 30%-kal csökkent. Ez a kölcsönhatás az eritromicin által kiváltott, fokozott bélmotilitás következménye lehet.</w:t>
      </w:r>
    </w:p>
    <w:p w14:paraId="12E2D2F4" w14:textId="77777777" w:rsidR="00835B06" w:rsidRDefault="00835B06">
      <w:pPr>
        <w:rPr>
          <w:szCs w:val="22"/>
          <w:lang w:val="hu-HU"/>
        </w:rPr>
      </w:pPr>
    </w:p>
    <w:p w14:paraId="22C390F7" w14:textId="77777777" w:rsidR="00835B06" w:rsidRDefault="004D03F7">
      <w:pPr>
        <w:rPr>
          <w:szCs w:val="22"/>
          <w:lang w:val="hu-HU"/>
        </w:rPr>
      </w:pPr>
      <w:r>
        <w:rPr>
          <w:i/>
          <w:spacing w:val="-2"/>
          <w:szCs w:val="22"/>
          <w:lang w:val="hu-HU"/>
        </w:rPr>
        <w:t xml:space="preserve">Citokróm P450 enzimek: </w:t>
      </w:r>
      <w:r>
        <w:rPr>
          <w:bCs/>
          <w:i/>
          <w:iCs/>
          <w:szCs w:val="22"/>
          <w:lang w:val="hu-HU"/>
        </w:rPr>
        <w:t>I</w:t>
      </w:r>
      <w:r>
        <w:rPr>
          <w:i/>
          <w:iCs/>
          <w:szCs w:val="22"/>
          <w:lang w:val="hu-HU"/>
        </w:rPr>
        <w:t>n vitro</w:t>
      </w:r>
      <w:r>
        <w:rPr>
          <w:szCs w:val="22"/>
          <w:lang w:val="hu-HU"/>
        </w:rPr>
        <w:t xml:space="preserve"> és </w:t>
      </w:r>
      <w:r>
        <w:rPr>
          <w:i/>
          <w:iCs/>
          <w:szCs w:val="22"/>
          <w:lang w:val="hu-HU"/>
        </w:rPr>
        <w:t>in vivo</w:t>
      </w:r>
      <w:r>
        <w:rPr>
          <w:szCs w:val="22"/>
          <w:lang w:val="hu-HU"/>
        </w:rPr>
        <w:t xml:space="preserve"> vizsgálatokból származó eredmények azt mutatták, hogy a rozuvasztatin a P450 izoenzimrendszernek se nem inhibitora, se nem induktora. Továbbá a rozuvasztatin ezeknek az izoenzimeknek gyenge szubsztrátja. Így a citokróm P450 mediált metabolizmus eredményeként gyógyszer-interakció nem várható. Nem figyeltek meg klinikai szempontból jelentős interakciót sem rozuvasztatin és flukonazol (CYP2C9 és CYP3A4-inhibitor), sem rozuvasztatin és ketokonazol (CYP2A6 és CYP3A4-inhibitor) között.</w:t>
      </w:r>
    </w:p>
    <w:p w14:paraId="439D21A8" w14:textId="77777777" w:rsidR="00835B06" w:rsidRDefault="00835B06">
      <w:pPr>
        <w:rPr>
          <w:szCs w:val="22"/>
          <w:lang w:val="hu-HU"/>
        </w:rPr>
      </w:pPr>
    </w:p>
    <w:p w14:paraId="7E210045" w14:textId="7A8E36A6" w:rsidR="00835B06" w:rsidRDefault="004D03F7">
      <w:pPr>
        <w:rPr>
          <w:szCs w:val="22"/>
          <w:lang w:val="hu-HU"/>
        </w:rPr>
      </w:pPr>
      <w:r>
        <w:rPr>
          <w:i/>
          <w:szCs w:val="22"/>
          <w:lang w:val="hu-HU"/>
        </w:rPr>
        <w:t>A rozuvasztatin dózismódosítását igénylő interakciók (lásd még 1. táblázat):</w:t>
      </w:r>
      <w:r>
        <w:rPr>
          <w:szCs w:val="22"/>
          <w:lang w:val="hu-HU"/>
        </w:rPr>
        <w:t xml:space="preserve"> Amikor rozuvasztatin egyidejű alkalmazása szükséges olyan gyógyszerekkel, amelyek ismerten növelik a rozuvasztatin</w:t>
      </w:r>
      <w:r>
        <w:rPr>
          <w:szCs w:val="22"/>
          <w:lang w:val="hu-HU"/>
        </w:rPr>
        <w:noBreakHyphen/>
        <w:t>expozíciót, módosítani kell a rozuvasztatin dózisait. Napi egyszer 5 mg rozuvasztatin legyen a kezdő dózis, ha az expozíció (AUC) várható növekedése kb. 2-szeres vagy nagyobb. A rozuvasztatin maximális napi dózisát úgy kell módosítani, hogy a várható rozuvasztatin-expozíció valószínűleg ne haladja meg azt az értéket, amely a napi 40 mg rozuvasztatin bevételekor alakul ki interakciót kiváltó gyógyszer nélkül, például 20 mg-os rozuvasztatin dózis gemfibrozillel (1,9</w:t>
      </w:r>
      <w:r>
        <w:rPr>
          <w:szCs w:val="22"/>
          <w:lang w:val="hu-HU"/>
        </w:rPr>
        <w:noBreakHyphen/>
        <w:t>szeres növekedés) és 10 mg-os rozuvasztatin dózis ritonavir/atazanavir kombinációjával (3,1</w:t>
      </w:r>
      <w:r>
        <w:rPr>
          <w:szCs w:val="22"/>
          <w:lang w:val="hu-HU"/>
        </w:rPr>
        <w:noBreakHyphen/>
        <w:t>szeres növekedés).</w:t>
      </w:r>
    </w:p>
    <w:p w14:paraId="531459E4" w14:textId="77777777" w:rsidR="00835B06" w:rsidRDefault="00835B06">
      <w:pPr>
        <w:rPr>
          <w:szCs w:val="22"/>
          <w:lang w:val="hu-HU"/>
        </w:rPr>
      </w:pPr>
    </w:p>
    <w:p w14:paraId="4EC95F5C" w14:textId="77777777" w:rsidR="00835B06" w:rsidRDefault="004D03F7">
      <w:pPr>
        <w:rPr>
          <w:szCs w:val="22"/>
          <w:lang w:val="hu-HU"/>
        </w:rPr>
      </w:pPr>
      <w:r>
        <w:rPr>
          <w:i/>
          <w:szCs w:val="22"/>
          <w:lang w:val="hu-HU"/>
        </w:rPr>
        <w:t>Tikagrelor</w:t>
      </w:r>
      <w:r>
        <w:rPr>
          <w:szCs w:val="22"/>
          <w:lang w:val="hu-HU"/>
        </w:rPr>
        <w:t>: A tikagrelor befolyásolhatja a rozuvasztatin vesén át történő kiválasztását, ezáltal növelheti a rozuvasztatin akkumulációjának kockázatát. Bár a pontos mechanizmus nem ismert, néhány esetben a tikagrelor és a rozuvasztatin együttes alkalmazása a vesefunkció romlásához, megnövekedett CPK-szinthez, és rhabdomyolysis kialakulásához vezetett.</w:t>
      </w:r>
    </w:p>
    <w:p w14:paraId="1E5C3CF7" w14:textId="77777777" w:rsidR="00835B06" w:rsidRDefault="00835B06">
      <w:pPr>
        <w:rPr>
          <w:szCs w:val="22"/>
          <w:lang w:val="hu-HU"/>
        </w:rPr>
      </w:pPr>
    </w:p>
    <w:p w14:paraId="539BA2D3" w14:textId="77777777" w:rsidR="00835B06" w:rsidRDefault="004D03F7">
      <w:pPr>
        <w:rPr>
          <w:szCs w:val="22"/>
          <w:lang w:val="hu-HU"/>
        </w:rPr>
      </w:pPr>
      <w:r>
        <w:rPr>
          <w:szCs w:val="22"/>
          <w:lang w:val="hu-HU"/>
        </w:rPr>
        <w:t>Amennyiben a megfigyelés alapján a gyógyszer a rozuvasztatin AUC értékét kevesebb mint kétszeresére növeli, úgy a kezdő dózist nem szükséges csökkenteni, de a rozuvasztatin dózis 20 mg fölé emelése elővigyázatosságot igényel.</w:t>
      </w:r>
    </w:p>
    <w:p w14:paraId="14C2635A" w14:textId="77777777" w:rsidR="00835B06" w:rsidRDefault="00835B06">
      <w:pPr>
        <w:rPr>
          <w:szCs w:val="22"/>
          <w:lang w:val="hu-HU"/>
        </w:rPr>
      </w:pPr>
    </w:p>
    <w:p w14:paraId="006A405A" w14:textId="77777777" w:rsidR="00835B06" w:rsidRDefault="004D03F7">
      <w:pPr>
        <w:keepNext/>
        <w:rPr>
          <w:b/>
          <w:szCs w:val="22"/>
          <w:lang w:val="hu-HU"/>
        </w:rPr>
      </w:pPr>
      <w:r>
        <w:rPr>
          <w:b/>
          <w:szCs w:val="22"/>
          <w:lang w:val="hu-HU"/>
        </w:rPr>
        <w:t>1. táblázat.</w:t>
      </w:r>
      <w:r>
        <w:rPr>
          <w:szCs w:val="22"/>
          <w:lang w:val="hu-HU"/>
        </w:rPr>
        <w:t xml:space="preserve"> </w:t>
      </w:r>
      <w:r>
        <w:rPr>
          <w:b/>
          <w:szCs w:val="22"/>
          <w:lang w:val="hu-HU"/>
        </w:rPr>
        <w:t>Az egyidejűleg alkalmazott gyógyszerek hatása a rozuvasztatin-expozícióra (AUC; csökkenő nagyságrendben) a közölt klinikai vizsgálatokból.</w:t>
      </w:r>
    </w:p>
    <w:tbl>
      <w:tblPr>
        <w:tblW w:w="9336" w:type="dxa"/>
        <w:tblInd w:w="-108" w:type="dxa"/>
        <w:tblLayout w:type="fixed"/>
        <w:tblLook w:val="0000" w:firstRow="0" w:lastRow="0" w:firstColumn="0" w:lastColumn="0" w:noHBand="0" w:noVBand="0"/>
      </w:tblPr>
      <w:tblGrid>
        <w:gridCol w:w="3828"/>
        <w:gridCol w:w="108"/>
        <w:gridCol w:w="3012"/>
        <w:gridCol w:w="108"/>
        <w:gridCol w:w="2280"/>
      </w:tblGrid>
      <w:tr w:rsidR="00835B06" w14:paraId="5A57C5AF" w14:textId="77777777">
        <w:trPr>
          <w:cantSplit/>
        </w:trPr>
        <w:tc>
          <w:tcPr>
            <w:tcW w:w="9336" w:type="dxa"/>
            <w:gridSpan w:val="5"/>
            <w:tcBorders>
              <w:top w:val="single" w:sz="4" w:space="0" w:color="auto"/>
              <w:bottom w:val="single" w:sz="12" w:space="0" w:color="auto"/>
            </w:tcBorders>
          </w:tcPr>
          <w:p w14:paraId="07336935" w14:textId="77777777" w:rsidR="00835B06" w:rsidRDefault="004D03F7">
            <w:pPr>
              <w:pStyle w:val="A-TableHeader"/>
              <w:rPr>
                <w:b w:val="0"/>
                <w:i/>
                <w:lang w:val="hu-HU" w:eastAsia="zh-CN"/>
              </w:rPr>
            </w:pPr>
            <w:r>
              <w:rPr>
                <w:b w:val="0"/>
                <w:lang w:val="hu-HU" w:eastAsia="zh-CN"/>
              </w:rPr>
              <w:t>A rozuvasztatin AUC értékének 2-szeres vagy nagyobb mértékű növekedése</w:t>
            </w:r>
          </w:p>
        </w:tc>
      </w:tr>
      <w:tr w:rsidR="00835B06" w14:paraId="6E41716F" w14:textId="77777777">
        <w:trPr>
          <w:cantSplit/>
        </w:trPr>
        <w:tc>
          <w:tcPr>
            <w:tcW w:w="3828" w:type="dxa"/>
            <w:tcBorders>
              <w:top w:val="single" w:sz="12" w:space="0" w:color="auto"/>
              <w:bottom w:val="single" w:sz="6" w:space="0" w:color="auto"/>
            </w:tcBorders>
          </w:tcPr>
          <w:p w14:paraId="7447AF16" w14:textId="77777777" w:rsidR="00835B06" w:rsidRDefault="004D03F7">
            <w:pPr>
              <w:pStyle w:val="A-TableHeader"/>
              <w:rPr>
                <w:b w:val="0"/>
                <w:lang w:val="hu-HU" w:eastAsia="zh-CN"/>
              </w:rPr>
            </w:pPr>
            <w:r>
              <w:rPr>
                <w:b w:val="0"/>
                <w:lang w:val="hu-HU" w:eastAsia="zh-CN"/>
              </w:rPr>
              <w:t>A kölcsönhatásba lépő gyógyszer adagolási rendje</w:t>
            </w:r>
          </w:p>
        </w:tc>
        <w:tc>
          <w:tcPr>
            <w:tcW w:w="3120" w:type="dxa"/>
            <w:gridSpan w:val="2"/>
            <w:tcBorders>
              <w:top w:val="single" w:sz="12" w:space="0" w:color="auto"/>
              <w:bottom w:val="single" w:sz="6" w:space="0" w:color="auto"/>
            </w:tcBorders>
          </w:tcPr>
          <w:p w14:paraId="7D14E5B6" w14:textId="77777777" w:rsidR="00835B06" w:rsidRDefault="004D03F7">
            <w:pPr>
              <w:pStyle w:val="A-TableHeader"/>
              <w:jc w:val="center"/>
              <w:rPr>
                <w:b w:val="0"/>
                <w:lang w:val="hu-HU" w:eastAsia="zh-CN"/>
              </w:rPr>
            </w:pPr>
            <w:r>
              <w:rPr>
                <w:b w:val="0"/>
                <w:lang w:val="hu-HU" w:eastAsia="zh-CN"/>
              </w:rPr>
              <w:t>Rozuvasztatin</w:t>
            </w:r>
            <w:r>
              <w:rPr>
                <w:b w:val="0"/>
                <w:lang w:val="hu-HU" w:eastAsia="zh-CN"/>
              </w:rPr>
              <w:br/>
              <w:t>adagolási rendje</w:t>
            </w:r>
          </w:p>
        </w:tc>
        <w:tc>
          <w:tcPr>
            <w:tcW w:w="2388" w:type="dxa"/>
            <w:gridSpan w:val="2"/>
            <w:tcBorders>
              <w:top w:val="single" w:sz="12" w:space="0" w:color="auto"/>
              <w:bottom w:val="single" w:sz="6" w:space="0" w:color="auto"/>
            </w:tcBorders>
          </w:tcPr>
          <w:p w14:paraId="25BD67BD" w14:textId="77777777" w:rsidR="00835B06" w:rsidRDefault="004D03F7">
            <w:pPr>
              <w:pStyle w:val="A-TableHeader"/>
              <w:jc w:val="center"/>
              <w:rPr>
                <w:b w:val="0"/>
                <w:lang w:val="hu-HU" w:eastAsia="zh-CN"/>
              </w:rPr>
            </w:pPr>
            <w:r>
              <w:rPr>
                <w:b w:val="0"/>
                <w:lang w:val="hu-HU" w:eastAsia="zh-CN"/>
              </w:rPr>
              <w:t>Rozuvasztatin AUC</w:t>
            </w:r>
            <w:r>
              <w:rPr>
                <w:b w:val="0"/>
                <w:vertAlign w:val="superscript"/>
                <w:lang w:val="hu-HU" w:eastAsia="zh-CN"/>
              </w:rPr>
              <w:t xml:space="preserve">* </w:t>
            </w:r>
            <w:r>
              <w:rPr>
                <w:b w:val="0"/>
                <w:lang w:val="hu-HU" w:eastAsia="zh-CN"/>
              </w:rPr>
              <w:t>változása</w:t>
            </w:r>
          </w:p>
        </w:tc>
      </w:tr>
      <w:tr w:rsidR="00835B06" w14:paraId="6D36F287" w14:textId="77777777">
        <w:trPr>
          <w:cantSplit/>
        </w:trPr>
        <w:tc>
          <w:tcPr>
            <w:tcW w:w="3828" w:type="dxa"/>
            <w:tcBorders>
              <w:top w:val="single" w:sz="6" w:space="0" w:color="auto"/>
            </w:tcBorders>
          </w:tcPr>
          <w:p w14:paraId="5FA99CDE" w14:textId="77777777" w:rsidR="00835B06" w:rsidRDefault="004D03F7">
            <w:pPr>
              <w:pStyle w:val="A-TableText"/>
              <w:rPr>
                <w:lang w:val="hu-HU" w:eastAsia="zh-CN"/>
              </w:rPr>
            </w:pPr>
            <w:r>
              <w:rPr>
                <w:lang w:val="hu-HU" w:eastAsia="zh-CN"/>
              </w:rPr>
              <w:t>Szofoszbuvir/velpataszvir/voxilaprevir (400 mg-100 mg-100 mg) + voxilaprevir (100 mg) napi egyszer, 15 nap</w:t>
            </w:r>
          </w:p>
        </w:tc>
        <w:tc>
          <w:tcPr>
            <w:tcW w:w="3120" w:type="dxa"/>
            <w:gridSpan w:val="2"/>
            <w:tcBorders>
              <w:top w:val="single" w:sz="6" w:space="0" w:color="auto"/>
            </w:tcBorders>
            <w:vAlign w:val="center"/>
          </w:tcPr>
          <w:p w14:paraId="08F3E012" w14:textId="77777777" w:rsidR="00835B06" w:rsidRDefault="004D03F7">
            <w:pPr>
              <w:pStyle w:val="A-TableText"/>
              <w:jc w:val="center"/>
              <w:rPr>
                <w:lang w:val="hu-HU" w:eastAsia="zh-CN"/>
              </w:rPr>
            </w:pPr>
            <w:r>
              <w:rPr>
                <w:lang w:val="hu-HU" w:eastAsia="zh-CN"/>
              </w:rPr>
              <w:t>10 mg egyszeri dózis</w:t>
            </w:r>
          </w:p>
        </w:tc>
        <w:tc>
          <w:tcPr>
            <w:tcW w:w="2388" w:type="dxa"/>
            <w:gridSpan w:val="2"/>
            <w:tcBorders>
              <w:top w:val="single" w:sz="6" w:space="0" w:color="auto"/>
            </w:tcBorders>
            <w:vAlign w:val="center"/>
          </w:tcPr>
          <w:p w14:paraId="0EE7C9D7" w14:textId="77777777" w:rsidR="00835B06" w:rsidRDefault="004D03F7">
            <w:pPr>
              <w:pStyle w:val="A-TableText"/>
              <w:jc w:val="center"/>
              <w:rPr>
                <w:lang w:val="hu-HU" w:eastAsia="zh-CN"/>
              </w:rPr>
            </w:pPr>
            <w:r>
              <w:rPr>
                <w:lang w:val="hu-HU" w:eastAsia="zh-CN"/>
              </w:rPr>
              <w:t>7,4</w:t>
            </w:r>
            <w:r>
              <w:rPr>
                <w:lang w:val="hu-HU" w:eastAsia="zh-CN"/>
              </w:rPr>
              <w:noBreakHyphen/>
              <w:t xml:space="preserve">szeres </w:t>
            </w:r>
            <w:r>
              <w:rPr>
                <w:lang w:val="hu-HU" w:eastAsia="zh-CN"/>
              </w:rPr>
              <w:sym w:font="Symbol" w:char="F0AD"/>
            </w:r>
          </w:p>
        </w:tc>
      </w:tr>
      <w:tr w:rsidR="00835B06" w14:paraId="66736ACE" w14:textId="77777777">
        <w:trPr>
          <w:cantSplit/>
        </w:trPr>
        <w:tc>
          <w:tcPr>
            <w:tcW w:w="3828" w:type="dxa"/>
          </w:tcPr>
          <w:p w14:paraId="70031270" w14:textId="77777777" w:rsidR="00835B06" w:rsidRDefault="004D03F7">
            <w:pPr>
              <w:pStyle w:val="A-TableText"/>
              <w:rPr>
                <w:lang w:val="hu-HU" w:eastAsia="zh-CN"/>
              </w:rPr>
            </w:pPr>
            <w:r>
              <w:rPr>
                <w:lang w:val="hu-HU" w:eastAsia="zh-CN"/>
              </w:rPr>
              <w:t>Ciklosporin 2×75 mg – 2×200 mg/nap, 6 hónap</w:t>
            </w:r>
          </w:p>
        </w:tc>
        <w:tc>
          <w:tcPr>
            <w:tcW w:w="3120" w:type="dxa"/>
            <w:gridSpan w:val="2"/>
            <w:vAlign w:val="center"/>
          </w:tcPr>
          <w:p w14:paraId="40E73405" w14:textId="77777777" w:rsidR="00835B06" w:rsidRDefault="004D03F7">
            <w:pPr>
              <w:pStyle w:val="A-TableText"/>
              <w:jc w:val="center"/>
              <w:rPr>
                <w:lang w:val="hu-HU" w:eastAsia="zh-CN"/>
              </w:rPr>
            </w:pPr>
            <w:r>
              <w:rPr>
                <w:lang w:val="hu-HU" w:eastAsia="zh-CN"/>
              </w:rPr>
              <w:t>1×10 mg/nap, 10 nap</w:t>
            </w:r>
          </w:p>
        </w:tc>
        <w:tc>
          <w:tcPr>
            <w:tcW w:w="2388" w:type="dxa"/>
            <w:gridSpan w:val="2"/>
            <w:vAlign w:val="center"/>
          </w:tcPr>
          <w:p w14:paraId="00C37BDD" w14:textId="77777777" w:rsidR="00835B06" w:rsidRDefault="004D03F7">
            <w:pPr>
              <w:pStyle w:val="A-TableText"/>
              <w:jc w:val="center"/>
              <w:rPr>
                <w:lang w:val="hu-HU" w:eastAsia="zh-CN"/>
              </w:rPr>
            </w:pPr>
            <w:r>
              <w:rPr>
                <w:lang w:val="hu-HU" w:eastAsia="zh-CN"/>
              </w:rPr>
              <w:t>7,1</w:t>
            </w:r>
            <w:r>
              <w:rPr>
                <w:lang w:val="hu-HU" w:eastAsia="zh-CN"/>
              </w:rPr>
              <w:noBreakHyphen/>
              <w:t xml:space="preserve">szeres </w:t>
            </w:r>
            <w:r>
              <w:rPr>
                <w:lang w:val="hu-HU" w:eastAsia="zh-CN"/>
              </w:rPr>
              <w:sym w:font="Symbol" w:char="F0AD"/>
            </w:r>
          </w:p>
        </w:tc>
      </w:tr>
      <w:tr w:rsidR="00835B06" w14:paraId="51508CEC" w14:textId="77777777">
        <w:trPr>
          <w:cantSplit/>
        </w:trPr>
        <w:tc>
          <w:tcPr>
            <w:tcW w:w="3828" w:type="dxa"/>
          </w:tcPr>
          <w:p w14:paraId="74D55067" w14:textId="77777777" w:rsidR="00835B06" w:rsidRDefault="004D03F7">
            <w:pPr>
              <w:pStyle w:val="A-TableText"/>
              <w:rPr>
                <w:lang w:val="hu-HU" w:eastAsia="zh-CN"/>
              </w:rPr>
            </w:pPr>
            <w:r>
              <w:rPr>
                <w:lang w:val="hu-HU" w:eastAsia="zh-CN"/>
              </w:rPr>
              <w:t>Darolutamid 600 mg napi kétszer, 5 nap</w:t>
            </w:r>
          </w:p>
        </w:tc>
        <w:tc>
          <w:tcPr>
            <w:tcW w:w="3120" w:type="dxa"/>
            <w:gridSpan w:val="2"/>
          </w:tcPr>
          <w:p w14:paraId="367A767B" w14:textId="77777777" w:rsidR="00835B06" w:rsidRDefault="004D03F7">
            <w:pPr>
              <w:pStyle w:val="A-TableText"/>
              <w:jc w:val="center"/>
              <w:rPr>
                <w:lang w:val="hu-HU" w:eastAsia="zh-CN"/>
              </w:rPr>
            </w:pPr>
            <w:r>
              <w:rPr>
                <w:lang w:val="hu-HU" w:eastAsia="zh-CN"/>
              </w:rPr>
              <w:t>5 mg, egyszeri dózis</w:t>
            </w:r>
          </w:p>
        </w:tc>
        <w:tc>
          <w:tcPr>
            <w:tcW w:w="2388" w:type="dxa"/>
            <w:gridSpan w:val="2"/>
          </w:tcPr>
          <w:p w14:paraId="1320184A" w14:textId="77777777" w:rsidR="00835B06" w:rsidRDefault="004D03F7">
            <w:pPr>
              <w:pStyle w:val="A-TableText"/>
              <w:jc w:val="center"/>
              <w:rPr>
                <w:lang w:val="hu-HU" w:eastAsia="zh-CN"/>
              </w:rPr>
            </w:pPr>
            <w:r>
              <w:rPr>
                <w:lang w:val="hu-HU" w:eastAsia="zh-CN"/>
              </w:rPr>
              <w:t>5,2</w:t>
            </w:r>
            <w:r>
              <w:rPr>
                <w:lang w:val="hu-HU" w:eastAsia="zh-CN"/>
              </w:rPr>
              <w:noBreakHyphen/>
              <w:t xml:space="preserve">szeres </w:t>
            </w:r>
            <w:r>
              <w:rPr>
                <w:lang w:val="hu-HU" w:eastAsia="zh-CN"/>
              </w:rPr>
              <w:sym w:font="Symbol" w:char="F0AD"/>
            </w:r>
          </w:p>
        </w:tc>
      </w:tr>
      <w:tr w:rsidR="00835B06" w14:paraId="27985ED6" w14:textId="77777777">
        <w:trPr>
          <w:cantSplit/>
        </w:trPr>
        <w:tc>
          <w:tcPr>
            <w:tcW w:w="3828" w:type="dxa"/>
          </w:tcPr>
          <w:p w14:paraId="1A3B22DD" w14:textId="77777777" w:rsidR="00835B06" w:rsidRDefault="004D03F7">
            <w:pPr>
              <w:pStyle w:val="A-TableText"/>
              <w:rPr>
                <w:lang w:val="hu-HU" w:eastAsia="zh-CN"/>
              </w:rPr>
            </w:pPr>
            <w:r>
              <w:rPr>
                <w:lang w:val="hu-HU" w:eastAsia="zh-CN"/>
              </w:rPr>
              <w:t>Regorafenib 160 mg napi egyszer, 14 nap</w:t>
            </w:r>
          </w:p>
        </w:tc>
        <w:tc>
          <w:tcPr>
            <w:tcW w:w="3120" w:type="dxa"/>
            <w:gridSpan w:val="2"/>
          </w:tcPr>
          <w:p w14:paraId="69B525B1" w14:textId="77777777" w:rsidR="00835B06" w:rsidRDefault="004D03F7">
            <w:pPr>
              <w:pStyle w:val="A-TableText"/>
              <w:jc w:val="center"/>
              <w:rPr>
                <w:lang w:val="hu-HU" w:eastAsia="zh-CN"/>
              </w:rPr>
            </w:pPr>
            <w:r>
              <w:rPr>
                <w:lang w:val="hu-HU" w:eastAsia="zh-CN"/>
              </w:rPr>
              <w:t>5 mg, egyszeri dózis</w:t>
            </w:r>
          </w:p>
        </w:tc>
        <w:tc>
          <w:tcPr>
            <w:tcW w:w="2388" w:type="dxa"/>
            <w:gridSpan w:val="2"/>
          </w:tcPr>
          <w:p w14:paraId="6573D3FC" w14:textId="77777777" w:rsidR="00835B06" w:rsidRDefault="004D03F7">
            <w:pPr>
              <w:pStyle w:val="A-TableText"/>
              <w:jc w:val="center"/>
              <w:rPr>
                <w:lang w:val="hu-HU" w:eastAsia="zh-CN"/>
              </w:rPr>
            </w:pPr>
            <w:r>
              <w:rPr>
                <w:lang w:val="hu-HU" w:eastAsia="zh-CN"/>
              </w:rPr>
              <w:t>3,8</w:t>
            </w:r>
            <w:r>
              <w:rPr>
                <w:lang w:val="hu-HU" w:eastAsia="zh-CN"/>
              </w:rPr>
              <w:noBreakHyphen/>
              <w:t xml:space="preserve">szeres </w:t>
            </w:r>
            <w:r>
              <w:rPr>
                <w:lang w:val="hu-HU" w:eastAsia="zh-CN"/>
              </w:rPr>
              <w:sym w:font="Symbol" w:char="F0AD"/>
            </w:r>
          </w:p>
        </w:tc>
      </w:tr>
      <w:tr w:rsidR="00835B06" w14:paraId="60D0F1C7" w14:textId="77777777">
        <w:trPr>
          <w:cantSplit/>
        </w:trPr>
        <w:tc>
          <w:tcPr>
            <w:tcW w:w="3828" w:type="dxa"/>
          </w:tcPr>
          <w:p w14:paraId="1B7B0DFD" w14:textId="77777777" w:rsidR="00835B06" w:rsidRDefault="004D03F7">
            <w:pPr>
              <w:pStyle w:val="A-TableText"/>
              <w:rPr>
                <w:lang w:val="hu-HU"/>
              </w:rPr>
            </w:pPr>
            <w:r>
              <w:rPr>
                <w:lang w:val="hu-HU"/>
              </w:rPr>
              <w:t>Atazanavir 300 mg/ritonavir 100 mg napi egyszer, 8 nap</w:t>
            </w:r>
          </w:p>
        </w:tc>
        <w:tc>
          <w:tcPr>
            <w:tcW w:w="3120" w:type="dxa"/>
            <w:gridSpan w:val="2"/>
            <w:vAlign w:val="center"/>
          </w:tcPr>
          <w:p w14:paraId="5AD45902" w14:textId="77777777" w:rsidR="00835B06" w:rsidRDefault="004D03F7">
            <w:pPr>
              <w:pStyle w:val="A-TableText"/>
              <w:jc w:val="center"/>
              <w:rPr>
                <w:lang w:val="hu-HU"/>
              </w:rPr>
            </w:pPr>
            <w:r>
              <w:rPr>
                <w:lang w:val="hu-HU"/>
              </w:rPr>
              <w:t>10 mg, egyszeri dózis</w:t>
            </w:r>
          </w:p>
        </w:tc>
        <w:tc>
          <w:tcPr>
            <w:tcW w:w="2388" w:type="dxa"/>
            <w:gridSpan w:val="2"/>
            <w:vAlign w:val="center"/>
          </w:tcPr>
          <w:p w14:paraId="1F67811D" w14:textId="77777777" w:rsidR="00835B06" w:rsidRDefault="004D03F7">
            <w:pPr>
              <w:pStyle w:val="A-TableText"/>
              <w:jc w:val="center"/>
              <w:rPr>
                <w:lang w:val="hu-HU"/>
              </w:rPr>
            </w:pPr>
            <w:r>
              <w:rPr>
                <w:lang w:val="hu-HU"/>
              </w:rPr>
              <w:t>3,1</w:t>
            </w:r>
            <w:r>
              <w:rPr>
                <w:lang w:val="hu-HU"/>
              </w:rPr>
              <w:noBreakHyphen/>
              <w:t xml:space="preserve">szeres </w:t>
            </w:r>
            <w:r>
              <w:rPr>
                <w:lang w:val="hu-HU"/>
              </w:rPr>
              <w:sym w:font="Symbol" w:char="F0AD"/>
            </w:r>
          </w:p>
        </w:tc>
      </w:tr>
      <w:tr w:rsidR="00835B06" w14:paraId="2A052D52" w14:textId="77777777">
        <w:trPr>
          <w:cantSplit/>
        </w:trPr>
        <w:tc>
          <w:tcPr>
            <w:tcW w:w="3936" w:type="dxa"/>
            <w:gridSpan w:val="2"/>
          </w:tcPr>
          <w:p w14:paraId="4AD83AA1" w14:textId="77777777" w:rsidR="00835B06" w:rsidRDefault="004D03F7">
            <w:pPr>
              <w:pStyle w:val="A-TableText"/>
              <w:rPr>
                <w:lang w:val="hu-HU"/>
              </w:rPr>
            </w:pPr>
            <w:r>
              <w:rPr>
                <w:lang w:val="hu-HU"/>
              </w:rPr>
              <w:t>Roxadusztát 200 mg, kétnaponta</w:t>
            </w:r>
          </w:p>
        </w:tc>
        <w:tc>
          <w:tcPr>
            <w:tcW w:w="3120" w:type="dxa"/>
            <w:gridSpan w:val="2"/>
            <w:vAlign w:val="center"/>
          </w:tcPr>
          <w:p w14:paraId="644E1C6F" w14:textId="77777777" w:rsidR="00835B06" w:rsidRDefault="004D03F7">
            <w:pPr>
              <w:pStyle w:val="A-TableText"/>
              <w:jc w:val="center"/>
              <w:rPr>
                <w:lang w:val="hu-HU"/>
              </w:rPr>
            </w:pPr>
            <w:r>
              <w:rPr>
                <w:lang w:val="hu-HU"/>
              </w:rPr>
              <w:t>10 mg, egyszeri dózis</w:t>
            </w:r>
          </w:p>
        </w:tc>
        <w:tc>
          <w:tcPr>
            <w:tcW w:w="2280" w:type="dxa"/>
            <w:vAlign w:val="center"/>
          </w:tcPr>
          <w:p w14:paraId="23A5C862" w14:textId="77777777" w:rsidR="00835B06" w:rsidRDefault="004D03F7">
            <w:pPr>
              <w:pStyle w:val="A-TableText"/>
              <w:jc w:val="center"/>
              <w:rPr>
                <w:lang w:val="hu-HU"/>
              </w:rPr>
            </w:pPr>
            <w:r>
              <w:rPr>
                <w:lang w:val="hu-HU"/>
              </w:rPr>
              <w:t>2,9</w:t>
            </w:r>
            <w:r>
              <w:rPr>
                <w:lang w:val="hu-HU"/>
              </w:rPr>
              <w:noBreakHyphen/>
              <w:t xml:space="preserve">szeres </w:t>
            </w:r>
            <w:r>
              <w:rPr>
                <w:lang w:val="hu-HU"/>
              </w:rPr>
              <w:sym w:font="Symbol" w:char="F0AD"/>
            </w:r>
          </w:p>
        </w:tc>
      </w:tr>
      <w:tr w:rsidR="00835B06" w14:paraId="1787DDA9" w14:textId="77777777">
        <w:trPr>
          <w:cantSplit/>
        </w:trPr>
        <w:tc>
          <w:tcPr>
            <w:tcW w:w="3828" w:type="dxa"/>
          </w:tcPr>
          <w:p w14:paraId="23A874D6" w14:textId="77777777" w:rsidR="00835B06" w:rsidRDefault="004D03F7">
            <w:pPr>
              <w:pStyle w:val="A-TableText"/>
              <w:rPr>
                <w:lang w:val="hu-HU" w:eastAsia="zh-CN"/>
              </w:rPr>
            </w:pPr>
            <w:r>
              <w:rPr>
                <w:lang w:val="hu-HU"/>
              </w:rPr>
              <w:t>Velpataszvir 100 mg napi egyszer</w:t>
            </w:r>
          </w:p>
        </w:tc>
        <w:tc>
          <w:tcPr>
            <w:tcW w:w="3120" w:type="dxa"/>
            <w:gridSpan w:val="2"/>
            <w:vAlign w:val="center"/>
          </w:tcPr>
          <w:p w14:paraId="10970B9D" w14:textId="77777777" w:rsidR="00835B06" w:rsidRDefault="004D03F7">
            <w:pPr>
              <w:pStyle w:val="A-TableText"/>
              <w:jc w:val="center"/>
              <w:rPr>
                <w:lang w:val="hu-HU" w:eastAsia="zh-CN"/>
              </w:rPr>
            </w:pPr>
            <w:r>
              <w:rPr>
                <w:lang w:val="hu-HU" w:eastAsia="zh-CN"/>
              </w:rPr>
              <w:t>10 mg, egyszeri dózis</w:t>
            </w:r>
          </w:p>
        </w:tc>
        <w:tc>
          <w:tcPr>
            <w:tcW w:w="2388" w:type="dxa"/>
            <w:gridSpan w:val="2"/>
            <w:vAlign w:val="center"/>
          </w:tcPr>
          <w:p w14:paraId="0DA53FA9" w14:textId="77777777" w:rsidR="00835B06" w:rsidRDefault="004D03F7">
            <w:pPr>
              <w:pStyle w:val="A-TableText"/>
              <w:jc w:val="center"/>
              <w:rPr>
                <w:lang w:val="hu-HU" w:eastAsia="zh-CN"/>
              </w:rPr>
            </w:pPr>
            <w:r>
              <w:rPr>
                <w:lang w:val="hu-HU" w:eastAsia="zh-CN"/>
              </w:rPr>
              <w:t>2,7</w:t>
            </w:r>
            <w:r>
              <w:rPr>
                <w:lang w:val="hu-HU" w:eastAsia="zh-CN"/>
              </w:rPr>
              <w:noBreakHyphen/>
              <w:t xml:space="preserve">szeres </w:t>
            </w:r>
            <w:r>
              <w:rPr>
                <w:lang w:val="hu-HU" w:eastAsia="zh-CN"/>
              </w:rPr>
              <w:sym w:font="Symbol" w:char="F0AD"/>
            </w:r>
          </w:p>
        </w:tc>
      </w:tr>
      <w:tr w:rsidR="00835B06" w14:paraId="6059D59C" w14:textId="77777777">
        <w:trPr>
          <w:cantSplit/>
        </w:trPr>
        <w:tc>
          <w:tcPr>
            <w:tcW w:w="3828" w:type="dxa"/>
          </w:tcPr>
          <w:p w14:paraId="524F56C3" w14:textId="77777777" w:rsidR="00835B06" w:rsidRDefault="004D03F7">
            <w:pPr>
              <w:pStyle w:val="A-TableText"/>
              <w:rPr>
                <w:lang w:val="hu-HU"/>
              </w:rPr>
            </w:pPr>
            <w:r>
              <w:rPr>
                <w:lang w:val="hu-HU" w:eastAsia="zh-CN"/>
              </w:rPr>
              <w:t>Ombitaszvir 25 mg/paritaprevir 150 mg/ ritonavir 100 mg napi egyszer/ dazabuvir 400 mg napi kétszer, 14 nap</w:t>
            </w:r>
          </w:p>
        </w:tc>
        <w:tc>
          <w:tcPr>
            <w:tcW w:w="3120" w:type="dxa"/>
            <w:gridSpan w:val="2"/>
          </w:tcPr>
          <w:p w14:paraId="48C063C9" w14:textId="77777777" w:rsidR="00835B06" w:rsidRDefault="004D03F7">
            <w:pPr>
              <w:pStyle w:val="A-TableText"/>
              <w:jc w:val="center"/>
              <w:rPr>
                <w:lang w:val="hu-HU" w:eastAsia="zh-CN"/>
              </w:rPr>
            </w:pPr>
            <w:r>
              <w:rPr>
                <w:lang w:val="hu-HU" w:eastAsia="zh-CN"/>
              </w:rPr>
              <w:t>5 mg, egyszeri dózis</w:t>
            </w:r>
          </w:p>
        </w:tc>
        <w:tc>
          <w:tcPr>
            <w:tcW w:w="2388" w:type="dxa"/>
            <w:gridSpan w:val="2"/>
          </w:tcPr>
          <w:p w14:paraId="17C0F3E8" w14:textId="77777777" w:rsidR="00835B06" w:rsidRDefault="004D03F7">
            <w:pPr>
              <w:pStyle w:val="A-TableText"/>
              <w:jc w:val="center"/>
              <w:rPr>
                <w:lang w:val="hu-HU" w:eastAsia="zh-CN"/>
              </w:rPr>
            </w:pPr>
            <w:r>
              <w:rPr>
                <w:lang w:val="hu-HU" w:eastAsia="zh-CN"/>
              </w:rPr>
              <w:t>2,6</w:t>
            </w:r>
            <w:r>
              <w:rPr>
                <w:lang w:val="hu-HU" w:eastAsia="zh-CN"/>
              </w:rPr>
              <w:noBreakHyphen/>
              <w:t xml:space="preserve">szeres </w:t>
            </w:r>
            <w:r>
              <w:rPr>
                <w:lang w:val="hu-HU" w:eastAsia="zh-CN"/>
              </w:rPr>
              <w:sym w:font="Symbol" w:char="F0AD"/>
            </w:r>
          </w:p>
        </w:tc>
      </w:tr>
      <w:tr w:rsidR="00835B06" w14:paraId="343F705E" w14:textId="77777777">
        <w:trPr>
          <w:cantSplit/>
        </w:trPr>
        <w:tc>
          <w:tcPr>
            <w:tcW w:w="3828" w:type="dxa"/>
          </w:tcPr>
          <w:p w14:paraId="7164A2B4" w14:textId="77777777" w:rsidR="00835B06" w:rsidRDefault="004D03F7">
            <w:pPr>
              <w:pStyle w:val="A-TableText"/>
              <w:rPr>
                <w:lang w:val="hu-HU" w:eastAsia="zh-CN"/>
              </w:rPr>
            </w:pPr>
            <w:r>
              <w:rPr>
                <w:lang w:val="hu-HU" w:eastAsia="zh-CN"/>
              </w:rPr>
              <w:t>Teriflunomid</w:t>
            </w:r>
          </w:p>
        </w:tc>
        <w:tc>
          <w:tcPr>
            <w:tcW w:w="3120" w:type="dxa"/>
            <w:gridSpan w:val="2"/>
          </w:tcPr>
          <w:p w14:paraId="3CC2B5D9" w14:textId="77777777" w:rsidR="00835B06" w:rsidRDefault="004D03F7">
            <w:pPr>
              <w:pStyle w:val="A-TableText"/>
              <w:jc w:val="center"/>
              <w:rPr>
                <w:lang w:val="hu-HU" w:eastAsia="zh-CN"/>
              </w:rPr>
            </w:pPr>
            <w:r>
              <w:rPr>
                <w:lang w:val="hu-HU" w:eastAsia="zh-CN"/>
              </w:rPr>
              <w:t>Nem elérhető</w:t>
            </w:r>
          </w:p>
        </w:tc>
        <w:tc>
          <w:tcPr>
            <w:tcW w:w="2388" w:type="dxa"/>
            <w:gridSpan w:val="2"/>
          </w:tcPr>
          <w:p w14:paraId="14C71363" w14:textId="77777777" w:rsidR="00835B06" w:rsidRDefault="004D03F7">
            <w:pPr>
              <w:pStyle w:val="A-TableText"/>
              <w:jc w:val="center"/>
              <w:rPr>
                <w:lang w:val="hu-HU" w:eastAsia="zh-CN"/>
              </w:rPr>
            </w:pPr>
            <w:r>
              <w:rPr>
                <w:lang w:val="hu-HU" w:eastAsia="zh-CN"/>
              </w:rPr>
              <w:t xml:space="preserve">2,5-szeres </w:t>
            </w:r>
            <w:r>
              <w:rPr>
                <w:lang w:val="hu-HU" w:eastAsia="zh-CN"/>
              </w:rPr>
              <w:sym w:font="Symbol" w:char="F0AD"/>
            </w:r>
          </w:p>
        </w:tc>
      </w:tr>
      <w:tr w:rsidR="00835B06" w14:paraId="265BC60C" w14:textId="77777777">
        <w:trPr>
          <w:cantSplit/>
        </w:trPr>
        <w:tc>
          <w:tcPr>
            <w:tcW w:w="3828" w:type="dxa"/>
          </w:tcPr>
          <w:p w14:paraId="00C690DB" w14:textId="77777777" w:rsidR="00835B06" w:rsidRDefault="004D03F7">
            <w:pPr>
              <w:pStyle w:val="A-TableText"/>
              <w:rPr>
                <w:lang w:val="hu-HU" w:eastAsia="zh-CN"/>
              </w:rPr>
            </w:pPr>
            <w:r>
              <w:rPr>
                <w:lang w:val="hu-HU" w:eastAsia="zh-CN"/>
              </w:rPr>
              <w:t>Grazoprevir 200 mg/elbasvir 50 mg napi egyszer, 11 nap</w:t>
            </w:r>
          </w:p>
        </w:tc>
        <w:tc>
          <w:tcPr>
            <w:tcW w:w="3120" w:type="dxa"/>
            <w:gridSpan w:val="2"/>
          </w:tcPr>
          <w:p w14:paraId="5CAFD8B4" w14:textId="77777777" w:rsidR="00835B06" w:rsidRDefault="004D03F7">
            <w:pPr>
              <w:pStyle w:val="A-TableText"/>
              <w:jc w:val="center"/>
              <w:rPr>
                <w:lang w:val="hu-HU" w:eastAsia="zh-CN"/>
              </w:rPr>
            </w:pPr>
            <w:r>
              <w:rPr>
                <w:lang w:val="hu-HU" w:eastAsia="zh-CN"/>
              </w:rPr>
              <w:t>10 mg, egyszeri dózis</w:t>
            </w:r>
          </w:p>
        </w:tc>
        <w:tc>
          <w:tcPr>
            <w:tcW w:w="2388" w:type="dxa"/>
            <w:gridSpan w:val="2"/>
          </w:tcPr>
          <w:p w14:paraId="6119659B" w14:textId="77777777" w:rsidR="00835B06" w:rsidRDefault="004D03F7">
            <w:pPr>
              <w:pStyle w:val="A-TableText"/>
              <w:jc w:val="center"/>
              <w:rPr>
                <w:lang w:val="hu-HU" w:eastAsia="zh-CN"/>
              </w:rPr>
            </w:pPr>
            <w:r>
              <w:rPr>
                <w:lang w:val="hu-HU" w:eastAsia="zh-CN"/>
              </w:rPr>
              <w:t>2,3</w:t>
            </w:r>
            <w:r>
              <w:rPr>
                <w:lang w:val="hu-HU" w:eastAsia="zh-CN"/>
              </w:rPr>
              <w:noBreakHyphen/>
              <w:t xml:space="preserve">szeres </w:t>
            </w:r>
            <w:r>
              <w:rPr>
                <w:lang w:val="hu-HU" w:eastAsia="zh-CN"/>
              </w:rPr>
              <w:sym w:font="Symbol" w:char="F0AD"/>
            </w:r>
          </w:p>
        </w:tc>
      </w:tr>
      <w:tr w:rsidR="00835B06" w14:paraId="74DCA525" w14:textId="77777777">
        <w:trPr>
          <w:cantSplit/>
        </w:trPr>
        <w:tc>
          <w:tcPr>
            <w:tcW w:w="3828" w:type="dxa"/>
          </w:tcPr>
          <w:p w14:paraId="29C992ED" w14:textId="77777777" w:rsidR="00835B06" w:rsidRDefault="004D03F7">
            <w:pPr>
              <w:pStyle w:val="A-TableText"/>
              <w:rPr>
                <w:lang w:val="hu-HU" w:eastAsia="zh-CN"/>
              </w:rPr>
            </w:pPr>
            <w:r>
              <w:rPr>
                <w:lang w:val="hu-HU" w:eastAsia="zh-CN"/>
              </w:rPr>
              <w:t>Glekaprevir 400 mg/pibrentaszvir 120 mg napi egyszer, 7 nap</w:t>
            </w:r>
          </w:p>
        </w:tc>
        <w:tc>
          <w:tcPr>
            <w:tcW w:w="3120" w:type="dxa"/>
            <w:gridSpan w:val="2"/>
          </w:tcPr>
          <w:p w14:paraId="35165C66" w14:textId="77777777" w:rsidR="00835B06" w:rsidRDefault="004D03F7">
            <w:pPr>
              <w:pStyle w:val="A-TableText"/>
              <w:jc w:val="center"/>
              <w:rPr>
                <w:lang w:val="hu-HU" w:eastAsia="zh-CN"/>
              </w:rPr>
            </w:pPr>
            <w:r>
              <w:rPr>
                <w:lang w:val="hu-HU" w:eastAsia="zh-CN"/>
              </w:rPr>
              <w:t>5 mg napi egyszer, 7 nap</w:t>
            </w:r>
          </w:p>
        </w:tc>
        <w:tc>
          <w:tcPr>
            <w:tcW w:w="2388" w:type="dxa"/>
            <w:gridSpan w:val="2"/>
          </w:tcPr>
          <w:p w14:paraId="35E387C7" w14:textId="17D17C9A" w:rsidR="00835B06" w:rsidRDefault="004D03F7">
            <w:pPr>
              <w:pStyle w:val="A-TableText"/>
              <w:jc w:val="center"/>
              <w:rPr>
                <w:lang w:val="hu-HU" w:eastAsia="zh-CN"/>
              </w:rPr>
            </w:pPr>
            <w:r>
              <w:rPr>
                <w:lang w:val="hu-HU" w:eastAsia="zh-CN"/>
              </w:rPr>
              <w:t xml:space="preserve">2,2-szeres </w:t>
            </w:r>
            <w:r>
              <w:rPr>
                <w:lang w:val="hu-HU" w:eastAsia="zh-CN"/>
              </w:rPr>
              <w:sym w:font="Symbol" w:char="F0AD"/>
            </w:r>
          </w:p>
        </w:tc>
      </w:tr>
      <w:tr w:rsidR="00835B06" w14:paraId="21376AD4" w14:textId="77777777">
        <w:trPr>
          <w:cantSplit/>
          <w:trHeight w:val="633"/>
        </w:trPr>
        <w:tc>
          <w:tcPr>
            <w:tcW w:w="3828" w:type="dxa"/>
          </w:tcPr>
          <w:p w14:paraId="4FB88410" w14:textId="77777777" w:rsidR="00835B06" w:rsidRDefault="004D03F7">
            <w:pPr>
              <w:pStyle w:val="A-TableText"/>
              <w:rPr>
                <w:lang w:val="hu-HU" w:eastAsia="zh-CN"/>
              </w:rPr>
            </w:pPr>
            <w:r>
              <w:rPr>
                <w:lang w:val="hu-HU" w:eastAsia="zh-CN"/>
              </w:rPr>
              <w:t>Lopinavir 400 mg/ritonavir 100 mg napi kétszer, 17 nap</w:t>
            </w:r>
          </w:p>
        </w:tc>
        <w:tc>
          <w:tcPr>
            <w:tcW w:w="3120" w:type="dxa"/>
            <w:gridSpan w:val="2"/>
            <w:vAlign w:val="center"/>
          </w:tcPr>
          <w:p w14:paraId="74AF2AF5" w14:textId="77777777" w:rsidR="00835B06" w:rsidRDefault="004D03F7">
            <w:pPr>
              <w:pStyle w:val="A-TableText"/>
              <w:jc w:val="center"/>
              <w:rPr>
                <w:lang w:val="hu-HU" w:eastAsia="zh-CN"/>
              </w:rPr>
            </w:pPr>
            <w:r>
              <w:rPr>
                <w:lang w:val="hu-HU" w:eastAsia="zh-CN"/>
              </w:rPr>
              <w:t>1×20 mg/nap, 7 nap</w:t>
            </w:r>
          </w:p>
        </w:tc>
        <w:tc>
          <w:tcPr>
            <w:tcW w:w="2388" w:type="dxa"/>
            <w:gridSpan w:val="2"/>
            <w:vAlign w:val="center"/>
          </w:tcPr>
          <w:p w14:paraId="7F0FEE57" w14:textId="77777777" w:rsidR="00835B06" w:rsidRDefault="004D03F7">
            <w:pPr>
              <w:pStyle w:val="A-TableText"/>
              <w:jc w:val="center"/>
              <w:rPr>
                <w:lang w:val="hu-HU" w:eastAsia="zh-CN"/>
              </w:rPr>
            </w:pPr>
            <w:r>
              <w:rPr>
                <w:lang w:val="hu-HU" w:eastAsia="zh-CN"/>
              </w:rPr>
              <w:t>2,1</w:t>
            </w:r>
            <w:r>
              <w:rPr>
                <w:lang w:val="hu-HU" w:eastAsia="zh-CN"/>
              </w:rPr>
              <w:noBreakHyphen/>
              <w:t xml:space="preserve">szeres </w:t>
            </w:r>
            <w:r>
              <w:rPr>
                <w:lang w:val="hu-HU" w:eastAsia="zh-CN"/>
              </w:rPr>
              <w:sym w:font="Symbol" w:char="F0AD"/>
            </w:r>
          </w:p>
        </w:tc>
      </w:tr>
      <w:tr w:rsidR="00835B06" w14:paraId="1FD0B095" w14:textId="77777777">
        <w:trPr>
          <w:cantSplit/>
        </w:trPr>
        <w:tc>
          <w:tcPr>
            <w:tcW w:w="3828" w:type="dxa"/>
          </w:tcPr>
          <w:p w14:paraId="660A1E28" w14:textId="77777777" w:rsidR="00835B06" w:rsidRDefault="004D03F7">
            <w:pPr>
              <w:pStyle w:val="A-TableText"/>
              <w:rPr>
                <w:lang w:val="hu-HU" w:eastAsia="zh-CN"/>
              </w:rPr>
            </w:pPr>
            <w:r>
              <w:rPr>
                <w:lang w:val="hu-HU" w:eastAsia="zh-CN"/>
              </w:rPr>
              <w:t>Kapmatinib 400 mg napi kétszer</w:t>
            </w:r>
          </w:p>
        </w:tc>
        <w:tc>
          <w:tcPr>
            <w:tcW w:w="3120" w:type="dxa"/>
            <w:gridSpan w:val="2"/>
          </w:tcPr>
          <w:p w14:paraId="2D33C7E3" w14:textId="77777777" w:rsidR="00835B06" w:rsidRDefault="004D03F7">
            <w:pPr>
              <w:pStyle w:val="A-TableText"/>
              <w:jc w:val="center"/>
              <w:rPr>
                <w:lang w:val="hu-HU" w:eastAsia="zh-CN"/>
              </w:rPr>
            </w:pPr>
            <w:r>
              <w:rPr>
                <w:lang w:val="hu-HU" w:eastAsia="zh-CN"/>
              </w:rPr>
              <w:t>10 mg, egyszeri dózis</w:t>
            </w:r>
          </w:p>
        </w:tc>
        <w:tc>
          <w:tcPr>
            <w:tcW w:w="2388" w:type="dxa"/>
            <w:gridSpan w:val="2"/>
          </w:tcPr>
          <w:p w14:paraId="368823C3" w14:textId="77777777" w:rsidR="00835B06" w:rsidRDefault="004D03F7">
            <w:pPr>
              <w:pStyle w:val="A-TableText"/>
              <w:jc w:val="center"/>
              <w:rPr>
                <w:lang w:val="hu-HU" w:eastAsia="zh-CN"/>
              </w:rPr>
            </w:pPr>
            <w:r>
              <w:rPr>
                <w:lang w:val="hu-HU" w:eastAsia="zh-CN"/>
              </w:rPr>
              <w:t>2,1</w:t>
            </w:r>
            <w:r>
              <w:rPr>
                <w:lang w:val="hu-HU" w:eastAsia="zh-CN"/>
              </w:rPr>
              <w:noBreakHyphen/>
              <w:t xml:space="preserve">szeres </w:t>
            </w:r>
            <w:r>
              <w:rPr>
                <w:lang w:val="hu-HU" w:eastAsia="zh-CN"/>
              </w:rPr>
              <w:sym w:font="Symbol" w:char="F0AD"/>
            </w:r>
          </w:p>
        </w:tc>
      </w:tr>
      <w:tr w:rsidR="00835B06" w14:paraId="4B342323" w14:textId="77777777">
        <w:trPr>
          <w:cantSplit/>
        </w:trPr>
        <w:tc>
          <w:tcPr>
            <w:tcW w:w="3828" w:type="dxa"/>
          </w:tcPr>
          <w:p w14:paraId="2412F535" w14:textId="77777777" w:rsidR="00835B06" w:rsidRDefault="004D03F7">
            <w:pPr>
              <w:pStyle w:val="A-TableText"/>
              <w:rPr>
                <w:lang w:val="hu-HU" w:eastAsia="zh-CN"/>
              </w:rPr>
            </w:pPr>
            <w:r>
              <w:rPr>
                <w:lang w:val="hu-HU" w:eastAsia="zh-CN"/>
              </w:rPr>
              <w:t>Klopidogrel 300 mg</w:t>
            </w:r>
            <w:r>
              <w:rPr>
                <w:lang w:val="hu-HU" w:eastAsia="zh-CN"/>
              </w:rPr>
              <w:noBreakHyphen/>
              <w:t>os telítő adag, 75 mg</w:t>
            </w:r>
            <w:r>
              <w:rPr>
                <w:lang w:val="hu-HU" w:eastAsia="zh-CN"/>
              </w:rPr>
              <w:noBreakHyphen/>
              <w:t>mal folytatva, 24 óránként</w:t>
            </w:r>
          </w:p>
        </w:tc>
        <w:tc>
          <w:tcPr>
            <w:tcW w:w="3120" w:type="dxa"/>
            <w:gridSpan w:val="2"/>
            <w:vAlign w:val="center"/>
          </w:tcPr>
          <w:p w14:paraId="0655CB1F" w14:textId="77777777" w:rsidR="00835B06" w:rsidRDefault="004D03F7">
            <w:pPr>
              <w:pStyle w:val="A-TableText"/>
              <w:jc w:val="center"/>
              <w:rPr>
                <w:lang w:val="hu-HU" w:eastAsia="zh-CN"/>
              </w:rPr>
            </w:pPr>
            <w:r>
              <w:rPr>
                <w:lang w:val="hu-HU" w:eastAsia="zh-CN"/>
              </w:rPr>
              <w:t>20 mg, egyszeri dózis</w:t>
            </w:r>
          </w:p>
        </w:tc>
        <w:tc>
          <w:tcPr>
            <w:tcW w:w="2388" w:type="dxa"/>
            <w:gridSpan w:val="2"/>
            <w:vAlign w:val="center"/>
          </w:tcPr>
          <w:p w14:paraId="245E2813" w14:textId="77777777" w:rsidR="00835B06" w:rsidRDefault="004D03F7">
            <w:pPr>
              <w:pStyle w:val="A-TableText"/>
              <w:jc w:val="center"/>
              <w:rPr>
                <w:lang w:val="hu-HU" w:eastAsia="zh-CN"/>
              </w:rPr>
            </w:pPr>
            <w:r>
              <w:rPr>
                <w:lang w:val="hu-HU" w:eastAsia="zh-CN"/>
              </w:rPr>
              <w:t>2</w:t>
            </w:r>
            <w:r>
              <w:rPr>
                <w:lang w:val="hu-HU" w:eastAsia="zh-CN"/>
              </w:rPr>
              <w:noBreakHyphen/>
              <w:t xml:space="preserve">szeres </w:t>
            </w:r>
            <w:r>
              <w:rPr>
                <w:lang w:val="hu-HU" w:eastAsia="zh-CN"/>
              </w:rPr>
              <w:sym w:font="Symbol" w:char="F0AD"/>
            </w:r>
          </w:p>
        </w:tc>
      </w:tr>
      <w:tr w:rsidR="00835B06" w14:paraId="0944ED5A" w14:textId="77777777">
        <w:trPr>
          <w:cantSplit/>
        </w:trPr>
        <w:tc>
          <w:tcPr>
            <w:tcW w:w="3828" w:type="dxa"/>
          </w:tcPr>
          <w:p w14:paraId="2A34E56F" w14:textId="77777777" w:rsidR="00835B06" w:rsidRDefault="004D03F7">
            <w:pPr>
              <w:pStyle w:val="A-TableText"/>
              <w:rPr>
                <w:lang w:val="hu-HU" w:eastAsia="zh-CN"/>
              </w:rPr>
            </w:pPr>
            <w:r>
              <w:rPr>
                <w:lang w:val="hu-HU" w:eastAsia="zh-CN"/>
              </w:rPr>
              <w:t>Tafamidisz 61 mg napi kétszer a kezelés 1-2. napján, napi egyszer a kezelés 3-9. napján</w:t>
            </w:r>
          </w:p>
          <w:p w14:paraId="4A52A67F" w14:textId="77777777" w:rsidR="00835B06" w:rsidRDefault="004D03F7">
            <w:pPr>
              <w:pStyle w:val="A-TableText"/>
              <w:rPr>
                <w:lang w:val="hu-HU" w:eastAsia="zh-CN"/>
              </w:rPr>
            </w:pPr>
            <w:r>
              <w:rPr>
                <w:lang w:val="hu-HU" w:eastAsia="zh-CN"/>
              </w:rPr>
              <w:t>Fosztamatinib 100 mg napi kétszer</w:t>
            </w:r>
          </w:p>
        </w:tc>
        <w:tc>
          <w:tcPr>
            <w:tcW w:w="3120" w:type="dxa"/>
            <w:gridSpan w:val="2"/>
          </w:tcPr>
          <w:p w14:paraId="5FCA2170" w14:textId="77777777" w:rsidR="00835B06" w:rsidRDefault="004D03F7">
            <w:pPr>
              <w:pStyle w:val="A-TableText"/>
              <w:jc w:val="center"/>
              <w:rPr>
                <w:lang w:val="hu-HU" w:eastAsia="zh-CN"/>
              </w:rPr>
            </w:pPr>
            <w:r>
              <w:rPr>
                <w:lang w:val="hu-HU" w:eastAsia="zh-CN"/>
              </w:rPr>
              <w:t>10 mg, egyszeri dózis</w:t>
            </w:r>
          </w:p>
          <w:p w14:paraId="6871B494" w14:textId="77777777" w:rsidR="00835B06" w:rsidRDefault="00835B06">
            <w:pPr>
              <w:pStyle w:val="A-TableText"/>
              <w:jc w:val="center"/>
              <w:rPr>
                <w:lang w:val="hu-HU" w:eastAsia="zh-CN"/>
              </w:rPr>
            </w:pPr>
          </w:p>
          <w:p w14:paraId="6D298B5F" w14:textId="77777777" w:rsidR="00835B06" w:rsidRDefault="004D03F7">
            <w:pPr>
              <w:pStyle w:val="A-TableText"/>
              <w:jc w:val="center"/>
              <w:rPr>
                <w:lang w:val="hu-HU" w:eastAsia="zh-CN"/>
              </w:rPr>
            </w:pPr>
            <w:r>
              <w:rPr>
                <w:lang w:val="hu-HU" w:eastAsia="zh-CN"/>
              </w:rPr>
              <w:t>20 mg, egyszeri dózis</w:t>
            </w:r>
          </w:p>
        </w:tc>
        <w:tc>
          <w:tcPr>
            <w:tcW w:w="2388" w:type="dxa"/>
            <w:gridSpan w:val="2"/>
          </w:tcPr>
          <w:p w14:paraId="6DD4B425" w14:textId="77777777" w:rsidR="00835B06" w:rsidRDefault="004D03F7">
            <w:pPr>
              <w:pStyle w:val="A-TableText"/>
              <w:jc w:val="center"/>
              <w:rPr>
                <w:lang w:val="hu-HU" w:eastAsia="zh-CN"/>
              </w:rPr>
            </w:pPr>
            <w:r>
              <w:rPr>
                <w:lang w:val="hu-HU" w:eastAsia="zh-CN"/>
              </w:rPr>
              <w:t>2,0</w:t>
            </w:r>
            <w:r>
              <w:rPr>
                <w:lang w:val="hu-HU" w:eastAsia="zh-CN"/>
              </w:rPr>
              <w:noBreakHyphen/>
              <w:t xml:space="preserve">szeres </w:t>
            </w:r>
            <w:r>
              <w:rPr>
                <w:lang w:val="hu-HU" w:eastAsia="zh-CN"/>
              </w:rPr>
              <w:sym w:font="Symbol" w:char="F0AD"/>
            </w:r>
          </w:p>
          <w:p w14:paraId="140FDA5E" w14:textId="77777777" w:rsidR="00835B06" w:rsidRDefault="00835B06">
            <w:pPr>
              <w:pStyle w:val="A-TableText"/>
              <w:jc w:val="center"/>
              <w:rPr>
                <w:lang w:val="hu-HU" w:eastAsia="zh-CN"/>
              </w:rPr>
            </w:pPr>
          </w:p>
          <w:p w14:paraId="3F39036B" w14:textId="77777777" w:rsidR="00835B06" w:rsidRPr="002B2396" w:rsidRDefault="004D03F7">
            <w:pPr>
              <w:pStyle w:val="A-TableText"/>
              <w:jc w:val="center"/>
              <w:rPr>
                <w:strike/>
                <w:lang w:val="hu-HU" w:eastAsia="zh-CN"/>
              </w:rPr>
            </w:pPr>
            <w:r>
              <w:rPr>
                <w:lang w:val="hu-HU" w:eastAsia="zh-CN"/>
              </w:rPr>
              <w:t>2,0</w:t>
            </w:r>
            <w:r>
              <w:rPr>
                <w:lang w:val="hu-HU" w:eastAsia="zh-CN"/>
              </w:rPr>
              <w:noBreakHyphen/>
              <w:t xml:space="preserve">szeres </w:t>
            </w:r>
            <w:r>
              <w:rPr>
                <w:lang w:val="hu-HU" w:eastAsia="zh-CN"/>
              </w:rPr>
              <w:sym w:font="Symbol" w:char="F0AD"/>
            </w:r>
          </w:p>
        </w:tc>
      </w:tr>
      <w:tr w:rsidR="00835B06" w14:paraId="4E319666" w14:textId="77777777">
        <w:trPr>
          <w:cantSplit/>
        </w:trPr>
        <w:tc>
          <w:tcPr>
            <w:tcW w:w="3828" w:type="dxa"/>
          </w:tcPr>
          <w:p w14:paraId="34524221" w14:textId="77777777" w:rsidR="00835B06" w:rsidRDefault="004D03F7">
            <w:pPr>
              <w:pStyle w:val="A-TableText"/>
              <w:rPr>
                <w:lang w:val="hu-HU" w:eastAsia="zh-CN"/>
              </w:rPr>
            </w:pPr>
            <w:r>
              <w:rPr>
                <w:lang w:val="hu-HU" w:eastAsia="zh-CN"/>
              </w:rPr>
              <w:t>Febuxosztát 120 mg napi egyszer</w:t>
            </w:r>
          </w:p>
        </w:tc>
        <w:tc>
          <w:tcPr>
            <w:tcW w:w="3120" w:type="dxa"/>
            <w:gridSpan w:val="2"/>
          </w:tcPr>
          <w:p w14:paraId="52BFBAD0" w14:textId="77777777" w:rsidR="00835B06" w:rsidRDefault="004D03F7">
            <w:pPr>
              <w:pStyle w:val="A-TableText"/>
              <w:jc w:val="center"/>
              <w:rPr>
                <w:lang w:val="hu-HU" w:eastAsia="zh-CN"/>
              </w:rPr>
            </w:pPr>
            <w:r>
              <w:rPr>
                <w:lang w:val="hu-HU" w:eastAsia="zh-CN"/>
              </w:rPr>
              <w:t>10 mg, egyszeri dózis</w:t>
            </w:r>
          </w:p>
        </w:tc>
        <w:tc>
          <w:tcPr>
            <w:tcW w:w="2388" w:type="dxa"/>
            <w:gridSpan w:val="2"/>
          </w:tcPr>
          <w:p w14:paraId="206E9AB3" w14:textId="77777777" w:rsidR="00835B06" w:rsidRDefault="004D03F7">
            <w:pPr>
              <w:pStyle w:val="A-TableText"/>
              <w:jc w:val="center"/>
              <w:rPr>
                <w:lang w:val="hu-HU" w:eastAsia="zh-CN"/>
              </w:rPr>
            </w:pPr>
            <w:r>
              <w:rPr>
                <w:lang w:val="hu-HU" w:eastAsia="zh-CN"/>
              </w:rPr>
              <w:t>1,9</w:t>
            </w:r>
            <w:r>
              <w:rPr>
                <w:lang w:val="hu-HU" w:eastAsia="zh-CN"/>
              </w:rPr>
              <w:noBreakHyphen/>
              <w:t xml:space="preserve">szeres </w:t>
            </w:r>
            <w:r>
              <w:rPr>
                <w:lang w:val="hu-HU" w:eastAsia="zh-CN"/>
              </w:rPr>
              <w:sym w:font="Symbol" w:char="F0AD"/>
            </w:r>
          </w:p>
        </w:tc>
      </w:tr>
      <w:tr w:rsidR="00835B06" w14:paraId="0DA17189" w14:textId="77777777">
        <w:trPr>
          <w:cantSplit/>
          <w:trHeight w:val="423"/>
        </w:trPr>
        <w:tc>
          <w:tcPr>
            <w:tcW w:w="9336" w:type="dxa"/>
            <w:gridSpan w:val="5"/>
            <w:tcBorders>
              <w:top w:val="single" w:sz="12" w:space="0" w:color="auto"/>
              <w:bottom w:val="single" w:sz="12" w:space="0" w:color="auto"/>
            </w:tcBorders>
          </w:tcPr>
          <w:p w14:paraId="5F63AAEF" w14:textId="77777777" w:rsidR="00835B06" w:rsidRDefault="004D03F7">
            <w:pPr>
              <w:pStyle w:val="A-TableText"/>
              <w:rPr>
                <w:lang w:val="hu-HU" w:eastAsia="zh-CN"/>
              </w:rPr>
            </w:pPr>
            <w:r>
              <w:rPr>
                <w:lang w:val="hu-HU" w:eastAsia="zh-CN"/>
              </w:rPr>
              <w:t>A rozuvasztatin AUC értékének kevesebb mint 2-szeres mértékű növekedése</w:t>
            </w:r>
          </w:p>
        </w:tc>
      </w:tr>
      <w:tr w:rsidR="00835B06" w14:paraId="3CED1A79" w14:textId="77777777">
        <w:trPr>
          <w:cantSplit/>
        </w:trPr>
        <w:tc>
          <w:tcPr>
            <w:tcW w:w="3828" w:type="dxa"/>
            <w:tcBorders>
              <w:top w:val="single" w:sz="12" w:space="0" w:color="auto"/>
              <w:bottom w:val="single" w:sz="4" w:space="0" w:color="auto"/>
            </w:tcBorders>
          </w:tcPr>
          <w:p w14:paraId="058D5F07" w14:textId="77777777" w:rsidR="00835B06" w:rsidRDefault="004D03F7">
            <w:pPr>
              <w:pStyle w:val="A-TableText"/>
              <w:rPr>
                <w:lang w:val="hu-HU" w:eastAsia="zh-CN"/>
              </w:rPr>
            </w:pPr>
            <w:r>
              <w:rPr>
                <w:lang w:val="hu-HU" w:eastAsia="zh-CN"/>
              </w:rPr>
              <w:t>A kölcsönhatásba lépő gyógyszer adagolási rendje</w:t>
            </w:r>
          </w:p>
        </w:tc>
        <w:tc>
          <w:tcPr>
            <w:tcW w:w="3120" w:type="dxa"/>
            <w:gridSpan w:val="2"/>
            <w:tcBorders>
              <w:top w:val="single" w:sz="12" w:space="0" w:color="auto"/>
              <w:bottom w:val="single" w:sz="4" w:space="0" w:color="auto"/>
            </w:tcBorders>
          </w:tcPr>
          <w:p w14:paraId="1B83433F" w14:textId="77777777" w:rsidR="00835B06" w:rsidRDefault="004D03F7">
            <w:pPr>
              <w:pStyle w:val="A-TableText"/>
              <w:jc w:val="center"/>
              <w:rPr>
                <w:lang w:val="hu-HU" w:eastAsia="zh-CN"/>
              </w:rPr>
            </w:pPr>
            <w:r>
              <w:rPr>
                <w:lang w:val="hu-HU" w:eastAsia="zh-CN"/>
              </w:rPr>
              <w:t>Rozuvasztatin</w:t>
            </w:r>
            <w:r>
              <w:rPr>
                <w:lang w:val="hu-HU" w:eastAsia="zh-CN"/>
              </w:rPr>
              <w:br/>
              <w:t>adagolási rendje</w:t>
            </w:r>
          </w:p>
        </w:tc>
        <w:tc>
          <w:tcPr>
            <w:tcW w:w="2388" w:type="dxa"/>
            <w:gridSpan w:val="2"/>
            <w:tcBorders>
              <w:top w:val="single" w:sz="12" w:space="0" w:color="auto"/>
              <w:bottom w:val="single" w:sz="4" w:space="0" w:color="auto"/>
            </w:tcBorders>
          </w:tcPr>
          <w:p w14:paraId="15B7881A" w14:textId="77777777" w:rsidR="00835B06" w:rsidRDefault="004D03F7">
            <w:pPr>
              <w:pStyle w:val="A-TableText"/>
              <w:jc w:val="center"/>
              <w:rPr>
                <w:lang w:val="hu-HU" w:eastAsia="zh-CN"/>
              </w:rPr>
            </w:pPr>
            <w:r>
              <w:rPr>
                <w:lang w:val="hu-HU" w:eastAsia="zh-CN"/>
              </w:rPr>
              <w:t>Rozuvasztatin AUC</w:t>
            </w:r>
            <w:r>
              <w:rPr>
                <w:vertAlign w:val="superscript"/>
                <w:lang w:val="hu-HU" w:eastAsia="zh-CN"/>
              </w:rPr>
              <w:t xml:space="preserve">* </w:t>
            </w:r>
            <w:r>
              <w:rPr>
                <w:lang w:val="hu-HU" w:eastAsia="zh-CN"/>
              </w:rPr>
              <w:t>változása</w:t>
            </w:r>
          </w:p>
        </w:tc>
      </w:tr>
      <w:tr w:rsidR="00835B06" w14:paraId="40F5A3F0" w14:textId="77777777">
        <w:trPr>
          <w:cantSplit/>
        </w:trPr>
        <w:tc>
          <w:tcPr>
            <w:tcW w:w="3828" w:type="dxa"/>
            <w:tcBorders>
              <w:top w:val="single" w:sz="4" w:space="0" w:color="auto"/>
            </w:tcBorders>
          </w:tcPr>
          <w:p w14:paraId="6F1D634E" w14:textId="77777777" w:rsidR="00835B06" w:rsidRDefault="004D03F7">
            <w:pPr>
              <w:pStyle w:val="A-TableText"/>
              <w:rPr>
                <w:lang w:val="hu-HU" w:eastAsia="zh-CN"/>
              </w:rPr>
            </w:pPr>
            <w:r>
              <w:rPr>
                <w:lang w:val="hu-HU" w:eastAsia="zh-CN"/>
              </w:rPr>
              <w:t>Gemfibrozil 2×600 mg/nap, 7 nap</w:t>
            </w:r>
          </w:p>
        </w:tc>
        <w:tc>
          <w:tcPr>
            <w:tcW w:w="3120" w:type="dxa"/>
            <w:gridSpan w:val="2"/>
            <w:tcBorders>
              <w:top w:val="single" w:sz="4" w:space="0" w:color="auto"/>
            </w:tcBorders>
            <w:vAlign w:val="center"/>
          </w:tcPr>
          <w:p w14:paraId="55778EE3" w14:textId="77777777" w:rsidR="00835B06" w:rsidRDefault="004D03F7">
            <w:pPr>
              <w:pStyle w:val="A-TableText"/>
              <w:jc w:val="center"/>
              <w:rPr>
                <w:lang w:val="hu-HU" w:eastAsia="zh-CN"/>
              </w:rPr>
            </w:pPr>
            <w:r>
              <w:rPr>
                <w:lang w:val="hu-HU" w:eastAsia="zh-CN"/>
              </w:rPr>
              <w:t>80 mg, egyszeri dózis</w:t>
            </w:r>
          </w:p>
        </w:tc>
        <w:tc>
          <w:tcPr>
            <w:tcW w:w="2388" w:type="dxa"/>
            <w:gridSpan w:val="2"/>
            <w:tcBorders>
              <w:top w:val="single" w:sz="4" w:space="0" w:color="auto"/>
            </w:tcBorders>
            <w:vAlign w:val="center"/>
          </w:tcPr>
          <w:p w14:paraId="66B17580" w14:textId="77777777" w:rsidR="00835B06" w:rsidRDefault="004D03F7">
            <w:pPr>
              <w:pStyle w:val="A-TableText"/>
              <w:jc w:val="center"/>
              <w:rPr>
                <w:lang w:val="hu-HU" w:eastAsia="zh-CN"/>
              </w:rPr>
            </w:pPr>
            <w:r>
              <w:rPr>
                <w:lang w:val="hu-HU" w:eastAsia="zh-CN"/>
              </w:rPr>
              <w:t>1,9</w:t>
            </w:r>
            <w:r>
              <w:rPr>
                <w:lang w:val="hu-HU" w:eastAsia="zh-CN"/>
              </w:rPr>
              <w:noBreakHyphen/>
              <w:t xml:space="preserve">szeres </w:t>
            </w:r>
            <w:r>
              <w:rPr>
                <w:lang w:val="hu-HU" w:eastAsia="zh-CN"/>
              </w:rPr>
              <w:sym w:font="Symbol" w:char="F0AD"/>
            </w:r>
          </w:p>
        </w:tc>
      </w:tr>
      <w:tr w:rsidR="00835B06" w14:paraId="227617B9" w14:textId="77777777">
        <w:trPr>
          <w:cantSplit/>
        </w:trPr>
        <w:tc>
          <w:tcPr>
            <w:tcW w:w="3828" w:type="dxa"/>
          </w:tcPr>
          <w:p w14:paraId="2A9F125E" w14:textId="77777777" w:rsidR="00835B06" w:rsidRDefault="004D03F7">
            <w:pPr>
              <w:pStyle w:val="A-TableText"/>
              <w:rPr>
                <w:lang w:val="hu-HU" w:eastAsia="zh-CN"/>
              </w:rPr>
            </w:pPr>
            <w:r>
              <w:rPr>
                <w:lang w:val="hu-HU" w:eastAsia="zh-CN"/>
              </w:rPr>
              <w:t>Eltrombopag 1×75 mg/nap, 5 nap</w:t>
            </w:r>
          </w:p>
        </w:tc>
        <w:tc>
          <w:tcPr>
            <w:tcW w:w="3120" w:type="dxa"/>
            <w:gridSpan w:val="2"/>
            <w:vAlign w:val="center"/>
          </w:tcPr>
          <w:p w14:paraId="3390745E" w14:textId="77777777" w:rsidR="00835B06" w:rsidRDefault="004D03F7">
            <w:pPr>
              <w:pStyle w:val="A-TableText"/>
              <w:jc w:val="center"/>
              <w:rPr>
                <w:lang w:val="hu-HU" w:eastAsia="zh-CN"/>
              </w:rPr>
            </w:pPr>
            <w:r>
              <w:rPr>
                <w:lang w:val="hu-HU" w:eastAsia="zh-CN"/>
              </w:rPr>
              <w:t>10 mg, egyszeri dózis</w:t>
            </w:r>
          </w:p>
        </w:tc>
        <w:tc>
          <w:tcPr>
            <w:tcW w:w="2388" w:type="dxa"/>
            <w:gridSpan w:val="2"/>
            <w:vAlign w:val="center"/>
          </w:tcPr>
          <w:p w14:paraId="47CD1A48" w14:textId="77777777" w:rsidR="00835B06" w:rsidRDefault="004D03F7">
            <w:pPr>
              <w:pStyle w:val="A-TableText"/>
              <w:jc w:val="center"/>
              <w:rPr>
                <w:lang w:val="hu-HU" w:eastAsia="zh-CN"/>
              </w:rPr>
            </w:pPr>
            <w:r>
              <w:rPr>
                <w:lang w:val="hu-HU" w:eastAsia="zh-CN"/>
              </w:rPr>
              <w:t>1,6</w:t>
            </w:r>
            <w:r>
              <w:rPr>
                <w:lang w:val="hu-HU" w:eastAsia="zh-CN"/>
              </w:rPr>
              <w:noBreakHyphen/>
              <w:t xml:space="preserve">szeres </w:t>
            </w:r>
            <w:r>
              <w:rPr>
                <w:lang w:val="hu-HU" w:eastAsia="zh-CN"/>
              </w:rPr>
              <w:sym w:font="Symbol" w:char="F0AD"/>
            </w:r>
          </w:p>
        </w:tc>
      </w:tr>
      <w:tr w:rsidR="00835B06" w14:paraId="0569365F" w14:textId="77777777">
        <w:trPr>
          <w:cantSplit/>
        </w:trPr>
        <w:tc>
          <w:tcPr>
            <w:tcW w:w="3828" w:type="dxa"/>
          </w:tcPr>
          <w:p w14:paraId="2778C656" w14:textId="77777777" w:rsidR="00835B06" w:rsidRDefault="004D03F7">
            <w:pPr>
              <w:pStyle w:val="A-TableText"/>
              <w:rPr>
                <w:lang w:val="hu-HU" w:eastAsia="zh-CN"/>
              </w:rPr>
            </w:pPr>
            <w:r>
              <w:rPr>
                <w:lang w:val="hu-HU" w:eastAsia="zh-CN"/>
              </w:rPr>
              <w:t>Darunavir 600 mg/ritonavir 100 mg napi kétszer, 7 nap</w:t>
            </w:r>
          </w:p>
        </w:tc>
        <w:tc>
          <w:tcPr>
            <w:tcW w:w="3120" w:type="dxa"/>
            <w:gridSpan w:val="2"/>
            <w:vAlign w:val="center"/>
          </w:tcPr>
          <w:p w14:paraId="5F5D9893" w14:textId="77777777" w:rsidR="00835B06" w:rsidRDefault="004D03F7">
            <w:pPr>
              <w:pStyle w:val="A-TableText"/>
              <w:jc w:val="center"/>
              <w:rPr>
                <w:lang w:val="hu-HU" w:eastAsia="zh-CN"/>
              </w:rPr>
            </w:pPr>
            <w:r>
              <w:rPr>
                <w:lang w:val="hu-HU" w:eastAsia="zh-CN"/>
              </w:rPr>
              <w:t>1×10 mg/nap, 7 nap</w:t>
            </w:r>
          </w:p>
        </w:tc>
        <w:tc>
          <w:tcPr>
            <w:tcW w:w="2388" w:type="dxa"/>
            <w:gridSpan w:val="2"/>
            <w:vAlign w:val="center"/>
          </w:tcPr>
          <w:p w14:paraId="24B3163F" w14:textId="77777777" w:rsidR="00835B06" w:rsidRDefault="004D03F7">
            <w:pPr>
              <w:pStyle w:val="A-TableText"/>
              <w:jc w:val="center"/>
              <w:rPr>
                <w:lang w:val="hu-HU" w:eastAsia="zh-CN"/>
              </w:rPr>
            </w:pPr>
            <w:r>
              <w:rPr>
                <w:lang w:val="hu-HU" w:eastAsia="zh-CN"/>
              </w:rPr>
              <w:t>1,5</w:t>
            </w:r>
            <w:r>
              <w:rPr>
                <w:lang w:val="hu-HU" w:eastAsia="zh-CN"/>
              </w:rPr>
              <w:noBreakHyphen/>
              <w:t xml:space="preserve">szeres </w:t>
            </w:r>
            <w:r>
              <w:rPr>
                <w:lang w:val="hu-HU" w:eastAsia="zh-CN"/>
              </w:rPr>
              <w:sym w:font="Symbol" w:char="F0AD"/>
            </w:r>
          </w:p>
        </w:tc>
      </w:tr>
      <w:tr w:rsidR="00835B06" w14:paraId="73DD6725" w14:textId="77777777">
        <w:trPr>
          <w:cantSplit/>
        </w:trPr>
        <w:tc>
          <w:tcPr>
            <w:tcW w:w="3828" w:type="dxa"/>
          </w:tcPr>
          <w:p w14:paraId="305798EE" w14:textId="77777777" w:rsidR="00835B06" w:rsidRDefault="004D03F7">
            <w:pPr>
              <w:pStyle w:val="A-TableText"/>
              <w:rPr>
                <w:lang w:val="hu-HU" w:eastAsia="zh-CN"/>
              </w:rPr>
            </w:pPr>
            <w:r>
              <w:rPr>
                <w:lang w:val="hu-HU" w:eastAsia="zh-CN"/>
              </w:rPr>
              <w:t>Tipranavir 500 mg/ritonavir 200 mg napi kétszer, 11 nap</w:t>
            </w:r>
          </w:p>
        </w:tc>
        <w:tc>
          <w:tcPr>
            <w:tcW w:w="3120" w:type="dxa"/>
            <w:gridSpan w:val="2"/>
            <w:vAlign w:val="center"/>
          </w:tcPr>
          <w:p w14:paraId="2B92A1B4" w14:textId="77777777" w:rsidR="00835B06" w:rsidRDefault="004D03F7">
            <w:pPr>
              <w:pStyle w:val="A-TableText"/>
              <w:jc w:val="center"/>
              <w:rPr>
                <w:lang w:val="hu-HU" w:eastAsia="zh-CN"/>
              </w:rPr>
            </w:pPr>
            <w:r>
              <w:rPr>
                <w:lang w:val="hu-HU" w:eastAsia="zh-CN"/>
              </w:rPr>
              <w:t>10 mg, egyszeri dózis</w:t>
            </w:r>
          </w:p>
        </w:tc>
        <w:tc>
          <w:tcPr>
            <w:tcW w:w="2388" w:type="dxa"/>
            <w:gridSpan w:val="2"/>
            <w:vAlign w:val="center"/>
          </w:tcPr>
          <w:p w14:paraId="3352358E" w14:textId="77777777" w:rsidR="00835B06" w:rsidRDefault="004D03F7">
            <w:pPr>
              <w:pStyle w:val="A-TableText"/>
              <w:jc w:val="center"/>
              <w:rPr>
                <w:lang w:val="hu-HU" w:eastAsia="zh-CN"/>
              </w:rPr>
            </w:pPr>
            <w:r>
              <w:rPr>
                <w:lang w:val="hu-HU" w:eastAsia="zh-CN"/>
              </w:rPr>
              <w:t>1,4</w:t>
            </w:r>
            <w:r>
              <w:rPr>
                <w:lang w:val="hu-HU" w:eastAsia="zh-CN"/>
              </w:rPr>
              <w:noBreakHyphen/>
              <w:t xml:space="preserve">szeres </w:t>
            </w:r>
            <w:r>
              <w:rPr>
                <w:lang w:val="hu-HU" w:eastAsia="zh-CN"/>
              </w:rPr>
              <w:sym w:font="Symbol" w:char="F0AD"/>
            </w:r>
          </w:p>
        </w:tc>
      </w:tr>
      <w:tr w:rsidR="00835B06" w14:paraId="16A6EED4" w14:textId="77777777">
        <w:trPr>
          <w:cantSplit/>
        </w:trPr>
        <w:tc>
          <w:tcPr>
            <w:tcW w:w="3828" w:type="dxa"/>
          </w:tcPr>
          <w:p w14:paraId="0FCAD920" w14:textId="77777777" w:rsidR="00835B06" w:rsidRDefault="004D03F7">
            <w:pPr>
              <w:pStyle w:val="A-TableText"/>
              <w:rPr>
                <w:lang w:val="hu-HU" w:eastAsia="zh-CN"/>
              </w:rPr>
            </w:pPr>
            <w:r>
              <w:rPr>
                <w:lang w:val="hu-HU" w:eastAsia="zh-CN"/>
              </w:rPr>
              <w:t>Dronedaron 2×400 mg/nap</w:t>
            </w:r>
          </w:p>
        </w:tc>
        <w:tc>
          <w:tcPr>
            <w:tcW w:w="3120" w:type="dxa"/>
            <w:gridSpan w:val="2"/>
            <w:vAlign w:val="center"/>
          </w:tcPr>
          <w:p w14:paraId="73F85CA4" w14:textId="77777777" w:rsidR="00835B06" w:rsidRDefault="004D03F7">
            <w:pPr>
              <w:pStyle w:val="A-TableText"/>
              <w:jc w:val="center"/>
              <w:rPr>
                <w:lang w:val="hu-HU" w:eastAsia="zh-CN"/>
              </w:rPr>
            </w:pPr>
            <w:r>
              <w:rPr>
                <w:lang w:val="hu-HU" w:eastAsia="zh-CN"/>
              </w:rPr>
              <w:t>Nem elérhető</w:t>
            </w:r>
          </w:p>
        </w:tc>
        <w:tc>
          <w:tcPr>
            <w:tcW w:w="2388" w:type="dxa"/>
            <w:gridSpan w:val="2"/>
            <w:vAlign w:val="center"/>
          </w:tcPr>
          <w:p w14:paraId="1A06EC60" w14:textId="77777777" w:rsidR="00835B06" w:rsidRDefault="004D03F7">
            <w:pPr>
              <w:pStyle w:val="A-TableText"/>
              <w:jc w:val="center"/>
              <w:rPr>
                <w:lang w:val="hu-HU" w:eastAsia="zh-CN"/>
              </w:rPr>
            </w:pPr>
            <w:r>
              <w:rPr>
                <w:lang w:val="hu-HU" w:eastAsia="zh-CN"/>
              </w:rPr>
              <w:t>1,4</w:t>
            </w:r>
            <w:r>
              <w:rPr>
                <w:lang w:val="hu-HU" w:eastAsia="zh-CN"/>
              </w:rPr>
              <w:noBreakHyphen/>
              <w:t xml:space="preserve">szeres </w:t>
            </w:r>
            <w:r>
              <w:rPr>
                <w:lang w:val="hu-HU" w:eastAsia="zh-CN"/>
              </w:rPr>
              <w:sym w:font="Symbol" w:char="F0AD"/>
            </w:r>
          </w:p>
        </w:tc>
      </w:tr>
      <w:tr w:rsidR="00835B06" w14:paraId="7C27F064" w14:textId="77777777">
        <w:trPr>
          <w:cantSplit/>
        </w:trPr>
        <w:tc>
          <w:tcPr>
            <w:tcW w:w="3828" w:type="dxa"/>
          </w:tcPr>
          <w:p w14:paraId="1D24E73A" w14:textId="77777777" w:rsidR="00835B06" w:rsidRDefault="004D03F7">
            <w:pPr>
              <w:pStyle w:val="A-TableText"/>
              <w:rPr>
                <w:lang w:val="hu-HU" w:eastAsia="zh-CN"/>
              </w:rPr>
            </w:pPr>
            <w:r>
              <w:rPr>
                <w:lang w:val="hu-HU" w:eastAsia="zh-CN"/>
              </w:rPr>
              <w:t>Itrakonazol 1×200 mg/nap, 5 nap</w:t>
            </w:r>
          </w:p>
        </w:tc>
        <w:tc>
          <w:tcPr>
            <w:tcW w:w="3120" w:type="dxa"/>
            <w:gridSpan w:val="2"/>
            <w:vAlign w:val="center"/>
          </w:tcPr>
          <w:p w14:paraId="2BC755FE" w14:textId="77777777" w:rsidR="00835B06" w:rsidRDefault="004D03F7">
            <w:pPr>
              <w:pStyle w:val="A-TableText"/>
              <w:jc w:val="center"/>
              <w:rPr>
                <w:lang w:val="hu-HU" w:eastAsia="zh-CN"/>
              </w:rPr>
            </w:pPr>
            <w:r>
              <w:rPr>
                <w:lang w:val="hu-HU" w:eastAsia="zh-CN"/>
              </w:rPr>
              <w:t>10 mg, egyszeri dózis</w:t>
            </w:r>
          </w:p>
        </w:tc>
        <w:tc>
          <w:tcPr>
            <w:tcW w:w="2388" w:type="dxa"/>
            <w:gridSpan w:val="2"/>
            <w:vAlign w:val="center"/>
          </w:tcPr>
          <w:p w14:paraId="193AB469" w14:textId="77777777" w:rsidR="00835B06" w:rsidRDefault="004D03F7">
            <w:pPr>
              <w:pStyle w:val="A-TableText"/>
              <w:jc w:val="center"/>
              <w:rPr>
                <w:lang w:val="hu-HU" w:eastAsia="zh-CN"/>
              </w:rPr>
            </w:pPr>
            <w:r>
              <w:rPr>
                <w:lang w:val="hu-HU" w:eastAsia="zh-CN"/>
              </w:rPr>
              <w:t>1,4</w:t>
            </w:r>
            <w:r>
              <w:rPr>
                <w:lang w:val="hu-HU" w:eastAsia="zh-CN"/>
              </w:rPr>
              <w:noBreakHyphen/>
              <w:t xml:space="preserve">szeres </w:t>
            </w:r>
            <w:r>
              <w:rPr>
                <w:lang w:val="hu-HU" w:eastAsia="zh-CN"/>
              </w:rPr>
              <w:sym w:font="Symbol" w:char="F0AD"/>
            </w:r>
            <w:r>
              <w:rPr>
                <w:vertAlign w:val="superscript"/>
                <w:lang w:val="hu-HU" w:eastAsia="zh-CN"/>
              </w:rPr>
              <w:t>**</w:t>
            </w:r>
          </w:p>
        </w:tc>
      </w:tr>
      <w:tr w:rsidR="00835B06" w14:paraId="7C2CEDFB" w14:textId="77777777">
        <w:trPr>
          <w:cantSplit/>
        </w:trPr>
        <w:tc>
          <w:tcPr>
            <w:tcW w:w="3828" w:type="dxa"/>
            <w:tcBorders>
              <w:bottom w:val="single" w:sz="12" w:space="0" w:color="auto"/>
            </w:tcBorders>
          </w:tcPr>
          <w:p w14:paraId="233E1AC6" w14:textId="77777777" w:rsidR="00835B06" w:rsidRDefault="004D03F7">
            <w:pPr>
              <w:pStyle w:val="A-TableText"/>
              <w:rPr>
                <w:lang w:val="hu-HU" w:eastAsia="zh-CN"/>
              </w:rPr>
            </w:pPr>
            <w:r>
              <w:rPr>
                <w:lang w:val="hu-HU" w:eastAsia="zh-CN"/>
              </w:rPr>
              <w:t>Ezetimib 1×10 mg/nap, 14 nap</w:t>
            </w:r>
          </w:p>
        </w:tc>
        <w:tc>
          <w:tcPr>
            <w:tcW w:w="3120" w:type="dxa"/>
            <w:gridSpan w:val="2"/>
            <w:tcBorders>
              <w:bottom w:val="single" w:sz="12" w:space="0" w:color="auto"/>
            </w:tcBorders>
            <w:vAlign w:val="center"/>
          </w:tcPr>
          <w:p w14:paraId="2095EDE1" w14:textId="77777777" w:rsidR="00835B06" w:rsidRDefault="004D03F7">
            <w:pPr>
              <w:pStyle w:val="A-TableText"/>
              <w:jc w:val="center"/>
              <w:rPr>
                <w:lang w:val="hu-HU" w:eastAsia="zh-CN"/>
              </w:rPr>
            </w:pPr>
            <w:r>
              <w:rPr>
                <w:lang w:val="hu-HU" w:eastAsia="zh-CN"/>
              </w:rPr>
              <w:t>1×10 mg/nap 14 nap</w:t>
            </w:r>
          </w:p>
        </w:tc>
        <w:tc>
          <w:tcPr>
            <w:tcW w:w="2388" w:type="dxa"/>
            <w:gridSpan w:val="2"/>
            <w:tcBorders>
              <w:bottom w:val="single" w:sz="12" w:space="0" w:color="auto"/>
            </w:tcBorders>
            <w:vAlign w:val="center"/>
          </w:tcPr>
          <w:p w14:paraId="32D3A34F" w14:textId="77777777" w:rsidR="00835B06" w:rsidRDefault="004D03F7">
            <w:pPr>
              <w:pStyle w:val="A-TableText"/>
              <w:jc w:val="center"/>
              <w:rPr>
                <w:lang w:val="hu-HU" w:eastAsia="zh-CN"/>
              </w:rPr>
            </w:pPr>
            <w:r>
              <w:rPr>
                <w:lang w:val="hu-HU" w:eastAsia="zh-CN"/>
              </w:rPr>
              <w:t>1,2</w:t>
            </w:r>
            <w:r>
              <w:rPr>
                <w:lang w:val="hu-HU" w:eastAsia="zh-CN"/>
              </w:rPr>
              <w:noBreakHyphen/>
              <w:t xml:space="preserve">szeres </w:t>
            </w:r>
            <w:r>
              <w:rPr>
                <w:lang w:val="hu-HU" w:eastAsia="zh-CN"/>
              </w:rPr>
              <w:sym w:font="Symbol" w:char="F0AD"/>
            </w:r>
            <w:r>
              <w:rPr>
                <w:vertAlign w:val="superscript"/>
                <w:lang w:val="hu-HU" w:eastAsia="zh-CN"/>
              </w:rPr>
              <w:t>**</w:t>
            </w:r>
          </w:p>
        </w:tc>
      </w:tr>
      <w:tr w:rsidR="00835B06" w14:paraId="79A4CCD2" w14:textId="77777777">
        <w:trPr>
          <w:cantSplit/>
        </w:trPr>
        <w:tc>
          <w:tcPr>
            <w:tcW w:w="9336" w:type="dxa"/>
            <w:gridSpan w:val="5"/>
            <w:tcBorders>
              <w:top w:val="single" w:sz="12" w:space="0" w:color="auto"/>
              <w:bottom w:val="single" w:sz="12" w:space="0" w:color="auto"/>
            </w:tcBorders>
          </w:tcPr>
          <w:p w14:paraId="62B29FAE" w14:textId="77777777" w:rsidR="00835B06" w:rsidRDefault="004D03F7">
            <w:pPr>
              <w:pStyle w:val="A-TableText"/>
              <w:rPr>
                <w:lang w:val="hu-HU" w:eastAsia="zh-CN"/>
              </w:rPr>
            </w:pPr>
            <w:r>
              <w:rPr>
                <w:lang w:val="hu-HU" w:eastAsia="zh-CN"/>
              </w:rPr>
              <w:t>A rozuvasztatin AUC értékének csökkenése</w:t>
            </w:r>
          </w:p>
        </w:tc>
      </w:tr>
      <w:tr w:rsidR="00835B06" w14:paraId="408D25F0" w14:textId="77777777">
        <w:trPr>
          <w:cantSplit/>
        </w:trPr>
        <w:tc>
          <w:tcPr>
            <w:tcW w:w="3828" w:type="dxa"/>
            <w:tcBorders>
              <w:top w:val="single" w:sz="12" w:space="0" w:color="auto"/>
              <w:bottom w:val="single" w:sz="4" w:space="0" w:color="auto"/>
            </w:tcBorders>
          </w:tcPr>
          <w:p w14:paraId="425282BC" w14:textId="77777777" w:rsidR="00835B06" w:rsidRDefault="004D03F7">
            <w:pPr>
              <w:pStyle w:val="A-TableText"/>
              <w:rPr>
                <w:lang w:val="hu-HU" w:eastAsia="zh-CN"/>
              </w:rPr>
            </w:pPr>
            <w:r>
              <w:rPr>
                <w:lang w:val="hu-HU" w:eastAsia="zh-CN"/>
              </w:rPr>
              <w:t>A kölcsönhatásba lépő gyógyszer adagolási rendje</w:t>
            </w:r>
          </w:p>
        </w:tc>
        <w:tc>
          <w:tcPr>
            <w:tcW w:w="3120" w:type="dxa"/>
            <w:gridSpan w:val="2"/>
            <w:tcBorders>
              <w:top w:val="single" w:sz="12" w:space="0" w:color="auto"/>
              <w:bottom w:val="single" w:sz="4" w:space="0" w:color="auto"/>
            </w:tcBorders>
          </w:tcPr>
          <w:p w14:paraId="726E363E" w14:textId="77777777" w:rsidR="00835B06" w:rsidRDefault="004D03F7">
            <w:pPr>
              <w:pStyle w:val="A-TableText"/>
              <w:jc w:val="center"/>
              <w:rPr>
                <w:lang w:val="hu-HU" w:eastAsia="zh-CN"/>
              </w:rPr>
            </w:pPr>
            <w:r>
              <w:rPr>
                <w:lang w:val="hu-HU" w:eastAsia="zh-CN"/>
              </w:rPr>
              <w:t>Rozuvasztatin</w:t>
            </w:r>
            <w:r>
              <w:rPr>
                <w:lang w:val="hu-HU" w:eastAsia="zh-CN"/>
              </w:rPr>
              <w:br/>
              <w:t>adagolási rendje</w:t>
            </w:r>
          </w:p>
        </w:tc>
        <w:tc>
          <w:tcPr>
            <w:tcW w:w="2388" w:type="dxa"/>
            <w:gridSpan w:val="2"/>
            <w:tcBorders>
              <w:top w:val="single" w:sz="12" w:space="0" w:color="auto"/>
              <w:bottom w:val="single" w:sz="4" w:space="0" w:color="auto"/>
            </w:tcBorders>
          </w:tcPr>
          <w:p w14:paraId="0923E176" w14:textId="77777777" w:rsidR="00835B06" w:rsidRDefault="004D03F7">
            <w:pPr>
              <w:pStyle w:val="A-TableText"/>
              <w:jc w:val="center"/>
              <w:rPr>
                <w:lang w:val="hu-HU" w:eastAsia="zh-CN"/>
              </w:rPr>
            </w:pPr>
            <w:r>
              <w:rPr>
                <w:lang w:val="hu-HU" w:eastAsia="zh-CN"/>
              </w:rPr>
              <w:t>Rozuvasztatin AUC</w:t>
            </w:r>
            <w:r>
              <w:rPr>
                <w:vertAlign w:val="superscript"/>
                <w:lang w:val="hu-HU" w:eastAsia="zh-CN"/>
              </w:rPr>
              <w:t xml:space="preserve">* </w:t>
            </w:r>
            <w:r>
              <w:rPr>
                <w:lang w:val="hu-HU" w:eastAsia="zh-CN"/>
              </w:rPr>
              <w:t>változása</w:t>
            </w:r>
          </w:p>
        </w:tc>
      </w:tr>
      <w:tr w:rsidR="00835B06" w14:paraId="39716D04" w14:textId="77777777">
        <w:trPr>
          <w:cantSplit/>
        </w:trPr>
        <w:tc>
          <w:tcPr>
            <w:tcW w:w="3828" w:type="dxa"/>
            <w:tcBorders>
              <w:top w:val="single" w:sz="4" w:space="0" w:color="auto"/>
            </w:tcBorders>
          </w:tcPr>
          <w:p w14:paraId="01F53944" w14:textId="77777777" w:rsidR="00835B06" w:rsidRDefault="004D03F7">
            <w:pPr>
              <w:pStyle w:val="A-TableText"/>
              <w:rPr>
                <w:lang w:val="hu-HU" w:eastAsia="zh-CN"/>
              </w:rPr>
            </w:pPr>
            <w:r>
              <w:rPr>
                <w:lang w:val="hu-HU" w:eastAsia="zh-CN"/>
              </w:rPr>
              <w:t>Eritromicin 4×500 mg/nap, 7 nap</w:t>
            </w:r>
          </w:p>
        </w:tc>
        <w:tc>
          <w:tcPr>
            <w:tcW w:w="3120" w:type="dxa"/>
            <w:gridSpan w:val="2"/>
            <w:tcBorders>
              <w:top w:val="single" w:sz="4" w:space="0" w:color="auto"/>
            </w:tcBorders>
            <w:vAlign w:val="center"/>
          </w:tcPr>
          <w:p w14:paraId="37A28759" w14:textId="77777777" w:rsidR="00835B06" w:rsidRDefault="004D03F7">
            <w:pPr>
              <w:pStyle w:val="A-TableText"/>
              <w:jc w:val="center"/>
              <w:rPr>
                <w:lang w:val="hu-HU" w:eastAsia="zh-CN"/>
              </w:rPr>
            </w:pPr>
            <w:r>
              <w:rPr>
                <w:lang w:val="hu-HU" w:eastAsia="zh-CN"/>
              </w:rPr>
              <w:t>80 mg, egyszeri dózis</w:t>
            </w:r>
          </w:p>
        </w:tc>
        <w:tc>
          <w:tcPr>
            <w:tcW w:w="2388" w:type="dxa"/>
            <w:gridSpan w:val="2"/>
            <w:tcBorders>
              <w:top w:val="single" w:sz="4" w:space="0" w:color="auto"/>
            </w:tcBorders>
            <w:vAlign w:val="center"/>
          </w:tcPr>
          <w:p w14:paraId="712F2A29" w14:textId="77777777" w:rsidR="00835B06" w:rsidRDefault="004D03F7">
            <w:pPr>
              <w:pStyle w:val="A-TableText"/>
              <w:jc w:val="center"/>
              <w:rPr>
                <w:lang w:val="hu-HU" w:eastAsia="zh-CN"/>
              </w:rPr>
            </w:pPr>
            <w:r>
              <w:rPr>
                <w:lang w:val="hu-HU" w:eastAsia="zh-CN"/>
              </w:rPr>
              <w:t xml:space="preserve">20% </w:t>
            </w:r>
            <w:r>
              <w:rPr>
                <w:lang w:val="hu-HU" w:eastAsia="zh-CN"/>
              </w:rPr>
              <w:sym w:font="Symbol" w:char="F0AF"/>
            </w:r>
          </w:p>
        </w:tc>
      </w:tr>
      <w:tr w:rsidR="00835B06" w14:paraId="003F9FAB" w14:textId="77777777">
        <w:trPr>
          <w:cantSplit/>
        </w:trPr>
        <w:tc>
          <w:tcPr>
            <w:tcW w:w="3828" w:type="dxa"/>
            <w:tcBorders>
              <w:bottom w:val="single" w:sz="8" w:space="0" w:color="auto"/>
            </w:tcBorders>
          </w:tcPr>
          <w:p w14:paraId="4F7011B0" w14:textId="77777777" w:rsidR="00835B06" w:rsidRDefault="004D03F7">
            <w:pPr>
              <w:pStyle w:val="A-TableText"/>
              <w:rPr>
                <w:lang w:val="hu-HU" w:eastAsia="zh-CN"/>
              </w:rPr>
            </w:pPr>
            <w:r>
              <w:rPr>
                <w:lang w:val="hu-HU" w:eastAsia="zh-CN"/>
              </w:rPr>
              <w:t>Baikalin 3×50 mg/nap, 14 nap</w:t>
            </w:r>
          </w:p>
        </w:tc>
        <w:tc>
          <w:tcPr>
            <w:tcW w:w="3120" w:type="dxa"/>
            <w:gridSpan w:val="2"/>
            <w:vAlign w:val="center"/>
          </w:tcPr>
          <w:p w14:paraId="1963619C" w14:textId="77777777" w:rsidR="00835B06" w:rsidRDefault="004D03F7">
            <w:pPr>
              <w:pStyle w:val="A-TableText"/>
              <w:jc w:val="center"/>
              <w:rPr>
                <w:lang w:val="hu-HU" w:eastAsia="zh-CN"/>
              </w:rPr>
            </w:pPr>
            <w:r>
              <w:rPr>
                <w:lang w:val="hu-HU" w:eastAsia="zh-CN"/>
              </w:rPr>
              <w:t>20 mg, egyszeri dózis</w:t>
            </w:r>
          </w:p>
        </w:tc>
        <w:tc>
          <w:tcPr>
            <w:tcW w:w="2388" w:type="dxa"/>
            <w:gridSpan w:val="2"/>
            <w:vAlign w:val="center"/>
          </w:tcPr>
          <w:p w14:paraId="14A45AE4" w14:textId="77777777" w:rsidR="00835B06" w:rsidRDefault="004D03F7">
            <w:pPr>
              <w:pStyle w:val="A-TableText"/>
              <w:jc w:val="center"/>
              <w:rPr>
                <w:lang w:val="hu-HU" w:eastAsia="zh-CN"/>
              </w:rPr>
            </w:pPr>
            <w:r>
              <w:rPr>
                <w:lang w:val="hu-HU" w:eastAsia="zh-CN"/>
              </w:rPr>
              <w:t xml:space="preserve">47% </w:t>
            </w:r>
            <w:r>
              <w:rPr>
                <w:lang w:val="hu-HU" w:eastAsia="zh-CN"/>
              </w:rPr>
              <w:sym w:font="Symbol" w:char="F0AF"/>
            </w:r>
          </w:p>
        </w:tc>
      </w:tr>
      <w:tr w:rsidR="00835B06" w14:paraId="38FCDE44" w14:textId="77777777">
        <w:trPr>
          <w:cantSplit/>
        </w:trPr>
        <w:tc>
          <w:tcPr>
            <w:tcW w:w="9336" w:type="dxa"/>
            <w:gridSpan w:val="5"/>
            <w:tcBorders>
              <w:top w:val="single" w:sz="8" w:space="0" w:color="auto"/>
              <w:bottom w:val="single" w:sz="12" w:space="0" w:color="auto"/>
            </w:tcBorders>
          </w:tcPr>
          <w:p w14:paraId="23DD177F" w14:textId="77777777" w:rsidR="00835B06" w:rsidRDefault="004D03F7">
            <w:pPr>
              <w:spacing w:before="60" w:after="60"/>
              <w:ind w:left="210" w:hanging="210"/>
              <w:rPr>
                <w:szCs w:val="22"/>
                <w:lang w:val="hu-HU" w:eastAsia="zh-CN"/>
              </w:rPr>
            </w:pPr>
            <w:r>
              <w:rPr>
                <w:szCs w:val="22"/>
                <w:vertAlign w:val="superscript"/>
                <w:lang w:val="hu-HU" w:eastAsia="zh-CN"/>
              </w:rPr>
              <w:t xml:space="preserve">   *</w:t>
            </w:r>
            <w:r>
              <w:rPr>
                <w:szCs w:val="22"/>
                <w:vertAlign w:val="superscript"/>
                <w:lang w:val="hu-HU" w:eastAsia="zh-CN"/>
              </w:rPr>
              <w:tab/>
            </w:r>
            <w:r>
              <w:rPr>
                <w:szCs w:val="22"/>
                <w:lang w:val="hu-HU" w:eastAsia="zh-CN"/>
              </w:rPr>
              <w:t>Az ×</w:t>
            </w:r>
            <w:r>
              <w:rPr>
                <w:szCs w:val="22"/>
                <w:lang w:val="hu-HU" w:eastAsia="zh-CN"/>
              </w:rPr>
              <w:noBreakHyphen/>
              <w:t xml:space="preserve">szeres változásként megadott adat az egyidejű alkalmazás és a rozuvasztatin monoterápia közötti egyszerű arányszámot mutatja. A százalékban kifejezett változás a rozuvasztatin monoterápiához képest mért relatív százalékos eltérést jelenti. </w:t>
            </w:r>
          </w:p>
          <w:p w14:paraId="73DB3BB3" w14:textId="77777777" w:rsidR="00835B06" w:rsidRDefault="004D03F7">
            <w:pPr>
              <w:spacing w:before="60" w:after="60"/>
              <w:ind w:left="210" w:hanging="210"/>
              <w:rPr>
                <w:szCs w:val="22"/>
                <w:lang w:val="hu-HU" w:eastAsia="zh-CN"/>
              </w:rPr>
            </w:pPr>
            <w:r>
              <w:rPr>
                <w:szCs w:val="22"/>
                <w:lang w:val="hu-HU" w:eastAsia="zh-CN"/>
              </w:rPr>
              <w:tab/>
              <w:t>Növekedés: “</w:t>
            </w:r>
            <w:r>
              <w:rPr>
                <w:szCs w:val="22"/>
                <w:lang w:val="hu-HU" w:eastAsia="zh-CN"/>
              </w:rPr>
              <w:sym w:font="Symbol" w:char="F0AD"/>
            </w:r>
            <w:r>
              <w:rPr>
                <w:szCs w:val="22"/>
                <w:lang w:val="hu-HU" w:eastAsia="zh-CN"/>
              </w:rPr>
              <w:t>”, csökkenés: “</w:t>
            </w:r>
            <w:r>
              <w:rPr>
                <w:szCs w:val="22"/>
                <w:lang w:val="hu-HU" w:eastAsia="zh-CN"/>
              </w:rPr>
              <w:sym w:font="Symbol" w:char="F0AF"/>
            </w:r>
            <w:r>
              <w:rPr>
                <w:szCs w:val="22"/>
                <w:lang w:val="hu-HU" w:eastAsia="zh-CN"/>
              </w:rPr>
              <w:t>”.</w:t>
            </w:r>
          </w:p>
          <w:p w14:paraId="3C8E4514" w14:textId="77777777" w:rsidR="00835B06" w:rsidRDefault="004D03F7">
            <w:pPr>
              <w:spacing w:before="60" w:after="60"/>
              <w:ind w:left="210" w:hanging="210"/>
              <w:rPr>
                <w:szCs w:val="22"/>
                <w:lang w:val="hu-HU" w:eastAsia="zh-CN"/>
              </w:rPr>
            </w:pPr>
            <w:r>
              <w:rPr>
                <w:szCs w:val="22"/>
                <w:vertAlign w:val="superscript"/>
                <w:lang w:val="hu-HU" w:eastAsia="zh-CN"/>
              </w:rPr>
              <w:t>**</w:t>
            </w:r>
            <w:r>
              <w:rPr>
                <w:szCs w:val="22"/>
                <w:vertAlign w:val="superscript"/>
                <w:lang w:val="hu-HU" w:eastAsia="zh-CN"/>
              </w:rPr>
              <w:tab/>
            </w:r>
            <w:r>
              <w:rPr>
                <w:szCs w:val="22"/>
                <w:lang w:val="hu-HU" w:eastAsia="zh-CN"/>
              </w:rPr>
              <w:t xml:space="preserve">Számos interakciós vizsgálatot végeztek különböző rozuvasztatin dózisokkal, a táblázat a legszignifikánsabb arányt mutatja. </w:t>
            </w:r>
          </w:p>
        </w:tc>
      </w:tr>
    </w:tbl>
    <w:p w14:paraId="57E7B3EA" w14:textId="77777777" w:rsidR="00835B06" w:rsidRDefault="00835B06">
      <w:pPr>
        <w:rPr>
          <w:szCs w:val="22"/>
          <w:lang w:val="hu-HU"/>
        </w:rPr>
      </w:pPr>
    </w:p>
    <w:p w14:paraId="6EEDF059" w14:textId="77777777" w:rsidR="00835B06" w:rsidRDefault="004D03F7">
      <w:pPr>
        <w:keepNext/>
        <w:rPr>
          <w:szCs w:val="22"/>
          <w:lang w:val="hu-HU"/>
        </w:rPr>
      </w:pPr>
      <w:r>
        <w:rPr>
          <w:szCs w:val="22"/>
          <w:u w:val="single"/>
          <w:lang w:val="hu-HU"/>
        </w:rPr>
        <w:t>A rozuvasztatin hatása az egyidejűleg alkalmazott gyógyszerekre</w:t>
      </w:r>
    </w:p>
    <w:p w14:paraId="392A6617" w14:textId="77777777" w:rsidR="00835B06" w:rsidRDefault="00835B06">
      <w:pPr>
        <w:rPr>
          <w:szCs w:val="22"/>
          <w:lang w:val="hu-HU"/>
        </w:rPr>
      </w:pPr>
    </w:p>
    <w:p w14:paraId="2A9B5F97" w14:textId="77777777" w:rsidR="00835B06" w:rsidRDefault="004D03F7">
      <w:pPr>
        <w:rPr>
          <w:szCs w:val="22"/>
          <w:lang w:val="hu-HU"/>
        </w:rPr>
      </w:pPr>
      <w:r>
        <w:rPr>
          <w:bCs/>
          <w:i/>
          <w:iCs/>
          <w:szCs w:val="22"/>
          <w:lang w:val="hu-HU"/>
        </w:rPr>
        <w:t>K-vitamin-antagonisták:</w:t>
      </w:r>
      <w:r>
        <w:rPr>
          <w:szCs w:val="22"/>
          <w:lang w:val="hu-HU"/>
        </w:rPr>
        <w:t xml:space="preserve"> Hasonlóan más HMG</w:t>
      </w:r>
      <w:r>
        <w:rPr>
          <w:szCs w:val="22"/>
          <w:lang w:val="hu-HU"/>
        </w:rPr>
        <w:noBreakHyphen/>
        <w:t>CoA</w:t>
      </w:r>
      <w:r>
        <w:rPr>
          <w:szCs w:val="22"/>
          <w:lang w:val="hu-HU"/>
        </w:rPr>
        <w:noBreakHyphen/>
        <w:t>reduktáz-inhibitorokhoz, egyidejűleg K</w:t>
      </w:r>
      <w:r>
        <w:rPr>
          <w:szCs w:val="22"/>
          <w:lang w:val="hu-HU"/>
        </w:rPr>
        <w:noBreakHyphen/>
        <w:t>vitamin</w:t>
      </w:r>
      <w:r>
        <w:rPr>
          <w:szCs w:val="22"/>
          <w:lang w:val="hu-HU"/>
        </w:rPr>
        <w:noBreakHyphen/>
        <w:t xml:space="preserve">antagonistával (pl. warfarin vagy más, kumarin-típusú antikoaguláns) is kezelt betegeknél a rozuvasztatin-terápia megkezdése, illetve dózisának növelése a nemzetközi normalizált arány </w:t>
      </w:r>
      <w:r>
        <w:rPr>
          <w:spacing w:val="-2"/>
          <w:szCs w:val="22"/>
          <w:lang w:val="hu-HU"/>
        </w:rPr>
        <w:t>(</w:t>
      </w:r>
      <w:r>
        <w:rPr>
          <w:i/>
          <w:spacing w:val="-2"/>
          <w:szCs w:val="22"/>
          <w:lang w:val="hu-HU"/>
        </w:rPr>
        <w:t>International Normalized Ratio</w:t>
      </w:r>
      <w:r>
        <w:rPr>
          <w:spacing w:val="-2"/>
          <w:szCs w:val="22"/>
          <w:lang w:val="hu-HU"/>
        </w:rPr>
        <w:t>, INR) emelkedését eredményezheti. A Roxera Plus</w:t>
      </w:r>
      <w:r>
        <w:rPr>
          <w:szCs w:val="22"/>
          <w:lang w:val="hu-HU"/>
        </w:rPr>
        <w:t xml:space="preserve"> filmtabletta alkalmazásának felfüggesztése vagy dózisának csökkentése az INR csökkenését eredményezheti. Ilyen helyzetekben kívánatos az INR szakszerű monitorozása.</w:t>
      </w:r>
    </w:p>
    <w:p w14:paraId="25AEF887" w14:textId="77777777" w:rsidR="00835B06" w:rsidRDefault="00835B06">
      <w:pPr>
        <w:rPr>
          <w:szCs w:val="22"/>
          <w:lang w:val="hu-HU"/>
        </w:rPr>
      </w:pPr>
    </w:p>
    <w:p w14:paraId="44811042" w14:textId="77777777" w:rsidR="00835B06" w:rsidRDefault="004D03F7">
      <w:pPr>
        <w:rPr>
          <w:szCs w:val="22"/>
          <w:lang w:val="hu-HU"/>
        </w:rPr>
      </w:pPr>
      <w:r>
        <w:rPr>
          <w:bCs/>
          <w:i/>
          <w:iCs/>
          <w:szCs w:val="22"/>
          <w:lang w:val="hu-HU"/>
        </w:rPr>
        <w:t xml:space="preserve">Orális fogamzásgátlók/hormonpótló kezelés (HRT): </w:t>
      </w:r>
      <w:r>
        <w:rPr>
          <w:szCs w:val="22"/>
          <w:lang w:val="hu-HU"/>
        </w:rPr>
        <w:t xml:space="preserve">Rozuvasztatin és orális fogamzásgátlók egyidejű </w:t>
      </w:r>
      <w:r>
        <w:rPr>
          <w:spacing w:val="-2"/>
          <w:szCs w:val="22"/>
          <w:lang w:val="hu-HU"/>
        </w:rPr>
        <w:t>alkalmazásakor az etinilösztradiol AUC-értéke 26%-kal, a norgesztrel AUC-értéke 34%-kal nőtt.</w:t>
      </w:r>
      <w:r>
        <w:rPr>
          <w:szCs w:val="22"/>
          <w:lang w:val="hu-HU"/>
        </w:rPr>
        <w:t xml:space="preserve"> A plazmaszint-emelkedést az orális fogamzásgátló dózisának megválasztásakor figyelembe kell venni. Nincs farmakokinetikai adat olyan betegekről, aki hormonpótló kezelés mellett rozuvasztatint is szedett, ezért ilyen esetben nem zárható ki hasonló hatás. Mindazonáltal a klinikai vizsgálatok során a kombinációt kiterjedten alkalmazták nőknél, akik ezt jól tolerálták.</w:t>
      </w:r>
    </w:p>
    <w:p w14:paraId="26599D2E" w14:textId="77777777" w:rsidR="00835B06" w:rsidRDefault="00835B06">
      <w:pPr>
        <w:rPr>
          <w:szCs w:val="22"/>
          <w:lang w:val="hu-HU"/>
        </w:rPr>
      </w:pPr>
    </w:p>
    <w:p w14:paraId="56EFA216" w14:textId="77777777" w:rsidR="00835B06" w:rsidRDefault="004D03F7">
      <w:pPr>
        <w:widowControl w:val="0"/>
        <w:rPr>
          <w:bCs/>
          <w:i/>
          <w:szCs w:val="22"/>
          <w:u w:val="single"/>
          <w:lang w:val="hu-HU"/>
        </w:rPr>
      </w:pPr>
      <w:r>
        <w:rPr>
          <w:bCs/>
          <w:i/>
          <w:szCs w:val="22"/>
          <w:u w:val="single"/>
          <w:lang w:val="hu-HU"/>
        </w:rPr>
        <w:t>Egyéb gyógyszerek</w:t>
      </w:r>
    </w:p>
    <w:p w14:paraId="4229FE8F" w14:textId="77777777" w:rsidR="00835B06" w:rsidRDefault="00835B06">
      <w:pPr>
        <w:widowControl w:val="0"/>
        <w:rPr>
          <w:bCs/>
          <w:i/>
          <w:szCs w:val="22"/>
          <w:lang w:val="hu-HU"/>
        </w:rPr>
      </w:pPr>
    </w:p>
    <w:p w14:paraId="6017823F" w14:textId="77777777" w:rsidR="00835B06" w:rsidRDefault="004D03F7">
      <w:pPr>
        <w:widowControl w:val="0"/>
        <w:rPr>
          <w:bCs/>
          <w:szCs w:val="22"/>
          <w:lang w:val="hu-HU"/>
        </w:rPr>
      </w:pPr>
      <w:r>
        <w:rPr>
          <w:bCs/>
          <w:i/>
          <w:szCs w:val="22"/>
          <w:lang w:val="hu-HU"/>
        </w:rPr>
        <w:t xml:space="preserve">Digoxin: </w:t>
      </w:r>
      <w:r>
        <w:rPr>
          <w:bCs/>
          <w:szCs w:val="22"/>
          <w:lang w:val="hu-HU"/>
        </w:rPr>
        <w:t>Specifikus gyógyszer-interakciós vizsgálatok során nyert adatok alapján digoxinnal nem várható klinikai szempontból jelentős kölcsönhatás.</w:t>
      </w:r>
    </w:p>
    <w:p w14:paraId="00ECA3FA" w14:textId="77777777" w:rsidR="00835B06" w:rsidRDefault="00835B06">
      <w:pPr>
        <w:widowControl w:val="0"/>
        <w:rPr>
          <w:bCs/>
          <w:szCs w:val="22"/>
          <w:lang w:val="hu-HU"/>
        </w:rPr>
      </w:pPr>
    </w:p>
    <w:p w14:paraId="115B4F51" w14:textId="77777777" w:rsidR="00835B06" w:rsidRDefault="004D03F7">
      <w:pPr>
        <w:pStyle w:val="Default"/>
        <w:rPr>
          <w:sz w:val="22"/>
          <w:szCs w:val="22"/>
          <w:lang w:val="hu-HU"/>
        </w:rPr>
      </w:pPr>
      <w:r>
        <w:rPr>
          <w:bCs/>
          <w:i/>
          <w:sz w:val="22"/>
          <w:szCs w:val="22"/>
          <w:lang w:val="hu-HU"/>
        </w:rPr>
        <w:t>Fuzidinsav:</w:t>
      </w:r>
      <w:r>
        <w:rPr>
          <w:bCs/>
          <w:sz w:val="22"/>
          <w:szCs w:val="22"/>
          <w:lang w:val="hu-HU"/>
        </w:rPr>
        <w:t xml:space="preserve"> </w:t>
      </w:r>
      <w:r>
        <w:rPr>
          <w:color w:val="auto"/>
          <w:sz w:val="22"/>
        </w:rPr>
        <w:t>Interakciós vizsgálatokat nem végeztek rozuvasztatin és fuzidinsav alkalmazásával.</w:t>
      </w:r>
      <w:r>
        <w:rPr>
          <w:sz w:val="22"/>
          <w:szCs w:val="22"/>
          <w:lang w:val="hu-HU"/>
        </w:rPr>
        <w:t xml:space="preserve"> Szisztémás fuzidinsav készítmények és sztatinok egyidejű adása fokozhatja a myopathia (pl. rhabdomyolysis) kockázatát. Ennek a kölcsönhatásnak a mechanizmusa (farmakodinámiás, farmakokinetikai vagy mindkettő) egyelőre nem ismert. Ezzel a kombinációval kezelt betegeknél rhabdomyolysisről számoltak be (melyek némelyike halálos kimenetelű volt). Amennyiben szisztémás fuzidinsav-kezelés szükséges, akkor annak teljes időtartamára fel kell függeszteni a rozuvasztatin</w:t>
      </w:r>
      <w:r>
        <w:rPr>
          <w:sz w:val="22"/>
          <w:szCs w:val="22"/>
          <w:lang w:val="hu-HU"/>
        </w:rPr>
        <w:noBreakHyphen/>
        <w:t xml:space="preserve">terápiát. </w:t>
      </w:r>
      <w:r>
        <w:rPr>
          <w:b/>
          <w:sz w:val="22"/>
          <w:szCs w:val="22"/>
          <w:lang w:val="hu-HU"/>
        </w:rPr>
        <w:t>Lásd még 4.4 pont</w:t>
      </w:r>
      <w:r>
        <w:rPr>
          <w:sz w:val="22"/>
          <w:szCs w:val="22"/>
          <w:lang w:val="hu-HU"/>
        </w:rPr>
        <w:t>.</w:t>
      </w:r>
    </w:p>
    <w:p w14:paraId="76FE9151" w14:textId="77777777" w:rsidR="00835B06" w:rsidRDefault="00835B06">
      <w:pPr>
        <w:pStyle w:val="Default"/>
        <w:rPr>
          <w:sz w:val="22"/>
          <w:szCs w:val="22"/>
          <w:lang w:val="hu-HU"/>
        </w:rPr>
      </w:pPr>
    </w:p>
    <w:p w14:paraId="1F19D34A" w14:textId="77777777" w:rsidR="00835B06" w:rsidRDefault="004D03F7">
      <w:pPr>
        <w:pStyle w:val="Default"/>
        <w:rPr>
          <w:bCs/>
          <w:sz w:val="22"/>
          <w:szCs w:val="22"/>
          <w:lang w:val="hu-HU"/>
        </w:rPr>
      </w:pPr>
      <w:r>
        <w:rPr>
          <w:i/>
          <w:sz w:val="22"/>
          <w:szCs w:val="22"/>
          <w:lang w:val="hu-HU"/>
        </w:rPr>
        <w:t>Gyermekek és serdülők:</w:t>
      </w:r>
      <w:r>
        <w:rPr>
          <w:sz w:val="22"/>
          <w:szCs w:val="22"/>
          <w:lang w:val="hu-HU"/>
        </w:rPr>
        <w:t xml:space="preserve"> Interakciós vizsgálatokat csak felnőtteken végeztek. A kölcsönhatás mértéke gyermekeknél és serdülőknél nem ismert.</w:t>
      </w:r>
    </w:p>
    <w:p w14:paraId="3CCB8DAF" w14:textId="77777777" w:rsidR="00835B06" w:rsidRDefault="00835B06">
      <w:pPr>
        <w:widowControl w:val="0"/>
        <w:tabs>
          <w:tab w:val="left" w:pos="567"/>
        </w:tabs>
        <w:rPr>
          <w:szCs w:val="22"/>
          <w:u w:val="single"/>
          <w:lang w:val="hu-HU" w:eastAsia="en-US"/>
        </w:rPr>
      </w:pPr>
    </w:p>
    <w:p w14:paraId="68073735" w14:textId="77777777" w:rsidR="00835B06" w:rsidRDefault="004D03F7">
      <w:pPr>
        <w:widowControl w:val="0"/>
        <w:tabs>
          <w:tab w:val="left" w:pos="567"/>
        </w:tabs>
        <w:rPr>
          <w:szCs w:val="22"/>
          <w:u w:val="single"/>
          <w:lang w:val="hu-HU" w:eastAsia="en-US"/>
        </w:rPr>
      </w:pPr>
      <w:r>
        <w:rPr>
          <w:szCs w:val="22"/>
          <w:u w:val="single"/>
          <w:lang w:val="hu-HU" w:eastAsia="en-US"/>
        </w:rPr>
        <w:t>Az ezetimib összetevőhöz kapcsolódóan</w:t>
      </w:r>
    </w:p>
    <w:p w14:paraId="77DDD4C7" w14:textId="77777777" w:rsidR="00835B06" w:rsidRDefault="00835B06">
      <w:pPr>
        <w:widowControl w:val="0"/>
        <w:rPr>
          <w:bCs/>
          <w:szCs w:val="22"/>
          <w:lang w:val="hu-HU"/>
        </w:rPr>
      </w:pPr>
    </w:p>
    <w:p w14:paraId="1438BF0C" w14:textId="77777777" w:rsidR="00835B06" w:rsidRDefault="004D03F7">
      <w:pPr>
        <w:rPr>
          <w:color w:val="000000"/>
          <w:szCs w:val="22"/>
          <w:lang w:val="hu-HU"/>
        </w:rPr>
      </w:pPr>
      <w:r>
        <w:rPr>
          <w:color w:val="000000"/>
          <w:szCs w:val="22"/>
          <w:lang w:val="hu-HU"/>
        </w:rPr>
        <w:t>Preklinikai vizsgálatokban kimutatták, hogy az ezetimib nem indukálja a citokróm P450 gyógyszermetabolizáló enzimeket. Az ezetimib és ismerten az 1A2, 2D6, 2C8, 2C9, valamint a 3A4 citokróm P450 izoenzimeken, illetve az N-acetiltranszferáz enzimen keresztül metabolizálódó gyógyszerek között nem észleltek klinikailag jelentős kölcsönhatásokat.</w:t>
      </w:r>
    </w:p>
    <w:p w14:paraId="6005E070" w14:textId="77777777" w:rsidR="00835B06" w:rsidRDefault="00835B06">
      <w:pPr>
        <w:widowControl w:val="0"/>
        <w:rPr>
          <w:szCs w:val="22"/>
          <w:lang w:val="hu-HU"/>
        </w:rPr>
      </w:pPr>
    </w:p>
    <w:p w14:paraId="5C80018D" w14:textId="77777777" w:rsidR="00835B06" w:rsidRDefault="004D03F7">
      <w:pPr>
        <w:rPr>
          <w:color w:val="000000"/>
          <w:szCs w:val="22"/>
          <w:lang w:val="hu-HU"/>
        </w:rPr>
      </w:pPr>
      <w:r>
        <w:rPr>
          <w:color w:val="000000"/>
          <w:szCs w:val="22"/>
          <w:lang w:val="hu-HU"/>
        </w:rPr>
        <w:t xml:space="preserve">Klinikai interakciós vizsgálatokban, együttadás esetén az ezetimib nem befolyásolta a dapszon, a dextrometorfán, a digoxin, az orális fogamzásgátlók (etinilösztradiol és levonorgesztrel), a glipizid, a </w:t>
      </w:r>
      <w:r>
        <w:rPr>
          <w:color w:val="000000"/>
          <w:spacing w:val="-4"/>
          <w:szCs w:val="22"/>
          <w:lang w:val="hu-HU"/>
        </w:rPr>
        <w:t>tolbutamid vagy a midazolám farmakokinetikáját. Az ezetimibbel együtt adott cimetidin nem befolyásolta</w:t>
      </w:r>
      <w:r>
        <w:rPr>
          <w:color w:val="000000"/>
          <w:szCs w:val="22"/>
          <w:lang w:val="hu-HU"/>
        </w:rPr>
        <w:t xml:space="preserve"> az ezetimib biohasznosulását.</w:t>
      </w:r>
    </w:p>
    <w:p w14:paraId="35C86866" w14:textId="77777777" w:rsidR="00835B06" w:rsidRDefault="00835B06">
      <w:pPr>
        <w:widowControl w:val="0"/>
        <w:tabs>
          <w:tab w:val="left" w:pos="567"/>
        </w:tabs>
        <w:rPr>
          <w:szCs w:val="22"/>
          <w:lang w:val="hu-HU"/>
        </w:rPr>
      </w:pPr>
    </w:p>
    <w:p w14:paraId="6459D34A" w14:textId="77777777" w:rsidR="00835B06" w:rsidRDefault="004D03F7">
      <w:pPr>
        <w:rPr>
          <w:color w:val="000000"/>
          <w:szCs w:val="22"/>
          <w:lang w:val="hu-HU"/>
        </w:rPr>
      </w:pPr>
      <w:r>
        <w:rPr>
          <w:i/>
          <w:szCs w:val="22"/>
          <w:lang w:val="hu-HU"/>
        </w:rPr>
        <w:t>Antacidok:</w:t>
      </w:r>
      <w:r>
        <w:rPr>
          <w:szCs w:val="22"/>
          <w:lang w:val="hu-HU"/>
        </w:rPr>
        <w:t xml:space="preserve"> </w:t>
      </w:r>
      <w:r>
        <w:rPr>
          <w:color w:val="000000"/>
          <w:szCs w:val="22"/>
          <w:lang w:val="hu-HU"/>
        </w:rPr>
        <w:t>Antacidokkal együtt adva az ezetimib felszívódásának üteme lassúbb, azonban az ezetimib biohasznosulása nem változik. A felszívódási sebesség csökkenésének feltehetően nincs klinikai jelentősége.</w:t>
      </w:r>
    </w:p>
    <w:p w14:paraId="650BAD99" w14:textId="77777777" w:rsidR="00835B06" w:rsidRDefault="00835B06">
      <w:pPr>
        <w:widowControl w:val="0"/>
        <w:tabs>
          <w:tab w:val="left" w:pos="567"/>
        </w:tabs>
        <w:rPr>
          <w:szCs w:val="22"/>
          <w:lang w:val="hu-HU"/>
        </w:rPr>
      </w:pPr>
    </w:p>
    <w:p w14:paraId="0C0FC01F" w14:textId="77777777" w:rsidR="00835B06" w:rsidRDefault="004D03F7">
      <w:pPr>
        <w:rPr>
          <w:color w:val="000000"/>
          <w:szCs w:val="22"/>
          <w:lang w:val="hu-HU"/>
        </w:rPr>
      </w:pPr>
      <w:r>
        <w:rPr>
          <w:i/>
          <w:szCs w:val="22"/>
          <w:lang w:val="hu-HU" w:eastAsia="en-US"/>
        </w:rPr>
        <w:t>Kolesztiramin:</w:t>
      </w:r>
      <w:r>
        <w:rPr>
          <w:szCs w:val="22"/>
          <w:lang w:val="hu-HU" w:eastAsia="en-US"/>
        </w:rPr>
        <w:t xml:space="preserve"> Az egyidejű alkalmazás k</w:t>
      </w:r>
      <w:r>
        <w:rPr>
          <w:color w:val="000000"/>
          <w:szCs w:val="22"/>
          <w:lang w:val="hu-HU"/>
        </w:rPr>
        <w:t xml:space="preserve">olesztiraminnal körülbelül 55%-kal csökkentette az összes ezetimib származék (ezetimib + ezetimib-glükuronid) AUC átlagértékét. A </w:t>
      </w:r>
      <w:r>
        <w:rPr>
          <w:szCs w:val="22"/>
          <w:lang w:val="hu-HU" w:eastAsia="en-US"/>
        </w:rPr>
        <w:t>Roxera Plus filmtabletta</w:t>
      </w:r>
      <w:r>
        <w:rPr>
          <w:color w:val="000000"/>
          <w:szCs w:val="22"/>
          <w:lang w:val="hu-HU"/>
        </w:rPr>
        <w:t xml:space="preserve"> és kolesztiramin kombinálásától várható nagyobb mértékű LDL-C- (alacsony denzitású lipoprotein) szint csökkenés ezen interakció miatt csökkenhet (lásd 4.2 pont).</w:t>
      </w:r>
    </w:p>
    <w:p w14:paraId="534A0A33" w14:textId="77777777" w:rsidR="00835B06" w:rsidRDefault="00835B06">
      <w:pPr>
        <w:rPr>
          <w:color w:val="000000"/>
          <w:szCs w:val="22"/>
          <w:lang w:val="hu-HU"/>
        </w:rPr>
      </w:pPr>
    </w:p>
    <w:p w14:paraId="5A76356C" w14:textId="77777777" w:rsidR="00835B06" w:rsidRDefault="004D03F7">
      <w:pPr>
        <w:rPr>
          <w:szCs w:val="22"/>
          <w:lang w:val="hu-HU" w:eastAsia="en-US"/>
        </w:rPr>
      </w:pPr>
      <w:r>
        <w:rPr>
          <w:i/>
          <w:color w:val="000000"/>
          <w:szCs w:val="22"/>
          <w:lang w:val="hu-HU"/>
        </w:rPr>
        <w:t>Fibrátok:</w:t>
      </w:r>
      <w:r>
        <w:rPr>
          <w:color w:val="000000"/>
          <w:szCs w:val="22"/>
          <w:lang w:val="hu-HU"/>
        </w:rPr>
        <w:t xml:space="preserve"> </w:t>
      </w:r>
      <w:r>
        <w:rPr>
          <w:szCs w:val="22"/>
          <w:lang w:val="hu-HU" w:eastAsia="en-US"/>
        </w:rPr>
        <w:t xml:space="preserve">Roxera Plus filmtablettát és fenofibrátot szedő betegek esetében </w:t>
      </w:r>
      <w:r>
        <w:rPr>
          <w:color w:val="000000"/>
          <w:szCs w:val="22"/>
          <w:lang w:val="hu-HU"/>
        </w:rPr>
        <w:t xml:space="preserve">a kezelőorvosnak tisztában kell lennie azzal, hogy fennáll a cholelithiasis és az epehólyag-betegség kialakulásának veszélye (lásd 4.4 és 4.8 pont). A </w:t>
      </w:r>
      <w:r>
        <w:rPr>
          <w:szCs w:val="22"/>
          <w:lang w:val="hu-HU" w:eastAsia="en-US"/>
        </w:rPr>
        <w:t>Roxera Plus filmtablettát és fenofibrátot egyidejűleg szedő betegeknél felmerülő cholelithiasis gyanúja esetén epehólyag vizsgálatokra van szükség és a terápiát meg kell szakítani (lásd 4.8 pont).</w:t>
      </w:r>
    </w:p>
    <w:p w14:paraId="03EC437C" w14:textId="77777777" w:rsidR="00835B06" w:rsidRDefault="004D03F7">
      <w:pPr>
        <w:widowControl w:val="0"/>
        <w:tabs>
          <w:tab w:val="left" w:pos="567"/>
        </w:tabs>
        <w:rPr>
          <w:szCs w:val="22"/>
          <w:lang w:val="hu-HU" w:eastAsia="en-US"/>
        </w:rPr>
      </w:pPr>
      <w:r>
        <w:rPr>
          <w:szCs w:val="22"/>
          <w:lang w:val="hu-HU" w:eastAsia="en-US"/>
        </w:rPr>
        <w:t>Fenofibrát, vagy gemfibrozil egyidejű alkalmazásakor kismértékben (kb. 1,5-, ill. 1,7-szeresére) nőtt az összezetimib-koncentráció. Az ezetimib és más fibrátok egyidejű alkalmazását nem vizsgálták.</w:t>
      </w:r>
    </w:p>
    <w:p w14:paraId="19E597F5" w14:textId="77777777" w:rsidR="00835B06" w:rsidRDefault="00835B06">
      <w:pPr>
        <w:rPr>
          <w:color w:val="000000"/>
          <w:szCs w:val="22"/>
          <w:lang w:val="hu-HU"/>
        </w:rPr>
      </w:pPr>
    </w:p>
    <w:p w14:paraId="1803566B" w14:textId="77777777" w:rsidR="00835B06" w:rsidRDefault="004D03F7">
      <w:pPr>
        <w:rPr>
          <w:color w:val="000000"/>
          <w:szCs w:val="22"/>
          <w:lang w:val="hu-HU"/>
        </w:rPr>
      </w:pPr>
      <w:r>
        <w:rPr>
          <w:color w:val="000000"/>
          <w:szCs w:val="22"/>
          <w:lang w:val="hu-HU"/>
        </w:rPr>
        <w:t xml:space="preserve">A fibrátok fokozhatják a koleszterin kiválasztását az epébe, ami cholelithiasishoz vezethet. Állatokon elvégzett vizsgálatokban, az ezetimib növelte az epehólyagban lévő epe koleszterin tartalmát, azonban nem minden állatfajnál (lásd 5.3 pont). Nem zárható ki, hogy a </w:t>
      </w:r>
      <w:r>
        <w:rPr>
          <w:szCs w:val="22"/>
          <w:lang w:val="hu-HU" w:eastAsia="en-US"/>
        </w:rPr>
        <w:t>Roxera Plus filmtabletta</w:t>
      </w:r>
      <w:r>
        <w:rPr>
          <w:color w:val="000000"/>
          <w:szCs w:val="22"/>
          <w:lang w:val="hu-HU"/>
        </w:rPr>
        <w:t xml:space="preserve"> terápiás alkalmazása epekőképződés kockázatával jár.</w:t>
      </w:r>
    </w:p>
    <w:p w14:paraId="5316F420" w14:textId="77777777" w:rsidR="00835B06" w:rsidRDefault="00835B06">
      <w:pPr>
        <w:rPr>
          <w:color w:val="000000"/>
          <w:szCs w:val="22"/>
          <w:lang w:val="hu-HU"/>
        </w:rPr>
      </w:pPr>
    </w:p>
    <w:p w14:paraId="32A064BD" w14:textId="77777777" w:rsidR="00835B06" w:rsidRDefault="004D03F7">
      <w:pPr>
        <w:rPr>
          <w:color w:val="000000"/>
          <w:szCs w:val="22"/>
          <w:lang w:val="hu-HU"/>
        </w:rPr>
      </w:pPr>
      <w:r>
        <w:rPr>
          <w:i/>
          <w:szCs w:val="22"/>
          <w:lang w:val="hu-HU" w:eastAsia="en-US"/>
        </w:rPr>
        <w:t>Ciklosporin:</w:t>
      </w:r>
      <w:r>
        <w:rPr>
          <w:szCs w:val="22"/>
          <w:lang w:val="hu-HU" w:eastAsia="en-US"/>
        </w:rPr>
        <w:t xml:space="preserve"> </w:t>
      </w:r>
      <w:r>
        <w:rPr>
          <w:color w:val="000000"/>
          <w:szCs w:val="22"/>
          <w:lang w:val="hu-HU"/>
        </w:rPr>
        <w:t>8, veseátültetés után lévő, állandó dózisú ciklosporinnal kezelt betegekkel (kreatitin</w:t>
      </w:r>
      <w:r>
        <w:rPr>
          <w:color w:val="000000"/>
          <w:szCs w:val="22"/>
          <w:lang w:val="hu-HU"/>
        </w:rPr>
        <w:noBreakHyphen/>
        <w:t>clearance </w:t>
      </w:r>
      <w:r>
        <w:rPr>
          <w:color w:val="000000"/>
          <w:szCs w:val="22"/>
          <w:lang w:val="hu-HU"/>
        </w:rPr>
        <w:sym w:font="Symbol" w:char="F03E"/>
      </w:r>
      <w:r>
        <w:rPr>
          <w:color w:val="000000"/>
          <w:szCs w:val="22"/>
          <w:lang w:val="hu-HU"/>
        </w:rPr>
        <w:t> 50 ml/perc) végzett vizsgálatban, az ezetimib 10 mg-os dózisának egyszeri alkalmazását követően az össz-ezetimibre vonatkozó görbe alatti terület (AUC) átlaga mintegy 3,4</w:t>
      </w:r>
      <w:r>
        <w:rPr>
          <w:color w:val="000000"/>
          <w:szCs w:val="22"/>
          <w:lang w:val="hu-HU"/>
        </w:rPr>
        <w:noBreakHyphen/>
        <w:t>szer (2,3</w:t>
      </w:r>
      <w:r>
        <w:rPr>
          <w:color w:val="000000"/>
          <w:szCs w:val="22"/>
          <w:lang w:val="hu-HU"/>
        </w:rPr>
        <w:noBreakHyphen/>
        <w:t>7,9</w:t>
      </w:r>
      <w:r>
        <w:rPr>
          <w:color w:val="000000"/>
          <w:szCs w:val="22"/>
          <w:lang w:val="hu-HU"/>
        </w:rPr>
        <w:noBreakHyphen/>
        <w:t>szeres tartományban) nagyobb volt, mint egy másik vizsgálatban lévő egészséges egyéneknél (n = 17). Egy másik vizsgálatban, veseátültetés után lévő, súlyos vesekárosodásban szenvedő, több gyógyszerrel, egyebek mellett ciklosporinnal is kezelt beteg összezetimib expozíciója 12-szeresre nőtt a csak ezetimibbel kezelt párhuzamos kontrollokhoz képest. Egy kétszakaszos keresztezett vizsgálatban 12 egészséges alany 8 napon át napi 20 mg ezetimibet kapott, a 7. napon pedig egyszeri 100 mg ciklosporint. A vizsgálat során a ciklosporin AUC-értékének átlagosan 15%-os növekedését figyelték meg (a 10%</w:t>
      </w:r>
      <w:r>
        <w:rPr>
          <w:color w:val="000000"/>
          <w:szCs w:val="22"/>
          <w:lang w:val="hu-HU"/>
        </w:rPr>
        <w:noBreakHyphen/>
        <w:t>os csökkenés és 51%-os növekedés tartományban) a kizárólag napi egyszeri 100 mg ciklosporin alkalmazásával összehasonlítva. Vesetranszplantált betegek esetében az ezetimibbel együttesen alkalmazott ciklosporin expozíciójának hatásáról kontrollos vizsgálatot nem végeztek. A Roxera Plus egyidejű alkalmazása ciklosporint szedő betegeknek ellenjavallt (lásd 4.3 pont).</w:t>
      </w:r>
    </w:p>
    <w:p w14:paraId="4E457CD4" w14:textId="77777777" w:rsidR="00835B06" w:rsidRDefault="00835B06">
      <w:pPr>
        <w:widowControl w:val="0"/>
        <w:tabs>
          <w:tab w:val="left" w:pos="567"/>
        </w:tabs>
        <w:rPr>
          <w:szCs w:val="22"/>
          <w:lang w:val="hu-HU" w:eastAsia="en-US"/>
        </w:rPr>
      </w:pPr>
    </w:p>
    <w:p w14:paraId="5AD2A682" w14:textId="77777777" w:rsidR="00835B06" w:rsidRDefault="004D03F7">
      <w:pPr>
        <w:widowControl w:val="0"/>
        <w:tabs>
          <w:tab w:val="left" w:pos="567"/>
        </w:tabs>
        <w:rPr>
          <w:szCs w:val="22"/>
          <w:lang w:val="hu-HU" w:eastAsia="en-US"/>
        </w:rPr>
      </w:pPr>
      <w:r>
        <w:rPr>
          <w:i/>
          <w:szCs w:val="22"/>
          <w:lang w:val="hu-HU" w:eastAsia="en-US"/>
        </w:rPr>
        <w:t>Antikoagulánsok:</w:t>
      </w:r>
      <w:r>
        <w:rPr>
          <w:szCs w:val="22"/>
          <w:lang w:val="hu-HU" w:eastAsia="en-US"/>
        </w:rPr>
        <w:t xml:space="preserve"> Napi egyszeri 10 mg ezetimib együttes adása nem volt hatással a warfarin biohasznosíthatóságára és a protrombinidőre egy 12 egészséges, felnőtt férfin végzett vizsgálatban. A forgalomba hozatalt követően azonban beszámoltak a nemzetközi normalizált arány (INR) növekedéséről olyan betegek esetében, akiknél ezetimibet és warfarint, illetve fluindiont együttesen alkalmaztak. Amennyiben a Roxera Plus-t warfarinnal, egyéb kumarin-típusú véralvadásgátlóval vagy fluindionnal alkalmazzák egyidejűleg, az INR-értéket megfelelően ellenőrizni kell (lásd 4.4 pont).</w:t>
      </w:r>
    </w:p>
    <w:p w14:paraId="5E4AACBB" w14:textId="77777777" w:rsidR="00835B06" w:rsidRDefault="00835B06">
      <w:pPr>
        <w:widowControl w:val="0"/>
        <w:tabs>
          <w:tab w:val="left" w:pos="567"/>
        </w:tabs>
        <w:rPr>
          <w:szCs w:val="22"/>
          <w:lang w:val="hu-HU" w:eastAsia="en-US"/>
        </w:rPr>
      </w:pPr>
    </w:p>
    <w:p w14:paraId="71D16429" w14:textId="77777777" w:rsidR="00835B06" w:rsidRDefault="004D03F7">
      <w:pPr>
        <w:keepNext/>
        <w:keepLines/>
        <w:widowControl w:val="0"/>
        <w:tabs>
          <w:tab w:val="left" w:pos="567"/>
        </w:tabs>
        <w:rPr>
          <w:szCs w:val="22"/>
          <w:lang w:val="hu-HU" w:eastAsia="en-US"/>
        </w:rPr>
      </w:pPr>
      <w:r>
        <w:rPr>
          <w:b/>
          <w:szCs w:val="22"/>
          <w:lang w:val="hu-HU" w:eastAsia="en-US"/>
        </w:rPr>
        <w:t>4.6</w:t>
      </w:r>
      <w:r>
        <w:rPr>
          <w:b/>
          <w:szCs w:val="22"/>
          <w:lang w:val="hu-HU" w:eastAsia="en-US"/>
        </w:rPr>
        <w:tab/>
      </w:r>
      <w:r>
        <w:rPr>
          <w:b/>
          <w:bCs/>
          <w:szCs w:val="22"/>
          <w:lang w:val="hu-HU" w:eastAsia="en-US"/>
        </w:rPr>
        <w:t>Termékenység, terhesség és szoptatás</w:t>
      </w:r>
    </w:p>
    <w:p w14:paraId="08FC7E1F" w14:textId="77777777" w:rsidR="00835B06" w:rsidRPr="002B2396" w:rsidRDefault="00835B06">
      <w:pPr>
        <w:keepNext/>
        <w:keepLines/>
        <w:widowControl w:val="0"/>
        <w:tabs>
          <w:tab w:val="left" w:pos="567"/>
        </w:tabs>
        <w:rPr>
          <w:bCs/>
          <w:szCs w:val="22"/>
          <w:lang w:val="hu-HU" w:eastAsia="en-US"/>
        </w:rPr>
      </w:pPr>
    </w:p>
    <w:p w14:paraId="597F1D3D" w14:textId="77777777" w:rsidR="00835B06" w:rsidRDefault="004D03F7">
      <w:pPr>
        <w:widowControl w:val="0"/>
        <w:autoSpaceDE w:val="0"/>
        <w:autoSpaceDN w:val="0"/>
        <w:adjustRightInd w:val="0"/>
        <w:rPr>
          <w:szCs w:val="22"/>
          <w:lang w:val="hu-HU" w:eastAsia="en-US"/>
        </w:rPr>
      </w:pPr>
      <w:r>
        <w:rPr>
          <w:spacing w:val="-2"/>
          <w:szCs w:val="22"/>
          <w:lang w:val="hu-HU" w:eastAsia="en-US"/>
        </w:rPr>
        <w:t>A Roxera Plus filmtabletta alkalmazása ellenjavallt a terhesség és szoptatás</w:t>
      </w:r>
      <w:r>
        <w:rPr>
          <w:szCs w:val="22"/>
          <w:lang w:val="hu-HU" w:eastAsia="en-US"/>
        </w:rPr>
        <w:t xml:space="preserve"> ideje alatt (lásd 4.3 pont).</w:t>
      </w:r>
    </w:p>
    <w:p w14:paraId="7C918CEA" w14:textId="77777777" w:rsidR="00835B06" w:rsidRDefault="004D03F7">
      <w:pPr>
        <w:widowControl w:val="0"/>
        <w:autoSpaceDE w:val="0"/>
        <w:autoSpaceDN w:val="0"/>
        <w:adjustRightInd w:val="0"/>
        <w:rPr>
          <w:color w:val="000000"/>
          <w:szCs w:val="22"/>
          <w:lang w:val="hu-HU"/>
        </w:rPr>
      </w:pPr>
      <w:r>
        <w:rPr>
          <w:color w:val="000000"/>
          <w:szCs w:val="22"/>
          <w:lang w:val="hu-HU"/>
        </w:rPr>
        <w:t>A fogamzóképes nőknek megfelelő fogamzásgátló módszert kell alkalmazniuk.</w:t>
      </w:r>
    </w:p>
    <w:p w14:paraId="76D7F274" w14:textId="77777777" w:rsidR="00835B06" w:rsidRDefault="00835B06">
      <w:pPr>
        <w:widowControl w:val="0"/>
        <w:autoSpaceDE w:val="0"/>
        <w:autoSpaceDN w:val="0"/>
        <w:adjustRightInd w:val="0"/>
        <w:rPr>
          <w:szCs w:val="22"/>
          <w:lang w:val="hu-HU" w:eastAsia="en-US"/>
        </w:rPr>
      </w:pPr>
    </w:p>
    <w:p w14:paraId="557D394F" w14:textId="77777777" w:rsidR="00835B06" w:rsidRDefault="004D03F7">
      <w:pPr>
        <w:widowControl w:val="0"/>
        <w:autoSpaceDE w:val="0"/>
        <w:autoSpaceDN w:val="0"/>
        <w:adjustRightInd w:val="0"/>
        <w:rPr>
          <w:color w:val="000000"/>
          <w:szCs w:val="22"/>
          <w:u w:val="single"/>
          <w:lang w:val="hu-HU"/>
        </w:rPr>
      </w:pPr>
      <w:r>
        <w:rPr>
          <w:color w:val="000000"/>
          <w:szCs w:val="22"/>
          <w:u w:val="single"/>
          <w:lang w:val="hu-HU"/>
        </w:rPr>
        <w:t>Terhesség</w:t>
      </w:r>
    </w:p>
    <w:p w14:paraId="400C7E91" w14:textId="77777777" w:rsidR="00835B06" w:rsidRDefault="00835B06">
      <w:pPr>
        <w:widowControl w:val="0"/>
        <w:autoSpaceDE w:val="0"/>
        <w:autoSpaceDN w:val="0"/>
        <w:adjustRightInd w:val="0"/>
        <w:rPr>
          <w:color w:val="000000"/>
          <w:szCs w:val="22"/>
          <w:u w:val="single"/>
          <w:lang w:val="hu-HU"/>
        </w:rPr>
      </w:pPr>
    </w:p>
    <w:p w14:paraId="3A60459C" w14:textId="77777777" w:rsidR="00835B06" w:rsidRDefault="004D03F7">
      <w:pPr>
        <w:widowControl w:val="0"/>
        <w:autoSpaceDE w:val="0"/>
        <w:autoSpaceDN w:val="0"/>
        <w:adjustRightInd w:val="0"/>
        <w:rPr>
          <w:color w:val="000000"/>
          <w:szCs w:val="22"/>
          <w:u w:val="single"/>
          <w:lang w:val="hu-HU"/>
        </w:rPr>
      </w:pPr>
      <w:r>
        <w:rPr>
          <w:color w:val="000000"/>
          <w:szCs w:val="22"/>
          <w:u w:val="single"/>
          <w:lang w:val="hu-HU"/>
        </w:rPr>
        <w:t>Rozuvasztatin</w:t>
      </w:r>
    </w:p>
    <w:p w14:paraId="1A5B4FB6" w14:textId="77777777" w:rsidR="00835B06" w:rsidRDefault="004D03F7">
      <w:pPr>
        <w:pStyle w:val="Szvegtrzs"/>
        <w:rPr>
          <w:szCs w:val="22"/>
          <w:lang w:val="hu-HU"/>
        </w:rPr>
      </w:pPr>
      <w:r>
        <w:rPr>
          <w:szCs w:val="22"/>
          <w:lang w:val="hu-HU"/>
        </w:rPr>
        <w:t>Mivel a koleszterin és egyéb, a koleszterin bioszintézisének eredményeképpen létrejövő közti termékek a magzat fejlődéséhez nélkülözhetetlenek, a HMG-CoA-reduktáz gátlásból eredő potenciális kockázat meghaladja a terápia előnyeit a terhesség ideje alatt. Állatokon végzett kísérletekből korlátozott számú adat áll rendelkezésre a reproduktív toxicitásra vonatkozóan (lásd 5.3 pont). Amennyiben a Roxera Plus-terápia ideje alatt a beteg teherbe esik, a kezelést azonnal fel kell függeszteni.</w:t>
      </w:r>
    </w:p>
    <w:p w14:paraId="3C0DAB05" w14:textId="77777777" w:rsidR="00835B06" w:rsidRDefault="00835B06">
      <w:pPr>
        <w:widowControl w:val="0"/>
        <w:autoSpaceDE w:val="0"/>
        <w:autoSpaceDN w:val="0"/>
        <w:adjustRightInd w:val="0"/>
        <w:rPr>
          <w:szCs w:val="22"/>
          <w:lang w:val="hu-HU" w:eastAsia="en-US"/>
        </w:rPr>
      </w:pPr>
    </w:p>
    <w:p w14:paraId="7366B79B" w14:textId="77777777" w:rsidR="00835B06" w:rsidRDefault="004D03F7">
      <w:pPr>
        <w:widowControl w:val="0"/>
        <w:autoSpaceDE w:val="0"/>
        <w:autoSpaceDN w:val="0"/>
        <w:adjustRightInd w:val="0"/>
        <w:rPr>
          <w:szCs w:val="22"/>
          <w:lang w:val="hu-HU" w:eastAsia="en-US"/>
        </w:rPr>
      </w:pPr>
      <w:r>
        <w:rPr>
          <w:szCs w:val="22"/>
          <w:u w:val="single"/>
          <w:lang w:val="hu-HU" w:eastAsia="en-US"/>
        </w:rPr>
        <w:t>Ezetimib</w:t>
      </w:r>
    </w:p>
    <w:p w14:paraId="469E9883" w14:textId="77777777" w:rsidR="00835B06" w:rsidRDefault="004D03F7">
      <w:pPr>
        <w:widowControl w:val="0"/>
        <w:autoSpaceDE w:val="0"/>
        <w:autoSpaceDN w:val="0"/>
        <w:adjustRightInd w:val="0"/>
        <w:rPr>
          <w:color w:val="000000"/>
          <w:szCs w:val="22"/>
          <w:lang w:val="hu-HU"/>
        </w:rPr>
      </w:pPr>
      <w:r>
        <w:rPr>
          <w:szCs w:val="22"/>
          <w:lang w:val="hu-HU" w:eastAsia="en-US"/>
        </w:rPr>
        <w:t>Az ezetimib terhesség alatti alkalmazásáról nem állnak rendelkezésre klinikai adatok. Állatokon végzett kísérletek során a monoterápiában alkalmazott ezetimib sem közvetlen, sem közvetett módon nem gyakorolt káros hatást a terhesség lefolyására, a magzati fejlődésre, a szülésre és a születés utáni fejlődésre (lásd 5.3 pont).</w:t>
      </w:r>
    </w:p>
    <w:p w14:paraId="4D4DC64F" w14:textId="77777777" w:rsidR="00835B06" w:rsidRDefault="00835B06">
      <w:pPr>
        <w:widowControl w:val="0"/>
        <w:autoSpaceDE w:val="0"/>
        <w:autoSpaceDN w:val="0"/>
        <w:adjustRightInd w:val="0"/>
        <w:rPr>
          <w:color w:val="000000"/>
          <w:szCs w:val="22"/>
          <w:lang w:val="hu-HU"/>
        </w:rPr>
      </w:pPr>
    </w:p>
    <w:p w14:paraId="3BBDB40B" w14:textId="77777777" w:rsidR="00835B06" w:rsidRDefault="004D03F7">
      <w:pPr>
        <w:widowControl w:val="0"/>
        <w:autoSpaceDE w:val="0"/>
        <w:autoSpaceDN w:val="0"/>
        <w:adjustRightInd w:val="0"/>
        <w:rPr>
          <w:color w:val="000000"/>
          <w:szCs w:val="22"/>
          <w:u w:val="single"/>
          <w:lang w:val="hu-HU"/>
        </w:rPr>
      </w:pPr>
      <w:r>
        <w:rPr>
          <w:color w:val="000000"/>
          <w:szCs w:val="22"/>
          <w:u w:val="single"/>
          <w:lang w:val="hu-HU"/>
        </w:rPr>
        <w:t>Szoptatás</w:t>
      </w:r>
    </w:p>
    <w:p w14:paraId="77B0E0AF" w14:textId="3105CC28" w:rsidR="00835B06" w:rsidRDefault="004D03F7">
      <w:pPr>
        <w:widowControl w:val="0"/>
        <w:tabs>
          <w:tab w:val="left" w:pos="567"/>
        </w:tabs>
        <w:rPr>
          <w:szCs w:val="22"/>
          <w:lang w:val="hu-HU"/>
        </w:rPr>
      </w:pPr>
      <w:r>
        <w:rPr>
          <w:szCs w:val="22"/>
          <w:lang w:val="hu-HU" w:eastAsia="en-US"/>
        </w:rPr>
        <w:t>A Roxera Plus filmtabletta ellenjavallt a szoptatás alatt. A rendelkezésre álló korlátozott adatok alapján a rozuvasztatin jelen van az anyatejben</w:t>
      </w:r>
      <w:r>
        <w:rPr>
          <w:szCs w:val="22"/>
          <w:lang w:val="hu-HU"/>
        </w:rPr>
        <w:t>. A rozuvasztatin patkányoknál kiválasztódik az anyatejbe. A rozuvasztatin hatásmechanizmusa miatt fennáll a mellékhatás kockázata a csecsemőnél.</w:t>
      </w:r>
    </w:p>
    <w:p w14:paraId="57A89FD8" w14:textId="77777777" w:rsidR="00835B06" w:rsidRDefault="00835B06">
      <w:pPr>
        <w:widowControl w:val="0"/>
        <w:tabs>
          <w:tab w:val="left" w:pos="567"/>
        </w:tabs>
        <w:rPr>
          <w:szCs w:val="22"/>
          <w:lang w:val="hu-HU" w:eastAsia="en-US"/>
        </w:rPr>
      </w:pPr>
    </w:p>
    <w:p w14:paraId="7B090E7C" w14:textId="77777777" w:rsidR="00835B06" w:rsidRDefault="004D03F7">
      <w:pPr>
        <w:widowControl w:val="0"/>
        <w:tabs>
          <w:tab w:val="left" w:pos="567"/>
        </w:tabs>
        <w:rPr>
          <w:szCs w:val="22"/>
          <w:lang w:val="hu-HU" w:eastAsia="en-US"/>
        </w:rPr>
      </w:pPr>
      <w:r>
        <w:rPr>
          <w:szCs w:val="22"/>
          <w:lang w:val="hu-HU" w:eastAsia="en-US"/>
        </w:rPr>
        <w:t>Patkányokkal végzett vizsgálatok eredménye szerint az ezetimib kiválasztódik a tejjel. Az ezetimib humán anyatejbe történő kiválasztódására vonatkozóan nincs adat.</w:t>
      </w:r>
    </w:p>
    <w:p w14:paraId="257DB644" w14:textId="77777777" w:rsidR="00835B06" w:rsidRDefault="00835B06">
      <w:pPr>
        <w:widowControl w:val="0"/>
        <w:tabs>
          <w:tab w:val="left" w:pos="567"/>
        </w:tabs>
        <w:rPr>
          <w:szCs w:val="22"/>
          <w:lang w:val="hu-HU" w:eastAsia="en-US"/>
        </w:rPr>
      </w:pPr>
    </w:p>
    <w:p w14:paraId="62C6150F" w14:textId="77777777" w:rsidR="00835B06" w:rsidRDefault="004D03F7">
      <w:pPr>
        <w:widowControl w:val="0"/>
        <w:tabs>
          <w:tab w:val="left" w:pos="567"/>
        </w:tabs>
        <w:rPr>
          <w:szCs w:val="22"/>
          <w:u w:val="single"/>
          <w:lang w:val="hu-HU" w:eastAsia="en-US"/>
        </w:rPr>
      </w:pPr>
      <w:r>
        <w:rPr>
          <w:szCs w:val="22"/>
          <w:u w:val="single"/>
          <w:lang w:val="hu-HU" w:eastAsia="en-US"/>
        </w:rPr>
        <w:t>Termékenység</w:t>
      </w:r>
    </w:p>
    <w:p w14:paraId="6422CFCA" w14:textId="77777777" w:rsidR="00835B06" w:rsidRDefault="004D03F7">
      <w:pPr>
        <w:widowControl w:val="0"/>
        <w:rPr>
          <w:color w:val="000000"/>
          <w:szCs w:val="22"/>
          <w:lang w:val="hu-HU"/>
        </w:rPr>
      </w:pPr>
      <w:r>
        <w:rPr>
          <w:color w:val="000000"/>
          <w:szCs w:val="22"/>
          <w:lang w:val="hu-HU"/>
        </w:rPr>
        <w:t>Az ezetimib humán termékenységre gyakorolt hatására vonatkozóan nem állnak rendelkezésre klinikai vizsgálati adatok. Az ezetimib nem volt hatással a hím és a nőstény patkányok termékenyítő, ill. fogamzóképességére (lásd 5.3 pont).</w:t>
      </w:r>
    </w:p>
    <w:p w14:paraId="268A7571" w14:textId="77777777" w:rsidR="00835B06" w:rsidRPr="002B2396" w:rsidRDefault="00835B06">
      <w:pPr>
        <w:widowControl w:val="0"/>
        <w:tabs>
          <w:tab w:val="left" w:pos="567"/>
        </w:tabs>
        <w:rPr>
          <w:bCs/>
          <w:szCs w:val="22"/>
          <w:lang w:val="hu-HU" w:eastAsia="en-US"/>
        </w:rPr>
      </w:pPr>
    </w:p>
    <w:p w14:paraId="28C82999" w14:textId="77777777" w:rsidR="00835B06" w:rsidRDefault="004D03F7">
      <w:pPr>
        <w:widowControl w:val="0"/>
        <w:tabs>
          <w:tab w:val="left" w:pos="567"/>
        </w:tabs>
        <w:rPr>
          <w:szCs w:val="22"/>
          <w:lang w:val="hu-HU" w:eastAsia="en-US"/>
        </w:rPr>
      </w:pPr>
      <w:r>
        <w:rPr>
          <w:b/>
          <w:szCs w:val="22"/>
          <w:lang w:val="hu-HU" w:eastAsia="en-US"/>
        </w:rPr>
        <w:t>4.7</w:t>
      </w:r>
      <w:r>
        <w:rPr>
          <w:b/>
          <w:szCs w:val="22"/>
          <w:lang w:val="hu-HU" w:eastAsia="en-US"/>
        </w:rPr>
        <w:tab/>
        <w:t>A készítmény hatásai a gépjárművezetéshez és a gépek kezeléséhez szükséges képességekre</w:t>
      </w:r>
    </w:p>
    <w:p w14:paraId="21F0993E" w14:textId="77777777" w:rsidR="00835B06" w:rsidRDefault="00835B06">
      <w:pPr>
        <w:widowControl w:val="0"/>
        <w:tabs>
          <w:tab w:val="left" w:pos="567"/>
        </w:tabs>
        <w:rPr>
          <w:szCs w:val="22"/>
          <w:lang w:val="hu-HU" w:eastAsia="en-US"/>
        </w:rPr>
      </w:pPr>
    </w:p>
    <w:p w14:paraId="26339E04" w14:textId="77777777" w:rsidR="00835B06" w:rsidRDefault="004D03F7">
      <w:pPr>
        <w:rPr>
          <w:szCs w:val="22"/>
          <w:lang w:val="hu-HU"/>
        </w:rPr>
      </w:pPr>
      <w:r>
        <w:rPr>
          <w:szCs w:val="22"/>
          <w:lang w:val="hu-HU"/>
        </w:rPr>
        <w:t xml:space="preserve">Nem végeztek vizsgálatot arra vonatkozóan, hogy a rozuvasztatin, vagy az ezetimib milyen hatással </w:t>
      </w:r>
      <w:r>
        <w:rPr>
          <w:spacing w:val="-4"/>
          <w:szCs w:val="22"/>
          <w:lang w:val="hu-HU"/>
        </w:rPr>
        <w:t>van a gépjárművezetéshez és a gépek kezeléséhez szükséges képességekre. Ugyanakkor farmakodinámiás</w:t>
      </w:r>
      <w:r>
        <w:rPr>
          <w:szCs w:val="22"/>
          <w:lang w:val="hu-HU"/>
        </w:rPr>
        <w:t xml:space="preserve"> tulajdonságai alapján a rozuvasztatin valószínűleg nem befolyásolja ezeket a képességeket. Gépjárművezetés és a gépek kezelése során figyelembe kell venni, hogy a rozuvasztatin alkalmazása során szédülésről számoltak be.</w:t>
      </w:r>
    </w:p>
    <w:p w14:paraId="2541C5AA" w14:textId="77777777" w:rsidR="00835B06" w:rsidRDefault="00835B06">
      <w:pPr>
        <w:widowControl w:val="0"/>
        <w:rPr>
          <w:szCs w:val="22"/>
          <w:lang w:val="hu-HU" w:eastAsia="en-US"/>
        </w:rPr>
      </w:pPr>
    </w:p>
    <w:p w14:paraId="6748C5CD" w14:textId="77777777" w:rsidR="00835B06" w:rsidRDefault="004D03F7">
      <w:pPr>
        <w:widowControl w:val="0"/>
        <w:tabs>
          <w:tab w:val="left" w:pos="567"/>
        </w:tabs>
        <w:rPr>
          <w:b/>
          <w:bCs/>
          <w:szCs w:val="22"/>
          <w:lang w:val="hu-HU" w:eastAsia="en-US"/>
        </w:rPr>
      </w:pPr>
      <w:r>
        <w:rPr>
          <w:b/>
          <w:bCs/>
          <w:szCs w:val="22"/>
          <w:lang w:val="hu-HU" w:eastAsia="en-US"/>
        </w:rPr>
        <w:t>4.8</w:t>
      </w:r>
      <w:r>
        <w:rPr>
          <w:b/>
          <w:bCs/>
          <w:szCs w:val="22"/>
          <w:lang w:val="hu-HU" w:eastAsia="en-US"/>
        </w:rPr>
        <w:tab/>
        <w:t>Nemkívánatos hatások, mellékhatások</w:t>
      </w:r>
    </w:p>
    <w:p w14:paraId="6DD92868" w14:textId="77777777" w:rsidR="00835B06" w:rsidRDefault="00835B06">
      <w:pPr>
        <w:widowControl w:val="0"/>
        <w:tabs>
          <w:tab w:val="left" w:pos="567"/>
        </w:tabs>
        <w:rPr>
          <w:szCs w:val="22"/>
          <w:lang w:val="hu-HU" w:eastAsia="en-US"/>
        </w:rPr>
      </w:pPr>
    </w:p>
    <w:p w14:paraId="3EEFFCF1" w14:textId="77777777" w:rsidR="00835B06" w:rsidRDefault="004D03F7">
      <w:pPr>
        <w:numPr>
          <w:ilvl w:val="0"/>
          <w:numId w:val="45"/>
        </w:numPr>
        <w:ind w:left="567"/>
        <w:rPr>
          <w:szCs w:val="22"/>
          <w:lang w:val="hu-HU"/>
        </w:rPr>
      </w:pPr>
      <w:r>
        <w:rPr>
          <w:szCs w:val="22"/>
          <w:lang w:val="hu-HU"/>
        </w:rPr>
        <w:t xml:space="preserve">Nagyon gyakori (≥ 1/10); </w:t>
      </w:r>
    </w:p>
    <w:p w14:paraId="17C77767" w14:textId="77777777" w:rsidR="00835B06" w:rsidRDefault="004D03F7">
      <w:pPr>
        <w:numPr>
          <w:ilvl w:val="0"/>
          <w:numId w:val="45"/>
        </w:numPr>
        <w:ind w:left="567"/>
        <w:rPr>
          <w:szCs w:val="22"/>
          <w:lang w:val="hu-HU"/>
        </w:rPr>
      </w:pPr>
      <w:r>
        <w:rPr>
          <w:szCs w:val="22"/>
          <w:lang w:val="hu-HU"/>
        </w:rPr>
        <w:t>Gyakori (≥ 1/100 - &lt; 1/10);</w:t>
      </w:r>
    </w:p>
    <w:p w14:paraId="5A3C79B1" w14:textId="77777777" w:rsidR="00835B06" w:rsidRDefault="004D03F7">
      <w:pPr>
        <w:numPr>
          <w:ilvl w:val="0"/>
          <w:numId w:val="45"/>
        </w:numPr>
        <w:ind w:left="567"/>
        <w:rPr>
          <w:szCs w:val="22"/>
          <w:lang w:val="hu-HU"/>
        </w:rPr>
      </w:pPr>
      <w:r>
        <w:rPr>
          <w:szCs w:val="22"/>
          <w:lang w:val="hu-HU"/>
        </w:rPr>
        <w:t>Nem gyakori (≥ 1/1000 - &lt; 1/100);</w:t>
      </w:r>
    </w:p>
    <w:p w14:paraId="5D155BE2" w14:textId="77777777" w:rsidR="00835B06" w:rsidRDefault="004D03F7">
      <w:pPr>
        <w:numPr>
          <w:ilvl w:val="0"/>
          <w:numId w:val="45"/>
        </w:numPr>
        <w:ind w:left="567"/>
        <w:rPr>
          <w:szCs w:val="22"/>
          <w:lang w:val="hu-HU"/>
        </w:rPr>
      </w:pPr>
      <w:r>
        <w:rPr>
          <w:szCs w:val="22"/>
          <w:lang w:val="hu-HU"/>
        </w:rPr>
        <w:t>Ritka (≥ 1/10 000 - &lt; 1/1000),</w:t>
      </w:r>
    </w:p>
    <w:p w14:paraId="1772CC1D" w14:textId="77777777" w:rsidR="00835B06" w:rsidRDefault="004D03F7">
      <w:pPr>
        <w:numPr>
          <w:ilvl w:val="0"/>
          <w:numId w:val="45"/>
        </w:numPr>
        <w:ind w:left="567"/>
        <w:rPr>
          <w:szCs w:val="22"/>
          <w:lang w:val="hu-HU"/>
        </w:rPr>
      </w:pPr>
      <w:r>
        <w:rPr>
          <w:szCs w:val="22"/>
          <w:lang w:val="hu-HU"/>
        </w:rPr>
        <w:t>Nagyon ritka (&lt; 1/10 000)</w:t>
      </w:r>
    </w:p>
    <w:p w14:paraId="2A0D344D" w14:textId="77777777" w:rsidR="00835B06" w:rsidRDefault="004D03F7">
      <w:pPr>
        <w:numPr>
          <w:ilvl w:val="0"/>
          <w:numId w:val="45"/>
        </w:numPr>
        <w:ind w:left="567"/>
        <w:rPr>
          <w:szCs w:val="22"/>
          <w:lang w:val="hu-HU"/>
        </w:rPr>
      </w:pPr>
      <w:r>
        <w:rPr>
          <w:szCs w:val="22"/>
          <w:lang w:val="hu-HU"/>
        </w:rPr>
        <w:t>Nem ismert (a gyakoriság a rendelkezésre álló adatokból nem állapítható meg).</w:t>
      </w:r>
    </w:p>
    <w:p w14:paraId="579C378D" w14:textId="77777777" w:rsidR="00835B06" w:rsidRDefault="00835B06">
      <w:pPr>
        <w:widowControl w:val="0"/>
        <w:tabs>
          <w:tab w:val="left" w:pos="567"/>
        </w:tabs>
        <w:rPr>
          <w:iCs/>
          <w:szCs w:val="22"/>
          <w:lang w:val="hu-HU" w:eastAsia="en-US"/>
        </w:rPr>
      </w:pPr>
    </w:p>
    <w:p w14:paraId="1F0C044D" w14:textId="77777777" w:rsidR="00835B06" w:rsidRDefault="004D03F7">
      <w:pPr>
        <w:rPr>
          <w:szCs w:val="22"/>
          <w:u w:val="single"/>
          <w:lang w:val="hu-HU"/>
        </w:rPr>
      </w:pPr>
      <w:r>
        <w:rPr>
          <w:szCs w:val="22"/>
          <w:u w:val="single"/>
          <w:lang w:val="hu-HU"/>
        </w:rPr>
        <w:t>A biztonságossági jellemzők összefoglalása</w:t>
      </w:r>
    </w:p>
    <w:p w14:paraId="2B0DBCEA" w14:textId="77777777" w:rsidR="00835B06" w:rsidRDefault="004D03F7">
      <w:pPr>
        <w:rPr>
          <w:szCs w:val="22"/>
          <w:lang w:val="hu-HU"/>
        </w:rPr>
      </w:pPr>
      <w:r>
        <w:rPr>
          <w:szCs w:val="22"/>
          <w:lang w:val="hu-HU"/>
        </w:rPr>
        <w:t>A rozuvasztatin alkalmazásakor tapasztalt mellékhatások rendszerint enyhék és átmenetiek. A kontrollos klinikai vizsgálatokban rozuvasztatinnal kezelt betegek kevesebb mint 4%-a hagyta abba a vizsgálatot mellékhatások miatt.</w:t>
      </w:r>
    </w:p>
    <w:p w14:paraId="491526A9" w14:textId="77777777" w:rsidR="00835B06" w:rsidRDefault="00835B06">
      <w:pPr>
        <w:widowControl w:val="0"/>
        <w:tabs>
          <w:tab w:val="left" w:pos="567"/>
        </w:tabs>
        <w:rPr>
          <w:szCs w:val="22"/>
          <w:lang w:val="hu-HU" w:eastAsia="en-US"/>
        </w:rPr>
      </w:pPr>
    </w:p>
    <w:p w14:paraId="4B791070" w14:textId="77777777" w:rsidR="00835B06" w:rsidRDefault="004D03F7">
      <w:pPr>
        <w:widowControl w:val="0"/>
        <w:tabs>
          <w:tab w:val="left" w:pos="567"/>
        </w:tabs>
        <w:rPr>
          <w:szCs w:val="22"/>
          <w:lang w:val="hu-HU" w:eastAsia="en-US"/>
        </w:rPr>
      </w:pPr>
      <w:r>
        <w:rPr>
          <w:szCs w:val="22"/>
          <w:lang w:val="hu-HU" w:eastAsia="en-US"/>
        </w:rPr>
        <w:t>A rozuvasztatin mellékhatás-profilját klinikai vizsgálatok és kiterjedt forgalomba hozatal utáni tapasztalatok alapján határozták meg. Ezetimibbel kezelt betegeknél (n = 2396) gyakrabban figyeltek meg mellékhatásokat a placebokezelésben részesült betegekhez képest (n = 1159), vagy mint ezetimib és sztatin egyidejű alkalmazásával (n = 11308), vagy sztatin monoterápiával kezelteknél (n = 9361). A forgalomba hozatalt követően észlelt mellékhatások olyan jelentésekből származnak, melyekben az ezetimibet vagy önmagában vagy sztatinnal együtt alkalmazták.</w:t>
      </w:r>
    </w:p>
    <w:p w14:paraId="7E7879DE" w14:textId="77777777" w:rsidR="00835B06" w:rsidRDefault="00835B06">
      <w:pPr>
        <w:widowControl w:val="0"/>
        <w:tabs>
          <w:tab w:val="left" w:pos="567"/>
        </w:tabs>
        <w:rPr>
          <w:szCs w:val="22"/>
          <w:lang w:val="hu-HU" w:eastAsia="en-US"/>
        </w:rPr>
      </w:pPr>
    </w:p>
    <w:p w14:paraId="6EE82A0A" w14:textId="77777777" w:rsidR="00835B06" w:rsidRDefault="004D03F7">
      <w:pPr>
        <w:keepNext/>
        <w:widowControl w:val="0"/>
        <w:tabs>
          <w:tab w:val="left" w:pos="567"/>
        </w:tabs>
        <w:rPr>
          <w:iCs/>
          <w:szCs w:val="22"/>
          <w:u w:val="single"/>
          <w:lang w:val="hu-HU" w:eastAsia="en-US"/>
        </w:rPr>
      </w:pPr>
      <w:r>
        <w:rPr>
          <w:iCs/>
          <w:szCs w:val="22"/>
          <w:u w:val="single"/>
          <w:lang w:val="hu-HU" w:eastAsia="en-US"/>
        </w:rPr>
        <w:t>A mellékhatások táblázatos felsorolása</w:t>
      </w:r>
    </w:p>
    <w:p w14:paraId="5BA1AD27" w14:textId="77777777" w:rsidR="00835B06" w:rsidRDefault="00835B06">
      <w:pPr>
        <w:keepNext/>
        <w:widowControl w:val="0"/>
        <w:tabs>
          <w:tab w:val="left" w:pos="567"/>
        </w:tabs>
        <w:rPr>
          <w:szCs w:val="22"/>
          <w:lang w:val="hu-HU" w:eastAsia="en-US"/>
        </w:rPr>
      </w:pPr>
    </w:p>
    <w:p w14:paraId="647CA42E" w14:textId="77777777" w:rsidR="00835B06" w:rsidRDefault="004D03F7">
      <w:pPr>
        <w:keepNext/>
        <w:rPr>
          <w:bCs/>
          <w:szCs w:val="22"/>
          <w:lang w:val="hu-HU"/>
        </w:rPr>
      </w:pPr>
      <w:r>
        <w:rPr>
          <w:b/>
          <w:noProof/>
          <w:szCs w:val="22"/>
          <w:lang w:val="hu-HU"/>
        </w:rPr>
        <w:t>2. táblázat:</w:t>
      </w:r>
      <w:r>
        <w:rPr>
          <w:noProof/>
          <w:szCs w:val="22"/>
          <w:lang w:val="hu-HU"/>
        </w:rPr>
        <w:t xml:space="preserve"> </w:t>
      </w:r>
      <w:r>
        <w:rPr>
          <w:bCs/>
          <w:szCs w:val="22"/>
          <w:lang w:val="hu-HU"/>
        </w:rPr>
        <w:t>Mellékhatások rozuvasztatin monoterápiában és ezetimib sztatinnal történő együttadásakor a klinikai vizsgálatok és a posztmarketing tapasztalatok adatai alapján.</w:t>
      </w:r>
    </w:p>
    <w:p w14:paraId="1CB371F3" w14:textId="77777777" w:rsidR="00835B06" w:rsidRDefault="00835B06">
      <w:pPr>
        <w:keepNext/>
        <w:widowControl w:val="0"/>
        <w:rPr>
          <w:noProof/>
          <w:szCs w:val="22"/>
          <w:lang w:val="hu-HU"/>
        </w:rPr>
      </w:pP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3"/>
        <w:gridCol w:w="3695"/>
        <w:gridCol w:w="1549"/>
        <w:gridCol w:w="1756"/>
        <w:gridCol w:w="40"/>
      </w:tblGrid>
      <w:tr w:rsidR="00835B06" w14:paraId="08346F58" w14:textId="77777777">
        <w:trPr>
          <w:gridAfter w:val="1"/>
          <w:wAfter w:w="40" w:type="dxa"/>
          <w:cantSplit/>
          <w:tblHeader/>
        </w:trPr>
        <w:tc>
          <w:tcPr>
            <w:tcW w:w="2293" w:type="dxa"/>
            <w:vMerge w:val="restart"/>
            <w:shd w:val="clear" w:color="auto" w:fill="auto"/>
          </w:tcPr>
          <w:p w14:paraId="2B2726B5" w14:textId="77777777" w:rsidR="00835B06" w:rsidRDefault="004D03F7">
            <w:pPr>
              <w:widowControl w:val="0"/>
              <w:tabs>
                <w:tab w:val="left" w:pos="567"/>
              </w:tabs>
              <w:rPr>
                <w:b/>
                <w:szCs w:val="22"/>
                <w:lang w:val="hu-HU" w:eastAsia="en-US"/>
              </w:rPr>
            </w:pPr>
            <w:r>
              <w:rPr>
                <w:b/>
                <w:szCs w:val="22"/>
                <w:lang w:val="hu-HU" w:eastAsia="en-US"/>
              </w:rPr>
              <w:t>MedDRA</w:t>
            </w:r>
          </w:p>
          <w:p w14:paraId="1804C6C5" w14:textId="77777777" w:rsidR="00835B06" w:rsidRDefault="004D03F7">
            <w:pPr>
              <w:widowControl w:val="0"/>
              <w:tabs>
                <w:tab w:val="left" w:pos="567"/>
              </w:tabs>
              <w:rPr>
                <w:b/>
                <w:szCs w:val="22"/>
                <w:lang w:val="hu-HU" w:eastAsia="en-US"/>
              </w:rPr>
            </w:pPr>
            <w:r>
              <w:rPr>
                <w:b/>
                <w:szCs w:val="22"/>
                <w:lang w:val="hu-HU" w:eastAsia="en-US"/>
              </w:rPr>
              <w:t>Szervrendszer osztály</w:t>
            </w:r>
          </w:p>
        </w:tc>
        <w:tc>
          <w:tcPr>
            <w:tcW w:w="3695" w:type="dxa"/>
            <w:vMerge w:val="restart"/>
            <w:shd w:val="clear" w:color="auto" w:fill="auto"/>
            <w:vAlign w:val="center"/>
          </w:tcPr>
          <w:p w14:paraId="0A4A4551" w14:textId="77777777" w:rsidR="00835B06" w:rsidRDefault="004D03F7">
            <w:pPr>
              <w:widowControl w:val="0"/>
              <w:tabs>
                <w:tab w:val="left" w:pos="567"/>
              </w:tabs>
              <w:rPr>
                <w:b/>
                <w:szCs w:val="22"/>
                <w:lang w:val="hu-HU" w:eastAsia="en-US"/>
              </w:rPr>
            </w:pPr>
            <w:r>
              <w:rPr>
                <w:b/>
                <w:szCs w:val="22"/>
                <w:lang w:val="hu-HU" w:eastAsia="en-US"/>
              </w:rPr>
              <w:t>Mellékhatások</w:t>
            </w:r>
          </w:p>
        </w:tc>
        <w:tc>
          <w:tcPr>
            <w:tcW w:w="3305" w:type="dxa"/>
            <w:gridSpan w:val="2"/>
            <w:shd w:val="clear" w:color="auto" w:fill="auto"/>
            <w:vAlign w:val="center"/>
          </w:tcPr>
          <w:p w14:paraId="5E51EE6B" w14:textId="77777777" w:rsidR="00835B06" w:rsidRDefault="004D03F7">
            <w:pPr>
              <w:widowControl w:val="0"/>
              <w:tabs>
                <w:tab w:val="left" w:pos="567"/>
              </w:tabs>
              <w:jc w:val="center"/>
              <w:rPr>
                <w:b/>
                <w:szCs w:val="22"/>
                <w:lang w:val="hu-HU" w:eastAsia="en-US"/>
              </w:rPr>
            </w:pPr>
            <w:r>
              <w:rPr>
                <w:b/>
                <w:szCs w:val="22"/>
                <w:lang w:val="hu-HU" w:eastAsia="en-US"/>
              </w:rPr>
              <w:t>Gyakoriság</w:t>
            </w:r>
          </w:p>
        </w:tc>
      </w:tr>
      <w:tr w:rsidR="00835B06" w14:paraId="514EAB51" w14:textId="77777777">
        <w:trPr>
          <w:gridAfter w:val="1"/>
          <w:wAfter w:w="40" w:type="dxa"/>
          <w:cantSplit/>
          <w:tblHeader/>
        </w:trPr>
        <w:tc>
          <w:tcPr>
            <w:tcW w:w="2293" w:type="dxa"/>
            <w:vMerge/>
            <w:shd w:val="clear" w:color="auto" w:fill="auto"/>
          </w:tcPr>
          <w:p w14:paraId="5EA028BB" w14:textId="77777777" w:rsidR="00835B06" w:rsidRDefault="00835B06">
            <w:pPr>
              <w:widowControl w:val="0"/>
              <w:tabs>
                <w:tab w:val="left" w:pos="567"/>
              </w:tabs>
              <w:rPr>
                <w:b/>
                <w:szCs w:val="22"/>
                <w:lang w:val="hu-HU" w:eastAsia="en-US"/>
              </w:rPr>
            </w:pPr>
          </w:p>
        </w:tc>
        <w:tc>
          <w:tcPr>
            <w:tcW w:w="3695" w:type="dxa"/>
            <w:vMerge/>
            <w:shd w:val="clear" w:color="auto" w:fill="auto"/>
            <w:vAlign w:val="center"/>
          </w:tcPr>
          <w:p w14:paraId="41477CC1" w14:textId="77777777" w:rsidR="00835B06" w:rsidRDefault="00835B06">
            <w:pPr>
              <w:widowControl w:val="0"/>
              <w:tabs>
                <w:tab w:val="left" w:pos="567"/>
              </w:tabs>
              <w:rPr>
                <w:b/>
                <w:szCs w:val="22"/>
                <w:lang w:val="hu-HU" w:eastAsia="en-US"/>
              </w:rPr>
            </w:pPr>
          </w:p>
        </w:tc>
        <w:tc>
          <w:tcPr>
            <w:tcW w:w="1549" w:type="dxa"/>
            <w:shd w:val="clear" w:color="auto" w:fill="auto"/>
            <w:vAlign w:val="center"/>
          </w:tcPr>
          <w:p w14:paraId="6E89C463" w14:textId="77777777" w:rsidR="00835B06" w:rsidRDefault="004D03F7">
            <w:pPr>
              <w:widowControl w:val="0"/>
              <w:tabs>
                <w:tab w:val="left" w:pos="567"/>
              </w:tabs>
              <w:jc w:val="center"/>
              <w:rPr>
                <w:b/>
                <w:szCs w:val="22"/>
                <w:lang w:val="hu-HU" w:eastAsia="en-US"/>
              </w:rPr>
            </w:pPr>
            <w:r>
              <w:rPr>
                <w:b/>
                <w:szCs w:val="22"/>
                <w:lang w:val="hu-HU" w:eastAsia="en-US"/>
              </w:rPr>
              <w:t>Rozuvasztatin</w:t>
            </w:r>
          </w:p>
        </w:tc>
        <w:tc>
          <w:tcPr>
            <w:tcW w:w="1756" w:type="dxa"/>
            <w:vAlign w:val="center"/>
          </w:tcPr>
          <w:p w14:paraId="364006B9" w14:textId="77777777" w:rsidR="00835B06" w:rsidRDefault="004D03F7">
            <w:pPr>
              <w:widowControl w:val="0"/>
              <w:tabs>
                <w:tab w:val="left" w:pos="567"/>
              </w:tabs>
              <w:jc w:val="center"/>
              <w:rPr>
                <w:b/>
                <w:szCs w:val="22"/>
                <w:lang w:val="hu-HU" w:eastAsia="en-US"/>
              </w:rPr>
            </w:pPr>
            <w:r>
              <w:rPr>
                <w:b/>
                <w:szCs w:val="22"/>
                <w:lang w:val="hu-HU" w:eastAsia="en-US"/>
              </w:rPr>
              <w:t>Ezetimib</w:t>
            </w:r>
          </w:p>
        </w:tc>
      </w:tr>
      <w:tr w:rsidR="00835B06" w14:paraId="3759B23F" w14:textId="77777777">
        <w:trPr>
          <w:gridAfter w:val="1"/>
          <w:wAfter w:w="40" w:type="dxa"/>
          <w:cantSplit/>
        </w:trPr>
        <w:tc>
          <w:tcPr>
            <w:tcW w:w="2293" w:type="dxa"/>
            <w:shd w:val="clear" w:color="auto" w:fill="auto"/>
          </w:tcPr>
          <w:p w14:paraId="520F2089" w14:textId="77777777" w:rsidR="00835B06" w:rsidRDefault="004D03F7">
            <w:pPr>
              <w:pStyle w:val="Szvegtrzs"/>
              <w:rPr>
                <w:i/>
                <w:szCs w:val="22"/>
                <w:lang w:val="hu-HU"/>
              </w:rPr>
            </w:pPr>
            <w:r>
              <w:rPr>
                <w:i/>
                <w:szCs w:val="22"/>
                <w:lang w:val="hu-HU"/>
              </w:rPr>
              <w:t>Vérképzőszervi és nyirokrendszeri betegségek és tünetek</w:t>
            </w:r>
          </w:p>
        </w:tc>
        <w:tc>
          <w:tcPr>
            <w:tcW w:w="3695" w:type="dxa"/>
            <w:shd w:val="clear" w:color="auto" w:fill="auto"/>
            <w:vAlign w:val="center"/>
          </w:tcPr>
          <w:p w14:paraId="29600701" w14:textId="77777777" w:rsidR="00835B06" w:rsidRDefault="004D03F7">
            <w:pPr>
              <w:widowControl w:val="0"/>
              <w:tabs>
                <w:tab w:val="left" w:pos="1315"/>
              </w:tabs>
              <w:rPr>
                <w:szCs w:val="22"/>
                <w:lang w:val="hu-HU" w:eastAsia="en-US"/>
              </w:rPr>
            </w:pPr>
            <w:r>
              <w:rPr>
                <w:szCs w:val="22"/>
                <w:lang w:val="hu-HU"/>
              </w:rPr>
              <w:t>thrombocytopenia</w:t>
            </w:r>
          </w:p>
        </w:tc>
        <w:tc>
          <w:tcPr>
            <w:tcW w:w="1549" w:type="dxa"/>
            <w:shd w:val="clear" w:color="auto" w:fill="auto"/>
            <w:vAlign w:val="center"/>
          </w:tcPr>
          <w:p w14:paraId="63F98608"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7697C47C"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422408FA" w14:textId="77777777">
        <w:trPr>
          <w:gridAfter w:val="1"/>
          <w:wAfter w:w="40" w:type="dxa"/>
          <w:cantSplit/>
        </w:trPr>
        <w:tc>
          <w:tcPr>
            <w:tcW w:w="2293" w:type="dxa"/>
            <w:vMerge w:val="restart"/>
            <w:shd w:val="clear" w:color="auto" w:fill="auto"/>
          </w:tcPr>
          <w:p w14:paraId="0717F5A1" w14:textId="77777777" w:rsidR="00835B06" w:rsidRDefault="004D03F7">
            <w:pPr>
              <w:pStyle w:val="Szvegtrzs"/>
              <w:rPr>
                <w:rStyle w:val="Oldalszm"/>
                <w:i/>
                <w:szCs w:val="22"/>
                <w:lang w:val="hu-HU"/>
              </w:rPr>
            </w:pPr>
            <w:r>
              <w:rPr>
                <w:i/>
                <w:szCs w:val="22"/>
                <w:lang w:val="hu-HU"/>
              </w:rPr>
              <w:t>Immunrendszeri betegségek és tünetek</w:t>
            </w:r>
          </w:p>
        </w:tc>
        <w:tc>
          <w:tcPr>
            <w:tcW w:w="3695" w:type="dxa"/>
            <w:shd w:val="clear" w:color="auto" w:fill="auto"/>
            <w:vAlign w:val="center"/>
          </w:tcPr>
          <w:p w14:paraId="3D36D3B1" w14:textId="77777777" w:rsidR="00835B06" w:rsidRDefault="004D03F7">
            <w:pPr>
              <w:widowControl w:val="0"/>
              <w:tabs>
                <w:tab w:val="left" w:pos="1315"/>
              </w:tabs>
              <w:rPr>
                <w:szCs w:val="22"/>
                <w:lang w:val="hu-HU" w:eastAsia="en-US"/>
              </w:rPr>
            </w:pPr>
            <w:r>
              <w:rPr>
                <w:szCs w:val="22"/>
                <w:lang w:val="hu-HU"/>
              </w:rPr>
              <w:t>túlérzékenységi reakciók, beleértve az angiooedemát</w:t>
            </w:r>
          </w:p>
        </w:tc>
        <w:tc>
          <w:tcPr>
            <w:tcW w:w="1549" w:type="dxa"/>
            <w:shd w:val="clear" w:color="auto" w:fill="auto"/>
            <w:vAlign w:val="center"/>
          </w:tcPr>
          <w:p w14:paraId="7B63FB99"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45B815AB"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74342309" w14:textId="77777777">
        <w:trPr>
          <w:gridAfter w:val="1"/>
          <w:wAfter w:w="40" w:type="dxa"/>
          <w:cantSplit/>
        </w:trPr>
        <w:tc>
          <w:tcPr>
            <w:tcW w:w="2293" w:type="dxa"/>
            <w:vMerge/>
            <w:shd w:val="clear" w:color="auto" w:fill="auto"/>
          </w:tcPr>
          <w:p w14:paraId="7B794013" w14:textId="77777777" w:rsidR="00835B06" w:rsidRDefault="00835B06">
            <w:pPr>
              <w:pStyle w:val="Szvegtrzs"/>
              <w:rPr>
                <w:i/>
                <w:szCs w:val="22"/>
                <w:lang w:val="hu-HU"/>
              </w:rPr>
            </w:pPr>
          </w:p>
        </w:tc>
        <w:tc>
          <w:tcPr>
            <w:tcW w:w="3695" w:type="dxa"/>
            <w:shd w:val="clear" w:color="auto" w:fill="auto"/>
            <w:vAlign w:val="center"/>
          </w:tcPr>
          <w:p w14:paraId="759C1043" w14:textId="77777777" w:rsidR="00835B06" w:rsidRDefault="004D03F7">
            <w:pPr>
              <w:widowControl w:val="0"/>
              <w:tabs>
                <w:tab w:val="left" w:pos="1315"/>
              </w:tabs>
              <w:rPr>
                <w:szCs w:val="22"/>
                <w:lang w:val="hu-HU"/>
              </w:rPr>
            </w:pPr>
            <w:r>
              <w:rPr>
                <w:szCs w:val="22"/>
              </w:rPr>
              <w:t>túlérzékenységi reakciók, beleértve a bőrkiütést, a csalánkiütést és az anaphylaxiát</w:t>
            </w:r>
          </w:p>
        </w:tc>
        <w:tc>
          <w:tcPr>
            <w:tcW w:w="1549" w:type="dxa"/>
            <w:shd w:val="clear" w:color="auto" w:fill="auto"/>
            <w:vAlign w:val="center"/>
          </w:tcPr>
          <w:p w14:paraId="7F28C1D0"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59A042EB"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6D811A3E" w14:textId="77777777">
        <w:trPr>
          <w:gridAfter w:val="1"/>
          <w:wAfter w:w="40" w:type="dxa"/>
          <w:cantSplit/>
        </w:trPr>
        <w:tc>
          <w:tcPr>
            <w:tcW w:w="2293" w:type="dxa"/>
            <w:shd w:val="clear" w:color="auto" w:fill="auto"/>
          </w:tcPr>
          <w:p w14:paraId="0F30FF2B" w14:textId="77777777" w:rsidR="00835B06" w:rsidRDefault="004D03F7">
            <w:pPr>
              <w:pStyle w:val="Szvegtrzs"/>
              <w:rPr>
                <w:rStyle w:val="Oldalszm"/>
                <w:i/>
                <w:szCs w:val="22"/>
                <w:lang w:val="hu-HU"/>
              </w:rPr>
            </w:pPr>
            <w:r>
              <w:rPr>
                <w:i/>
                <w:iCs/>
                <w:szCs w:val="22"/>
                <w:lang w:val="hu-HU"/>
              </w:rPr>
              <w:t>Endokrin betegségek és tünetek</w:t>
            </w:r>
          </w:p>
        </w:tc>
        <w:tc>
          <w:tcPr>
            <w:tcW w:w="3695" w:type="dxa"/>
            <w:shd w:val="clear" w:color="auto" w:fill="auto"/>
            <w:vAlign w:val="center"/>
          </w:tcPr>
          <w:p w14:paraId="65B9C180" w14:textId="77777777" w:rsidR="00835B06" w:rsidRDefault="004D03F7">
            <w:pPr>
              <w:widowControl w:val="0"/>
              <w:tabs>
                <w:tab w:val="left" w:pos="1315"/>
              </w:tabs>
              <w:rPr>
                <w:szCs w:val="22"/>
                <w:lang w:val="hu-HU" w:eastAsia="en-US"/>
              </w:rPr>
            </w:pPr>
            <w:r>
              <w:rPr>
                <w:szCs w:val="22"/>
                <w:lang w:val="hu-HU"/>
              </w:rPr>
              <w:t>diabetes mellitus</w:t>
            </w:r>
            <w:r>
              <w:rPr>
                <w:szCs w:val="22"/>
                <w:vertAlign w:val="superscript"/>
                <w:lang w:val="hu-HU"/>
              </w:rPr>
              <w:t>1</w:t>
            </w:r>
          </w:p>
        </w:tc>
        <w:tc>
          <w:tcPr>
            <w:tcW w:w="1549" w:type="dxa"/>
            <w:shd w:val="clear" w:color="auto" w:fill="auto"/>
            <w:vAlign w:val="center"/>
          </w:tcPr>
          <w:p w14:paraId="22414423"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3CDFB720"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63CAC5E1" w14:textId="77777777">
        <w:trPr>
          <w:gridAfter w:val="1"/>
          <w:wAfter w:w="40" w:type="dxa"/>
          <w:cantSplit/>
        </w:trPr>
        <w:tc>
          <w:tcPr>
            <w:tcW w:w="2293" w:type="dxa"/>
            <w:shd w:val="clear" w:color="auto" w:fill="auto"/>
          </w:tcPr>
          <w:p w14:paraId="0CD8B1A4" w14:textId="77777777" w:rsidR="00835B06" w:rsidRDefault="004D03F7">
            <w:pPr>
              <w:pStyle w:val="Szvegtrzs"/>
              <w:rPr>
                <w:i/>
                <w:iCs/>
                <w:szCs w:val="22"/>
                <w:lang w:val="hu-HU"/>
              </w:rPr>
            </w:pPr>
            <w:r>
              <w:rPr>
                <w:i/>
                <w:iCs/>
                <w:szCs w:val="22"/>
                <w:lang w:val="hu-HU"/>
              </w:rPr>
              <w:t>Anyagcsere- és táplálkozási betegségek és tünetek</w:t>
            </w:r>
          </w:p>
        </w:tc>
        <w:tc>
          <w:tcPr>
            <w:tcW w:w="3695" w:type="dxa"/>
            <w:shd w:val="clear" w:color="auto" w:fill="auto"/>
            <w:vAlign w:val="center"/>
          </w:tcPr>
          <w:p w14:paraId="70239074" w14:textId="77777777" w:rsidR="00835B06" w:rsidRDefault="004D03F7">
            <w:pPr>
              <w:widowControl w:val="0"/>
              <w:tabs>
                <w:tab w:val="left" w:pos="1315"/>
              </w:tabs>
              <w:rPr>
                <w:szCs w:val="22"/>
                <w:lang w:val="hu-HU"/>
              </w:rPr>
            </w:pPr>
            <w:r>
              <w:rPr>
                <w:szCs w:val="22"/>
              </w:rPr>
              <w:t>csökkent étvágy</w:t>
            </w:r>
          </w:p>
        </w:tc>
        <w:tc>
          <w:tcPr>
            <w:tcW w:w="1549" w:type="dxa"/>
            <w:shd w:val="clear" w:color="auto" w:fill="auto"/>
            <w:vAlign w:val="center"/>
          </w:tcPr>
          <w:p w14:paraId="1F69B4F8"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35504744"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08F5FB1E" w14:textId="77777777">
        <w:trPr>
          <w:gridAfter w:val="1"/>
          <w:wAfter w:w="40" w:type="dxa"/>
          <w:cantSplit/>
        </w:trPr>
        <w:tc>
          <w:tcPr>
            <w:tcW w:w="2293" w:type="dxa"/>
            <w:shd w:val="clear" w:color="auto" w:fill="auto"/>
          </w:tcPr>
          <w:p w14:paraId="75164232" w14:textId="77777777" w:rsidR="00835B06" w:rsidRDefault="004D03F7">
            <w:pPr>
              <w:pStyle w:val="Szvegtrzs"/>
              <w:rPr>
                <w:rStyle w:val="Oldalszm"/>
                <w:i/>
                <w:szCs w:val="22"/>
                <w:lang w:val="hu-HU"/>
              </w:rPr>
            </w:pPr>
            <w:r>
              <w:rPr>
                <w:rStyle w:val="Oldalszm"/>
                <w:i/>
                <w:szCs w:val="22"/>
                <w:lang w:val="hu-HU"/>
              </w:rPr>
              <w:t>Pszichiátriai kórképek</w:t>
            </w:r>
          </w:p>
        </w:tc>
        <w:tc>
          <w:tcPr>
            <w:tcW w:w="3695" w:type="dxa"/>
            <w:shd w:val="clear" w:color="auto" w:fill="auto"/>
            <w:vAlign w:val="center"/>
          </w:tcPr>
          <w:p w14:paraId="71F662DC" w14:textId="77777777" w:rsidR="00835B06" w:rsidRDefault="004D03F7">
            <w:pPr>
              <w:widowControl w:val="0"/>
              <w:tabs>
                <w:tab w:val="left" w:pos="1315"/>
              </w:tabs>
              <w:rPr>
                <w:szCs w:val="22"/>
                <w:lang w:val="hu-HU" w:eastAsia="en-US"/>
              </w:rPr>
            </w:pPr>
            <w:r>
              <w:rPr>
                <w:szCs w:val="22"/>
                <w:lang w:val="hu-HU"/>
              </w:rPr>
              <w:t>depresszió</w:t>
            </w:r>
          </w:p>
        </w:tc>
        <w:tc>
          <w:tcPr>
            <w:tcW w:w="1549" w:type="dxa"/>
            <w:shd w:val="clear" w:color="auto" w:fill="auto"/>
            <w:vAlign w:val="center"/>
          </w:tcPr>
          <w:p w14:paraId="143B84F1"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4A67BE22"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7538E7B7" w14:textId="77777777">
        <w:trPr>
          <w:gridAfter w:val="1"/>
          <w:wAfter w:w="40" w:type="dxa"/>
          <w:cantSplit/>
        </w:trPr>
        <w:tc>
          <w:tcPr>
            <w:tcW w:w="2293" w:type="dxa"/>
            <w:vMerge w:val="restart"/>
            <w:shd w:val="clear" w:color="auto" w:fill="auto"/>
          </w:tcPr>
          <w:p w14:paraId="5FAF5C6D" w14:textId="77777777" w:rsidR="00835B06" w:rsidRDefault="004D03F7">
            <w:pPr>
              <w:pStyle w:val="Szvegtrzs"/>
              <w:rPr>
                <w:rStyle w:val="Oldalszm"/>
                <w:i/>
                <w:szCs w:val="22"/>
                <w:lang w:val="hu-HU"/>
              </w:rPr>
            </w:pPr>
            <w:r>
              <w:rPr>
                <w:rStyle w:val="Oldalszm"/>
                <w:i/>
                <w:szCs w:val="22"/>
                <w:lang w:val="hu-HU"/>
              </w:rPr>
              <w:t>Idegrendszeri betegségek és tünetek</w:t>
            </w:r>
          </w:p>
        </w:tc>
        <w:tc>
          <w:tcPr>
            <w:tcW w:w="3695" w:type="dxa"/>
            <w:shd w:val="clear" w:color="auto" w:fill="auto"/>
            <w:vAlign w:val="center"/>
          </w:tcPr>
          <w:p w14:paraId="6579BA15" w14:textId="77777777" w:rsidR="00835B06" w:rsidRDefault="004D03F7">
            <w:pPr>
              <w:widowControl w:val="0"/>
              <w:rPr>
                <w:szCs w:val="22"/>
                <w:lang w:val="hu-HU"/>
              </w:rPr>
            </w:pPr>
            <w:r>
              <w:rPr>
                <w:szCs w:val="22"/>
                <w:lang w:val="hu-HU"/>
              </w:rPr>
              <w:t>fejfájás</w:t>
            </w:r>
          </w:p>
        </w:tc>
        <w:tc>
          <w:tcPr>
            <w:tcW w:w="1549" w:type="dxa"/>
            <w:shd w:val="clear" w:color="auto" w:fill="auto"/>
            <w:vAlign w:val="center"/>
          </w:tcPr>
          <w:p w14:paraId="09E49478"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21207518"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6107292C" w14:textId="77777777">
        <w:trPr>
          <w:gridAfter w:val="1"/>
          <w:wAfter w:w="40" w:type="dxa"/>
          <w:cantSplit/>
        </w:trPr>
        <w:tc>
          <w:tcPr>
            <w:tcW w:w="2293" w:type="dxa"/>
            <w:vMerge/>
            <w:shd w:val="clear" w:color="auto" w:fill="auto"/>
          </w:tcPr>
          <w:p w14:paraId="231E5B0E"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5E98006D" w14:textId="77777777" w:rsidR="00835B06" w:rsidRDefault="004D03F7">
            <w:pPr>
              <w:widowControl w:val="0"/>
              <w:tabs>
                <w:tab w:val="left" w:pos="1315"/>
              </w:tabs>
              <w:rPr>
                <w:szCs w:val="22"/>
                <w:lang w:val="hu-HU" w:eastAsia="en-US"/>
              </w:rPr>
            </w:pPr>
            <w:r>
              <w:rPr>
                <w:szCs w:val="22"/>
                <w:lang w:val="hu-HU"/>
              </w:rPr>
              <w:t>szédülés</w:t>
            </w:r>
          </w:p>
        </w:tc>
        <w:tc>
          <w:tcPr>
            <w:tcW w:w="1549" w:type="dxa"/>
            <w:shd w:val="clear" w:color="auto" w:fill="auto"/>
            <w:vAlign w:val="center"/>
          </w:tcPr>
          <w:p w14:paraId="0855355C"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47ECC324"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2466FE85" w14:textId="77777777">
        <w:trPr>
          <w:gridAfter w:val="1"/>
          <w:wAfter w:w="40" w:type="dxa"/>
          <w:cantSplit/>
        </w:trPr>
        <w:tc>
          <w:tcPr>
            <w:tcW w:w="2293" w:type="dxa"/>
            <w:vMerge/>
            <w:shd w:val="clear" w:color="auto" w:fill="auto"/>
          </w:tcPr>
          <w:p w14:paraId="6AC368CE"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65988F49" w14:textId="77777777" w:rsidR="00835B06" w:rsidRDefault="004D03F7">
            <w:pPr>
              <w:widowControl w:val="0"/>
              <w:rPr>
                <w:szCs w:val="22"/>
                <w:lang w:val="hu-HU"/>
              </w:rPr>
            </w:pPr>
            <w:r>
              <w:rPr>
                <w:szCs w:val="22"/>
                <w:lang w:val="hu-HU"/>
              </w:rPr>
              <w:t>polyneuropathia</w:t>
            </w:r>
          </w:p>
        </w:tc>
        <w:tc>
          <w:tcPr>
            <w:tcW w:w="1549" w:type="dxa"/>
            <w:shd w:val="clear" w:color="auto" w:fill="auto"/>
            <w:vAlign w:val="center"/>
          </w:tcPr>
          <w:p w14:paraId="28BDC54D"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1346F663"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3D6DB3E1" w14:textId="77777777">
        <w:trPr>
          <w:gridAfter w:val="1"/>
          <w:wAfter w:w="40" w:type="dxa"/>
          <w:cantSplit/>
        </w:trPr>
        <w:tc>
          <w:tcPr>
            <w:tcW w:w="2293" w:type="dxa"/>
            <w:vMerge/>
            <w:shd w:val="clear" w:color="auto" w:fill="auto"/>
          </w:tcPr>
          <w:p w14:paraId="1E3F03E5"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728517EB" w14:textId="77777777" w:rsidR="00835B06" w:rsidRDefault="004D03F7">
            <w:pPr>
              <w:widowControl w:val="0"/>
              <w:tabs>
                <w:tab w:val="left" w:pos="1315"/>
              </w:tabs>
              <w:rPr>
                <w:szCs w:val="22"/>
                <w:lang w:val="hu-HU"/>
              </w:rPr>
            </w:pPr>
            <w:r>
              <w:rPr>
                <w:szCs w:val="22"/>
                <w:lang w:val="hu-HU"/>
              </w:rPr>
              <w:t>emlékezetkiesés</w:t>
            </w:r>
          </w:p>
        </w:tc>
        <w:tc>
          <w:tcPr>
            <w:tcW w:w="1549" w:type="dxa"/>
            <w:shd w:val="clear" w:color="auto" w:fill="auto"/>
            <w:vAlign w:val="center"/>
          </w:tcPr>
          <w:p w14:paraId="76F38742"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7798D699"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236EAB5A" w14:textId="77777777">
        <w:trPr>
          <w:gridAfter w:val="1"/>
          <w:wAfter w:w="40" w:type="dxa"/>
          <w:cantSplit/>
        </w:trPr>
        <w:tc>
          <w:tcPr>
            <w:tcW w:w="2293" w:type="dxa"/>
            <w:vMerge/>
            <w:shd w:val="clear" w:color="auto" w:fill="auto"/>
          </w:tcPr>
          <w:p w14:paraId="349A81CD"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6725EC1" w14:textId="77777777" w:rsidR="00835B06" w:rsidRDefault="004D03F7">
            <w:pPr>
              <w:widowControl w:val="0"/>
              <w:ind w:left="187" w:hanging="187"/>
              <w:rPr>
                <w:szCs w:val="22"/>
                <w:lang w:val="hu-HU"/>
              </w:rPr>
            </w:pPr>
            <w:r>
              <w:rPr>
                <w:szCs w:val="22"/>
                <w:lang w:val="hu-HU"/>
              </w:rPr>
              <w:t>perifériás neuropathia</w:t>
            </w:r>
          </w:p>
        </w:tc>
        <w:tc>
          <w:tcPr>
            <w:tcW w:w="1549" w:type="dxa"/>
            <w:shd w:val="clear" w:color="auto" w:fill="auto"/>
            <w:vAlign w:val="center"/>
          </w:tcPr>
          <w:p w14:paraId="0CA9DE52"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6BC298D9"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0B2F9BA9" w14:textId="77777777">
        <w:trPr>
          <w:gridAfter w:val="1"/>
          <w:wAfter w:w="40" w:type="dxa"/>
          <w:cantSplit/>
        </w:trPr>
        <w:tc>
          <w:tcPr>
            <w:tcW w:w="2293" w:type="dxa"/>
            <w:vMerge/>
            <w:shd w:val="clear" w:color="auto" w:fill="auto"/>
          </w:tcPr>
          <w:p w14:paraId="67B07289"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7726DF9D" w14:textId="77777777" w:rsidR="00835B06" w:rsidRDefault="004D03F7">
            <w:pPr>
              <w:widowControl w:val="0"/>
              <w:tabs>
                <w:tab w:val="left" w:pos="1315"/>
              </w:tabs>
              <w:rPr>
                <w:szCs w:val="22"/>
                <w:lang w:val="hu-HU"/>
              </w:rPr>
            </w:pPr>
            <w:r>
              <w:rPr>
                <w:szCs w:val="22"/>
                <w:lang w:val="hu-HU"/>
              </w:rPr>
              <w:t>alvászavarok (pl. álmatlanság és rémálmok)</w:t>
            </w:r>
          </w:p>
        </w:tc>
        <w:tc>
          <w:tcPr>
            <w:tcW w:w="1549" w:type="dxa"/>
            <w:shd w:val="clear" w:color="auto" w:fill="auto"/>
            <w:vAlign w:val="center"/>
          </w:tcPr>
          <w:p w14:paraId="295D6ED1"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0071073F"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2D8FBFE4" w14:textId="77777777">
        <w:trPr>
          <w:gridAfter w:val="1"/>
          <w:wAfter w:w="40" w:type="dxa"/>
          <w:cantSplit/>
        </w:trPr>
        <w:tc>
          <w:tcPr>
            <w:tcW w:w="2293" w:type="dxa"/>
            <w:vMerge/>
            <w:shd w:val="clear" w:color="auto" w:fill="auto"/>
          </w:tcPr>
          <w:p w14:paraId="3C735679"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FC92827" w14:textId="77777777" w:rsidR="00835B06" w:rsidRDefault="004D03F7">
            <w:pPr>
              <w:widowControl w:val="0"/>
              <w:rPr>
                <w:szCs w:val="22"/>
                <w:lang w:val="hu-HU"/>
              </w:rPr>
            </w:pPr>
            <w:r>
              <w:rPr>
                <w:szCs w:val="22"/>
                <w:lang w:val="hu-HU"/>
              </w:rPr>
              <w:t>paraesthesia</w:t>
            </w:r>
          </w:p>
        </w:tc>
        <w:tc>
          <w:tcPr>
            <w:tcW w:w="1549" w:type="dxa"/>
            <w:shd w:val="clear" w:color="auto" w:fill="auto"/>
            <w:vAlign w:val="center"/>
          </w:tcPr>
          <w:p w14:paraId="53162733"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13EAB0DD"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414B01DF" w14:textId="77777777">
        <w:trPr>
          <w:gridAfter w:val="1"/>
          <w:wAfter w:w="40" w:type="dxa"/>
          <w:cantSplit/>
        </w:trPr>
        <w:tc>
          <w:tcPr>
            <w:tcW w:w="2293" w:type="dxa"/>
            <w:vMerge/>
            <w:shd w:val="clear" w:color="auto" w:fill="auto"/>
          </w:tcPr>
          <w:p w14:paraId="7EC14ABE"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585D4EB6" w14:textId="77777777" w:rsidR="00835B06" w:rsidRDefault="004D03F7">
            <w:pPr>
              <w:widowControl w:val="0"/>
              <w:rPr>
                <w:szCs w:val="22"/>
                <w:lang w:val="hu-HU"/>
              </w:rPr>
            </w:pPr>
            <w:r>
              <w:rPr>
                <w:szCs w:val="22"/>
                <w:lang w:val="hu-HU"/>
              </w:rPr>
              <w:t>myasthenia gravis</w:t>
            </w:r>
          </w:p>
        </w:tc>
        <w:tc>
          <w:tcPr>
            <w:tcW w:w="1549" w:type="dxa"/>
            <w:shd w:val="clear" w:color="auto" w:fill="auto"/>
            <w:vAlign w:val="center"/>
          </w:tcPr>
          <w:p w14:paraId="0EA18758"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65D1EBAC"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0C9095B5" w14:textId="77777777">
        <w:trPr>
          <w:gridAfter w:val="1"/>
          <w:wAfter w:w="40" w:type="dxa"/>
          <w:cantSplit/>
        </w:trPr>
        <w:tc>
          <w:tcPr>
            <w:tcW w:w="2293" w:type="dxa"/>
            <w:shd w:val="clear" w:color="auto" w:fill="auto"/>
          </w:tcPr>
          <w:p w14:paraId="7593A06D" w14:textId="77777777" w:rsidR="00835B06" w:rsidRDefault="004D03F7">
            <w:pPr>
              <w:widowControl w:val="0"/>
              <w:tabs>
                <w:tab w:val="left" w:pos="567"/>
              </w:tabs>
              <w:rPr>
                <w:i/>
                <w:szCs w:val="22"/>
                <w:lang w:val="hu-HU" w:eastAsia="en-US"/>
              </w:rPr>
            </w:pPr>
            <w:r>
              <w:rPr>
                <w:rStyle w:val="Oldalszm"/>
                <w:i/>
                <w:szCs w:val="22"/>
                <w:lang w:val="hu-HU"/>
              </w:rPr>
              <w:t>Szembetegségek és szemészeti tünetek</w:t>
            </w:r>
          </w:p>
        </w:tc>
        <w:tc>
          <w:tcPr>
            <w:tcW w:w="3695" w:type="dxa"/>
            <w:shd w:val="clear" w:color="auto" w:fill="auto"/>
            <w:vAlign w:val="center"/>
          </w:tcPr>
          <w:p w14:paraId="3B7E5C53" w14:textId="77777777" w:rsidR="00835B06" w:rsidRDefault="004D03F7">
            <w:pPr>
              <w:widowControl w:val="0"/>
              <w:rPr>
                <w:szCs w:val="22"/>
                <w:lang w:val="hu-HU"/>
              </w:rPr>
            </w:pPr>
            <w:r>
              <w:rPr>
                <w:szCs w:val="22"/>
                <w:lang w:val="hu-HU"/>
              </w:rPr>
              <w:t>ocularis myasthenia</w:t>
            </w:r>
          </w:p>
        </w:tc>
        <w:tc>
          <w:tcPr>
            <w:tcW w:w="1549" w:type="dxa"/>
            <w:shd w:val="clear" w:color="auto" w:fill="auto"/>
            <w:vAlign w:val="center"/>
          </w:tcPr>
          <w:p w14:paraId="79A8B730"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5888A0E0"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53B7D1D3" w14:textId="77777777">
        <w:trPr>
          <w:gridAfter w:val="1"/>
          <w:wAfter w:w="40" w:type="dxa"/>
          <w:cantSplit/>
        </w:trPr>
        <w:tc>
          <w:tcPr>
            <w:tcW w:w="2293" w:type="dxa"/>
            <w:shd w:val="clear" w:color="auto" w:fill="auto"/>
          </w:tcPr>
          <w:p w14:paraId="21CBFC8D" w14:textId="77777777" w:rsidR="00835B06" w:rsidRDefault="004D03F7">
            <w:pPr>
              <w:widowControl w:val="0"/>
              <w:tabs>
                <w:tab w:val="left" w:pos="567"/>
              </w:tabs>
              <w:rPr>
                <w:rStyle w:val="Oldalszm"/>
                <w:i/>
                <w:szCs w:val="22"/>
                <w:lang w:val="hu-HU"/>
              </w:rPr>
            </w:pPr>
            <w:r>
              <w:rPr>
                <w:rStyle w:val="Oldalszm"/>
                <w:i/>
                <w:lang w:val="hu-HU"/>
              </w:rPr>
              <w:t>Érbetegségek és tünetek</w:t>
            </w:r>
          </w:p>
        </w:tc>
        <w:tc>
          <w:tcPr>
            <w:tcW w:w="3695" w:type="dxa"/>
            <w:shd w:val="clear" w:color="auto" w:fill="auto"/>
            <w:vAlign w:val="center"/>
          </w:tcPr>
          <w:p w14:paraId="29A45EC0" w14:textId="77777777" w:rsidR="00835B06" w:rsidRDefault="004D03F7">
            <w:pPr>
              <w:widowControl w:val="0"/>
              <w:rPr>
                <w:szCs w:val="22"/>
                <w:lang w:val="hu-HU"/>
              </w:rPr>
            </w:pPr>
            <w:r>
              <w:rPr>
                <w:szCs w:val="22"/>
              </w:rPr>
              <w:t>hőhullámok; magas vérnyomás</w:t>
            </w:r>
          </w:p>
        </w:tc>
        <w:tc>
          <w:tcPr>
            <w:tcW w:w="1549" w:type="dxa"/>
            <w:shd w:val="clear" w:color="auto" w:fill="auto"/>
            <w:vAlign w:val="center"/>
          </w:tcPr>
          <w:p w14:paraId="21D3C810"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54AEDF42"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21D12621" w14:textId="77777777">
        <w:trPr>
          <w:gridAfter w:val="1"/>
          <w:wAfter w:w="40" w:type="dxa"/>
          <w:cantSplit/>
          <w:trHeight w:val="275"/>
        </w:trPr>
        <w:tc>
          <w:tcPr>
            <w:tcW w:w="2293" w:type="dxa"/>
            <w:vMerge w:val="restart"/>
            <w:shd w:val="clear" w:color="auto" w:fill="auto"/>
          </w:tcPr>
          <w:p w14:paraId="4DF9663D" w14:textId="77777777" w:rsidR="00835B06" w:rsidRDefault="004D03F7">
            <w:pPr>
              <w:pStyle w:val="Szvegtrzs"/>
              <w:rPr>
                <w:i/>
                <w:szCs w:val="22"/>
                <w:lang w:val="hu-HU"/>
              </w:rPr>
            </w:pPr>
            <w:r>
              <w:rPr>
                <w:i/>
                <w:szCs w:val="22"/>
                <w:lang w:val="hu-HU"/>
              </w:rPr>
              <w:t>Légzőrendszeri, mellkasi és mediastinalis betegségek és tünetek</w:t>
            </w:r>
          </w:p>
        </w:tc>
        <w:tc>
          <w:tcPr>
            <w:tcW w:w="3695" w:type="dxa"/>
            <w:shd w:val="clear" w:color="auto" w:fill="auto"/>
            <w:vAlign w:val="center"/>
          </w:tcPr>
          <w:p w14:paraId="73D42326" w14:textId="77777777" w:rsidR="00835B06" w:rsidRDefault="004D03F7">
            <w:pPr>
              <w:widowControl w:val="0"/>
              <w:rPr>
                <w:szCs w:val="22"/>
                <w:lang w:val="hu-HU"/>
              </w:rPr>
            </w:pPr>
            <w:r>
              <w:rPr>
                <w:szCs w:val="22"/>
                <w:lang w:val="hu-HU"/>
              </w:rPr>
              <w:t>köhögés</w:t>
            </w:r>
          </w:p>
        </w:tc>
        <w:tc>
          <w:tcPr>
            <w:tcW w:w="1549" w:type="dxa"/>
            <w:shd w:val="clear" w:color="auto" w:fill="auto"/>
            <w:vAlign w:val="center"/>
          </w:tcPr>
          <w:p w14:paraId="2C5565B6"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632BC929"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3FBC701C" w14:textId="77777777">
        <w:trPr>
          <w:gridAfter w:val="1"/>
          <w:wAfter w:w="40" w:type="dxa"/>
          <w:cantSplit/>
        </w:trPr>
        <w:tc>
          <w:tcPr>
            <w:tcW w:w="2293" w:type="dxa"/>
            <w:vMerge/>
            <w:shd w:val="clear" w:color="auto" w:fill="auto"/>
          </w:tcPr>
          <w:p w14:paraId="6FB0799B"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6036234C" w14:textId="77777777" w:rsidR="00835B06" w:rsidRDefault="004D03F7">
            <w:pPr>
              <w:widowControl w:val="0"/>
              <w:tabs>
                <w:tab w:val="left" w:pos="1315"/>
              </w:tabs>
              <w:rPr>
                <w:szCs w:val="22"/>
                <w:lang w:val="hu-HU" w:eastAsia="en-US"/>
              </w:rPr>
            </w:pPr>
            <w:r>
              <w:rPr>
                <w:szCs w:val="22"/>
                <w:lang w:val="hu-HU"/>
              </w:rPr>
              <w:t>nehézlégzés</w:t>
            </w:r>
          </w:p>
        </w:tc>
        <w:tc>
          <w:tcPr>
            <w:tcW w:w="1549" w:type="dxa"/>
            <w:shd w:val="clear" w:color="auto" w:fill="auto"/>
            <w:vAlign w:val="center"/>
          </w:tcPr>
          <w:p w14:paraId="17F4FB58"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2C5B258D"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0699DCC5" w14:textId="77777777">
        <w:trPr>
          <w:gridAfter w:val="1"/>
          <w:wAfter w:w="40" w:type="dxa"/>
          <w:cantSplit/>
        </w:trPr>
        <w:tc>
          <w:tcPr>
            <w:tcW w:w="2293" w:type="dxa"/>
            <w:vMerge w:val="restart"/>
            <w:shd w:val="clear" w:color="auto" w:fill="auto"/>
          </w:tcPr>
          <w:p w14:paraId="3B25AC80" w14:textId="77777777" w:rsidR="00835B06" w:rsidRDefault="004D03F7">
            <w:pPr>
              <w:pStyle w:val="Szvegtrzs"/>
              <w:rPr>
                <w:rStyle w:val="Oldalszm"/>
                <w:i/>
                <w:szCs w:val="22"/>
                <w:lang w:val="hu-HU"/>
              </w:rPr>
            </w:pPr>
            <w:r>
              <w:rPr>
                <w:i/>
                <w:szCs w:val="22"/>
                <w:lang w:val="hu-HU"/>
              </w:rPr>
              <w:t>Emésztőrendszeri betegségek és tünetek</w:t>
            </w:r>
          </w:p>
        </w:tc>
        <w:tc>
          <w:tcPr>
            <w:tcW w:w="3695" w:type="dxa"/>
            <w:shd w:val="clear" w:color="auto" w:fill="auto"/>
            <w:vAlign w:val="center"/>
          </w:tcPr>
          <w:p w14:paraId="2F578B89" w14:textId="77777777" w:rsidR="00835B06" w:rsidRDefault="004D03F7">
            <w:pPr>
              <w:widowControl w:val="0"/>
              <w:rPr>
                <w:szCs w:val="22"/>
                <w:lang w:val="hu-HU"/>
              </w:rPr>
            </w:pPr>
            <w:r>
              <w:rPr>
                <w:szCs w:val="22"/>
                <w:lang w:val="hu-HU"/>
              </w:rPr>
              <w:t>székrekedés</w:t>
            </w:r>
          </w:p>
        </w:tc>
        <w:tc>
          <w:tcPr>
            <w:tcW w:w="1549" w:type="dxa"/>
            <w:shd w:val="clear" w:color="auto" w:fill="auto"/>
            <w:vAlign w:val="center"/>
          </w:tcPr>
          <w:p w14:paraId="4C90C2DD"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689065AF"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39D393BB" w14:textId="77777777">
        <w:trPr>
          <w:gridAfter w:val="1"/>
          <w:wAfter w:w="40" w:type="dxa"/>
          <w:cantSplit/>
        </w:trPr>
        <w:tc>
          <w:tcPr>
            <w:tcW w:w="2293" w:type="dxa"/>
            <w:vMerge/>
            <w:shd w:val="clear" w:color="auto" w:fill="auto"/>
          </w:tcPr>
          <w:p w14:paraId="57B71E26"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70C7491" w14:textId="77777777" w:rsidR="00835B06" w:rsidRDefault="004D03F7">
            <w:pPr>
              <w:widowControl w:val="0"/>
              <w:rPr>
                <w:szCs w:val="22"/>
                <w:lang w:val="hu-HU"/>
              </w:rPr>
            </w:pPr>
            <w:r>
              <w:rPr>
                <w:szCs w:val="22"/>
                <w:lang w:val="hu-HU"/>
              </w:rPr>
              <w:t>hányinger</w:t>
            </w:r>
          </w:p>
        </w:tc>
        <w:tc>
          <w:tcPr>
            <w:tcW w:w="1549" w:type="dxa"/>
            <w:shd w:val="clear" w:color="auto" w:fill="auto"/>
            <w:vAlign w:val="center"/>
          </w:tcPr>
          <w:p w14:paraId="23E0B392"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7E55BA28"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36E64EAE" w14:textId="77777777">
        <w:trPr>
          <w:gridAfter w:val="1"/>
          <w:wAfter w:w="40" w:type="dxa"/>
          <w:cantSplit/>
        </w:trPr>
        <w:tc>
          <w:tcPr>
            <w:tcW w:w="2293" w:type="dxa"/>
            <w:vMerge/>
            <w:shd w:val="clear" w:color="auto" w:fill="auto"/>
          </w:tcPr>
          <w:p w14:paraId="04D748E0"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521367FB" w14:textId="77777777" w:rsidR="00835B06" w:rsidRDefault="004D03F7">
            <w:pPr>
              <w:widowControl w:val="0"/>
              <w:tabs>
                <w:tab w:val="left" w:pos="1315"/>
              </w:tabs>
              <w:rPr>
                <w:szCs w:val="22"/>
                <w:lang w:val="hu-HU" w:eastAsia="en-US"/>
              </w:rPr>
            </w:pPr>
            <w:r>
              <w:rPr>
                <w:szCs w:val="22"/>
                <w:lang w:val="hu-HU"/>
              </w:rPr>
              <w:t>hasi fájdalom</w:t>
            </w:r>
          </w:p>
        </w:tc>
        <w:tc>
          <w:tcPr>
            <w:tcW w:w="1549" w:type="dxa"/>
            <w:shd w:val="clear" w:color="auto" w:fill="auto"/>
            <w:vAlign w:val="center"/>
          </w:tcPr>
          <w:p w14:paraId="4D88E146"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17371326"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7E4DD0BD" w14:textId="77777777">
        <w:trPr>
          <w:gridAfter w:val="1"/>
          <w:wAfter w:w="40" w:type="dxa"/>
          <w:cantSplit/>
        </w:trPr>
        <w:tc>
          <w:tcPr>
            <w:tcW w:w="2293" w:type="dxa"/>
            <w:vMerge/>
            <w:shd w:val="clear" w:color="auto" w:fill="auto"/>
          </w:tcPr>
          <w:p w14:paraId="3C6533B1"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117CD5E9" w14:textId="77777777" w:rsidR="00835B06" w:rsidRDefault="004D03F7">
            <w:pPr>
              <w:widowControl w:val="0"/>
              <w:tabs>
                <w:tab w:val="left" w:pos="1315"/>
              </w:tabs>
              <w:rPr>
                <w:szCs w:val="22"/>
                <w:lang w:val="hu-HU" w:eastAsia="en-US"/>
              </w:rPr>
            </w:pPr>
            <w:r>
              <w:rPr>
                <w:szCs w:val="22"/>
                <w:lang w:val="hu-HU"/>
              </w:rPr>
              <w:t>pancreatitis</w:t>
            </w:r>
          </w:p>
        </w:tc>
        <w:tc>
          <w:tcPr>
            <w:tcW w:w="1549" w:type="dxa"/>
            <w:shd w:val="clear" w:color="auto" w:fill="auto"/>
            <w:vAlign w:val="center"/>
          </w:tcPr>
          <w:p w14:paraId="7D26FF7E"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5C247949"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73AAEFE0" w14:textId="77777777">
        <w:trPr>
          <w:gridAfter w:val="1"/>
          <w:wAfter w:w="40" w:type="dxa"/>
          <w:cantSplit/>
        </w:trPr>
        <w:tc>
          <w:tcPr>
            <w:tcW w:w="2293" w:type="dxa"/>
            <w:vMerge/>
            <w:shd w:val="clear" w:color="auto" w:fill="auto"/>
          </w:tcPr>
          <w:p w14:paraId="0A4DE018"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689AAEE4" w14:textId="77777777" w:rsidR="00835B06" w:rsidRDefault="004D03F7">
            <w:pPr>
              <w:widowControl w:val="0"/>
              <w:tabs>
                <w:tab w:val="left" w:pos="1315"/>
              </w:tabs>
              <w:rPr>
                <w:szCs w:val="22"/>
                <w:lang w:val="hu-HU" w:eastAsia="en-US"/>
              </w:rPr>
            </w:pPr>
            <w:r>
              <w:rPr>
                <w:szCs w:val="22"/>
                <w:lang w:val="hu-HU"/>
              </w:rPr>
              <w:t>hasmenés</w:t>
            </w:r>
          </w:p>
        </w:tc>
        <w:tc>
          <w:tcPr>
            <w:tcW w:w="1549" w:type="dxa"/>
            <w:shd w:val="clear" w:color="auto" w:fill="auto"/>
            <w:vAlign w:val="center"/>
          </w:tcPr>
          <w:p w14:paraId="1134472F"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1D9B8E33"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02A04AB0" w14:textId="77777777">
        <w:trPr>
          <w:gridAfter w:val="1"/>
          <w:wAfter w:w="40" w:type="dxa"/>
          <w:cantSplit/>
        </w:trPr>
        <w:tc>
          <w:tcPr>
            <w:tcW w:w="2293" w:type="dxa"/>
            <w:vMerge/>
            <w:shd w:val="clear" w:color="auto" w:fill="auto"/>
          </w:tcPr>
          <w:p w14:paraId="7FC14ACC"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355F8000" w14:textId="77777777" w:rsidR="00835B06" w:rsidRDefault="004D03F7">
            <w:pPr>
              <w:widowControl w:val="0"/>
              <w:tabs>
                <w:tab w:val="left" w:pos="1315"/>
              </w:tabs>
              <w:rPr>
                <w:szCs w:val="22"/>
                <w:lang w:val="hu-HU" w:eastAsia="en-US"/>
              </w:rPr>
            </w:pPr>
            <w:r>
              <w:rPr>
                <w:szCs w:val="22"/>
                <w:lang w:val="hu-HU" w:eastAsia="en-US"/>
              </w:rPr>
              <w:t>szájszárazság</w:t>
            </w:r>
          </w:p>
        </w:tc>
        <w:tc>
          <w:tcPr>
            <w:tcW w:w="1549" w:type="dxa"/>
            <w:shd w:val="clear" w:color="auto" w:fill="auto"/>
            <w:vAlign w:val="center"/>
          </w:tcPr>
          <w:p w14:paraId="2BBE5EA3"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41415680"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0B231C8F" w14:textId="77777777">
        <w:trPr>
          <w:gridAfter w:val="1"/>
          <w:wAfter w:w="40" w:type="dxa"/>
          <w:cantSplit/>
        </w:trPr>
        <w:tc>
          <w:tcPr>
            <w:tcW w:w="2293" w:type="dxa"/>
            <w:vMerge/>
            <w:shd w:val="clear" w:color="auto" w:fill="auto"/>
          </w:tcPr>
          <w:p w14:paraId="5A5E01C6"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6376FFD7" w14:textId="77777777" w:rsidR="00835B06" w:rsidRDefault="004D03F7">
            <w:pPr>
              <w:widowControl w:val="0"/>
              <w:tabs>
                <w:tab w:val="left" w:pos="1315"/>
              </w:tabs>
              <w:rPr>
                <w:szCs w:val="22"/>
                <w:lang w:val="hu-HU" w:eastAsia="en-US"/>
              </w:rPr>
            </w:pPr>
            <w:r>
              <w:rPr>
                <w:szCs w:val="22"/>
                <w:lang w:val="hu-HU" w:eastAsia="en-US"/>
              </w:rPr>
              <w:t>gastritis</w:t>
            </w:r>
          </w:p>
        </w:tc>
        <w:tc>
          <w:tcPr>
            <w:tcW w:w="1549" w:type="dxa"/>
            <w:shd w:val="clear" w:color="auto" w:fill="auto"/>
            <w:vAlign w:val="center"/>
          </w:tcPr>
          <w:p w14:paraId="6741D610"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63BE006C"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6D3B4344" w14:textId="77777777">
        <w:trPr>
          <w:gridAfter w:val="1"/>
          <w:wAfter w:w="40" w:type="dxa"/>
          <w:cantSplit/>
        </w:trPr>
        <w:tc>
          <w:tcPr>
            <w:tcW w:w="2293" w:type="dxa"/>
            <w:vMerge/>
            <w:shd w:val="clear" w:color="auto" w:fill="auto"/>
          </w:tcPr>
          <w:p w14:paraId="5D0B4DF3" w14:textId="77777777" w:rsidR="00835B06" w:rsidRDefault="00835B06">
            <w:pPr>
              <w:pStyle w:val="Szvegtrzs"/>
              <w:rPr>
                <w:i/>
                <w:szCs w:val="22"/>
                <w:lang w:val="hu-HU"/>
              </w:rPr>
            </w:pPr>
          </w:p>
        </w:tc>
        <w:tc>
          <w:tcPr>
            <w:tcW w:w="3695" w:type="dxa"/>
            <w:shd w:val="clear" w:color="auto" w:fill="auto"/>
            <w:vAlign w:val="center"/>
          </w:tcPr>
          <w:p w14:paraId="15BA3F5E" w14:textId="77777777" w:rsidR="00835B06" w:rsidRDefault="004D03F7">
            <w:pPr>
              <w:widowControl w:val="0"/>
              <w:tabs>
                <w:tab w:val="left" w:pos="1315"/>
              </w:tabs>
              <w:rPr>
                <w:szCs w:val="22"/>
                <w:lang w:val="hu-HU"/>
              </w:rPr>
            </w:pPr>
            <w:r>
              <w:rPr>
                <w:szCs w:val="22"/>
                <w:lang w:val="hu-HU"/>
              </w:rPr>
              <w:t>flatulencia</w:t>
            </w:r>
          </w:p>
        </w:tc>
        <w:tc>
          <w:tcPr>
            <w:tcW w:w="1549" w:type="dxa"/>
            <w:shd w:val="clear" w:color="auto" w:fill="auto"/>
            <w:vAlign w:val="center"/>
          </w:tcPr>
          <w:p w14:paraId="251DB5B1"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7FD01825"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089B712C" w14:textId="77777777">
        <w:trPr>
          <w:gridAfter w:val="1"/>
          <w:wAfter w:w="40" w:type="dxa"/>
          <w:cantSplit/>
        </w:trPr>
        <w:tc>
          <w:tcPr>
            <w:tcW w:w="2293" w:type="dxa"/>
            <w:vMerge/>
            <w:shd w:val="clear" w:color="auto" w:fill="auto"/>
          </w:tcPr>
          <w:p w14:paraId="1590836A" w14:textId="77777777" w:rsidR="00835B06" w:rsidRDefault="00835B06">
            <w:pPr>
              <w:pStyle w:val="Szvegtrzs"/>
              <w:rPr>
                <w:i/>
                <w:szCs w:val="22"/>
                <w:lang w:val="hu-HU"/>
              </w:rPr>
            </w:pPr>
          </w:p>
        </w:tc>
        <w:tc>
          <w:tcPr>
            <w:tcW w:w="3695" w:type="dxa"/>
            <w:shd w:val="clear" w:color="auto" w:fill="auto"/>
            <w:vAlign w:val="center"/>
          </w:tcPr>
          <w:p w14:paraId="640E28C9" w14:textId="77777777" w:rsidR="00835B06" w:rsidRDefault="004D03F7">
            <w:pPr>
              <w:widowControl w:val="0"/>
              <w:tabs>
                <w:tab w:val="left" w:pos="1315"/>
              </w:tabs>
              <w:rPr>
                <w:szCs w:val="22"/>
                <w:lang w:val="hu-HU"/>
              </w:rPr>
            </w:pPr>
            <w:r>
              <w:rPr>
                <w:szCs w:val="22"/>
              </w:rPr>
              <w:t>dyspepsia; gastrooesophagealis reflux</w:t>
            </w:r>
            <w:r>
              <w:rPr>
                <w:szCs w:val="22"/>
              </w:rPr>
              <w:noBreakHyphen/>
              <w:t>betegség</w:t>
            </w:r>
          </w:p>
        </w:tc>
        <w:tc>
          <w:tcPr>
            <w:tcW w:w="1549" w:type="dxa"/>
            <w:shd w:val="clear" w:color="auto" w:fill="auto"/>
            <w:vAlign w:val="center"/>
          </w:tcPr>
          <w:p w14:paraId="0E3F9877"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38C8C0DB"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24336A3B" w14:textId="77777777">
        <w:trPr>
          <w:gridAfter w:val="1"/>
          <w:wAfter w:w="40" w:type="dxa"/>
          <w:cantSplit/>
        </w:trPr>
        <w:tc>
          <w:tcPr>
            <w:tcW w:w="2293" w:type="dxa"/>
            <w:vMerge w:val="restart"/>
            <w:shd w:val="clear" w:color="auto" w:fill="auto"/>
          </w:tcPr>
          <w:p w14:paraId="4E514FC5" w14:textId="77777777" w:rsidR="00835B06" w:rsidRDefault="004D03F7">
            <w:pPr>
              <w:pStyle w:val="Szvegtrzs"/>
              <w:rPr>
                <w:i/>
                <w:szCs w:val="22"/>
                <w:lang w:val="hu-HU"/>
              </w:rPr>
            </w:pPr>
            <w:r>
              <w:rPr>
                <w:i/>
                <w:szCs w:val="22"/>
                <w:lang w:val="hu-HU"/>
              </w:rPr>
              <w:t>Máj- és epebetegségek, illetve tünetek</w:t>
            </w:r>
          </w:p>
        </w:tc>
        <w:tc>
          <w:tcPr>
            <w:tcW w:w="3695" w:type="dxa"/>
            <w:shd w:val="clear" w:color="auto" w:fill="auto"/>
            <w:vAlign w:val="center"/>
          </w:tcPr>
          <w:p w14:paraId="206E078B" w14:textId="77777777" w:rsidR="00835B06" w:rsidRDefault="004D03F7">
            <w:pPr>
              <w:widowControl w:val="0"/>
              <w:tabs>
                <w:tab w:val="left" w:pos="1315"/>
              </w:tabs>
              <w:rPr>
                <w:szCs w:val="22"/>
                <w:lang w:val="hu-HU" w:eastAsia="en-US"/>
              </w:rPr>
            </w:pPr>
            <w:r>
              <w:rPr>
                <w:szCs w:val="22"/>
                <w:lang w:val="hu-HU"/>
              </w:rPr>
              <w:t>emelkedett transzaminázszintek</w:t>
            </w:r>
          </w:p>
        </w:tc>
        <w:tc>
          <w:tcPr>
            <w:tcW w:w="1549" w:type="dxa"/>
            <w:shd w:val="clear" w:color="auto" w:fill="auto"/>
            <w:vAlign w:val="center"/>
          </w:tcPr>
          <w:p w14:paraId="38242435"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5D8DCE62"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6455EF38" w14:textId="77777777">
        <w:trPr>
          <w:gridAfter w:val="1"/>
          <w:wAfter w:w="40" w:type="dxa"/>
          <w:cantSplit/>
          <w:trHeight w:val="112"/>
        </w:trPr>
        <w:tc>
          <w:tcPr>
            <w:tcW w:w="2293" w:type="dxa"/>
            <w:vMerge/>
            <w:shd w:val="clear" w:color="auto" w:fill="auto"/>
          </w:tcPr>
          <w:p w14:paraId="637F3119"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18B79DB" w14:textId="77777777" w:rsidR="00835B06" w:rsidRDefault="004D03F7">
            <w:pPr>
              <w:widowControl w:val="0"/>
              <w:rPr>
                <w:szCs w:val="22"/>
                <w:lang w:val="hu-HU"/>
              </w:rPr>
            </w:pPr>
            <w:r>
              <w:rPr>
                <w:szCs w:val="22"/>
                <w:lang w:val="hu-HU"/>
              </w:rPr>
              <w:t>icterus</w:t>
            </w:r>
          </w:p>
        </w:tc>
        <w:tc>
          <w:tcPr>
            <w:tcW w:w="1549" w:type="dxa"/>
            <w:shd w:val="clear" w:color="auto" w:fill="auto"/>
            <w:vAlign w:val="center"/>
          </w:tcPr>
          <w:p w14:paraId="7ECE7E01"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52C4D616"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40AE06FA" w14:textId="77777777">
        <w:trPr>
          <w:gridAfter w:val="1"/>
          <w:wAfter w:w="40" w:type="dxa"/>
          <w:cantSplit/>
        </w:trPr>
        <w:tc>
          <w:tcPr>
            <w:tcW w:w="2293" w:type="dxa"/>
            <w:vMerge/>
            <w:shd w:val="clear" w:color="auto" w:fill="auto"/>
          </w:tcPr>
          <w:p w14:paraId="4FC72064"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5328F7F" w14:textId="77777777" w:rsidR="00835B06" w:rsidRDefault="004D03F7">
            <w:pPr>
              <w:widowControl w:val="0"/>
              <w:tabs>
                <w:tab w:val="left" w:pos="1315"/>
              </w:tabs>
              <w:rPr>
                <w:szCs w:val="22"/>
                <w:lang w:val="hu-HU" w:eastAsia="en-US"/>
              </w:rPr>
            </w:pPr>
            <w:r>
              <w:rPr>
                <w:szCs w:val="22"/>
                <w:lang w:val="hu-HU"/>
              </w:rPr>
              <w:t>hepatitis</w:t>
            </w:r>
          </w:p>
        </w:tc>
        <w:tc>
          <w:tcPr>
            <w:tcW w:w="1549" w:type="dxa"/>
            <w:shd w:val="clear" w:color="auto" w:fill="auto"/>
            <w:vAlign w:val="center"/>
          </w:tcPr>
          <w:p w14:paraId="1FB7B595"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65BDE2AD"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5B15C548" w14:textId="77777777">
        <w:trPr>
          <w:gridAfter w:val="1"/>
          <w:wAfter w:w="40" w:type="dxa"/>
          <w:cantSplit/>
        </w:trPr>
        <w:tc>
          <w:tcPr>
            <w:tcW w:w="2293" w:type="dxa"/>
            <w:vMerge/>
            <w:shd w:val="clear" w:color="auto" w:fill="auto"/>
          </w:tcPr>
          <w:p w14:paraId="6F4E6F85"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F194531" w14:textId="77777777" w:rsidR="00835B06" w:rsidRDefault="004D03F7">
            <w:pPr>
              <w:widowControl w:val="0"/>
              <w:tabs>
                <w:tab w:val="left" w:pos="1315"/>
              </w:tabs>
              <w:rPr>
                <w:szCs w:val="22"/>
                <w:lang w:val="hu-HU"/>
              </w:rPr>
            </w:pPr>
            <w:r>
              <w:rPr>
                <w:szCs w:val="22"/>
                <w:lang w:val="hu-HU"/>
              </w:rPr>
              <w:t>cholelithiasis</w:t>
            </w:r>
          </w:p>
        </w:tc>
        <w:tc>
          <w:tcPr>
            <w:tcW w:w="1549" w:type="dxa"/>
            <w:shd w:val="clear" w:color="auto" w:fill="auto"/>
            <w:vAlign w:val="center"/>
          </w:tcPr>
          <w:p w14:paraId="778036A6"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0CBD73F2"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674D1CDD" w14:textId="77777777">
        <w:trPr>
          <w:gridAfter w:val="1"/>
          <w:wAfter w:w="40" w:type="dxa"/>
          <w:cantSplit/>
        </w:trPr>
        <w:tc>
          <w:tcPr>
            <w:tcW w:w="2293" w:type="dxa"/>
            <w:vMerge/>
            <w:tcBorders>
              <w:bottom w:val="single" w:sz="4" w:space="0" w:color="auto"/>
            </w:tcBorders>
            <w:shd w:val="clear" w:color="auto" w:fill="auto"/>
          </w:tcPr>
          <w:p w14:paraId="6D3E4819"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0960EB56" w14:textId="77777777" w:rsidR="00835B06" w:rsidRDefault="004D03F7">
            <w:pPr>
              <w:widowControl w:val="0"/>
              <w:tabs>
                <w:tab w:val="left" w:pos="1315"/>
              </w:tabs>
              <w:rPr>
                <w:szCs w:val="22"/>
                <w:lang w:val="hu-HU" w:eastAsia="en-US"/>
              </w:rPr>
            </w:pPr>
            <w:r>
              <w:rPr>
                <w:szCs w:val="22"/>
                <w:lang w:val="hu-HU" w:eastAsia="en-US"/>
              </w:rPr>
              <w:t>cholecystitis</w:t>
            </w:r>
          </w:p>
        </w:tc>
        <w:tc>
          <w:tcPr>
            <w:tcW w:w="1549" w:type="dxa"/>
            <w:shd w:val="clear" w:color="auto" w:fill="auto"/>
            <w:vAlign w:val="center"/>
          </w:tcPr>
          <w:p w14:paraId="6630E648"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7CFF4027"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4BCBCEB5" w14:textId="77777777">
        <w:trPr>
          <w:gridAfter w:val="1"/>
          <w:wAfter w:w="40" w:type="dxa"/>
          <w:cantSplit/>
        </w:trPr>
        <w:tc>
          <w:tcPr>
            <w:tcW w:w="2293" w:type="dxa"/>
            <w:vMerge w:val="restart"/>
            <w:shd w:val="clear" w:color="auto" w:fill="auto"/>
          </w:tcPr>
          <w:p w14:paraId="14593E80" w14:textId="77777777" w:rsidR="00835B06" w:rsidRDefault="004D03F7">
            <w:pPr>
              <w:pStyle w:val="Szvegtrzs"/>
              <w:rPr>
                <w:rStyle w:val="Oldalszm"/>
                <w:i/>
                <w:szCs w:val="22"/>
                <w:lang w:val="hu-HU"/>
              </w:rPr>
            </w:pPr>
            <w:r>
              <w:rPr>
                <w:i/>
                <w:szCs w:val="22"/>
                <w:lang w:val="hu-HU"/>
              </w:rPr>
              <w:t>A bőr és a bőr alatti szövet betegségei és tünetei</w:t>
            </w:r>
          </w:p>
        </w:tc>
        <w:tc>
          <w:tcPr>
            <w:tcW w:w="3695" w:type="dxa"/>
            <w:shd w:val="clear" w:color="auto" w:fill="auto"/>
            <w:vAlign w:val="center"/>
          </w:tcPr>
          <w:p w14:paraId="3EBF83C6" w14:textId="77777777" w:rsidR="00835B06" w:rsidRDefault="004D03F7">
            <w:pPr>
              <w:widowControl w:val="0"/>
              <w:rPr>
                <w:szCs w:val="22"/>
                <w:lang w:val="hu-HU"/>
              </w:rPr>
            </w:pPr>
            <w:r>
              <w:rPr>
                <w:szCs w:val="22"/>
                <w:lang w:val="hu-HU"/>
              </w:rPr>
              <w:t>pruritus</w:t>
            </w:r>
          </w:p>
        </w:tc>
        <w:tc>
          <w:tcPr>
            <w:tcW w:w="1549" w:type="dxa"/>
            <w:shd w:val="clear" w:color="auto" w:fill="auto"/>
            <w:vAlign w:val="center"/>
          </w:tcPr>
          <w:p w14:paraId="542F2383" w14:textId="77777777" w:rsidR="00835B06" w:rsidRDefault="004D03F7">
            <w:pPr>
              <w:widowControl w:val="0"/>
              <w:tabs>
                <w:tab w:val="left" w:pos="567"/>
              </w:tabs>
              <w:jc w:val="center"/>
              <w:rPr>
                <w:szCs w:val="22"/>
                <w:lang w:val="hu-HU" w:eastAsia="en-US"/>
              </w:rPr>
            </w:pPr>
            <w:r>
              <w:rPr>
                <w:szCs w:val="22"/>
                <w:lang w:val="hu-HU" w:eastAsia="en-US"/>
              </w:rPr>
              <w:t>Nem gyakori</w:t>
            </w:r>
          </w:p>
        </w:tc>
        <w:tc>
          <w:tcPr>
            <w:tcW w:w="1756" w:type="dxa"/>
            <w:vAlign w:val="center"/>
          </w:tcPr>
          <w:p w14:paraId="2F72379A"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1EB11FB9" w14:textId="77777777">
        <w:trPr>
          <w:gridAfter w:val="1"/>
          <w:wAfter w:w="40" w:type="dxa"/>
          <w:cantSplit/>
        </w:trPr>
        <w:tc>
          <w:tcPr>
            <w:tcW w:w="2293" w:type="dxa"/>
            <w:vMerge/>
            <w:shd w:val="clear" w:color="auto" w:fill="auto"/>
          </w:tcPr>
          <w:p w14:paraId="64C5E5B2"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1709C5BE" w14:textId="77777777" w:rsidR="00835B06" w:rsidRDefault="004D03F7">
            <w:pPr>
              <w:widowControl w:val="0"/>
              <w:rPr>
                <w:szCs w:val="22"/>
                <w:lang w:val="hu-HU"/>
              </w:rPr>
            </w:pPr>
            <w:r>
              <w:rPr>
                <w:szCs w:val="22"/>
                <w:lang w:val="hu-HU"/>
              </w:rPr>
              <w:t>bőrkiütés</w:t>
            </w:r>
          </w:p>
        </w:tc>
        <w:tc>
          <w:tcPr>
            <w:tcW w:w="1549" w:type="dxa"/>
            <w:shd w:val="clear" w:color="auto" w:fill="auto"/>
            <w:vAlign w:val="center"/>
          </w:tcPr>
          <w:p w14:paraId="6CF3C8F6" w14:textId="77777777" w:rsidR="00835B06" w:rsidRDefault="004D03F7">
            <w:pPr>
              <w:widowControl w:val="0"/>
              <w:tabs>
                <w:tab w:val="left" w:pos="567"/>
              </w:tabs>
              <w:jc w:val="center"/>
              <w:rPr>
                <w:szCs w:val="22"/>
                <w:lang w:val="hu-HU" w:eastAsia="en-US"/>
              </w:rPr>
            </w:pPr>
            <w:r>
              <w:rPr>
                <w:szCs w:val="22"/>
                <w:lang w:val="hu-HU" w:eastAsia="en-US"/>
              </w:rPr>
              <w:t>Nem gyakori</w:t>
            </w:r>
          </w:p>
        </w:tc>
        <w:tc>
          <w:tcPr>
            <w:tcW w:w="1756" w:type="dxa"/>
            <w:vAlign w:val="center"/>
          </w:tcPr>
          <w:p w14:paraId="5F717562"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662DD50C" w14:textId="77777777">
        <w:trPr>
          <w:gridAfter w:val="1"/>
          <w:wAfter w:w="40" w:type="dxa"/>
          <w:cantSplit/>
        </w:trPr>
        <w:tc>
          <w:tcPr>
            <w:tcW w:w="2293" w:type="dxa"/>
            <w:vMerge/>
            <w:shd w:val="clear" w:color="auto" w:fill="auto"/>
          </w:tcPr>
          <w:p w14:paraId="0C1ABDFF"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78F7A58B" w14:textId="77777777" w:rsidR="00835B06" w:rsidRDefault="004D03F7">
            <w:pPr>
              <w:widowControl w:val="0"/>
              <w:tabs>
                <w:tab w:val="left" w:pos="1315"/>
              </w:tabs>
              <w:rPr>
                <w:szCs w:val="22"/>
                <w:lang w:val="hu-HU" w:eastAsia="en-US"/>
              </w:rPr>
            </w:pPr>
            <w:r>
              <w:rPr>
                <w:szCs w:val="22"/>
                <w:lang w:val="hu-HU"/>
              </w:rPr>
              <w:t>urticaria</w:t>
            </w:r>
          </w:p>
        </w:tc>
        <w:tc>
          <w:tcPr>
            <w:tcW w:w="1549" w:type="dxa"/>
            <w:shd w:val="clear" w:color="auto" w:fill="auto"/>
            <w:vAlign w:val="center"/>
          </w:tcPr>
          <w:p w14:paraId="4F96B164" w14:textId="77777777" w:rsidR="00835B06" w:rsidRDefault="004D03F7">
            <w:pPr>
              <w:widowControl w:val="0"/>
              <w:tabs>
                <w:tab w:val="left" w:pos="567"/>
              </w:tabs>
              <w:jc w:val="center"/>
              <w:rPr>
                <w:szCs w:val="22"/>
                <w:lang w:val="hu-HU" w:eastAsia="en-US"/>
              </w:rPr>
            </w:pPr>
            <w:r>
              <w:rPr>
                <w:szCs w:val="22"/>
                <w:lang w:val="hu-HU" w:eastAsia="en-US"/>
              </w:rPr>
              <w:t>Nem gyakori</w:t>
            </w:r>
          </w:p>
        </w:tc>
        <w:tc>
          <w:tcPr>
            <w:tcW w:w="1756" w:type="dxa"/>
            <w:vAlign w:val="center"/>
          </w:tcPr>
          <w:p w14:paraId="632038BF"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77389413" w14:textId="77777777">
        <w:trPr>
          <w:gridAfter w:val="1"/>
          <w:wAfter w:w="40" w:type="dxa"/>
          <w:cantSplit/>
        </w:trPr>
        <w:tc>
          <w:tcPr>
            <w:tcW w:w="2293" w:type="dxa"/>
            <w:vMerge/>
            <w:shd w:val="clear" w:color="auto" w:fill="auto"/>
          </w:tcPr>
          <w:p w14:paraId="07530926"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1792BDD7" w14:textId="77777777" w:rsidR="00835B06" w:rsidRDefault="004D03F7">
            <w:pPr>
              <w:widowControl w:val="0"/>
              <w:tabs>
                <w:tab w:val="left" w:pos="1315"/>
              </w:tabs>
              <w:rPr>
                <w:szCs w:val="22"/>
                <w:lang w:val="hu-HU" w:eastAsia="en-US"/>
              </w:rPr>
            </w:pPr>
            <w:r>
              <w:rPr>
                <w:szCs w:val="22"/>
                <w:lang w:val="hu-HU"/>
              </w:rPr>
              <w:t>Stevens–Johnson-szindróma, eosinophyliával és szisztémás tünetekkel járó gyógyszerreakció (DRESS)</w:t>
            </w:r>
          </w:p>
        </w:tc>
        <w:tc>
          <w:tcPr>
            <w:tcW w:w="1549" w:type="dxa"/>
            <w:shd w:val="clear" w:color="auto" w:fill="auto"/>
            <w:vAlign w:val="center"/>
          </w:tcPr>
          <w:p w14:paraId="73899C12"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01355CDF"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4F67AA0D" w14:textId="77777777">
        <w:trPr>
          <w:gridAfter w:val="1"/>
          <w:wAfter w:w="40" w:type="dxa"/>
          <w:cantSplit/>
        </w:trPr>
        <w:tc>
          <w:tcPr>
            <w:tcW w:w="2293" w:type="dxa"/>
            <w:vMerge/>
            <w:shd w:val="clear" w:color="auto" w:fill="auto"/>
          </w:tcPr>
          <w:p w14:paraId="50959E87"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16EF8F91" w14:textId="77777777" w:rsidR="00835B06" w:rsidRDefault="004D03F7">
            <w:pPr>
              <w:widowControl w:val="0"/>
              <w:tabs>
                <w:tab w:val="left" w:pos="1315"/>
              </w:tabs>
              <w:rPr>
                <w:szCs w:val="22"/>
                <w:lang w:val="hu-HU" w:eastAsia="en-US"/>
              </w:rPr>
            </w:pPr>
            <w:r>
              <w:rPr>
                <w:szCs w:val="22"/>
                <w:lang w:val="hu-HU" w:eastAsia="en-US"/>
              </w:rPr>
              <w:t>erythema multiforme</w:t>
            </w:r>
          </w:p>
        </w:tc>
        <w:tc>
          <w:tcPr>
            <w:tcW w:w="1549" w:type="dxa"/>
            <w:shd w:val="clear" w:color="auto" w:fill="auto"/>
            <w:vAlign w:val="center"/>
          </w:tcPr>
          <w:p w14:paraId="7F635E13"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221D0C25"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0D75BFAB" w14:textId="77777777">
        <w:trPr>
          <w:gridAfter w:val="1"/>
          <w:wAfter w:w="40" w:type="dxa"/>
          <w:cantSplit/>
        </w:trPr>
        <w:tc>
          <w:tcPr>
            <w:tcW w:w="2293" w:type="dxa"/>
            <w:vMerge w:val="restart"/>
            <w:shd w:val="clear" w:color="auto" w:fill="auto"/>
          </w:tcPr>
          <w:p w14:paraId="56F3A0EB" w14:textId="77777777" w:rsidR="00835B06" w:rsidRDefault="004D03F7">
            <w:pPr>
              <w:pStyle w:val="Szvegtrzs"/>
              <w:rPr>
                <w:i/>
                <w:szCs w:val="22"/>
                <w:lang w:val="hu-HU"/>
              </w:rPr>
            </w:pPr>
            <w:r>
              <w:rPr>
                <w:i/>
                <w:szCs w:val="22"/>
                <w:lang w:val="hu-HU"/>
              </w:rPr>
              <w:t>A csont- és izomrendszer, valamint a kötőszövet betegségei és tünetei</w:t>
            </w:r>
          </w:p>
        </w:tc>
        <w:tc>
          <w:tcPr>
            <w:tcW w:w="3695" w:type="dxa"/>
            <w:shd w:val="clear" w:color="auto" w:fill="auto"/>
            <w:vAlign w:val="center"/>
          </w:tcPr>
          <w:p w14:paraId="5B713C4C" w14:textId="77777777" w:rsidR="00835B06" w:rsidRDefault="004D03F7">
            <w:pPr>
              <w:widowControl w:val="0"/>
              <w:tabs>
                <w:tab w:val="left" w:pos="1315"/>
              </w:tabs>
              <w:rPr>
                <w:szCs w:val="22"/>
                <w:lang w:val="hu-HU" w:eastAsia="en-US"/>
              </w:rPr>
            </w:pPr>
            <w:r>
              <w:rPr>
                <w:szCs w:val="22"/>
                <w:lang w:val="hu-HU"/>
              </w:rPr>
              <w:t>myalgia</w:t>
            </w:r>
          </w:p>
        </w:tc>
        <w:tc>
          <w:tcPr>
            <w:tcW w:w="1549" w:type="dxa"/>
            <w:shd w:val="clear" w:color="auto" w:fill="auto"/>
            <w:vAlign w:val="center"/>
          </w:tcPr>
          <w:p w14:paraId="22232327"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39084617"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09C7F540" w14:textId="77777777">
        <w:trPr>
          <w:gridAfter w:val="1"/>
          <w:wAfter w:w="40" w:type="dxa"/>
          <w:cantSplit/>
        </w:trPr>
        <w:tc>
          <w:tcPr>
            <w:tcW w:w="2293" w:type="dxa"/>
            <w:vMerge/>
            <w:shd w:val="clear" w:color="auto" w:fill="auto"/>
          </w:tcPr>
          <w:p w14:paraId="7946B864"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291CDA27" w14:textId="77777777" w:rsidR="00835B06" w:rsidRDefault="004D03F7">
            <w:pPr>
              <w:widowControl w:val="0"/>
              <w:ind w:left="143" w:hanging="143"/>
              <w:rPr>
                <w:szCs w:val="22"/>
                <w:lang w:val="hu-HU"/>
              </w:rPr>
            </w:pPr>
            <w:r>
              <w:rPr>
                <w:szCs w:val="22"/>
                <w:lang w:val="hu-HU"/>
              </w:rPr>
              <w:t>myopathia (pl. myositis)</w:t>
            </w:r>
          </w:p>
        </w:tc>
        <w:tc>
          <w:tcPr>
            <w:tcW w:w="1549" w:type="dxa"/>
            <w:shd w:val="clear" w:color="auto" w:fill="auto"/>
            <w:vAlign w:val="center"/>
          </w:tcPr>
          <w:p w14:paraId="52E9CD87"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6E7E9932"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37BEB229" w14:textId="77777777">
        <w:trPr>
          <w:gridAfter w:val="1"/>
          <w:wAfter w:w="40" w:type="dxa"/>
          <w:cantSplit/>
        </w:trPr>
        <w:tc>
          <w:tcPr>
            <w:tcW w:w="2293" w:type="dxa"/>
            <w:vMerge/>
            <w:shd w:val="clear" w:color="auto" w:fill="auto"/>
          </w:tcPr>
          <w:p w14:paraId="571842E2"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58CABF80" w14:textId="77777777" w:rsidR="00835B06" w:rsidRDefault="004D03F7">
            <w:pPr>
              <w:widowControl w:val="0"/>
              <w:tabs>
                <w:tab w:val="left" w:pos="1315"/>
              </w:tabs>
              <w:rPr>
                <w:szCs w:val="22"/>
                <w:lang w:val="hu-HU" w:eastAsia="en-US"/>
              </w:rPr>
            </w:pPr>
            <w:r>
              <w:rPr>
                <w:szCs w:val="22"/>
                <w:lang w:val="hu-HU"/>
              </w:rPr>
              <w:t>rhabdomyolysis</w:t>
            </w:r>
          </w:p>
        </w:tc>
        <w:tc>
          <w:tcPr>
            <w:tcW w:w="1549" w:type="dxa"/>
            <w:shd w:val="clear" w:color="auto" w:fill="auto"/>
            <w:vAlign w:val="center"/>
          </w:tcPr>
          <w:p w14:paraId="752184D0"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21F10E4F" w14:textId="77777777" w:rsidR="00835B06" w:rsidRDefault="004D03F7">
            <w:pPr>
              <w:widowControl w:val="0"/>
              <w:tabs>
                <w:tab w:val="left" w:pos="567"/>
              </w:tabs>
              <w:jc w:val="center"/>
              <w:rPr>
                <w:szCs w:val="22"/>
                <w:lang w:val="hu-HU" w:eastAsia="en-US"/>
              </w:rPr>
            </w:pPr>
            <w:r>
              <w:rPr>
                <w:szCs w:val="22"/>
                <w:lang w:val="hu-HU" w:eastAsia="en-US"/>
              </w:rPr>
              <w:t>Nem ismert</w:t>
            </w:r>
          </w:p>
        </w:tc>
      </w:tr>
      <w:tr w:rsidR="00835B06" w14:paraId="21EC0436" w14:textId="77777777">
        <w:trPr>
          <w:gridAfter w:val="1"/>
          <w:wAfter w:w="40" w:type="dxa"/>
          <w:cantSplit/>
        </w:trPr>
        <w:tc>
          <w:tcPr>
            <w:tcW w:w="2293" w:type="dxa"/>
            <w:vMerge/>
            <w:shd w:val="clear" w:color="auto" w:fill="auto"/>
          </w:tcPr>
          <w:p w14:paraId="29C590FC"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1B57CEF8" w14:textId="77777777" w:rsidR="00835B06" w:rsidRDefault="004D03F7">
            <w:pPr>
              <w:widowControl w:val="0"/>
              <w:tabs>
                <w:tab w:val="left" w:pos="1315"/>
              </w:tabs>
              <w:rPr>
                <w:szCs w:val="22"/>
                <w:lang w:val="hu-HU" w:eastAsia="en-US"/>
              </w:rPr>
            </w:pPr>
            <w:r>
              <w:rPr>
                <w:szCs w:val="22"/>
                <w:lang w:val="hu-HU"/>
              </w:rPr>
              <w:t>ízületi fájdalom</w:t>
            </w:r>
          </w:p>
        </w:tc>
        <w:tc>
          <w:tcPr>
            <w:tcW w:w="1549" w:type="dxa"/>
            <w:shd w:val="clear" w:color="auto" w:fill="auto"/>
            <w:vAlign w:val="center"/>
          </w:tcPr>
          <w:p w14:paraId="12ABB525"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605116FE" w14:textId="77777777" w:rsidR="00835B06" w:rsidRDefault="004D03F7">
            <w:pPr>
              <w:widowControl w:val="0"/>
              <w:tabs>
                <w:tab w:val="left" w:pos="567"/>
              </w:tabs>
              <w:jc w:val="center"/>
              <w:rPr>
                <w:szCs w:val="22"/>
                <w:lang w:val="hu-HU" w:eastAsia="en-US"/>
              </w:rPr>
            </w:pPr>
            <w:r>
              <w:rPr>
                <w:szCs w:val="22"/>
                <w:lang w:val="hu-HU" w:eastAsia="en-US"/>
              </w:rPr>
              <w:t xml:space="preserve"> Nem gyakori</w:t>
            </w:r>
          </w:p>
        </w:tc>
      </w:tr>
      <w:tr w:rsidR="00835B06" w14:paraId="31B925C5" w14:textId="77777777">
        <w:trPr>
          <w:gridAfter w:val="1"/>
          <w:wAfter w:w="40" w:type="dxa"/>
          <w:cantSplit/>
        </w:trPr>
        <w:tc>
          <w:tcPr>
            <w:tcW w:w="2293" w:type="dxa"/>
            <w:vMerge/>
            <w:shd w:val="clear" w:color="auto" w:fill="auto"/>
          </w:tcPr>
          <w:p w14:paraId="766A61B5"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6A3351A4" w14:textId="77777777" w:rsidR="00835B06" w:rsidRDefault="004D03F7">
            <w:pPr>
              <w:widowControl w:val="0"/>
              <w:rPr>
                <w:szCs w:val="22"/>
                <w:lang w:val="hu-HU"/>
              </w:rPr>
            </w:pPr>
            <w:r>
              <w:rPr>
                <w:szCs w:val="22"/>
                <w:lang w:val="hu-HU"/>
              </w:rPr>
              <w:t>immunmediált nekrotizáló myopathia</w:t>
            </w:r>
          </w:p>
        </w:tc>
        <w:tc>
          <w:tcPr>
            <w:tcW w:w="1549" w:type="dxa"/>
            <w:shd w:val="clear" w:color="auto" w:fill="auto"/>
            <w:vAlign w:val="center"/>
          </w:tcPr>
          <w:p w14:paraId="4DCFE834"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3C0BF4BF"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2C286709" w14:textId="77777777">
        <w:trPr>
          <w:gridAfter w:val="1"/>
          <w:wAfter w:w="40" w:type="dxa"/>
          <w:cantSplit/>
        </w:trPr>
        <w:tc>
          <w:tcPr>
            <w:tcW w:w="2293" w:type="dxa"/>
            <w:vMerge/>
            <w:shd w:val="clear" w:color="auto" w:fill="auto"/>
          </w:tcPr>
          <w:p w14:paraId="26EABD00"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166178F4" w14:textId="77777777" w:rsidR="00835B06" w:rsidRDefault="004D03F7">
            <w:pPr>
              <w:widowControl w:val="0"/>
              <w:rPr>
                <w:szCs w:val="22"/>
                <w:lang w:val="hu-HU" w:eastAsia="en-US"/>
              </w:rPr>
            </w:pPr>
            <w:r>
              <w:rPr>
                <w:szCs w:val="22"/>
                <w:lang w:val="hu-HU"/>
              </w:rPr>
              <w:t>ínrendellenességek, olykor ínruptura szövődményként</w:t>
            </w:r>
          </w:p>
        </w:tc>
        <w:tc>
          <w:tcPr>
            <w:tcW w:w="1549" w:type="dxa"/>
            <w:shd w:val="clear" w:color="auto" w:fill="auto"/>
            <w:vAlign w:val="center"/>
          </w:tcPr>
          <w:p w14:paraId="3469D4D9"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5B17691D"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3D9BF854" w14:textId="77777777">
        <w:trPr>
          <w:gridAfter w:val="1"/>
          <w:wAfter w:w="40" w:type="dxa"/>
          <w:cantSplit/>
        </w:trPr>
        <w:tc>
          <w:tcPr>
            <w:tcW w:w="2293" w:type="dxa"/>
            <w:vMerge/>
            <w:shd w:val="clear" w:color="auto" w:fill="auto"/>
          </w:tcPr>
          <w:p w14:paraId="25059485"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621F7A65" w14:textId="77777777" w:rsidR="00835B06" w:rsidRDefault="004D03F7">
            <w:pPr>
              <w:widowControl w:val="0"/>
              <w:rPr>
                <w:szCs w:val="22"/>
                <w:lang w:val="hu-HU"/>
              </w:rPr>
            </w:pPr>
            <w:r>
              <w:rPr>
                <w:szCs w:val="22"/>
                <w:lang w:val="hu-HU"/>
              </w:rPr>
              <w:t>hátfájdalom</w:t>
            </w:r>
          </w:p>
        </w:tc>
        <w:tc>
          <w:tcPr>
            <w:tcW w:w="1549" w:type="dxa"/>
            <w:shd w:val="clear" w:color="auto" w:fill="auto"/>
            <w:vAlign w:val="center"/>
          </w:tcPr>
          <w:p w14:paraId="6CA76ADA"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6DBB1831"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4CABC2DD" w14:textId="77777777">
        <w:trPr>
          <w:gridAfter w:val="1"/>
          <w:wAfter w:w="40" w:type="dxa"/>
          <w:cantSplit/>
        </w:trPr>
        <w:tc>
          <w:tcPr>
            <w:tcW w:w="2293" w:type="dxa"/>
            <w:vMerge/>
            <w:shd w:val="clear" w:color="auto" w:fill="auto"/>
          </w:tcPr>
          <w:p w14:paraId="239270FB"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44050515" w14:textId="77777777" w:rsidR="00835B06" w:rsidRDefault="004D03F7">
            <w:pPr>
              <w:widowControl w:val="0"/>
              <w:rPr>
                <w:szCs w:val="22"/>
                <w:lang w:val="hu-HU"/>
              </w:rPr>
            </w:pPr>
            <w:r>
              <w:rPr>
                <w:szCs w:val="22"/>
                <w:lang w:val="hu-HU"/>
              </w:rPr>
              <w:t>izomgyengeség</w:t>
            </w:r>
          </w:p>
        </w:tc>
        <w:tc>
          <w:tcPr>
            <w:tcW w:w="1549" w:type="dxa"/>
            <w:shd w:val="clear" w:color="auto" w:fill="auto"/>
            <w:vAlign w:val="center"/>
          </w:tcPr>
          <w:p w14:paraId="0FA0BD70"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24903E1E"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2B2F26AC" w14:textId="77777777">
        <w:trPr>
          <w:gridAfter w:val="1"/>
          <w:wAfter w:w="40" w:type="dxa"/>
          <w:cantSplit/>
        </w:trPr>
        <w:tc>
          <w:tcPr>
            <w:tcW w:w="2293" w:type="dxa"/>
            <w:vMerge/>
            <w:shd w:val="clear" w:color="auto" w:fill="auto"/>
          </w:tcPr>
          <w:p w14:paraId="745F7A70"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0DE918F2" w14:textId="77777777" w:rsidR="00835B06" w:rsidRDefault="004D03F7">
            <w:pPr>
              <w:widowControl w:val="0"/>
              <w:rPr>
                <w:szCs w:val="22"/>
                <w:lang w:val="hu-HU"/>
              </w:rPr>
            </w:pPr>
            <w:r>
              <w:rPr>
                <w:szCs w:val="22"/>
                <w:lang w:val="hu-HU"/>
              </w:rPr>
              <w:t>végtagfájdalom</w:t>
            </w:r>
          </w:p>
        </w:tc>
        <w:tc>
          <w:tcPr>
            <w:tcW w:w="1549" w:type="dxa"/>
            <w:shd w:val="clear" w:color="auto" w:fill="auto"/>
            <w:vAlign w:val="center"/>
          </w:tcPr>
          <w:p w14:paraId="426EB1F0"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2BAD1C9B"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233963FF" w14:textId="77777777">
        <w:trPr>
          <w:gridAfter w:val="1"/>
          <w:wAfter w:w="40" w:type="dxa"/>
          <w:cantSplit/>
        </w:trPr>
        <w:tc>
          <w:tcPr>
            <w:tcW w:w="2293" w:type="dxa"/>
            <w:vMerge/>
            <w:shd w:val="clear" w:color="auto" w:fill="auto"/>
          </w:tcPr>
          <w:p w14:paraId="4AEB6F72"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451F55E2" w14:textId="77777777" w:rsidR="00835B06" w:rsidRDefault="004D03F7">
            <w:pPr>
              <w:widowControl w:val="0"/>
              <w:rPr>
                <w:szCs w:val="22"/>
                <w:lang w:val="hu-HU"/>
              </w:rPr>
            </w:pPr>
            <w:r>
              <w:rPr>
                <w:szCs w:val="22"/>
              </w:rPr>
              <w:t>izomspazmusok; nyaki fájdalom</w:t>
            </w:r>
          </w:p>
        </w:tc>
        <w:tc>
          <w:tcPr>
            <w:tcW w:w="1549" w:type="dxa"/>
            <w:shd w:val="clear" w:color="auto" w:fill="auto"/>
            <w:vAlign w:val="center"/>
          </w:tcPr>
          <w:p w14:paraId="5E2EA766"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vAlign w:val="center"/>
          </w:tcPr>
          <w:p w14:paraId="3ED8EE43"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1D495635" w14:textId="77777777">
        <w:trPr>
          <w:gridAfter w:val="1"/>
          <w:wAfter w:w="40" w:type="dxa"/>
          <w:cantSplit/>
        </w:trPr>
        <w:tc>
          <w:tcPr>
            <w:tcW w:w="2293" w:type="dxa"/>
            <w:vMerge/>
            <w:shd w:val="clear" w:color="auto" w:fill="auto"/>
          </w:tcPr>
          <w:p w14:paraId="6BBDF770" w14:textId="77777777" w:rsidR="00835B06" w:rsidRDefault="00835B06">
            <w:pPr>
              <w:widowControl w:val="0"/>
              <w:tabs>
                <w:tab w:val="left" w:pos="567"/>
              </w:tabs>
              <w:rPr>
                <w:i/>
                <w:szCs w:val="22"/>
                <w:lang w:val="hu-HU" w:eastAsia="en-US"/>
              </w:rPr>
            </w:pPr>
          </w:p>
        </w:tc>
        <w:tc>
          <w:tcPr>
            <w:tcW w:w="3695" w:type="dxa"/>
            <w:shd w:val="clear" w:color="auto" w:fill="auto"/>
            <w:vAlign w:val="center"/>
          </w:tcPr>
          <w:p w14:paraId="71CA80AA" w14:textId="77777777" w:rsidR="00835B06" w:rsidRDefault="004D03F7">
            <w:pPr>
              <w:widowControl w:val="0"/>
              <w:rPr>
                <w:szCs w:val="22"/>
                <w:lang w:val="hu-HU"/>
              </w:rPr>
            </w:pPr>
            <w:r>
              <w:rPr>
                <w:szCs w:val="22"/>
                <w:lang w:val="hu-HU"/>
              </w:rPr>
              <w:t>Lupus-szerű szindróma</w:t>
            </w:r>
          </w:p>
        </w:tc>
        <w:tc>
          <w:tcPr>
            <w:tcW w:w="1549" w:type="dxa"/>
            <w:shd w:val="clear" w:color="auto" w:fill="auto"/>
            <w:vAlign w:val="center"/>
          </w:tcPr>
          <w:p w14:paraId="00B6F911"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067DA5AB"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47D8743D" w14:textId="77777777">
        <w:trPr>
          <w:gridAfter w:val="1"/>
          <w:wAfter w:w="40" w:type="dxa"/>
          <w:cantSplit/>
        </w:trPr>
        <w:tc>
          <w:tcPr>
            <w:tcW w:w="2293" w:type="dxa"/>
            <w:vMerge/>
            <w:shd w:val="clear" w:color="auto" w:fill="auto"/>
          </w:tcPr>
          <w:p w14:paraId="217D005C" w14:textId="77777777" w:rsidR="00835B06" w:rsidRDefault="00835B06">
            <w:pPr>
              <w:pStyle w:val="Szvegtrzs"/>
              <w:rPr>
                <w:i/>
                <w:szCs w:val="22"/>
                <w:lang w:val="hu-HU"/>
              </w:rPr>
            </w:pPr>
          </w:p>
        </w:tc>
        <w:tc>
          <w:tcPr>
            <w:tcW w:w="3695" w:type="dxa"/>
            <w:shd w:val="clear" w:color="auto" w:fill="auto"/>
            <w:vAlign w:val="center"/>
          </w:tcPr>
          <w:p w14:paraId="5383A073" w14:textId="77777777" w:rsidR="00835B06" w:rsidRDefault="004D03F7">
            <w:pPr>
              <w:widowControl w:val="0"/>
              <w:tabs>
                <w:tab w:val="left" w:pos="1315"/>
              </w:tabs>
              <w:rPr>
                <w:szCs w:val="22"/>
                <w:lang w:val="hu-HU"/>
              </w:rPr>
            </w:pPr>
            <w:r>
              <w:rPr>
                <w:szCs w:val="22"/>
                <w:lang w:val="hu-HU"/>
              </w:rPr>
              <w:t>izomszakadás</w:t>
            </w:r>
          </w:p>
        </w:tc>
        <w:tc>
          <w:tcPr>
            <w:tcW w:w="1549" w:type="dxa"/>
            <w:shd w:val="clear" w:color="auto" w:fill="auto"/>
            <w:vAlign w:val="center"/>
          </w:tcPr>
          <w:p w14:paraId="7BAF47DC" w14:textId="77777777" w:rsidR="00835B06" w:rsidRDefault="004D03F7">
            <w:pPr>
              <w:widowControl w:val="0"/>
              <w:tabs>
                <w:tab w:val="left" w:pos="567"/>
              </w:tabs>
              <w:jc w:val="center"/>
              <w:rPr>
                <w:szCs w:val="22"/>
                <w:lang w:val="hu-HU" w:eastAsia="en-US"/>
              </w:rPr>
            </w:pPr>
            <w:r>
              <w:rPr>
                <w:szCs w:val="22"/>
                <w:lang w:val="hu-HU" w:eastAsia="en-US"/>
              </w:rPr>
              <w:t>Ritka</w:t>
            </w:r>
          </w:p>
        </w:tc>
        <w:tc>
          <w:tcPr>
            <w:tcW w:w="1756" w:type="dxa"/>
            <w:vAlign w:val="center"/>
          </w:tcPr>
          <w:p w14:paraId="0E64B09F"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10CEB04C" w14:textId="77777777">
        <w:trPr>
          <w:gridAfter w:val="1"/>
          <w:wAfter w:w="40" w:type="dxa"/>
          <w:cantSplit/>
        </w:trPr>
        <w:tc>
          <w:tcPr>
            <w:tcW w:w="2293" w:type="dxa"/>
            <w:shd w:val="clear" w:color="auto" w:fill="auto"/>
          </w:tcPr>
          <w:p w14:paraId="55F03601" w14:textId="77777777" w:rsidR="00835B06" w:rsidRDefault="004D03F7">
            <w:pPr>
              <w:pStyle w:val="Szvegtrzs"/>
              <w:rPr>
                <w:i/>
                <w:szCs w:val="22"/>
                <w:lang w:val="hu-HU"/>
              </w:rPr>
            </w:pPr>
            <w:r>
              <w:rPr>
                <w:i/>
                <w:szCs w:val="22"/>
                <w:lang w:val="hu-HU"/>
              </w:rPr>
              <w:t>Vese- és húgyúti betegségek és tünetek</w:t>
            </w:r>
          </w:p>
        </w:tc>
        <w:tc>
          <w:tcPr>
            <w:tcW w:w="3695" w:type="dxa"/>
            <w:shd w:val="clear" w:color="auto" w:fill="auto"/>
            <w:vAlign w:val="center"/>
          </w:tcPr>
          <w:p w14:paraId="7B54A923" w14:textId="77777777" w:rsidR="00835B06" w:rsidRDefault="004D03F7">
            <w:pPr>
              <w:widowControl w:val="0"/>
              <w:tabs>
                <w:tab w:val="left" w:pos="1315"/>
              </w:tabs>
              <w:rPr>
                <w:szCs w:val="22"/>
                <w:lang w:val="hu-HU" w:eastAsia="en-US"/>
              </w:rPr>
            </w:pPr>
            <w:r>
              <w:rPr>
                <w:szCs w:val="22"/>
                <w:lang w:val="hu-HU"/>
              </w:rPr>
              <w:t>haematuria</w:t>
            </w:r>
          </w:p>
        </w:tc>
        <w:tc>
          <w:tcPr>
            <w:tcW w:w="1549" w:type="dxa"/>
            <w:shd w:val="clear" w:color="auto" w:fill="auto"/>
            <w:vAlign w:val="center"/>
          </w:tcPr>
          <w:p w14:paraId="79E9AFAD"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15058BBE"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5D337484" w14:textId="77777777">
        <w:trPr>
          <w:gridAfter w:val="1"/>
          <w:wAfter w:w="40" w:type="dxa"/>
          <w:cantSplit/>
        </w:trPr>
        <w:tc>
          <w:tcPr>
            <w:tcW w:w="2293" w:type="dxa"/>
            <w:shd w:val="clear" w:color="auto" w:fill="auto"/>
          </w:tcPr>
          <w:p w14:paraId="644E16E5" w14:textId="77777777" w:rsidR="00835B06" w:rsidRDefault="004D03F7">
            <w:pPr>
              <w:pStyle w:val="Szvegtrzs"/>
              <w:rPr>
                <w:i/>
                <w:szCs w:val="22"/>
                <w:lang w:val="hu-HU"/>
              </w:rPr>
            </w:pPr>
            <w:r>
              <w:rPr>
                <w:i/>
                <w:szCs w:val="22"/>
                <w:lang w:val="hu-HU"/>
              </w:rPr>
              <w:t>A nemi szervekkel és az emlőkkel kapcsolatos betegségek és tünetek</w:t>
            </w:r>
          </w:p>
        </w:tc>
        <w:tc>
          <w:tcPr>
            <w:tcW w:w="3695" w:type="dxa"/>
            <w:shd w:val="clear" w:color="auto" w:fill="auto"/>
            <w:vAlign w:val="center"/>
          </w:tcPr>
          <w:p w14:paraId="22D12D61" w14:textId="77777777" w:rsidR="00835B06" w:rsidRDefault="004D03F7">
            <w:pPr>
              <w:widowControl w:val="0"/>
              <w:tabs>
                <w:tab w:val="left" w:pos="1315"/>
              </w:tabs>
              <w:rPr>
                <w:szCs w:val="22"/>
                <w:lang w:val="hu-HU" w:eastAsia="en-US"/>
              </w:rPr>
            </w:pPr>
            <w:r>
              <w:rPr>
                <w:szCs w:val="22"/>
                <w:lang w:val="hu-HU"/>
              </w:rPr>
              <w:t>gynaecomastia</w:t>
            </w:r>
          </w:p>
        </w:tc>
        <w:tc>
          <w:tcPr>
            <w:tcW w:w="1549" w:type="dxa"/>
            <w:shd w:val="clear" w:color="auto" w:fill="auto"/>
            <w:vAlign w:val="center"/>
          </w:tcPr>
          <w:p w14:paraId="4DC6A214" w14:textId="77777777" w:rsidR="00835B06" w:rsidRDefault="004D03F7">
            <w:pPr>
              <w:widowControl w:val="0"/>
              <w:tabs>
                <w:tab w:val="left" w:pos="567"/>
              </w:tabs>
              <w:jc w:val="center"/>
              <w:rPr>
                <w:szCs w:val="22"/>
                <w:lang w:val="hu-HU" w:eastAsia="en-US"/>
              </w:rPr>
            </w:pPr>
            <w:r>
              <w:rPr>
                <w:szCs w:val="22"/>
                <w:lang w:val="hu-HU" w:eastAsia="en-US"/>
              </w:rPr>
              <w:t>Nagyon ritka</w:t>
            </w:r>
          </w:p>
        </w:tc>
        <w:tc>
          <w:tcPr>
            <w:tcW w:w="1756" w:type="dxa"/>
            <w:vAlign w:val="center"/>
          </w:tcPr>
          <w:p w14:paraId="5844A9D0" w14:textId="77777777" w:rsidR="00835B06" w:rsidRDefault="004D03F7">
            <w:pPr>
              <w:widowControl w:val="0"/>
              <w:tabs>
                <w:tab w:val="left" w:pos="567"/>
              </w:tabs>
              <w:jc w:val="center"/>
              <w:rPr>
                <w:szCs w:val="22"/>
                <w:lang w:val="hu-HU" w:eastAsia="en-US"/>
              </w:rPr>
            </w:pPr>
            <w:r>
              <w:rPr>
                <w:szCs w:val="22"/>
                <w:lang w:val="hu-HU" w:eastAsia="en-US"/>
              </w:rPr>
              <w:t>–</w:t>
            </w:r>
          </w:p>
        </w:tc>
      </w:tr>
      <w:tr w:rsidR="00835B06" w14:paraId="0F0862BC" w14:textId="77777777">
        <w:trPr>
          <w:gridAfter w:val="1"/>
          <w:wAfter w:w="40" w:type="dxa"/>
          <w:cantSplit/>
        </w:trPr>
        <w:tc>
          <w:tcPr>
            <w:tcW w:w="2293" w:type="dxa"/>
            <w:vMerge w:val="restart"/>
            <w:shd w:val="clear" w:color="auto" w:fill="auto"/>
          </w:tcPr>
          <w:p w14:paraId="1A09D1A2" w14:textId="77777777" w:rsidR="00835B06" w:rsidRDefault="004D03F7">
            <w:pPr>
              <w:pStyle w:val="Szvegtrzs"/>
              <w:rPr>
                <w:rStyle w:val="Oldalszm"/>
                <w:i/>
                <w:szCs w:val="22"/>
                <w:lang w:val="hu-HU"/>
              </w:rPr>
            </w:pPr>
            <w:r>
              <w:rPr>
                <w:i/>
                <w:szCs w:val="22"/>
                <w:lang w:val="hu-HU"/>
              </w:rPr>
              <w:t>Általános tünetek, az alkalmazás helyén fellépő reakciók</w:t>
            </w:r>
          </w:p>
        </w:tc>
        <w:tc>
          <w:tcPr>
            <w:tcW w:w="3695" w:type="dxa"/>
            <w:shd w:val="clear" w:color="auto" w:fill="auto"/>
            <w:vAlign w:val="center"/>
          </w:tcPr>
          <w:p w14:paraId="05BBF9FD" w14:textId="77777777" w:rsidR="00835B06" w:rsidRDefault="004D03F7">
            <w:pPr>
              <w:widowControl w:val="0"/>
              <w:tabs>
                <w:tab w:val="left" w:pos="1315"/>
              </w:tabs>
              <w:rPr>
                <w:szCs w:val="22"/>
                <w:lang w:val="hu-HU" w:eastAsia="en-US"/>
              </w:rPr>
            </w:pPr>
            <w:r>
              <w:rPr>
                <w:szCs w:val="22"/>
                <w:lang w:val="hu-HU"/>
              </w:rPr>
              <w:t>asthenia</w:t>
            </w:r>
          </w:p>
        </w:tc>
        <w:tc>
          <w:tcPr>
            <w:tcW w:w="1549" w:type="dxa"/>
            <w:shd w:val="clear" w:color="auto" w:fill="auto"/>
            <w:vAlign w:val="center"/>
          </w:tcPr>
          <w:p w14:paraId="177212FD" w14:textId="77777777" w:rsidR="00835B06" w:rsidRDefault="004D03F7">
            <w:pPr>
              <w:widowControl w:val="0"/>
              <w:tabs>
                <w:tab w:val="left" w:pos="567"/>
              </w:tabs>
              <w:jc w:val="center"/>
              <w:rPr>
                <w:szCs w:val="22"/>
                <w:lang w:val="hu-HU" w:eastAsia="en-US"/>
              </w:rPr>
            </w:pPr>
            <w:r>
              <w:rPr>
                <w:szCs w:val="22"/>
                <w:lang w:val="hu-HU" w:eastAsia="en-US"/>
              </w:rPr>
              <w:t>Gyakori</w:t>
            </w:r>
          </w:p>
        </w:tc>
        <w:tc>
          <w:tcPr>
            <w:tcW w:w="1756" w:type="dxa"/>
            <w:vAlign w:val="center"/>
          </w:tcPr>
          <w:p w14:paraId="0E4F309B"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5EF5A3E9" w14:textId="77777777">
        <w:trPr>
          <w:gridAfter w:val="1"/>
          <w:wAfter w:w="40" w:type="dxa"/>
          <w:cantSplit/>
        </w:trPr>
        <w:tc>
          <w:tcPr>
            <w:tcW w:w="2293" w:type="dxa"/>
            <w:vMerge/>
            <w:shd w:val="clear" w:color="auto" w:fill="auto"/>
          </w:tcPr>
          <w:p w14:paraId="4FC07128" w14:textId="77777777" w:rsidR="00835B06" w:rsidRDefault="00835B06">
            <w:pPr>
              <w:widowControl w:val="0"/>
              <w:tabs>
                <w:tab w:val="left" w:pos="567"/>
              </w:tabs>
              <w:rPr>
                <w:szCs w:val="22"/>
                <w:lang w:val="hu-HU" w:eastAsia="en-US"/>
              </w:rPr>
            </w:pPr>
          </w:p>
        </w:tc>
        <w:tc>
          <w:tcPr>
            <w:tcW w:w="3695" w:type="dxa"/>
            <w:shd w:val="clear" w:color="auto" w:fill="auto"/>
            <w:vAlign w:val="center"/>
          </w:tcPr>
          <w:p w14:paraId="24C1E17A" w14:textId="77777777" w:rsidR="00835B06" w:rsidRDefault="004D03F7">
            <w:pPr>
              <w:widowControl w:val="0"/>
              <w:tabs>
                <w:tab w:val="left" w:pos="1315"/>
              </w:tabs>
              <w:rPr>
                <w:szCs w:val="22"/>
                <w:lang w:val="hu-HU" w:eastAsia="en-US"/>
              </w:rPr>
            </w:pPr>
            <w:r>
              <w:rPr>
                <w:szCs w:val="22"/>
                <w:lang w:val="hu-HU"/>
              </w:rPr>
              <w:t>oedema</w:t>
            </w:r>
          </w:p>
        </w:tc>
        <w:tc>
          <w:tcPr>
            <w:tcW w:w="1549" w:type="dxa"/>
            <w:shd w:val="clear" w:color="auto" w:fill="auto"/>
            <w:vAlign w:val="center"/>
          </w:tcPr>
          <w:p w14:paraId="3CF3C5E9" w14:textId="77777777" w:rsidR="00835B06" w:rsidRDefault="004D03F7">
            <w:pPr>
              <w:widowControl w:val="0"/>
              <w:tabs>
                <w:tab w:val="left" w:pos="567"/>
              </w:tabs>
              <w:jc w:val="center"/>
              <w:rPr>
                <w:szCs w:val="22"/>
                <w:lang w:val="hu-HU" w:eastAsia="en-US"/>
              </w:rPr>
            </w:pPr>
            <w:r>
              <w:rPr>
                <w:szCs w:val="22"/>
                <w:lang w:val="hu-HU" w:eastAsia="en-US"/>
              </w:rPr>
              <w:t>Nem ismert</w:t>
            </w:r>
          </w:p>
        </w:tc>
        <w:tc>
          <w:tcPr>
            <w:tcW w:w="1756" w:type="dxa"/>
            <w:vAlign w:val="center"/>
          </w:tcPr>
          <w:p w14:paraId="6EFC4526"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71AC7FAE" w14:textId="77777777">
        <w:trPr>
          <w:gridAfter w:val="1"/>
          <w:wAfter w:w="40" w:type="dxa"/>
          <w:cantSplit/>
        </w:trPr>
        <w:tc>
          <w:tcPr>
            <w:tcW w:w="2293" w:type="dxa"/>
            <w:vMerge/>
            <w:shd w:val="clear" w:color="auto" w:fill="auto"/>
          </w:tcPr>
          <w:p w14:paraId="109E0B12" w14:textId="77777777" w:rsidR="00835B06" w:rsidRDefault="00835B06">
            <w:pPr>
              <w:pStyle w:val="Szvegtrzs"/>
              <w:rPr>
                <w:i/>
                <w:szCs w:val="22"/>
                <w:lang w:val="hu-HU"/>
              </w:rPr>
            </w:pPr>
          </w:p>
        </w:tc>
        <w:tc>
          <w:tcPr>
            <w:tcW w:w="3695" w:type="dxa"/>
            <w:tcBorders>
              <w:bottom w:val="single" w:sz="4" w:space="0" w:color="auto"/>
            </w:tcBorders>
            <w:shd w:val="clear" w:color="auto" w:fill="auto"/>
            <w:vAlign w:val="center"/>
          </w:tcPr>
          <w:p w14:paraId="1A1B7AD2" w14:textId="77777777" w:rsidR="00835B06" w:rsidRDefault="004D03F7">
            <w:pPr>
              <w:widowControl w:val="0"/>
              <w:tabs>
                <w:tab w:val="left" w:pos="1315"/>
              </w:tabs>
              <w:rPr>
                <w:szCs w:val="22"/>
                <w:lang w:val="hu-HU" w:eastAsia="en-US"/>
              </w:rPr>
            </w:pPr>
            <w:r>
              <w:rPr>
                <w:szCs w:val="22"/>
                <w:lang w:val="hu-HU" w:eastAsia="en-US"/>
              </w:rPr>
              <w:t>fáradtság</w:t>
            </w:r>
          </w:p>
        </w:tc>
        <w:tc>
          <w:tcPr>
            <w:tcW w:w="1549" w:type="dxa"/>
            <w:tcBorders>
              <w:bottom w:val="single" w:sz="4" w:space="0" w:color="auto"/>
            </w:tcBorders>
            <w:shd w:val="clear" w:color="auto" w:fill="auto"/>
            <w:vAlign w:val="center"/>
          </w:tcPr>
          <w:p w14:paraId="2B43967E"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tcBorders>
              <w:bottom w:val="single" w:sz="4" w:space="0" w:color="auto"/>
            </w:tcBorders>
            <w:vAlign w:val="center"/>
          </w:tcPr>
          <w:p w14:paraId="5AF12F32"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4C88FBCF" w14:textId="77777777">
        <w:trPr>
          <w:gridAfter w:val="1"/>
          <w:wAfter w:w="40" w:type="dxa"/>
          <w:cantSplit/>
        </w:trPr>
        <w:tc>
          <w:tcPr>
            <w:tcW w:w="2293" w:type="dxa"/>
            <w:vMerge/>
            <w:tcBorders>
              <w:bottom w:val="single" w:sz="4" w:space="0" w:color="auto"/>
            </w:tcBorders>
            <w:shd w:val="clear" w:color="auto" w:fill="auto"/>
          </w:tcPr>
          <w:p w14:paraId="01AB3358" w14:textId="77777777" w:rsidR="00835B06" w:rsidRDefault="00835B06">
            <w:pPr>
              <w:pStyle w:val="Szvegtrzs"/>
              <w:rPr>
                <w:i/>
                <w:szCs w:val="22"/>
                <w:lang w:val="hu-HU"/>
              </w:rPr>
            </w:pPr>
          </w:p>
        </w:tc>
        <w:tc>
          <w:tcPr>
            <w:tcW w:w="3695" w:type="dxa"/>
            <w:tcBorders>
              <w:bottom w:val="single" w:sz="4" w:space="0" w:color="auto"/>
            </w:tcBorders>
            <w:shd w:val="clear" w:color="auto" w:fill="auto"/>
            <w:vAlign w:val="center"/>
          </w:tcPr>
          <w:p w14:paraId="1FDD77A2" w14:textId="77777777" w:rsidR="00835B06" w:rsidRDefault="004D03F7">
            <w:pPr>
              <w:widowControl w:val="0"/>
              <w:tabs>
                <w:tab w:val="left" w:pos="1315"/>
              </w:tabs>
              <w:rPr>
                <w:szCs w:val="22"/>
                <w:lang w:val="hu-HU" w:eastAsia="en-US"/>
              </w:rPr>
            </w:pPr>
            <w:r>
              <w:rPr>
                <w:szCs w:val="22"/>
              </w:rPr>
              <w:t>mellkasi fájdalom, fájdalom</w:t>
            </w:r>
          </w:p>
        </w:tc>
        <w:tc>
          <w:tcPr>
            <w:tcW w:w="1549" w:type="dxa"/>
            <w:tcBorders>
              <w:bottom w:val="single" w:sz="4" w:space="0" w:color="auto"/>
            </w:tcBorders>
            <w:shd w:val="clear" w:color="auto" w:fill="auto"/>
            <w:vAlign w:val="center"/>
          </w:tcPr>
          <w:p w14:paraId="0E435255"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tcBorders>
              <w:bottom w:val="single" w:sz="4" w:space="0" w:color="auto"/>
            </w:tcBorders>
            <w:vAlign w:val="center"/>
          </w:tcPr>
          <w:p w14:paraId="47BA2E24"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737D51F4" w14:textId="77777777">
        <w:trPr>
          <w:gridAfter w:val="1"/>
          <w:wAfter w:w="40" w:type="dxa"/>
          <w:cantSplit/>
        </w:trPr>
        <w:tc>
          <w:tcPr>
            <w:tcW w:w="2293" w:type="dxa"/>
            <w:vMerge w:val="restart"/>
            <w:shd w:val="clear" w:color="auto" w:fill="auto"/>
          </w:tcPr>
          <w:p w14:paraId="3E312125" w14:textId="77777777" w:rsidR="00835B06" w:rsidRDefault="004D03F7">
            <w:pPr>
              <w:pStyle w:val="Szvegtrzs"/>
              <w:rPr>
                <w:i/>
                <w:szCs w:val="22"/>
                <w:lang w:val="hu-HU"/>
              </w:rPr>
            </w:pPr>
            <w:r>
              <w:rPr>
                <w:i/>
                <w:szCs w:val="22"/>
                <w:lang w:val="hu-HU"/>
              </w:rPr>
              <w:t>Laboratóriumi és egyéb vizsgálatok eredményei</w:t>
            </w:r>
          </w:p>
        </w:tc>
        <w:tc>
          <w:tcPr>
            <w:tcW w:w="3695" w:type="dxa"/>
            <w:tcBorders>
              <w:bottom w:val="single" w:sz="4" w:space="0" w:color="auto"/>
            </w:tcBorders>
            <w:shd w:val="clear" w:color="auto" w:fill="auto"/>
            <w:vAlign w:val="center"/>
          </w:tcPr>
          <w:p w14:paraId="7DD16653" w14:textId="77777777" w:rsidR="00835B06" w:rsidRDefault="004D03F7">
            <w:pPr>
              <w:widowControl w:val="0"/>
              <w:tabs>
                <w:tab w:val="left" w:pos="1315"/>
              </w:tabs>
              <w:rPr>
                <w:szCs w:val="22"/>
                <w:lang w:val="hu-HU" w:eastAsia="en-US"/>
              </w:rPr>
            </w:pPr>
            <w:r>
              <w:rPr>
                <w:szCs w:val="22"/>
                <w:lang w:val="hu-HU" w:eastAsia="en-US"/>
              </w:rPr>
              <w:t xml:space="preserve">emelkedett GPT és/vagy GOT szint </w:t>
            </w:r>
          </w:p>
        </w:tc>
        <w:tc>
          <w:tcPr>
            <w:tcW w:w="1549" w:type="dxa"/>
            <w:tcBorders>
              <w:bottom w:val="single" w:sz="4" w:space="0" w:color="auto"/>
            </w:tcBorders>
            <w:shd w:val="clear" w:color="auto" w:fill="auto"/>
            <w:vAlign w:val="center"/>
          </w:tcPr>
          <w:p w14:paraId="654F6ED8"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tcBorders>
              <w:bottom w:val="single" w:sz="4" w:space="0" w:color="auto"/>
            </w:tcBorders>
            <w:vAlign w:val="center"/>
          </w:tcPr>
          <w:p w14:paraId="335C3581" w14:textId="77777777" w:rsidR="00835B06" w:rsidRDefault="004D03F7">
            <w:pPr>
              <w:widowControl w:val="0"/>
              <w:tabs>
                <w:tab w:val="left" w:pos="567"/>
              </w:tabs>
              <w:jc w:val="center"/>
              <w:rPr>
                <w:szCs w:val="22"/>
                <w:lang w:val="hu-HU" w:eastAsia="en-US"/>
              </w:rPr>
            </w:pPr>
            <w:r>
              <w:rPr>
                <w:szCs w:val="22"/>
                <w:lang w:val="hu-HU" w:eastAsia="en-US"/>
              </w:rPr>
              <w:t>Gyakori</w:t>
            </w:r>
          </w:p>
        </w:tc>
      </w:tr>
      <w:tr w:rsidR="00835B06" w14:paraId="43931D11" w14:textId="77777777">
        <w:trPr>
          <w:gridAfter w:val="1"/>
          <w:wAfter w:w="40" w:type="dxa"/>
          <w:cantSplit/>
        </w:trPr>
        <w:tc>
          <w:tcPr>
            <w:tcW w:w="2293" w:type="dxa"/>
            <w:vMerge/>
            <w:tcBorders>
              <w:bottom w:val="single" w:sz="4" w:space="0" w:color="auto"/>
            </w:tcBorders>
            <w:shd w:val="clear" w:color="auto" w:fill="auto"/>
          </w:tcPr>
          <w:p w14:paraId="29BDF168" w14:textId="77777777" w:rsidR="00835B06" w:rsidRDefault="00835B06">
            <w:pPr>
              <w:pStyle w:val="Szvegtrzs"/>
              <w:rPr>
                <w:i/>
                <w:szCs w:val="22"/>
                <w:lang w:val="hu-HU"/>
              </w:rPr>
            </w:pPr>
          </w:p>
        </w:tc>
        <w:tc>
          <w:tcPr>
            <w:tcW w:w="3695" w:type="dxa"/>
            <w:tcBorders>
              <w:bottom w:val="single" w:sz="4" w:space="0" w:color="auto"/>
            </w:tcBorders>
            <w:shd w:val="clear" w:color="auto" w:fill="auto"/>
            <w:vAlign w:val="center"/>
          </w:tcPr>
          <w:p w14:paraId="76E2EEAE" w14:textId="77777777" w:rsidR="00835B06" w:rsidRDefault="004D03F7">
            <w:pPr>
              <w:widowControl w:val="0"/>
              <w:tabs>
                <w:tab w:val="left" w:pos="1315"/>
              </w:tabs>
              <w:rPr>
                <w:szCs w:val="22"/>
                <w:lang w:val="hu-HU" w:eastAsia="en-US"/>
              </w:rPr>
            </w:pPr>
            <w:r>
              <w:rPr>
                <w:szCs w:val="22"/>
              </w:rPr>
              <w:t>megnövekedett CPK vérszint; megnövekedett gamma</w:t>
            </w:r>
            <w:r>
              <w:rPr>
                <w:szCs w:val="22"/>
              </w:rPr>
              <w:noBreakHyphen/>
              <w:t>glutamil-transzferáz-szint; a normálistól eltérő májfunkciós tesztek</w:t>
            </w:r>
          </w:p>
        </w:tc>
        <w:tc>
          <w:tcPr>
            <w:tcW w:w="1549" w:type="dxa"/>
            <w:tcBorders>
              <w:bottom w:val="single" w:sz="4" w:space="0" w:color="auto"/>
            </w:tcBorders>
            <w:shd w:val="clear" w:color="auto" w:fill="auto"/>
            <w:vAlign w:val="center"/>
          </w:tcPr>
          <w:p w14:paraId="7AEB897C" w14:textId="77777777" w:rsidR="00835B06" w:rsidRDefault="004D03F7">
            <w:pPr>
              <w:widowControl w:val="0"/>
              <w:tabs>
                <w:tab w:val="left" w:pos="567"/>
              </w:tabs>
              <w:jc w:val="center"/>
              <w:rPr>
                <w:szCs w:val="22"/>
                <w:lang w:val="hu-HU" w:eastAsia="en-US"/>
              </w:rPr>
            </w:pPr>
            <w:r>
              <w:rPr>
                <w:szCs w:val="22"/>
                <w:lang w:val="hu-HU" w:eastAsia="en-US"/>
              </w:rPr>
              <w:t>–</w:t>
            </w:r>
          </w:p>
        </w:tc>
        <w:tc>
          <w:tcPr>
            <w:tcW w:w="1756" w:type="dxa"/>
            <w:tcBorders>
              <w:bottom w:val="single" w:sz="4" w:space="0" w:color="auto"/>
            </w:tcBorders>
            <w:vAlign w:val="center"/>
          </w:tcPr>
          <w:p w14:paraId="3906590D" w14:textId="77777777" w:rsidR="00835B06" w:rsidRDefault="004D03F7">
            <w:pPr>
              <w:widowControl w:val="0"/>
              <w:tabs>
                <w:tab w:val="left" w:pos="567"/>
              </w:tabs>
              <w:jc w:val="center"/>
              <w:rPr>
                <w:szCs w:val="22"/>
                <w:lang w:val="hu-HU" w:eastAsia="en-US"/>
              </w:rPr>
            </w:pPr>
            <w:r>
              <w:rPr>
                <w:szCs w:val="22"/>
                <w:lang w:val="hu-HU" w:eastAsia="en-US"/>
              </w:rPr>
              <w:t>Nem gyakori</w:t>
            </w:r>
          </w:p>
        </w:tc>
      </w:tr>
      <w:tr w:rsidR="00835B06" w14:paraId="06106580"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cantSplit/>
          <w:trHeight w:val="341"/>
        </w:trPr>
        <w:tc>
          <w:tcPr>
            <w:tcW w:w="9333" w:type="dxa"/>
            <w:gridSpan w:val="5"/>
            <w:tcBorders>
              <w:top w:val="nil"/>
              <w:left w:val="nil"/>
              <w:bottom w:val="nil"/>
              <w:right w:val="nil"/>
            </w:tcBorders>
          </w:tcPr>
          <w:p w14:paraId="7DCEEABE" w14:textId="4675F160" w:rsidR="00835B06" w:rsidRDefault="004D03F7">
            <w:pPr>
              <w:widowControl w:val="0"/>
              <w:pBdr>
                <w:top w:val="single" w:sz="4" w:space="0" w:color="000000"/>
              </w:pBdr>
              <w:tabs>
                <w:tab w:val="left" w:pos="0"/>
              </w:tabs>
              <w:ind w:left="144" w:hanging="144"/>
              <w:rPr>
                <w:szCs w:val="22"/>
                <w:lang w:val="hu-HU"/>
              </w:rPr>
            </w:pPr>
            <w:r>
              <w:rPr>
                <w:szCs w:val="22"/>
                <w:vertAlign w:val="superscript"/>
                <w:lang w:val="hu-HU"/>
              </w:rPr>
              <w:t>1</w:t>
            </w:r>
            <w:r>
              <w:rPr>
                <w:szCs w:val="22"/>
                <w:vertAlign w:val="superscript"/>
                <w:lang w:val="hu-HU"/>
              </w:rPr>
              <w:tab/>
            </w:r>
            <w:r>
              <w:rPr>
                <w:szCs w:val="22"/>
                <w:lang w:val="hu-HU"/>
              </w:rPr>
              <w:t>A gyakoriság a kockázati tényezők meglététől, ill. hiányától függ (éhomi glükózszint ≥5,6 mmol/l, BMI &gt;30 kg/m</w:t>
            </w:r>
            <w:r>
              <w:rPr>
                <w:szCs w:val="22"/>
                <w:vertAlign w:val="superscript"/>
                <w:lang w:val="hu-HU"/>
              </w:rPr>
              <w:t>2</w:t>
            </w:r>
            <w:r>
              <w:rPr>
                <w:szCs w:val="22"/>
                <w:lang w:val="hu-HU"/>
              </w:rPr>
              <w:t>, hypertrigliceridaemia, hypertonia az anamnézisben)</w:t>
            </w:r>
          </w:p>
        </w:tc>
      </w:tr>
    </w:tbl>
    <w:p w14:paraId="3E129752" w14:textId="77777777" w:rsidR="00835B06" w:rsidRDefault="00835B06">
      <w:pPr>
        <w:widowControl w:val="0"/>
        <w:rPr>
          <w:noProof/>
          <w:szCs w:val="22"/>
          <w:lang w:val="hu-HU"/>
        </w:rPr>
      </w:pPr>
    </w:p>
    <w:p w14:paraId="6A440AFD" w14:textId="77777777" w:rsidR="00835B06" w:rsidRDefault="004D03F7">
      <w:pPr>
        <w:tabs>
          <w:tab w:val="left" w:pos="567"/>
        </w:tabs>
        <w:rPr>
          <w:iCs/>
          <w:szCs w:val="22"/>
          <w:lang w:val="hu-HU" w:eastAsia="en-US"/>
        </w:rPr>
      </w:pPr>
      <w:r>
        <w:rPr>
          <w:iCs/>
          <w:szCs w:val="22"/>
          <w:lang w:val="hu-HU" w:eastAsia="en-US"/>
        </w:rPr>
        <w:t xml:space="preserve">Más </w:t>
      </w:r>
      <w:r>
        <w:rPr>
          <w:szCs w:val="22"/>
          <w:lang w:val="hu-HU"/>
        </w:rPr>
        <w:t>HMG-CoA-reduktáz-inhibitorokhoz hasonlóan, a mellékhatások incidenciája dózisfüggő tendenciát mutat</w:t>
      </w:r>
      <w:r>
        <w:rPr>
          <w:iCs/>
          <w:szCs w:val="22"/>
          <w:lang w:val="hu-HU" w:eastAsia="en-US"/>
        </w:rPr>
        <w:t>.</w:t>
      </w:r>
    </w:p>
    <w:p w14:paraId="4F6682D2" w14:textId="77777777" w:rsidR="00835B06" w:rsidRDefault="00835B06">
      <w:pPr>
        <w:widowControl w:val="0"/>
        <w:tabs>
          <w:tab w:val="left" w:pos="567"/>
        </w:tabs>
        <w:rPr>
          <w:iCs/>
          <w:szCs w:val="22"/>
          <w:u w:val="single"/>
          <w:lang w:val="hu-HU" w:eastAsia="en-US"/>
        </w:rPr>
      </w:pPr>
    </w:p>
    <w:p w14:paraId="2AB5963F" w14:textId="77777777" w:rsidR="00835B06" w:rsidRDefault="004D03F7">
      <w:pPr>
        <w:widowControl w:val="0"/>
        <w:tabs>
          <w:tab w:val="left" w:pos="567"/>
        </w:tabs>
        <w:rPr>
          <w:iCs/>
          <w:szCs w:val="22"/>
          <w:lang w:val="hu-HU" w:eastAsia="en-US"/>
        </w:rPr>
      </w:pPr>
      <w:r>
        <w:rPr>
          <w:iCs/>
          <w:szCs w:val="22"/>
          <w:u w:val="single"/>
          <w:lang w:val="hu-HU" w:eastAsia="en-US"/>
        </w:rPr>
        <w:t>Egyes mellékhatások leírása</w:t>
      </w:r>
    </w:p>
    <w:p w14:paraId="1351AE34" w14:textId="77777777" w:rsidR="00835B06" w:rsidRDefault="00835B06">
      <w:pPr>
        <w:widowControl w:val="0"/>
        <w:tabs>
          <w:tab w:val="left" w:pos="567"/>
        </w:tabs>
        <w:rPr>
          <w:iCs/>
          <w:szCs w:val="22"/>
          <w:u w:val="single"/>
          <w:lang w:val="hu-HU" w:eastAsia="en-US"/>
        </w:rPr>
      </w:pPr>
    </w:p>
    <w:p w14:paraId="3F94C706" w14:textId="77777777" w:rsidR="00835B06" w:rsidRDefault="004D03F7">
      <w:pPr>
        <w:pStyle w:val="Szvegtrzs"/>
        <w:rPr>
          <w:szCs w:val="22"/>
          <w:lang w:val="hu-HU"/>
        </w:rPr>
      </w:pPr>
      <w:r>
        <w:rPr>
          <w:i/>
          <w:iCs/>
          <w:szCs w:val="22"/>
          <w:lang w:val="hu-HU" w:eastAsia="en-US"/>
        </w:rPr>
        <w:t>Renális hatások</w:t>
      </w:r>
      <w:r>
        <w:rPr>
          <w:iCs/>
          <w:szCs w:val="22"/>
          <w:lang w:val="hu-HU" w:eastAsia="en-US"/>
        </w:rPr>
        <w:t xml:space="preserve">: </w:t>
      </w:r>
      <w:r>
        <w:rPr>
          <w:szCs w:val="22"/>
          <w:lang w:val="hu-HU"/>
        </w:rPr>
        <w:t xml:space="preserve">rozuvasztatinnal kezelt betegeknél tesztcsík vizsgálattal kimutatott, főleg tubuláris eredetű proteinuriát figyeltek meg. A vizeletben megjelenő proteinmennyiség növekedését a nullától, illetve a nyomokban előforduló értékről a kétkeresztes (++) vagy ennél magasabb értékig, a 10 és 20 mg-os dózissal való kezelés során a betegek </w:t>
      </w:r>
      <w:r>
        <w:rPr>
          <w:szCs w:val="22"/>
          <w:lang w:val="hu-HU"/>
        </w:rPr>
        <w:sym w:font="Symbol" w:char="F03C"/>
      </w:r>
      <w:r>
        <w:rPr>
          <w:szCs w:val="22"/>
          <w:lang w:val="hu-HU"/>
        </w:rPr>
        <w:t> 1%-nál, a 40 mg-os dózissal való kezelés mellett a betegek megközelítőleg 3%-ánál figyelték meg. 20 mg-os dózis alkalmazásakor a protein</w:t>
      </w:r>
      <w:r>
        <w:rPr>
          <w:szCs w:val="22"/>
          <w:lang w:val="hu-HU"/>
        </w:rPr>
        <w:noBreakHyphen/>
        <w:t>érték nulláról, illetve nyomokban előforduló értékről egy keresztre (+) történő változása valamivel gyakrabban fordult elő. Az esetek többségében a terápia folytatása mellett a proteinuria spontán csökken vagy megszűnik. A klinikai vizsgálatok adatai, valamint az eddigi posztmarketing tapasztalatok alapján nem igazolódott ok-okozati összefüggés a proteinuria és az akut vagy súlyosbodó vesekárosodás kialakulása között.</w:t>
      </w:r>
    </w:p>
    <w:p w14:paraId="49A40B9E" w14:textId="77777777" w:rsidR="00835B06" w:rsidRDefault="00835B06">
      <w:pPr>
        <w:widowControl w:val="0"/>
        <w:tabs>
          <w:tab w:val="left" w:pos="567"/>
        </w:tabs>
        <w:rPr>
          <w:szCs w:val="22"/>
          <w:lang w:val="hu-HU"/>
        </w:rPr>
      </w:pPr>
    </w:p>
    <w:p w14:paraId="355E8F74" w14:textId="77777777" w:rsidR="00835B06" w:rsidRDefault="004D03F7">
      <w:pPr>
        <w:tabs>
          <w:tab w:val="left" w:pos="567"/>
        </w:tabs>
        <w:rPr>
          <w:iCs/>
          <w:szCs w:val="22"/>
          <w:lang w:val="hu-HU" w:eastAsia="en-US"/>
        </w:rPr>
      </w:pPr>
      <w:r>
        <w:rPr>
          <w:szCs w:val="22"/>
          <w:lang w:val="hu-HU"/>
        </w:rPr>
        <w:t>Rozuvasztatinnal kezelt betegeknél haematuriát figyeltek meg, azonban a klinikai vizsgálatok adatai alapján ennek előfordulása ritka.</w:t>
      </w:r>
    </w:p>
    <w:p w14:paraId="07B233EE" w14:textId="77777777" w:rsidR="00835B06" w:rsidRDefault="00835B06">
      <w:pPr>
        <w:widowControl w:val="0"/>
        <w:tabs>
          <w:tab w:val="left" w:pos="567"/>
        </w:tabs>
        <w:rPr>
          <w:iCs/>
          <w:szCs w:val="22"/>
          <w:lang w:val="hu-HU" w:eastAsia="en-US"/>
        </w:rPr>
      </w:pPr>
    </w:p>
    <w:p w14:paraId="5A7EDC52" w14:textId="77777777" w:rsidR="00835B06" w:rsidRDefault="004D03F7">
      <w:pPr>
        <w:pStyle w:val="Szvegtrzs"/>
        <w:rPr>
          <w:szCs w:val="22"/>
          <w:lang w:val="hu-HU"/>
        </w:rPr>
      </w:pPr>
      <w:r>
        <w:rPr>
          <w:i/>
          <w:iCs/>
          <w:szCs w:val="22"/>
          <w:lang w:val="hu-HU" w:eastAsia="en-US"/>
        </w:rPr>
        <w:t>A vázizomzatra kifejtett hatások:</w:t>
      </w:r>
      <w:r>
        <w:rPr>
          <w:iCs/>
          <w:szCs w:val="22"/>
          <w:lang w:val="hu-HU" w:eastAsia="en-US"/>
        </w:rPr>
        <w:t xml:space="preserve"> </w:t>
      </w:r>
      <w:r>
        <w:rPr>
          <w:szCs w:val="22"/>
          <w:lang w:val="hu-HU"/>
        </w:rPr>
        <w:t>A vázizmokra kifejtett hatásokról, többek között myalgiáról, myopathiáról (pl. myositis) és ritkán rhabdomyolysisről számoltak be rozuvasztatinnal kezelt betegeknél bármekkora dózis, de különösen 20 mg-nál nagyobb adagok alkalmazásakor.</w:t>
      </w:r>
    </w:p>
    <w:p w14:paraId="4FD70BBB" w14:textId="77777777" w:rsidR="00835B06" w:rsidRDefault="00835B06">
      <w:pPr>
        <w:pStyle w:val="Szvegtrzs"/>
        <w:rPr>
          <w:szCs w:val="22"/>
          <w:lang w:val="hu-HU"/>
        </w:rPr>
      </w:pPr>
    </w:p>
    <w:p w14:paraId="07E9EBE4" w14:textId="77777777" w:rsidR="00835B06" w:rsidRDefault="004D03F7">
      <w:pPr>
        <w:pStyle w:val="Szvegtrzs"/>
        <w:rPr>
          <w:szCs w:val="22"/>
          <w:lang w:val="hu-HU"/>
        </w:rPr>
      </w:pPr>
      <w:r>
        <w:rPr>
          <w:szCs w:val="22"/>
          <w:lang w:val="hu-HU"/>
        </w:rPr>
        <w:t>A rozuvasztatin</w:t>
      </w:r>
      <w:r>
        <w:rPr>
          <w:szCs w:val="22"/>
          <w:lang w:val="hu-HU"/>
        </w:rPr>
        <w:noBreakHyphen/>
        <w:t>kezelésben részesülő betegekben is megfigyelték a CK dózisfüggő emelkedését. Az esetek többségében ez enyhe, tünetmentes és átmeneti volt. Amennyiben a CK-szint megemelkedik (</w:t>
      </w:r>
      <w:r>
        <w:rPr>
          <w:szCs w:val="22"/>
          <w:lang w:val="hu-HU"/>
        </w:rPr>
        <w:sym w:font="Symbol" w:char="F03E"/>
      </w:r>
      <w:r>
        <w:rPr>
          <w:szCs w:val="22"/>
          <w:lang w:val="hu-HU"/>
        </w:rPr>
        <w:t> 5×ULN), a kezelést fel kell függeszteni (lásd 4.4 pont).</w:t>
      </w:r>
    </w:p>
    <w:p w14:paraId="340B2CF8" w14:textId="77777777" w:rsidR="00835B06" w:rsidRDefault="00835B06">
      <w:pPr>
        <w:widowControl w:val="0"/>
        <w:tabs>
          <w:tab w:val="left" w:pos="567"/>
        </w:tabs>
        <w:rPr>
          <w:iCs/>
          <w:szCs w:val="22"/>
          <w:lang w:val="hu-HU" w:eastAsia="en-US"/>
        </w:rPr>
      </w:pPr>
    </w:p>
    <w:p w14:paraId="2BC90734" w14:textId="35B9B75C" w:rsidR="00835B06" w:rsidRDefault="004D03F7">
      <w:pPr>
        <w:widowControl w:val="0"/>
        <w:tabs>
          <w:tab w:val="left" w:pos="567"/>
        </w:tabs>
        <w:rPr>
          <w:iCs/>
          <w:szCs w:val="22"/>
          <w:lang w:val="hu-HU" w:eastAsia="en-US"/>
        </w:rPr>
      </w:pPr>
      <w:r>
        <w:rPr>
          <w:i/>
          <w:iCs/>
          <w:szCs w:val="22"/>
          <w:lang w:val="hu-HU" w:eastAsia="en-US"/>
        </w:rPr>
        <w:t>A májra kifejtett hatások:</w:t>
      </w:r>
      <w:r>
        <w:rPr>
          <w:iCs/>
          <w:szCs w:val="22"/>
          <w:lang w:val="hu-HU" w:eastAsia="en-US"/>
        </w:rPr>
        <w:t xml:space="preserve"> Más HMG-CoA-reduktáz gátlókhoz hasonlóan, kevés számú, rozuvasztatin</w:t>
      </w:r>
      <w:r>
        <w:rPr>
          <w:iCs/>
          <w:szCs w:val="22"/>
          <w:lang w:val="hu-HU" w:eastAsia="en-US"/>
        </w:rPr>
        <w:noBreakHyphen/>
        <w:t>kezelésben részesülő betegnél is megfigyelték a szérum-transzaminázok dózisfüggő emelkedését. Az esetek nagy részében ez enyhe fokú, tünetmentes, és átmeneti volt.</w:t>
      </w:r>
    </w:p>
    <w:p w14:paraId="5A2618F3" w14:textId="77777777" w:rsidR="00835B06" w:rsidRDefault="00835B06">
      <w:pPr>
        <w:widowControl w:val="0"/>
        <w:tabs>
          <w:tab w:val="left" w:pos="567"/>
        </w:tabs>
        <w:rPr>
          <w:iCs/>
          <w:szCs w:val="22"/>
          <w:lang w:val="hu-HU" w:eastAsia="en-US"/>
        </w:rPr>
      </w:pPr>
    </w:p>
    <w:p w14:paraId="029811ED" w14:textId="77777777" w:rsidR="00835B06" w:rsidRDefault="004D03F7">
      <w:pPr>
        <w:widowControl w:val="0"/>
        <w:tabs>
          <w:tab w:val="left" w:pos="567"/>
        </w:tabs>
        <w:rPr>
          <w:iCs/>
          <w:szCs w:val="22"/>
          <w:lang w:val="hu-HU" w:eastAsia="en-US"/>
        </w:rPr>
      </w:pPr>
      <w:r>
        <w:rPr>
          <w:iCs/>
          <w:szCs w:val="22"/>
          <w:lang w:val="hu-HU" w:eastAsia="en-US"/>
        </w:rPr>
        <w:t>Bizonyos sztatinok alkalmazása során a következő nemkívánatos eseményekről számoltak be:</w:t>
      </w:r>
    </w:p>
    <w:p w14:paraId="1EF456F0" w14:textId="77777777" w:rsidR="00835B06" w:rsidRDefault="004D03F7">
      <w:pPr>
        <w:widowControl w:val="0"/>
        <w:numPr>
          <w:ilvl w:val="0"/>
          <w:numId w:val="47"/>
        </w:numPr>
        <w:ind w:left="567" w:hanging="567"/>
        <w:rPr>
          <w:iCs/>
          <w:szCs w:val="22"/>
          <w:lang w:val="hu-HU" w:eastAsia="en-US"/>
        </w:rPr>
      </w:pPr>
      <w:r>
        <w:rPr>
          <w:iCs/>
          <w:szCs w:val="22"/>
          <w:lang w:val="hu-HU" w:eastAsia="en-US"/>
        </w:rPr>
        <w:t>Szexuális diszfunkció.</w:t>
      </w:r>
    </w:p>
    <w:p w14:paraId="1EB8049E" w14:textId="77777777" w:rsidR="00835B06" w:rsidRDefault="004D03F7">
      <w:pPr>
        <w:widowControl w:val="0"/>
        <w:numPr>
          <w:ilvl w:val="0"/>
          <w:numId w:val="47"/>
        </w:numPr>
        <w:ind w:left="567" w:hanging="567"/>
        <w:rPr>
          <w:iCs/>
          <w:szCs w:val="22"/>
          <w:lang w:val="hu-HU" w:eastAsia="en-US"/>
        </w:rPr>
      </w:pPr>
      <w:r>
        <w:rPr>
          <w:iCs/>
          <w:szCs w:val="22"/>
          <w:lang w:val="hu-HU" w:eastAsia="en-US"/>
        </w:rPr>
        <w:t>Kivételes esetekben interstitialis tüdőbetegség, legfőképpen hosszú távú kezelés során (lásd 4.4 pont).</w:t>
      </w:r>
    </w:p>
    <w:p w14:paraId="1495DA32" w14:textId="77777777" w:rsidR="00835B06" w:rsidRDefault="00835B06">
      <w:pPr>
        <w:widowControl w:val="0"/>
        <w:tabs>
          <w:tab w:val="left" w:pos="567"/>
        </w:tabs>
        <w:rPr>
          <w:iCs/>
          <w:szCs w:val="22"/>
          <w:lang w:val="hu-HU" w:eastAsia="en-US"/>
        </w:rPr>
      </w:pPr>
    </w:p>
    <w:p w14:paraId="53E07DDD" w14:textId="30BC02D7" w:rsidR="00835B06" w:rsidRDefault="004D03F7">
      <w:pPr>
        <w:pStyle w:val="Szvegtrzs"/>
        <w:rPr>
          <w:szCs w:val="22"/>
          <w:lang w:val="hu-HU"/>
        </w:rPr>
      </w:pPr>
      <w:r>
        <w:rPr>
          <w:szCs w:val="22"/>
          <w:lang w:val="hu-HU"/>
        </w:rPr>
        <w:t>A 40 mg-os dózis alkalmazásakor nagyobb gyakorisággal jelentettek rhabdomyolysist, súlyos vesetüneteket és súlyos májtüneteket (főként a máj-transzaminázok emelkedett szintjeit).</w:t>
      </w:r>
    </w:p>
    <w:p w14:paraId="66496EFC" w14:textId="77777777" w:rsidR="00835B06" w:rsidRDefault="00835B06">
      <w:pPr>
        <w:widowControl w:val="0"/>
        <w:tabs>
          <w:tab w:val="left" w:pos="567"/>
        </w:tabs>
        <w:rPr>
          <w:iCs/>
          <w:szCs w:val="22"/>
          <w:highlight w:val="yellow"/>
          <w:u w:val="single"/>
          <w:lang w:val="hu-HU" w:eastAsia="en-US"/>
        </w:rPr>
      </w:pPr>
    </w:p>
    <w:p w14:paraId="2A33A260" w14:textId="77777777" w:rsidR="00835B06" w:rsidRDefault="004D03F7">
      <w:pPr>
        <w:keepNext/>
        <w:widowControl w:val="0"/>
        <w:tabs>
          <w:tab w:val="left" w:pos="567"/>
        </w:tabs>
        <w:rPr>
          <w:szCs w:val="22"/>
          <w:u w:val="single"/>
          <w:lang w:val="hu-HU" w:eastAsia="en-US"/>
        </w:rPr>
      </w:pPr>
      <w:r>
        <w:rPr>
          <w:szCs w:val="22"/>
          <w:u w:val="single"/>
          <w:lang w:val="hu-HU" w:eastAsia="en-US"/>
        </w:rPr>
        <w:t>Laboratóriumi vizsgálatok eredményei</w:t>
      </w:r>
    </w:p>
    <w:p w14:paraId="19E8F4C6" w14:textId="77777777" w:rsidR="00835B06" w:rsidRDefault="00835B06">
      <w:pPr>
        <w:rPr>
          <w:color w:val="000000"/>
          <w:szCs w:val="22"/>
          <w:lang w:val="hu-HU"/>
        </w:rPr>
      </w:pPr>
    </w:p>
    <w:p w14:paraId="190316BD" w14:textId="3631627F" w:rsidR="00835B06" w:rsidRDefault="004D03F7">
      <w:pPr>
        <w:rPr>
          <w:color w:val="000000"/>
          <w:szCs w:val="22"/>
          <w:lang w:val="hu-HU"/>
        </w:rPr>
      </w:pPr>
      <w:r>
        <w:rPr>
          <w:color w:val="000000"/>
          <w:szCs w:val="22"/>
          <w:lang w:val="hu-HU"/>
        </w:rPr>
        <w:t>Kontrollos, monoterápiát alkalmazó klinikai vizsgálatokban a klinikailag szignifikáns szérum-transzaminázszintek (GPT [ALAT] és/vagy GOT [ASAT], a normálérték felső határának háromszorosát ismételten elérő, illetve meghaladó) emelkedésének incidenciája hasonló volt az ezetimib- (0,5%) és a placebokezelés (0,3%) esetén. A kombinációs klinikai vizsgálatokban ez az incidencia 1,3% volt az ezetimibet és valamely sztatint kombinációban szedő betegek és 0,4% volt a kizárólag sztatinnal kezelt betegek körében. A fenti szintek emelkedése általában klinikai tünetek nélkül jelentkezett, nem fordult elő egyidejű cholestasis, és a gyógyszerszedés megszakítása után, vagy a kezelés folytatása során a kiindulási értékre álltak vissza (lásd 4.4 pont).</w:t>
      </w:r>
    </w:p>
    <w:p w14:paraId="268C1D17" w14:textId="77777777" w:rsidR="00835B06" w:rsidRDefault="00835B06">
      <w:pPr>
        <w:widowControl w:val="0"/>
        <w:tabs>
          <w:tab w:val="left" w:pos="567"/>
        </w:tabs>
        <w:rPr>
          <w:szCs w:val="22"/>
          <w:lang w:val="hu-HU" w:eastAsia="en-US"/>
        </w:rPr>
      </w:pPr>
    </w:p>
    <w:p w14:paraId="6844B952" w14:textId="1F9C80B3" w:rsidR="00835B06" w:rsidRDefault="004D03F7">
      <w:pPr>
        <w:pStyle w:val="Szvegtrzs"/>
        <w:rPr>
          <w:szCs w:val="22"/>
          <w:lang w:val="hu-HU"/>
        </w:rPr>
      </w:pPr>
      <w:r>
        <w:rPr>
          <w:color w:val="000000"/>
          <w:szCs w:val="22"/>
          <w:lang w:val="hu-HU"/>
        </w:rPr>
        <w:t>Az ezetimibbel elvégzett klinikai vizsgálatokban a normálérték felső határának több mint tízszeresét érte el a CPK az ezetimib monoterápiával kezelt 1674 beteg közül négynél (0,2%), míg a 786 placebót kapó betegből egynél (0,1%). Az ezetimibet sztatinnal együtt szedő betegeknél ez az arány 917-ből egy (0,1%), míg a sztatint önmagában szedőknél 929-ből négy (0,4%) volt. A myopathia és az ezetimib alkalmazásához társuló rhabdomyolysis előfordulása nem volt nagyobb arányú, mint a megfelelő kontrollcsoportokban (placebo vagy sztatin monoterápia) (lásd 4.4 pont.)</w:t>
      </w:r>
    </w:p>
    <w:p w14:paraId="2F8660F2" w14:textId="77777777" w:rsidR="00835B06" w:rsidRDefault="00835B06">
      <w:pPr>
        <w:widowControl w:val="0"/>
        <w:tabs>
          <w:tab w:val="left" w:pos="567"/>
        </w:tabs>
        <w:rPr>
          <w:szCs w:val="22"/>
          <w:lang w:val="hu-HU" w:eastAsia="en-US"/>
        </w:rPr>
      </w:pPr>
    </w:p>
    <w:p w14:paraId="5141FBCE" w14:textId="77777777" w:rsidR="00835B06" w:rsidRDefault="004D03F7">
      <w:pPr>
        <w:widowControl w:val="0"/>
        <w:tabs>
          <w:tab w:val="left" w:pos="567"/>
        </w:tabs>
        <w:rPr>
          <w:szCs w:val="22"/>
          <w:u w:val="single"/>
          <w:lang w:val="hu-HU" w:eastAsia="en-US"/>
        </w:rPr>
      </w:pPr>
      <w:r>
        <w:rPr>
          <w:szCs w:val="22"/>
          <w:u w:val="single"/>
          <w:lang w:val="hu-HU" w:eastAsia="en-US"/>
        </w:rPr>
        <w:t>Gyermekek és serdülők</w:t>
      </w:r>
    </w:p>
    <w:p w14:paraId="6B65EA25" w14:textId="77777777" w:rsidR="00835B06" w:rsidRDefault="004D03F7">
      <w:pPr>
        <w:widowControl w:val="0"/>
        <w:tabs>
          <w:tab w:val="left" w:pos="567"/>
        </w:tabs>
        <w:rPr>
          <w:szCs w:val="22"/>
          <w:lang w:val="hu-HU"/>
        </w:rPr>
      </w:pPr>
      <w:r>
        <w:rPr>
          <w:szCs w:val="22"/>
          <w:lang w:val="hu-HU"/>
        </w:rPr>
        <w:t>A Roxera Plus filmtabletta biztonságosságát és hatásosságát 18 évesnél fiatalabb gyermekek és serdülők esetében nem igazolták.</w:t>
      </w:r>
    </w:p>
    <w:p w14:paraId="3FD48541" w14:textId="77777777" w:rsidR="00835B06" w:rsidRDefault="00835B06">
      <w:pPr>
        <w:widowControl w:val="0"/>
        <w:tabs>
          <w:tab w:val="left" w:pos="567"/>
        </w:tabs>
        <w:rPr>
          <w:szCs w:val="22"/>
          <w:u w:val="single"/>
          <w:lang w:val="hu-HU" w:eastAsia="en-US"/>
        </w:rPr>
      </w:pPr>
    </w:p>
    <w:p w14:paraId="5708D32C" w14:textId="77777777" w:rsidR="00835B06" w:rsidRDefault="004D03F7">
      <w:pPr>
        <w:widowControl w:val="0"/>
        <w:tabs>
          <w:tab w:val="left" w:pos="567"/>
        </w:tabs>
        <w:rPr>
          <w:bCs/>
          <w:szCs w:val="22"/>
          <w:lang w:val="hu-HU" w:eastAsia="en-US"/>
        </w:rPr>
      </w:pPr>
      <w:r>
        <w:rPr>
          <w:bCs/>
          <w:szCs w:val="22"/>
          <w:lang w:val="hu-HU" w:eastAsia="en-US"/>
        </w:rPr>
        <w:t>Rozuvasztatin</w:t>
      </w:r>
    </w:p>
    <w:p w14:paraId="089A208B" w14:textId="77777777" w:rsidR="00835B06" w:rsidRDefault="004D03F7">
      <w:pPr>
        <w:widowControl w:val="0"/>
        <w:tabs>
          <w:tab w:val="left" w:pos="567"/>
        </w:tabs>
        <w:rPr>
          <w:b/>
          <w:bCs/>
          <w:szCs w:val="22"/>
          <w:lang w:val="hu-HU" w:eastAsia="en-US"/>
        </w:rPr>
      </w:pPr>
      <w:r>
        <w:rPr>
          <w:bCs/>
          <w:szCs w:val="22"/>
          <w:lang w:val="hu-HU" w:eastAsia="en-US"/>
        </w:rPr>
        <w:t>Rozuvasztatin alkalmazása során a kreatin-kináz-szintek emelkedését &gt; 10×ULN és izomtünetek jelentkezését mozgás vagy fokozott fizikai aktivitást követően gyakrabban figyelték meg egy 52 hetes, gyermekek és serdülők körében végzett klinikai vizsgálatban, a felnőttekhez képes</w:t>
      </w:r>
      <w:r>
        <w:rPr>
          <w:szCs w:val="22"/>
          <w:lang w:val="hu-HU" w:eastAsia="en-US"/>
        </w:rPr>
        <w:t>. Más szempontból, a rozuvasztatin biztonságossági profilja gyermekek és serdülők esetében a felnőttekéhez hasonló volt.</w:t>
      </w:r>
    </w:p>
    <w:p w14:paraId="1BDF3B02" w14:textId="77777777" w:rsidR="00835B06" w:rsidRDefault="00835B06">
      <w:pPr>
        <w:rPr>
          <w:color w:val="000000"/>
          <w:szCs w:val="22"/>
          <w:lang w:val="hu-HU"/>
        </w:rPr>
      </w:pPr>
    </w:p>
    <w:p w14:paraId="5DE76C47" w14:textId="77777777" w:rsidR="00835B06" w:rsidRDefault="004D03F7">
      <w:pPr>
        <w:rPr>
          <w:color w:val="000000"/>
          <w:szCs w:val="22"/>
          <w:lang w:val="hu-HU"/>
        </w:rPr>
      </w:pPr>
      <w:r>
        <w:rPr>
          <w:color w:val="000000"/>
          <w:szCs w:val="22"/>
          <w:lang w:val="hu-HU"/>
        </w:rPr>
        <w:t>Ezetimib</w:t>
      </w:r>
    </w:p>
    <w:p w14:paraId="1231D49C" w14:textId="34138547" w:rsidR="00835B06" w:rsidRDefault="004D03F7">
      <w:pPr>
        <w:rPr>
          <w:color w:val="000000"/>
          <w:szCs w:val="22"/>
          <w:lang w:val="hu-HU"/>
        </w:rPr>
      </w:pPr>
      <w:r>
        <w:rPr>
          <w:color w:val="000000"/>
          <w:szCs w:val="22"/>
          <w:lang w:val="hu-HU"/>
        </w:rPr>
        <w:t>Egy heterozygota familiaris és nem familiaris hypercholesterinaemiában szenvedő gyermek (6</w:t>
      </w:r>
      <w:r>
        <w:rPr>
          <w:color w:val="000000"/>
          <w:szCs w:val="22"/>
          <w:lang w:val="hu-HU"/>
        </w:rPr>
        <w:noBreakHyphen/>
        <w:t>10 éves korú) betegek bevonásával végzett vizsgálatban (n = 138) a GPT- (ALAT) és/vagy a GOT- (ASAT) értékek (a normálérték felső határának háromszorosát ismételten elérő, illetve meghaladó) emelkedését figyelték meg az ezetimibet kapó betegek 1,1%</w:t>
      </w:r>
      <w:r>
        <w:rPr>
          <w:color w:val="000000"/>
          <w:szCs w:val="22"/>
          <w:lang w:val="hu-HU"/>
        </w:rPr>
        <w:noBreakHyphen/>
        <w:t>ánál (1 beteg), szemben a placebocsoportban megfigyelt 0%</w:t>
      </w:r>
      <w:r>
        <w:rPr>
          <w:color w:val="000000"/>
          <w:szCs w:val="22"/>
          <w:lang w:val="hu-HU"/>
        </w:rPr>
        <w:noBreakHyphen/>
        <w:t>kal. A CPK</w:t>
      </w:r>
      <w:r>
        <w:rPr>
          <w:color w:val="000000"/>
          <w:szCs w:val="22"/>
          <w:lang w:val="hu-HU"/>
        </w:rPr>
        <w:noBreakHyphen/>
        <w:t>szint (≥ 10×ULN) nem emelkedett. Myopathiáról nem számoltak be.</w:t>
      </w:r>
    </w:p>
    <w:p w14:paraId="1CB61EF8" w14:textId="77777777" w:rsidR="00835B06" w:rsidRDefault="00835B06">
      <w:pPr>
        <w:widowControl w:val="0"/>
        <w:tabs>
          <w:tab w:val="left" w:pos="567"/>
        </w:tabs>
        <w:rPr>
          <w:iCs/>
          <w:szCs w:val="22"/>
          <w:lang w:val="hu-HU" w:eastAsia="en-US"/>
        </w:rPr>
      </w:pPr>
    </w:p>
    <w:p w14:paraId="11CECFB6" w14:textId="77777777" w:rsidR="00835B06" w:rsidRDefault="004D03F7">
      <w:pPr>
        <w:keepNext/>
        <w:rPr>
          <w:szCs w:val="22"/>
          <w:u w:val="single"/>
          <w:lang w:val="hu-HU"/>
        </w:rPr>
      </w:pPr>
      <w:r>
        <w:rPr>
          <w:szCs w:val="22"/>
          <w:u w:val="single"/>
          <w:lang w:val="hu-HU"/>
        </w:rPr>
        <w:t>Feltételezett mellékhatások bejelentése</w:t>
      </w:r>
    </w:p>
    <w:p w14:paraId="460334C3" w14:textId="77777777" w:rsidR="00835B06" w:rsidRDefault="004D03F7">
      <w:pPr>
        <w:rPr>
          <w:szCs w:val="22"/>
          <w:lang w:val="hu-HU"/>
        </w:rPr>
      </w:pPr>
      <w:r>
        <w:rPr>
          <w:szCs w:val="22"/>
          <w:lang w:val="hu-HU"/>
        </w:rPr>
        <w:t>A gyógyszer engedélyezését követően lényeges a feltételezett mellékhatások bejelentése, mert ez fontos eszköze annak, hogy a gyógyszer előny/kockázat profilját folyamatosan figyelemmel lehessen kísérni.</w:t>
      </w:r>
    </w:p>
    <w:p w14:paraId="040BE6CC" w14:textId="72CC1C0B" w:rsidR="00835B06" w:rsidRDefault="004D03F7">
      <w:pPr>
        <w:tabs>
          <w:tab w:val="left" w:pos="-720"/>
          <w:tab w:val="left" w:pos="567"/>
        </w:tabs>
        <w:suppressAutoHyphens/>
        <w:rPr>
          <w:rFonts w:eastAsia="Calibri"/>
          <w:noProof/>
          <w:szCs w:val="22"/>
          <w:lang w:val="hu-HU" w:eastAsia="zh-CN"/>
        </w:rPr>
      </w:pPr>
      <w:r>
        <w:rPr>
          <w:szCs w:val="22"/>
          <w:lang w:val="hu-HU"/>
        </w:rPr>
        <w:t xml:space="preserve">Az egészségügyi szakembereket kérjük, hogy jelentsék be a feltételezett mellékhatásokat a hatóság részére az </w:t>
      </w:r>
      <w:hyperlink r:id="rId8" w:history="1">
        <w:r>
          <w:rPr>
            <w:color w:val="0000FF"/>
            <w:szCs w:val="22"/>
            <w:highlight w:val="lightGray"/>
            <w:u w:val="single"/>
            <w:lang w:val="hu-HU" w:eastAsia="ar-SA"/>
          </w:rPr>
          <w:t>V. függelékben</w:t>
        </w:r>
      </w:hyperlink>
      <w:r>
        <w:rPr>
          <w:color w:val="0000FF"/>
          <w:szCs w:val="22"/>
          <w:u w:val="single"/>
          <w:lang w:val="hu-HU" w:eastAsia="ar-SA"/>
        </w:rPr>
        <w:t xml:space="preserve"> </w:t>
      </w:r>
      <w:r>
        <w:rPr>
          <w:szCs w:val="22"/>
          <w:lang w:val="hu-HU"/>
        </w:rPr>
        <w:t>található elérhetőségek valamelyikén keresztül.</w:t>
      </w:r>
    </w:p>
    <w:p w14:paraId="57A1DE4C" w14:textId="77777777" w:rsidR="00835B06" w:rsidRDefault="00835B06">
      <w:pPr>
        <w:widowControl w:val="0"/>
        <w:tabs>
          <w:tab w:val="left" w:pos="567"/>
        </w:tabs>
        <w:rPr>
          <w:szCs w:val="22"/>
          <w:lang w:val="hu-HU" w:eastAsia="en-US"/>
        </w:rPr>
      </w:pPr>
    </w:p>
    <w:p w14:paraId="77DA00AB" w14:textId="77777777" w:rsidR="00835B06" w:rsidRDefault="004D03F7">
      <w:pPr>
        <w:widowControl w:val="0"/>
        <w:tabs>
          <w:tab w:val="left" w:pos="567"/>
        </w:tabs>
        <w:rPr>
          <w:szCs w:val="22"/>
          <w:lang w:val="hu-HU" w:eastAsia="en-US"/>
        </w:rPr>
      </w:pPr>
      <w:r>
        <w:rPr>
          <w:b/>
          <w:szCs w:val="22"/>
          <w:lang w:val="hu-HU" w:eastAsia="en-US"/>
        </w:rPr>
        <w:t>4.9</w:t>
      </w:r>
      <w:r>
        <w:rPr>
          <w:b/>
          <w:szCs w:val="22"/>
          <w:lang w:val="hu-HU" w:eastAsia="en-US"/>
        </w:rPr>
        <w:tab/>
      </w:r>
      <w:r>
        <w:rPr>
          <w:b/>
          <w:iCs/>
          <w:szCs w:val="22"/>
          <w:lang w:val="hu-HU" w:eastAsia="en-US"/>
        </w:rPr>
        <w:t>Túladagolás</w:t>
      </w:r>
    </w:p>
    <w:p w14:paraId="01589204" w14:textId="77777777" w:rsidR="00835B06" w:rsidRDefault="00835B06">
      <w:pPr>
        <w:widowControl w:val="0"/>
        <w:tabs>
          <w:tab w:val="left" w:pos="567"/>
        </w:tabs>
        <w:rPr>
          <w:szCs w:val="22"/>
          <w:lang w:val="hu-HU" w:eastAsia="en-US"/>
        </w:rPr>
      </w:pPr>
    </w:p>
    <w:p w14:paraId="3DE65A87" w14:textId="77777777" w:rsidR="00835B06" w:rsidRDefault="004D03F7">
      <w:pPr>
        <w:rPr>
          <w:szCs w:val="22"/>
          <w:lang w:val="hu-HU"/>
        </w:rPr>
      </w:pPr>
      <w:r>
        <w:rPr>
          <w:szCs w:val="22"/>
          <w:lang w:val="hu-HU"/>
        </w:rPr>
        <w:t>Nincs rendelkezésre álló szakirodalmi adat a rozuvasztatin túladagolásáról.</w:t>
      </w:r>
    </w:p>
    <w:p w14:paraId="492BB3ED" w14:textId="77777777" w:rsidR="00835B06" w:rsidRDefault="004D03F7">
      <w:pPr>
        <w:rPr>
          <w:szCs w:val="22"/>
          <w:lang w:val="hu-HU"/>
        </w:rPr>
      </w:pPr>
      <w:r>
        <w:rPr>
          <w:szCs w:val="22"/>
          <w:lang w:val="hu-HU"/>
        </w:rPr>
        <w:t>A rozuvasztatin túladagolásra vonatkozóan nincs specifikus kezelési mód. Túladagolás esetén a beteget tüneti kezelésben kell részesíteni és szükség esetén támogató intézkedéseket kell tenni. A májfunkciót és a CK-szintet ellenőrizni kell. Nem valószínű, hogy a hemodialízis ilyen esetekben hatásos lenne.</w:t>
      </w:r>
    </w:p>
    <w:p w14:paraId="2CA269F5" w14:textId="77777777" w:rsidR="00835B06" w:rsidRDefault="00835B06">
      <w:pPr>
        <w:widowControl w:val="0"/>
        <w:tabs>
          <w:tab w:val="left" w:pos="567"/>
        </w:tabs>
        <w:rPr>
          <w:iCs/>
          <w:szCs w:val="22"/>
          <w:lang w:val="hu-HU" w:eastAsia="en-US"/>
        </w:rPr>
      </w:pPr>
    </w:p>
    <w:p w14:paraId="6DC7B431" w14:textId="77777777" w:rsidR="00835B06" w:rsidRDefault="004D03F7">
      <w:pPr>
        <w:rPr>
          <w:color w:val="000000"/>
          <w:szCs w:val="22"/>
          <w:lang w:val="hu-HU"/>
        </w:rPr>
      </w:pPr>
      <w:r>
        <w:rPr>
          <w:color w:val="000000"/>
          <w:szCs w:val="22"/>
          <w:lang w:val="hu-HU"/>
        </w:rPr>
        <w:t>A 15 egészséges vizsgálati alanyon, napi 50 mg ezetimib alkalmazásával, maximum 14 napon át folytatott kezelés, valamint a 18 primaer hypercholesterinaemiás betegnél, napi 40 mg ezetimib alkalmazásával, maximum 56 napon át folytatott kezelés általában jól tolerálható volt. Állatokon, az ezetimibet patkányban és egérben 5000 mg/ttkg, kutyákon 3000 mg/ttkg egyszeri dózisban, szájon át adva nem figyeltek meg toxikus tüneteket.</w:t>
      </w:r>
    </w:p>
    <w:p w14:paraId="2158B3FD" w14:textId="77777777" w:rsidR="00835B06" w:rsidRDefault="00835B06">
      <w:pPr>
        <w:widowControl w:val="0"/>
        <w:tabs>
          <w:tab w:val="left" w:pos="567"/>
        </w:tabs>
        <w:rPr>
          <w:iCs/>
          <w:szCs w:val="22"/>
          <w:lang w:val="hu-HU" w:eastAsia="en-US"/>
        </w:rPr>
      </w:pPr>
    </w:p>
    <w:p w14:paraId="62FDB1DF" w14:textId="77777777" w:rsidR="00835B06" w:rsidRDefault="004D03F7">
      <w:pPr>
        <w:rPr>
          <w:color w:val="000000"/>
          <w:szCs w:val="22"/>
          <w:lang w:val="hu-HU"/>
        </w:rPr>
      </w:pPr>
      <w:r>
        <w:rPr>
          <w:color w:val="000000"/>
          <w:szCs w:val="22"/>
          <w:lang w:val="hu-HU"/>
        </w:rPr>
        <w:t>Néhány esetben beszámoltak az ezetimib túladagolásáról. A legtöbb esetben nem léptek fel mellékhatások. A bejelentett mellékhatások nem voltak súlyosak. Túladagolás esetén tüneti és szupportív kezelést kell alkalmazni.</w:t>
      </w:r>
    </w:p>
    <w:p w14:paraId="399DA45C" w14:textId="77777777" w:rsidR="00835B06" w:rsidRDefault="00835B06">
      <w:pPr>
        <w:widowControl w:val="0"/>
        <w:tabs>
          <w:tab w:val="left" w:pos="567"/>
        </w:tabs>
        <w:rPr>
          <w:szCs w:val="22"/>
          <w:lang w:val="hu-HU" w:eastAsia="en-US"/>
        </w:rPr>
      </w:pPr>
    </w:p>
    <w:p w14:paraId="6FB729EC" w14:textId="77777777" w:rsidR="00835B06" w:rsidRDefault="00835B06">
      <w:pPr>
        <w:widowControl w:val="0"/>
        <w:tabs>
          <w:tab w:val="left" w:pos="567"/>
        </w:tabs>
        <w:rPr>
          <w:szCs w:val="22"/>
          <w:lang w:val="hu-HU" w:eastAsia="en-US"/>
        </w:rPr>
      </w:pPr>
    </w:p>
    <w:p w14:paraId="60D02E08" w14:textId="77777777" w:rsidR="00835B06" w:rsidRDefault="004D03F7">
      <w:pPr>
        <w:keepNext/>
        <w:tabs>
          <w:tab w:val="left" w:pos="567"/>
        </w:tabs>
        <w:ind w:left="567" w:hanging="567"/>
        <w:outlineLvl w:val="0"/>
        <w:rPr>
          <w:rFonts w:eastAsia="SimSun"/>
          <w:b/>
          <w:szCs w:val="22"/>
          <w:lang w:val="hu-HU" w:eastAsia="zh-CN"/>
        </w:rPr>
      </w:pPr>
      <w:r>
        <w:rPr>
          <w:rFonts w:eastAsia="SimSun"/>
          <w:b/>
          <w:szCs w:val="22"/>
          <w:lang w:val="hu-HU" w:eastAsia="zh-CN"/>
        </w:rPr>
        <w:t>5.</w:t>
      </w:r>
      <w:r>
        <w:rPr>
          <w:rFonts w:eastAsia="SimSun"/>
          <w:b/>
          <w:szCs w:val="22"/>
          <w:lang w:val="hu-HU" w:eastAsia="zh-CN"/>
        </w:rPr>
        <w:tab/>
        <w:t>FARMAKOLÓGIAI TULAJDONSÁGOK</w:t>
      </w:r>
    </w:p>
    <w:p w14:paraId="2D82C6F1" w14:textId="77777777" w:rsidR="00835B06" w:rsidRDefault="00835B06">
      <w:pPr>
        <w:rPr>
          <w:color w:val="000000"/>
          <w:szCs w:val="22"/>
          <w:lang w:val="hu-HU"/>
        </w:rPr>
      </w:pPr>
    </w:p>
    <w:p w14:paraId="0D16E3D2" w14:textId="77777777" w:rsidR="00835B06" w:rsidRDefault="004D03F7">
      <w:pPr>
        <w:tabs>
          <w:tab w:val="left" w:pos="567"/>
        </w:tabs>
        <w:ind w:left="567" w:hanging="567"/>
        <w:rPr>
          <w:b/>
          <w:color w:val="000000"/>
          <w:szCs w:val="22"/>
          <w:lang w:val="hu-HU"/>
        </w:rPr>
      </w:pPr>
      <w:r>
        <w:rPr>
          <w:b/>
          <w:color w:val="000000"/>
          <w:szCs w:val="22"/>
          <w:lang w:val="hu-HU"/>
        </w:rPr>
        <w:t>5.1</w:t>
      </w:r>
      <w:r>
        <w:rPr>
          <w:b/>
          <w:color w:val="000000"/>
          <w:szCs w:val="22"/>
          <w:lang w:val="hu-HU"/>
        </w:rPr>
        <w:tab/>
        <w:t>Farmakodinámiás tulajdonságok</w:t>
      </w:r>
    </w:p>
    <w:p w14:paraId="422EA1B7" w14:textId="77777777" w:rsidR="00835B06" w:rsidRDefault="00835B06">
      <w:pPr>
        <w:widowControl w:val="0"/>
        <w:tabs>
          <w:tab w:val="left" w:pos="567"/>
        </w:tabs>
        <w:rPr>
          <w:szCs w:val="22"/>
          <w:lang w:val="hu-HU" w:eastAsia="en-US"/>
        </w:rPr>
      </w:pPr>
    </w:p>
    <w:p w14:paraId="11FECCB0" w14:textId="77777777" w:rsidR="00835B06" w:rsidRDefault="004D03F7">
      <w:pPr>
        <w:widowControl w:val="0"/>
        <w:tabs>
          <w:tab w:val="left" w:pos="567"/>
        </w:tabs>
        <w:rPr>
          <w:szCs w:val="22"/>
          <w:lang w:val="hu-HU" w:eastAsia="en-US"/>
        </w:rPr>
      </w:pPr>
      <w:r>
        <w:rPr>
          <w:szCs w:val="22"/>
          <w:lang w:val="hu-HU" w:eastAsia="en-US"/>
        </w:rPr>
        <w:t xml:space="preserve">Farmakoterápiás csoport: lipidszintet módosító anyagok, HMG-CoA-reduktáz gátlók és egyéb lipidszint-csökkentő szerek kombinációi, ATC kód: </w:t>
      </w:r>
      <w:r>
        <w:rPr>
          <w:color w:val="000000"/>
          <w:szCs w:val="22"/>
          <w:lang w:val="hu-HU"/>
        </w:rPr>
        <w:t>C10BA06</w:t>
      </w:r>
      <w:r>
        <w:rPr>
          <w:szCs w:val="22"/>
          <w:lang w:val="hu-HU" w:eastAsia="en-US"/>
        </w:rPr>
        <w:t>.</w:t>
      </w:r>
    </w:p>
    <w:p w14:paraId="76FF424B" w14:textId="77777777" w:rsidR="00835B06" w:rsidRDefault="00835B06">
      <w:pPr>
        <w:widowControl w:val="0"/>
        <w:rPr>
          <w:noProof/>
          <w:szCs w:val="22"/>
          <w:lang w:val="hu-HU" w:eastAsia="en-US"/>
        </w:rPr>
      </w:pPr>
    </w:p>
    <w:p w14:paraId="399F2697" w14:textId="77777777" w:rsidR="00835B06" w:rsidRDefault="004D03F7">
      <w:pPr>
        <w:widowControl w:val="0"/>
        <w:autoSpaceDE w:val="0"/>
        <w:autoSpaceDN w:val="0"/>
        <w:adjustRightInd w:val="0"/>
        <w:rPr>
          <w:color w:val="000000"/>
          <w:szCs w:val="22"/>
          <w:u w:val="single"/>
          <w:lang w:val="hu-HU"/>
        </w:rPr>
      </w:pPr>
      <w:r>
        <w:rPr>
          <w:color w:val="000000"/>
          <w:szCs w:val="22"/>
          <w:u w:val="single"/>
          <w:lang w:val="hu-HU"/>
        </w:rPr>
        <w:t>Rozuvasztatin</w:t>
      </w:r>
    </w:p>
    <w:p w14:paraId="299845B3" w14:textId="77777777" w:rsidR="00835B06" w:rsidRDefault="00835B06">
      <w:pPr>
        <w:widowControl w:val="0"/>
        <w:autoSpaceDE w:val="0"/>
        <w:autoSpaceDN w:val="0"/>
        <w:adjustRightInd w:val="0"/>
        <w:rPr>
          <w:color w:val="000000"/>
          <w:szCs w:val="22"/>
          <w:u w:val="single"/>
          <w:lang w:val="hu-HU"/>
        </w:rPr>
      </w:pPr>
    </w:p>
    <w:p w14:paraId="51B6AB82" w14:textId="77777777" w:rsidR="00835B06" w:rsidRDefault="004D03F7">
      <w:pPr>
        <w:widowControl w:val="0"/>
        <w:autoSpaceDE w:val="0"/>
        <w:autoSpaceDN w:val="0"/>
        <w:adjustRightInd w:val="0"/>
        <w:rPr>
          <w:i/>
          <w:color w:val="000000"/>
          <w:szCs w:val="22"/>
          <w:u w:val="single"/>
          <w:lang w:val="hu-HU"/>
        </w:rPr>
      </w:pPr>
      <w:r>
        <w:rPr>
          <w:i/>
          <w:color w:val="000000"/>
          <w:szCs w:val="22"/>
          <w:u w:val="single"/>
          <w:lang w:val="hu-HU"/>
        </w:rPr>
        <w:t>Hatásmechanizmus</w:t>
      </w:r>
    </w:p>
    <w:p w14:paraId="67DE7F01" w14:textId="77777777" w:rsidR="00835B06" w:rsidRDefault="004D03F7">
      <w:pPr>
        <w:pStyle w:val="Szvegtrzs"/>
        <w:rPr>
          <w:szCs w:val="22"/>
          <w:lang w:val="hu-HU"/>
        </w:rPr>
      </w:pPr>
      <w:r>
        <w:rPr>
          <w:szCs w:val="22"/>
          <w:lang w:val="hu-HU"/>
        </w:rPr>
        <w:t>A rozuvasztatin a HMG-CoA-reduktáz szelektív és kompetitív gátlója. Ez az enzim alakítja át a 3</w:t>
      </w:r>
      <w:r>
        <w:rPr>
          <w:szCs w:val="22"/>
          <w:lang w:val="hu-HU"/>
        </w:rPr>
        <w:noBreakHyphen/>
        <w:t xml:space="preserve">hidroxi-3-metil-glutaril-koenzim-A-t mevalonáttá, azaz a koleszterin előanyagává, és meghatározza ennek mértékét. A rozuvasztatin hatását elsősorban a májban, a koleszterinszint-csökkentés célszervében fejti ki. </w:t>
      </w:r>
    </w:p>
    <w:p w14:paraId="5DBB2EF7" w14:textId="77777777" w:rsidR="00835B06" w:rsidRDefault="00835B06">
      <w:pPr>
        <w:widowControl w:val="0"/>
        <w:rPr>
          <w:color w:val="000000"/>
          <w:szCs w:val="22"/>
          <w:lang w:val="hu-HU"/>
        </w:rPr>
      </w:pPr>
    </w:p>
    <w:p w14:paraId="71059F41" w14:textId="77777777" w:rsidR="00835B06" w:rsidRDefault="004D03F7">
      <w:pPr>
        <w:pStyle w:val="Szvegtrzs"/>
        <w:rPr>
          <w:szCs w:val="22"/>
          <w:lang w:val="hu-HU"/>
        </w:rPr>
      </w:pPr>
      <w:r>
        <w:rPr>
          <w:szCs w:val="22"/>
          <w:lang w:val="hu-HU"/>
        </w:rPr>
        <w:t>A rozuvasztatin a májban megnöveli a sejtfelszíni LDL-receptorok számát, ezáltal fokozva az LDL</w:t>
      </w:r>
      <w:r>
        <w:rPr>
          <w:szCs w:val="22"/>
          <w:lang w:val="hu-HU"/>
        </w:rPr>
        <w:noBreakHyphen/>
        <w:t>koleszterin-felvételt és -katabolizmust, továbbá csökkenti a máj VLDL-koleszterin szintézisét. A rozuvasztatin ezáltal csökkenti a VLDL- és az LDL</w:t>
      </w:r>
      <w:r>
        <w:rPr>
          <w:szCs w:val="22"/>
          <w:lang w:val="hu-HU"/>
        </w:rPr>
        <w:noBreakHyphen/>
        <w:t>részecskék teljes mennyiségét.</w:t>
      </w:r>
    </w:p>
    <w:p w14:paraId="7FBB8588" w14:textId="77777777" w:rsidR="00835B06" w:rsidRDefault="004D03F7">
      <w:pPr>
        <w:pStyle w:val="Cmsor3"/>
        <w:rPr>
          <w:b w:val="0"/>
          <w:i/>
          <w:szCs w:val="22"/>
          <w:u w:val="single"/>
          <w:lang w:val="hu-HU"/>
        </w:rPr>
      </w:pPr>
      <w:r>
        <w:rPr>
          <w:b w:val="0"/>
          <w:i/>
          <w:szCs w:val="22"/>
          <w:u w:val="single"/>
          <w:lang w:val="hu-HU"/>
        </w:rPr>
        <w:t>Farmakodinámiás hatások</w:t>
      </w:r>
    </w:p>
    <w:p w14:paraId="57FEBB99" w14:textId="1B5CCAB5" w:rsidR="00835B06" w:rsidRDefault="004D03F7">
      <w:pPr>
        <w:pStyle w:val="Szvegtrzs"/>
        <w:rPr>
          <w:szCs w:val="22"/>
          <w:lang w:val="hu-HU"/>
        </w:rPr>
      </w:pPr>
      <w:r>
        <w:rPr>
          <w:szCs w:val="22"/>
          <w:lang w:val="hu-HU"/>
        </w:rPr>
        <w:t>A rozuvasztatin csökkenti az emelkedett LDL-koleszterin-, összkoleszterin- és triglicerid-szintet, valamint emeli a HDL-koleszterin szintjét. Csökkenti továbbá az ApoB-, a nem HDL-C-, a VLDL-C-, a VLDL-TG-szinteket és emeli az ApoA-I-szintet (lásd 3. táblázat). A rozuvasztatin csökkenti az LDL-C/HDL-C, az össz</w:t>
      </w:r>
      <w:r>
        <w:rPr>
          <w:szCs w:val="22"/>
          <w:lang w:val="hu-HU"/>
        </w:rPr>
        <w:noBreakHyphen/>
        <w:t>C/HDL-C, a nem HDL-C/HDL-C és az ApoB/ApoA-I hányadost is.</w:t>
      </w:r>
    </w:p>
    <w:p w14:paraId="626FCCE6" w14:textId="77777777" w:rsidR="00835B06" w:rsidRDefault="00835B06">
      <w:pPr>
        <w:widowControl w:val="0"/>
        <w:rPr>
          <w:color w:val="000000"/>
          <w:szCs w:val="22"/>
          <w:lang w:val="hu-HU"/>
        </w:rPr>
      </w:pPr>
    </w:p>
    <w:p w14:paraId="7614781B" w14:textId="77777777" w:rsidR="00835B06" w:rsidRDefault="004D03F7">
      <w:pPr>
        <w:pStyle w:val="Cmsor3"/>
        <w:tabs>
          <w:tab w:val="clear" w:pos="6760"/>
        </w:tabs>
        <w:spacing w:line="240" w:lineRule="auto"/>
        <w:rPr>
          <w:b w:val="0"/>
          <w:szCs w:val="22"/>
          <w:lang w:val="hu-HU"/>
        </w:rPr>
      </w:pPr>
      <w:r>
        <w:rPr>
          <w:szCs w:val="22"/>
          <w:lang w:val="hu-HU"/>
        </w:rPr>
        <w:t>3. táblázat:</w:t>
      </w:r>
      <w:r>
        <w:rPr>
          <w:b w:val="0"/>
          <w:szCs w:val="22"/>
          <w:lang w:val="hu-HU"/>
        </w:rPr>
        <w:t xml:space="preserve"> </w:t>
      </w:r>
      <w:r>
        <w:rPr>
          <w:szCs w:val="22"/>
          <w:lang w:val="hu-HU"/>
        </w:rPr>
        <w:t>Primaer (IIa és IIb típusú) hypercholesterinaemiában szenvedő betegek válaszreakciói az egyes dózisokra (a kiindulási értéktől mért változás százalékos középértéke)</w:t>
      </w:r>
    </w:p>
    <w:p w14:paraId="0A509AE0" w14:textId="77777777" w:rsidR="00835B06" w:rsidRDefault="00835B06">
      <w:pPr>
        <w:pStyle w:val="NormlWeb"/>
        <w:keepNext/>
        <w:widowControl w:val="0"/>
        <w:spacing w:before="0" w:beforeAutospacing="0" w:after="0"/>
        <w:rPr>
          <w:szCs w:val="22"/>
          <w:lang w:val="hu-HU"/>
        </w:rPr>
      </w:pPr>
    </w:p>
    <w:tbl>
      <w:tblPr>
        <w:tblW w:w="4813" w:type="pct"/>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011"/>
        <w:gridCol w:w="746"/>
        <w:gridCol w:w="981"/>
        <w:gridCol w:w="1031"/>
        <w:gridCol w:w="1006"/>
        <w:gridCol w:w="719"/>
        <w:gridCol w:w="1327"/>
        <w:gridCol w:w="852"/>
        <w:gridCol w:w="1014"/>
      </w:tblGrid>
      <w:tr w:rsidR="00835B06" w14:paraId="0DD734B0" w14:textId="77777777">
        <w:tc>
          <w:tcPr>
            <w:tcW w:w="1021" w:type="dxa"/>
            <w:shd w:val="clear" w:color="auto" w:fill="auto"/>
          </w:tcPr>
          <w:p w14:paraId="5152289D" w14:textId="77777777" w:rsidR="00835B06" w:rsidRDefault="004D03F7">
            <w:pPr>
              <w:pStyle w:val="NormlWeb"/>
              <w:keepNext/>
              <w:widowControl w:val="0"/>
              <w:spacing w:before="0" w:beforeAutospacing="0" w:after="0"/>
              <w:rPr>
                <w:szCs w:val="22"/>
                <w:lang w:val="hu-HU"/>
              </w:rPr>
            </w:pPr>
            <w:r>
              <w:rPr>
                <w:b/>
                <w:bCs/>
                <w:szCs w:val="22"/>
                <w:lang w:val="hu-HU"/>
              </w:rPr>
              <w:t>Dózis</w:t>
            </w:r>
          </w:p>
        </w:tc>
        <w:tc>
          <w:tcPr>
            <w:tcW w:w="779" w:type="dxa"/>
            <w:shd w:val="clear" w:color="auto" w:fill="auto"/>
          </w:tcPr>
          <w:p w14:paraId="57ECF370" w14:textId="77777777" w:rsidR="00835B06" w:rsidRDefault="004D03F7">
            <w:pPr>
              <w:pStyle w:val="NormlWeb"/>
              <w:keepNext/>
              <w:widowControl w:val="0"/>
              <w:spacing w:before="0" w:beforeAutospacing="0" w:after="0"/>
              <w:jc w:val="center"/>
              <w:rPr>
                <w:szCs w:val="22"/>
                <w:lang w:val="hu-HU"/>
              </w:rPr>
            </w:pPr>
            <w:r>
              <w:rPr>
                <w:b/>
                <w:bCs/>
                <w:szCs w:val="22"/>
                <w:lang w:val="hu-HU"/>
              </w:rPr>
              <w:t>N</w:t>
            </w:r>
          </w:p>
        </w:tc>
        <w:tc>
          <w:tcPr>
            <w:tcW w:w="1007" w:type="dxa"/>
            <w:shd w:val="clear" w:color="auto" w:fill="auto"/>
          </w:tcPr>
          <w:p w14:paraId="3843F8D0" w14:textId="77777777" w:rsidR="00835B06" w:rsidRDefault="004D03F7">
            <w:pPr>
              <w:pStyle w:val="NormlWeb"/>
              <w:keepNext/>
              <w:widowControl w:val="0"/>
              <w:spacing w:before="0" w:beforeAutospacing="0" w:after="0"/>
              <w:jc w:val="center"/>
              <w:rPr>
                <w:szCs w:val="22"/>
                <w:lang w:val="hu-HU"/>
              </w:rPr>
            </w:pPr>
            <w:r>
              <w:rPr>
                <w:b/>
                <w:bCs/>
                <w:szCs w:val="22"/>
                <w:lang w:val="hu-HU"/>
              </w:rPr>
              <w:t>LDL-C</w:t>
            </w:r>
          </w:p>
        </w:tc>
        <w:tc>
          <w:tcPr>
            <w:tcW w:w="1057" w:type="dxa"/>
            <w:shd w:val="clear" w:color="auto" w:fill="auto"/>
          </w:tcPr>
          <w:p w14:paraId="22AD1756" w14:textId="77777777" w:rsidR="00835B06" w:rsidRDefault="004D03F7">
            <w:pPr>
              <w:pStyle w:val="NormlWeb"/>
              <w:keepNext/>
              <w:widowControl w:val="0"/>
              <w:spacing w:before="0" w:beforeAutospacing="0" w:after="0"/>
              <w:jc w:val="center"/>
              <w:rPr>
                <w:szCs w:val="22"/>
                <w:lang w:val="hu-HU"/>
              </w:rPr>
            </w:pPr>
            <w:r>
              <w:rPr>
                <w:b/>
                <w:bCs/>
                <w:szCs w:val="22"/>
                <w:lang w:val="hu-HU"/>
              </w:rPr>
              <w:t>Total-C</w:t>
            </w:r>
          </w:p>
        </w:tc>
        <w:tc>
          <w:tcPr>
            <w:tcW w:w="1032" w:type="dxa"/>
            <w:shd w:val="clear" w:color="auto" w:fill="auto"/>
          </w:tcPr>
          <w:p w14:paraId="6564F490" w14:textId="77777777" w:rsidR="00835B06" w:rsidRDefault="004D03F7">
            <w:pPr>
              <w:pStyle w:val="NormlWeb"/>
              <w:keepNext/>
              <w:widowControl w:val="0"/>
              <w:spacing w:before="0" w:beforeAutospacing="0" w:after="0"/>
              <w:jc w:val="center"/>
              <w:rPr>
                <w:szCs w:val="22"/>
                <w:lang w:val="hu-HU"/>
              </w:rPr>
            </w:pPr>
            <w:r>
              <w:rPr>
                <w:b/>
                <w:bCs/>
                <w:szCs w:val="22"/>
                <w:lang w:val="hu-HU"/>
              </w:rPr>
              <w:t>HDL-C</w:t>
            </w:r>
          </w:p>
        </w:tc>
        <w:tc>
          <w:tcPr>
            <w:tcW w:w="739" w:type="dxa"/>
            <w:shd w:val="clear" w:color="auto" w:fill="auto"/>
          </w:tcPr>
          <w:p w14:paraId="6D072C99" w14:textId="77777777" w:rsidR="00835B06" w:rsidRDefault="004D03F7">
            <w:pPr>
              <w:pStyle w:val="NormlWeb"/>
              <w:keepNext/>
              <w:widowControl w:val="0"/>
              <w:spacing w:before="0" w:beforeAutospacing="0" w:after="0"/>
              <w:jc w:val="center"/>
              <w:rPr>
                <w:szCs w:val="22"/>
                <w:lang w:val="hu-HU"/>
              </w:rPr>
            </w:pPr>
            <w:r>
              <w:rPr>
                <w:b/>
                <w:bCs/>
                <w:szCs w:val="22"/>
                <w:lang w:val="hu-HU"/>
              </w:rPr>
              <w:t>TG</w:t>
            </w:r>
          </w:p>
        </w:tc>
        <w:tc>
          <w:tcPr>
            <w:tcW w:w="1387" w:type="dxa"/>
            <w:shd w:val="clear" w:color="auto" w:fill="auto"/>
          </w:tcPr>
          <w:p w14:paraId="4746E630" w14:textId="77777777" w:rsidR="00835B06" w:rsidRDefault="004D03F7">
            <w:pPr>
              <w:pStyle w:val="NormlWeb"/>
              <w:keepNext/>
              <w:widowControl w:val="0"/>
              <w:spacing w:before="0" w:beforeAutospacing="0" w:after="0"/>
              <w:jc w:val="center"/>
              <w:rPr>
                <w:szCs w:val="22"/>
                <w:lang w:val="hu-HU"/>
              </w:rPr>
            </w:pPr>
            <w:r>
              <w:rPr>
                <w:b/>
                <w:bCs/>
                <w:szCs w:val="22"/>
                <w:lang w:val="hu-HU"/>
              </w:rPr>
              <w:t>nem HDL-C</w:t>
            </w:r>
          </w:p>
        </w:tc>
        <w:tc>
          <w:tcPr>
            <w:tcW w:w="863" w:type="dxa"/>
            <w:shd w:val="clear" w:color="auto" w:fill="auto"/>
          </w:tcPr>
          <w:p w14:paraId="05F99BFA" w14:textId="77777777" w:rsidR="00835B06" w:rsidRDefault="004D03F7">
            <w:pPr>
              <w:pStyle w:val="NormlWeb"/>
              <w:keepNext/>
              <w:widowControl w:val="0"/>
              <w:spacing w:before="0" w:beforeAutospacing="0" w:after="0"/>
              <w:jc w:val="center"/>
              <w:rPr>
                <w:szCs w:val="22"/>
                <w:lang w:val="hu-HU"/>
              </w:rPr>
            </w:pPr>
            <w:r>
              <w:rPr>
                <w:b/>
                <w:bCs/>
                <w:szCs w:val="22"/>
                <w:lang w:val="hu-HU"/>
              </w:rPr>
              <w:t>ApoB</w:t>
            </w:r>
          </w:p>
        </w:tc>
        <w:tc>
          <w:tcPr>
            <w:tcW w:w="1033" w:type="dxa"/>
            <w:shd w:val="clear" w:color="auto" w:fill="auto"/>
          </w:tcPr>
          <w:p w14:paraId="53E185CF" w14:textId="77777777" w:rsidR="00835B06" w:rsidRDefault="004D03F7">
            <w:pPr>
              <w:pStyle w:val="NormlWeb"/>
              <w:keepNext/>
              <w:widowControl w:val="0"/>
              <w:spacing w:before="0" w:beforeAutospacing="0" w:after="0"/>
              <w:jc w:val="center"/>
              <w:rPr>
                <w:szCs w:val="22"/>
                <w:lang w:val="hu-HU"/>
              </w:rPr>
            </w:pPr>
            <w:r>
              <w:rPr>
                <w:b/>
                <w:bCs/>
                <w:szCs w:val="22"/>
                <w:lang w:val="hu-HU"/>
              </w:rPr>
              <w:t>ApoA-I</w:t>
            </w:r>
          </w:p>
        </w:tc>
      </w:tr>
      <w:tr w:rsidR="00835B06" w14:paraId="7A2B5B85" w14:textId="77777777">
        <w:tc>
          <w:tcPr>
            <w:tcW w:w="1021" w:type="dxa"/>
            <w:shd w:val="clear" w:color="auto" w:fill="auto"/>
          </w:tcPr>
          <w:p w14:paraId="140CF94A" w14:textId="77777777" w:rsidR="00835B06" w:rsidRDefault="004D03F7">
            <w:pPr>
              <w:pStyle w:val="NormlWeb"/>
              <w:keepNext/>
              <w:widowControl w:val="0"/>
              <w:spacing w:before="0" w:beforeAutospacing="0" w:after="0"/>
              <w:rPr>
                <w:szCs w:val="22"/>
                <w:lang w:val="hu-HU"/>
              </w:rPr>
            </w:pPr>
            <w:r>
              <w:rPr>
                <w:szCs w:val="22"/>
                <w:lang w:val="hu-HU"/>
              </w:rPr>
              <w:t>Placebo</w:t>
            </w:r>
          </w:p>
        </w:tc>
        <w:tc>
          <w:tcPr>
            <w:tcW w:w="779" w:type="dxa"/>
            <w:shd w:val="clear" w:color="auto" w:fill="auto"/>
          </w:tcPr>
          <w:p w14:paraId="50C44BF2" w14:textId="77777777" w:rsidR="00835B06" w:rsidRDefault="004D03F7">
            <w:pPr>
              <w:pStyle w:val="NormlWeb"/>
              <w:keepNext/>
              <w:widowControl w:val="0"/>
              <w:spacing w:before="0" w:beforeAutospacing="0" w:after="0"/>
              <w:jc w:val="center"/>
              <w:rPr>
                <w:szCs w:val="22"/>
                <w:lang w:val="hu-HU"/>
              </w:rPr>
            </w:pPr>
            <w:r>
              <w:rPr>
                <w:szCs w:val="22"/>
                <w:lang w:val="hu-HU"/>
              </w:rPr>
              <w:t>13</w:t>
            </w:r>
          </w:p>
        </w:tc>
        <w:tc>
          <w:tcPr>
            <w:tcW w:w="1007" w:type="dxa"/>
            <w:shd w:val="clear" w:color="auto" w:fill="auto"/>
          </w:tcPr>
          <w:p w14:paraId="15A2685F" w14:textId="77777777" w:rsidR="00835B06" w:rsidRDefault="004D03F7">
            <w:pPr>
              <w:pStyle w:val="NormlWeb"/>
              <w:keepNext/>
              <w:widowControl w:val="0"/>
              <w:spacing w:before="0" w:beforeAutospacing="0" w:after="0"/>
              <w:jc w:val="center"/>
              <w:rPr>
                <w:szCs w:val="22"/>
                <w:lang w:val="hu-HU"/>
              </w:rPr>
            </w:pPr>
            <w:r>
              <w:rPr>
                <w:szCs w:val="22"/>
                <w:lang w:val="hu-HU"/>
              </w:rPr>
              <w:t>-7</w:t>
            </w:r>
          </w:p>
        </w:tc>
        <w:tc>
          <w:tcPr>
            <w:tcW w:w="1057" w:type="dxa"/>
            <w:shd w:val="clear" w:color="auto" w:fill="auto"/>
          </w:tcPr>
          <w:p w14:paraId="128AB5BE" w14:textId="77777777" w:rsidR="00835B06" w:rsidRDefault="004D03F7">
            <w:pPr>
              <w:pStyle w:val="NormlWeb"/>
              <w:keepNext/>
              <w:widowControl w:val="0"/>
              <w:spacing w:before="0" w:beforeAutospacing="0" w:after="0"/>
              <w:jc w:val="center"/>
              <w:rPr>
                <w:szCs w:val="22"/>
                <w:lang w:val="hu-HU"/>
              </w:rPr>
            </w:pPr>
            <w:r>
              <w:rPr>
                <w:szCs w:val="22"/>
                <w:lang w:val="hu-HU"/>
              </w:rPr>
              <w:t>-5</w:t>
            </w:r>
          </w:p>
        </w:tc>
        <w:tc>
          <w:tcPr>
            <w:tcW w:w="1032" w:type="dxa"/>
            <w:shd w:val="clear" w:color="auto" w:fill="auto"/>
          </w:tcPr>
          <w:p w14:paraId="6E6AFA76" w14:textId="77777777" w:rsidR="00835B06" w:rsidRDefault="004D03F7">
            <w:pPr>
              <w:pStyle w:val="NormlWeb"/>
              <w:keepNext/>
              <w:widowControl w:val="0"/>
              <w:spacing w:before="0" w:beforeAutospacing="0" w:after="0"/>
              <w:jc w:val="center"/>
              <w:rPr>
                <w:szCs w:val="22"/>
                <w:lang w:val="hu-HU"/>
              </w:rPr>
            </w:pPr>
            <w:r>
              <w:rPr>
                <w:szCs w:val="22"/>
                <w:lang w:val="hu-HU"/>
              </w:rPr>
              <w:t>3</w:t>
            </w:r>
          </w:p>
        </w:tc>
        <w:tc>
          <w:tcPr>
            <w:tcW w:w="739" w:type="dxa"/>
            <w:shd w:val="clear" w:color="auto" w:fill="auto"/>
          </w:tcPr>
          <w:p w14:paraId="191762CD" w14:textId="77777777" w:rsidR="00835B06" w:rsidRDefault="004D03F7">
            <w:pPr>
              <w:pStyle w:val="NormlWeb"/>
              <w:keepNext/>
              <w:widowControl w:val="0"/>
              <w:spacing w:before="0" w:beforeAutospacing="0" w:after="0"/>
              <w:jc w:val="center"/>
              <w:rPr>
                <w:szCs w:val="22"/>
                <w:lang w:val="hu-HU"/>
              </w:rPr>
            </w:pPr>
            <w:r>
              <w:rPr>
                <w:szCs w:val="22"/>
                <w:lang w:val="hu-HU"/>
              </w:rPr>
              <w:t>-3</w:t>
            </w:r>
          </w:p>
        </w:tc>
        <w:tc>
          <w:tcPr>
            <w:tcW w:w="1387" w:type="dxa"/>
            <w:shd w:val="clear" w:color="auto" w:fill="auto"/>
          </w:tcPr>
          <w:p w14:paraId="31361589" w14:textId="77777777" w:rsidR="00835B06" w:rsidRDefault="004D03F7">
            <w:pPr>
              <w:pStyle w:val="NormlWeb"/>
              <w:keepNext/>
              <w:widowControl w:val="0"/>
              <w:spacing w:before="0" w:beforeAutospacing="0" w:after="0"/>
              <w:jc w:val="center"/>
              <w:rPr>
                <w:szCs w:val="22"/>
                <w:lang w:val="hu-HU"/>
              </w:rPr>
            </w:pPr>
            <w:r>
              <w:rPr>
                <w:szCs w:val="22"/>
                <w:lang w:val="hu-HU"/>
              </w:rPr>
              <w:t>-7</w:t>
            </w:r>
          </w:p>
        </w:tc>
        <w:tc>
          <w:tcPr>
            <w:tcW w:w="863" w:type="dxa"/>
            <w:shd w:val="clear" w:color="auto" w:fill="auto"/>
          </w:tcPr>
          <w:p w14:paraId="02E4F20E" w14:textId="77777777" w:rsidR="00835B06" w:rsidRDefault="004D03F7">
            <w:pPr>
              <w:pStyle w:val="NormlWeb"/>
              <w:keepNext/>
              <w:widowControl w:val="0"/>
              <w:spacing w:before="0" w:beforeAutospacing="0" w:after="0"/>
              <w:jc w:val="center"/>
              <w:rPr>
                <w:szCs w:val="22"/>
                <w:lang w:val="hu-HU"/>
              </w:rPr>
            </w:pPr>
            <w:r>
              <w:rPr>
                <w:szCs w:val="22"/>
                <w:lang w:val="hu-HU"/>
              </w:rPr>
              <w:t>-3</w:t>
            </w:r>
          </w:p>
        </w:tc>
        <w:tc>
          <w:tcPr>
            <w:tcW w:w="1033" w:type="dxa"/>
            <w:shd w:val="clear" w:color="auto" w:fill="auto"/>
          </w:tcPr>
          <w:p w14:paraId="2426A8ED" w14:textId="77777777" w:rsidR="00835B06" w:rsidRDefault="004D03F7">
            <w:pPr>
              <w:pStyle w:val="NormlWeb"/>
              <w:keepNext/>
              <w:widowControl w:val="0"/>
              <w:spacing w:before="0" w:beforeAutospacing="0" w:after="0"/>
              <w:jc w:val="center"/>
              <w:rPr>
                <w:szCs w:val="22"/>
                <w:lang w:val="hu-HU"/>
              </w:rPr>
            </w:pPr>
            <w:r>
              <w:rPr>
                <w:szCs w:val="22"/>
                <w:lang w:val="hu-HU"/>
              </w:rPr>
              <w:t>0</w:t>
            </w:r>
          </w:p>
        </w:tc>
      </w:tr>
      <w:tr w:rsidR="00835B06" w14:paraId="743144E3" w14:textId="77777777">
        <w:tc>
          <w:tcPr>
            <w:tcW w:w="1021" w:type="dxa"/>
            <w:shd w:val="clear" w:color="auto" w:fill="auto"/>
          </w:tcPr>
          <w:p w14:paraId="6C6302D6" w14:textId="77777777" w:rsidR="00835B06" w:rsidRDefault="004D03F7">
            <w:pPr>
              <w:pStyle w:val="NormlWeb"/>
              <w:widowControl w:val="0"/>
              <w:spacing w:before="0" w:beforeAutospacing="0" w:after="0"/>
              <w:rPr>
                <w:szCs w:val="22"/>
                <w:lang w:val="hu-HU"/>
              </w:rPr>
            </w:pPr>
            <w:r>
              <w:rPr>
                <w:szCs w:val="22"/>
                <w:lang w:val="hu-HU"/>
              </w:rPr>
              <w:t>5</w:t>
            </w:r>
          </w:p>
        </w:tc>
        <w:tc>
          <w:tcPr>
            <w:tcW w:w="779" w:type="dxa"/>
            <w:shd w:val="clear" w:color="auto" w:fill="auto"/>
          </w:tcPr>
          <w:p w14:paraId="2D70BFF5" w14:textId="77777777" w:rsidR="00835B06" w:rsidRDefault="004D03F7">
            <w:pPr>
              <w:pStyle w:val="NormlWeb"/>
              <w:widowControl w:val="0"/>
              <w:spacing w:before="0" w:beforeAutospacing="0" w:after="0"/>
              <w:jc w:val="center"/>
              <w:rPr>
                <w:szCs w:val="22"/>
                <w:lang w:val="hu-HU"/>
              </w:rPr>
            </w:pPr>
            <w:r>
              <w:rPr>
                <w:szCs w:val="22"/>
                <w:lang w:val="hu-HU"/>
              </w:rPr>
              <w:t>17</w:t>
            </w:r>
          </w:p>
        </w:tc>
        <w:tc>
          <w:tcPr>
            <w:tcW w:w="1007" w:type="dxa"/>
            <w:shd w:val="clear" w:color="auto" w:fill="auto"/>
          </w:tcPr>
          <w:p w14:paraId="5980E95A" w14:textId="77777777" w:rsidR="00835B06" w:rsidRDefault="004D03F7">
            <w:pPr>
              <w:pStyle w:val="NormlWeb"/>
              <w:widowControl w:val="0"/>
              <w:spacing w:before="0" w:beforeAutospacing="0" w:after="0"/>
              <w:jc w:val="center"/>
              <w:rPr>
                <w:szCs w:val="22"/>
                <w:lang w:val="hu-HU"/>
              </w:rPr>
            </w:pPr>
            <w:r>
              <w:rPr>
                <w:szCs w:val="22"/>
                <w:lang w:val="hu-HU"/>
              </w:rPr>
              <w:t>-45</w:t>
            </w:r>
          </w:p>
        </w:tc>
        <w:tc>
          <w:tcPr>
            <w:tcW w:w="1057" w:type="dxa"/>
            <w:shd w:val="clear" w:color="auto" w:fill="auto"/>
          </w:tcPr>
          <w:p w14:paraId="4185093F" w14:textId="77777777" w:rsidR="00835B06" w:rsidRDefault="004D03F7">
            <w:pPr>
              <w:pStyle w:val="NormlWeb"/>
              <w:widowControl w:val="0"/>
              <w:spacing w:before="0" w:beforeAutospacing="0" w:after="0"/>
              <w:jc w:val="center"/>
              <w:rPr>
                <w:szCs w:val="22"/>
                <w:lang w:val="hu-HU"/>
              </w:rPr>
            </w:pPr>
            <w:r>
              <w:rPr>
                <w:szCs w:val="22"/>
                <w:lang w:val="hu-HU"/>
              </w:rPr>
              <w:t>-33</w:t>
            </w:r>
          </w:p>
        </w:tc>
        <w:tc>
          <w:tcPr>
            <w:tcW w:w="1032" w:type="dxa"/>
            <w:shd w:val="clear" w:color="auto" w:fill="auto"/>
          </w:tcPr>
          <w:p w14:paraId="27C090C7" w14:textId="77777777" w:rsidR="00835B06" w:rsidRDefault="004D03F7">
            <w:pPr>
              <w:pStyle w:val="NormlWeb"/>
              <w:widowControl w:val="0"/>
              <w:spacing w:before="0" w:beforeAutospacing="0" w:after="0"/>
              <w:jc w:val="center"/>
              <w:rPr>
                <w:szCs w:val="22"/>
                <w:lang w:val="hu-HU"/>
              </w:rPr>
            </w:pPr>
            <w:r>
              <w:rPr>
                <w:szCs w:val="22"/>
                <w:lang w:val="hu-HU"/>
              </w:rPr>
              <w:t>13</w:t>
            </w:r>
          </w:p>
        </w:tc>
        <w:tc>
          <w:tcPr>
            <w:tcW w:w="739" w:type="dxa"/>
            <w:shd w:val="clear" w:color="auto" w:fill="auto"/>
          </w:tcPr>
          <w:p w14:paraId="217EE26F" w14:textId="77777777" w:rsidR="00835B06" w:rsidRDefault="004D03F7">
            <w:pPr>
              <w:pStyle w:val="NormlWeb"/>
              <w:widowControl w:val="0"/>
              <w:spacing w:before="0" w:beforeAutospacing="0" w:after="0"/>
              <w:jc w:val="center"/>
              <w:rPr>
                <w:szCs w:val="22"/>
                <w:lang w:val="hu-HU"/>
              </w:rPr>
            </w:pPr>
            <w:r>
              <w:rPr>
                <w:szCs w:val="22"/>
                <w:lang w:val="hu-HU"/>
              </w:rPr>
              <w:t>-35</w:t>
            </w:r>
          </w:p>
        </w:tc>
        <w:tc>
          <w:tcPr>
            <w:tcW w:w="1387" w:type="dxa"/>
            <w:shd w:val="clear" w:color="auto" w:fill="auto"/>
          </w:tcPr>
          <w:p w14:paraId="1BC18262" w14:textId="77777777" w:rsidR="00835B06" w:rsidRDefault="004D03F7">
            <w:pPr>
              <w:pStyle w:val="NormlWeb"/>
              <w:widowControl w:val="0"/>
              <w:spacing w:before="0" w:beforeAutospacing="0" w:after="0"/>
              <w:jc w:val="center"/>
              <w:rPr>
                <w:szCs w:val="22"/>
                <w:lang w:val="hu-HU"/>
              </w:rPr>
            </w:pPr>
            <w:r>
              <w:rPr>
                <w:szCs w:val="22"/>
                <w:lang w:val="hu-HU"/>
              </w:rPr>
              <w:t>-44</w:t>
            </w:r>
          </w:p>
        </w:tc>
        <w:tc>
          <w:tcPr>
            <w:tcW w:w="863" w:type="dxa"/>
            <w:shd w:val="clear" w:color="auto" w:fill="auto"/>
          </w:tcPr>
          <w:p w14:paraId="69B3BD12" w14:textId="77777777" w:rsidR="00835B06" w:rsidRDefault="004D03F7">
            <w:pPr>
              <w:pStyle w:val="NormlWeb"/>
              <w:widowControl w:val="0"/>
              <w:spacing w:before="0" w:beforeAutospacing="0" w:after="0"/>
              <w:jc w:val="center"/>
              <w:rPr>
                <w:szCs w:val="22"/>
                <w:lang w:val="hu-HU"/>
              </w:rPr>
            </w:pPr>
            <w:r>
              <w:rPr>
                <w:szCs w:val="22"/>
                <w:lang w:val="hu-HU"/>
              </w:rPr>
              <w:t>-38</w:t>
            </w:r>
          </w:p>
        </w:tc>
        <w:tc>
          <w:tcPr>
            <w:tcW w:w="1033" w:type="dxa"/>
            <w:shd w:val="clear" w:color="auto" w:fill="auto"/>
          </w:tcPr>
          <w:p w14:paraId="2F6942B7" w14:textId="77777777" w:rsidR="00835B06" w:rsidRDefault="004D03F7">
            <w:pPr>
              <w:pStyle w:val="NormlWeb"/>
              <w:widowControl w:val="0"/>
              <w:spacing w:before="0" w:beforeAutospacing="0" w:after="0"/>
              <w:jc w:val="center"/>
              <w:rPr>
                <w:szCs w:val="22"/>
                <w:lang w:val="hu-HU"/>
              </w:rPr>
            </w:pPr>
            <w:r>
              <w:rPr>
                <w:szCs w:val="22"/>
                <w:lang w:val="hu-HU"/>
              </w:rPr>
              <w:t>4</w:t>
            </w:r>
          </w:p>
        </w:tc>
      </w:tr>
      <w:tr w:rsidR="00835B06" w14:paraId="032D9DA5" w14:textId="77777777">
        <w:tc>
          <w:tcPr>
            <w:tcW w:w="1021" w:type="dxa"/>
            <w:shd w:val="clear" w:color="auto" w:fill="auto"/>
          </w:tcPr>
          <w:p w14:paraId="212CB393" w14:textId="77777777" w:rsidR="00835B06" w:rsidRDefault="004D03F7">
            <w:pPr>
              <w:pStyle w:val="NormlWeb"/>
              <w:widowControl w:val="0"/>
              <w:spacing w:before="0" w:beforeAutospacing="0" w:after="0"/>
              <w:rPr>
                <w:szCs w:val="22"/>
                <w:lang w:val="hu-HU"/>
              </w:rPr>
            </w:pPr>
            <w:r>
              <w:rPr>
                <w:szCs w:val="22"/>
                <w:lang w:val="hu-HU"/>
              </w:rPr>
              <w:t>10</w:t>
            </w:r>
          </w:p>
        </w:tc>
        <w:tc>
          <w:tcPr>
            <w:tcW w:w="779" w:type="dxa"/>
            <w:shd w:val="clear" w:color="auto" w:fill="auto"/>
          </w:tcPr>
          <w:p w14:paraId="4AF1D2A9" w14:textId="77777777" w:rsidR="00835B06" w:rsidRDefault="004D03F7">
            <w:pPr>
              <w:pStyle w:val="NormlWeb"/>
              <w:widowControl w:val="0"/>
              <w:spacing w:before="0" w:beforeAutospacing="0" w:after="0"/>
              <w:jc w:val="center"/>
              <w:rPr>
                <w:szCs w:val="22"/>
                <w:lang w:val="hu-HU"/>
              </w:rPr>
            </w:pPr>
            <w:r>
              <w:rPr>
                <w:szCs w:val="22"/>
                <w:lang w:val="hu-HU"/>
              </w:rPr>
              <w:t>17</w:t>
            </w:r>
          </w:p>
        </w:tc>
        <w:tc>
          <w:tcPr>
            <w:tcW w:w="1007" w:type="dxa"/>
            <w:shd w:val="clear" w:color="auto" w:fill="auto"/>
          </w:tcPr>
          <w:p w14:paraId="3A2B8971" w14:textId="77777777" w:rsidR="00835B06" w:rsidRDefault="004D03F7">
            <w:pPr>
              <w:pStyle w:val="NormlWeb"/>
              <w:widowControl w:val="0"/>
              <w:spacing w:before="0" w:beforeAutospacing="0" w:after="0"/>
              <w:jc w:val="center"/>
              <w:rPr>
                <w:szCs w:val="22"/>
                <w:lang w:val="hu-HU"/>
              </w:rPr>
            </w:pPr>
            <w:r>
              <w:rPr>
                <w:szCs w:val="22"/>
                <w:lang w:val="hu-HU"/>
              </w:rPr>
              <w:t>-52</w:t>
            </w:r>
          </w:p>
        </w:tc>
        <w:tc>
          <w:tcPr>
            <w:tcW w:w="1057" w:type="dxa"/>
            <w:shd w:val="clear" w:color="auto" w:fill="auto"/>
          </w:tcPr>
          <w:p w14:paraId="33448B0B" w14:textId="77777777" w:rsidR="00835B06" w:rsidRDefault="004D03F7">
            <w:pPr>
              <w:pStyle w:val="NormlWeb"/>
              <w:widowControl w:val="0"/>
              <w:spacing w:before="0" w:beforeAutospacing="0" w:after="0"/>
              <w:jc w:val="center"/>
              <w:rPr>
                <w:szCs w:val="22"/>
                <w:lang w:val="hu-HU"/>
              </w:rPr>
            </w:pPr>
            <w:r>
              <w:rPr>
                <w:szCs w:val="22"/>
                <w:lang w:val="hu-HU"/>
              </w:rPr>
              <w:t>-36</w:t>
            </w:r>
          </w:p>
        </w:tc>
        <w:tc>
          <w:tcPr>
            <w:tcW w:w="1032" w:type="dxa"/>
            <w:shd w:val="clear" w:color="auto" w:fill="auto"/>
          </w:tcPr>
          <w:p w14:paraId="6796FA6A" w14:textId="77777777" w:rsidR="00835B06" w:rsidRDefault="004D03F7">
            <w:pPr>
              <w:pStyle w:val="NormlWeb"/>
              <w:widowControl w:val="0"/>
              <w:spacing w:before="0" w:beforeAutospacing="0" w:after="0"/>
              <w:jc w:val="center"/>
              <w:rPr>
                <w:szCs w:val="22"/>
                <w:lang w:val="hu-HU"/>
              </w:rPr>
            </w:pPr>
            <w:r>
              <w:rPr>
                <w:szCs w:val="22"/>
                <w:lang w:val="hu-HU"/>
              </w:rPr>
              <w:t>14</w:t>
            </w:r>
          </w:p>
        </w:tc>
        <w:tc>
          <w:tcPr>
            <w:tcW w:w="739" w:type="dxa"/>
            <w:shd w:val="clear" w:color="auto" w:fill="auto"/>
          </w:tcPr>
          <w:p w14:paraId="2611910C" w14:textId="77777777" w:rsidR="00835B06" w:rsidRDefault="004D03F7">
            <w:pPr>
              <w:pStyle w:val="NormlWeb"/>
              <w:widowControl w:val="0"/>
              <w:spacing w:before="0" w:beforeAutospacing="0" w:after="0"/>
              <w:jc w:val="center"/>
              <w:rPr>
                <w:szCs w:val="22"/>
                <w:lang w:val="hu-HU"/>
              </w:rPr>
            </w:pPr>
            <w:r>
              <w:rPr>
                <w:szCs w:val="22"/>
                <w:lang w:val="hu-HU"/>
              </w:rPr>
              <w:t>-10</w:t>
            </w:r>
          </w:p>
        </w:tc>
        <w:tc>
          <w:tcPr>
            <w:tcW w:w="1387" w:type="dxa"/>
            <w:shd w:val="clear" w:color="auto" w:fill="auto"/>
          </w:tcPr>
          <w:p w14:paraId="0AF6395A" w14:textId="77777777" w:rsidR="00835B06" w:rsidRDefault="004D03F7">
            <w:pPr>
              <w:pStyle w:val="NormlWeb"/>
              <w:widowControl w:val="0"/>
              <w:spacing w:before="0" w:beforeAutospacing="0" w:after="0"/>
              <w:jc w:val="center"/>
              <w:rPr>
                <w:szCs w:val="22"/>
                <w:lang w:val="hu-HU"/>
              </w:rPr>
            </w:pPr>
            <w:r>
              <w:rPr>
                <w:szCs w:val="22"/>
                <w:lang w:val="hu-HU"/>
              </w:rPr>
              <w:t>-48</w:t>
            </w:r>
          </w:p>
        </w:tc>
        <w:tc>
          <w:tcPr>
            <w:tcW w:w="863" w:type="dxa"/>
            <w:shd w:val="clear" w:color="auto" w:fill="auto"/>
          </w:tcPr>
          <w:p w14:paraId="2302E9D2" w14:textId="77777777" w:rsidR="00835B06" w:rsidRDefault="004D03F7">
            <w:pPr>
              <w:pStyle w:val="NormlWeb"/>
              <w:widowControl w:val="0"/>
              <w:spacing w:before="0" w:beforeAutospacing="0" w:after="0"/>
              <w:jc w:val="center"/>
              <w:rPr>
                <w:szCs w:val="22"/>
                <w:lang w:val="hu-HU"/>
              </w:rPr>
            </w:pPr>
            <w:r>
              <w:rPr>
                <w:szCs w:val="22"/>
                <w:lang w:val="hu-HU"/>
              </w:rPr>
              <w:t>-42</w:t>
            </w:r>
          </w:p>
        </w:tc>
        <w:tc>
          <w:tcPr>
            <w:tcW w:w="1033" w:type="dxa"/>
            <w:shd w:val="clear" w:color="auto" w:fill="auto"/>
          </w:tcPr>
          <w:p w14:paraId="41D0D2A3" w14:textId="77777777" w:rsidR="00835B06" w:rsidRDefault="004D03F7">
            <w:pPr>
              <w:pStyle w:val="NormlWeb"/>
              <w:widowControl w:val="0"/>
              <w:spacing w:before="0" w:beforeAutospacing="0" w:after="0"/>
              <w:jc w:val="center"/>
              <w:rPr>
                <w:szCs w:val="22"/>
                <w:lang w:val="hu-HU"/>
              </w:rPr>
            </w:pPr>
            <w:r>
              <w:rPr>
                <w:szCs w:val="22"/>
                <w:lang w:val="hu-HU"/>
              </w:rPr>
              <w:t>4</w:t>
            </w:r>
          </w:p>
        </w:tc>
      </w:tr>
      <w:tr w:rsidR="00835B06" w14:paraId="63491E54" w14:textId="77777777">
        <w:tc>
          <w:tcPr>
            <w:tcW w:w="1021" w:type="dxa"/>
            <w:shd w:val="clear" w:color="auto" w:fill="auto"/>
          </w:tcPr>
          <w:p w14:paraId="08058209" w14:textId="77777777" w:rsidR="00835B06" w:rsidRDefault="004D03F7">
            <w:pPr>
              <w:pStyle w:val="NormlWeb"/>
              <w:widowControl w:val="0"/>
              <w:spacing w:before="0" w:beforeAutospacing="0" w:after="0"/>
              <w:rPr>
                <w:szCs w:val="22"/>
                <w:lang w:val="hu-HU"/>
              </w:rPr>
            </w:pPr>
            <w:r>
              <w:rPr>
                <w:szCs w:val="22"/>
                <w:lang w:val="hu-HU"/>
              </w:rPr>
              <w:t>20</w:t>
            </w:r>
          </w:p>
        </w:tc>
        <w:tc>
          <w:tcPr>
            <w:tcW w:w="779" w:type="dxa"/>
            <w:shd w:val="clear" w:color="auto" w:fill="auto"/>
          </w:tcPr>
          <w:p w14:paraId="565A4480" w14:textId="77777777" w:rsidR="00835B06" w:rsidRDefault="004D03F7">
            <w:pPr>
              <w:pStyle w:val="NormlWeb"/>
              <w:widowControl w:val="0"/>
              <w:spacing w:before="0" w:beforeAutospacing="0" w:after="0"/>
              <w:jc w:val="center"/>
              <w:rPr>
                <w:szCs w:val="22"/>
                <w:lang w:val="hu-HU"/>
              </w:rPr>
            </w:pPr>
            <w:r>
              <w:rPr>
                <w:szCs w:val="22"/>
                <w:lang w:val="hu-HU"/>
              </w:rPr>
              <w:t>17</w:t>
            </w:r>
          </w:p>
        </w:tc>
        <w:tc>
          <w:tcPr>
            <w:tcW w:w="1007" w:type="dxa"/>
            <w:shd w:val="clear" w:color="auto" w:fill="auto"/>
          </w:tcPr>
          <w:p w14:paraId="6002B9EE" w14:textId="77777777" w:rsidR="00835B06" w:rsidRDefault="004D03F7">
            <w:pPr>
              <w:pStyle w:val="NormlWeb"/>
              <w:widowControl w:val="0"/>
              <w:spacing w:before="0" w:beforeAutospacing="0" w:after="0"/>
              <w:jc w:val="center"/>
              <w:rPr>
                <w:szCs w:val="22"/>
                <w:lang w:val="hu-HU"/>
              </w:rPr>
            </w:pPr>
            <w:r>
              <w:rPr>
                <w:szCs w:val="22"/>
                <w:lang w:val="hu-HU"/>
              </w:rPr>
              <w:t>-55</w:t>
            </w:r>
          </w:p>
        </w:tc>
        <w:tc>
          <w:tcPr>
            <w:tcW w:w="1057" w:type="dxa"/>
            <w:shd w:val="clear" w:color="auto" w:fill="auto"/>
          </w:tcPr>
          <w:p w14:paraId="63A3CF67" w14:textId="77777777" w:rsidR="00835B06" w:rsidRDefault="004D03F7">
            <w:pPr>
              <w:pStyle w:val="NormlWeb"/>
              <w:widowControl w:val="0"/>
              <w:spacing w:before="0" w:beforeAutospacing="0" w:after="0"/>
              <w:jc w:val="center"/>
              <w:rPr>
                <w:szCs w:val="22"/>
                <w:lang w:val="hu-HU"/>
              </w:rPr>
            </w:pPr>
            <w:r>
              <w:rPr>
                <w:szCs w:val="22"/>
                <w:lang w:val="hu-HU"/>
              </w:rPr>
              <w:t>-40</w:t>
            </w:r>
          </w:p>
        </w:tc>
        <w:tc>
          <w:tcPr>
            <w:tcW w:w="1032" w:type="dxa"/>
            <w:shd w:val="clear" w:color="auto" w:fill="auto"/>
          </w:tcPr>
          <w:p w14:paraId="1E588A7F" w14:textId="77777777" w:rsidR="00835B06" w:rsidRDefault="004D03F7">
            <w:pPr>
              <w:pStyle w:val="NormlWeb"/>
              <w:widowControl w:val="0"/>
              <w:spacing w:before="0" w:beforeAutospacing="0" w:after="0"/>
              <w:jc w:val="center"/>
              <w:rPr>
                <w:szCs w:val="22"/>
                <w:lang w:val="hu-HU"/>
              </w:rPr>
            </w:pPr>
            <w:r>
              <w:rPr>
                <w:szCs w:val="22"/>
                <w:lang w:val="hu-HU"/>
              </w:rPr>
              <w:t>8</w:t>
            </w:r>
          </w:p>
        </w:tc>
        <w:tc>
          <w:tcPr>
            <w:tcW w:w="739" w:type="dxa"/>
            <w:shd w:val="clear" w:color="auto" w:fill="auto"/>
          </w:tcPr>
          <w:p w14:paraId="45C5E914" w14:textId="77777777" w:rsidR="00835B06" w:rsidRDefault="004D03F7">
            <w:pPr>
              <w:pStyle w:val="NormlWeb"/>
              <w:widowControl w:val="0"/>
              <w:spacing w:before="0" w:beforeAutospacing="0" w:after="0"/>
              <w:jc w:val="center"/>
              <w:rPr>
                <w:szCs w:val="22"/>
                <w:lang w:val="hu-HU"/>
              </w:rPr>
            </w:pPr>
            <w:r>
              <w:rPr>
                <w:szCs w:val="22"/>
                <w:lang w:val="hu-HU"/>
              </w:rPr>
              <w:t>-23</w:t>
            </w:r>
          </w:p>
        </w:tc>
        <w:tc>
          <w:tcPr>
            <w:tcW w:w="1387" w:type="dxa"/>
            <w:shd w:val="clear" w:color="auto" w:fill="auto"/>
          </w:tcPr>
          <w:p w14:paraId="548B6DEB" w14:textId="77777777" w:rsidR="00835B06" w:rsidRDefault="004D03F7">
            <w:pPr>
              <w:pStyle w:val="NormlWeb"/>
              <w:widowControl w:val="0"/>
              <w:spacing w:before="0" w:beforeAutospacing="0" w:after="0"/>
              <w:jc w:val="center"/>
              <w:rPr>
                <w:szCs w:val="22"/>
                <w:lang w:val="hu-HU"/>
              </w:rPr>
            </w:pPr>
            <w:r>
              <w:rPr>
                <w:szCs w:val="22"/>
                <w:lang w:val="hu-HU"/>
              </w:rPr>
              <w:t>-51</w:t>
            </w:r>
          </w:p>
        </w:tc>
        <w:tc>
          <w:tcPr>
            <w:tcW w:w="863" w:type="dxa"/>
            <w:shd w:val="clear" w:color="auto" w:fill="auto"/>
          </w:tcPr>
          <w:p w14:paraId="0404BF6B" w14:textId="77777777" w:rsidR="00835B06" w:rsidRDefault="004D03F7">
            <w:pPr>
              <w:pStyle w:val="NormlWeb"/>
              <w:widowControl w:val="0"/>
              <w:spacing w:before="0" w:beforeAutospacing="0" w:after="0"/>
              <w:jc w:val="center"/>
              <w:rPr>
                <w:szCs w:val="22"/>
                <w:lang w:val="hu-HU"/>
              </w:rPr>
            </w:pPr>
            <w:r>
              <w:rPr>
                <w:szCs w:val="22"/>
                <w:lang w:val="hu-HU"/>
              </w:rPr>
              <w:t>-46</w:t>
            </w:r>
          </w:p>
        </w:tc>
        <w:tc>
          <w:tcPr>
            <w:tcW w:w="1033" w:type="dxa"/>
            <w:shd w:val="clear" w:color="auto" w:fill="auto"/>
          </w:tcPr>
          <w:p w14:paraId="453026B1" w14:textId="77777777" w:rsidR="00835B06" w:rsidRDefault="004D03F7">
            <w:pPr>
              <w:pStyle w:val="NormlWeb"/>
              <w:widowControl w:val="0"/>
              <w:spacing w:before="0" w:beforeAutospacing="0" w:after="0"/>
              <w:jc w:val="center"/>
              <w:rPr>
                <w:szCs w:val="22"/>
                <w:lang w:val="hu-HU"/>
              </w:rPr>
            </w:pPr>
            <w:r>
              <w:rPr>
                <w:szCs w:val="22"/>
                <w:lang w:val="hu-HU"/>
              </w:rPr>
              <w:t>5</w:t>
            </w:r>
          </w:p>
        </w:tc>
      </w:tr>
      <w:tr w:rsidR="00835B06" w14:paraId="5E810761" w14:textId="77777777">
        <w:tc>
          <w:tcPr>
            <w:tcW w:w="1021" w:type="dxa"/>
            <w:shd w:val="clear" w:color="auto" w:fill="auto"/>
          </w:tcPr>
          <w:p w14:paraId="071D680B" w14:textId="77777777" w:rsidR="00835B06" w:rsidRDefault="004D03F7">
            <w:pPr>
              <w:pStyle w:val="NormlWeb"/>
              <w:widowControl w:val="0"/>
              <w:spacing w:before="0" w:beforeAutospacing="0" w:after="0"/>
              <w:rPr>
                <w:szCs w:val="22"/>
                <w:lang w:val="hu-HU"/>
              </w:rPr>
            </w:pPr>
            <w:r>
              <w:rPr>
                <w:szCs w:val="22"/>
                <w:lang w:val="hu-HU"/>
              </w:rPr>
              <w:t>40</w:t>
            </w:r>
          </w:p>
        </w:tc>
        <w:tc>
          <w:tcPr>
            <w:tcW w:w="779" w:type="dxa"/>
            <w:shd w:val="clear" w:color="auto" w:fill="auto"/>
          </w:tcPr>
          <w:p w14:paraId="0E2D1437" w14:textId="77777777" w:rsidR="00835B06" w:rsidRDefault="004D03F7">
            <w:pPr>
              <w:pStyle w:val="NormlWeb"/>
              <w:widowControl w:val="0"/>
              <w:spacing w:before="0" w:beforeAutospacing="0" w:after="0"/>
              <w:jc w:val="center"/>
              <w:rPr>
                <w:szCs w:val="22"/>
                <w:lang w:val="hu-HU"/>
              </w:rPr>
            </w:pPr>
            <w:r>
              <w:rPr>
                <w:szCs w:val="22"/>
                <w:lang w:val="hu-HU"/>
              </w:rPr>
              <w:t>18</w:t>
            </w:r>
          </w:p>
        </w:tc>
        <w:tc>
          <w:tcPr>
            <w:tcW w:w="1007" w:type="dxa"/>
            <w:shd w:val="clear" w:color="auto" w:fill="auto"/>
          </w:tcPr>
          <w:p w14:paraId="726D2784" w14:textId="77777777" w:rsidR="00835B06" w:rsidRDefault="004D03F7">
            <w:pPr>
              <w:pStyle w:val="NormlWeb"/>
              <w:widowControl w:val="0"/>
              <w:spacing w:before="0" w:beforeAutospacing="0" w:after="0"/>
              <w:jc w:val="center"/>
              <w:rPr>
                <w:szCs w:val="22"/>
                <w:lang w:val="hu-HU"/>
              </w:rPr>
            </w:pPr>
            <w:r>
              <w:rPr>
                <w:szCs w:val="22"/>
                <w:lang w:val="hu-HU"/>
              </w:rPr>
              <w:t>-63</w:t>
            </w:r>
          </w:p>
        </w:tc>
        <w:tc>
          <w:tcPr>
            <w:tcW w:w="1057" w:type="dxa"/>
            <w:shd w:val="clear" w:color="auto" w:fill="auto"/>
          </w:tcPr>
          <w:p w14:paraId="6091F33B" w14:textId="77777777" w:rsidR="00835B06" w:rsidRDefault="004D03F7">
            <w:pPr>
              <w:pStyle w:val="NormlWeb"/>
              <w:widowControl w:val="0"/>
              <w:spacing w:before="0" w:beforeAutospacing="0" w:after="0"/>
              <w:jc w:val="center"/>
              <w:rPr>
                <w:szCs w:val="22"/>
                <w:lang w:val="hu-HU"/>
              </w:rPr>
            </w:pPr>
            <w:r>
              <w:rPr>
                <w:szCs w:val="22"/>
                <w:lang w:val="hu-HU"/>
              </w:rPr>
              <w:t>-46</w:t>
            </w:r>
          </w:p>
        </w:tc>
        <w:tc>
          <w:tcPr>
            <w:tcW w:w="1032" w:type="dxa"/>
            <w:shd w:val="clear" w:color="auto" w:fill="auto"/>
          </w:tcPr>
          <w:p w14:paraId="5A2CF713" w14:textId="77777777" w:rsidR="00835B06" w:rsidRDefault="004D03F7">
            <w:pPr>
              <w:pStyle w:val="NormlWeb"/>
              <w:widowControl w:val="0"/>
              <w:spacing w:before="0" w:beforeAutospacing="0" w:after="0"/>
              <w:jc w:val="center"/>
              <w:rPr>
                <w:szCs w:val="22"/>
                <w:lang w:val="hu-HU"/>
              </w:rPr>
            </w:pPr>
            <w:r>
              <w:rPr>
                <w:szCs w:val="22"/>
                <w:lang w:val="hu-HU"/>
              </w:rPr>
              <w:t>10</w:t>
            </w:r>
          </w:p>
        </w:tc>
        <w:tc>
          <w:tcPr>
            <w:tcW w:w="739" w:type="dxa"/>
            <w:shd w:val="clear" w:color="auto" w:fill="auto"/>
          </w:tcPr>
          <w:p w14:paraId="0A0F692D" w14:textId="77777777" w:rsidR="00835B06" w:rsidRDefault="004D03F7">
            <w:pPr>
              <w:pStyle w:val="NormlWeb"/>
              <w:widowControl w:val="0"/>
              <w:spacing w:before="0" w:beforeAutospacing="0" w:after="0"/>
              <w:jc w:val="center"/>
              <w:rPr>
                <w:szCs w:val="22"/>
                <w:lang w:val="hu-HU"/>
              </w:rPr>
            </w:pPr>
            <w:r>
              <w:rPr>
                <w:szCs w:val="22"/>
                <w:lang w:val="hu-HU"/>
              </w:rPr>
              <w:t>-28</w:t>
            </w:r>
          </w:p>
        </w:tc>
        <w:tc>
          <w:tcPr>
            <w:tcW w:w="1387" w:type="dxa"/>
            <w:shd w:val="clear" w:color="auto" w:fill="auto"/>
          </w:tcPr>
          <w:p w14:paraId="0C428B96" w14:textId="77777777" w:rsidR="00835B06" w:rsidRDefault="004D03F7">
            <w:pPr>
              <w:pStyle w:val="NormlWeb"/>
              <w:widowControl w:val="0"/>
              <w:spacing w:before="0" w:beforeAutospacing="0" w:after="0"/>
              <w:jc w:val="center"/>
              <w:rPr>
                <w:szCs w:val="22"/>
                <w:lang w:val="hu-HU"/>
              </w:rPr>
            </w:pPr>
            <w:r>
              <w:rPr>
                <w:szCs w:val="22"/>
                <w:lang w:val="hu-HU"/>
              </w:rPr>
              <w:t>-60</w:t>
            </w:r>
          </w:p>
        </w:tc>
        <w:tc>
          <w:tcPr>
            <w:tcW w:w="863" w:type="dxa"/>
            <w:shd w:val="clear" w:color="auto" w:fill="auto"/>
          </w:tcPr>
          <w:p w14:paraId="6FF1C1B8" w14:textId="77777777" w:rsidR="00835B06" w:rsidRDefault="004D03F7">
            <w:pPr>
              <w:pStyle w:val="NormlWeb"/>
              <w:widowControl w:val="0"/>
              <w:spacing w:before="0" w:beforeAutospacing="0" w:after="0"/>
              <w:jc w:val="center"/>
              <w:rPr>
                <w:szCs w:val="22"/>
                <w:lang w:val="hu-HU"/>
              </w:rPr>
            </w:pPr>
            <w:r>
              <w:rPr>
                <w:szCs w:val="22"/>
                <w:lang w:val="hu-HU"/>
              </w:rPr>
              <w:t>-54</w:t>
            </w:r>
          </w:p>
        </w:tc>
        <w:tc>
          <w:tcPr>
            <w:tcW w:w="1033" w:type="dxa"/>
            <w:shd w:val="clear" w:color="auto" w:fill="auto"/>
          </w:tcPr>
          <w:p w14:paraId="28A1B3F2" w14:textId="77777777" w:rsidR="00835B06" w:rsidRDefault="004D03F7">
            <w:pPr>
              <w:pStyle w:val="NormlWeb"/>
              <w:widowControl w:val="0"/>
              <w:spacing w:before="0" w:beforeAutospacing="0" w:after="0"/>
              <w:jc w:val="center"/>
              <w:rPr>
                <w:szCs w:val="22"/>
                <w:lang w:val="hu-HU"/>
              </w:rPr>
            </w:pPr>
            <w:r>
              <w:rPr>
                <w:szCs w:val="22"/>
                <w:lang w:val="hu-HU"/>
              </w:rPr>
              <w:t>0</w:t>
            </w:r>
          </w:p>
        </w:tc>
      </w:tr>
    </w:tbl>
    <w:p w14:paraId="1705047C" w14:textId="77777777" w:rsidR="00835B06" w:rsidRDefault="00835B06">
      <w:pPr>
        <w:pStyle w:val="NormlWeb"/>
        <w:widowControl w:val="0"/>
        <w:spacing w:before="0" w:beforeAutospacing="0" w:after="0"/>
        <w:rPr>
          <w:szCs w:val="22"/>
          <w:lang w:val="hu-HU"/>
        </w:rPr>
      </w:pPr>
    </w:p>
    <w:p w14:paraId="3689C045" w14:textId="77777777" w:rsidR="00835B06" w:rsidRDefault="004D03F7">
      <w:pPr>
        <w:pStyle w:val="NormlWeb"/>
        <w:widowControl w:val="0"/>
        <w:spacing w:before="0" w:beforeAutospacing="0" w:after="0"/>
        <w:rPr>
          <w:szCs w:val="22"/>
          <w:lang w:val="hu-HU"/>
        </w:rPr>
      </w:pPr>
      <w:r>
        <w:rPr>
          <w:szCs w:val="22"/>
          <w:lang w:val="hu-HU"/>
        </w:rPr>
        <w:t>A terápiás hatás a kezelés megkezdésétől számított 1 héten belül mutatkozik és rendszerint 2 héten belül eléri a maximális hatás 90%-át. A teljes terápiás válasz általában a negyedik hétre alakul ki és ezután állandó marad.</w:t>
      </w:r>
    </w:p>
    <w:p w14:paraId="5DA1EBE2" w14:textId="77777777" w:rsidR="00835B06" w:rsidRDefault="00835B06">
      <w:pPr>
        <w:widowControl w:val="0"/>
        <w:autoSpaceDE w:val="0"/>
        <w:autoSpaceDN w:val="0"/>
        <w:adjustRightInd w:val="0"/>
        <w:rPr>
          <w:color w:val="000000"/>
          <w:szCs w:val="22"/>
          <w:highlight w:val="yellow"/>
          <w:lang w:val="hu-HU"/>
        </w:rPr>
      </w:pPr>
    </w:p>
    <w:p w14:paraId="27E32E9F" w14:textId="77777777" w:rsidR="00835B06" w:rsidRDefault="004D03F7">
      <w:pPr>
        <w:rPr>
          <w:bCs/>
          <w:i/>
          <w:szCs w:val="22"/>
          <w:u w:val="single"/>
          <w:lang w:val="hu-HU"/>
        </w:rPr>
      </w:pPr>
      <w:r>
        <w:rPr>
          <w:bCs/>
          <w:i/>
          <w:szCs w:val="22"/>
          <w:u w:val="single"/>
          <w:lang w:val="hu-HU"/>
        </w:rPr>
        <w:t>Klinikai hatásosság és biztonságosság</w:t>
      </w:r>
    </w:p>
    <w:p w14:paraId="5180445B" w14:textId="77777777" w:rsidR="00835B06" w:rsidRDefault="004D03F7">
      <w:pPr>
        <w:suppressAutoHyphens/>
        <w:rPr>
          <w:szCs w:val="22"/>
          <w:lang w:val="hu-HU"/>
        </w:rPr>
      </w:pPr>
      <w:r>
        <w:rPr>
          <w:szCs w:val="22"/>
          <w:lang w:val="hu-HU"/>
        </w:rPr>
        <w:t>A rozuvasztatin rasszra, nemre és korra való tekintet nélkül hatékony a hypertrigliceridaemiával vagy anélkül jelentkező, hypercholesterinaemiában szenvedő felnőtt populáció kezelésében.</w:t>
      </w:r>
    </w:p>
    <w:p w14:paraId="40CB328C" w14:textId="77777777" w:rsidR="00835B06" w:rsidRDefault="004D03F7">
      <w:pPr>
        <w:suppressAutoHyphens/>
        <w:rPr>
          <w:szCs w:val="22"/>
          <w:lang w:val="hu-HU"/>
        </w:rPr>
      </w:pPr>
      <w:r>
        <w:rPr>
          <w:szCs w:val="22"/>
          <w:lang w:val="hu-HU"/>
        </w:rPr>
        <w:t>A rozuvasztatin szintén hatékony különleges betegcsoportok kezelésében, mint a diabetes vagy a familiaris hypercholesterinaemia.</w:t>
      </w:r>
    </w:p>
    <w:p w14:paraId="4E5EF661" w14:textId="77777777" w:rsidR="00835B06" w:rsidRDefault="00835B06">
      <w:pPr>
        <w:suppressAutoHyphens/>
        <w:rPr>
          <w:szCs w:val="22"/>
          <w:lang w:val="hu-HU"/>
        </w:rPr>
      </w:pPr>
    </w:p>
    <w:p w14:paraId="2C1ED90E" w14:textId="51D94D35" w:rsidR="00835B06" w:rsidRDefault="004D03F7">
      <w:pPr>
        <w:suppressAutoHyphens/>
        <w:rPr>
          <w:szCs w:val="22"/>
          <w:lang w:val="hu-HU"/>
        </w:rPr>
      </w:pPr>
      <w:r>
        <w:rPr>
          <w:szCs w:val="22"/>
          <w:lang w:val="hu-HU"/>
        </w:rPr>
        <w:t>III. fázisú vizsgálatok összevont adatai alapján a rozuvasztatin hatékonynak bizonyult a IIa és IIb típusú hypercholesterinaemiában szenvedő betegek (a kiindulási LDL-C érték középértéke megközelítőleg 4,8 mmol/l) többségének kezelésében, az Európai Atherosclerosis Társaság (EAS; 1998) elfogadott irányelveiben megfogalmazott célérték elérésében. A 10 mg rozuvasztatinnal kezelt betegek körülbelül 80%-ánál az LDL-koleszterin-szint az EAS irányelvekben rögzített célértékre csökkent (&lt; 3 mmol/l).</w:t>
      </w:r>
    </w:p>
    <w:p w14:paraId="3679C48E" w14:textId="77777777" w:rsidR="00835B06" w:rsidRDefault="00835B06">
      <w:pPr>
        <w:pStyle w:val="NormlWeb"/>
        <w:widowControl w:val="0"/>
        <w:spacing w:before="0" w:beforeAutospacing="0" w:after="0"/>
        <w:rPr>
          <w:szCs w:val="22"/>
          <w:lang w:val="hu-HU"/>
        </w:rPr>
      </w:pPr>
    </w:p>
    <w:p w14:paraId="78764696" w14:textId="1873C0B9" w:rsidR="00835B06" w:rsidRDefault="004D03F7">
      <w:pPr>
        <w:rPr>
          <w:szCs w:val="22"/>
          <w:lang w:val="hu-HU"/>
        </w:rPr>
      </w:pPr>
      <w:r>
        <w:rPr>
          <w:spacing w:val="-2"/>
          <w:szCs w:val="22"/>
          <w:lang w:val="hu-HU"/>
        </w:rPr>
        <w:t>Az egyik, heterozygota familiaris hypercholesterinaemiában szenvedő betegeken elvégzett, nagyszabású,</w:t>
      </w:r>
      <w:r>
        <w:rPr>
          <w:szCs w:val="22"/>
          <w:lang w:val="hu-HU"/>
        </w:rPr>
        <w:t xml:space="preserve"> dózis-hatás vizsgálatban 435 beteg kapott rozuvasztatint 20-80 mg dózisban, a terápiás választól független dózistitrálás szerint. A rozuvasztatin minden vizsgálati dózisa a lipidértékek javulását, valamint a terápia célértékeihez való közelítést eredményezte. A 40 mg-os adag elérését követően (a terápia 12. hete) az LDL-koleszterin-szint 53%-kal csökkent. A betegek harminchárom százalékában (33%) az LDL</w:t>
      </w:r>
      <w:r>
        <w:rPr>
          <w:szCs w:val="22"/>
          <w:lang w:val="hu-HU"/>
        </w:rPr>
        <w:noBreakHyphen/>
        <w:t>koleszterin</w:t>
      </w:r>
      <w:r>
        <w:rPr>
          <w:szCs w:val="22"/>
          <w:lang w:val="hu-HU"/>
        </w:rPr>
        <w:noBreakHyphen/>
        <w:t>szint az EAS irányelvekben meghatározott célértékre csökkent (&lt; 3 mmol/l).</w:t>
      </w:r>
    </w:p>
    <w:p w14:paraId="6C7EE1E0" w14:textId="77777777" w:rsidR="00835B06" w:rsidRDefault="00835B06">
      <w:pPr>
        <w:pStyle w:val="NormlWeb"/>
        <w:widowControl w:val="0"/>
        <w:spacing w:before="0" w:beforeAutospacing="0" w:after="0"/>
        <w:rPr>
          <w:szCs w:val="22"/>
          <w:lang w:val="hu-HU"/>
        </w:rPr>
      </w:pPr>
    </w:p>
    <w:p w14:paraId="5AAC321A" w14:textId="77777777" w:rsidR="00835B06" w:rsidRDefault="004D03F7">
      <w:pPr>
        <w:suppressAutoHyphens/>
        <w:rPr>
          <w:szCs w:val="22"/>
          <w:lang w:val="hu-HU"/>
        </w:rPr>
      </w:pPr>
      <w:r>
        <w:rPr>
          <w:szCs w:val="22"/>
          <w:lang w:val="hu-HU"/>
        </w:rPr>
        <w:t>Nyílt, dózis-hatás vizsgálatban, 42 homozygota familiaris hypercholesterinaemiában szenvedő betegnél értékelték a 20-40 mg rozuvasztatin terápiára kialakuló válaszreakciót. A teljes populációban az LDL-koleszterin-szint csökkenésének középértéke 22% volt.</w:t>
      </w:r>
    </w:p>
    <w:p w14:paraId="1B0B06A9" w14:textId="77777777" w:rsidR="00835B06" w:rsidRDefault="00835B06">
      <w:pPr>
        <w:widowControl w:val="0"/>
        <w:suppressAutoHyphens/>
        <w:rPr>
          <w:rFonts w:eastAsia="HG Mincho Light J"/>
          <w:color w:val="000000"/>
          <w:szCs w:val="22"/>
          <w:lang w:val="hu-HU"/>
        </w:rPr>
      </w:pPr>
    </w:p>
    <w:p w14:paraId="110B3480" w14:textId="77777777" w:rsidR="00835B06" w:rsidRDefault="004D03F7">
      <w:pPr>
        <w:widowControl w:val="0"/>
        <w:rPr>
          <w:noProof/>
          <w:szCs w:val="22"/>
          <w:u w:val="single"/>
          <w:lang w:val="hu-HU" w:eastAsia="en-US"/>
        </w:rPr>
      </w:pPr>
      <w:r>
        <w:rPr>
          <w:noProof/>
          <w:szCs w:val="22"/>
          <w:u w:val="single"/>
          <w:lang w:val="hu-HU" w:eastAsia="en-US"/>
        </w:rPr>
        <w:t>Ezetimib</w:t>
      </w:r>
    </w:p>
    <w:p w14:paraId="75E9C154" w14:textId="77777777" w:rsidR="00835B06" w:rsidRDefault="00835B06">
      <w:pPr>
        <w:widowControl w:val="0"/>
        <w:rPr>
          <w:color w:val="000000"/>
          <w:szCs w:val="22"/>
          <w:lang w:val="hu-HU"/>
        </w:rPr>
      </w:pPr>
    </w:p>
    <w:p w14:paraId="23AAA183" w14:textId="77777777" w:rsidR="00835B06" w:rsidRDefault="004D03F7">
      <w:pPr>
        <w:widowControl w:val="0"/>
        <w:autoSpaceDE w:val="0"/>
        <w:autoSpaceDN w:val="0"/>
        <w:adjustRightInd w:val="0"/>
        <w:rPr>
          <w:i/>
          <w:color w:val="000000"/>
          <w:szCs w:val="22"/>
          <w:u w:val="single"/>
          <w:lang w:val="hu-HU"/>
        </w:rPr>
      </w:pPr>
      <w:r>
        <w:rPr>
          <w:i/>
          <w:color w:val="000000"/>
          <w:szCs w:val="22"/>
          <w:u w:val="single"/>
          <w:lang w:val="hu-HU"/>
        </w:rPr>
        <w:t>Hatásmechanizmus</w:t>
      </w:r>
    </w:p>
    <w:p w14:paraId="6402EAF1" w14:textId="77777777" w:rsidR="00835B06" w:rsidRDefault="004D03F7">
      <w:pPr>
        <w:rPr>
          <w:snapToGrid w:val="0"/>
          <w:color w:val="000000"/>
          <w:szCs w:val="22"/>
          <w:lang w:val="hu-HU" w:eastAsia="en-US"/>
        </w:rPr>
      </w:pPr>
      <w:r>
        <w:rPr>
          <w:snapToGrid w:val="0"/>
          <w:color w:val="000000"/>
          <w:szCs w:val="22"/>
          <w:lang w:val="hu-HU" w:eastAsia="en-US"/>
        </w:rPr>
        <w:t xml:space="preserve">Az ezetimib a lipidcsökkentő gyógyszerek egy új osztályához, a koleszterin és a rokon növényi szterinek (szterolok) bélből való felszívódását szelektíven gátló vegyületekhez tartozik. Az ezetimib </w:t>
      </w:r>
      <w:r>
        <w:rPr>
          <w:i/>
          <w:snapToGrid w:val="0"/>
          <w:color w:val="000000"/>
          <w:szCs w:val="22"/>
          <w:lang w:val="hu-HU" w:eastAsia="en-US"/>
        </w:rPr>
        <w:t>per os</w:t>
      </w:r>
      <w:r>
        <w:rPr>
          <w:snapToGrid w:val="0"/>
          <w:color w:val="000000"/>
          <w:szCs w:val="22"/>
          <w:lang w:val="hu-HU" w:eastAsia="en-US"/>
        </w:rPr>
        <w:t xml:space="preserve"> alkalmazva aktív, a koleszterincsökkentő vegyületek más típusaitól (pl. sztatinok, epesavkötő gyanták, fibrinsav-származékok és növényi sztanolok) eltérő hatásmechanizmussal rendelkező vegyület. Az ezetimib célmolekulája a Niemann-Pick C1-Like 1 (NPC1L1) szterin-transzporter, ami a koleszterin és a fitoszterinek intestinalis felvételéért felelős.</w:t>
      </w:r>
    </w:p>
    <w:p w14:paraId="5EFBFCE9" w14:textId="77777777" w:rsidR="00835B06" w:rsidRDefault="00835B06">
      <w:pPr>
        <w:rPr>
          <w:snapToGrid w:val="0"/>
          <w:color w:val="000000"/>
          <w:szCs w:val="22"/>
          <w:lang w:val="hu-HU" w:eastAsia="en-US"/>
        </w:rPr>
      </w:pPr>
    </w:p>
    <w:p w14:paraId="04225CED" w14:textId="77777777" w:rsidR="00835B06" w:rsidRDefault="004D03F7">
      <w:pPr>
        <w:rPr>
          <w:snapToGrid w:val="0"/>
          <w:color w:val="000000"/>
          <w:szCs w:val="22"/>
          <w:lang w:val="hu-HU" w:eastAsia="en-US"/>
        </w:rPr>
      </w:pPr>
      <w:r>
        <w:rPr>
          <w:snapToGrid w:val="0"/>
          <w:color w:val="000000"/>
          <w:szCs w:val="22"/>
          <w:lang w:val="hu-HU" w:eastAsia="en-US"/>
        </w:rPr>
        <w:t>Az ezetimib a vékonybél kefeszegélyébe jutva gátolja a koleszterin felszívódását, és ezzel csökkenti a bélből a májba jutó koleszterin mennyiségét. A sztatinok a májban folyó koleszterinszintézist csökkentik, és e két eltérő mechanizmus együttesen fokozott koleszterincsökkenést eredményez. Egy kéthetes, 18 hypercholesterinaemiás betegen végzett vizsgálatban az ezetimib a placebóhoz képest 54%</w:t>
      </w:r>
      <w:r>
        <w:rPr>
          <w:snapToGrid w:val="0"/>
          <w:color w:val="000000"/>
          <w:szCs w:val="22"/>
          <w:lang w:val="hu-HU" w:eastAsia="en-US"/>
        </w:rPr>
        <w:noBreakHyphen/>
        <w:t>kal csökkentette a koleszterin felszívódását.</w:t>
      </w:r>
    </w:p>
    <w:p w14:paraId="3553A140" w14:textId="77777777" w:rsidR="00835B06" w:rsidRDefault="00835B06">
      <w:pPr>
        <w:rPr>
          <w:snapToGrid w:val="0"/>
          <w:color w:val="000000"/>
          <w:szCs w:val="22"/>
          <w:lang w:val="hu-HU" w:eastAsia="en-US"/>
        </w:rPr>
      </w:pPr>
    </w:p>
    <w:p w14:paraId="645DF415" w14:textId="77777777" w:rsidR="00835B06" w:rsidRDefault="004D03F7">
      <w:pPr>
        <w:keepNext/>
        <w:rPr>
          <w:i/>
          <w:snapToGrid w:val="0"/>
          <w:color w:val="000000"/>
          <w:szCs w:val="22"/>
          <w:u w:val="single"/>
          <w:lang w:val="hu-HU" w:eastAsia="en-US"/>
        </w:rPr>
      </w:pPr>
      <w:r>
        <w:rPr>
          <w:i/>
          <w:snapToGrid w:val="0"/>
          <w:color w:val="000000"/>
          <w:szCs w:val="22"/>
          <w:u w:val="single"/>
          <w:lang w:val="hu-HU" w:eastAsia="en-US"/>
        </w:rPr>
        <w:t>Farmakodinámiás hatások</w:t>
      </w:r>
    </w:p>
    <w:p w14:paraId="0369AFAF" w14:textId="77777777" w:rsidR="00835B06" w:rsidRDefault="004D03F7">
      <w:pPr>
        <w:rPr>
          <w:snapToGrid w:val="0"/>
          <w:color w:val="000000"/>
          <w:szCs w:val="22"/>
          <w:lang w:val="hu-HU" w:eastAsia="en-US"/>
        </w:rPr>
      </w:pPr>
      <w:r>
        <w:rPr>
          <w:snapToGrid w:val="0"/>
          <w:color w:val="000000"/>
          <w:szCs w:val="22"/>
          <w:lang w:val="hu-HU" w:eastAsia="en-US"/>
        </w:rPr>
        <w:t xml:space="preserve">Számos preklinikai vizsgálat történt az ezetimib koleszterinfelszívódást gátló hatása szelektivitásának felmérése érdekében. Az ezetimib gátolta a </w:t>
      </w:r>
      <w:r>
        <w:rPr>
          <w:snapToGrid w:val="0"/>
          <w:color w:val="000000"/>
          <w:szCs w:val="22"/>
          <w:vertAlign w:val="superscript"/>
          <w:lang w:val="hu-HU" w:eastAsia="en-US"/>
        </w:rPr>
        <w:t>14</w:t>
      </w:r>
      <w:r>
        <w:rPr>
          <w:snapToGrid w:val="0"/>
          <w:color w:val="000000"/>
          <w:szCs w:val="22"/>
          <w:lang w:val="hu-HU" w:eastAsia="en-US"/>
        </w:rPr>
        <w:t>C-pal jelölt koleszterin abszorpcióját, de nem befolyásolta a trigliceridek, a zsírsavak, az epesavak, a progeszteron, az etinilösztradiol, vagy a zsíroldékony A- és D-vitamin felszívódását.</w:t>
      </w:r>
    </w:p>
    <w:p w14:paraId="08858F30" w14:textId="77777777" w:rsidR="00835B06" w:rsidRDefault="00835B06">
      <w:pPr>
        <w:rPr>
          <w:snapToGrid w:val="0"/>
          <w:color w:val="000000"/>
          <w:szCs w:val="22"/>
          <w:lang w:val="hu-HU" w:eastAsia="en-US"/>
        </w:rPr>
      </w:pPr>
    </w:p>
    <w:p w14:paraId="06D2EA46" w14:textId="77777777" w:rsidR="00835B06" w:rsidRDefault="004D03F7">
      <w:pPr>
        <w:rPr>
          <w:snapToGrid w:val="0"/>
          <w:color w:val="000000"/>
          <w:szCs w:val="22"/>
          <w:lang w:val="hu-HU" w:eastAsia="en-US"/>
        </w:rPr>
      </w:pPr>
      <w:r>
        <w:rPr>
          <w:snapToGrid w:val="0"/>
          <w:color w:val="000000"/>
          <w:szCs w:val="22"/>
          <w:lang w:val="hu-HU" w:eastAsia="en-US"/>
        </w:rPr>
        <w:t>Epidemiológiai vizsgálatok azt igazolták, hogy a cardiovascularis morbiditás és mortalitás egyenesen arányos az össz-C- és az LDL-C-szinttel, és fordítottan arányos a HDL-C-szinttel.</w:t>
      </w:r>
    </w:p>
    <w:p w14:paraId="64723DFE" w14:textId="77777777" w:rsidR="00835B06" w:rsidRDefault="00835B06">
      <w:pPr>
        <w:rPr>
          <w:snapToGrid w:val="0"/>
          <w:szCs w:val="22"/>
          <w:lang w:val="hu-HU" w:eastAsia="en-US"/>
        </w:rPr>
      </w:pPr>
    </w:p>
    <w:p w14:paraId="0DC12CD1" w14:textId="77777777" w:rsidR="00835B06" w:rsidRDefault="004D03F7">
      <w:pPr>
        <w:rPr>
          <w:snapToGrid w:val="0"/>
          <w:szCs w:val="22"/>
          <w:lang w:val="hu-HU" w:eastAsia="en-US"/>
        </w:rPr>
      </w:pPr>
      <w:r>
        <w:rPr>
          <w:snapToGrid w:val="0"/>
          <w:szCs w:val="22"/>
          <w:lang w:val="hu-HU" w:eastAsia="en-US"/>
        </w:rPr>
        <w:t>Az ezetimib együttadása sztatinnal hatékonyan csökkenti a cardiovascularis események kockázatát coronaria-betegségben szenvedő és olyan betegeknél, akik anamnézisében akut coronaria szindróma szerepel.</w:t>
      </w:r>
    </w:p>
    <w:p w14:paraId="46E104D9" w14:textId="77777777" w:rsidR="00835B06" w:rsidRDefault="00835B06">
      <w:pPr>
        <w:rPr>
          <w:snapToGrid w:val="0"/>
          <w:color w:val="000000"/>
          <w:szCs w:val="22"/>
          <w:lang w:val="hu-HU" w:eastAsia="en-US"/>
        </w:rPr>
      </w:pPr>
    </w:p>
    <w:p w14:paraId="4183D824" w14:textId="77777777" w:rsidR="00835B06" w:rsidRDefault="004D03F7">
      <w:pPr>
        <w:keepNext/>
        <w:rPr>
          <w:i/>
          <w:snapToGrid w:val="0"/>
          <w:color w:val="000000"/>
          <w:szCs w:val="22"/>
          <w:u w:val="single"/>
          <w:lang w:val="hu-HU" w:eastAsia="en-US"/>
        </w:rPr>
      </w:pPr>
      <w:r>
        <w:rPr>
          <w:i/>
          <w:snapToGrid w:val="0"/>
          <w:color w:val="000000"/>
          <w:szCs w:val="22"/>
          <w:u w:val="single"/>
          <w:lang w:val="hu-HU" w:eastAsia="en-US"/>
        </w:rPr>
        <w:t>Klinikai hatásosság és biztonságosság</w:t>
      </w:r>
    </w:p>
    <w:p w14:paraId="7A07B8B6" w14:textId="77777777" w:rsidR="00835B06" w:rsidRDefault="004D03F7">
      <w:pPr>
        <w:rPr>
          <w:snapToGrid w:val="0"/>
          <w:color w:val="000000"/>
          <w:szCs w:val="22"/>
          <w:lang w:val="hu-HU" w:eastAsia="en-US"/>
        </w:rPr>
      </w:pPr>
      <w:r>
        <w:rPr>
          <w:snapToGrid w:val="0"/>
          <w:color w:val="000000"/>
          <w:szCs w:val="22"/>
          <w:lang w:val="hu-HU" w:eastAsia="en-US"/>
        </w:rPr>
        <w:t>Kontrollos klinikai vizsgálatokban az önmagában vagy valamely sztatinnal együtt adott ezetimib szignifikáns mértékben csökkentette az összkoleszterin- (össz-C), az LDL-koleszterin- (LDL-C), az apolipoprotein B- (Apo B), és a triglicerid- (TG) szinteket és növelte a HDL-koleszterin- (HDL-C) szintet a hypercholesterinaemiában szenvedő betegeknél.</w:t>
      </w:r>
    </w:p>
    <w:p w14:paraId="154623F1" w14:textId="77777777" w:rsidR="00835B06" w:rsidRDefault="00835B06">
      <w:pPr>
        <w:rPr>
          <w:snapToGrid w:val="0"/>
          <w:color w:val="000000"/>
          <w:szCs w:val="22"/>
          <w:lang w:val="hu-HU" w:eastAsia="en-US"/>
        </w:rPr>
      </w:pPr>
    </w:p>
    <w:p w14:paraId="3EDD97E9" w14:textId="77777777" w:rsidR="00835B06" w:rsidRDefault="004D03F7">
      <w:pPr>
        <w:keepNext/>
        <w:keepLines/>
        <w:rPr>
          <w:i/>
          <w:snapToGrid w:val="0"/>
          <w:color w:val="000000"/>
          <w:szCs w:val="22"/>
          <w:lang w:val="hu-HU" w:eastAsia="en-US"/>
        </w:rPr>
      </w:pPr>
      <w:r>
        <w:rPr>
          <w:i/>
          <w:snapToGrid w:val="0"/>
          <w:color w:val="000000"/>
          <w:szCs w:val="22"/>
          <w:lang w:val="hu-HU" w:eastAsia="en-US"/>
        </w:rPr>
        <w:t>Primaer hypercholesterinaemia</w:t>
      </w:r>
    </w:p>
    <w:p w14:paraId="5619AACC" w14:textId="77777777" w:rsidR="00835B06" w:rsidRDefault="004D03F7">
      <w:pPr>
        <w:rPr>
          <w:snapToGrid w:val="0"/>
          <w:color w:val="000000"/>
          <w:szCs w:val="22"/>
          <w:lang w:val="hu-HU" w:eastAsia="en-US"/>
        </w:rPr>
      </w:pPr>
      <w:r>
        <w:rPr>
          <w:snapToGrid w:val="0"/>
          <w:color w:val="000000"/>
          <w:szCs w:val="22"/>
          <w:lang w:val="hu-HU" w:eastAsia="en-US"/>
        </w:rPr>
        <w:t>769, már sztatin-monoterápiában részesülő, de a Nemzeti Koleszterin Felvilágosítási Programban (National Cholesterol Education Program – NCEP) megcélzott LDL-C-szintet (2,6</w:t>
      </w:r>
      <w:r>
        <w:rPr>
          <w:snapToGrid w:val="0"/>
          <w:color w:val="000000"/>
          <w:szCs w:val="22"/>
          <w:lang w:val="hu-HU" w:eastAsia="en-US"/>
        </w:rPr>
        <w:noBreakHyphen/>
        <w:t xml:space="preserve">4,1 mmol/l </w:t>
      </w:r>
      <w:r>
        <w:rPr>
          <w:snapToGrid w:val="0"/>
          <w:color w:val="000000"/>
          <w:szCs w:val="22"/>
          <w:lang w:val="hu-HU" w:eastAsia="en-US"/>
        </w:rPr>
        <w:sym w:font="Symbol" w:char="F05B"/>
      </w:r>
      <w:r>
        <w:rPr>
          <w:snapToGrid w:val="0"/>
          <w:color w:val="000000"/>
          <w:szCs w:val="22"/>
          <w:lang w:val="hu-HU" w:eastAsia="en-US"/>
        </w:rPr>
        <w:t>100</w:t>
      </w:r>
      <w:r>
        <w:rPr>
          <w:snapToGrid w:val="0"/>
          <w:color w:val="000000"/>
          <w:szCs w:val="22"/>
          <w:lang w:val="hu-HU" w:eastAsia="en-US"/>
        </w:rPr>
        <w:noBreakHyphen/>
        <w:t>160 mg/dl</w:t>
      </w:r>
      <w:r>
        <w:rPr>
          <w:snapToGrid w:val="0"/>
          <w:color w:val="000000"/>
          <w:szCs w:val="22"/>
          <w:lang w:val="hu-HU" w:eastAsia="en-US"/>
        </w:rPr>
        <w:sym w:font="Symbol" w:char="F05D"/>
      </w:r>
      <w:r>
        <w:rPr>
          <w:snapToGrid w:val="0"/>
          <w:color w:val="000000"/>
          <w:szCs w:val="22"/>
          <w:lang w:val="hu-HU" w:eastAsia="en-US"/>
        </w:rPr>
        <w:t>, a kiindulási értéktől függően) még el nem érő, hypercholesterinaemiás beteg bevonásával végzett, kettős vak, placebokontrollos, 8 hetes vizsgálatban a betegek folyamatban lévő sztatin-kezelését randomizációt követően 10 mg ezetimib- vagy placebokezeléssel egészítették ki.</w:t>
      </w:r>
    </w:p>
    <w:p w14:paraId="31BA3631" w14:textId="77777777" w:rsidR="00835B06" w:rsidRDefault="00835B06">
      <w:pPr>
        <w:rPr>
          <w:snapToGrid w:val="0"/>
          <w:color w:val="000000"/>
          <w:szCs w:val="22"/>
          <w:lang w:val="hu-HU" w:eastAsia="en-US"/>
        </w:rPr>
      </w:pPr>
    </w:p>
    <w:p w14:paraId="4FBDC6B9" w14:textId="77777777" w:rsidR="00835B06" w:rsidRDefault="004D03F7">
      <w:pPr>
        <w:rPr>
          <w:snapToGrid w:val="0"/>
          <w:color w:val="000000"/>
          <w:szCs w:val="22"/>
          <w:lang w:val="hu-HU" w:eastAsia="en-US"/>
        </w:rPr>
      </w:pPr>
      <w:r>
        <w:rPr>
          <w:snapToGrid w:val="0"/>
          <w:color w:val="000000"/>
          <w:szCs w:val="22"/>
          <w:lang w:val="hu-HU" w:eastAsia="en-US"/>
        </w:rPr>
        <w:t>A kombinációs kezelés kezdetekor a megcélzott LDL-C-szintet el nem érő sztatinnal kezelt betegek körében (~82%), a vizsgálat végpontját jelentő megcélzott LDL-C-szintet szignifikánsan nagyobb arányban (az esetek 72%-ában) sikerült elérni a randomizáció során az ezetimib-csoportba került betegek esetében, mint a placebocsoportban (19%). A megfelelő LDL-C-szintek csökkenései szignifikánsan eltérőek voltak (25% ezetimibbel, a 4% placebóhoz viszonyítva). Azon kívül, a fennálló sztatin-terápia kiegészítéseként adott ezetimib a placebokezeléshez viszonyítva szignifikánsan csökkentette az összkoleszterin-, az Apo B- és TG-szinteket, és növelte a HDL</w:t>
      </w:r>
      <w:r>
        <w:rPr>
          <w:snapToGrid w:val="0"/>
          <w:color w:val="000000"/>
          <w:szCs w:val="22"/>
          <w:lang w:val="hu-HU" w:eastAsia="en-US"/>
        </w:rPr>
        <w:noBreakHyphen/>
        <w:t>C</w:t>
      </w:r>
      <w:r>
        <w:rPr>
          <w:snapToGrid w:val="0"/>
          <w:color w:val="000000"/>
          <w:szCs w:val="22"/>
          <w:lang w:val="hu-HU" w:eastAsia="en-US"/>
        </w:rPr>
        <w:noBreakHyphen/>
        <w:t>szintet. A fennálló sztatin-terápiához adott ezetimib, illetve placebokezelés a C-reaktív proteinszint medián értékét 10%</w:t>
      </w:r>
      <w:r>
        <w:rPr>
          <w:snapToGrid w:val="0"/>
          <w:color w:val="000000"/>
          <w:szCs w:val="22"/>
          <w:lang w:val="hu-HU" w:eastAsia="en-US"/>
        </w:rPr>
        <w:noBreakHyphen/>
        <w:t>kal, illetve 0%-kal csökkentette a kiindulási értékhez viszonyítva.</w:t>
      </w:r>
    </w:p>
    <w:p w14:paraId="3E7D87A4" w14:textId="77777777" w:rsidR="00835B06" w:rsidRDefault="00835B06">
      <w:pPr>
        <w:rPr>
          <w:snapToGrid w:val="0"/>
          <w:color w:val="000000"/>
          <w:szCs w:val="22"/>
          <w:lang w:val="hu-HU" w:eastAsia="en-US"/>
        </w:rPr>
      </w:pPr>
    </w:p>
    <w:p w14:paraId="70C96FA6" w14:textId="77777777" w:rsidR="00835B06" w:rsidRDefault="004D03F7">
      <w:pPr>
        <w:rPr>
          <w:snapToGrid w:val="0"/>
          <w:color w:val="000000"/>
          <w:szCs w:val="22"/>
          <w:lang w:val="hu-HU" w:eastAsia="en-US"/>
        </w:rPr>
      </w:pPr>
      <w:r>
        <w:rPr>
          <w:snapToGrid w:val="0"/>
          <w:color w:val="000000"/>
          <w:szCs w:val="22"/>
          <w:lang w:val="hu-HU" w:eastAsia="en-US"/>
        </w:rPr>
        <w:t>Két, kettős vak, randomizált, placebokontrollos, 1719 primaer hypercholesterinaemiás beteg bevonásával végzett, 12 hetes vizsgálatban a 10 mg ezetimib a placebokezeléshez viszonyítva szignifikánsan csökkentette az összkoleszterin- (13%), az LDL-C- (19%), az Apo B- (14%) és a TG- (8%) szinteket és növelte a HDL-C- (3%) szintet. Ezen kívül az ezetimibnek nem volt hatása a zsíroldékony A-, D- és E-vitaminok plazmakoncentrációjára, a protrombinidőre és – egyéb lipidcsökkentő szerekhez hasonlóan – nem befolyásolta hátrányosan a mellékvesekéreg hormonok termelését.</w:t>
      </w:r>
    </w:p>
    <w:p w14:paraId="7ACD21AC" w14:textId="77777777" w:rsidR="00835B06" w:rsidRDefault="00835B06">
      <w:pPr>
        <w:rPr>
          <w:color w:val="000000"/>
          <w:szCs w:val="22"/>
          <w:lang w:val="hu-HU"/>
        </w:rPr>
      </w:pPr>
    </w:p>
    <w:p w14:paraId="2A91B2C1" w14:textId="77777777" w:rsidR="00835B06" w:rsidRDefault="004D03F7">
      <w:pPr>
        <w:tabs>
          <w:tab w:val="left" w:pos="567"/>
        </w:tabs>
        <w:rPr>
          <w:i/>
          <w:snapToGrid w:val="0"/>
          <w:szCs w:val="22"/>
          <w:lang w:val="hu-HU" w:eastAsia="en-US"/>
        </w:rPr>
      </w:pPr>
      <w:r>
        <w:rPr>
          <w:i/>
          <w:snapToGrid w:val="0"/>
          <w:szCs w:val="22"/>
          <w:lang w:val="hu-HU" w:eastAsia="en-US"/>
        </w:rPr>
        <w:t>Homozygota familiaris hypercholesterinaemia (HoFH)</w:t>
      </w:r>
    </w:p>
    <w:p w14:paraId="328365EA" w14:textId="77777777" w:rsidR="00835B06" w:rsidRDefault="004D03F7">
      <w:pPr>
        <w:rPr>
          <w:snapToGrid w:val="0"/>
          <w:color w:val="000000"/>
          <w:szCs w:val="22"/>
          <w:lang w:val="hu-HU" w:eastAsia="en-US"/>
        </w:rPr>
      </w:pPr>
      <w:r>
        <w:rPr>
          <w:snapToGrid w:val="0"/>
          <w:color w:val="000000"/>
          <w:szCs w:val="22"/>
          <w:lang w:val="hu-HU" w:eastAsia="en-US"/>
        </w:rPr>
        <w:t>Kettős vak, randomizált, 12 hetes vizsgálatba olyan, a klinikai és/vagy genotipizáláson alapuló diagnózis szerint HoFH-ban szenvedő, 50 beteget vontak be, akik LDL-aferezis mellett vagy anélkül atorvasztatin- vagy szimvasztatin- (40 mg) terápiában részesültek. Az atorvasztatinnal (40 mg vagy 80 mg), vagy szimvasztatinnal (40 mg vagy 80 mg) együtt adott ezetimib a monoterápiában alkalmazott szimvasztatin vagy atorvasztatin dózisának 40 mg-ról 80 mg-ra való emelésével szemben szignifikánsan (15%-kal) csökkentette az LDL-C-szintet.</w:t>
      </w:r>
    </w:p>
    <w:p w14:paraId="75E986A4" w14:textId="77777777" w:rsidR="00835B06" w:rsidRDefault="00835B06">
      <w:pPr>
        <w:pStyle w:val="NormlWeb"/>
        <w:widowControl w:val="0"/>
        <w:spacing w:before="0" w:beforeAutospacing="0" w:after="0"/>
        <w:rPr>
          <w:i/>
          <w:iCs/>
          <w:szCs w:val="22"/>
          <w:lang w:val="hu-HU"/>
        </w:rPr>
      </w:pPr>
    </w:p>
    <w:p w14:paraId="1ADF2A1B" w14:textId="77777777" w:rsidR="00835B06" w:rsidRDefault="004D03F7">
      <w:pPr>
        <w:pStyle w:val="Szvegtrzs"/>
        <w:rPr>
          <w:szCs w:val="22"/>
          <w:u w:val="single"/>
          <w:lang w:val="hu-HU"/>
        </w:rPr>
      </w:pPr>
      <w:r>
        <w:rPr>
          <w:szCs w:val="22"/>
          <w:u w:val="single"/>
          <w:lang w:val="hu-HU"/>
        </w:rPr>
        <w:t>Gyermekek és serdülők</w:t>
      </w:r>
    </w:p>
    <w:p w14:paraId="7E5F1044" w14:textId="77777777" w:rsidR="00835B06" w:rsidRDefault="004D03F7">
      <w:pPr>
        <w:pStyle w:val="NormlWeb"/>
        <w:widowControl w:val="0"/>
        <w:spacing w:before="0" w:beforeAutospacing="0" w:after="0"/>
        <w:rPr>
          <w:i/>
          <w:iCs/>
          <w:szCs w:val="22"/>
          <w:lang w:val="hu-HU"/>
        </w:rPr>
      </w:pPr>
      <w:r>
        <w:rPr>
          <w:szCs w:val="22"/>
          <w:lang w:val="hu-HU"/>
        </w:rPr>
        <w:t>Az Európai Gyógyszerügynökség a gyermekek esetén minden korosztálynál eltekint a Roxera Plus vizsgálati eredményeinek benyújtási kötelezettségétől emelkedett koleszterinszint kezelésében (lásd 4.2 pont, gyermekgyógyászati alkalmazásra vonatkozó információk).</w:t>
      </w:r>
    </w:p>
    <w:p w14:paraId="20000554" w14:textId="77777777" w:rsidR="00835B06" w:rsidRDefault="00835B06">
      <w:pPr>
        <w:widowControl w:val="0"/>
        <w:tabs>
          <w:tab w:val="left" w:pos="567"/>
        </w:tabs>
        <w:rPr>
          <w:i/>
          <w:iCs/>
          <w:szCs w:val="22"/>
          <w:lang w:val="hu-HU"/>
        </w:rPr>
      </w:pPr>
    </w:p>
    <w:p w14:paraId="3BD92E79" w14:textId="77777777" w:rsidR="00835B06" w:rsidRDefault="004D03F7">
      <w:pPr>
        <w:widowControl w:val="0"/>
        <w:tabs>
          <w:tab w:val="left" w:pos="567"/>
        </w:tabs>
        <w:ind w:left="567" w:hanging="567"/>
        <w:rPr>
          <w:b/>
          <w:iCs/>
          <w:szCs w:val="22"/>
          <w:lang w:val="hu-HU"/>
        </w:rPr>
      </w:pPr>
      <w:r>
        <w:rPr>
          <w:b/>
          <w:iCs/>
          <w:szCs w:val="22"/>
          <w:lang w:val="hu-HU"/>
        </w:rPr>
        <w:t>5.2</w:t>
      </w:r>
      <w:r>
        <w:rPr>
          <w:b/>
          <w:iCs/>
          <w:szCs w:val="22"/>
          <w:lang w:val="hu-HU"/>
        </w:rPr>
        <w:tab/>
        <w:t>Farmakokinetikai tulajdonságok</w:t>
      </w:r>
    </w:p>
    <w:p w14:paraId="15D8B253" w14:textId="77777777" w:rsidR="00835B06" w:rsidRPr="002B2396" w:rsidRDefault="00835B06">
      <w:pPr>
        <w:widowControl w:val="0"/>
        <w:tabs>
          <w:tab w:val="left" w:pos="567"/>
        </w:tabs>
        <w:rPr>
          <w:bCs/>
          <w:szCs w:val="22"/>
          <w:lang w:val="hu-HU" w:eastAsia="en-US"/>
        </w:rPr>
      </w:pPr>
    </w:p>
    <w:p w14:paraId="353DCFE0" w14:textId="77777777" w:rsidR="00835B06" w:rsidRDefault="004D03F7">
      <w:pPr>
        <w:rPr>
          <w:szCs w:val="22"/>
          <w:u w:val="single"/>
          <w:lang w:val="hu-HU" w:eastAsia="hu-HU"/>
        </w:rPr>
      </w:pPr>
      <w:r>
        <w:rPr>
          <w:szCs w:val="22"/>
          <w:u w:val="single"/>
          <w:lang w:val="hu-HU" w:eastAsia="hu-HU"/>
        </w:rPr>
        <w:t>Rozuvasztatin</w:t>
      </w:r>
    </w:p>
    <w:p w14:paraId="1F5CA748" w14:textId="77777777" w:rsidR="00835B06" w:rsidRPr="002B2396" w:rsidRDefault="00835B06">
      <w:pPr>
        <w:widowControl w:val="0"/>
        <w:tabs>
          <w:tab w:val="left" w:pos="567"/>
        </w:tabs>
        <w:rPr>
          <w:bCs/>
          <w:szCs w:val="22"/>
          <w:lang w:val="hu-HU" w:eastAsia="en-US"/>
        </w:rPr>
      </w:pPr>
    </w:p>
    <w:p w14:paraId="408A4601" w14:textId="77777777" w:rsidR="00835B06" w:rsidRDefault="004D03F7">
      <w:pPr>
        <w:rPr>
          <w:bCs/>
          <w:i/>
          <w:szCs w:val="22"/>
          <w:u w:val="single"/>
          <w:lang w:val="hu-HU"/>
        </w:rPr>
      </w:pPr>
      <w:r>
        <w:rPr>
          <w:i/>
          <w:noProof/>
          <w:szCs w:val="22"/>
          <w:u w:val="single"/>
          <w:lang w:val="hu-HU"/>
        </w:rPr>
        <w:t>Felszívódás</w:t>
      </w:r>
    </w:p>
    <w:p w14:paraId="13AC6DD5" w14:textId="77777777" w:rsidR="00835B06" w:rsidRDefault="004D03F7">
      <w:pPr>
        <w:rPr>
          <w:szCs w:val="22"/>
          <w:lang w:val="hu-HU"/>
        </w:rPr>
      </w:pPr>
      <w:r>
        <w:rPr>
          <w:i/>
          <w:szCs w:val="22"/>
          <w:lang w:val="hu-HU" w:eastAsia="hu-HU"/>
        </w:rPr>
        <w:t>Per os</w:t>
      </w:r>
      <w:r>
        <w:rPr>
          <w:szCs w:val="22"/>
          <w:lang w:val="hu-HU" w:eastAsia="hu-HU"/>
        </w:rPr>
        <w:t xml:space="preserve"> adagolást követően megközelítőleg</w:t>
      </w:r>
      <w:r>
        <w:rPr>
          <w:szCs w:val="22"/>
          <w:lang w:val="hu-HU"/>
        </w:rPr>
        <w:t xml:space="preserve"> 5 óra múlva alakul ki a rozuvasztatin maximális plazmakoncentrációja. A teljes biohasznosulás megközelítőleg 20%-os.</w:t>
      </w:r>
    </w:p>
    <w:p w14:paraId="58FE3335" w14:textId="77777777" w:rsidR="00835B06" w:rsidRPr="002B2396" w:rsidRDefault="00835B06">
      <w:pPr>
        <w:widowControl w:val="0"/>
        <w:tabs>
          <w:tab w:val="left" w:pos="567"/>
        </w:tabs>
        <w:rPr>
          <w:bCs/>
          <w:szCs w:val="22"/>
          <w:lang w:val="hu-HU" w:eastAsia="en-US"/>
        </w:rPr>
      </w:pPr>
    </w:p>
    <w:p w14:paraId="2AFF6640" w14:textId="77777777" w:rsidR="00835B06" w:rsidRDefault="004D03F7">
      <w:pPr>
        <w:rPr>
          <w:i/>
          <w:noProof/>
          <w:szCs w:val="22"/>
          <w:u w:val="single"/>
          <w:lang w:val="hu-HU"/>
        </w:rPr>
      </w:pPr>
      <w:r>
        <w:rPr>
          <w:i/>
          <w:noProof/>
          <w:szCs w:val="22"/>
          <w:u w:val="single"/>
          <w:lang w:val="hu-HU"/>
        </w:rPr>
        <w:t>Eloszlás</w:t>
      </w:r>
    </w:p>
    <w:p w14:paraId="2302719B" w14:textId="77777777" w:rsidR="00835B06" w:rsidRDefault="004D03F7">
      <w:pPr>
        <w:rPr>
          <w:szCs w:val="22"/>
          <w:lang w:val="hu-HU" w:eastAsia="hu-HU"/>
        </w:rPr>
      </w:pPr>
      <w:r>
        <w:rPr>
          <w:szCs w:val="22"/>
          <w:lang w:val="hu-HU" w:eastAsia="hu-HU"/>
        </w:rPr>
        <w:t>A rozuvasztatint nagymértékben a máj veszi fel, ami a koleszterinszintézis és az LDL</w:t>
      </w:r>
      <w:r>
        <w:rPr>
          <w:szCs w:val="22"/>
          <w:lang w:val="hu-HU" w:eastAsia="hu-HU"/>
        </w:rPr>
        <w:noBreakHyphen/>
        <w:t>koleszterin</w:t>
      </w:r>
      <w:r>
        <w:rPr>
          <w:szCs w:val="22"/>
          <w:lang w:val="hu-HU" w:eastAsia="hu-HU"/>
        </w:rPr>
        <w:noBreakHyphen/>
        <w:t>ürülés elsődleges színtere. A rozuvasztatin eloszlási térfogata megközelítőleg 134 l.</w:t>
      </w:r>
    </w:p>
    <w:p w14:paraId="2FCCFE4F" w14:textId="77777777" w:rsidR="00835B06" w:rsidRDefault="004D03F7">
      <w:pPr>
        <w:rPr>
          <w:szCs w:val="22"/>
          <w:lang w:val="hu-HU" w:eastAsia="hu-HU"/>
        </w:rPr>
      </w:pPr>
      <w:r>
        <w:rPr>
          <w:szCs w:val="22"/>
          <w:lang w:val="hu-HU" w:eastAsia="hu-HU"/>
        </w:rPr>
        <w:t>A rozuvasztatin kb. 90%-a kötődik a plazmafehérjékhez, főleg az albuminhoz.</w:t>
      </w:r>
    </w:p>
    <w:p w14:paraId="6644DC9C" w14:textId="77777777" w:rsidR="00835B06" w:rsidRPr="002B2396" w:rsidRDefault="00835B06">
      <w:pPr>
        <w:widowControl w:val="0"/>
        <w:tabs>
          <w:tab w:val="left" w:pos="567"/>
        </w:tabs>
        <w:rPr>
          <w:bCs/>
          <w:szCs w:val="22"/>
          <w:lang w:val="hu-HU" w:eastAsia="en-US"/>
        </w:rPr>
      </w:pPr>
    </w:p>
    <w:p w14:paraId="7AD04A8C" w14:textId="77777777" w:rsidR="00835B06" w:rsidRDefault="004D03F7">
      <w:pPr>
        <w:rPr>
          <w:i/>
          <w:noProof/>
          <w:szCs w:val="22"/>
          <w:u w:val="single"/>
          <w:lang w:val="hu-HU"/>
        </w:rPr>
      </w:pPr>
      <w:r>
        <w:rPr>
          <w:i/>
          <w:noProof/>
          <w:szCs w:val="22"/>
          <w:u w:val="single"/>
          <w:lang w:val="hu-HU"/>
        </w:rPr>
        <w:t>Biotranszformáció</w:t>
      </w:r>
    </w:p>
    <w:p w14:paraId="23C8E30F" w14:textId="77777777" w:rsidR="00835B06" w:rsidRDefault="004D03F7">
      <w:pPr>
        <w:rPr>
          <w:szCs w:val="22"/>
          <w:lang w:val="hu-HU" w:eastAsia="hu-HU"/>
        </w:rPr>
      </w:pPr>
      <w:r>
        <w:rPr>
          <w:szCs w:val="22"/>
          <w:lang w:val="hu-HU" w:eastAsia="hu-HU"/>
        </w:rPr>
        <w:t>A rozuvasztatin kismértékű metabolizmuson megy keresztül (körülbelül 10%).</w:t>
      </w:r>
    </w:p>
    <w:p w14:paraId="6CBB7636" w14:textId="77777777" w:rsidR="00835B06" w:rsidRDefault="004D03F7">
      <w:pPr>
        <w:rPr>
          <w:szCs w:val="22"/>
          <w:lang w:val="hu-HU" w:eastAsia="hu-HU"/>
        </w:rPr>
      </w:pPr>
      <w:r>
        <w:rPr>
          <w:szCs w:val="22"/>
          <w:lang w:val="hu-HU" w:eastAsia="hu-HU"/>
        </w:rPr>
        <w:t xml:space="preserve">Emberi májsejteken végzett </w:t>
      </w:r>
      <w:r>
        <w:rPr>
          <w:i/>
          <w:iCs/>
          <w:szCs w:val="22"/>
          <w:lang w:val="hu-HU" w:eastAsia="hu-HU"/>
        </w:rPr>
        <w:t xml:space="preserve">in vitro </w:t>
      </w:r>
      <w:r>
        <w:rPr>
          <w:szCs w:val="22"/>
          <w:lang w:val="hu-HU" w:eastAsia="hu-HU"/>
        </w:rPr>
        <w:t>metabolit vizsgálatok szerint a rozuvasztatin a citokróm P450-en alapuló metabolizmus gyenge szubsztrátja. A folyamatban főleg a CYP2C9 izoenzim játszott szerepet, míg a 2C19, 3A4 és a 2D6 kevésbé. Fő metabolitként az N-dezmetil és a lakton-metabolitokat azonosították. Az N-dezmetil metabolit megközelítőleg 50%-kal kevésbé aktív, mint a rozuvasztatin, a lakton-metabolit pedig klinikai szempontból inaktív. A keringésben lévő HMG</w:t>
      </w:r>
      <w:r>
        <w:rPr>
          <w:szCs w:val="22"/>
          <w:lang w:val="hu-HU" w:eastAsia="hu-HU"/>
        </w:rPr>
        <w:noBreakHyphen/>
        <w:t>CoA</w:t>
      </w:r>
      <w:r>
        <w:rPr>
          <w:szCs w:val="22"/>
          <w:lang w:val="hu-HU" w:eastAsia="hu-HU"/>
        </w:rPr>
        <w:noBreakHyphen/>
        <w:t>reduktázt gátló aktivitás több mint 90%-ban a rozuvasztatinnak tulajdonítható.</w:t>
      </w:r>
    </w:p>
    <w:p w14:paraId="6EB2E58F" w14:textId="77777777" w:rsidR="00835B06" w:rsidRPr="002B2396" w:rsidRDefault="00835B06">
      <w:pPr>
        <w:widowControl w:val="0"/>
        <w:tabs>
          <w:tab w:val="left" w:pos="567"/>
        </w:tabs>
        <w:rPr>
          <w:bCs/>
          <w:szCs w:val="22"/>
          <w:lang w:val="hu-HU" w:eastAsia="en-US"/>
        </w:rPr>
      </w:pPr>
    </w:p>
    <w:p w14:paraId="601D872C" w14:textId="77777777" w:rsidR="00835B06" w:rsidRDefault="004D03F7">
      <w:pPr>
        <w:rPr>
          <w:bCs/>
          <w:i/>
          <w:szCs w:val="22"/>
          <w:lang w:val="hu-HU"/>
        </w:rPr>
      </w:pPr>
      <w:r>
        <w:rPr>
          <w:i/>
          <w:noProof/>
          <w:szCs w:val="22"/>
          <w:u w:val="single"/>
          <w:lang w:val="hu-HU"/>
        </w:rPr>
        <w:t>Elimináció</w:t>
      </w:r>
    </w:p>
    <w:p w14:paraId="67D7964C" w14:textId="77777777" w:rsidR="00835B06" w:rsidRDefault="004D03F7">
      <w:pPr>
        <w:rPr>
          <w:szCs w:val="22"/>
          <w:lang w:val="hu-HU" w:eastAsia="hu-HU"/>
        </w:rPr>
      </w:pPr>
      <w:r>
        <w:rPr>
          <w:szCs w:val="22"/>
          <w:lang w:val="hu-HU" w:eastAsia="hu-HU"/>
        </w:rPr>
        <w:t>A rozuvasztatin körülbelül 90%-a választódik ki változatlan formában a székletben (felszívódott és fel nem szívódott hatóanyag), a fennmaradó rész pedig a vizelettel távozik.</w:t>
      </w:r>
    </w:p>
    <w:p w14:paraId="54ADD05A" w14:textId="77777777" w:rsidR="00835B06" w:rsidRDefault="004D03F7">
      <w:pPr>
        <w:pStyle w:val="NormlWeb"/>
        <w:widowControl w:val="0"/>
        <w:spacing w:before="0" w:beforeAutospacing="0" w:after="0"/>
        <w:rPr>
          <w:color w:val="auto"/>
          <w:szCs w:val="22"/>
          <w:lang w:val="hu-HU" w:eastAsia="hu-HU"/>
        </w:rPr>
      </w:pPr>
      <w:r>
        <w:rPr>
          <w:color w:val="auto"/>
          <w:szCs w:val="22"/>
          <w:lang w:val="hu-HU" w:eastAsia="hu-HU"/>
        </w:rPr>
        <w:t>A vizeletben megközelítőleg 5% választódik ki változatlan formában. A plazma eliminációs felezési idő megközelítőleg 19 óra. Az elimináció felezési ideje magasabb dózis esetén sem növekszik. A plazmaclearance mértani középértéke megközelítőleg 50 l/óra (variációs koefficiens 21,7%). Hasonlóan egyéb HMG-CoA-reduktáz-gátlókhoz, az OATP-C membrántranszporter részt vesz a rozuvasztatin májba történő felvételében. Ez a transzporter fontos szerepet játszik a rozuvasztatin eliminációjában.</w:t>
      </w:r>
    </w:p>
    <w:p w14:paraId="2B1EF85E" w14:textId="77777777" w:rsidR="00835B06" w:rsidRPr="002B2396" w:rsidRDefault="00835B06">
      <w:pPr>
        <w:pStyle w:val="NormlWeb"/>
        <w:widowControl w:val="0"/>
        <w:spacing w:before="0" w:beforeAutospacing="0" w:after="0"/>
        <w:rPr>
          <w:szCs w:val="22"/>
          <w:lang w:val="hu-HU"/>
        </w:rPr>
      </w:pPr>
    </w:p>
    <w:p w14:paraId="5E2B08A9" w14:textId="77777777" w:rsidR="00835B06" w:rsidRDefault="004D03F7">
      <w:pPr>
        <w:rPr>
          <w:bCs/>
          <w:i/>
          <w:szCs w:val="22"/>
          <w:u w:val="single"/>
          <w:lang w:val="hu-HU"/>
        </w:rPr>
      </w:pPr>
      <w:r>
        <w:rPr>
          <w:bCs/>
          <w:i/>
          <w:szCs w:val="22"/>
          <w:u w:val="single"/>
          <w:lang w:val="hu-HU"/>
        </w:rPr>
        <w:t>Linearitás/</w:t>
      </w:r>
      <w:r>
        <w:rPr>
          <w:i/>
          <w:noProof/>
          <w:szCs w:val="22"/>
          <w:u w:val="single"/>
          <w:lang w:val="hu-HU"/>
        </w:rPr>
        <w:t>nem-linearitás</w:t>
      </w:r>
    </w:p>
    <w:p w14:paraId="33F8256B" w14:textId="77777777" w:rsidR="00835B06" w:rsidRDefault="004D03F7">
      <w:pPr>
        <w:rPr>
          <w:szCs w:val="22"/>
          <w:lang w:val="hu-HU"/>
        </w:rPr>
      </w:pPr>
      <w:r>
        <w:rPr>
          <w:szCs w:val="22"/>
          <w:lang w:val="hu-HU"/>
        </w:rPr>
        <w:t>A szisztémás rozuvasztatin-expozíció a gyógyszeradaggal arányosan nő. A farmakokinetikai paraméterekben napi többszöri adagolás után sincs változás.</w:t>
      </w:r>
    </w:p>
    <w:p w14:paraId="51C05489" w14:textId="77777777" w:rsidR="00835B06" w:rsidRPr="002B2396" w:rsidRDefault="00835B06">
      <w:pPr>
        <w:pStyle w:val="NormlWeb"/>
        <w:widowControl w:val="0"/>
        <w:spacing w:before="0" w:beforeAutospacing="0" w:after="0"/>
        <w:rPr>
          <w:szCs w:val="22"/>
          <w:lang w:val="hu-HU"/>
        </w:rPr>
      </w:pPr>
    </w:p>
    <w:p w14:paraId="5A77DD5D" w14:textId="77777777" w:rsidR="00835B06" w:rsidRDefault="004D03F7">
      <w:pPr>
        <w:pStyle w:val="NormlWeb"/>
        <w:widowControl w:val="0"/>
        <w:spacing w:before="0" w:beforeAutospacing="0" w:after="0"/>
        <w:outlineLvl w:val="0"/>
        <w:rPr>
          <w:b/>
          <w:bCs/>
          <w:szCs w:val="22"/>
          <w:lang w:val="hu-HU"/>
        </w:rPr>
      </w:pPr>
      <w:r>
        <w:rPr>
          <w:b/>
          <w:bCs/>
          <w:szCs w:val="22"/>
          <w:lang w:val="hu-HU"/>
        </w:rPr>
        <w:t>Különleges betegcsoportok:</w:t>
      </w:r>
    </w:p>
    <w:p w14:paraId="43743192" w14:textId="77777777" w:rsidR="00835B06" w:rsidRDefault="00835B06">
      <w:pPr>
        <w:pStyle w:val="NormlWeb"/>
        <w:widowControl w:val="0"/>
        <w:spacing w:before="0" w:beforeAutospacing="0" w:after="0"/>
        <w:outlineLvl w:val="0"/>
        <w:rPr>
          <w:szCs w:val="22"/>
          <w:lang w:val="hu-HU"/>
        </w:rPr>
      </w:pPr>
    </w:p>
    <w:p w14:paraId="5B9E8062" w14:textId="77777777" w:rsidR="00835B06" w:rsidRDefault="004D03F7">
      <w:pPr>
        <w:rPr>
          <w:szCs w:val="22"/>
          <w:lang w:val="hu-HU"/>
        </w:rPr>
      </w:pPr>
      <w:r>
        <w:rPr>
          <w:i/>
          <w:iCs/>
          <w:szCs w:val="22"/>
          <w:lang w:val="hu-HU"/>
        </w:rPr>
        <w:t>Életkor és nem</w:t>
      </w:r>
    </w:p>
    <w:p w14:paraId="6AB02157" w14:textId="77777777" w:rsidR="00835B06" w:rsidRDefault="004D03F7">
      <w:pPr>
        <w:rPr>
          <w:szCs w:val="22"/>
          <w:lang w:val="hu-HU"/>
        </w:rPr>
      </w:pPr>
      <w:r>
        <w:rPr>
          <w:szCs w:val="22"/>
          <w:lang w:val="hu-HU"/>
        </w:rPr>
        <w:t>Felnőtteknél az életkornak és a nemnek nem volt klinikai szempontból jelentős hatása a rozuvasztatin farmakokinetikájára. Heterozygota familiaris hypercholesterinaemiában szenvedő gyermekeknél és serdülőknél a rozuvasztatin farmakokinetikája hasonló volt a felnőtt önkénteseknél észlelthez (lásd később „Gyermekek és serdülők” címmel).</w:t>
      </w:r>
    </w:p>
    <w:p w14:paraId="01FBFC79" w14:textId="77777777" w:rsidR="00835B06" w:rsidRDefault="00835B06">
      <w:pPr>
        <w:pStyle w:val="NormlWeb"/>
        <w:widowControl w:val="0"/>
        <w:spacing w:before="0" w:beforeAutospacing="0" w:after="0"/>
        <w:outlineLvl w:val="0"/>
        <w:rPr>
          <w:szCs w:val="22"/>
          <w:lang w:val="hu-HU"/>
        </w:rPr>
      </w:pPr>
    </w:p>
    <w:p w14:paraId="3B1156B8" w14:textId="77777777" w:rsidR="00835B06" w:rsidRDefault="004D03F7">
      <w:pPr>
        <w:pStyle w:val="NormlWeb"/>
        <w:spacing w:before="0" w:beforeAutospacing="0" w:after="0"/>
        <w:outlineLvl w:val="0"/>
        <w:rPr>
          <w:b/>
          <w:bCs/>
          <w:szCs w:val="22"/>
          <w:lang w:val="hu-HU"/>
        </w:rPr>
      </w:pPr>
      <w:r>
        <w:rPr>
          <w:i/>
          <w:iCs/>
          <w:szCs w:val="22"/>
          <w:lang w:val="hu-HU"/>
        </w:rPr>
        <w:t>Népcsoportok</w:t>
      </w:r>
    </w:p>
    <w:p w14:paraId="2338A37E" w14:textId="77777777" w:rsidR="00835B06" w:rsidRDefault="004D03F7">
      <w:pPr>
        <w:pStyle w:val="Szvegtrzs"/>
        <w:rPr>
          <w:szCs w:val="22"/>
          <w:lang w:val="hu-HU" w:eastAsia="hu-HU"/>
        </w:rPr>
      </w:pPr>
      <w:r>
        <w:rPr>
          <w:szCs w:val="22"/>
          <w:lang w:val="hu-HU"/>
        </w:rPr>
        <w:t xml:space="preserve">Farmakokinetikai vizsgálatok során ázsiai (japán, kínai, filippin, vietnámi és koreai) alanyoknál </w:t>
      </w:r>
      <w:r>
        <w:rPr>
          <w:spacing w:val="-2"/>
          <w:szCs w:val="22"/>
          <w:lang w:val="hu-HU"/>
        </w:rPr>
        <w:t>középértékben kb. kétszeres AUC és c</w:t>
      </w:r>
      <w:r>
        <w:rPr>
          <w:spacing w:val="-2"/>
          <w:szCs w:val="22"/>
          <w:vertAlign w:val="subscript"/>
          <w:lang w:val="hu-HU"/>
        </w:rPr>
        <w:t>max</w:t>
      </w:r>
      <w:r>
        <w:rPr>
          <w:spacing w:val="-2"/>
          <w:szCs w:val="22"/>
          <w:lang w:val="hu-HU"/>
        </w:rPr>
        <w:t xml:space="preserve"> emelkedést észleltek </w:t>
      </w:r>
      <w:r>
        <w:rPr>
          <w:szCs w:val="22"/>
          <w:lang w:val="hu-HU" w:eastAsia="hu-HU"/>
        </w:rPr>
        <w:t xml:space="preserve">a kaukázusiakkal </w:t>
      </w:r>
      <w:r>
        <w:rPr>
          <w:spacing w:val="-2"/>
          <w:szCs w:val="22"/>
          <w:lang w:val="hu-HU"/>
        </w:rPr>
        <w:t>összehasonlítva.</w:t>
      </w:r>
      <w:r>
        <w:rPr>
          <w:szCs w:val="22"/>
          <w:lang w:val="hu-HU"/>
        </w:rPr>
        <w:t xml:space="preserve"> </w:t>
      </w:r>
      <w:r>
        <w:rPr>
          <w:szCs w:val="22"/>
          <w:lang w:val="hu-HU" w:eastAsia="hu-HU"/>
        </w:rPr>
        <w:t>Ázsiai-indiaiaknál kb. 1,3-szoros AUC középérték- és c</w:t>
      </w:r>
      <w:r>
        <w:rPr>
          <w:szCs w:val="22"/>
          <w:vertAlign w:val="subscript"/>
          <w:lang w:val="hu-HU" w:eastAsia="hu-HU"/>
        </w:rPr>
        <w:t>max</w:t>
      </w:r>
      <w:r>
        <w:rPr>
          <w:szCs w:val="22"/>
          <w:lang w:val="hu-HU" w:eastAsia="hu-HU"/>
        </w:rPr>
        <w:t>-emelkedést tapasztaltak.</w:t>
      </w:r>
    </w:p>
    <w:p w14:paraId="4EE4F0AA" w14:textId="77777777" w:rsidR="00835B06" w:rsidRDefault="004D03F7">
      <w:pPr>
        <w:rPr>
          <w:szCs w:val="22"/>
          <w:lang w:val="hu-HU" w:eastAsia="hu-HU"/>
        </w:rPr>
      </w:pPr>
      <w:r>
        <w:rPr>
          <w:szCs w:val="22"/>
          <w:lang w:val="hu-HU" w:eastAsia="hu-HU"/>
        </w:rPr>
        <w:t>A népességi farmakokinetikai analízis nem mutatott ki klinikai szempontból jelentős farmakokinetikai különbségeket kaukázusi és színesbőrű népcsoportok között.</w:t>
      </w:r>
    </w:p>
    <w:p w14:paraId="3FF18612" w14:textId="77777777" w:rsidR="00835B06" w:rsidRDefault="00835B06">
      <w:pPr>
        <w:pStyle w:val="NormlWeb"/>
        <w:spacing w:before="0" w:beforeAutospacing="0" w:after="0"/>
        <w:outlineLvl w:val="0"/>
        <w:rPr>
          <w:szCs w:val="22"/>
          <w:lang w:val="hu-HU"/>
        </w:rPr>
      </w:pPr>
    </w:p>
    <w:p w14:paraId="2FB131FD" w14:textId="77777777" w:rsidR="00835B06" w:rsidRDefault="004D03F7">
      <w:pPr>
        <w:rPr>
          <w:szCs w:val="22"/>
          <w:lang w:val="hu-HU"/>
        </w:rPr>
      </w:pPr>
      <w:r>
        <w:rPr>
          <w:i/>
          <w:iCs/>
          <w:szCs w:val="22"/>
          <w:lang w:val="hu-HU"/>
        </w:rPr>
        <w:t>Vesekárosodás</w:t>
      </w:r>
    </w:p>
    <w:p w14:paraId="3BD77B65" w14:textId="77777777" w:rsidR="00835B06" w:rsidRDefault="004D03F7">
      <w:pPr>
        <w:rPr>
          <w:szCs w:val="22"/>
          <w:lang w:val="hu-HU"/>
        </w:rPr>
      </w:pPr>
      <w:r>
        <w:rPr>
          <w:szCs w:val="22"/>
          <w:lang w:val="hu-HU"/>
        </w:rPr>
        <w:t xml:space="preserve">Különböző súlyosságú vesekárosodásban szenvedő alanyokon elvégzett vizsgálatokban, az enyhe és közepesen súlyos vesebetegség nem befolyásolta a rozuvasztatin vagy az N-dezmetil metabolit </w:t>
      </w:r>
      <w:r>
        <w:rPr>
          <w:spacing w:val="-2"/>
          <w:szCs w:val="22"/>
          <w:lang w:val="hu-HU"/>
        </w:rPr>
        <w:t>plazmakoncentrációját. Súlyos vesekárosodásban (kreatinin clearance &lt; 30 ml/perc) szenvedő betegeknél</w:t>
      </w:r>
      <w:r>
        <w:rPr>
          <w:szCs w:val="22"/>
          <w:lang w:val="hu-HU"/>
        </w:rPr>
        <w:t xml:space="preserve"> a rozuvasztatin plazmakoncentráció háromszor, az N-dezmetil metabolit plazmakoncentrációja kilencszer volt magasabb, mint az egészséges önkénteseknél. Hemodialízisben részesülő betegeknél a rozuvasztatin egyensúlyi plazmakoncentrációja 50%-kal volt magasabb az egészséges önkéntesekénél.</w:t>
      </w:r>
    </w:p>
    <w:p w14:paraId="54A5AC47" w14:textId="77777777" w:rsidR="00835B06" w:rsidRDefault="00835B06">
      <w:pPr>
        <w:pStyle w:val="NormlWeb"/>
        <w:widowControl w:val="0"/>
        <w:spacing w:before="0" w:beforeAutospacing="0" w:after="0"/>
        <w:outlineLvl w:val="0"/>
        <w:rPr>
          <w:szCs w:val="22"/>
          <w:lang w:val="hu-HU"/>
        </w:rPr>
      </w:pPr>
    </w:p>
    <w:p w14:paraId="72CF10C8" w14:textId="77777777" w:rsidR="00835B06" w:rsidRDefault="004D03F7">
      <w:pPr>
        <w:rPr>
          <w:szCs w:val="22"/>
          <w:lang w:val="hu-HU"/>
        </w:rPr>
      </w:pPr>
      <w:r>
        <w:rPr>
          <w:i/>
          <w:iCs/>
          <w:szCs w:val="22"/>
          <w:lang w:val="hu-HU"/>
        </w:rPr>
        <w:t>Májkárosodás</w:t>
      </w:r>
    </w:p>
    <w:p w14:paraId="0CC3C591" w14:textId="77777777" w:rsidR="00835B06" w:rsidRDefault="004D03F7">
      <w:pPr>
        <w:rPr>
          <w:szCs w:val="22"/>
          <w:lang w:val="hu-HU"/>
        </w:rPr>
      </w:pPr>
      <w:r>
        <w:rPr>
          <w:szCs w:val="22"/>
          <w:lang w:val="hu-HU"/>
        </w:rPr>
        <w:t xml:space="preserve">Különböző fokú májkárosodásban szenvedő betegeknél elvégzett vizsgálatokban, 7-es vagy alacsonyabb Child-Pugh pontszám mellett nem mértek emelkedett rozuvasztatin expozíciót. Mindazonáltal két </w:t>
      </w:r>
      <w:r>
        <w:rPr>
          <w:spacing w:val="-2"/>
          <w:szCs w:val="22"/>
          <w:lang w:val="hu-HU"/>
        </w:rPr>
        <w:t>betegnél, akik Child</w:t>
      </w:r>
      <w:r>
        <w:rPr>
          <w:spacing w:val="-2"/>
          <w:szCs w:val="22"/>
          <w:lang w:val="hu-HU"/>
        </w:rPr>
        <w:noBreakHyphen/>
        <w:t>Pugh pontszáma 8 és 9 volt, a szisztémás expozíció növekedése legalább kétszeres</w:t>
      </w:r>
      <w:r>
        <w:rPr>
          <w:szCs w:val="22"/>
          <w:lang w:val="hu-HU"/>
        </w:rPr>
        <w:t xml:space="preserve"> volt az alacsonyabb Child-Pugh pontszámú betegekhez képest. Nincs tapasztalat 9 feletti Child-Pugh pontszámú betegekkel.</w:t>
      </w:r>
    </w:p>
    <w:p w14:paraId="4D7EF75C" w14:textId="77777777" w:rsidR="00835B06" w:rsidRDefault="00835B06">
      <w:pPr>
        <w:widowControl w:val="0"/>
        <w:autoSpaceDE w:val="0"/>
        <w:autoSpaceDN w:val="0"/>
        <w:adjustRightInd w:val="0"/>
        <w:rPr>
          <w:color w:val="000000"/>
          <w:szCs w:val="22"/>
          <w:lang w:val="hu-HU"/>
        </w:rPr>
      </w:pPr>
    </w:p>
    <w:p w14:paraId="1AE45A4B" w14:textId="77777777" w:rsidR="00835B06" w:rsidRDefault="004D03F7">
      <w:pPr>
        <w:widowControl w:val="0"/>
        <w:autoSpaceDE w:val="0"/>
        <w:autoSpaceDN w:val="0"/>
        <w:adjustRightInd w:val="0"/>
        <w:rPr>
          <w:i/>
          <w:color w:val="000000"/>
          <w:szCs w:val="22"/>
          <w:lang w:val="hu-HU"/>
        </w:rPr>
      </w:pPr>
      <w:r>
        <w:rPr>
          <w:i/>
          <w:color w:val="000000"/>
          <w:szCs w:val="22"/>
          <w:lang w:val="hu-HU"/>
        </w:rPr>
        <w:t>Genetikai polimorfizmus</w:t>
      </w:r>
    </w:p>
    <w:p w14:paraId="4568A8DE" w14:textId="77777777" w:rsidR="00835B06" w:rsidRDefault="004D03F7">
      <w:pPr>
        <w:widowControl w:val="0"/>
        <w:suppressAutoHyphens/>
        <w:rPr>
          <w:rFonts w:eastAsia="HG Mincho Light J"/>
          <w:szCs w:val="22"/>
          <w:lang w:val="hu-HU" w:eastAsia="hu-HU"/>
        </w:rPr>
      </w:pPr>
      <w:r>
        <w:rPr>
          <w:rFonts w:eastAsia="HG Mincho Light J"/>
          <w:szCs w:val="22"/>
          <w:lang w:val="hu-HU" w:eastAsia="hu-HU"/>
        </w:rPr>
        <w:t>A HMG</w:t>
      </w:r>
      <w:r>
        <w:rPr>
          <w:rFonts w:eastAsia="HG Mincho Light J"/>
          <w:szCs w:val="22"/>
          <w:lang w:val="hu-HU" w:eastAsia="hu-HU"/>
        </w:rPr>
        <w:noBreakHyphen/>
        <w:t>CoA</w:t>
      </w:r>
      <w:r>
        <w:rPr>
          <w:rFonts w:eastAsia="HG Mincho Light J"/>
          <w:szCs w:val="22"/>
          <w:lang w:val="hu-HU" w:eastAsia="hu-HU"/>
        </w:rPr>
        <w:noBreakHyphen/>
        <w:t xml:space="preserve">reduktáz-inhibitorok, beleértve a rozuvasztatint is, eltávolításában szerepet játszanak az OATP1B1 és a BCRP transzportfehérjék. Az SLCO1B1 (OATP1B1) és/vagy ABCG2 (BCRP) genetikai polimorfizmusban szenvedő betegeknél fennáll a fokozott rozuvasztatin-expozíció kockázata. Az SLCO1B1 c.521CC és az ABCG2 c.421AA egyedi polimorfizmusok magasabb rozuvasztatin-expozícióval (AUC) járnak együtt, mint az SLCO1B1 c.521TT vagy az ABCG2 c.421CC genotípusok. Ez a specifikus genotípus nem fordul elő a klinikai gyakorlatban, de az ilyen típusú polimorfizmussal rendelkező betegeknél alacsonyabb napi </w:t>
      </w:r>
      <w:r>
        <w:rPr>
          <w:rFonts w:eastAsia="HG Mincho Light J"/>
          <w:color w:val="000000"/>
          <w:szCs w:val="22"/>
          <w:lang w:val="hu-HU" w:eastAsia="hu-HU"/>
        </w:rPr>
        <w:t>rozuvasztatin</w:t>
      </w:r>
      <w:r>
        <w:rPr>
          <w:rFonts w:eastAsia="HG Mincho Light J"/>
          <w:szCs w:val="22"/>
          <w:lang w:val="hu-HU" w:eastAsia="hu-HU"/>
        </w:rPr>
        <w:t xml:space="preserve"> dózis javasolt.</w:t>
      </w:r>
    </w:p>
    <w:p w14:paraId="5B231A46" w14:textId="77777777" w:rsidR="00835B06" w:rsidRDefault="00835B06">
      <w:pPr>
        <w:widowControl w:val="0"/>
        <w:suppressAutoHyphens/>
        <w:rPr>
          <w:rFonts w:eastAsia="HG Mincho Light J"/>
          <w:szCs w:val="22"/>
          <w:lang w:val="hu-HU" w:eastAsia="hu-HU"/>
        </w:rPr>
      </w:pPr>
    </w:p>
    <w:p w14:paraId="6CB3D029" w14:textId="77777777" w:rsidR="00835B06" w:rsidRDefault="004D03F7">
      <w:pPr>
        <w:widowControl w:val="0"/>
        <w:autoSpaceDE w:val="0"/>
        <w:autoSpaceDN w:val="0"/>
        <w:adjustRightInd w:val="0"/>
        <w:rPr>
          <w:i/>
          <w:color w:val="000000"/>
          <w:szCs w:val="22"/>
          <w:lang w:val="hu-HU"/>
        </w:rPr>
      </w:pPr>
      <w:r>
        <w:rPr>
          <w:i/>
          <w:color w:val="000000"/>
          <w:szCs w:val="22"/>
          <w:lang w:val="hu-HU"/>
        </w:rPr>
        <w:t>Gyermekek és serdülők</w:t>
      </w:r>
    </w:p>
    <w:p w14:paraId="4945A1D7" w14:textId="77777777" w:rsidR="00835B06" w:rsidRDefault="004D03F7">
      <w:pPr>
        <w:rPr>
          <w:color w:val="000000"/>
          <w:szCs w:val="22"/>
          <w:lang w:val="hu-HU"/>
        </w:rPr>
      </w:pPr>
      <w:r>
        <w:rPr>
          <w:szCs w:val="22"/>
          <w:lang w:val="hu-HU" w:eastAsia="hu-HU"/>
        </w:rPr>
        <w:t>Két, 10 és betöltött 18. életév közötti vagy 6 és betöltött 18. életév közötti, heterozygota familiaris hypercholesterinaemiában szenvedő, gyermekkorú betegek (összesen 214 beteg) körében, (tablettában adott) rozuvasztatinnal végzett farmakokinetikai vizsgálat igazolta, hogy az expozíció gyermekek esetében hasonló vagy kisebb, mint felnőtteknél. A rozuvasztatin</w:t>
      </w:r>
      <w:r>
        <w:rPr>
          <w:szCs w:val="22"/>
          <w:lang w:val="hu-HU"/>
        </w:rPr>
        <w:noBreakHyphen/>
      </w:r>
      <w:r>
        <w:rPr>
          <w:szCs w:val="22"/>
          <w:lang w:val="hu-HU" w:eastAsia="hu-HU"/>
        </w:rPr>
        <w:t>expozíció a gyógyszeradag és az idő függvényében 2 éves időszak során előre jelezhetően alakult.</w:t>
      </w:r>
    </w:p>
    <w:p w14:paraId="0F5E9325" w14:textId="77777777" w:rsidR="00835B06" w:rsidRDefault="00835B06">
      <w:pPr>
        <w:widowControl w:val="0"/>
        <w:tabs>
          <w:tab w:val="left" w:pos="567"/>
        </w:tabs>
        <w:rPr>
          <w:szCs w:val="22"/>
          <w:lang w:val="hu-HU" w:eastAsia="en-US"/>
        </w:rPr>
      </w:pPr>
    </w:p>
    <w:p w14:paraId="3A3FA458" w14:textId="77777777" w:rsidR="00835B06" w:rsidRDefault="004D03F7">
      <w:pPr>
        <w:pStyle w:val="Normal1"/>
        <w:rPr>
          <w:bCs/>
          <w:color w:val="auto"/>
          <w:sz w:val="22"/>
          <w:szCs w:val="22"/>
          <w:u w:val="single"/>
          <w:lang w:val="hu-HU"/>
        </w:rPr>
      </w:pPr>
      <w:r>
        <w:rPr>
          <w:bCs/>
          <w:color w:val="auto"/>
          <w:sz w:val="22"/>
          <w:szCs w:val="22"/>
          <w:u w:val="single"/>
          <w:lang w:val="hu-HU"/>
        </w:rPr>
        <w:t>Ezetimib</w:t>
      </w:r>
    </w:p>
    <w:p w14:paraId="36909CC2" w14:textId="77777777" w:rsidR="00835B06" w:rsidRDefault="00835B06">
      <w:pPr>
        <w:pStyle w:val="Normal1"/>
        <w:rPr>
          <w:bCs/>
          <w:color w:val="auto"/>
          <w:sz w:val="22"/>
          <w:szCs w:val="22"/>
          <w:u w:val="single"/>
          <w:lang w:val="hu-HU"/>
        </w:rPr>
      </w:pPr>
    </w:p>
    <w:p w14:paraId="64DAA1AE" w14:textId="77777777" w:rsidR="00835B06" w:rsidRDefault="004D03F7">
      <w:pPr>
        <w:rPr>
          <w:i/>
          <w:szCs w:val="22"/>
          <w:u w:val="single"/>
          <w:lang w:val="hu-HU" w:eastAsia="hu-HU"/>
        </w:rPr>
      </w:pPr>
      <w:r>
        <w:rPr>
          <w:i/>
          <w:szCs w:val="22"/>
          <w:u w:val="single"/>
          <w:lang w:val="hu-HU" w:eastAsia="hu-HU"/>
        </w:rPr>
        <w:t>Felszívódás</w:t>
      </w:r>
    </w:p>
    <w:p w14:paraId="32797CEF" w14:textId="77777777" w:rsidR="00835B06" w:rsidRDefault="004D03F7">
      <w:pPr>
        <w:rPr>
          <w:szCs w:val="22"/>
          <w:lang w:val="hu-HU" w:eastAsia="hu-HU"/>
        </w:rPr>
      </w:pPr>
      <w:r>
        <w:rPr>
          <w:i/>
          <w:szCs w:val="22"/>
          <w:lang w:val="hu-HU" w:eastAsia="hu-HU"/>
        </w:rPr>
        <w:t>Per os</w:t>
      </w:r>
      <w:r>
        <w:rPr>
          <w:szCs w:val="22"/>
          <w:lang w:val="hu-HU" w:eastAsia="hu-HU"/>
        </w:rPr>
        <w:t xml:space="preserve"> adagolás után az ezetimib gyorsan felszívódik és jelentős mértében farmakológiailag aktív fenolos glükuroniddá (ezetimib</w:t>
      </w:r>
      <w:r>
        <w:rPr>
          <w:szCs w:val="22"/>
          <w:lang w:val="hu-HU" w:eastAsia="hu-HU"/>
        </w:rPr>
        <w:noBreakHyphen/>
        <w:t>glükuronid) konjugálódik. Az átlagos maximális plazmakoncentráció (c</w:t>
      </w:r>
      <w:r>
        <w:rPr>
          <w:szCs w:val="22"/>
          <w:vertAlign w:val="subscript"/>
          <w:lang w:val="hu-HU" w:eastAsia="hu-HU"/>
        </w:rPr>
        <w:t>max</w:t>
      </w:r>
      <w:r>
        <w:rPr>
          <w:szCs w:val="22"/>
          <w:lang w:val="hu-HU" w:eastAsia="hu-HU"/>
        </w:rPr>
        <w:t>) az ezetimib</w:t>
      </w:r>
      <w:r>
        <w:rPr>
          <w:szCs w:val="22"/>
          <w:lang w:val="hu-HU" w:eastAsia="hu-HU"/>
        </w:rPr>
        <w:noBreakHyphen/>
        <w:t>glükuronid esetén 1 </w:t>
      </w:r>
      <w:r>
        <w:rPr>
          <w:szCs w:val="22"/>
          <w:lang w:val="hu-HU" w:eastAsia="hu-HU"/>
        </w:rPr>
        <w:noBreakHyphen/>
        <w:t> 2, az ezetimib esetén 4 </w:t>
      </w:r>
      <w:r>
        <w:rPr>
          <w:szCs w:val="22"/>
          <w:lang w:val="hu-HU" w:eastAsia="hu-HU"/>
        </w:rPr>
        <w:noBreakHyphen/>
        <w:t> 12 óra alatt alakul ki. Az ezetimib abszolút biohasznosulását nem lehet meghatározni, mivel a vegyület gyakorlatilag oldhatatlan bármely injektálható vizes közegben.</w:t>
      </w:r>
    </w:p>
    <w:p w14:paraId="79BAA5CD" w14:textId="77777777" w:rsidR="00835B06" w:rsidRDefault="00835B06">
      <w:pPr>
        <w:rPr>
          <w:szCs w:val="22"/>
          <w:lang w:val="hu-HU" w:eastAsia="hu-HU"/>
        </w:rPr>
      </w:pPr>
    </w:p>
    <w:p w14:paraId="0877A688" w14:textId="77777777" w:rsidR="00835B06" w:rsidRDefault="004D03F7">
      <w:pPr>
        <w:rPr>
          <w:szCs w:val="22"/>
          <w:lang w:val="hu-HU" w:eastAsia="hu-HU"/>
        </w:rPr>
      </w:pPr>
      <w:r>
        <w:rPr>
          <w:szCs w:val="22"/>
          <w:lang w:val="hu-HU" w:eastAsia="hu-HU"/>
        </w:rPr>
        <w:t>Egyidejű étkezés (zsírban gazdag, illetve zsírt nem tartalmazó étrend) nem befolyásolta a 10 mg-os tablettában adott ezetimib orális biohasznosulását. Az ezetimib bevehető étellel, vagy anélkül.</w:t>
      </w:r>
    </w:p>
    <w:p w14:paraId="713C6906" w14:textId="77777777" w:rsidR="00835B06" w:rsidRDefault="00835B06">
      <w:pPr>
        <w:rPr>
          <w:color w:val="000000"/>
          <w:szCs w:val="22"/>
          <w:lang w:val="hu-HU"/>
        </w:rPr>
      </w:pPr>
    </w:p>
    <w:p w14:paraId="3595FF2B" w14:textId="77777777" w:rsidR="00835B06" w:rsidRDefault="004D03F7">
      <w:pPr>
        <w:rPr>
          <w:b/>
          <w:i/>
          <w:color w:val="000000"/>
          <w:szCs w:val="22"/>
          <w:u w:val="single"/>
          <w:lang w:val="hu-HU"/>
        </w:rPr>
      </w:pPr>
      <w:r>
        <w:rPr>
          <w:i/>
          <w:color w:val="000000"/>
          <w:szCs w:val="22"/>
          <w:u w:val="single"/>
          <w:lang w:val="hu-HU"/>
        </w:rPr>
        <w:t>Eloszlás</w:t>
      </w:r>
    </w:p>
    <w:p w14:paraId="566AF55A" w14:textId="77777777" w:rsidR="00835B06" w:rsidRDefault="004D03F7">
      <w:pPr>
        <w:rPr>
          <w:color w:val="000000"/>
          <w:szCs w:val="22"/>
          <w:lang w:val="hu-HU"/>
        </w:rPr>
      </w:pPr>
      <w:r>
        <w:rPr>
          <w:color w:val="000000"/>
          <w:szCs w:val="22"/>
          <w:lang w:val="hu-HU"/>
        </w:rPr>
        <w:t>Az ezetimib 99,7%-ban, az ezetimib</w:t>
      </w:r>
      <w:r>
        <w:rPr>
          <w:color w:val="000000"/>
          <w:szCs w:val="22"/>
          <w:lang w:val="hu-HU"/>
        </w:rPr>
        <w:noBreakHyphen/>
        <w:t>glükuronid 88</w:t>
      </w:r>
      <w:r>
        <w:rPr>
          <w:color w:val="000000"/>
          <w:szCs w:val="22"/>
          <w:lang w:val="hu-HU"/>
        </w:rPr>
        <w:noBreakHyphen/>
        <w:t>92%-ban kötődik a humán plazmafehérjékhez.</w:t>
      </w:r>
    </w:p>
    <w:p w14:paraId="60536AA4" w14:textId="77777777" w:rsidR="00835B06" w:rsidRDefault="00835B06">
      <w:pPr>
        <w:rPr>
          <w:color w:val="000000"/>
          <w:szCs w:val="22"/>
          <w:lang w:val="hu-HU"/>
        </w:rPr>
      </w:pPr>
    </w:p>
    <w:p w14:paraId="7B2EF376" w14:textId="77777777" w:rsidR="00835B06" w:rsidRDefault="004D03F7">
      <w:pPr>
        <w:rPr>
          <w:i/>
          <w:color w:val="000000"/>
          <w:szCs w:val="22"/>
          <w:u w:val="single"/>
          <w:lang w:val="hu-HU"/>
        </w:rPr>
      </w:pPr>
      <w:r>
        <w:rPr>
          <w:i/>
          <w:color w:val="000000"/>
          <w:szCs w:val="22"/>
          <w:u w:val="single"/>
          <w:lang w:val="hu-HU"/>
        </w:rPr>
        <w:t>Biotranszformáció</w:t>
      </w:r>
    </w:p>
    <w:p w14:paraId="533EE68F" w14:textId="77777777" w:rsidR="00835B06" w:rsidRDefault="004D03F7">
      <w:pPr>
        <w:rPr>
          <w:color w:val="000000"/>
          <w:szCs w:val="22"/>
          <w:lang w:val="hu-HU"/>
        </w:rPr>
      </w:pPr>
      <w:r>
        <w:rPr>
          <w:color w:val="000000"/>
          <w:szCs w:val="22"/>
          <w:lang w:val="hu-HU"/>
        </w:rPr>
        <w:t>Az ezetimib elsősorban a vékonybélben és a májban, glükuronid</w:t>
      </w:r>
      <w:r>
        <w:rPr>
          <w:color w:val="000000"/>
          <w:szCs w:val="22"/>
          <w:lang w:val="hu-HU"/>
        </w:rPr>
        <w:noBreakHyphen/>
        <w:t>konjugációval (2. fázisú reakció) metabolizálódik, melyet epével történő kiválasztás követ. Minimális oxidatív metabolizmus (1. fázisú reakció) volt megfigyelhető a vizsgált állatfajok mindegyikében. A plazmában kimutatható, a beadott gyógyszerből származó két fő vegyület az ezetimib és az ezetimib</w:t>
      </w:r>
      <w:r>
        <w:rPr>
          <w:color w:val="000000"/>
          <w:szCs w:val="22"/>
          <w:lang w:val="hu-HU"/>
        </w:rPr>
        <w:noBreakHyphen/>
        <w:t>glükuronid, melyek a fenti sorrendben, a plazmában kimutatott, az alkalmazott gyógyszerből származó összes vegyület 10</w:t>
      </w:r>
      <w:r>
        <w:rPr>
          <w:color w:val="000000"/>
          <w:szCs w:val="22"/>
          <w:lang w:val="hu-HU"/>
        </w:rPr>
        <w:noBreakHyphen/>
        <w:t>20%</w:t>
      </w:r>
      <w:r>
        <w:rPr>
          <w:color w:val="000000"/>
          <w:szCs w:val="22"/>
          <w:lang w:val="hu-HU"/>
        </w:rPr>
        <w:noBreakHyphen/>
        <w:t>át, illetve 80</w:t>
      </w:r>
      <w:r>
        <w:rPr>
          <w:color w:val="000000"/>
          <w:szCs w:val="22"/>
          <w:lang w:val="hu-HU"/>
        </w:rPr>
        <w:noBreakHyphen/>
        <w:t>90%-át teszik ki. Mind az ezetimib, mind az ezetimib</w:t>
      </w:r>
      <w:r>
        <w:rPr>
          <w:color w:val="000000"/>
          <w:szCs w:val="22"/>
          <w:lang w:val="hu-HU"/>
        </w:rPr>
        <w:noBreakHyphen/>
        <w:t>glükuronid lassan eliminálódik a plazmából és jelentős enterohepatikus cirkulációt mutatnak. Az ezetimib és ezetimib</w:t>
      </w:r>
      <w:r>
        <w:rPr>
          <w:color w:val="000000"/>
          <w:szCs w:val="22"/>
          <w:lang w:val="hu-HU"/>
        </w:rPr>
        <w:noBreakHyphen/>
        <w:t>glükuronid felezési ideje körülbelül 22 óra.</w:t>
      </w:r>
    </w:p>
    <w:p w14:paraId="2F1FDCFC" w14:textId="77777777" w:rsidR="00835B06" w:rsidRDefault="00835B06">
      <w:pPr>
        <w:rPr>
          <w:color w:val="000000"/>
          <w:szCs w:val="22"/>
          <w:lang w:val="hu-HU"/>
        </w:rPr>
      </w:pPr>
    </w:p>
    <w:p w14:paraId="746D6BA3" w14:textId="77777777" w:rsidR="00835B06" w:rsidRDefault="004D03F7">
      <w:pPr>
        <w:rPr>
          <w:b/>
          <w:i/>
          <w:color w:val="000000"/>
          <w:szCs w:val="22"/>
          <w:u w:val="single"/>
          <w:lang w:val="hu-HU"/>
        </w:rPr>
      </w:pPr>
      <w:r>
        <w:rPr>
          <w:i/>
          <w:color w:val="000000"/>
          <w:szCs w:val="22"/>
          <w:u w:val="single"/>
          <w:lang w:val="hu-HU"/>
        </w:rPr>
        <w:t>Elimináció</w:t>
      </w:r>
    </w:p>
    <w:p w14:paraId="24C73FFB" w14:textId="77777777" w:rsidR="00835B06" w:rsidRDefault="004D03F7">
      <w:pPr>
        <w:rPr>
          <w:color w:val="000000"/>
          <w:szCs w:val="22"/>
          <w:lang w:val="hu-HU"/>
        </w:rPr>
      </w:pPr>
      <w:r>
        <w:rPr>
          <w:color w:val="000000"/>
          <w:szCs w:val="22"/>
          <w:lang w:val="hu-HU"/>
        </w:rPr>
        <w:t xml:space="preserve">Humán alanyoknak adott 20 mg </w:t>
      </w:r>
      <w:r>
        <w:rPr>
          <w:color w:val="000000"/>
          <w:szCs w:val="22"/>
          <w:vertAlign w:val="superscript"/>
          <w:lang w:val="hu-HU"/>
        </w:rPr>
        <w:t>14</w:t>
      </w:r>
      <w:r>
        <w:rPr>
          <w:color w:val="000000"/>
          <w:szCs w:val="22"/>
          <w:lang w:val="hu-HU"/>
        </w:rPr>
        <w:t>C</w:t>
      </w:r>
      <w:r>
        <w:rPr>
          <w:color w:val="000000"/>
          <w:szCs w:val="22"/>
          <w:lang w:val="hu-HU"/>
        </w:rPr>
        <w:noBreakHyphen/>
        <w:t xml:space="preserve">ezetimib </w:t>
      </w:r>
      <w:r>
        <w:rPr>
          <w:i/>
          <w:color w:val="000000"/>
          <w:szCs w:val="22"/>
          <w:lang w:val="hu-HU"/>
        </w:rPr>
        <w:t>per os</w:t>
      </w:r>
      <w:r>
        <w:rPr>
          <w:color w:val="000000"/>
          <w:szCs w:val="22"/>
          <w:lang w:val="hu-HU"/>
        </w:rPr>
        <w:t xml:space="preserve"> alkalmazását követően a plazmában mérhető teljes radioaktivitás körülbelül 93%-át lehetett az össz</w:t>
      </w:r>
      <w:r>
        <w:rPr>
          <w:color w:val="000000"/>
          <w:szCs w:val="22"/>
          <w:lang w:val="hu-HU"/>
        </w:rPr>
        <w:noBreakHyphen/>
        <w:t>ezetimibhez rendelni. A beadott radioaktivitás körülbelül 78%-a, illetve 11%-a volt visszanyerhető a székletben, illetve a vizeletben 10 napos mintagyűjtés alatt. A beadás után 48 órával a plazmában a radioaktivitás szintje a detektálási határ alá csökkent.</w:t>
      </w:r>
    </w:p>
    <w:p w14:paraId="0AEE4C17" w14:textId="77777777" w:rsidR="00835B06" w:rsidRDefault="00835B06">
      <w:pPr>
        <w:rPr>
          <w:color w:val="000000"/>
          <w:szCs w:val="22"/>
          <w:lang w:val="hu-HU"/>
        </w:rPr>
      </w:pPr>
    </w:p>
    <w:p w14:paraId="72E9C1E7" w14:textId="77777777" w:rsidR="00835B06" w:rsidRDefault="004D03F7">
      <w:pPr>
        <w:rPr>
          <w:b/>
          <w:color w:val="000000"/>
          <w:szCs w:val="22"/>
          <w:lang w:val="hu-HU"/>
        </w:rPr>
      </w:pPr>
      <w:r>
        <w:rPr>
          <w:b/>
          <w:color w:val="000000"/>
          <w:szCs w:val="22"/>
          <w:lang w:val="hu-HU"/>
        </w:rPr>
        <w:t>Különleges betegcsoportok:</w:t>
      </w:r>
    </w:p>
    <w:p w14:paraId="0CC0B9ED" w14:textId="77777777" w:rsidR="00835B06" w:rsidRDefault="00835B06">
      <w:pPr>
        <w:rPr>
          <w:color w:val="000000"/>
          <w:szCs w:val="22"/>
          <w:lang w:val="hu-HU"/>
        </w:rPr>
      </w:pPr>
    </w:p>
    <w:p w14:paraId="58A96814" w14:textId="77777777" w:rsidR="00835B06" w:rsidRDefault="004D03F7">
      <w:pPr>
        <w:pStyle w:val="Normal1"/>
        <w:rPr>
          <w:bCs/>
          <w:i/>
          <w:color w:val="auto"/>
          <w:sz w:val="22"/>
          <w:szCs w:val="22"/>
          <w:lang w:val="hu-HU"/>
        </w:rPr>
      </w:pPr>
      <w:r>
        <w:rPr>
          <w:bCs/>
          <w:i/>
          <w:color w:val="auto"/>
          <w:sz w:val="22"/>
          <w:szCs w:val="22"/>
          <w:lang w:val="hu-HU"/>
        </w:rPr>
        <w:t>Gyermekek és serdülők</w:t>
      </w:r>
    </w:p>
    <w:p w14:paraId="760A9CD5" w14:textId="77777777" w:rsidR="00835B06" w:rsidRDefault="004D03F7">
      <w:pPr>
        <w:pStyle w:val="Normal1"/>
        <w:rPr>
          <w:sz w:val="22"/>
          <w:szCs w:val="22"/>
          <w:lang w:val="hu-HU"/>
        </w:rPr>
      </w:pPr>
      <w:r>
        <w:rPr>
          <w:sz w:val="22"/>
          <w:szCs w:val="22"/>
          <w:lang w:val="hu-HU"/>
        </w:rPr>
        <w:t>Az ezetimib farmakokinetikája hasonló gyermekekben (≥ 6 év) és felnőttekben. 6 évesnél fiatalabb gyermekek csoportját tekintve farmakokinetikai adatok nem állnak rendelkezésre</w:t>
      </w:r>
      <w:r>
        <w:rPr>
          <w:szCs w:val="22"/>
          <w:lang w:val="hu-HU"/>
        </w:rPr>
        <w:t xml:space="preserve">. </w:t>
      </w:r>
      <w:r>
        <w:rPr>
          <w:sz w:val="22"/>
          <w:szCs w:val="22"/>
          <w:lang w:val="hu-HU"/>
        </w:rPr>
        <w:t>Gyermekek és serdülők esetében a HoFH-ban, HeFH</w:t>
      </w:r>
      <w:r>
        <w:rPr>
          <w:sz w:val="22"/>
          <w:szCs w:val="22"/>
          <w:lang w:val="hu-HU"/>
        </w:rPr>
        <w:noBreakHyphen/>
        <w:t>ban, illetve sitosterinaemiában szenvedő betegekre nézve áll rendelkezésre klinikai tapasztalat.</w:t>
      </w:r>
    </w:p>
    <w:p w14:paraId="102F81DB" w14:textId="77777777" w:rsidR="00835B06" w:rsidRDefault="00835B06">
      <w:pPr>
        <w:rPr>
          <w:i/>
          <w:iCs/>
          <w:szCs w:val="22"/>
          <w:u w:val="single"/>
          <w:lang w:val="hu-HU"/>
        </w:rPr>
      </w:pPr>
    </w:p>
    <w:p w14:paraId="09956662" w14:textId="77777777" w:rsidR="00835B06" w:rsidRDefault="004D03F7">
      <w:pPr>
        <w:rPr>
          <w:i/>
          <w:iCs/>
          <w:szCs w:val="22"/>
          <w:lang w:val="hu-HU"/>
        </w:rPr>
      </w:pPr>
      <w:r>
        <w:rPr>
          <w:i/>
          <w:iCs/>
          <w:szCs w:val="22"/>
          <w:lang w:val="hu-HU"/>
        </w:rPr>
        <w:t>Idősek</w:t>
      </w:r>
    </w:p>
    <w:p w14:paraId="43857D71" w14:textId="77777777" w:rsidR="00835B06" w:rsidRDefault="004D03F7">
      <w:pPr>
        <w:rPr>
          <w:color w:val="000000"/>
          <w:szCs w:val="22"/>
          <w:lang w:val="hu-HU"/>
        </w:rPr>
      </w:pPr>
      <w:r>
        <w:rPr>
          <w:color w:val="000000"/>
          <w:szCs w:val="22"/>
          <w:lang w:val="hu-HU"/>
        </w:rPr>
        <w:t>Időskorú (≥ 65 év) betegeknél az összezetimib plazmakoncentrációja körülbelül kétszerese a fiatal (18 </w:t>
      </w:r>
      <w:r>
        <w:rPr>
          <w:color w:val="000000"/>
          <w:szCs w:val="22"/>
          <w:lang w:val="hu-HU"/>
        </w:rPr>
        <w:noBreakHyphen/>
        <w:t> 45 év) felnőtteknél mérhető szintnek. Az LDL</w:t>
      </w:r>
      <w:r>
        <w:rPr>
          <w:color w:val="000000"/>
          <w:szCs w:val="22"/>
          <w:lang w:val="hu-HU"/>
        </w:rPr>
        <w:noBreakHyphen/>
        <w:t>C-szint csökkenésének mértéke és az ezetimib biztonságossága hasonló idős és fiatal betegek esetén. Ennek megfelelően idős betegek esetében nem szükséges a dózist módosítani.</w:t>
      </w:r>
    </w:p>
    <w:p w14:paraId="732A2899" w14:textId="77777777" w:rsidR="00835B06" w:rsidRDefault="00835B06">
      <w:pPr>
        <w:rPr>
          <w:color w:val="000000"/>
          <w:szCs w:val="22"/>
          <w:lang w:val="hu-HU"/>
        </w:rPr>
      </w:pPr>
    </w:p>
    <w:p w14:paraId="3364598A" w14:textId="77777777" w:rsidR="00835B06" w:rsidRDefault="004D03F7">
      <w:pPr>
        <w:rPr>
          <w:i/>
          <w:iCs/>
          <w:szCs w:val="22"/>
          <w:lang w:val="hu-HU"/>
        </w:rPr>
      </w:pPr>
      <w:r>
        <w:rPr>
          <w:i/>
          <w:iCs/>
          <w:szCs w:val="22"/>
          <w:lang w:val="hu-HU"/>
        </w:rPr>
        <w:t>Májkárosodás</w:t>
      </w:r>
    </w:p>
    <w:p w14:paraId="2BCBC299" w14:textId="77777777" w:rsidR="00835B06" w:rsidRDefault="004D03F7">
      <w:pPr>
        <w:rPr>
          <w:iCs/>
          <w:szCs w:val="22"/>
          <w:lang w:val="hu-HU"/>
        </w:rPr>
      </w:pPr>
      <w:r>
        <w:rPr>
          <w:iCs/>
          <w:szCs w:val="22"/>
          <w:lang w:val="hu-HU"/>
        </w:rPr>
        <w:t>Az ezetimib 10 mg-os dózisának egyszeri alkalmazását követően az összezetimibre vonatkozó görbe alatti terület (AUC) átlaga mintegy 1,7</w:t>
      </w:r>
      <w:r>
        <w:rPr>
          <w:iCs/>
          <w:szCs w:val="22"/>
          <w:lang w:val="hu-HU"/>
        </w:rPr>
        <w:noBreakHyphen/>
        <w:t>szer nagyobb volt enyhe májelégtelenségben (Child</w:t>
      </w:r>
      <w:r>
        <w:rPr>
          <w:iCs/>
          <w:szCs w:val="22"/>
          <w:lang w:val="hu-HU"/>
        </w:rPr>
        <w:noBreakHyphen/>
        <w:t>Pugh osztályozás szerinti pontszám: 5 vagy 6), mint egészséges egyénekben. Egy 14 napos, ismételt adagolású (napi 10 mg), közepesen súlyos májelégtelenségben (Child-Pugh osztályozás szerinti pontszám: 7 - 9) szenvedő betegeken végzett vizsgálatban az összezetimibre vonatkozó átlag AUC az 1. és a 14. napon körülbelül 4</w:t>
      </w:r>
      <w:r>
        <w:rPr>
          <w:iCs/>
          <w:szCs w:val="22"/>
          <w:lang w:val="hu-HU"/>
        </w:rPr>
        <w:noBreakHyphen/>
        <w:t>szerese volt az egészséges egyénekben mért értékeknek. Az enyhe májkárosodásban nincs szükség a dózis módosítására. Mivel a közepesen súlyos és súlyos májkárosodásban (Child</w:t>
      </w:r>
      <w:r>
        <w:rPr>
          <w:iCs/>
          <w:szCs w:val="22"/>
          <w:lang w:val="hu-HU"/>
        </w:rPr>
        <w:noBreakHyphen/>
        <w:t>Pugh osztályozás szerinti pontszám: &gt; 9) a megnövekedett ezetimib</w:t>
      </w:r>
      <w:r>
        <w:rPr>
          <w:iCs/>
          <w:szCs w:val="22"/>
          <w:lang w:val="hu-HU"/>
        </w:rPr>
        <w:noBreakHyphen/>
        <w:t>expozíció hatásai nem ismertek, a Roxera Plus alkalmazása ilyen betegeknél nem ajánlott (lásd 4.4 pont).</w:t>
      </w:r>
    </w:p>
    <w:p w14:paraId="42F53BA7" w14:textId="77777777" w:rsidR="00835B06" w:rsidRDefault="00835B06">
      <w:pPr>
        <w:rPr>
          <w:i/>
          <w:iCs/>
          <w:szCs w:val="22"/>
          <w:lang w:val="hu-HU"/>
        </w:rPr>
      </w:pPr>
    </w:p>
    <w:p w14:paraId="54FE47DD" w14:textId="77777777" w:rsidR="00835B06" w:rsidRDefault="004D03F7">
      <w:pPr>
        <w:rPr>
          <w:i/>
          <w:iCs/>
          <w:szCs w:val="22"/>
          <w:lang w:val="hu-HU"/>
        </w:rPr>
      </w:pPr>
      <w:r>
        <w:rPr>
          <w:i/>
          <w:iCs/>
          <w:szCs w:val="22"/>
          <w:lang w:val="hu-HU"/>
        </w:rPr>
        <w:t>Vesekárosodás</w:t>
      </w:r>
    </w:p>
    <w:p w14:paraId="3A17CD17" w14:textId="77777777" w:rsidR="00835B06" w:rsidRDefault="004D03F7">
      <w:pPr>
        <w:rPr>
          <w:iCs/>
          <w:szCs w:val="22"/>
          <w:lang w:val="hu-HU"/>
        </w:rPr>
      </w:pPr>
      <w:r>
        <w:rPr>
          <w:iCs/>
          <w:szCs w:val="22"/>
          <w:lang w:val="hu-HU"/>
        </w:rPr>
        <w:t>Az ezetimib 10 mg</w:t>
      </w:r>
      <w:r>
        <w:rPr>
          <w:iCs/>
          <w:szCs w:val="22"/>
          <w:lang w:val="hu-HU"/>
        </w:rPr>
        <w:noBreakHyphen/>
        <w:t>os dózisának egyszeri alkalmazását követően az összezetimibre vonatkozó görbe alatti terület (AUC) átlaga mintegy 1,5</w:t>
      </w:r>
      <w:r>
        <w:rPr>
          <w:iCs/>
          <w:szCs w:val="22"/>
          <w:lang w:val="hu-HU"/>
        </w:rPr>
        <w:noBreakHyphen/>
        <w:t>ször nagyobb volt súlyos vesebetegségben (n = 8; átlagos kreatinin-clearance &lt;30 ml/perc/1,73 m</w:t>
      </w:r>
      <w:r>
        <w:rPr>
          <w:iCs/>
          <w:szCs w:val="22"/>
          <w:vertAlign w:val="superscript"/>
          <w:lang w:val="hu-HU"/>
        </w:rPr>
        <w:t>2</w:t>
      </w:r>
      <w:r>
        <w:rPr>
          <w:iCs/>
          <w:szCs w:val="22"/>
          <w:lang w:val="hu-HU"/>
        </w:rPr>
        <w:t>), mint egészséges egyéneknél (n = 9). Ennek az eltérésnek feltehetően nincs klinikai jelentősége. Vesekárosodásban nincs szükség a dózis módosítására.</w:t>
      </w:r>
    </w:p>
    <w:p w14:paraId="3E23C319" w14:textId="77777777" w:rsidR="00835B06" w:rsidRDefault="00835B06">
      <w:pPr>
        <w:rPr>
          <w:iCs/>
          <w:szCs w:val="22"/>
          <w:lang w:val="hu-HU"/>
        </w:rPr>
      </w:pPr>
    </w:p>
    <w:p w14:paraId="7D006474" w14:textId="77777777" w:rsidR="00835B06" w:rsidRDefault="004D03F7">
      <w:pPr>
        <w:rPr>
          <w:iCs/>
          <w:szCs w:val="22"/>
          <w:lang w:val="hu-HU"/>
        </w:rPr>
      </w:pPr>
      <w:r>
        <w:rPr>
          <w:iCs/>
          <w:szCs w:val="22"/>
          <w:lang w:val="hu-HU"/>
        </w:rPr>
        <w:t>A fenti vizsgálatban egy további (veseátültetés után lévő, több gyógyszerrel, egyebek mellett ciklosporinnal is kezelt) beteg össz-ezetimib</w:t>
      </w:r>
      <w:r>
        <w:rPr>
          <w:iCs/>
          <w:szCs w:val="22"/>
          <w:lang w:val="hu-HU"/>
        </w:rPr>
        <w:noBreakHyphen/>
        <w:t>expozíciója 12-szeresére nőtt.</w:t>
      </w:r>
    </w:p>
    <w:p w14:paraId="131AB632" w14:textId="77777777" w:rsidR="00835B06" w:rsidRDefault="00835B06">
      <w:pPr>
        <w:rPr>
          <w:color w:val="000000"/>
          <w:szCs w:val="22"/>
          <w:lang w:val="hu-HU"/>
        </w:rPr>
      </w:pPr>
    </w:p>
    <w:p w14:paraId="02CC5FFA" w14:textId="77777777" w:rsidR="00835B06" w:rsidRDefault="004D03F7">
      <w:pPr>
        <w:rPr>
          <w:i/>
          <w:color w:val="000000"/>
          <w:szCs w:val="22"/>
          <w:lang w:val="hu-HU"/>
        </w:rPr>
      </w:pPr>
      <w:r>
        <w:rPr>
          <w:i/>
          <w:color w:val="000000"/>
          <w:szCs w:val="22"/>
          <w:lang w:val="hu-HU"/>
        </w:rPr>
        <w:t>Nem</w:t>
      </w:r>
    </w:p>
    <w:p w14:paraId="758ABC0E" w14:textId="77777777" w:rsidR="00835B06" w:rsidRDefault="004D03F7">
      <w:pPr>
        <w:rPr>
          <w:color w:val="000000"/>
          <w:szCs w:val="22"/>
          <w:lang w:val="hu-HU"/>
        </w:rPr>
      </w:pPr>
      <w:r>
        <w:rPr>
          <w:color w:val="000000"/>
          <w:szCs w:val="22"/>
          <w:lang w:val="hu-HU"/>
        </w:rPr>
        <w:t>Az össz-ezetimib plazmakoncentrációja kismértékben (kb. &lt; 20%) nagyobb nőkben, mint férfiakban. Az LDL</w:t>
      </w:r>
      <w:r>
        <w:rPr>
          <w:color w:val="000000"/>
          <w:szCs w:val="22"/>
          <w:lang w:val="hu-HU"/>
        </w:rPr>
        <w:noBreakHyphen/>
        <w:t>C-szint csökkenésének mértéke és az ezetimib biztonságossága hasonló férfi és nőbetegek esetén. Ennek megfelelően nincs szükség a dózis nemek szerinti módosítására.</w:t>
      </w:r>
    </w:p>
    <w:p w14:paraId="665D54CE" w14:textId="77777777" w:rsidR="00835B06" w:rsidRDefault="00835B06">
      <w:pPr>
        <w:pStyle w:val="Normal1"/>
        <w:rPr>
          <w:bCs/>
          <w:i/>
          <w:color w:val="auto"/>
          <w:sz w:val="22"/>
          <w:szCs w:val="22"/>
          <w:u w:val="single"/>
          <w:lang w:val="hu-HU"/>
        </w:rPr>
      </w:pPr>
    </w:p>
    <w:p w14:paraId="258B4D03" w14:textId="77777777" w:rsidR="00835B06" w:rsidRDefault="00835B06">
      <w:pPr>
        <w:widowControl w:val="0"/>
        <w:tabs>
          <w:tab w:val="left" w:pos="567"/>
        </w:tabs>
        <w:rPr>
          <w:szCs w:val="22"/>
          <w:lang w:val="hu-HU" w:eastAsia="en-US"/>
        </w:rPr>
      </w:pPr>
    </w:p>
    <w:p w14:paraId="6C162E53" w14:textId="77777777" w:rsidR="00835B06" w:rsidRDefault="004D03F7">
      <w:pPr>
        <w:widowControl w:val="0"/>
        <w:tabs>
          <w:tab w:val="left" w:pos="567"/>
        </w:tabs>
        <w:rPr>
          <w:szCs w:val="22"/>
          <w:lang w:val="hu-HU" w:eastAsia="en-US"/>
        </w:rPr>
      </w:pPr>
      <w:r>
        <w:rPr>
          <w:b/>
          <w:szCs w:val="22"/>
          <w:lang w:val="hu-HU" w:eastAsia="en-US"/>
        </w:rPr>
        <w:t>5.3</w:t>
      </w:r>
      <w:r>
        <w:rPr>
          <w:b/>
          <w:szCs w:val="22"/>
          <w:lang w:val="hu-HU" w:eastAsia="en-US"/>
        </w:rPr>
        <w:tab/>
        <w:t>A preklinikai biztonságossági vizsgálatok eredményei</w:t>
      </w:r>
    </w:p>
    <w:p w14:paraId="29FC15DF" w14:textId="77777777" w:rsidR="00835B06" w:rsidRDefault="00835B06">
      <w:pPr>
        <w:widowControl w:val="0"/>
        <w:tabs>
          <w:tab w:val="left" w:pos="567"/>
        </w:tabs>
        <w:rPr>
          <w:szCs w:val="22"/>
          <w:lang w:val="hu-HU" w:eastAsia="en-US"/>
        </w:rPr>
      </w:pPr>
    </w:p>
    <w:p w14:paraId="46DFDF42" w14:textId="77777777" w:rsidR="00835B06" w:rsidRDefault="004D03F7">
      <w:pPr>
        <w:widowControl w:val="0"/>
        <w:tabs>
          <w:tab w:val="left" w:pos="567"/>
        </w:tabs>
        <w:rPr>
          <w:szCs w:val="22"/>
          <w:u w:val="single"/>
          <w:lang w:val="hu-HU" w:eastAsia="en-US"/>
        </w:rPr>
      </w:pPr>
      <w:r>
        <w:rPr>
          <w:szCs w:val="22"/>
          <w:u w:val="single"/>
          <w:lang w:val="hu-HU" w:eastAsia="en-US"/>
        </w:rPr>
        <w:t>Rozuvasztatin</w:t>
      </w:r>
    </w:p>
    <w:p w14:paraId="1584B940" w14:textId="77777777" w:rsidR="00835B06" w:rsidRDefault="00835B06">
      <w:pPr>
        <w:widowControl w:val="0"/>
        <w:tabs>
          <w:tab w:val="left" w:pos="567"/>
        </w:tabs>
        <w:rPr>
          <w:szCs w:val="22"/>
          <w:u w:val="single"/>
          <w:lang w:val="hu-HU" w:eastAsia="en-US"/>
        </w:rPr>
      </w:pPr>
    </w:p>
    <w:p w14:paraId="1FC390A9" w14:textId="77777777" w:rsidR="00835B06" w:rsidRDefault="004D03F7">
      <w:pPr>
        <w:widowControl w:val="0"/>
        <w:tabs>
          <w:tab w:val="left" w:pos="567"/>
        </w:tabs>
        <w:rPr>
          <w:szCs w:val="22"/>
          <w:lang w:val="hu-HU" w:eastAsia="en-US"/>
        </w:rPr>
      </w:pPr>
      <w:r>
        <w:rPr>
          <w:szCs w:val="22"/>
          <w:lang w:val="hu-HU" w:eastAsia="hu-HU"/>
        </w:rPr>
        <w:t xml:space="preserve">A hagyományos farmakológiai biztonságossági, genotoxicitási és karcinogenitási </w:t>
      </w:r>
      <w:r>
        <w:rPr>
          <w:noProof/>
          <w:szCs w:val="22"/>
          <w:lang w:val="hu-HU" w:eastAsia="hu-HU"/>
        </w:rPr>
        <w:t xml:space="preserve">vizsgálatokból származó nem klinikai jellegű adatok </w:t>
      </w:r>
      <w:r>
        <w:rPr>
          <w:szCs w:val="22"/>
          <w:lang w:val="hu-HU" w:eastAsia="hu-HU"/>
        </w:rPr>
        <w:t>azt igazolták, hogy a készítmény nem jelent különleges veszélyt az emberre. A hERG-re (human Ether-à-go-go Related Gene) kifejtett hatást vizsgáló specifikus teszteket nem értékelték. A következő mellékhatásokat klinikai vizsgálatokban nem tapasztalták, állatkísérletekben viszont igen, a klinikai expozíciós szintekhez hasonló expozíciós szintek mellett: egerekben és patkányokban az ismételt dózisú toxicitási vizsgálatokban, valószínűleg a rozuvasztatin farmakológiai hatásának tulajdonítható patológiás szöveti elváltozásokat a májban, kisebb mértékben kutyákban az epehólyag érintettségét figyelték meg, majmokban azonban hasonlót nem tapasztaltak. Továbbá nagyobb dózisok mellett, majmokban és kutyákban a herékre kifejtett toxikus hatást tapasztaltak. Patkányokban a reproduktív toxicitás egyértelműen megmutatkozott az egy alomban született kölykök csökkent számában, a kisebb születési súlyokban, valamint az életképesség csökkenésében. Ezt a hatást az anyaállatra nézve toxikus dózisok mellett figyelték meg, amikor is a szisztémás expozíciók a terápiás expozíciós szintet többszörösen meghaladták.</w:t>
      </w:r>
    </w:p>
    <w:p w14:paraId="2C917704" w14:textId="77777777" w:rsidR="00835B06" w:rsidRDefault="00835B06">
      <w:pPr>
        <w:widowControl w:val="0"/>
        <w:tabs>
          <w:tab w:val="left" w:pos="567"/>
        </w:tabs>
        <w:rPr>
          <w:b/>
          <w:szCs w:val="22"/>
          <w:lang w:val="hu-HU" w:eastAsia="en-US"/>
        </w:rPr>
      </w:pPr>
    </w:p>
    <w:p w14:paraId="638FA333" w14:textId="77777777" w:rsidR="00835B06" w:rsidRDefault="004D03F7">
      <w:pPr>
        <w:widowControl w:val="0"/>
        <w:tabs>
          <w:tab w:val="left" w:pos="567"/>
        </w:tabs>
        <w:rPr>
          <w:szCs w:val="22"/>
          <w:u w:val="single"/>
          <w:lang w:val="hu-HU" w:eastAsia="en-US"/>
        </w:rPr>
      </w:pPr>
      <w:r>
        <w:rPr>
          <w:szCs w:val="22"/>
          <w:u w:val="single"/>
          <w:lang w:val="hu-HU" w:eastAsia="en-US"/>
        </w:rPr>
        <w:t>Ezetimib</w:t>
      </w:r>
    </w:p>
    <w:p w14:paraId="1874D810" w14:textId="77777777" w:rsidR="00835B06" w:rsidRDefault="004D03F7">
      <w:pPr>
        <w:widowControl w:val="0"/>
        <w:tabs>
          <w:tab w:val="left" w:pos="567"/>
        </w:tabs>
        <w:rPr>
          <w:szCs w:val="22"/>
          <w:lang w:val="hu-HU" w:eastAsia="en-US"/>
        </w:rPr>
      </w:pPr>
      <w:r>
        <w:rPr>
          <w:szCs w:val="22"/>
          <w:lang w:val="hu-HU" w:eastAsia="en-US"/>
        </w:rPr>
        <w:t>Az ezetimib krónikus toxicitását vizsgáló állatkísérletekben egyetlen szervet sem azonosítottak a toxikus hatások célszerveként. Négy héten át ezetimibbel kezelt (≥ 0,03 mg/ttkg/nap) kutyákban az epehólyagban lévő epe koleszterin-koncentrációja 2,5 </w:t>
      </w:r>
      <w:r>
        <w:rPr>
          <w:szCs w:val="22"/>
          <w:lang w:val="hu-HU" w:eastAsia="en-US"/>
        </w:rPr>
        <w:noBreakHyphen/>
        <w:t> 3,5-szeres növekedést mutatott. Ugyanakkor, a kutyákon végzett, a napi 300 mg/ttkg dózis alkalmazását is elérő egyéves vizsgálatban a cholelithiasis, vagy egyéb hepatobiliaris hatások előfordulási gyakorisága nem növekedett. A fenti adatok humán relevanciája nem ismert. Az ezetimib terápiás alkalmazásához kapcsolódó kőképződés veszélye nem zárható ki.</w:t>
      </w:r>
    </w:p>
    <w:p w14:paraId="55918CF1" w14:textId="77777777" w:rsidR="00835B06" w:rsidRDefault="00835B06">
      <w:pPr>
        <w:widowControl w:val="0"/>
        <w:tabs>
          <w:tab w:val="left" w:pos="567"/>
        </w:tabs>
        <w:rPr>
          <w:szCs w:val="22"/>
          <w:lang w:val="hu-HU" w:eastAsia="en-US"/>
        </w:rPr>
      </w:pPr>
    </w:p>
    <w:p w14:paraId="4BD8DD0E" w14:textId="77777777" w:rsidR="00835B06" w:rsidRDefault="004D03F7">
      <w:pPr>
        <w:widowControl w:val="0"/>
        <w:tabs>
          <w:tab w:val="left" w:pos="567"/>
        </w:tabs>
        <w:rPr>
          <w:szCs w:val="22"/>
          <w:lang w:val="hu-HU" w:eastAsia="en-US"/>
        </w:rPr>
      </w:pPr>
      <w:r>
        <w:rPr>
          <w:szCs w:val="22"/>
          <w:lang w:val="hu-HU" w:eastAsia="en-US"/>
        </w:rPr>
        <w:t>Az ezetimib és a sztatinok együttadásával végzett vizsgálatokban megfigyelhető toxikus hatások lényegében a tipikusan a sztatinokhoz kapcsolódó hatások voltak. Némely toxikus hatás kifejezettebb volt, mint a csak sztatinokkal végzett kezelés során tapasztalható hatások. Ez a kombinációs kezelés során fellépő farmakodinámiás és farmakokinetikai interakciónak tulajdonítható. Ehhez hasonló interakciót a klinikai vizsgálatok során nem lehetett megfigyelni. Myopathia csak a humán terápiás dózist többszörösen meghaladó dózisnak kitett (körülbelül 20-szor nagyobb AUC sztatinra és 500 </w:t>
      </w:r>
      <w:r>
        <w:rPr>
          <w:szCs w:val="22"/>
          <w:lang w:val="hu-HU" w:eastAsia="en-US"/>
        </w:rPr>
        <w:noBreakHyphen/>
        <w:t> 2000-szer nagyobb AUC az aktív metabolitokra nézve) patkányokban jelentkezett.</w:t>
      </w:r>
    </w:p>
    <w:p w14:paraId="59A54451" w14:textId="77777777" w:rsidR="00835B06" w:rsidRDefault="00835B06">
      <w:pPr>
        <w:widowControl w:val="0"/>
        <w:tabs>
          <w:tab w:val="left" w:pos="567"/>
        </w:tabs>
        <w:rPr>
          <w:szCs w:val="22"/>
          <w:lang w:val="hu-HU" w:eastAsia="en-US"/>
        </w:rPr>
      </w:pPr>
    </w:p>
    <w:p w14:paraId="343AB649" w14:textId="77777777" w:rsidR="00835B06" w:rsidRDefault="004D03F7">
      <w:pPr>
        <w:widowControl w:val="0"/>
        <w:tabs>
          <w:tab w:val="left" w:pos="567"/>
        </w:tabs>
        <w:rPr>
          <w:szCs w:val="22"/>
          <w:lang w:val="hu-HU" w:eastAsia="en-US"/>
        </w:rPr>
      </w:pPr>
      <w:r>
        <w:rPr>
          <w:szCs w:val="22"/>
          <w:lang w:val="hu-HU" w:eastAsia="en-US"/>
        </w:rPr>
        <w:t xml:space="preserve">Számos </w:t>
      </w:r>
      <w:r>
        <w:rPr>
          <w:i/>
          <w:szCs w:val="22"/>
          <w:lang w:val="hu-HU" w:eastAsia="en-US"/>
        </w:rPr>
        <w:t>in vivo</w:t>
      </w:r>
      <w:r>
        <w:rPr>
          <w:szCs w:val="22"/>
          <w:lang w:val="hu-HU" w:eastAsia="en-US"/>
        </w:rPr>
        <w:t xml:space="preserve"> és </w:t>
      </w:r>
      <w:r>
        <w:rPr>
          <w:i/>
          <w:szCs w:val="22"/>
          <w:lang w:val="hu-HU" w:eastAsia="en-US"/>
        </w:rPr>
        <w:t>in vitro</w:t>
      </w:r>
      <w:r>
        <w:rPr>
          <w:szCs w:val="22"/>
          <w:lang w:val="hu-HU" w:eastAsia="en-US"/>
        </w:rPr>
        <w:t xml:space="preserve"> vizsgálatban, az önmagában vagy sztatinnal együtt alkalmazott ezetimib genotoxikus hatásoktól mentesnek bizonyult. Az ezetimibbel végzett krónikus karcinogenitási vizsgálatok negatív eredménnyel zárultak.</w:t>
      </w:r>
    </w:p>
    <w:p w14:paraId="4B6FE6B6" w14:textId="77777777" w:rsidR="00835B06" w:rsidRDefault="00835B06">
      <w:pPr>
        <w:widowControl w:val="0"/>
        <w:tabs>
          <w:tab w:val="left" w:pos="567"/>
        </w:tabs>
        <w:rPr>
          <w:szCs w:val="22"/>
          <w:lang w:val="hu-HU" w:eastAsia="en-US"/>
        </w:rPr>
      </w:pPr>
    </w:p>
    <w:p w14:paraId="1EF2A5F1" w14:textId="77777777" w:rsidR="00835B06" w:rsidRDefault="004D03F7">
      <w:pPr>
        <w:widowControl w:val="0"/>
        <w:tabs>
          <w:tab w:val="left" w:pos="567"/>
        </w:tabs>
        <w:rPr>
          <w:szCs w:val="22"/>
          <w:lang w:val="hu-HU" w:eastAsia="en-US"/>
        </w:rPr>
      </w:pPr>
      <w:r>
        <w:rPr>
          <w:szCs w:val="22"/>
          <w:lang w:val="hu-HU" w:eastAsia="en-US"/>
        </w:rPr>
        <w:t>Az ezetimib nem befolyásolta a hím és nőstény patkányok fertilitását, nem mutatott teratogén hatást patkányon és nyúlon, és nem befolyásolta a pre- és postnatalis fejlődést. A napi 1000 mg/ttkg ismételt dózisokkal kezelt vemhes patkányokban és nyulakban az ezetimib átjutott a placentán. Az ezetimib és a sztatinok együttadása patkányokban nem volt teratogén hatású. Vemhes nyulakban, kis számban vázrendszeri deformitást (összenőtt thoracalis és caudalis csigolyák, csökkent számú caudalis csigolya) lehetett megfigyelni. Az ezetimib és lovasztatin együttadása embryoletalis hatásokat mutatott.</w:t>
      </w:r>
    </w:p>
    <w:p w14:paraId="5DD4CF83" w14:textId="77777777" w:rsidR="00835B06" w:rsidRDefault="00835B06">
      <w:pPr>
        <w:widowControl w:val="0"/>
        <w:tabs>
          <w:tab w:val="left" w:pos="567"/>
        </w:tabs>
        <w:rPr>
          <w:szCs w:val="22"/>
          <w:lang w:val="hu-HU" w:eastAsia="en-US"/>
        </w:rPr>
      </w:pPr>
    </w:p>
    <w:p w14:paraId="4829C0F0" w14:textId="77777777" w:rsidR="00835B06" w:rsidRDefault="00835B06">
      <w:pPr>
        <w:widowControl w:val="0"/>
        <w:tabs>
          <w:tab w:val="left" w:pos="567"/>
        </w:tabs>
        <w:rPr>
          <w:szCs w:val="22"/>
          <w:lang w:val="hu-HU" w:eastAsia="en-US"/>
        </w:rPr>
      </w:pPr>
    </w:p>
    <w:p w14:paraId="04DB83B1" w14:textId="77777777" w:rsidR="00835B06" w:rsidRDefault="004D03F7">
      <w:pPr>
        <w:ind w:left="567" w:hanging="567"/>
        <w:rPr>
          <w:b/>
          <w:szCs w:val="22"/>
          <w:lang w:val="hu-HU"/>
        </w:rPr>
      </w:pPr>
      <w:r>
        <w:rPr>
          <w:b/>
          <w:szCs w:val="22"/>
          <w:lang w:val="hu-HU"/>
        </w:rPr>
        <w:t>6.</w:t>
      </w:r>
      <w:r>
        <w:rPr>
          <w:b/>
          <w:szCs w:val="22"/>
          <w:lang w:val="hu-HU"/>
        </w:rPr>
        <w:tab/>
        <w:t>GYÓGYSZERÉSZETI JELLEMZŐK</w:t>
      </w:r>
    </w:p>
    <w:p w14:paraId="7457E23B" w14:textId="77777777" w:rsidR="00835B06" w:rsidRDefault="00835B06">
      <w:pPr>
        <w:rPr>
          <w:szCs w:val="22"/>
          <w:lang w:val="hu-HU"/>
        </w:rPr>
      </w:pPr>
    </w:p>
    <w:p w14:paraId="6A8EF5D4" w14:textId="77777777" w:rsidR="00835B06" w:rsidRDefault="004D03F7">
      <w:pPr>
        <w:ind w:left="567" w:hanging="567"/>
        <w:rPr>
          <w:b/>
          <w:szCs w:val="22"/>
          <w:lang w:val="hu-HU"/>
        </w:rPr>
      </w:pPr>
      <w:r>
        <w:rPr>
          <w:b/>
          <w:szCs w:val="22"/>
          <w:lang w:val="hu-HU"/>
        </w:rPr>
        <w:t>6.1</w:t>
      </w:r>
      <w:r>
        <w:rPr>
          <w:b/>
          <w:szCs w:val="22"/>
          <w:lang w:val="hu-HU"/>
        </w:rPr>
        <w:tab/>
        <w:t>Segédanyagok felsorolása</w:t>
      </w:r>
    </w:p>
    <w:p w14:paraId="0979C4B9" w14:textId="77777777" w:rsidR="00835B06" w:rsidRDefault="00835B06">
      <w:pPr>
        <w:widowControl w:val="0"/>
        <w:tabs>
          <w:tab w:val="left" w:pos="567"/>
        </w:tabs>
        <w:rPr>
          <w:szCs w:val="22"/>
          <w:lang w:val="hu-HU" w:eastAsia="en-US"/>
        </w:rPr>
      </w:pPr>
    </w:p>
    <w:p w14:paraId="1F7CA69B" w14:textId="77777777" w:rsidR="00835B06" w:rsidRDefault="004D03F7">
      <w:pPr>
        <w:widowControl w:val="0"/>
        <w:outlineLvl w:val="0"/>
        <w:rPr>
          <w:noProof/>
          <w:szCs w:val="22"/>
          <w:u w:val="single"/>
          <w:lang w:val="hu-HU" w:eastAsia="en-US"/>
        </w:rPr>
      </w:pPr>
      <w:r>
        <w:rPr>
          <w:noProof/>
          <w:szCs w:val="22"/>
          <w:u w:val="single"/>
          <w:lang w:val="hu-HU" w:eastAsia="en-US"/>
        </w:rPr>
        <w:t>Tablettamag:</w:t>
      </w:r>
    </w:p>
    <w:p w14:paraId="0C104108" w14:textId="77777777" w:rsidR="00835B06" w:rsidRDefault="004D03F7">
      <w:pPr>
        <w:widowControl w:val="0"/>
        <w:outlineLvl w:val="0"/>
        <w:rPr>
          <w:noProof/>
          <w:szCs w:val="22"/>
          <w:lang w:val="hu-HU" w:eastAsia="en-US"/>
        </w:rPr>
      </w:pPr>
      <w:r>
        <w:rPr>
          <w:noProof/>
          <w:szCs w:val="22"/>
          <w:lang w:val="hu-HU" w:eastAsia="en-US"/>
        </w:rPr>
        <w:t>mikrokristályos cellulóz (E460)</w:t>
      </w:r>
    </w:p>
    <w:p w14:paraId="669B96A3" w14:textId="77777777" w:rsidR="00835B06" w:rsidRDefault="004D03F7">
      <w:pPr>
        <w:widowControl w:val="0"/>
        <w:outlineLvl w:val="0"/>
        <w:rPr>
          <w:noProof/>
          <w:szCs w:val="22"/>
          <w:lang w:val="hu-HU" w:eastAsia="en-US"/>
        </w:rPr>
      </w:pPr>
      <w:r>
        <w:rPr>
          <w:noProof/>
          <w:szCs w:val="22"/>
          <w:lang w:val="hu-HU" w:eastAsia="en-US"/>
        </w:rPr>
        <w:t>laktóz</w:t>
      </w:r>
    </w:p>
    <w:p w14:paraId="79EED709" w14:textId="77777777" w:rsidR="00835B06" w:rsidRDefault="004D03F7">
      <w:pPr>
        <w:widowControl w:val="0"/>
        <w:outlineLvl w:val="0"/>
        <w:rPr>
          <w:noProof/>
          <w:szCs w:val="22"/>
          <w:lang w:val="hu-HU" w:eastAsia="en-US"/>
        </w:rPr>
      </w:pPr>
      <w:r>
        <w:rPr>
          <w:noProof/>
          <w:szCs w:val="22"/>
          <w:lang w:val="hu-HU" w:eastAsia="en-US"/>
        </w:rPr>
        <w:t>mannit (E421)</w:t>
      </w:r>
    </w:p>
    <w:p w14:paraId="5ABC5CB8" w14:textId="77777777" w:rsidR="00835B06" w:rsidRDefault="004D03F7">
      <w:pPr>
        <w:widowControl w:val="0"/>
        <w:outlineLvl w:val="0"/>
        <w:rPr>
          <w:noProof/>
          <w:szCs w:val="22"/>
          <w:lang w:val="hu-HU" w:eastAsia="en-US"/>
        </w:rPr>
      </w:pPr>
      <w:r>
        <w:rPr>
          <w:noProof/>
          <w:szCs w:val="22"/>
          <w:lang w:val="hu-HU" w:eastAsia="en-US"/>
        </w:rPr>
        <w:t>kroszpovidon (A-típusú)</w:t>
      </w:r>
    </w:p>
    <w:p w14:paraId="073DE0C7" w14:textId="77777777" w:rsidR="00835B06" w:rsidRDefault="004D03F7">
      <w:pPr>
        <w:widowControl w:val="0"/>
        <w:outlineLvl w:val="0"/>
        <w:rPr>
          <w:noProof/>
          <w:szCs w:val="22"/>
          <w:lang w:val="hu-HU" w:eastAsia="en-US"/>
        </w:rPr>
      </w:pPr>
      <w:r>
        <w:rPr>
          <w:noProof/>
          <w:szCs w:val="22"/>
          <w:lang w:val="hu-HU" w:eastAsia="en-US"/>
        </w:rPr>
        <w:t>kroszkarmellóz-nátrium</w:t>
      </w:r>
    </w:p>
    <w:p w14:paraId="6BE4F547" w14:textId="77777777" w:rsidR="00835B06" w:rsidRDefault="004D03F7">
      <w:pPr>
        <w:widowControl w:val="0"/>
        <w:outlineLvl w:val="0"/>
        <w:rPr>
          <w:noProof/>
          <w:szCs w:val="22"/>
          <w:lang w:val="hu-HU" w:eastAsia="en-US"/>
        </w:rPr>
      </w:pPr>
      <w:r>
        <w:rPr>
          <w:noProof/>
          <w:szCs w:val="22"/>
          <w:lang w:val="hu-HU" w:eastAsia="en-US"/>
        </w:rPr>
        <w:t>magnézium-sztearát (E470b)</w:t>
      </w:r>
    </w:p>
    <w:p w14:paraId="49A28D78" w14:textId="77777777" w:rsidR="00835B06" w:rsidRDefault="004D03F7">
      <w:pPr>
        <w:widowControl w:val="0"/>
        <w:outlineLvl w:val="0"/>
        <w:rPr>
          <w:noProof/>
          <w:szCs w:val="22"/>
          <w:lang w:val="hu-HU" w:eastAsia="en-US"/>
        </w:rPr>
      </w:pPr>
      <w:r>
        <w:rPr>
          <w:noProof/>
          <w:szCs w:val="22"/>
          <w:lang w:val="hu-HU" w:eastAsia="en-US"/>
        </w:rPr>
        <w:t>povidon K30</w:t>
      </w:r>
    </w:p>
    <w:p w14:paraId="7C1A04FD" w14:textId="77777777" w:rsidR="00835B06" w:rsidRDefault="004D03F7">
      <w:pPr>
        <w:widowControl w:val="0"/>
        <w:outlineLvl w:val="0"/>
        <w:rPr>
          <w:noProof/>
          <w:szCs w:val="22"/>
          <w:lang w:val="hu-HU" w:eastAsia="en-US"/>
        </w:rPr>
      </w:pPr>
      <w:r>
        <w:rPr>
          <w:noProof/>
          <w:szCs w:val="22"/>
          <w:lang w:val="hu-HU" w:eastAsia="en-US"/>
        </w:rPr>
        <w:t>nátrium-lauril-szulfát (E487)</w:t>
      </w:r>
    </w:p>
    <w:p w14:paraId="0D3E5A4B" w14:textId="77777777" w:rsidR="00835B06" w:rsidRDefault="004D03F7">
      <w:pPr>
        <w:widowControl w:val="0"/>
        <w:outlineLvl w:val="0"/>
        <w:rPr>
          <w:noProof/>
          <w:szCs w:val="22"/>
          <w:lang w:val="hu-HU" w:eastAsia="en-US"/>
        </w:rPr>
      </w:pPr>
      <w:r>
        <w:rPr>
          <w:noProof/>
          <w:szCs w:val="22"/>
          <w:lang w:val="hu-HU" w:eastAsia="en-US"/>
        </w:rPr>
        <w:t>vízmentes kolloid szilícium-dioxid (E551)</w:t>
      </w:r>
    </w:p>
    <w:p w14:paraId="2C1AB6CE" w14:textId="77777777" w:rsidR="00835B06" w:rsidRDefault="00835B06">
      <w:pPr>
        <w:widowControl w:val="0"/>
        <w:outlineLvl w:val="0"/>
        <w:rPr>
          <w:noProof/>
          <w:szCs w:val="22"/>
          <w:lang w:val="hu-HU" w:eastAsia="en-US"/>
        </w:rPr>
      </w:pPr>
    </w:p>
    <w:p w14:paraId="17E3C239" w14:textId="77777777" w:rsidR="00835B06" w:rsidRDefault="004D03F7">
      <w:pPr>
        <w:widowControl w:val="0"/>
        <w:tabs>
          <w:tab w:val="left" w:pos="2925"/>
        </w:tabs>
        <w:outlineLvl w:val="0"/>
        <w:rPr>
          <w:noProof/>
          <w:szCs w:val="22"/>
          <w:u w:val="single"/>
          <w:lang w:val="hu-HU" w:eastAsia="en-US"/>
        </w:rPr>
      </w:pPr>
      <w:r>
        <w:rPr>
          <w:noProof/>
          <w:szCs w:val="22"/>
          <w:u w:val="single"/>
          <w:lang w:val="hu-HU" w:eastAsia="en-US"/>
        </w:rPr>
        <w:t>Filmbevonat:</w:t>
      </w:r>
    </w:p>
    <w:p w14:paraId="179EBFD4" w14:textId="77777777" w:rsidR="00835B06" w:rsidRDefault="004D03F7">
      <w:pPr>
        <w:widowControl w:val="0"/>
        <w:tabs>
          <w:tab w:val="left" w:pos="2925"/>
        </w:tabs>
        <w:outlineLvl w:val="0"/>
        <w:rPr>
          <w:color w:val="000000"/>
          <w:szCs w:val="22"/>
          <w:lang w:val="hu-HU" w:eastAsia="zh-CN"/>
        </w:rPr>
      </w:pPr>
      <w:r>
        <w:rPr>
          <w:color w:val="000000"/>
          <w:szCs w:val="22"/>
          <w:lang w:val="hu-HU" w:eastAsia="zh-CN"/>
        </w:rPr>
        <w:t>laktóz-monohidrát</w:t>
      </w:r>
    </w:p>
    <w:p w14:paraId="4031E78E" w14:textId="77777777" w:rsidR="00835B06" w:rsidRDefault="004D03F7">
      <w:pPr>
        <w:widowControl w:val="0"/>
        <w:tabs>
          <w:tab w:val="left" w:pos="2925"/>
        </w:tabs>
        <w:outlineLvl w:val="0"/>
        <w:rPr>
          <w:color w:val="000000"/>
          <w:szCs w:val="22"/>
          <w:lang w:val="hu-HU" w:eastAsia="zh-CN"/>
        </w:rPr>
      </w:pPr>
      <w:r>
        <w:rPr>
          <w:color w:val="000000"/>
          <w:szCs w:val="22"/>
          <w:lang w:val="hu-HU" w:eastAsia="zh-CN"/>
        </w:rPr>
        <w:t>hipromellóz (E464)</w:t>
      </w:r>
    </w:p>
    <w:p w14:paraId="558D0D9F" w14:textId="77777777" w:rsidR="00835B06" w:rsidRDefault="004D03F7">
      <w:pPr>
        <w:widowControl w:val="0"/>
        <w:tabs>
          <w:tab w:val="left" w:pos="2925"/>
        </w:tabs>
        <w:outlineLvl w:val="0"/>
        <w:rPr>
          <w:color w:val="000000"/>
          <w:szCs w:val="22"/>
          <w:lang w:val="hu-HU" w:eastAsia="zh-CN"/>
        </w:rPr>
      </w:pPr>
      <w:r>
        <w:rPr>
          <w:color w:val="000000"/>
          <w:szCs w:val="22"/>
          <w:lang w:val="hu-HU" w:eastAsia="zh-CN"/>
        </w:rPr>
        <w:t>titán-dioxid (E171)</w:t>
      </w:r>
    </w:p>
    <w:p w14:paraId="1F508134" w14:textId="77777777" w:rsidR="00835B06" w:rsidRDefault="004D03F7">
      <w:pPr>
        <w:widowControl w:val="0"/>
        <w:tabs>
          <w:tab w:val="left" w:pos="2925"/>
        </w:tabs>
        <w:outlineLvl w:val="0"/>
        <w:rPr>
          <w:noProof/>
          <w:szCs w:val="22"/>
          <w:lang w:val="hu-HU" w:eastAsia="en-US"/>
        </w:rPr>
      </w:pPr>
      <w:r>
        <w:rPr>
          <w:noProof/>
          <w:szCs w:val="22"/>
          <w:lang w:val="hu-HU" w:eastAsia="en-US"/>
        </w:rPr>
        <w:t>triacetin</w:t>
      </w:r>
    </w:p>
    <w:p w14:paraId="6E7965B4" w14:textId="64069EA3" w:rsidR="00835B06" w:rsidRDefault="004D03F7">
      <w:pPr>
        <w:widowControl w:val="0"/>
        <w:tabs>
          <w:tab w:val="left" w:pos="2925"/>
        </w:tabs>
        <w:outlineLvl w:val="0"/>
        <w:rPr>
          <w:iCs/>
          <w:noProof/>
          <w:szCs w:val="22"/>
          <w:lang w:val="hu-HU" w:eastAsia="en-US"/>
        </w:rPr>
      </w:pPr>
      <w:r>
        <w:rPr>
          <w:iCs/>
          <w:noProof/>
          <w:szCs w:val="22"/>
          <w:lang w:val="hu-HU" w:eastAsia="en-US"/>
        </w:rPr>
        <w:t xml:space="preserve">sárga vas-oxid </w:t>
      </w:r>
      <w:r>
        <w:rPr>
          <w:szCs w:val="22"/>
          <w:lang w:val="hu-HU" w:eastAsia="en-US"/>
        </w:rPr>
        <w:t>(E172) - csak a 10 mg/10 mg-os, a 15 mg/10 mg-os és a 30 mg/10 mg-os filmtablettában</w:t>
      </w:r>
    </w:p>
    <w:p w14:paraId="423FA4F9" w14:textId="77777777" w:rsidR="00835B06" w:rsidRDefault="004D03F7">
      <w:pPr>
        <w:widowControl w:val="0"/>
        <w:tabs>
          <w:tab w:val="left" w:pos="2925"/>
        </w:tabs>
        <w:outlineLvl w:val="0"/>
        <w:rPr>
          <w:iCs/>
          <w:noProof/>
          <w:szCs w:val="22"/>
          <w:lang w:val="hu-HU" w:eastAsia="en-US"/>
        </w:rPr>
      </w:pPr>
      <w:r>
        <w:rPr>
          <w:iCs/>
          <w:noProof/>
          <w:szCs w:val="22"/>
          <w:lang w:val="hu-HU" w:eastAsia="en-US"/>
        </w:rPr>
        <w:t xml:space="preserve">vörös vas-oxid </w:t>
      </w:r>
      <w:r>
        <w:rPr>
          <w:szCs w:val="22"/>
          <w:lang w:val="hu-HU" w:eastAsia="en-US"/>
        </w:rPr>
        <w:t>(E172) - csak a 15 mg/10 mg-os, a 20 mg/10 mg-os, a 30 mg/10 mg-os és a 40 mg/10 mg-os filmtablettában</w:t>
      </w:r>
    </w:p>
    <w:p w14:paraId="1EA8C498" w14:textId="77777777" w:rsidR="00835B06" w:rsidRDefault="004D03F7">
      <w:pPr>
        <w:widowControl w:val="0"/>
        <w:tabs>
          <w:tab w:val="left" w:pos="2925"/>
        </w:tabs>
        <w:outlineLvl w:val="0"/>
        <w:rPr>
          <w:iCs/>
          <w:noProof/>
          <w:szCs w:val="22"/>
          <w:lang w:val="hu-HU" w:eastAsia="en-US"/>
        </w:rPr>
      </w:pPr>
      <w:r>
        <w:rPr>
          <w:iCs/>
          <w:noProof/>
          <w:szCs w:val="22"/>
          <w:lang w:val="hu-HU" w:eastAsia="en-US"/>
        </w:rPr>
        <w:t xml:space="preserve">fekete vas-oxid </w:t>
      </w:r>
      <w:r>
        <w:rPr>
          <w:szCs w:val="22"/>
          <w:lang w:val="hu-HU" w:eastAsia="en-US"/>
        </w:rPr>
        <w:t>(E172) - csak a 30 mg/10 mg-os és a 40 mg/10 mg-os filmtablettában</w:t>
      </w:r>
    </w:p>
    <w:p w14:paraId="4B8AB06B" w14:textId="77777777" w:rsidR="00835B06" w:rsidRDefault="00835B06">
      <w:pPr>
        <w:widowControl w:val="0"/>
        <w:tabs>
          <w:tab w:val="left" w:pos="567"/>
        </w:tabs>
        <w:rPr>
          <w:b/>
          <w:szCs w:val="22"/>
          <w:lang w:val="hu-HU" w:eastAsia="en-US"/>
        </w:rPr>
      </w:pPr>
    </w:p>
    <w:p w14:paraId="229ED15D" w14:textId="77777777" w:rsidR="00835B06" w:rsidRDefault="004D03F7">
      <w:pPr>
        <w:widowControl w:val="0"/>
        <w:tabs>
          <w:tab w:val="left" w:pos="567"/>
        </w:tabs>
        <w:rPr>
          <w:szCs w:val="22"/>
          <w:lang w:val="hu-HU" w:eastAsia="en-US"/>
        </w:rPr>
      </w:pPr>
      <w:r>
        <w:rPr>
          <w:b/>
          <w:szCs w:val="22"/>
          <w:lang w:val="hu-HU" w:eastAsia="en-US"/>
        </w:rPr>
        <w:t>6.2</w:t>
      </w:r>
      <w:r>
        <w:rPr>
          <w:b/>
          <w:szCs w:val="22"/>
          <w:lang w:val="hu-HU" w:eastAsia="en-US"/>
        </w:rPr>
        <w:tab/>
        <w:t>Inkompatibilitások</w:t>
      </w:r>
    </w:p>
    <w:p w14:paraId="41D2A41E" w14:textId="77777777" w:rsidR="00835B06" w:rsidRDefault="00835B06">
      <w:pPr>
        <w:widowControl w:val="0"/>
        <w:tabs>
          <w:tab w:val="left" w:pos="567"/>
        </w:tabs>
        <w:rPr>
          <w:szCs w:val="22"/>
          <w:lang w:val="hu-HU" w:eastAsia="en-US"/>
        </w:rPr>
      </w:pPr>
    </w:p>
    <w:p w14:paraId="48EEE9BD" w14:textId="77777777" w:rsidR="00835B06" w:rsidRDefault="004D03F7">
      <w:pPr>
        <w:widowControl w:val="0"/>
        <w:tabs>
          <w:tab w:val="left" w:pos="567"/>
        </w:tabs>
        <w:rPr>
          <w:szCs w:val="22"/>
          <w:lang w:val="hu-HU" w:eastAsia="en-US"/>
        </w:rPr>
      </w:pPr>
      <w:r>
        <w:rPr>
          <w:szCs w:val="22"/>
          <w:lang w:val="hu-HU" w:eastAsia="en-US"/>
        </w:rPr>
        <w:t>Nem értelmezhető.</w:t>
      </w:r>
    </w:p>
    <w:p w14:paraId="1089E582" w14:textId="77777777" w:rsidR="00835B06" w:rsidRDefault="00835B06">
      <w:pPr>
        <w:widowControl w:val="0"/>
        <w:tabs>
          <w:tab w:val="left" w:pos="567"/>
        </w:tabs>
        <w:rPr>
          <w:szCs w:val="22"/>
          <w:lang w:val="hu-HU" w:eastAsia="en-US"/>
        </w:rPr>
      </w:pPr>
    </w:p>
    <w:p w14:paraId="15366AA5" w14:textId="77777777" w:rsidR="00835B06" w:rsidRDefault="004D03F7">
      <w:pPr>
        <w:widowControl w:val="0"/>
        <w:tabs>
          <w:tab w:val="left" w:pos="567"/>
        </w:tabs>
        <w:rPr>
          <w:szCs w:val="22"/>
          <w:lang w:val="hu-HU" w:eastAsia="en-US"/>
        </w:rPr>
      </w:pPr>
      <w:r>
        <w:rPr>
          <w:b/>
          <w:szCs w:val="22"/>
          <w:lang w:val="hu-HU" w:eastAsia="en-US"/>
        </w:rPr>
        <w:t>6.3</w:t>
      </w:r>
      <w:r>
        <w:rPr>
          <w:b/>
          <w:szCs w:val="22"/>
          <w:lang w:val="hu-HU" w:eastAsia="en-US"/>
        </w:rPr>
        <w:tab/>
        <w:t>Felhasználhatósági időtartam</w:t>
      </w:r>
    </w:p>
    <w:p w14:paraId="63A5FB2E" w14:textId="77777777" w:rsidR="00835B06" w:rsidRDefault="00835B06">
      <w:pPr>
        <w:widowControl w:val="0"/>
        <w:tabs>
          <w:tab w:val="left" w:pos="567"/>
        </w:tabs>
        <w:rPr>
          <w:szCs w:val="22"/>
          <w:lang w:val="hu-HU" w:eastAsia="en-US"/>
        </w:rPr>
      </w:pPr>
    </w:p>
    <w:p w14:paraId="71A1F93C" w14:textId="77777777" w:rsidR="00835B06" w:rsidRDefault="004D03F7">
      <w:pPr>
        <w:widowControl w:val="0"/>
        <w:tabs>
          <w:tab w:val="left" w:pos="567"/>
        </w:tabs>
        <w:rPr>
          <w:szCs w:val="22"/>
          <w:lang w:val="hu-HU" w:eastAsia="en-US"/>
        </w:rPr>
      </w:pPr>
      <w:r>
        <w:rPr>
          <w:szCs w:val="22"/>
          <w:lang w:val="hu-HU" w:eastAsia="en-US"/>
        </w:rPr>
        <w:t>3 év</w:t>
      </w:r>
    </w:p>
    <w:p w14:paraId="6DE377B8" w14:textId="77777777" w:rsidR="00835B06" w:rsidRDefault="00835B06">
      <w:pPr>
        <w:widowControl w:val="0"/>
        <w:tabs>
          <w:tab w:val="left" w:pos="567"/>
        </w:tabs>
        <w:rPr>
          <w:iCs/>
          <w:szCs w:val="22"/>
          <w:lang w:val="hu-HU" w:eastAsia="en-US"/>
        </w:rPr>
      </w:pPr>
    </w:p>
    <w:p w14:paraId="4A74B0AD" w14:textId="77777777" w:rsidR="00835B06" w:rsidRDefault="004D03F7">
      <w:pPr>
        <w:widowControl w:val="0"/>
        <w:tabs>
          <w:tab w:val="left" w:pos="567"/>
        </w:tabs>
        <w:rPr>
          <w:b/>
          <w:szCs w:val="22"/>
          <w:lang w:val="hu-HU" w:eastAsia="en-US"/>
        </w:rPr>
      </w:pPr>
      <w:r>
        <w:rPr>
          <w:b/>
          <w:szCs w:val="22"/>
          <w:lang w:val="hu-HU" w:eastAsia="en-US"/>
        </w:rPr>
        <w:t>6.4</w:t>
      </w:r>
      <w:r>
        <w:rPr>
          <w:b/>
          <w:szCs w:val="22"/>
          <w:lang w:val="hu-HU" w:eastAsia="en-US"/>
        </w:rPr>
        <w:tab/>
        <w:t>Különleges tárolási előírások</w:t>
      </w:r>
    </w:p>
    <w:p w14:paraId="79AAA6CC" w14:textId="77777777" w:rsidR="00835B06" w:rsidRDefault="00835B06">
      <w:pPr>
        <w:widowControl w:val="0"/>
        <w:tabs>
          <w:tab w:val="left" w:pos="567"/>
        </w:tabs>
        <w:rPr>
          <w:i/>
          <w:iCs/>
          <w:szCs w:val="22"/>
          <w:lang w:val="hu-HU" w:eastAsia="en-US"/>
        </w:rPr>
      </w:pPr>
    </w:p>
    <w:p w14:paraId="22CDEB07" w14:textId="77777777" w:rsidR="00835B06" w:rsidRDefault="004D03F7">
      <w:pPr>
        <w:widowControl w:val="0"/>
        <w:tabs>
          <w:tab w:val="left" w:pos="567"/>
        </w:tabs>
        <w:rPr>
          <w:szCs w:val="22"/>
          <w:lang w:val="hu-HU" w:eastAsia="en-US"/>
        </w:rPr>
      </w:pPr>
      <w:r>
        <w:rPr>
          <w:szCs w:val="22"/>
          <w:lang w:val="hu-HU" w:eastAsia="en-US"/>
        </w:rPr>
        <w:t>A nedvességtől való védelem érdekében az eredeti csomagolásban tárolandó.</w:t>
      </w:r>
    </w:p>
    <w:p w14:paraId="50BE3C64" w14:textId="77777777" w:rsidR="00835B06" w:rsidRDefault="004D03F7">
      <w:pPr>
        <w:widowControl w:val="0"/>
        <w:tabs>
          <w:tab w:val="left" w:pos="567"/>
        </w:tabs>
        <w:rPr>
          <w:szCs w:val="22"/>
          <w:lang w:val="hu-HU" w:eastAsia="en-US"/>
        </w:rPr>
      </w:pPr>
      <w:r>
        <w:rPr>
          <w:szCs w:val="22"/>
          <w:lang w:val="hu-HU" w:eastAsia="en-US"/>
        </w:rPr>
        <w:t>Ez a gyógyszer különleges tárolási hőmérsékletet nem igényel.</w:t>
      </w:r>
    </w:p>
    <w:p w14:paraId="2D1FA1CB" w14:textId="77777777" w:rsidR="00835B06" w:rsidRDefault="00835B06">
      <w:pPr>
        <w:widowControl w:val="0"/>
        <w:tabs>
          <w:tab w:val="left" w:pos="567"/>
        </w:tabs>
        <w:rPr>
          <w:noProof/>
          <w:szCs w:val="22"/>
          <w:lang w:val="hu-HU" w:eastAsia="en-US"/>
        </w:rPr>
      </w:pPr>
    </w:p>
    <w:p w14:paraId="318EBDF1" w14:textId="77777777" w:rsidR="00835B06" w:rsidRDefault="004D03F7">
      <w:pPr>
        <w:widowControl w:val="0"/>
        <w:tabs>
          <w:tab w:val="left" w:pos="567"/>
        </w:tabs>
        <w:rPr>
          <w:b/>
          <w:szCs w:val="22"/>
          <w:lang w:val="hu-HU" w:eastAsia="en-US"/>
        </w:rPr>
      </w:pPr>
      <w:r>
        <w:rPr>
          <w:b/>
          <w:szCs w:val="22"/>
          <w:lang w:val="hu-HU" w:eastAsia="en-US"/>
        </w:rPr>
        <w:t>6.5</w:t>
      </w:r>
      <w:r>
        <w:rPr>
          <w:b/>
          <w:szCs w:val="22"/>
          <w:lang w:val="hu-HU" w:eastAsia="en-US"/>
        </w:rPr>
        <w:tab/>
        <w:t>Csomagolás típusa és kiszerelése</w:t>
      </w:r>
    </w:p>
    <w:p w14:paraId="4C198E2F" w14:textId="77777777" w:rsidR="00835B06" w:rsidRDefault="00835B06">
      <w:pPr>
        <w:widowControl w:val="0"/>
        <w:tabs>
          <w:tab w:val="left" w:pos="567"/>
        </w:tabs>
        <w:rPr>
          <w:szCs w:val="22"/>
          <w:lang w:val="hu-HU" w:eastAsia="en-US"/>
        </w:rPr>
      </w:pPr>
    </w:p>
    <w:p w14:paraId="0B706D6E" w14:textId="4F7732B0" w:rsidR="00835B06" w:rsidRPr="00C63959" w:rsidRDefault="004D03F7">
      <w:pPr>
        <w:rPr>
          <w:iCs/>
          <w:sz w:val="24"/>
          <w:u w:val="single"/>
          <w:lang w:val="hu-HU" w:eastAsia="en-US"/>
        </w:rPr>
      </w:pPr>
      <w:r w:rsidRPr="00C63959">
        <w:rPr>
          <w:iCs/>
          <w:u w:val="single"/>
          <w:lang w:val="hu-HU"/>
        </w:rPr>
        <w:t xml:space="preserve">Roxera Plus </w:t>
      </w:r>
      <w:r w:rsidRPr="002B2396">
        <w:rPr>
          <w:iCs/>
          <w:szCs w:val="22"/>
          <w:u w:val="single"/>
          <w:lang w:val="hu-HU" w:eastAsia="en-US"/>
        </w:rPr>
        <w:t>5 mg/10 mg</w:t>
      </w:r>
      <w:r w:rsidRPr="00C63959">
        <w:rPr>
          <w:iCs/>
          <w:u w:val="single"/>
          <w:lang w:val="hu-HU"/>
        </w:rPr>
        <w:t>,</w:t>
      </w:r>
      <w:r w:rsidRPr="002B2396">
        <w:rPr>
          <w:iCs/>
          <w:szCs w:val="22"/>
          <w:u w:val="single"/>
          <w:lang w:val="hu-HU" w:eastAsia="en-US"/>
        </w:rPr>
        <w:t xml:space="preserve"> 10 mg/10 mg, 15 mg/10 mg, 20 mg/10 mg</w:t>
      </w:r>
      <w:r w:rsidR="00C63959" w:rsidRPr="002B2396">
        <w:rPr>
          <w:iCs/>
          <w:szCs w:val="22"/>
          <w:u w:val="single"/>
          <w:lang w:val="hu-HU" w:eastAsia="en-US"/>
        </w:rPr>
        <w:t xml:space="preserve"> és</w:t>
      </w:r>
      <w:r w:rsidRPr="002B2396">
        <w:rPr>
          <w:iCs/>
          <w:szCs w:val="22"/>
          <w:u w:val="single"/>
          <w:lang w:val="hu-HU" w:eastAsia="en-US"/>
        </w:rPr>
        <w:t xml:space="preserve"> 40 mg/10 mg</w:t>
      </w:r>
      <w:r w:rsidRPr="00C63959">
        <w:rPr>
          <w:iCs/>
          <w:u w:val="single"/>
          <w:lang w:val="hu-HU"/>
        </w:rPr>
        <w:t xml:space="preserve"> filmtabletta</w:t>
      </w:r>
    </w:p>
    <w:p w14:paraId="7322CBF5" w14:textId="23BE199E" w:rsidR="00835B06" w:rsidRDefault="004D03F7">
      <w:pPr>
        <w:widowControl w:val="0"/>
        <w:tabs>
          <w:tab w:val="left" w:pos="567"/>
        </w:tabs>
        <w:rPr>
          <w:szCs w:val="22"/>
          <w:lang w:val="hu-HU" w:eastAsia="en-US"/>
        </w:rPr>
      </w:pPr>
      <w:r>
        <w:rPr>
          <w:szCs w:val="22"/>
          <w:lang w:val="hu-HU" w:eastAsia="en-US"/>
        </w:rPr>
        <w:t>14, 15, 28, 30, 56, 60, 84, 90 vagy 98 filmtabletta OPA/Al/PVC//Al buborékcsomagolásban és dobozban.</w:t>
      </w:r>
    </w:p>
    <w:p w14:paraId="18F75C49" w14:textId="77777777" w:rsidR="00835B06" w:rsidRDefault="00835B06">
      <w:pPr>
        <w:rPr>
          <w:u w:val="single"/>
          <w:lang w:val="hu-HU"/>
        </w:rPr>
      </w:pPr>
    </w:p>
    <w:p w14:paraId="649C0DBF" w14:textId="4EE99318" w:rsidR="00835B06" w:rsidRPr="00C63959" w:rsidRDefault="004D03F7">
      <w:pPr>
        <w:rPr>
          <w:iCs/>
          <w:u w:val="single"/>
          <w:lang w:val="hu-HU"/>
        </w:rPr>
      </w:pPr>
      <w:r w:rsidRPr="00C63959">
        <w:rPr>
          <w:iCs/>
          <w:u w:val="single"/>
          <w:lang w:val="hu-HU"/>
        </w:rPr>
        <w:t>Roxera Plus 30</w:t>
      </w:r>
      <w:r w:rsidRPr="002B2396">
        <w:rPr>
          <w:iCs/>
          <w:szCs w:val="22"/>
          <w:u w:val="single"/>
          <w:lang w:val="hu-HU" w:eastAsia="en-US"/>
        </w:rPr>
        <w:t> </w:t>
      </w:r>
      <w:r w:rsidRPr="00C63959">
        <w:rPr>
          <w:iCs/>
          <w:u w:val="single"/>
          <w:lang w:val="hu-HU"/>
        </w:rPr>
        <w:t>mg/10</w:t>
      </w:r>
      <w:r w:rsidRPr="002B2396">
        <w:rPr>
          <w:iCs/>
          <w:szCs w:val="22"/>
          <w:u w:val="single"/>
          <w:lang w:val="hu-HU" w:eastAsia="en-US"/>
        </w:rPr>
        <w:t> </w:t>
      </w:r>
      <w:r w:rsidRPr="00C63959">
        <w:rPr>
          <w:iCs/>
          <w:u w:val="single"/>
          <w:lang w:val="hu-HU"/>
        </w:rPr>
        <w:t>mg filmtabletta</w:t>
      </w:r>
    </w:p>
    <w:p w14:paraId="51C83F30" w14:textId="77777777" w:rsidR="00835B06" w:rsidRDefault="004D03F7">
      <w:pPr>
        <w:widowControl w:val="0"/>
        <w:tabs>
          <w:tab w:val="left" w:pos="567"/>
        </w:tabs>
        <w:rPr>
          <w:szCs w:val="22"/>
          <w:lang w:val="hu-HU" w:eastAsia="en-US"/>
        </w:rPr>
      </w:pPr>
      <w:r>
        <w:rPr>
          <w:szCs w:val="22"/>
          <w:lang w:val="hu-HU" w:eastAsia="en-US"/>
        </w:rPr>
        <w:t>10, 30, 40, 60, 90 vagy 100 filmtabletta OPA/Al/PVC//Al buborékcsomagolásban és dobozban.</w:t>
      </w:r>
    </w:p>
    <w:p w14:paraId="0A2CF65F" w14:textId="77777777" w:rsidR="00835B06" w:rsidRDefault="00835B06">
      <w:pPr>
        <w:widowControl w:val="0"/>
        <w:tabs>
          <w:tab w:val="left" w:pos="567"/>
        </w:tabs>
        <w:rPr>
          <w:szCs w:val="22"/>
          <w:lang w:val="hu-HU" w:eastAsia="en-US"/>
        </w:rPr>
      </w:pPr>
    </w:p>
    <w:p w14:paraId="79F45D7F" w14:textId="77777777" w:rsidR="00835B06" w:rsidRDefault="004D03F7">
      <w:pPr>
        <w:rPr>
          <w:szCs w:val="22"/>
          <w:lang w:val="hu-HU"/>
        </w:rPr>
      </w:pPr>
      <w:r>
        <w:rPr>
          <w:szCs w:val="22"/>
          <w:lang w:val="hu-HU"/>
        </w:rPr>
        <w:t>Nem feltétlenül mindegyik kiszerelés kerül kereskedelmi forgalomba.</w:t>
      </w:r>
    </w:p>
    <w:p w14:paraId="2EB3B9D0" w14:textId="77777777" w:rsidR="00835B06" w:rsidRPr="002B2396" w:rsidRDefault="00835B06">
      <w:pPr>
        <w:widowControl w:val="0"/>
        <w:tabs>
          <w:tab w:val="left" w:pos="567"/>
        </w:tabs>
        <w:outlineLvl w:val="0"/>
        <w:rPr>
          <w:bCs/>
          <w:szCs w:val="22"/>
          <w:lang w:val="hu-HU" w:eastAsia="en-US"/>
        </w:rPr>
      </w:pPr>
    </w:p>
    <w:p w14:paraId="3FEC30F6" w14:textId="77777777" w:rsidR="00835B06" w:rsidRDefault="004D03F7">
      <w:pPr>
        <w:keepNext/>
        <w:tabs>
          <w:tab w:val="left" w:pos="567"/>
        </w:tabs>
        <w:outlineLvl w:val="0"/>
        <w:rPr>
          <w:szCs w:val="22"/>
          <w:lang w:val="hu-HU" w:eastAsia="en-US"/>
        </w:rPr>
      </w:pPr>
      <w:r>
        <w:rPr>
          <w:b/>
          <w:szCs w:val="22"/>
          <w:lang w:val="hu-HU" w:eastAsia="en-US"/>
        </w:rPr>
        <w:t>6.6</w:t>
      </w:r>
      <w:r>
        <w:rPr>
          <w:b/>
          <w:szCs w:val="22"/>
          <w:lang w:val="hu-HU" w:eastAsia="en-US"/>
        </w:rPr>
        <w:tab/>
        <w:t>A megsemmisítésre vonatkozó különleges óvintézkedések és egyéb, a készítmény kezelésével kapcsolatos információk</w:t>
      </w:r>
    </w:p>
    <w:p w14:paraId="631F2362" w14:textId="77777777" w:rsidR="00835B06" w:rsidRDefault="00835B06">
      <w:pPr>
        <w:keepNext/>
        <w:tabs>
          <w:tab w:val="left" w:pos="567"/>
        </w:tabs>
        <w:rPr>
          <w:szCs w:val="22"/>
          <w:highlight w:val="yellow"/>
          <w:lang w:val="hu-HU" w:eastAsia="en-US"/>
        </w:rPr>
      </w:pPr>
    </w:p>
    <w:p w14:paraId="3C9D5486" w14:textId="77777777" w:rsidR="00835B06" w:rsidRDefault="004D03F7">
      <w:pPr>
        <w:rPr>
          <w:szCs w:val="22"/>
          <w:lang w:val="hu-HU"/>
        </w:rPr>
      </w:pPr>
      <w:r>
        <w:rPr>
          <w:noProof/>
          <w:szCs w:val="22"/>
          <w:lang w:val="hu-HU" w:eastAsia="en-US"/>
        </w:rPr>
        <w:t xml:space="preserve">Bármilyen fel nem használt gyógyszer, illetve hulladékanyag megsemmisítését a gyógyszerekre vonatkozó </w:t>
      </w:r>
      <w:r>
        <w:rPr>
          <w:szCs w:val="22"/>
          <w:lang w:val="hu-HU"/>
        </w:rPr>
        <w:t>előírások szerint kell végrehajtani.</w:t>
      </w:r>
    </w:p>
    <w:p w14:paraId="7AC05E0F" w14:textId="77777777" w:rsidR="00835B06" w:rsidRDefault="00835B06">
      <w:pPr>
        <w:widowControl w:val="0"/>
        <w:tabs>
          <w:tab w:val="left" w:pos="567"/>
        </w:tabs>
        <w:rPr>
          <w:szCs w:val="22"/>
          <w:lang w:val="hu-HU" w:eastAsia="en-US"/>
        </w:rPr>
      </w:pPr>
    </w:p>
    <w:p w14:paraId="40E56D4B" w14:textId="77777777" w:rsidR="00835B06" w:rsidRDefault="004D03F7">
      <w:pPr>
        <w:rPr>
          <w:b/>
          <w:lang w:val="hu-HU" w:eastAsia="hu-HU"/>
        </w:rPr>
      </w:pPr>
      <w:r>
        <w:rPr>
          <w:b/>
          <w:lang w:val="hu-HU"/>
        </w:rPr>
        <w:t xml:space="preserve">Megjegyzés: </w:t>
      </w:r>
      <w:r>
        <w:rPr>
          <w:b/>
          <w:lang w:val="hu-HU"/>
        </w:rPr>
        <w:sym w:font="Wingdings" w:char="F058"/>
      </w:r>
      <w:r>
        <w:rPr>
          <w:b/>
          <w:lang w:val="hu-HU"/>
        </w:rPr>
        <w:t xml:space="preserve"> </w:t>
      </w:r>
      <w:r>
        <w:rPr>
          <w:lang w:val="hu-HU"/>
        </w:rPr>
        <w:t>(egy keresztes)</w:t>
      </w:r>
    </w:p>
    <w:p w14:paraId="3C9EBC39" w14:textId="77777777" w:rsidR="00835B06" w:rsidRDefault="004D03F7">
      <w:pPr>
        <w:rPr>
          <w:b/>
          <w:lang w:val="hu-HU"/>
        </w:rPr>
      </w:pPr>
      <w:r>
        <w:rPr>
          <w:lang w:val="hu-HU"/>
        </w:rPr>
        <w:t>Osztályozás:</w:t>
      </w:r>
      <w:r>
        <w:rPr>
          <w:b/>
          <w:lang w:val="hu-HU"/>
        </w:rPr>
        <w:t xml:space="preserve"> II. csoport</w:t>
      </w:r>
    </w:p>
    <w:p w14:paraId="30A7B8B7" w14:textId="77777777" w:rsidR="00835B06" w:rsidRDefault="004D03F7">
      <w:pPr>
        <w:pStyle w:val="Normal2"/>
        <w:rPr>
          <w:sz w:val="22"/>
          <w:szCs w:val="22"/>
          <w:lang w:val="hu-HU"/>
        </w:rPr>
      </w:pPr>
      <w:r>
        <w:rPr>
          <w:sz w:val="22"/>
          <w:szCs w:val="22"/>
          <w:lang w:val="hu-HU"/>
        </w:rPr>
        <w:t>Kizárólag orvosi rendelvényhez kötött gyógyszer (V).</w:t>
      </w:r>
    </w:p>
    <w:p w14:paraId="2D660E70" w14:textId="77777777" w:rsidR="00835B06" w:rsidRDefault="00835B06">
      <w:pPr>
        <w:pStyle w:val="Normal2"/>
        <w:rPr>
          <w:sz w:val="22"/>
          <w:szCs w:val="22"/>
          <w:lang w:val="hu-HU"/>
        </w:rPr>
      </w:pPr>
    </w:p>
    <w:p w14:paraId="3F449CE1" w14:textId="77777777" w:rsidR="00835B06" w:rsidRDefault="00835B06">
      <w:pPr>
        <w:widowControl w:val="0"/>
        <w:tabs>
          <w:tab w:val="left" w:pos="567"/>
        </w:tabs>
        <w:rPr>
          <w:szCs w:val="22"/>
          <w:lang w:val="hu-HU" w:eastAsia="en-US"/>
        </w:rPr>
      </w:pPr>
    </w:p>
    <w:p w14:paraId="46433470" w14:textId="77777777" w:rsidR="00835B06" w:rsidRDefault="004D03F7">
      <w:pPr>
        <w:widowControl w:val="0"/>
        <w:tabs>
          <w:tab w:val="left" w:pos="567"/>
        </w:tabs>
        <w:rPr>
          <w:szCs w:val="22"/>
          <w:lang w:val="hu-HU" w:eastAsia="en-US"/>
        </w:rPr>
      </w:pPr>
      <w:r>
        <w:rPr>
          <w:b/>
          <w:szCs w:val="22"/>
          <w:lang w:val="hu-HU" w:eastAsia="en-US"/>
        </w:rPr>
        <w:t>7.</w:t>
      </w:r>
      <w:r>
        <w:rPr>
          <w:b/>
          <w:szCs w:val="22"/>
          <w:lang w:val="hu-HU" w:eastAsia="en-US"/>
        </w:rPr>
        <w:tab/>
        <w:t>A FORGALOMBA HOZATALI ENGEDÉLY JOGOSULTJA</w:t>
      </w:r>
    </w:p>
    <w:p w14:paraId="1B3F7838" w14:textId="77777777" w:rsidR="00835B06" w:rsidRDefault="00835B06">
      <w:pPr>
        <w:widowControl w:val="0"/>
        <w:tabs>
          <w:tab w:val="left" w:pos="567"/>
        </w:tabs>
        <w:rPr>
          <w:szCs w:val="22"/>
          <w:lang w:val="hu-HU" w:eastAsia="en-US"/>
        </w:rPr>
      </w:pPr>
    </w:p>
    <w:p w14:paraId="6CF3B36A" w14:textId="77777777" w:rsidR="00835B06" w:rsidRDefault="004D03F7">
      <w:pPr>
        <w:widowControl w:val="0"/>
        <w:tabs>
          <w:tab w:val="left" w:pos="567"/>
        </w:tabs>
        <w:rPr>
          <w:bCs/>
          <w:noProof/>
          <w:szCs w:val="22"/>
          <w:lang w:val="hu-HU" w:eastAsia="en-US"/>
        </w:rPr>
      </w:pPr>
      <w:r>
        <w:rPr>
          <w:bCs/>
          <w:noProof/>
          <w:szCs w:val="22"/>
          <w:lang w:val="hu-HU" w:eastAsia="en-US"/>
        </w:rPr>
        <w:t xml:space="preserve">KRKA, d.d., Novo mesto, </w:t>
      </w:r>
    </w:p>
    <w:p w14:paraId="5C36D6C0" w14:textId="77777777" w:rsidR="00835B06" w:rsidRDefault="004D03F7">
      <w:pPr>
        <w:widowControl w:val="0"/>
        <w:tabs>
          <w:tab w:val="left" w:pos="567"/>
        </w:tabs>
        <w:rPr>
          <w:bCs/>
          <w:noProof/>
          <w:szCs w:val="22"/>
          <w:lang w:val="hu-HU" w:eastAsia="en-US"/>
        </w:rPr>
      </w:pPr>
      <w:r>
        <w:rPr>
          <w:bCs/>
          <w:noProof/>
          <w:szCs w:val="22"/>
          <w:lang w:val="hu-HU" w:eastAsia="en-US"/>
        </w:rPr>
        <w:t xml:space="preserve">Šmarješka cesta 6, </w:t>
      </w:r>
    </w:p>
    <w:p w14:paraId="3ED97DA9" w14:textId="77777777" w:rsidR="00835B06" w:rsidRDefault="004D03F7">
      <w:pPr>
        <w:widowControl w:val="0"/>
        <w:tabs>
          <w:tab w:val="left" w:pos="567"/>
        </w:tabs>
        <w:rPr>
          <w:bCs/>
          <w:noProof/>
          <w:szCs w:val="22"/>
          <w:lang w:val="hu-HU" w:eastAsia="en-US"/>
        </w:rPr>
      </w:pPr>
      <w:r>
        <w:rPr>
          <w:bCs/>
          <w:noProof/>
          <w:szCs w:val="22"/>
          <w:lang w:val="hu-HU" w:eastAsia="en-US"/>
        </w:rPr>
        <w:t xml:space="preserve">8501 Novo mesto, </w:t>
      </w:r>
    </w:p>
    <w:p w14:paraId="38B6842D" w14:textId="77777777" w:rsidR="00835B06" w:rsidRDefault="004D03F7">
      <w:pPr>
        <w:widowControl w:val="0"/>
        <w:tabs>
          <w:tab w:val="left" w:pos="567"/>
        </w:tabs>
        <w:rPr>
          <w:bCs/>
          <w:noProof/>
          <w:szCs w:val="22"/>
          <w:lang w:val="hu-HU" w:eastAsia="en-US"/>
        </w:rPr>
      </w:pPr>
      <w:r>
        <w:rPr>
          <w:bCs/>
          <w:noProof/>
          <w:szCs w:val="22"/>
          <w:lang w:val="hu-HU" w:eastAsia="en-US"/>
        </w:rPr>
        <w:t>Szlovénia</w:t>
      </w:r>
    </w:p>
    <w:p w14:paraId="4CF98CA3" w14:textId="77777777" w:rsidR="00835B06" w:rsidRDefault="00835B06">
      <w:pPr>
        <w:widowControl w:val="0"/>
        <w:tabs>
          <w:tab w:val="left" w:pos="567"/>
        </w:tabs>
        <w:rPr>
          <w:szCs w:val="22"/>
          <w:lang w:val="hu-HU" w:eastAsia="en-US"/>
        </w:rPr>
      </w:pPr>
    </w:p>
    <w:p w14:paraId="1C951E56" w14:textId="77777777" w:rsidR="00835B06" w:rsidRDefault="00835B06">
      <w:pPr>
        <w:widowControl w:val="0"/>
        <w:tabs>
          <w:tab w:val="left" w:pos="567"/>
        </w:tabs>
        <w:rPr>
          <w:szCs w:val="22"/>
          <w:lang w:val="hu-HU" w:eastAsia="en-US"/>
        </w:rPr>
      </w:pPr>
    </w:p>
    <w:p w14:paraId="1FB989E8" w14:textId="77777777" w:rsidR="00835B06" w:rsidRDefault="004D03F7">
      <w:pPr>
        <w:widowControl w:val="0"/>
        <w:tabs>
          <w:tab w:val="left" w:pos="567"/>
        </w:tabs>
        <w:rPr>
          <w:b/>
          <w:szCs w:val="22"/>
          <w:lang w:val="hu-HU" w:eastAsia="en-US"/>
        </w:rPr>
      </w:pPr>
      <w:r>
        <w:rPr>
          <w:b/>
          <w:szCs w:val="22"/>
          <w:lang w:val="hu-HU" w:eastAsia="en-US"/>
        </w:rPr>
        <w:t>8.</w:t>
      </w:r>
      <w:r>
        <w:rPr>
          <w:b/>
          <w:szCs w:val="22"/>
          <w:lang w:val="hu-HU" w:eastAsia="en-US"/>
        </w:rPr>
        <w:tab/>
        <w:t>A FORGALOMBA HOZATALI ENGEDÉLY SZÁMA(I)</w:t>
      </w:r>
    </w:p>
    <w:p w14:paraId="2BEC59C1" w14:textId="77777777" w:rsidR="00835B06" w:rsidRDefault="00835B06">
      <w:pPr>
        <w:widowControl w:val="0"/>
        <w:tabs>
          <w:tab w:val="left" w:pos="567"/>
        </w:tabs>
        <w:rPr>
          <w:i/>
          <w:szCs w:val="22"/>
          <w:lang w:val="hu-HU" w:eastAsia="en-US"/>
        </w:rPr>
      </w:pPr>
    </w:p>
    <w:p w14:paraId="253C1E1A" w14:textId="77777777" w:rsidR="00835B06" w:rsidRDefault="004D03F7">
      <w:pPr>
        <w:rPr>
          <w:sz w:val="24"/>
          <w:u w:val="single"/>
          <w:lang w:val="hu-HU" w:eastAsia="en-US"/>
        </w:rPr>
      </w:pPr>
      <w:r>
        <w:rPr>
          <w:u w:val="single"/>
          <w:lang w:val="hu-HU"/>
        </w:rPr>
        <w:t>Roxera Plus 5 mg/10 mg filmtabletta</w:t>
      </w:r>
    </w:p>
    <w:p w14:paraId="0E5B8EE2" w14:textId="09343973" w:rsidR="00835B06" w:rsidRDefault="000F6BB5">
      <w:pPr>
        <w:rPr>
          <w:lang w:val="hu-HU"/>
        </w:rPr>
      </w:pPr>
      <w:r>
        <w:rPr>
          <w:lang w:val="hu-HU"/>
        </w:rPr>
        <w:t>OGYI-T-23542/01</w:t>
      </w:r>
      <w:r w:rsidR="00FE12AB">
        <w:rPr>
          <w:lang w:val="hu-HU"/>
        </w:rPr>
        <w:tab/>
      </w:r>
      <w:r>
        <w:rPr>
          <w:lang w:val="hu-HU"/>
        </w:rPr>
        <w:tab/>
      </w:r>
      <w:r w:rsidR="004D03F7">
        <w:rPr>
          <w:lang w:val="hu-HU"/>
        </w:rPr>
        <w:t>14×</w:t>
      </w:r>
      <w:r>
        <w:rPr>
          <w:lang w:val="hu-HU"/>
        </w:rPr>
        <w:tab/>
      </w:r>
      <w:r w:rsidRPr="000F6BB5">
        <w:rPr>
          <w:lang w:val="hu-HU"/>
        </w:rPr>
        <w:t>OPA/Al/PVC//Al buborékcsomagolásban</w:t>
      </w:r>
    </w:p>
    <w:p w14:paraId="698539DC" w14:textId="2DC55F2C" w:rsidR="00835B06" w:rsidRDefault="004D03F7">
      <w:pPr>
        <w:rPr>
          <w:lang w:val="hu-HU"/>
        </w:rPr>
      </w:pPr>
      <w:r>
        <w:rPr>
          <w:lang w:val="hu-HU"/>
        </w:rPr>
        <w:t>OGYI-T-23542/02</w:t>
      </w:r>
      <w:r w:rsidR="00E66860">
        <w:rPr>
          <w:lang w:val="hu-HU"/>
        </w:rPr>
        <w:tab/>
      </w:r>
      <w:r w:rsidR="00E66860">
        <w:rPr>
          <w:lang w:val="hu-HU"/>
        </w:rPr>
        <w:tab/>
      </w:r>
      <w:r>
        <w:rPr>
          <w:lang w:val="hu-HU"/>
        </w:rPr>
        <w:t>15×</w:t>
      </w:r>
      <w:r w:rsidR="000F6BB5" w:rsidRPr="000F6BB5">
        <w:rPr>
          <w:lang w:val="hu-HU"/>
        </w:rPr>
        <w:tab/>
        <w:t>OPA/Al/PVC//Al buborékcsomagolásban</w:t>
      </w:r>
    </w:p>
    <w:p w14:paraId="37098AE2" w14:textId="01324672" w:rsidR="00835B06" w:rsidRDefault="004D03F7">
      <w:pPr>
        <w:rPr>
          <w:lang w:val="hu-HU"/>
        </w:rPr>
      </w:pPr>
      <w:r>
        <w:rPr>
          <w:lang w:val="hu-HU"/>
        </w:rPr>
        <w:t>OGYI-T-23542/03</w:t>
      </w:r>
      <w:r w:rsidR="00E66860">
        <w:rPr>
          <w:lang w:val="hu-HU"/>
        </w:rPr>
        <w:tab/>
      </w:r>
      <w:r w:rsidR="00E66860">
        <w:rPr>
          <w:lang w:val="hu-HU"/>
        </w:rPr>
        <w:tab/>
      </w:r>
      <w:r>
        <w:rPr>
          <w:lang w:val="hu-HU"/>
        </w:rPr>
        <w:t>28×</w:t>
      </w:r>
      <w:r w:rsidR="000F6BB5" w:rsidRPr="000F6BB5">
        <w:rPr>
          <w:lang w:val="hu-HU"/>
        </w:rPr>
        <w:tab/>
        <w:t>OPA/Al/PVC//Al buborékcsomagolásban</w:t>
      </w:r>
    </w:p>
    <w:p w14:paraId="0421D167" w14:textId="5F8E544C" w:rsidR="00835B06" w:rsidRDefault="004D03F7">
      <w:pPr>
        <w:rPr>
          <w:lang w:val="hu-HU"/>
        </w:rPr>
      </w:pPr>
      <w:r>
        <w:rPr>
          <w:lang w:val="hu-HU"/>
        </w:rPr>
        <w:t>OGYI-T-23542/04</w:t>
      </w:r>
      <w:r w:rsidR="00E66860">
        <w:rPr>
          <w:lang w:val="hu-HU"/>
        </w:rPr>
        <w:tab/>
      </w:r>
      <w:r w:rsidR="00E66860">
        <w:rPr>
          <w:lang w:val="hu-HU"/>
        </w:rPr>
        <w:tab/>
      </w:r>
      <w:r>
        <w:rPr>
          <w:lang w:val="hu-HU"/>
        </w:rPr>
        <w:t>30×</w:t>
      </w:r>
      <w:r w:rsidR="000F6BB5" w:rsidRPr="000F6BB5">
        <w:rPr>
          <w:lang w:val="hu-HU"/>
        </w:rPr>
        <w:tab/>
        <w:t>OPA/Al/PVC//Al buborékcsomagolásban</w:t>
      </w:r>
    </w:p>
    <w:p w14:paraId="206B12F8" w14:textId="77316145" w:rsidR="00835B06" w:rsidRDefault="004D03F7">
      <w:pPr>
        <w:rPr>
          <w:lang w:val="hu-HU"/>
        </w:rPr>
      </w:pPr>
      <w:r>
        <w:rPr>
          <w:lang w:val="hu-HU"/>
        </w:rPr>
        <w:t>OGYI-T-23542/05</w:t>
      </w:r>
      <w:r w:rsidR="00E66860">
        <w:rPr>
          <w:lang w:val="hu-HU"/>
        </w:rPr>
        <w:tab/>
      </w:r>
      <w:r w:rsidR="00E66860">
        <w:rPr>
          <w:lang w:val="hu-HU"/>
        </w:rPr>
        <w:tab/>
      </w:r>
      <w:r>
        <w:rPr>
          <w:lang w:val="hu-HU"/>
        </w:rPr>
        <w:t>56×</w:t>
      </w:r>
      <w:r w:rsidR="000F6BB5" w:rsidRPr="000F6BB5">
        <w:rPr>
          <w:lang w:val="hu-HU"/>
        </w:rPr>
        <w:tab/>
        <w:t>OPA/Al/PVC//Al buborékcsomagolásban</w:t>
      </w:r>
    </w:p>
    <w:p w14:paraId="46C37090" w14:textId="7F3DA8CE" w:rsidR="00835B06" w:rsidRDefault="00E66860">
      <w:pPr>
        <w:rPr>
          <w:lang w:val="hu-HU"/>
        </w:rPr>
      </w:pPr>
      <w:r>
        <w:rPr>
          <w:lang w:val="hu-HU"/>
        </w:rPr>
        <w:t>OGYI-T-23542/06</w:t>
      </w:r>
      <w:r>
        <w:rPr>
          <w:lang w:val="hu-HU"/>
        </w:rPr>
        <w:tab/>
      </w:r>
      <w:r>
        <w:rPr>
          <w:lang w:val="hu-HU"/>
        </w:rPr>
        <w:tab/>
      </w:r>
      <w:r w:rsidR="004D03F7">
        <w:rPr>
          <w:lang w:val="hu-HU"/>
        </w:rPr>
        <w:t>60×</w:t>
      </w:r>
      <w:r w:rsidR="000F6BB5" w:rsidRPr="000F6BB5">
        <w:rPr>
          <w:lang w:val="hu-HU"/>
        </w:rPr>
        <w:tab/>
        <w:t>OPA/Al/PVC//Al buborékcsomagolásban</w:t>
      </w:r>
    </w:p>
    <w:p w14:paraId="52C20E31" w14:textId="464D920B" w:rsidR="00835B06" w:rsidRDefault="004D03F7">
      <w:pPr>
        <w:rPr>
          <w:lang w:val="hu-HU"/>
        </w:rPr>
      </w:pPr>
      <w:r>
        <w:rPr>
          <w:lang w:val="hu-HU"/>
        </w:rPr>
        <w:t>OGYI-T-23542/07</w:t>
      </w:r>
      <w:r w:rsidR="00E66860">
        <w:rPr>
          <w:lang w:val="hu-HU"/>
        </w:rPr>
        <w:tab/>
      </w:r>
      <w:r w:rsidR="00E66860">
        <w:rPr>
          <w:lang w:val="hu-HU"/>
        </w:rPr>
        <w:tab/>
      </w:r>
      <w:r>
        <w:rPr>
          <w:lang w:val="hu-HU"/>
        </w:rPr>
        <w:t>84×</w:t>
      </w:r>
      <w:r w:rsidR="000F6BB5" w:rsidRPr="000F6BB5">
        <w:rPr>
          <w:lang w:val="hu-HU"/>
        </w:rPr>
        <w:tab/>
        <w:t>OPA/Al/PVC//Al buborékcsomagolásban</w:t>
      </w:r>
    </w:p>
    <w:p w14:paraId="79A74B62" w14:textId="439F650F" w:rsidR="00835B06" w:rsidRDefault="004D03F7">
      <w:pPr>
        <w:rPr>
          <w:lang w:val="hu-HU"/>
        </w:rPr>
      </w:pPr>
      <w:r>
        <w:rPr>
          <w:lang w:val="hu-HU"/>
        </w:rPr>
        <w:t>OGYI-T-23542/08</w:t>
      </w:r>
      <w:r w:rsidR="00E66860">
        <w:rPr>
          <w:lang w:val="hu-HU"/>
        </w:rPr>
        <w:tab/>
      </w:r>
      <w:r w:rsidR="00E66860">
        <w:rPr>
          <w:lang w:val="hu-HU"/>
        </w:rPr>
        <w:tab/>
      </w:r>
      <w:r>
        <w:rPr>
          <w:lang w:val="hu-HU"/>
        </w:rPr>
        <w:t>90×</w:t>
      </w:r>
      <w:r w:rsidR="000F6BB5" w:rsidRPr="000F6BB5">
        <w:rPr>
          <w:lang w:val="hu-HU"/>
        </w:rPr>
        <w:tab/>
        <w:t>OPA/Al/PVC//Al buborékcsomagolásban</w:t>
      </w:r>
    </w:p>
    <w:p w14:paraId="2203E9C9" w14:textId="0F89BC52" w:rsidR="00835B06" w:rsidRDefault="004D03F7">
      <w:pPr>
        <w:rPr>
          <w:lang w:val="hu-HU"/>
        </w:rPr>
      </w:pPr>
      <w:r>
        <w:rPr>
          <w:lang w:val="hu-HU"/>
        </w:rPr>
        <w:t>OGYI-T-23542/09</w:t>
      </w:r>
      <w:r w:rsidR="00E66860">
        <w:rPr>
          <w:lang w:val="hu-HU"/>
        </w:rPr>
        <w:tab/>
      </w:r>
      <w:r w:rsidR="00E66860">
        <w:rPr>
          <w:lang w:val="hu-HU"/>
        </w:rPr>
        <w:tab/>
      </w:r>
      <w:r>
        <w:rPr>
          <w:lang w:val="hu-HU"/>
        </w:rPr>
        <w:t>98×</w:t>
      </w:r>
      <w:r w:rsidR="000F6BB5" w:rsidRPr="000F6BB5">
        <w:rPr>
          <w:lang w:val="hu-HU"/>
        </w:rPr>
        <w:tab/>
        <w:t>OPA/Al/PVC//Al buborékcsomagolásban</w:t>
      </w:r>
    </w:p>
    <w:p w14:paraId="0B2C8F2D" w14:textId="77777777" w:rsidR="00835B06" w:rsidRDefault="00835B06">
      <w:pPr>
        <w:rPr>
          <w:lang w:val="hu-HU"/>
        </w:rPr>
      </w:pPr>
    </w:p>
    <w:p w14:paraId="477D6BF1" w14:textId="77777777" w:rsidR="00835B06" w:rsidRDefault="004D03F7">
      <w:pPr>
        <w:rPr>
          <w:u w:val="single"/>
          <w:lang w:val="hu-HU"/>
        </w:rPr>
      </w:pPr>
      <w:r>
        <w:rPr>
          <w:u w:val="single"/>
          <w:lang w:val="hu-HU"/>
        </w:rPr>
        <w:t>Roxera Plus 10 mg/10 mg filmtabletta</w:t>
      </w:r>
    </w:p>
    <w:p w14:paraId="31A2D80A" w14:textId="19AE81A6" w:rsidR="00835B06" w:rsidRDefault="004D03F7">
      <w:pPr>
        <w:rPr>
          <w:lang w:val="hu-HU"/>
        </w:rPr>
      </w:pPr>
      <w:r>
        <w:rPr>
          <w:lang w:val="hu-HU"/>
        </w:rPr>
        <w:t>OGYI-T-23542/10</w:t>
      </w:r>
      <w:r w:rsidR="000F6BB5">
        <w:rPr>
          <w:lang w:val="hu-HU"/>
        </w:rPr>
        <w:tab/>
      </w:r>
      <w:r w:rsidR="000F6BB5">
        <w:rPr>
          <w:lang w:val="hu-HU"/>
        </w:rPr>
        <w:tab/>
      </w:r>
      <w:r>
        <w:rPr>
          <w:lang w:val="hu-HU"/>
        </w:rPr>
        <w:t>14×</w:t>
      </w:r>
      <w:r w:rsidR="000F6BB5" w:rsidRPr="000F6BB5">
        <w:rPr>
          <w:lang w:val="hu-HU"/>
        </w:rPr>
        <w:tab/>
        <w:t>OPA/Al/PVC//Al buborékcsomagolásban</w:t>
      </w:r>
    </w:p>
    <w:p w14:paraId="4F46C927" w14:textId="70165200" w:rsidR="00835B06" w:rsidRDefault="004D03F7">
      <w:pPr>
        <w:rPr>
          <w:lang w:val="hu-HU"/>
        </w:rPr>
      </w:pPr>
      <w:r>
        <w:rPr>
          <w:lang w:val="hu-HU"/>
        </w:rPr>
        <w:t>OGYI-T-23542/11</w:t>
      </w:r>
      <w:r w:rsidR="00E66860">
        <w:rPr>
          <w:lang w:val="hu-HU"/>
        </w:rPr>
        <w:tab/>
      </w:r>
      <w:r w:rsidR="00E66860">
        <w:rPr>
          <w:lang w:val="hu-HU"/>
        </w:rPr>
        <w:tab/>
      </w:r>
      <w:r>
        <w:rPr>
          <w:lang w:val="hu-HU"/>
        </w:rPr>
        <w:t>15×</w:t>
      </w:r>
      <w:r w:rsidR="000F6BB5" w:rsidRPr="000F6BB5">
        <w:rPr>
          <w:lang w:val="hu-HU"/>
        </w:rPr>
        <w:tab/>
        <w:t>OPA/Al/PVC//Al buborékcsomagolásban</w:t>
      </w:r>
    </w:p>
    <w:p w14:paraId="699FCEFB" w14:textId="78917BDC" w:rsidR="00835B06" w:rsidRDefault="004D03F7">
      <w:pPr>
        <w:rPr>
          <w:lang w:val="hu-HU"/>
        </w:rPr>
      </w:pPr>
      <w:r>
        <w:rPr>
          <w:lang w:val="hu-HU"/>
        </w:rPr>
        <w:t>OGYI-T-23542/12</w:t>
      </w:r>
      <w:r w:rsidR="00E66860">
        <w:rPr>
          <w:lang w:val="hu-HU"/>
        </w:rPr>
        <w:tab/>
      </w:r>
      <w:r w:rsidR="00E66860">
        <w:rPr>
          <w:lang w:val="hu-HU"/>
        </w:rPr>
        <w:tab/>
      </w:r>
      <w:r>
        <w:rPr>
          <w:lang w:val="hu-HU"/>
        </w:rPr>
        <w:t>28×</w:t>
      </w:r>
      <w:r w:rsidR="000F6BB5" w:rsidRPr="000F6BB5">
        <w:rPr>
          <w:lang w:val="hu-HU"/>
        </w:rPr>
        <w:tab/>
        <w:t>OPA/Al/PVC//Al buborékcsomagolásban</w:t>
      </w:r>
    </w:p>
    <w:p w14:paraId="32D47004" w14:textId="3CD0E5FF" w:rsidR="00835B06" w:rsidRDefault="004D03F7">
      <w:pPr>
        <w:rPr>
          <w:lang w:val="hu-HU"/>
        </w:rPr>
      </w:pPr>
      <w:r>
        <w:rPr>
          <w:lang w:val="hu-HU"/>
        </w:rPr>
        <w:t>OGYI-T-23542/13</w:t>
      </w:r>
      <w:r w:rsidR="00E66860">
        <w:rPr>
          <w:lang w:val="hu-HU"/>
        </w:rPr>
        <w:tab/>
      </w:r>
      <w:r w:rsidR="00E66860">
        <w:rPr>
          <w:lang w:val="hu-HU"/>
        </w:rPr>
        <w:tab/>
      </w:r>
      <w:r>
        <w:rPr>
          <w:lang w:val="hu-HU"/>
        </w:rPr>
        <w:t>30×</w:t>
      </w:r>
      <w:r w:rsidR="000F6BB5" w:rsidRPr="000F6BB5">
        <w:rPr>
          <w:lang w:val="hu-HU"/>
        </w:rPr>
        <w:tab/>
        <w:t>OPA/Al/PVC//Al buborékcsomagolásban</w:t>
      </w:r>
    </w:p>
    <w:p w14:paraId="1ADA1475" w14:textId="70DC78D1" w:rsidR="00835B06" w:rsidRDefault="004D03F7">
      <w:pPr>
        <w:rPr>
          <w:lang w:val="hu-HU"/>
        </w:rPr>
      </w:pPr>
      <w:r>
        <w:rPr>
          <w:lang w:val="hu-HU"/>
        </w:rPr>
        <w:t>OGYI-T-23542/14</w:t>
      </w:r>
      <w:r w:rsidR="00E66860">
        <w:rPr>
          <w:lang w:val="hu-HU"/>
        </w:rPr>
        <w:tab/>
      </w:r>
      <w:r w:rsidR="00E66860">
        <w:rPr>
          <w:lang w:val="hu-HU"/>
        </w:rPr>
        <w:tab/>
      </w:r>
      <w:r>
        <w:rPr>
          <w:lang w:val="hu-HU"/>
        </w:rPr>
        <w:t>56×</w:t>
      </w:r>
      <w:r w:rsidR="000F6BB5" w:rsidRPr="000F6BB5">
        <w:rPr>
          <w:lang w:val="hu-HU"/>
        </w:rPr>
        <w:tab/>
        <w:t>OPA/Al/PVC//Al buborékcsomagolásban</w:t>
      </w:r>
    </w:p>
    <w:p w14:paraId="3B4F9F86" w14:textId="0CA4ECA6" w:rsidR="00835B06" w:rsidRDefault="004D03F7">
      <w:pPr>
        <w:rPr>
          <w:lang w:val="hu-HU"/>
        </w:rPr>
      </w:pPr>
      <w:r>
        <w:rPr>
          <w:lang w:val="hu-HU"/>
        </w:rPr>
        <w:t>OGYI-T-23542/15</w:t>
      </w:r>
      <w:r w:rsidR="00E66860">
        <w:rPr>
          <w:lang w:val="hu-HU"/>
        </w:rPr>
        <w:tab/>
      </w:r>
      <w:r w:rsidR="00E66860">
        <w:rPr>
          <w:lang w:val="hu-HU"/>
        </w:rPr>
        <w:tab/>
      </w:r>
      <w:r>
        <w:rPr>
          <w:lang w:val="hu-HU"/>
        </w:rPr>
        <w:t>60×</w:t>
      </w:r>
      <w:r w:rsidR="000F6BB5" w:rsidRPr="000F6BB5">
        <w:rPr>
          <w:lang w:val="hu-HU"/>
        </w:rPr>
        <w:tab/>
        <w:t>OPA/Al/PVC//Al buborékcsomagolásban</w:t>
      </w:r>
    </w:p>
    <w:p w14:paraId="78A7BB68" w14:textId="1BFC9867" w:rsidR="00835B06" w:rsidRDefault="00E66860">
      <w:pPr>
        <w:rPr>
          <w:lang w:val="hu-HU"/>
        </w:rPr>
      </w:pPr>
      <w:r>
        <w:rPr>
          <w:lang w:val="hu-HU"/>
        </w:rPr>
        <w:t>OGYI-T-23542/16</w:t>
      </w:r>
      <w:r>
        <w:rPr>
          <w:lang w:val="hu-HU"/>
        </w:rPr>
        <w:tab/>
      </w:r>
      <w:r>
        <w:rPr>
          <w:lang w:val="hu-HU"/>
        </w:rPr>
        <w:tab/>
      </w:r>
      <w:r w:rsidR="004D03F7">
        <w:rPr>
          <w:lang w:val="hu-HU"/>
        </w:rPr>
        <w:t>84×</w:t>
      </w:r>
      <w:r w:rsidR="000F6BB5" w:rsidRPr="000F6BB5">
        <w:rPr>
          <w:lang w:val="hu-HU"/>
        </w:rPr>
        <w:tab/>
        <w:t>OPA/Al/PVC//Al buborékcsomagolásban</w:t>
      </w:r>
    </w:p>
    <w:p w14:paraId="55CD7BEB" w14:textId="6ABE8DCE" w:rsidR="00835B06" w:rsidRDefault="004D03F7">
      <w:pPr>
        <w:rPr>
          <w:lang w:val="hu-HU"/>
        </w:rPr>
      </w:pPr>
      <w:r>
        <w:rPr>
          <w:lang w:val="hu-HU"/>
        </w:rPr>
        <w:t>OGYI-T-23542/17</w:t>
      </w:r>
      <w:r w:rsidR="00E66860">
        <w:rPr>
          <w:lang w:val="hu-HU"/>
        </w:rPr>
        <w:tab/>
      </w:r>
      <w:r w:rsidR="00E66860">
        <w:rPr>
          <w:lang w:val="hu-HU"/>
        </w:rPr>
        <w:tab/>
      </w:r>
      <w:r>
        <w:rPr>
          <w:lang w:val="hu-HU"/>
        </w:rPr>
        <w:t>90×</w:t>
      </w:r>
      <w:r w:rsidR="000F6BB5" w:rsidRPr="000F6BB5">
        <w:rPr>
          <w:lang w:val="hu-HU"/>
        </w:rPr>
        <w:tab/>
        <w:t>OPA/Al/PVC//Al buborékcsomagolásban</w:t>
      </w:r>
    </w:p>
    <w:p w14:paraId="4717B904" w14:textId="70BA7248" w:rsidR="00835B06" w:rsidRDefault="004D03F7">
      <w:pPr>
        <w:rPr>
          <w:lang w:val="hu-HU"/>
        </w:rPr>
      </w:pPr>
      <w:r>
        <w:rPr>
          <w:lang w:val="hu-HU"/>
        </w:rPr>
        <w:t>OGYI-T-23542/18</w:t>
      </w:r>
      <w:r w:rsidR="00E66860">
        <w:rPr>
          <w:lang w:val="hu-HU"/>
        </w:rPr>
        <w:tab/>
      </w:r>
      <w:r w:rsidR="00E66860">
        <w:rPr>
          <w:lang w:val="hu-HU"/>
        </w:rPr>
        <w:tab/>
      </w:r>
      <w:r>
        <w:rPr>
          <w:lang w:val="hu-HU"/>
        </w:rPr>
        <w:t>98×</w:t>
      </w:r>
      <w:r w:rsidR="000F6BB5" w:rsidRPr="000F6BB5">
        <w:rPr>
          <w:lang w:val="hu-HU"/>
        </w:rPr>
        <w:tab/>
        <w:t>OPA/Al/PVC//Al buborékcsomagolásban</w:t>
      </w:r>
    </w:p>
    <w:p w14:paraId="7421B5B4" w14:textId="77777777" w:rsidR="00835B06" w:rsidRDefault="00835B06">
      <w:pPr>
        <w:rPr>
          <w:lang w:val="hu-HU"/>
        </w:rPr>
      </w:pPr>
    </w:p>
    <w:p w14:paraId="4C449FC5" w14:textId="77777777" w:rsidR="00835B06" w:rsidRDefault="004D03F7">
      <w:pPr>
        <w:rPr>
          <w:u w:val="single"/>
          <w:lang w:val="hu-HU"/>
        </w:rPr>
      </w:pPr>
      <w:r>
        <w:rPr>
          <w:u w:val="single"/>
          <w:lang w:val="hu-HU"/>
        </w:rPr>
        <w:t>Roxera Plus 15 mg/10 mg filmtabletta</w:t>
      </w:r>
    </w:p>
    <w:p w14:paraId="7FB21943" w14:textId="103E7D68" w:rsidR="00835B06" w:rsidRDefault="004D03F7">
      <w:pPr>
        <w:rPr>
          <w:lang w:val="hu-HU"/>
        </w:rPr>
      </w:pPr>
      <w:r>
        <w:rPr>
          <w:lang w:val="hu-HU"/>
        </w:rPr>
        <w:t>OGYI-T-23542/19</w:t>
      </w:r>
      <w:r w:rsidR="00A7264C">
        <w:rPr>
          <w:lang w:val="hu-HU"/>
        </w:rPr>
        <w:tab/>
      </w:r>
      <w:r w:rsidR="00A7264C">
        <w:rPr>
          <w:lang w:val="hu-HU"/>
        </w:rPr>
        <w:tab/>
      </w:r>
      <w:r>
        <w:rPr>
          <w:lang w:val="hu-HU"/>
        </w:rPr>
        <w:t>14×</w:t>
      </w:r>
      <w:r w:rsidR="000F6BB5" w:rsidRPr="000F6BB5">
        <w:rPr>
          <w:lang w:val="hu-HU"/>
        </w:rPr>
        <w:tab/>
        <w:t>OPA/Al/PVC//Al buborékcsomagolásban</w:t>
      </w:r>
    </w:p>
    <w:p w14:paraId="6E80113A" w14:textId="40B24241" w:rsidR="00835B06" w:rsidRDefault="004D03F7">
      <w:pPr>
        <w:rPr>
          <w:lang w:val="hu-HU"/>
        </w:rPr>
      </w:pPr>
      <w:r>
        <w:rPr>
          <w:lang w:val="hu-HU"/>
        </w:rPr>
        <w:t>OGYI-T-23542/20</w:t>
      </w:r>
      <w:r w:rsidR="00A7264C">
        <w:rPr>
          <w:lang w:val="hu-HU"/>
        </w:rPr>
        <w:tab/>
      </w:r>
      <w:r w:rsidR="00A7264C">
        <w:rPr>
          <w:lang w:val="hu-HU"/>
        </w:rPr>
        <w:tab/>
      </w:r>
      <w:r>
        <w:rPr>
          <w:lang w:val="hu-HU"/>
        </w:rPr>
        <w:t>15×</w:t>
      </w:r>
      <w:r w:rsidR="000F6BB5" w:rsidRPr="000F6BB5">
        <w:rPr>
          <w:lang w:val="hu-HU"/>
        </w:rPr>
        <w:tab/>
        <w:t>OPA/Al/PVC//Al buborékcsomagolásban</w:t>
      </w:r>
    </w:p>
    <w:p w14:paraId="4221E1DF" w14:textId="2CC8BF68" w:rsidR="00835B06" w:rsidRDefault="004D03F7">
      <w:pPr>
        <w:rPr>
          <w:lang w:val="hu-HU"/>
        </w:rPr>
      </w:pPr>
      <w:r>
        <w:rPr>
          <w:lang w:val="hu-HU"/>
        </w:rPr>
        <w:t>OGYI-T-23542/21</w:t>
      </w:r>
      <w:r w:rsidR="00A7264C">
        <w:rPr>
          <w:lang w:val="hu-HU"/>
        </w:rPr>
        <w:tab/>
      </w:r>
      <w:r w:rsidR="00A7264C">
        <w:rPr>
          <w:lang w:val="hu-HU"/>
        </w:rPr>
        <w:tab/>
      </w:r>
      <w:r>
        <w:rPr>
          <w:lang w:val="hu-HU"/>
        </w:rPr>
        <w:t>28×</w:t>
      </w:r>
      <w:r w:rsidR="000F6BB5" w:rsidRPr="000F6BB5">
        <w:rPr>
          <w:lang w:val="hu-HU"/>
        </w:rPr>
        <w:tab/>
        <w:t>OPA/Al/PVC//Al buborékcsomagolásban</w:t>
      </w:r>
    </w:p>
    <w:p w14:paraId="28E2EEF8" w14:textId="4297AF99" w:rsidR="00835B06" w:rsidRDefault="004D03F7">
      <w:pPr>
        <w:rPr>
          <w:lang w:val="hu-HU"/>
        </w:rPr>
      </w:pPr>
      <w:r>
        <w:rPr>
          <w:lang w:val="hu-HU"/>
        </w:rPr>
        <w:t>OGYI-T-23542/22</w:t>
      </w:r>
      <w:r w:rsidR="00A7264C">
        <w:rPr>
          <w:lang w:val="hu-HU"/>
        </w:rPr>
        <w:tab/>
      </w:r>
      <w:r w:rsidR="00A7264C">
        <w:rPr>
          <w:lang w:val="hu-HU"/>
        </w:rPr>
        <w:tab/>
      </w:r>
      <w:r>
        <w:rPr>
          <w:lang w:val="hu-HU"/>
        </w:rPr>
        <w:t>30×</w:t>
      </w:r>
      <w:r w:rsidR="000F6BB5" w:rsidRPr="000F6BB5">
        <w:rPr>
          <w:lang w:val="hu-HU"/>
        </w:rPr>
        <w:tab/>
        <w:t>OPA/Al/PVC//Al buborékcsomagolásban</w:t>
      </w:r>
    </w:p>
    <w:p w14:paraId="24F67A76" w14:textId="457F856D" w:rsidR="00835B06" w:rsidRDefault="004D03F7">
      <w:pPr>
        <w:rPr>
          <w:lang w:val="hu-HU"/>
        </w:rPr>
      </w:pPr>
      <w:r>
        <w:rPr>
          <w:lang w:val="hu-HU"/>
        </w:rPr>
        <w:t>OGYI-T-23542/23</w:t>
      </w:r>
      <w:r w:rsidR="00A7264C">
        <w:rPr>
          <w:lang w:val="hu-HU"/>
        </w:rPr>
        <w:tab/>
      </w:r>
      <w:r w:rsidR="00A7264C">
        <w:rPr>
          <w:lang w:val="hu-HU"/>
        </w:rPr>
        <w:tab/>
      </w:r>
      <w:r>
        <w:rPr>
          <w:lang w:val="hu-HU"/>
        </w:rPr>
        <w:t>56×</w:t>
      </w:r>
      <w:r w:rsidR="000F6BB5" w:rsidRPr="000F6BB5">
        <w:rPr>
          <w:lang w:val="hu-HU"/>
        </w:rPr>
        <w:tab/>
        <w:t>OPA/Al/PVC//Al buborékcsomagolásban</w:t>
      </w:r>
    </w:p>
    <w:p w14:paraId="1EC4B698" w14:textId="7278B14A" w:rsidR="00835B06" w:rsidRDefault="00A7264C">
      <w:pPr>
        <w:rPr>
          <w:lang w:val="hu-HU"/>
        </w:rPr>
      </w:pPr>
      <w:r>
        <w:rPr>
          <w:lang w:val="hu-HU"/>
        </w:rPr>
        <w:t>OGYI-T-23542/24</w:t>
      </w:r>
      <w:r>
        <w:rPr>
          <w:lang w:val="hu-HU"/>
        </w:rPr>
        <w:tab/>
      </w:r>
      <w:r>
        <w:rPr>
          <w:lang w:val="hu-HU"/>
        </w:rPr>
        <w:tab/>
      </w:r>
      <w:r w:rsidR="004D03F7">
        <w:rPr>
          <w:lang w:val="hu-HU"/>
        </w:rPr>
        <w:t>60×</w:t>
      </w:r>
      <w:r w:rsidR="000F6BB5" w:rsidRPr="000F6BB5">
        <w:rPr>
          <w:lang w:val="hu-HU"/>
        </w:rPr>
        <w:tab/>
        <w:t>OPA/Al/PVC//Al buborékcsomagolásban</w:t>
      </w:r>
    </w:p>
    <w:p w14:paraId="7B9DA1C2" w14:textId="40AA74DB" w:rsidR="00835B06" w:rsidRDefault="004D03F7">
      <w:pPr>
        <w:rPr>
          <w:lang w:val="hu-HU"/>
        </w:rPr>
      </w:pPr>
      <w:r>
        <w:rPr>
          <w:lang w:val="hu-HU"/>
        </w:rPr>
        <w:t>OGYI-T-23542/25</w:t>
      </w:r>
      <w:r w:rsidR="00A7264C">
        <w:rPr>
          <w:lang w:val="hu-HU"/>
        </w:rPr>
        <w:tab/>
      </w:r>
      <w:r w:rsidR="00A7264C">
        <w:rPr>
          <w:lang w:val="hu-HU"/>
        </w:rPr>
        <w:tab/>
      </w:r>
      <w:r>
        <w:rPr>
          <w:lang w:val="hu-HU"/>
        </w:rPr>
        <w:t>84×</w:t>
      </w:r>
      <w:r w:rsidR="000F6BB5" w:rsidRPr="000F6BB5">
        <w:rPr>
          <w:lang w:val="hu-HU"/>
        </w:rPr>
        <w:tab/>
        <w:t>OPA/Al/PVC//Al buborékcsomagolásban</w:t>
      </w:r>
    </w:p>
    <w:p w14:paraId="695386AF" w14:textId="2A402099" w:rsidR="00835B06" w:rsidRDefault="004D03F7">
      <w:pPr>
        <w:rPr>
          <w:lang w:val="hu-HU"/>
        </w:rPr>
      </w:pPr>
      <w:r>
        <w:rPr>
          <w:lang w:val="hu-HU"/>
        </w:rPr>
        <w:t>OGYI-T-23542/26</w:t>
      </w:r>
      <w:r w:rsidR="00A7264C">
        <w:rPr>
          <w:lang w:val="hu-HU"/>
        </w:rPr>
        <w:tab/>
      </w:r>
      <w:r w:rsidR="00A7264C">
        <w:rPr>
          <w:lang w:val="hu-HU"/>
        </w:rPr>
        <w:tab/>
      </w:r>
      <w:r>
        <w:rPr>
          <w:lang w:val="hu-HU"/>
        </w:rPr>
        <w:t>90×</w:t>
      </w:r>
      <w:r w:rsidR="000F6BB5" w:rsidRPr="000F6BB5">
        <w:rPr>
          <w:lang w:val="hu-HU"/>
        </w:rPr>
        <w:tab/>
        <w:t>OPA/Al/PVC//Al buborékcsomagolásban</w:t>
      </w:r>
    </w:p>
    <w:p w14:paraId="4462E77A" w14:textId="39277080" w:rsidR="00835B06" w:rsidRDefault="00A7264C">
      <w:pPr>
        <w:rPr>
          <w:lang w:val="hu-HU"/>
        </w:rPr>
      </w:pPr>
      <w:r>
        <w:rPr>
          <w:lang w:val="hu-HU"/>
        </w:rPr>
        <w:t>OGYI-T-23542/27</w:t>
      </w:r>
      <w:r>
        <w:rPr>
          <w:lang w:val="hu-HU"/>
        </w:rPr>
        <w:tab/>
      </w:r>
      <w:r>
        <w:rPr>
          <w:lang w:val="hu-HU"/>
        </w:rPr>
        <w:tab/>
      </w:r>
      <w:r w:rsidR="004D03F7">
        <w:rPr>
          <w:lang w:val="hu-HU"/>
        </w:rPr>
        <w:t>98×</w:t>
      </w:r>
      <w:r w:rsidR="000F6BB5" w:rsidRPr="000F6BB5">
        <w:rPr>
          <w:lang w:val="hu-HU"/>
        </w:rPr>
        <w:tab/>
        <w:t>OPA/Al/PVC//Al buborékcsomagolásban</w:t>
      </w:r>
    </w:p>
    <w:p w14:paraId="21570F7C" w14:textId="77777777" w:rsidR="00835B06" w:rsidRDefault="00835B06">
      <w:pPr>
        <w:rPr>
          <w:lang w:val="hu-HU"/>
        </w:rPr>
      </w:pPr>
    </w:p>
    <w:p w14:paraId="23F9CB8F" w14:textId="77777777" w:rsidR="00835B06" w:rsidRDefault="004D03F7">
      <w:pPr>
        <w:rPr>
          <w:u w:val="single"/>
          <w:lang w:val="hu-HU"/>
        </w:rPr>
      </w:pPr>
      <w:r>
        <w:rPr>
          <w:u w:val="single"/>
          <w:lang w:val="hu-HU"/>
        </w:rPr>
        <w:t>Roxera Plus 20 mg/10 mg filmtabletta</w:t>
      </w:r>
    </w:p>
    <w:p w14:paraId="4102F9AD" w14:textId="0FB203D9" w:rsidR="00835B06" w:rsidRDefault="004D03F7">
      <w:pPr>
        <w:rPr>
          <w:lang w:val="hu-HU"/>
        </w:rPr>
      </w:pPr>
      <w:r>
        <w:rPr>
          <w:lang w:val="hu-HU"/>
        </w:rPr>
        <w:t>OGYI-T-23542/28</w:t>
      </w:r>
      <w:r w:rsidR="00A7264C">
        <w:rPr>
          <w:lang w:val="hu-HU"/>
        </w:rPr>
        <w:tab/>
      </w:r>
      <w:r w:rsidR="00A7264C">
        <w:rPr>
          <w:lang w:val="hu-HU"/>
        </w:rPr>
        <w:tab/>
      </w:r>
      <w:r>
        <w:rPr>
          <w:lang w:val="hu-HU"/>
        </w:rPr>
        <w:t>14×</w:t>
      </w:r>
      <w:r w:rsidR="000F6BB5">
        <w:tab/>
      </w:r>
      <w:r w:rsidR="000F6BB5" w:rsidRPr="000F6BB5">
        <w:rPr>
          <w:lang w:val="hu-HU"/>
        </w:rPr>
        <w:t>OPA/Al/PVC//Al buborékcsomagolásban</w:t>
      </w:r>
    </w:p>
    <w:p w14:paraId="2A313BB0" w14:textId="7BF42966" w:rsidR="00835B06" w:rsidRDefault="004D03F7">
      <w:pPr>
        <w:rPr>
          <w:lang w:val="hu-HU"/>
        </w:rPr>
      </w:pPr>
      <w:r>
        <w:rPr>
          <w:lang w:val="hu-HU"/>
        </w:rPr>
        <w:t>OGYI-T-23542/29</w:t>
      </w:r>
      <w:r w:rsidR="00A7264C">
        <w:rPr>
          <w:lang w:val="hu-HU"/>
        </w:rPr>
        <w:tab/>
      </w:r>
      <w:r w:rsidR="00A7264C">
        <w:rPr>
          <w:lang w:val="hu-HU"/>
        </w:rPr>
        <w:tab/>
      </w:r>
      <w:r>
        <w:rPr>
          <w:lang w:val="hu-HU"/>
        </w:rPr>
        <w:t>15×</w:t>
      </w:r>
      <w:r w:rsidR="000F6BB5" w:rsidRPr="000F6BB5">
        <w:rPr>
          <w:lang w:val="hu-HU"/>
        </w:rPr>
        <w:tab/>
        <w:t>OPA/Al/PVC//Al buborékcsomagolásban</w:t>
      </w:r>
    </w:p>
    <w:p w14:paraId="3DCBA09C" w14:textId="18FCB909" w:rsidR="00835B06" w:rsidRDefault="004D03F7">
      <w:pPr>
        <w:rPr>
          <w:lang w:val="hu-HU"/>
        </w:rPr>
      </w:pPr>
      <w:r>
        <w:rPr>
          <w:lang w:val="hu-HU"/>
        </w:rPr>
        <w:t>OGYI-T-23542/30</w:t>
      </w:r>
      <w:r w:rsidR="00A7264C">
        <w:rPr>
          <w:lang w:val="hu-HU"/>
        </w:rPr>
        <w:tab/>
      </w:r>
      <w:r w:rsidR="00A7264C">
        <w:rPr>
          <w:lang w:val="hu-HU"/>
        </w:rPr>
        <w:tab/>
      </w:r>
      <w:r>
        <w:rPr>
          <w:lang w:val="hu-HU"/>
        </w:rPr>
        <w:t>28×</w:t>
      </w:r>
      <w:r w:rsidR="000F6BB5" w:rsidRPr="000F6BB5">
        <w:rPr>
          <w:lang w:val="hu-HU"/>
        </w:rPr>
        <w:tab/>
        <w:t>OPA/Al/PVC//Al buborékcsomagolásban</w:t>
      </w:r>
    </w:p>
    <w:p w14:paraId="47DD5A10" w14:textId="6F3B5CFD" w:rsidR="00835B06" w:rsidRDefault="004D03F7">
      <w:pPr>
        <w:rPr>
          <w:lang w:val="hu-HU"/>
        </w:rPr>
      </w:pPr>
      <w:r>
        <w:rPr>
          <w:lang w:val="hu-HU"/>
        </w:rPr>
        <w:t>OGYI-T-23542/31</w:t>
      </w:r>
      <w:r w:rsidR="00A7264C">
        <w:rPr>
          <w:lang w:val="hu-HU"/>
        </w:rPr>
        <w:tab/>
      </w:r>
      <w:r w:rsidR="00A7264C">
        <w:rPr>
          <w:lang w:val="hu-HU"/>
        </w:rPr>
        <w:tab/>
      </w:r>
      <w:r>
        <w:rPr>
          <w:lang w:val="hu-HU"/>
        </w:rPr>
        <w:t>30×</w:t>
      </w:r>
      <w:r w:rsidR="000F6BB5" w:rsidRPr="000F6BB5">
        <w:rPr>
          <w:lang w:val="hu-HU"/>
        </w:rPr>
        <w:tab/>
        <w:t>OPA/Al/PVC//Al buborékcsomagolásban</w:t>
      </w:r>
    </w:p>
    <w:p w14:paraId="11D4E60A" w14:textId="39D9432C" w:rsidR="00835B06" w:rsidRDefault="00A7264C">
      <w:pPr>
        <w:rPr>
          <w:lang w:val="hu-HU"/>
        </w:rPr>
      </w:pPr>
      <w:r>
        <w:rPr>
          <w:lang w:val="hu-HU"/>
        </w:rPr>
        <w:t>OGYI-T-23542/32</w:t>
      </w:r>
      <w:r>
        <w:rPr>
          <w:lang w:val="hu-HU"/>
        </w:rPr>
        <w:tab/>
      </w:r>
      <w:r>
        <w:rPr>
          <w:lang w:val="hu-HU"/>
        </w:rPr>
        <w:tab/>
      </w:r>
      <w:r w:rsidR="004D03F7">
        <w:rPr>
          <w:lang w:val="hu-HU"/>
        </w:rPr>
        <w:t>56×</w:t>
      </w:r>
      <w:r w:rsidR="000F6BB5" w:rsidRPr="000F6BB5">
        <w:rPr>
          <w:lang w:val="hu-HU"/>
        </w:rPr>
        <w:tab/>
        <w:t>OPA/Al/PVC//Al buborékcsomagolásban</w:t>
      </w:r>
    </w:p>
    <w:p w14:paraId="2F89D963" w14:textId="133C6EE4" w:rsidR="00835B06" w:rsidRDefault="00A7264C">
      <w:pPr>
        <w:rPr>
          <w:lang w:val="hu-HU"/>
        </w:rPr>
      </w:pPr>
      <w:r>
        <w:rPr>
          <w:lang w:val="hu-HU"/>
        </w:rPr>
        <w:t>OGYI-T-23542/33</w:t>
      </w:r>
      <w:r>
        <w:rPr>
          <w:lang w:val="hu-HU"/>
        </w:rPr>
        <w:tab/>
      </w:r>
      <w:r>
        <w:rPr>
          <w:lang w:val="hu-HU"/>
        </w:rPr>
        <w:tab/>
      </w:r>
      <w:r w:rsidR="004D03F7">
        <w:rPr>
          <w:lang w:val="hu-HU"/>
        </w:rPr>
        <w:t>60×</w:t>
      </w:r>
      <w:r w:rsidR="000F6BB5" w:rsidRPr="000F6BB5">
        <w:rPr>
          <w:lang w:val="hu-HU"/>
        </w:rPr>
        <w:tab/>
        <w:t>OPA/Al/PVC//Al buborékcsomagolásban</w:t>
      </w:r>
    </w:p>
    <w:p w14:paraId="566576F1" w14:textId="53E3EAEF" w:rsidR="00835B06" w:rsidRDefault="00A7264C">
      <w:pPr>
        <w:rPr>
          <w:lang w:val="hu-HU"/>
        </w:rPr>
      </w:pPr>
      <w:r>
        <w:rPr>
          <w:lang w:val="hu-HU"/>
        </w:rPr>
        <w:t>OGYI-T-23542/34</w:t>
      </w:r>
      <w:r>
        <w:rPr>
          <w:lang w:val="hu-HU"/>
        </w:rPr>
        <w:tab/>
      </w:r>
      <w:r>
        <w:rPr>
          <w:lang w:val="hu-HU"/>
        </w:rPr>
        <w:tab/>
      </w:r>
      <w:r w:rsidR="004D03F7">
        <w:rPr>
          <w:lang w:val="hu-HU"/>
        </w:rPr>
        <w:t>84×</w:t>
      </w:r>
      <w:r w:rsidR="000F6BB5" w:rsidRPr="000F6BB5">
        <w:rPr>
          <w:lang w:val="hu-HU"/>
        </w:rPr>
        <w:tab/>
        <w:t>OPA/Al/PVC//Al buborékcsomagolásban</w:t>
      </w:r>
    </w:p>
    <w:p w14:paraId="0D90DC70" w14:textId="10286F6A" w:rsidR="00835B06" w:rsidRDefault="004D03F7">
      <w:pPr>
        <w:rPr>
          <w:lang w:val="hu-HU"/>
        </w:rPr>
      </w:pPr>
      <w:r>
        <w:rPr>
          <w:lang w:val="hu-HU"/>
        </w:rPr>
        <w:t>OGYI-T-23542/35</w:t>
      </w:r>
      <w:r w:rsidR="00A7264C">
        <w:rPr>
          <w:lang w:val="hu-HU"/>
        </w:rPr>
        <w:tab/>
      </w:r>
      <w:r w:rsidR="00A7264C">
        <w:rPr>
          <w:lang w:val="hu-HU"/>
        </w:rPr>
        <w:tab/>
      </w:r>
      <w:r>
        <w:rPr>
          <w:lang w:val="hu-HU"/>
        </w:rPr>
        <w:t>90×</w:t>
      </w:r>
      <w:r w:rsidR="000F6BB5" w:rsidRPr="000F6BB5">
        <w:rPr>
          <w:lang w:val="hu-HU"/>
        </w:rPr>
        <w:tab/>
        <w:t>OPA/Al/PVC//Al buborékcsomagolásban</w:t>
      </w:r>
    </w:p>
    <w:p w14:paraId="096562D9" w14:textId="194E5020" w:rsidR="00835B06" w:rsidRDefault="004D03F7">
      <w:pPr>
        <w:rPr>
          <w:lang w:val="hu-HU"/>
        </w:rPr>
      </w:pPr>
      <w:r>
        <w:rPr>
          <w:lang w:val="hu-HU"/>
        </w:rPr>
        <w:t>OGYI-T-23542/36</w:t>
      </w:r>
      <w:r w:rsidR="00A7264C">
        <w:rPr>
          <w:lang w:val="hu-HU"/>
        </w:rPr>
        <w:tab/>
      </w:r>
      <w:r w:rsidR="00A7264C">
        <w:rPr>
          <w:lang w:val="hu-HU"/>
        </w:rPr>
        <w:tab/>
      </w:r>
      <w:r>
        <w:rPr>
          <w:lang w:val="hu-HU"/>
        </w:rPr>
        <w:t>98×</w:t>
      </w:r>
      <w:r w:rsidR="000F6BB5" w:rsidRPr="000F6BB5">
        <w:rPr>
          <w:lang w:val="hu-HU"/>
        </w:rPr>
        <w:tab/>
        <w:t>OPA/Al/PVC//Al buborékcsomagolásban</w:t>
      </w:r>
    </w:p>
    <w:p w14:paraId="118DCE1D" w14:textId="77777777" w:rsidR="00835B06" w:rsidRDefault="00835B06">
      <w:pPr>
        <w:rPr>
          <w:u w:val="single"/>
          <w:lang w:val="hu-HU"/>
        </w:rPr>
      </w:pPr>
    </w:p>
    <w:p w14:paraId="0828F99E" w14:textId="77777777" w:rsidR="00835B06" w:rsidRDefault="004D03F7">
      <w:pPr>
        <w:rPr>
          <w:u w:val="single"/>
          <w:lang w:val="hu-HU"/>
        </w:rPr>
      </w:pPr>
      <w:r>
        <w:rPr>
          <w:u w:val="single"/>
          <w:lang w:val="hu-HU"/>
        </w:rPr>
        <w:t>Roxera Plus 30 mg/10 mg filmtabletta</w:t>
      </w:r>
    </w:p>
    <w:p w14:paraId="586568B4" w14:textId="08367B0A" w:rsidR="000F6BB5" w:rsidRPr="000F6BB5" w:rsidRDefault="000F6BB5" w:rsidP="000F6BB5">
      <w:pPr>
        <w:rPr>
          <w:bCs/>
          <w:lang w:val="hu-HU"/>
        </w:rPr>
      </w:pPr>
      <w:r>
        <w:rPr>
          <w:bCs/>
          <w:lang w:val="hu-HU"/>
        </w:rPr>
        <w:t>OGYI-T-23542/46</w:t>
      </w:r>
      <w:r>
        <w:rPr>
          <w:bCs/>
          <w:lang w:val="hu-HU"/>
        </w:rPr>
        <w:tab/>
      </w:r>
      <w:r>
        <w:rPr>
          <w:bCs/>
          <w:lang w:val="hu-HU"/>
        </w:rPr>
        <w:tab/>
        <w:t>10×</w:t>
      </w:r>
      <w:r>
        <w:rPr>
          <w:bCs/>
          <w:lang w:val="hu-HU"/>
        </w:rPr>
        <w:tab/>
      </w:r>
      <w:r w:rsidRPr="000F6BB5">
        <w:rPr>
          <w:bCs/>
          <w:lang w:val="hu-HU"/>
        </w:rPr>
        <w:t>OPA/Al/PVC//Al buborékcsomagolásban</w:t>
      </w:r>
    </w:p>
    <w:p w14:paraId="456EA0B3" w14:textId="6C1B6CDF" w:rsidR="000F6BB5" w:rsidRPr="000F6BB5" w:rsidRDefault="000F6BB5" w:rsidP="000F6BB5">
      <w:pPr>
        <w:rPr>
          <w:bCs/>
          <w:lang w:val="hu-HU"/>
        </w:rPr>
      </w:pPr>
      <w:r>
        <w:rPr>
          <w:bCs/>
          <w:lang w:val="hu-HU"/>
        </w:rPr>
        <w:t>OGYI-T-23542/47</w:t>
      </w:r>
      <w:r>
        <w:rPr>
          <w:bCs/>
          <w:lang w:val="hu-HU"/>
        </w:rPr>
        <w:tab/>
      </w:r>
      <w:r>
        <w:rPr>
          <w:bCs/>
          <w:lang w:val="hu-HU"/>
        </w:rPr>
        <w:tab/>
        <w:t>30</w:t>
      </w:r>
      <w:r w:rsidRPr="000F6BB5">
        <w:rPr>
          <w:bCs/>
          <w:lang w:val="hu-HU"/>
        </w:rPr>
        <w:t>×</w:t>
      </w:r>
      <w:r>
        <w:rPr>
          <w:bCs/>
          <w:lang w:val="hu-HU"/>
        </w:rPr>
        <w:tab/>
      </w:r>
      <w:r w:rsidRPr="000F6BB5">
        <w:rPr>
          <w:bCs/>
          <w:lang w:val="hu-HU"/>
        </w:rPr>
        <w:t>OPA/Al/PVC//Al buborékcsomagolásban</w:t>
      </w:r>
    </w:p>
    <w:p w14:paraId="4017CEAA" w14:textId="272DE825" w:rsidR="000F6BB5" w:rsidRPr="000F6BB5" w:rsidRDefault="000F6BB5" w:rsidP="000F6BB5">
      <w:pPr>
        <w:rPr>
          <w:bCs/>
          <w:lang w:val="hu-HU"/>
        </w:rPr>
      </w:pPr>
      <w:r w:rsidRPr="000F6BB5">
        <w:rPr>
          <w:bCs/>
          <w:lang w:val="hu-HU"/>
        </w:rPr>
        <w:t>OGYI-T-23542/48</w:t>
      </w:r>
      <w:r>
        <w:rPr>
          <w:bCs/>
          <w:lang w:val="hu-HU"/>
        </w:rPr>
        <w:tab/>
      </w:r>
      <w:r>
        <w:rPr>
          <w:bCs/>
          <w:lang w:val="hu-HU"/>
        </w:rPr>
        <w:tab/>
        <w:t>40</w:t>
      </w:r>
      <w:r w:rsidRPr="000F6BB5">
        <w:rPr>
          <w:bCs/>
          <w:lang w:val="hu-HU"/>
        </w:rPr>
        <w:t>×</w:t>
      </w:r>
      <w:r>
        <w:rPr>
          <w:bCs/>
          <w:lang w:val="hu-HU"/>
        </w:rPr>
        <w:tab/>
      </w:r>
      <w:r w:rsidRPr="000F6BB5">
        <w:rPr>
          <w:bCs/>
          <w:lang w:val="hu-HU"/>
        </w:rPr>
        <w:t>OPA/Al/PVC//Al buborékcsomagolásban</w:t>
      </w:r>
    </w:p>
    <w:p w14:paraId="6C602F37" w14:textId="75687C74" w:rsidR="000F6BB5" w:rsidRPr="000F6BB5" w:rsidRDefault="000F6BB5" w:rsidP="000F6BB5">
      <w:pPr>
        <w:rPr>
          <w:bCs/>
          <w:lang w:val="hu-HU"/>
        </w:rPr>
      </w:pPr>
      <w:r>
        <w:rPr>
          <w:bCs/>
          <w:lang w:val="hu-HU"/>
        </w:rPr>
        <w:t>OGYI-T-23542/49</w:t>
      </w:r>
      <w:r>
        <w:rPr>
          <w:bCs/>
          <w:lang w:val="hu-HU"/>
        </w:rPr>
        <w:tab/>
      </w:r>
      <w:r>
        <w:rPr>
          <w:bCs/>
          <w:lang w:val="hu-HU"/>
        </w:rPr>
        <w:tab/>
        <w:t>60</w:t>
      </w:r>
      <w:r w:rsidRPr="000F6BB5">
        <w:rPr>
          <w:bCs/>
          <w:lang w:val="hu-HU"/>
        </w:rPr>
        <w:t>×</w:t>
      </w:r>
      <w:r>
        <w:rPr>
          <w:bCs/>
          <w:lang w:val="hu-HU"/>
        </w:rPr>
        <w:tab/>
      </w:r>
      <w:r w:rsidRPr="000F6BB5">
        <w:rPr>
          <w:bCs/>
          <w:lang w:val="hu-HU"/>
        </w:rPr>
        <w:t>OPA/Al/PVC//Al buborékcsomagolásban</w:t>
      </w:r>
    </w:p>
    <w:p w14:paraId="41003A8E" w14:textId="55C6DB3D" w:rsidR="000F6BB5" w:rsidRPr="000F6BB5" w:rsidRDefault="000F6BB5" w:rsidP="000F6BB5">
      <w:pPr>
        <w:rPr>
          <w:bCs/>
          <w:lang w:val="hu-HU"/>
        </w:rPr>
      </w:pPr>
      <w:r>
        <w:rPr>
          <w:bCs/>
          <w:lang w:val="hu-HU"/>
        </w:rPr>
        <w:t>OGYI-T-23542/50</w:t>
      </w:r>
      <w:r>
        <w:rPr>
          <w:bCs/>
          <w:lang w:val="hu-HU"/>
        </w:rPr>
        <w:tab/>
      </w:r>
      <w:r>
        <w:rPr>
          <w:bCs/>
          <w:lang w:val="hu-HU"/>
        </w:rPr>
        <w:tab/>
      </w:r>
      <w:r w:rsidRPr="000F6BB5">
        <w:rPr>
          <w:bCs/>
          <w:lang w:val="hu-HU"/>
        </w:rPr>
        <w:t>90×</w:t>
      </w:r>
      <w:r>
        <w:rPr>
          <w:bCs/>
          <w:lang w:val="hu-HU"/>
        </w:rPr>
        <w:tab/>
      </w:r>
      <w:r w:rsidRPr="000F6BB5">
        <w:rPr>
          <w:bCs/>
          <w:lang w:val="hu-HU"/>
        </w:rPr>
        <w:t>OPA/Al/PVC//Al buborékcsomagolásban</w:t>
      </w:r>
    </w:p>
    <w:p w14:paraId="40D330E1" w14:textId="08BC6EB4" w:rsidR="000F6BB5" w:rsidRPr="000F6BB5" w:rsidRDefault="000F6BB5" w:rsidP="000F6BB5">
      <w:pPr>
        <w:rPr>
          <w:bCs/>
          <w:lang w:val="hu-HU"/>
        </w:rPr>
      </w:pPr>
      <w:r>
        <w:rPr>
          <w:bCs/>
          <w:lang w:val="hu-HU"/>
        </w:rPr>
        <w:t>OGYI-T-23542/51</w:t>
      </w:r>
      <w:r>
        <w:rPr>
          <w:bCs/>
          <w:lang w:val="hu-HU"/>
        </w:rPr>
        <w:tab/>
      </w:r>
      <w:r>
        <w:rPr>
          <w:bCs/>
          <w:lang w:val="hu-HU"/>
        </w:rPr>
        <w:tab/>
      </w:r>
      <w:r w:rsidRPr="000F6BB5">
        <w:rPr>
          <w:bCs/>
          <w:lang w:val="hu-HU"/>
        </w:rPr>
        <w:t>100×</w:t>
      </w:r>
      <w:r>
        <w:rPr>
          <w:bCs/>
          <w:lang w:val="hu-HU"/>
        </w:rPr>
        <w:tab/>
      </w:r>
      <w:r w:rsidRPr="000F6BB5">
        <w:rPr>
          <w:bCs/>
          <w:lang w:val="hu-HU"/>
        </w:rPr>
        <w:t>OPA/Al/PVC//Al buborékcsomagolásban</w:t>
      </w:r>
    </w:p>
    <w:p w14:paraId="6AEBAD87" w14:textId="77777777" w:rsidR="00835B06" w:rsidRDefault="00835B06">
      <w:pPr>
        <w:rPr>
          <w:u w:val="single"/>
          <w:lang w:val="hu-HU"/>
        </w:rPr>
      </w:pPr>
    </w:p>
    <w:p w14:paraId="6E6D0961" w14:textId="77777777" w:rsidR="00835B06" w:rsidRDefault="004D03F7">
      <w:pPr>
        <w:rPr>
          <w:u w:val="single"/>
          <w:lang w:val="hu-HU" w:eastAsia="en-US"/>
        </w:rPr>
      </w:pPr>
      <w:r>
        <w:rPr>
          <w:u w:val="single"/>
          <w:lang w:val="hu-HU"/>
        </w:rPr>
        <w:t>Roxera Plus 40 mg/10 mg filmtabletta</w:t>
      </w:r>
    </w:p>
    <w:p w14:paraId="680DB975" w14:textId="714D8D99" w:rsidR="00835B06" w:rsidRDefault="00A7264C">
      <w:pPr>
        <w:rPr>
          <w:lang w:val="hu-HU"/>
        </w:rPr>
      </w:pPr>
      <w:r>
        <w:rPr>
          <w:lang w:val="hu-HU"/>
        </w:rPr>
        <w:t>OGYI-T-23542/37</w:t>
      </w:r>
      <w:r>
        <w:rPr>
          <w:lang w:val="hu-HU"/>
        </w:rPr>
        <w:tab/>
      </w:r>
      <w:r>
        <w:rPr>
          <w:lang w:val="hu-HU"/>
        </w:rPr>
        <w:tab/>
      </w:r>
      <w:r w:rsidR="004D03F7">
        <w:rPr>
          <w:lang w:val="hu-HU"/>
        </w:rPr>
        <w:t>14×</w:t>
      </w:r>
      <w:r w:rsidR="000F6BB5" w:rsidRPr="000F6BB5">
        <w:rPr>
          <w:lang w:val="hu-HU"/>
        </w:rPr>
        <w:tab/>
        <w:t>OPA/Al/PVC//Al buborékcsomagolásban</w:t>
      </w:r>
    </w:p>
    <w:p w14:paraId="7190BB02" w14:textId="1C15A846" w:rsidR="00835B06" w:rsidRDefault="00A7264C">
      <w:pPr>
        <w:rPr>
          <w:lang w:val="hu-HU"/>
        </w:rPr>
      </w:pPr>
      <w:r>
        <w:rPr>
          <w:lang w:val="hu-HU"/>
        </w:rPr>
        <w:t>OGYI-T-23542/38</w:t>
      </w:r>
      <w:r>
        <w:rPr>
          <w:lang w:val="hu-HU"/>
        </w:rPr>
        <w:tab/>
      </w:r>
      <w:r>
        <w:rPr>
          <w:lang w:val="hu-HU"/>
        </w:rPr>
        <w:tab/>
      </w:r>
      <w:r w:rsidR="004D03F7">
        <w:rPr>
          <w:lang w:val="hu-HU"/>
        </w:rPr>
        <w:t>15×</w:t>
      </w:r>
      <w:r w:rsidR="000F6BB5" w:rsidRPr="000F6BB5">
        <w:rPr>
          <w:lang w:val="hu-HU"/>
        </w:rPr>
        <w:tab/>
        <w:t>OPA/Al/PVC//Al buborékcsomagolásban</w:t>
      </w:r>
    </w:p>
    <w:p w14:paraId="58631F15" w14:textId="7CC9AFE6" w:rsidR="00835B06" w:rsidRDefault="00A7264C">
      <w:pPr>
        <w:rPr>
          <w:lang w:val="hu-HU"/>
        </w:rPr>
      </w:pPr>
      <w:r>
        <w:rPr>
          <w:lang w:val="hu-HU"/>
        </w:rPr>
        <w:t>OGYI-T-23542/39</w:t>
      </w:r>
      <w:r>
        <w:rPr>
          <w:lang w:val="hu-HU"/>
        </w:rPr>
        <w:tab/>
      </w:r>
      <w:r>
        <w:rPr>
          <w:lang w:val="hu-HU"/>
        </w:rPr>
        <w:tab/>
      </w:r>
      <w:r w:rsidR="004D03F7">
        <w:rPr>
          <w:lang w:val="hu-HU"/>
        </w:rPr>
        <w:t>28×</w:t>
      </w:r>
      <w:r w:rsidR="000F6BB5" w:rsidRPr="000F6BB5">
        <w:rPr>
          <w:lang w:val="hu-HU"/>
        </w:rPr>
        <w:tab/>
        <w:t>OPA/Al/PVC//Al buborékcsomagolásban</w:t>
      </w:r>
    </w:p>
    <w:p w14:paraId="6DAC3D12" w14:textId="4899410E" w:rsidR="00835B06" w:rsidRDefault="00A7264C">
      <w:pPr>
        <w:rPr>
          <w:lang w:val="hu-HU"/>
        </w:rPr>
      </w:pPr>
      <w:r>
        <w:rPr>
          <w:lang w:val="hu-HU"/>
        </w:rPr>
        <w:t>OGYI-T-23542/40</w:t>
      </w:r>
      <w:r>
        <w:rPr>
          <w:lang w:val="hu-HU"/>
        </w:rPr>
        <w:tab/>
      </w:r>
      <w:r>
        <w:rPr>
          <w:lang w:val="hu-HU"/>
        </w:rPr>
        <w:tab/>
      </w:r>
      <w:r w:rsidR="004D03F7">
        <w:rPr>
          <w:lang w:val="hu-HU"/>
        </w:rPr>
        <w:t>30×</w:t>
      </w:r>
      <w:r w:rsidR="000F6BB5" w:rsidRPr="000F6BB5">
        <w:rPr>
          <w:lang w:val="hu-HU"/>
        </w:rPr>
        <w:tab/>
        <w:t>OPA/Al/PVC//Al buborékcsomagolásban</w:t>
      </w:r>
    </w:p>
    <w:p w14:paraId="03AFD095" w14:textId="7A172917" w:rsidR="00835B06" w:rsidRDefault="00A7264C">
      <w:pPr>
        <w:rPr>
          <w:lang w:val="hu-HU"/>
        </w:rPr>
      </w:pPr>
      <w:r>
        <w:rPr>
          <w:lang w:val="hu-HU"/>
        </w:rPr>
        <w:t>OGYI-T-23542/41</w:t>
      </w:r>
      <w:r>
        <w:rPr>
          <w:lang w:val="hu-HU"/>
        </w:rPr>
        <w:tab/>
      </w:r>
      <w:r>
        <w:rPr>
          <w:lang w:val="hu-HU"/>
        </w:rPr>
        <w:tab/>
      </w:r>
      <w:r w:rsidR="004D03F7">
        <w:rPr>
          <w:lang w:val="hu-HU"/>
        </w:rPr>
        <w:t>56×</w:t>
      </w:r>
      <w:r w:rsidR="000F6BB5" w:rsidRPr="000F6BB5">
        <w:rPr>
          <w:lang w:val="hu-HU"/>
        </w:rPr>
        <w:tab/>
        <w:t>OPA/Al/PVC//Al buborékcsomagolásban</w:t>
      </w:r>
    </w:p>
    <w:p w14:paraId="0AE18D1E" w14:textId="4D641707" w:rsidR="00835B06" w:rsidRDefault="00A7264C">
      <w:pPr>
        <w:rPr>
          <w:lang w:val="hu-HU"/>
        </w:rPr>
      </w:pPr>
      <w:r>
        <w:rPr>
          <w:lang w:val="hu-HU"/>
        </w:rPr>
        <w:t>OGYI-T-23542/42</w:t>
      </w:r>
      <w:r>
        <w:rPr>
          <w:lang w:val="hu-HU"/>
        </w:rPr>
        <w:tab/>
      </w:r>
      <w:r>
        <w:rPr>
          <w:lang w:val="hu-HU"/>
        </w:rPr>
        <w:tab/>
      </w:r>
      <w:r w:rsidR="004D03F7">
        <w:rPr>
          <w:lang w:val="hu-HU"/>
        </w:rPr>
        <w:t>60×</w:t>
      </w:r>
      <w:r w:rsidR="000F6BB5" w:rsidRPr="000F6BB5">
        <w:rPr>
          <w:lang w:val="hu-HU"/>
        </w:rPr>
        <w:tab/>
        <w:t>OPA/Al/PVC//Al buborékcsomagolásban</w:t>
      </w:r>
    </w:p>
    <w:p w14:paraId="09EF7917" w14:textId="5070BAB5" w:rsidR="00835B06" w:rsidRDefault="00A7264C">
      <w:pPr>
        <w:rPr>
          <w:lang w:val="hu-HU"/>
        </w:rPr>
      </w:pPr>
      <w:r>
        <w:rPr>
          <w:lang w:val="hu-HU"/>
        </w:rPr>
        <w:t>OGYI-T-23542/43</w:t>
      </w:r>
      <w:r>
        <w:rPr>
          <w:lang w:val="hu-HU"/>
        </w:rPr>
        <w:tab/>
      </w:r>
      <w:r>
        <w:rPr>
          <w:lang w:val="hu-HU"/>
        </w:rPr>
        <w:tab/>
      </w:r>
      <w:r w:rsidR="004D03F7">
        <w:rPr>
          <w:lang w:val="hu-HU"/>
        </w:rPr>
        <w:t>84×</w:t>
      </w:r>
      <w:r w:rsidR="000F6BB5" w:rsidRPr="000F6BB5">
        <w:rPr>
          <w:lang w:val="hu-HU"/>
        </w:rPr>
        <w:tab/>
        <w:t>OPA/Al/PVC//Al buborékcsomagolásban</w:t>
      </w:r>
    </w:p>
    <w:p w14:paraId="43051BE1" w14:textId="3D4FD81B" w:rsidR="00835B06" w:rsidRDefault="004D03F7">
      <w:pPr>
        <w:rPr>
          <w:lang w:val="hu-HU"/>
        </w:rPr>
      </w:pPr>
      <w:r>
        <w:rPr>
          <w:lang w:val="hu-HU"/>
        </w:rPr>
        <w:t>OG</w:t>
      </w:r>
      <w:r w:rsidR="00A7264C">
        <w:rPr>
          <w:lang w:val="hu-HU"/>
        </w:rPr>
        <w:t>YI-T-23542/44</w:t>
      </w:r>
      <w:r w:rsidR="00A7264C">
        <w:rPr>
          <w:lang w:val="hu-HU"/>
        </w:rPr>
        <w:tab/>
      </w:r>
      <w:r w:rsidR="00A7264C">
        <w:rPr>
          <w:lang w:val="hu-HU"/>
        </w:rPr>
        <w:tab/>
      </w:r>
      <w:r>
        <w:rPr>
          <w:lang w:val="hu-HU"/>
        </w:rPr>
        <w:t>90×</w:t>
      </w:r>
      <w:r w:rsidR="000F6BB5" w:rsidRPr="000F6BB5">
        <w:rPr>
          <w:lang w:val="hu-HU"/>
        </w:rPr>
        <w:tab/>
        <w:t>OPA/Al/PVC//Al buborékcsomagolásban</w:t>
      </w:r>
    </w:p>
    <w:p w14:paraId="360B6D3E" w14:textId="71AB7C76" w:rsidR="00835B06" w:rsidRDefault="00A7264C">
      <w:pPr>
        <w:rPr>
          <w:lang w:val="hu-HU"/>
        </w:rPr>
      </w:pPr>
      <w:r>
        <w:rPr>
          <w:lang w:val="hu-HU"/>
        </w:rPr>
        <w:t>OGYI-T-23542/45</w:t>
      </w:r>
      <w:r>
        <w:rPr>
          <w:lang w:val="hu-HU"/>
        </w:rPr>
        <w:tab/>
      </w:r>
      <w:r>
        <w:rPr>
          <w:lang w:val="hu-HU"/>
        </w:rPr>
        <w:tab/>
      </w:r>
      <w:r w:rsidR="004D03F7">
        <w:rPr>
          <w:lang w:val="hu-HU"/>
        </w:rPr>
        <w:t>98×</w:t>
      </w:r>
      <w:r w:rsidR="000F6BB5" w:rsidRPr="000F6BB5">
        <w:rPr>
          <w:lang w:val="hu-HU"/>
        </w:rPr>
        <w:tab/>
        <w:t>OPA/Al/PVC//Al buborékcsomagolásban</w:t>
      </w:r>
    </w:p>
    <w:p w14:paraId="6F6AA994" w14:textId="77777777" w:rsidR="00835B06" w:rsidRDefault="00835B06">
      <w:pPr>
        <w:widowControl w:val="0"/>
        <w:tabs>
          <w:tab w:val="left" w:pos="567"/>
        </w:tabs>
        <w:rPr>
          <w:szCs w:val="22"/>
          <w:lang w:val="hu-HU" w:eastAsia="en-US"/>
        </w:rPr>
      </w:pPr>
    </w:p>
    <w:p w14:paraId="69F88C99" w14:textId="77777777" w:rsidR="00835B06" w:rsidRDefault="00835B06">
      <w:pPr>
        <w:widowControl w:val="0"/>
        <w:tabs>
          <w:tab w:val="left" w:pos="567"/>
        </w:tabs>
        <w:rPr>
          <w:szCs w:val="22"/>
          <w:lang w:val="hu-HU" w:eastAsia="en-US"/>
        </w:rPr>
      </w:pPr>
    </w:p>
    <w:p w14:paraId="7F36B0E8" w14:textId="77777777" w:rsidR="00835B06" w:rsidRDefault="004D03F7">
      <w:pPr>
        <w:widowControl w:val="0"/>
        <w:tabs>
          <w:tab w:val="left" w:pos="567"/>
        </w:tabs>
        <w:rPr>
          <w:szCs w:val="22"/>
          <w:lang w:val="hu-HU" w:eastAsia="en-US"/>
        </w:rPr>
      </w:pPr>
      <w:r>
        <w:rPr>
          <w:b/>
          <w:szCs w:val="22"/>
          <w:lang w:val="hu-HU" w:eastAsia="en-US"/>
        </w:rPr>
        <w:t>9.</w:t>
      </w:r>
      <w:r>
        <w:rPr>
          <w:b/>
          <w:szCs w:val="22"/>
          <w:lang w:val="hu-HU" w:eastAsia="en-US"/>
        </w:rPr>
        <w:tab/>
        <w:t>A FORGALOMBA HOZATALI ENGEDÉLY ELSŐ KIADÁSÁNAK/ MEGÚJÍTÁSÁNAK DÁTUMA</w:t>
      </w:r>
    </w:p>
    <w:p w14:paraId="702DA0A0" w14:textId="77777777" w:rsidR="00835B06" w:rsidRDefault="00835B06">
      <w:pPr>
        <w:widowControl w:val="0"/>
        <w:tabs>
          <w:tab w:val="left" w:pos="567"/>
        </w:tabs>
        <w:rPr>
          <w:i/>
          <w:szCs w:val="22"/>
          <w:lang w:val="hu-HU" w:eastAsia="en-US"/>
        </w:rPr>
      </w:pPr>
    </w:p>
    <w:p w14:paraId="21780D24" w14:textId="77777777" w:rsidR="00835B06" w:rsidRDefault="004D03F7">
      <w:pPr>
        <w:widowControl w:val="0"/>
        <w:autoSpaceDE w:val="0"/>
        <w:autoSpaceDN w:val="0"/>
        <w:adjustRightInd w:val="0"/>
        <w:rPr>
          <w:color w:val="000000"/>
          <w:szCs w:val="22"/>
          <w:lang w:val="hu-HU"/>
        </w:rPr>
      </w:pPr>
      <w:r>
        <w:rPr>
          <w:color w:val="000000"/>
          <w:szCs w:val="22"/>
          <w:lang w:val="hu-HU"/>
        </w:rPr>
        <w:t>A forgalomba hozatali engedély első kiadásának dátuma: 2019. május 15.</w:t>
      </w:r>
    </w:p>
    <w:p w14:paraId="159CF107" w14:textId="77777777" w:rsidR="00835B06" w:rsidRDefault="00835B06">
      <w:pPr>
        <w:widowControl w:val="0"/>
        <w:tabs>
          <w:tab w:val="left" w:pos="567"/>
        </w:tabs>
        <w:rPr>
          <w:szCs w:val="22"/>
          <w:lang w:val="hu-HU" w:eastAsia="en-US"/>
        </w:rPr>
      </w:pPr>
    </w:p>
    <w:p w14:paraId="40D74FF1" w14:textId="77777777" w:rsidR="00835B06" w:rsidRDefault="004D03F7">
      <w:pPr>
        <w:tabs>
          <w:tab w:val="left" w:pos="567"/>
        </w:tabs>
        <w:rPr>
          <w:noProof/>
          <w:szCs w:val="22"/>
          <w:lang w:eastAsia="en-US"/>
        </w:rPr>
      </w:pPr>
      <w:r>
        <w:rPr>
          <w:noProof/>
          <w:szCs w:val="22"/>
          <w:lang w:eastAsia="en-US"/>
        </w:rPr>
        <w:t>A forgalomba hozatali engedély legutóbbi megújításának dátuma: 2023. november 21.</w:t>
      </w:r>
    </w:p>
    <w:p w14:paraId="1F22A572" w14:textId="77777777" w:rsidR="00835B06" w:rsidRDefault="00835B06">
      <w:pPr>
        <w:widowControl w:val="0"/>
        <w:tabs>
          <w:tab w:val="left" w:pos="567"/>
        </w:tabs>
        <w:rPr>
          <w:szCs w:val="22"/>
          <w:lang w:val="hu-HU" w:eastAsia="en-US"/>
        </w:rPr>
      </w:pPr>
    </w:p>
    <w:p w14:paraId="0F31D88A" w14:textId="77777777" w:rsidR="00835B06" w:rsidRDefault="00835B06">
      <w:pPr>
        <w:widowControl w:val="0"/>
        <w:tabs>
          <w:tab w:val="left" w:pos="567"/>
        </w:tabs>
        <w:rPr>
          <w:szCs w:val="22"/>
          <w:lang w:val="hu-HU" w:eastAsia="en-US"/>
        </w:rPr>
      </w:pPr>
    </w:p>
    <w:p w14:paraId="064CDC9C" w14:textId="77777777" w:rsidR="00835B06" w:rsidRDefault="004D03F7">
      <w:pPr>
        <w:widowControl w:val="0"/>
        <w:tabs>
          <w:tab w:val="left" w:pos="567"/>
        </w:tabs>
        <w:rPr>
          <w:b/>
          <w:szCs w:val="22"/>
          <w:lang w:val="hu-HU" w:eastAsia="en-US"/>
        </w:rPr>
      </w:pPr>
      <w:r>
        <w:rPr>
          <w:b/>
          <w:szCs w:val="22"/>
          <w:lang w:val="hu-HU" w:eastAsia="en-US"/>
        </w:rPr>
        <w:t>10.</w:t>
      </w:r>
      <w:r>
        <w:rPr>
          <w:b/>
          <w:szCs w:val="22"/>
          <w:lang w:val="hu-HU" w:eastAsia="en-US"/>
        </w:rPr>
        <w:tab/>
        <w:t>A SZÖVEG ELLENŐRZÉSÉNEK DÁTUMA</w:t>
      </w:r>
    </w:p>
    <w:p w14:paraId="4DB8022C" w14:textId="77777777" w:rsidR="00835B06" w:rsidRDefault="00835B06">
      <w:pPr>
        <w:widowControl w:val="0"/>
        <w:tabs>
          <w:tab w:val="left" w:pos="567"/>
        </w:tabs>
        <w:rPr>
          <w:szCs w:val="22"/>
          <w:lang w:val="hu-HU" w:eastAsia="en-US"/>
        </w:rPr>
      </w:pPr>
    </w:p>
    <w:p w14:paraId="27381FFD" w14:textId="35A92E14" w:rsidR="00835B06" w:rsidRDefault="006D7CF9">
      <w:pPr>
        <w:widowControl w:val="0"/>
        <w:tabs>
          <w:tab w:val="left" w:pos="567"/>
        </w:tabs>
        <w:rPr>
          <w:szCs w:val="22"/>
          <w:lang w:val="hu-HU" w:eastAsia="en-US"/>
        </w:rPr>
      </w:pPr>
      <w:r w:rsidRPr="006D7CF9">
        <w:rPr>
          <w:szCs w:val="22"/>
          <w:lang w:val="hu-HU" w:eastAsia="en-US"/>
        </w:rPr>
        <w:t>2026.</w:t>
      </w:r>
      <w:r>
        <w:rPr>
          <w:szCs w:val="22"/>
          <w:lang w:val="hu-HU" w:eastAsia="en-US"/>
        </w:rPr>
        <w:t xml:space="preserve"> március </w:t>
      </w:r>
      <w:bookmarkStart w:id="0" w:name="_GoBack"/>
      <w:bookmarkEnd w:id="0"/>
      <w:r w:rsidRPr="006D7CF9">
        <w:rPr>
          <w:szCs w:val="22"/>
          <w:lang w:val="hu-HU" w:eastAsia="en-US"/>
        </w:rPr>
        <w:t>2.</w:t>
      </w:r>
    </w:p>
    <w:sectPr w:rsidR="00835B06">
      <w:headerReference w:type="default" r:id="rId9"/>
      <w:footerReference w:type="first" r:id="rId10"/>
      <w:pgSz w:w="11907" w:h="16840"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775C72E" w16cex:dateUtc="2025-05-09T0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496C2E" w16cid:durableId="6CE99017"/>
  <w16cid:commentId w16cid:paraId="02FAC90B" w16cid:durableId="1775C72E"/>
  <w16cid:commentId w16cid:paraId="48DB380C" w16cid:durableId="1123ED0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AA6F5" w14:textId="77777777" w:rsidR="000F6BB5" w:rsidRDefault="000F6BB5">
      <w:r>
        <w:separator/>
      </w:r>
    </w:p>
  </w:endnote>
  <w:endnote w:type="continuationSeparator" w:id="0">
    <w:p w14:paraId="0827B1E0" w14:textId="77777777" w:rsidR="000F6BB5" w:rsidRDefault="000F6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HG Mincho Light J">
    <w:altName w:val="Times New Roman"/>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C34F0" w14:textId="03C799FC" w:rsidR="000F6BB5" w:rsidRDefault="000F6BB5" w:rsidP="00BA6D13">
    <w:pPr>
      <w:rPr>
        <w:sz w:val="18"/>
        <w:szCs w:val="18"/>
        <w:lang w:val="en-GB"/>
      </w:rPr>
    </w:pPr>
    <w:r w:rsidRPr="00BA6D13">
      <w:rPr>
        <w:sz w:val="18"/>
        <w:szCs w:val="18"/>
        <w:lang w:val="en-GB"/>
      </w:rPr>
      <w:t>NNGYK/GYSZ/52360/2024</w:t>
    </w:r>
  </w:p>
  <w:p w14:paraId="52E23314" w14:textId="40F7E153" w:rsidR="000F6BB5" w:rsidRPr="00BA6D13" w:rsidRDefault="000F6BB5" w:rsidP="00BA6D13">
    <w:pPr>
      <w:rPr>
        <w:sz w:val="18"/>
        <w:szCs w:val="18"/>
        <w:lang w:val="en-GB"/>
      </w:rPr>
    </w:pPr>
    <w:r w:rsidRPr="00BA6D13">
      <w:rPr>
        <w:sz w:val="18"/>
        <w:szCs w:val="18"/>
        <w:lang w:val="en-GB"/>
      </w:rPr>
      <w:t>NNGYK/ETGY/4829/2026</w:t>
    </w:r>
  </w:p>
  <w:p w14:paraId="4ACE6BDE" w14:textId="77777777" w:rsidR="000F6BB5" w:rsidRPr="00BA6D13" w:rsidRDefault="000F6BB5" w:rsidP="00BA6D13">
    <w:pPr>
      <w:rPr>
        <w:sz w:val="18"/>
        <w:szCs w:val="18"/>
        <w:lang w:val="en-GB"/>
      </w:rPr>
    </w:pPr>
    <w:r w:rsidRPr="00BA6D13">
      <w:rPr>
        <w:sz w:val="18"/>
        <w:szCs w:val="18"/>
        <w:lang w:val="en-GB"/>
      </w:rPr>
      <w:t>NNGYK/ETGY/4832/2026</w:t>
    </w:r>
  </w:p>
  <w:p w14:paraId="6C0D092D" w14:textId="77777777" w:rsidR="000F6BB5" w:rsidRPr="00BA6D13" w:rsidRDefault="000F6BB5" w:rsidP="00BA6D13">
    <w:pPr>
      <w:rPr>
        <w:sz w:val="18"/>
        <w:szCs w:val="18"/>
        <w:lang w:val="en-GB"/>
      </w:rPr>
    </w:pPr>
    <w:r w:rsidRPr="00BA6D13">
      <w:rPr>
        <w:sz w:val="18"/>
        <w:szCs w:val="18"/>
        <w:lang w:val="en-GB"/>
      </w:rPr>
      <w:t>NNGYK/ETGY/4833/2026</w:t>
    </w:r>
  </w:p>
  <w:p w14:paraId="4B25E1E8" w14:textId="77777777" w:rsidR="000F6BB5" w:rsidRPr="00BA6D13" w:rsidRDefault="000F6BB5" w:rsidP="00BA6D13">
    <w:pPr>
      <w:rPr>
        <w:sz w:val="18"/>
        <w:szCs w:val="18"/>
        <w:lang w:val="en-GB"/>
      </w:rPr>
    </w:pPr>
    <w:r w:rsidRPr="00BA6D13">
      <w:rPr>
        <w:sz w:val="18"/>
        <w:szCs w:val="18"/>
        <w:lang w:val="en-GB"/>
      </w:rPr>
      <w:t>NNGYK/ETGY/4834/2026</w:t>
    </w:r>
  </w:p>
  <w:p w14:paraId="121E5D4C" w14:textId="150C65EF" w:rsidR="000F6BB5" w:rsidRDefault="000F6BB5" w:rsidP="00BA6D13">
    <w:pPr>
      <w:rPr>
        <w:sz w:val="18"/>
        <w:szCs w:val="18"/>
      </w:rPr>
    </w:pPr>
    <w:r w:rsidRPr="00BA6D13">
      <w:rPr>
        <w:sz w:val="18"/>
        <w:szCs w:val="18"/>
        <w:lang w:val="en-GB"/>
      </w:rPr>
      <w:t>NNGYK/ETGY/4836/2026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83034" w14:textId="77777777" w:rsidR="000F6BB5" w:rsidRDefault="000F6BB5">
      <w:r>
        <w:separator/>
      </w:r>
    </w:p>
  </w:footnote>
  <w:footnote w:type="continuationSeparator" w:id="0">
    <w:p w14:paraId="362B92C1" w14:textId="77777777" w:rsidR="000F6BB5" w:rsidRDefault="000F6B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0359334"/>
      <w:docPartObj>
        <w:docPartGallery w:val="Page Numbers (Top of Page)"/>
        <w:docPartUnique/>
      </w:docPartObj>
    </w:sdtPr>
    <w:sdtEndPr>
      <w:rPr>
        <w:sz w:val="18"/>
        <w:szCs w:val="18"/>
      </w:rPr>
    </w:sdtEndPr>
    <w:sdtContent>
      <w:p w14:paraId="28D962C2" w14:textId="4FB25353" w:rsidR="000F6BB5" w:rsidRDefault="000F6BB5">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6D7CF9" w:rsidRPr="006D7CF9">
          <w:rPr>
            <w:noProof/>
            <w:sz w:val="18"/>
            <w:szCs w:val="18"/>
            <w:lang w:val="hu-HU"/>
          </w:rPr>
          <w:t>23</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0B41D9"/>
    <w:multiLevelType w:val="hybridMultilevel"/>
    <w:tmpl w:val="A83694B2"/>
    <w:lvl w:ilvl="0" w:tplc="D450914A">
      <w:start w:val="1"/>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6B723D"/>
    <w:multiLevelType w:val="hybridMultilevel"/>
    <w:tmpl w:val="C50E4012"/>
    <w:lvl w:ilvl="0" w:tplc="E2E8713A">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6743D38"/>
    <w:multiLevelType w:val="hybridMultilevel"/>
    <w:tmpl w:val="EE245C74"/>
    <w:lvl w:ilvl="0" w:tplc="7186AA4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A7C5966"/>
    <w:multiLevelType w:val="hybridMultilevel"/>
    <w:tmpl w:val="C25E0394"/>
    <w:lvl w:ilvl="0" w:tplc="EC785490">
      <w:start w:val="10"/>
      <w:numFmt w:val="bullet"/>
      <w:lvlText w:val="–"/>
      <w:lvlJc w:val="left"/>
      <w:pPr>
        <w:tabs>
          <w:tab w:val="num" w:pos="720"/>
        </w:tabs>
      </w:pPr>
      <w:rPr>
        <w:rFonts w:ascii="Times New Roman" w:hAnsi="Times New Roman" w:cs="Times New Roman" w:hint="default"/>
        <w:b/>
        <w:i w:val="0"/>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3C12C6"/>
    <w:multiLevelType w:val="hybridMultilevel"/>
    <w:tmpl w:val="BCEE986C"/>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0E726C2D"/>
    <w:multiLevelType w:val="hybridMultilevel"/>
    <w:tmpl w:val="AE28DF8A"/>
    <w:lvl w:ilvl="0" w:tplc="101206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60A10"/>
    <w:multiLevelType w:val="multilevel"/>
    <w:tmpl w:val="EE245C74"/>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69F039D"/>
    <w:multiLevelType w:val="multilevel"/>
    <w:tmpl w:val="97007C7A"/>
    <w:lvl w:ilvl="0">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A27F65"/>
    <w:multiLevelType w:val="hybridMultilevel"/>
    <w:tmpl w:val="4DEA94D8"/>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80E15FD"/>
    <w:multiLevelType w:val="hybridMultilevel"/>
    <w:tmpl w:val="631484D2"/>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C6D2DE9"/>
    <w:multiLevelType w:val="hybridMultilevel"/>
    <w:tmpl w:val="F8CC34D6"/>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21D93BB4"/>
    <w:multiLevelType w:val="multilevel"/>
    <w:tmpl w:val="536265FC"/>
    <w:lvl w:ilvl="0">
      <w:start w:val="1"/>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CC2C56"/>
    <w:multiLevelType w:val="hybridMultilevel"/>
    <w:tmpl w:val="5A282282"/>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245D2B96"/>
    <w:multiLevelType w:val="hybridMultilevel"/>
    <w:tmpl w:val="90348764"/>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2BC60888"/>
    <w:multiLevelType w:val="hybridMultilevel"/>
    <w:tmpl w:val="EF808964"/>
    <w:lvl w:ilvl="0" w:tplc="E2E8713A">
      <w:numFmt w:val="bullet"/>
      <w:lvlText w:val="-"/>
      <w:lvlJc w:val="left"/>
      <w:pPr>
        <w:tabs>
          <w:tab w:val="num" w:pos="567"/>
        </w:tabs>
        <w:ind w:left="567" w:hanging="567"/>
      </w:pPr>
      <w:rPr>
        <w:rFonts w:ascii="Times New Roman" w:eastAsia="Times New Roman" w:hAnsi="Times New Roman" w:cs="Times New Roman" w:hint="default"/>
        <w:b w:val="0"/>
        <w:i w:val="0"/>
        <w:sz w:val="16"/>
        <w:szCs w:val="16"/>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480CFC"/>
    <w:multiLevelType w:val="multilevel"/>
    <w:tmpl w:val="99A6F362"/>
    <w:lvl w:ilvl="0">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26B7D"/>
    <w:multiLevelType w:val="hybridMultilevel"/>
    <w:tmpl w:val="D4A8CBA8"/>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00A3779"/>
    <w:multiLevelType w:val="hybridMultilevel"/>
    <w:tmpl w:val="BAFE31AA"/>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F11C36"/>
    <w:multiLevelType w:val="multilevel"/>
    <w:tmpl w:val="0DCE1842"/>
    <w:lvl w:ilvl="0">
      <w:start w:val="10"/>
      <w:numFmt w:val="bullet"/>
      <w:lvlText w:val="-"/>
      <w:lvlJc w:val="left"/>
      <w:pPr>
        <w:tabs>
          <w:tab w:val="num" w:pos="720"/>
        </w:tabs>
      </w:pPr>
      <w:rPr>
        <w:rFonts w:ascii="Times New Roman" w:hAnsi="Times New Roman"/>
        <w:b/>
        <w:i w:val="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1874F6"/>
    <w:multiLevelType w:val="hybridMultilevel"/>
    <w:tmpl w:val="8FA8A7B0"/>
    <w:lvl w:ilvl="0" w:tplc="65C245F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27F4C74"/>
    <w:multiLevelType w:val="hybridMultilevel"/>
    <w:tmpl w:val="A3EE5244"/>
    <w:lvl w:ilvl="0" w:tplc="D450914A">
      <w:start w:val="1"/>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plc="04240003">
      <w:start w:val="1"/>
      <w:numFmt w:val="bullet"/>
      <w:lvlText w:val="o"/>
      <w:lvlJc w:val="left"/>
      <w:pPr>
        <w:tabs>
          <w:tab w:val="num" w:pos="2880"/>
        </w:tabs>
        <w:ind w:left="2880" w:hanging="360"/>
      </w:pPr>
      <w:rPr>
        <w:rFonts w:ascii="Courier New" w:hAnsi="Courier New" w:cs="Courier New" w:hint="default"/>
      </w:rPr>
    </w:lvl>
    <w:lvl w:ilvl="2" w:tplc="04240005">
      <w:start w:val="1"/>
      <w:numFmt w:val="bullet"/>
      <w:lvlText w:val=""/>
      <w:lvlJc w:val="left"/>
      <w:pPr>
        <w:tabs>
          <w:tab w:val="num" w:pos="3600"/>
        </w:tabs>
        <w:ind w:left="3600" w:hanging="360"/>
      </w:pPr>
      <w:rPr>
        <w:rFonts w:ascii="Wingdings" w:hAnsi="Wingdings" w:hint="default"/>
      </w:rPr>
    </w:lvl>
    <w:lvl w:ilvl="3" w:tplc="04240001" w:tentative="1">
      <w:start w:val="1"/>
      <w:numFmt w:val="bullet"/>
      <w:lvlText w:val=""/>
      <w:lvlJc w:val="left"/>
      <w:pPr>
        <w:tabs>
          <w:tab w:val="num" w:pos="4320"/>
        </w:tabs>
        <w:ind w:left="4320" w:hanging="360"/>
      </w:pPr>
      <w:rPr>
        <w:rFonts w:ascii="Symbol" w:hAnsi="Symbol" w:hint="default"/>
      </w:rPr>
    </w:lvl>
    <w:lvl w:ilvl="4" w:tplc="04240003" w:tentative="1">
      <w:start w:val="1"/>
      <w:numFmt w:val="bullet"/>
      <w:lvlText w:val="o"/>
      <w:lvlJc w:val="left"/>
      <w:pPr>
        <w:tabs>
          <w:tab w:val="num" w:pos="5040"/>
        </w:tabs>
        <w:ind w:left="5040" w:hanging="360"/>
      </w:pPr>
      <w:rPr>
        <w:rFonts w:ascii="Courier New" w:hAnsi="Courier New" w:cs="Courier New" w:hint="default"/>
      </w:rPr>
    </w:lvl>
    <w:lvl w:ilvl="5" w:tplc="04240005" w:tentative="1">
      <w:start w:val="1"/>
      <w:numFmt w:val="bullet"/>
      <w:lvlText w:val=""/>
      <w:lvlJc w:val="left"/>
      <w:pPr>
        <w:tabs>
          <w:tab w:val="num" w:pos="5760"/>
        </w:tabs>
        <w:ind w:left="5760" w:hanging="360"/>
      </w:pPr>
      <w:rPr>
        <w:rFonts w:ascii="Wingdings" w:hAnsi="Wingdings" w:hint="default"/>
      </w:rPr>
    </w:lvl>
    <w:lvl w:ilvl="6" w:tplc="04240001" w:tentative="1">
      <w:start w:val="1"/>
      <w:numFmt w:val="bullet"/>
      <w:lvlText w:val=""/>
      <w:lvlJc w:val="left"/>
      <w:pPr>
        <w:tabs>
          <w:tab w:val="num" w:pos="6480"/>
        </w:tabs>
        <w:ind w:left="6480" w:hanging="360"/>
      </w:pPr>
      <w:rPr>
        <w:rFonts w:ascii="Symbol" w:hAnsi="Symbol" w:hint="default"/>
      </w:rPr>
    </w:lvl>
    <w:lvl w:ilvl="7" w:tplc="04240003" w:tentative="1">
      <w:start w:val="1"/>
      <w:numFmt w:val="bullet"/>
      <w:lvlText w:val="o"/>
      <w:lvlJc w:val="left"/>
      <w:pPr>
        <w:tabs>
          <w:tab w:val="num" w:pos="7200"/>
        </w:tabs>
        <w:ind w:left="7200" w:hanging="360"/>
      </w:pPr>
      <w:rPr>
        <w:rFonts w:ascii="Courier New" w:hAnsi="Courier New" w:cs="Courier New" w:hint="default"/>
      </w:rPr>
    </w:lvl>
    <w:lvl w:ilvl="8" w:tplc="04240005" w:tentative="1">
      <w:start w:val="1"/>
      <w:numFmt w:val="bullet"/>
      <w:lvlText w:val=""/>
      <w:lvlJc w:val="left"/>
      <w:pPr>
        <w:tabs>
          <w:tab w:val="num" w:pos="7920"/>
        </w:tabs>
        <w:ind w:left="7920" w:hanging="360"/>
      </w:pPr>
      <w:rPr>
        <w:rFonts w:ascii="Wingdings" w:hAnsi="Wingdings" w:hint="default"/>
      </w:rPr>
    </w:lvl>
  </w:abstractNum>
  <w:abstractNum w:abstractNumId="23" w15:restartNumberingAfterBreak="0">
    <w:nsid w:val="48495A16"/>
    <w:multiLevelType w:val="hybridMultilevel"/>
    <w:tmpl w:val="80269C22"/>
    <w:lvl w:ilvl="0" w:tplc="00000002">
      <w:start w:val="10"/>
      <w:numFmt w:val="bullet"/>
      <w:lvlText w:val="-"/>
      <w:lvlJc w:val="left"/>
      <w:pPr>
        <w:tabs>
          <w:tab w:val="num" w:pos="567"/>
        </w:tabs>
        <w:ind w:left="567" w:hanging="567"/>
      </w:pPr>
      <w:rPr>
        <w:rFonts w:ascii="Times New Roman" w:hAnsi="Times New Roman" w:hint="default"/>
        <w:b/>
        <w:i w:val="0"/>
        <w:sz w:val="22"/>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463033"/>
    <w:multiLevelType w:val="hybridMultilevel"/>
    <w:tmpl w:val="B13274B2"/>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B83610"/>
    <w:multiLevelType w:val="hybridMultilevel"/>
    <w:tmpl w:val="A4225DE0"/>
    <w:lvl w:ilvl="0" w:tplc="101206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F4167"/>
    <w:multiLevelType w:val="hybridMultilevel"/>
    <w:tmpl w:val="7826CFBA"/>
    <w:lvl w:ilvl="0" w:tplc="61D6DA82">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D32D77"/>
    <w:multiLevelType w:val="hybridMultilevel"/>
    <w:tmpl w:val="F4B8D966"/>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53B216AB"/>
    <w:multiLevelType w:val="multilevel"/>
    <w:tmpl w:val="94920A26"/>
    <w:lvl w:ilvl="0">
      <w:numFmt w:val="bullet"/>
      <w:lvlText w:val="-"/>
      <w:lvlJc w:val="left"/>
      <w:pPr>
        <w:tabs>
          <w:tab w:val="num" w:pos="720"/>
        </w:tabs>
        <w:ind w:left="720" w:hanging="360"/>
      </w:pPr>
      <w:rPr>
        <w:rFonts w:ascii="Times New Roman" w:eastAsia="Times New Roman" w:hAnsi="Times New Roman" w:cs="Times New Roman" w:hint="default"/>
        <w:b w:val="0"/>
        <w:i w:val="0"/>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B515E3"/>
    <w:multiLevelType w:val="hybridMultilevel"/>
    <w:tmpl w:val="C494FE62"/>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F410753"/>
    <w:multiLevelType w:val="hybridMultilevel"/>
    <w:tmpl w:val="739472C2"/>
    <w:lvl w:ilvl="0" w:tplc="101206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9F59D3"/>
    <w:multiLevelType w:val="hybridMultilevel"/>
    <w:tmpl w:val="856631F0"/>
    <w:lvl w:ilvl="0" w:tplc="4F4ECC44">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62790806"/>
    <w:multiLevelType w:val="hybridMultilevel"/>
    <w:tmpl w:val="24C27576"/>
    <w:lvl w:ilvl="0" w:tplc="AAB6A956">
      <w:start w:val="1"/>
      <w:numFmt w:val="bullet"/>
      <w:lvlText w:val=""/>
      <w:lvlJc w:val="left"/>
      <w:pPr>
        <w:tabs>
          <w:tab w:val="num" w:pos="360"/>
        </w:tabs>
        <w:ind w:left="357" w:hanging="357"/>
      </w:pPr>
      <w:rPr>
        <w:rFonts w:ascii="Symbol" w:hAnsi="Symbol"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F021E6"/>
    <w:multiLevelType w:val="multilevel"/>
    <w:tmpl w:val="58DE9474"/>
    <w:lvl w:ilvl="0">
      <w:numFmt w:val="bullet"/>
      <w:lvlText w:val="-"/>
      <w:lvlJc w:val="left"/>
      <w:pPr>
        <w:tabs>
          <w:tab w:val="num" w:pos="720"/>
        </w:tabs>
        <w:ind w:left="720" w:hanging="360"/>
      </w:pPr>
      <w:rPr>
        <w:rFonts w:ascii="Times New Roman" w:eastAsia="Times New Roman" w:hAnsi="Times New Roman" w:cs="Times New Roman" w:hint="default"/>
        <w:b w:val="0"/>
        <w:i w:val="0"/>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5C35BB"/>
    <w:multiLevelType w:val="hybridMultilevel"/>
    <w:tmpl w:val="0B448B5E"/>
    <w:lvl w:ilvl="0" w:tplc="E2E8713A">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7951662"/>
    <w:multiLevelType w:val="multilevel"/>
    <w:tmpl w:val="BCEE986C"/>
    <w:lvl w:ilvl="0">
      <w:numFmt w:val="bullet"/>
      <w:lvlText w:val="-"/>
      <w:lvlJc w:val="left"/>
      <w:pPr>
        <w:ind w:left="720" w:hanging="360"/>
      </w:pPr>
      <w:rPr>
        <w:rFonts w:ascii="Times New Roman" w:eastAsia="Times New Roman" w:hAnsi="Times New Roman" w:cs="Times New Roman" w:hint="default"/>
        <w:b w:val="0"/>
        <w:i w:val="0"/>
        <w:sz w:val="16"/>
        <w:szCs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8025537"/>
    <w:multiLevelType w:val="hybridMultilevel"/>
    <w:tmpl w:val="D2CC755E"/>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B60803"/>
    <w:multiLevelType w:val="hybridMultilevel"/>
    <w:tmpl w:val="17F0B1F0"/>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B84147"/>
    <w:multiLevelType w:val="multilevel"/>
    <w:tmpl w:val="EDBAC258"/>
    <w:lvl w:ilvl="0">
      <w:numFmt w:val="bullet"/>
      <w:lvlText w:val="-"/>
      <w:lvlJc w:val="left"/>
      <w:pPr>
        <w:tabs>
          <w:tab w:val="num" w:pos="720"/>
        </w:tabs>
        <w:ind w:left="720" w:hanging="360"/>
      </w:pPr>
      <w:rPr>
        <w:rFonts w:ascii="Times New Roman" w:eastAsia="Times New Roman" w:hAnsi="Times New Roman" w:cs="Times New Roman" w:hint="default"/>
        <w:b w:val="0"/>
        <w:i w:val="0"/>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1B031D"/>
    <w:multiLevelType w:val="hybridMultilevel"/>
    <w:tmpl w:val="24F88152"/>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74066393"/>
    <w:multiLevelType w:val="hybridMultilevel"/>
    <w:tmpl w:val="80C80334"/>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59B0972"/>
    <w:multiLevelType w:val="hybridMultilevel"/>
    <w:tmpl w:val="F9303A90"/>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ACB004F"/>
    <w:multiLevelType w:val="hybridMultilevel"/>
    <w:tmpl w:val="0DCE1842"/>
    <w:lvl w:ilvl="0" w:tplc="00000002">
      <w:start w:val="10"/>
      <w:numFmt w:val="bullet"/>
      <w:lvlText w:val="-"/>
      <w:lvlJc w:val="left"/>
      <w:pPr>
        <w:tabs>
          <w:tab w:val="num" w:pos="720"/>
        </w:tabs>
      </w:pPr>
      <w:rPr>
        <w:rFonts w:ascii="Times New Roman" w:hAnsi="Times New Roman"/>
        <w:b/>
        <w:i w:val="0"/>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DA0485"/>
    <w:multiLevelType w:val="hybridMultilevel"/>
    <w:tmpl w:val="31887D1C"/>
    <w:lvl w:ilvl="0" w:tplc="E2E8713A">
      <w:numFmt w:val="bullet"/>
      <w:lvlText w:val="-"/>
      <w:lvlJc w:val="left"/>
      <w:pPr>
        <w:tabs>
          <w:tab w:val="num" w:pos="1440"/>
        </w:tabs>
        <w:ind w:left="1440" w:hanging="360"/>
      </w:pPr>
      <w:rPr>
        <w:rFonts w:ascii="Times New Roman" w:eastAsia="Times New Roman" w:hAnsi="Times New Roman" w:cs="Times New Roman" w:hint="default"/>
        <w:b w:val="0"/>
        <w:i w:val="0"/>
        <w:sz w:val="16"/>
        <w:szCs w:val="16"/>
      </w:rPr>
    </w:lvl>
    <w:lvl w:ilvl="1" w:tplc="04240003">
      <w:start w:val="1"/>
      <w:numFmt w:val="bullet"/>
      <w:lvlText w:val="o"/>
      <w:lvlJc w:val="left"/>
      <w:pPr>
        <w:tabs>
          <w:tab w:val="num" w:pos="2880"/>
        </w:tabs>
        <w:ind w:left="2880" w:hanging="360"/>
      </w:pPr>
      <w:rPr>
        <w:rFonts w:ascii="Courier New" w:hAnsi="Courier New" w:cs="Courier New" w:hint="default"/>
      </w:rPr>
    </w:lvl>
    <w:lvl w:ilvl="2" w:tplc="04240005">
      <w:start w:val="1"/>
      <w:numFmt w:val="bullet"/>
      <w:lvlText w:val=""/>
      <w:lvlJc w:val="left"/>
      <w:pPr>
        <w:tabs>
          <w:tab w:val="num" w:pos="3600"/>
        </w:tabs>
        <w:ind w:left="3600" w:hanging="360"/>
      </w:pPr>
      <w:rPr>
        <w:rFonts w:ascii="Wingdings" w:hAnsi="Wingdings" w:hint="default"/>
      </w:rPr>
    </w:lvl>
    <w:lvl w:ilvl="3" w:tplc="04240001" w:tentative="1">
      <w:start w:val="1"/>
      <w:numFmt w:val="bullet"/>
      <w:lvlText w:val=""/>
      <w:lvlJc w:val="left"/>
      <w:pPr>
        <w:tabs>
          <w:tab w:val="num" w:pos="4320"/>
        </w:tabs>
        <w:ind w:left="4320" w:hanging="360"/>
      </w:pPr>
      <w:rPr>
        <w:rFonts w:ascii="Symbol" w:hAnsi="Symbol" w:hint="default"/>
      </w:rPr>
    </w:lvl>
    <w:lvl w:ilvl="4" w:tplc="04240003" w:tentative="1">
      <w:start w:val="1"/>
      <w:numFmt w:val="bullet"/>
      <w:lvlText w:val="o"/>
      <w:lvlJc w:val="left"/>
      <w:pPr>
        <w:tabs>
          <w:tab w:val="num" w:pos="5040"/>
        </w:tabs>
        <w:ind w:left="5040" w:hanging="360"/>
      </w:pPr>
      <w:rPr>
        <w:rFonts w:ascii="Courier New" w:hAnsi="Courier New" w:cs="Courier New" w:hint="default"/>
      </w:rPr>
    </w:lvl>
    <w:lvl w:ilvl="5" w:tplc="04240005" w:tentative="1">
      <w:start w:val="1"/>
      <w:numFmt w:val="bullet"/>
      <w:lvlText w:val=""/>
      <w:lvlJc w:val="left"/>
      <w:pPr>
        <w:tabs>
          <w:tab w:val="num" w:pos="5760"/>
        </w:tabs>
        <w:ind w:left="5760" w:hanging="360"/>
      </w:pPr>
      <w:rPr>
        <w:rFonts w:ascii="Wingdings" w:hAnsi="Wingdings" w:hint="default"/>
      </w:rPr>
    </w:lvl>
    <w:lvl w:ilvl="6" w:tplc="04240001" w:tentative="1">
      <w:start w:val="1"/>
      <w:numFmt w:val="bullet"/>
      <w:lvlText w:val=""/>
      <w:lvlJc w:val="left"/>
      <w:pPr>
        <w:tabs>
          <w:tab w:val="num" w:pos="6480"/>
        </w:tabs>
        <w:ind w:left="6480" w:hanging="360"/>
      </w:pPr>
      <w:rPr>
        <w:rFonts w:ascii="Symbol" w:hAnsi="Symbol" w:hint="default"/>
      </w:rPr>
    </w:lvl>
    <w:lvl w:ilvl="7" w:tplc="04240003" w:tentative="1">
      <w:start w:val="1"/>
      <w:numFmt w:val="bullet"/>
      <w:lvlText w:val="o"/>
      <w:lvlJc w:val="left"/>
      <w:pPr>
        <w:tabs>
          <w:tab w:val="num" w:pos="7200"/>
        </w:tabs>
        <w:ind w:left="7200" w:hanging="360"/>
      </w:pPr>
      <w:rPr>
        <w:rFonts w:ascii="Courier New" w:hAnsi="Courier New" w:cs="Courier New" w:hint="default"/>
      </w:rPr>
    </w:lvl>
    <w:lvl w:ilvl="8" w:tplc="04240005" w:tentative="1">
      <w:start w:val="1"/>
      <w:numFmt w:val="bullet"/>
      <w:lvlText w:val=""/>
      <w:lvlJc w:val="left"/>
      <w:pPr>
        <w:tabs>
          <w:tab w:val="num" w:pos="7920"/>
        </w:tabs>
        <w:ind w:left="7920" w:hanging="360"/>
      </w:pPr>
      <w:rPr>
        <w:rFonts w:ascii="Wingdings" w:hAnsi="Wingdings" w:hint="default"/>
      </w:rPr>
    </w:lvl>
  </w:abstractNum>
  <w:abstractNum w:abstractNumId="44" w15:restartNumberingAfterBreak="0">
    <w:nsid w:val="7E014335"/>
    <w:multiLevelType w:val="hybridMultilevel"/>
    <w:tmpl w:val="FEF81256"/>
    <w:lvl w:ilvl="0" w:tplc="E2E8713A">
      <w:numFmt w:val="bullet"/>
      <w:lvlText w:val="-"/>
      <w:lvlJc w:val="left"/>
      <w:pPr>
        <w:ind w:left="720" w:hanging="360"/>
      </w:pPr>
      <w:rPr>
        <w:rFonts w:ascii="Times New Roman" w:eastAsia="Times New Roman" w:hAnsi="Times New Roman" w:cs="Times New Roman" w:hint="default"/>
        <w:b w:val="0"/>
        <w:i w:val="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3617A7"/>
    <w:multiLevelType w:val="hybridMultilevel"/>
    <w:tmpl w:val="4382465E"/>
    <w:lvl w:ilvl="0" w:tplc="101206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C45952"/>
    <w:multiLevelType w:val="hybridMultilevel"/>
    <w:tmpl w:val="CB18155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0"/>
    <w:lvlOverride w:ilvl="0">
      <w:lvl w:ilvl="0">
        <w:start w:val="1"/>
        <w:numFmt w:val="bullet"/>
        <w:lvlText w:val="-"/>
        <w:legacy w:legacy="1" w:legacySpace="0" w:legacyIndent="360"/>
        <w:lvlJc w:val="left"/>
        <w:pPr>
          <w:ind w:left="360" w:hanging="360"/>
        </w:pPr>
      </w:lvl>
    </w:lvlOverride>
  </w:num>
  <w:num w:numId="3">
    <w:abstractNumId w:val="29"/>
  </w:num>
  <w:num w:numId="4">
    <w:abstractNumId w:val="19"/>
  </w:num>
  <w:num w:numId="5">
    <w:abstractNumId w:val="26"/>
  </w:num>
  <w:num w:numId="6">
    <w:abstractNumId w:val="18"/>
  </w:num>
  <w:num w:numId="7">
    <w:abstractNumId w:val="30"/>
  </w:num>
  <w:num w:numId="8">
    <w:abstractNumId w:val="45"/>
  </w:num>
  <w:num w:numId="9">
    <w:abstractNumId w:val="25"/>
  </w:num>
  <w:num w:numId="10">
    <w:abstractNumId w:val="6"/>
  </w:num>
  <w:num w:numId="11">
    <w:abstractNumId w:val="28"/>
  </w:num>
  <w:num w:numId="12">
    <w:abstractNumId w:val="34"/>
  </w:num>
  <w:num w:numId="13">
    <w:abstractNumId w:val="2"/>
  </w:num>
  <w:num w:numId="14">
    <w:abstractNumId w:val="16"/>
  </w:num>
  <w:num w:numId="15">
    <w:abstractNumId w:val="43"/>
  </w:num>
  <w:num w:numId="16">
    <w:abstractNumId w:val="8"/>
  </w:num>
  <w:num w:numId="17">
    <w:abstractNumId w:val="44"/>
  </w:num>
  <w:num w:numId="18">
    <w:abstractNumId w:val="27"/>
  </w:num>
  <w:num w:numId="19">
    <w:abstractNumId w:val="24"/>
  </w:num>
  <w:num w:numId="20">
    <w:abstractNumId w:val="15"/>
  </w:num>
  <w:num w:numId="21">
    <w:abstractNumId w:val="5"/>
  </w:num>
  <w:num w:numId="22">
    <w:abstractNumId w:val="17"/>
  </w:num>
  <w:num w:numId="23">
    <w:abstractNumId w:val="39"/>
  </w:num>
  <w:num w:numId="24">
    <w:abstractNumId w:val="41"/>
  </w:num>
  <w:num w:numId="25">
    <w:abstractNumId w:val="14"/>
  </w:num>
  <w:num w:numId="26">
    <w:abstractNumId w:val="10"/>
  </w:num>
  <w:num w:numId="27">
    <w:abstractNumId w:val="38"/>
  </w:num>
  <w:num w:numId="28">
    <w:abstractNumId w:val="33"/>
  </w:num>
  <w:num w:numId="29">
    <w:abstractNumId w:val="36"/>
  </w:num>
  <w:num w:numId="30">
    <w:abstractNumId w:val="11"/>
  </w:num>
  <w:num w:numId="31">
    <w:abstractNumId w:val="9"/>
  </w:num>
  <w:num w:numId="32">
    <w:abstractNumId w:val="40"/>
  </w:num>
  <w:num w:numId="33">
    <w:abstractNumId w:val="1"/>
  </w:num>
  <w:num w:numId="34">
    <w:abstractNumId w:val="22"/>
  </w:num>
  <w:num w:numId="35">
    <w:abstractNumId w:val="12"/>
  </w:num>
  <w:num w:numId="36">
    <w:abstractNumId w:val="13"/>
  </w:num>
  <w:num w:numId="37">
    <w:abstractNumId w:val="23"/>
  </w:num>
  <w:num w:numId="38">
    <w:abstractNumId w:val="32"/>
  </w:num>
  <w:num w:numId="39">
    <w:abstractNumId w:val="42"/>
  </w:num>
  <w:num w:numId="40">
    <w:abstractNumId w:val="3"/>
  </w:num>
  <w:num w:numId="41">
    <w:abstractNumId w:val="46"/>
  </w:num>
  <w:num w:numId="42">
    <w:abstractNumId w:val="20"/>
  </w:num>
  <w:num w:numId="43">
    <w:abstractNumId w:val="4"/>
  </w:num>
  <w:num w:numId="44">
    <w:abstractNumId w:val="7"/>
  </w:num>
  <w:num w:numId="45">
    <w:abstractNumId w:val="21"/>
  </w:num>
  <w:num w:numId="46">
    <w:abstractNumId w:val="35"/>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B06"/>
    <w:rsid w:val="000F6BB5"/>
    <w:rsid w:val="002B2396"/>
    <w:rsid w:val="004D03F7"/>
    <w:rsid w:val="00620D35"/>
    <w:rsid w:val="006D7CF9"/>
    <w:rsid w:val="00835B06"/>
    <w:rsid w:val="00A21E63"/>
    <w:rsid w:val="00A7264C"/>
    <w:rsid w:val="00BA6D13"/>
    <w:rsid w:val="00C63959"/>
    <w:rsid w:val="00E66860"/>
    <w:rsid w:val="00FE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6B5FBBE1"/>
  <w15:docId w15:val="{0B8FABB9-6B5E-4A5F-8F3F-99261126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2"/>
      <w:lang w:val="sl-SI" w:eastAsia="sl-SI"/>
    </w:rPr>
  </w:style>
  <w:style w:type="paragraph" w:styleId="Cmsor1">
    <w:name w:val="heading 1"/>
    <w:basedOn w:val="Norml"/>
    <w:next w:val="Norml"/>
    <w:link w:val="Cmsor1Char"/>
    <w:qFormat/>
    <w:pPr>
      <w:keepNext/>
      <w:spacing w:before="240" w:after="60"/>
      <w:outlineLvl w:val="0"/>
    </w:pPr>
    <w:rPr>
      <w:rFonts w:ascii="Arial" w:hAnsi="Arial" w:cs="Arial"/>
      <w:b/>
      <w:bCs/>
      <w:kern w:val="32"/>
      <w:sz w:val="32"/>
      <w:szCs w:val="32"/>
    </w:rPr>
  </w:style>
  <w:style w:type="paragraph" w:styleId="Cmsor2">
    <w:name w:val="heading 2"/>
    <w:basedOn w:val="Norml"/>
    <w:next w:val="Norml"/>
    <w:link w:val="Cmsor2Char"/>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link w:val="Cmsor3Char"/>
    <w:qFormat/>
    <w:pPr>
      <w:keepNext/>
      <w:tabs>
        <w:tab w:val="decimal" w:pos="6760"/>
      </w:tabs>
      <w:spacing w:line="480" w:lineRule="atLeast"/>
      <w:outlineLvl w:val="2"/>
    </w:pPr>
    <w:rPr>
      <w:b/>
      <w:lang w:val="en-US"/>
    </w:rPr>
  </w:style>
  <w:style w:type="paragraph" w:styleId="Cmsor4">
    <w:name w:val="heading 4"/>
    <w:basedOn w:val="Norml"/>
    <w:next w:val="Norml"/>
    <w:link w:val="Cmsor4Char"/>
    <w:qFormat/>
    <w:pPr>
      <w:keepNext/>
      <w:spacing w:before="240" w:after="60"/>
      <w:outlineLvl w:val="3"/>
    </w:pPr>
    <w:rPr>
      <w:b/>
      <w:bCs/>
      <w:sz w:val="28"/>
      <w:szCs w:val="28"/>
    </w:rPr>
  </w:style>
  <w:style w:type="paragraph" w:styleId="Cmsor6">
    <w:name w:val="heading 6"/>
    <w:basedOn w:val="Norml"/>
    <w:next w:val="Norml"/>
    <w:link w:val="Cmsor6Char"/>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Pr>
      <w:rFonts w:ascii="Arial" w:hAnsi="Arial" w:cs="Arial"/>
      <w:b/>
      <w:bCs/>
      <w:kern w:val="32"/>
      <w:sz w:val="32"/>
      <w:szCs w:val="32"/>
      <w:lang w:val="sl-SI" w:eastAsia="sl-SI"/>
    </w:rPr>
  </w:style>
  <w:style w:type="character" w:customStyle="1" w:styleId="Cmsor2Char">
    <w:name w:val="Címsor 2 Char"/>
    <w:basedOn w:val="Bekezdsalapbettpusa"/>
    <w:link w:val="Cmsor2"/>
    <w:rPr>
      <w:b/>
      <w:sz w:val="24"/>
      <w:u w:val="single"/>
      <w:lang w:val="en-US" w:eastAsia="sl-SI"/>
    </w:rPr>
  </w:style>
  <w:style w:type="character" w:customStyle="1" w:styleId="Cmsor3Char">
    <w:name w:val="Címsor 3 Char"/>
    <w:basedOn w:val="Bekezdsalapbettpusa"/>
    <w:link w:val="Cmsor3"/>
    <w:rPr>
      <w:b/>
      <w:sz w:val="24"/>
      <w:lang w:val="en-US" w:eastAsia="sl-SI"/>
    </w:rPr>
  </w:style>
  <w:style w:type="character" w:customStyle="1" w:styleId="Cmsor4Char">
    <w:name w:val="Címsor 4 Char"/>
    <w:basedOn w:val="Bekezdsalapbettpusa"/>
    <w:link w:val="Cmsor4"/>
    <w:rPr>
      <w:b/>
      <w:bCs/>
      <w:sz w:val="28"/>
      <w:szCs w:val="28"/>
      <w:lang w:val="sl-SI" w:eastAsia="sl-SI"/>
    </w:rPr>
  </w:style>
  <w:style w:type="character" w:customStyle="1" w:styleId="Cmsor6Char">
    <w:name w:val="Címsor 6 Char"/>
    <w:basedOn w:val="Bekezdsalapbettpusa"/>
    <w:link w:val="Cmsor6"/>
    <w:rPr>
      <w:b/>
      <w:sz w:val="24"/>
      <w:lang w:val="en-US" w:eastAsia="sl-SI"/>
    </w:rPr>
  </w:style>
  <w:style w:type="paragraph" w:styleId="lfej">
    <w:name w:val="header"/>
    <w:basedOn w:val="Norml"/>
    <w:link w:val="lfejChar"/>
    <w:uiPriority w:val="99"/>
    <w:pPr>
      <w:tabs>
        <w:tab w:val="center" w:pos="4320"/>
        <w:tab w:val="right" w:pos="8640"/>
      </w:tabs>
    </w:pPr>
  </w:style>
  <w:style w:type="character" w:customStyle="1" w:styleId="lfejChar">
    <w:name w:val="Élőfej Char"/>
    <w:basedOn w:val="Bekezdsalapbettpusa"/>
    <w:link w:val="lfej"/>
    <w:uiPriority w:val="99"/>
    <w:rPr>
      <w:sz w:val="24"/>
      <w:lang w:val="sl-SI" w:eastAsia="sl-SI"/>
    </w:rPr>
  </w:style>
  <w:style w:type="paragraph" w:styleId="llb">
    <w:name w:val="footer"/>
    <w:basedOn w:val="Norml"/>
    <w:link w:val="llbChar"/>
    <w:uiPriority w:val="99"/>
    <w:pPr>
      <w:tabs>
        <w:tab w:val="center" w:pos="4320"/>
        <w:tab w:val="right" w:pos="8640"/>
      </w:tabs>
    </w:pPr>
  </w:style>
  <w:style w:type="character" w:customStyle="1" w:styleId="llbChar">
    <w:name w:val="Élőláb Char"/>
    <w:basedOn w:val="Bekezdsalapbettpusa"/>
    <w:link w:val="llb"/>
    <w:uiPriority w:val="99"/>
    <w:rPr>
      <w:sz w:val="24"/>
      <w:lang w:val="sl-SI" w:eastAsia="sl-SI"/>
    </w:r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link w:val="CsakszvegChar"/>
    <w:rPr>
      <w:rFonts w:ascii="Courier New" w:hAnsi="Courier New"/>
      <w:sz w:val="20"/>
      <w:lang w:val="en-GB"/>
    </w:rPr>
  </w:style>
  <w:style w:type="character" w:customStyle="1" w:styleId="CsakszvegChar">
    <w:name w:val="Csak szöveg Char"/>
    <w:basedOn w:val="Bekezdsalapbettpusa"/>
    <w:link w:val="Csakszveg"/>
    <w:rPr>
      <w:rFonts w:ascii="Courier New" w:hAnsi="Courier New"/>
      <w:lang w:eastAsia="sl-SI"/>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pPr>
      <w:spacing w:before="120"/>
    </w:pPr>
    <w:rPr>
      <w:b/>
      <w:bCs/>
      <w:i/>
      <w:iCs/>
      <w:szCs w:val="28"/>
    </w:rPr>
  </w:style>
  <w:style w:type="paragraph" w:styleId="Szvegtrzs">
    <w:name w:val="Body Text"/>
    <w:basedOn w:val="Norml"/>
    <w:link w:val="SzvegtrzsChar"/>
    <w:pPr>
      <w:numPr>
        <w:ilvl w:val="12"/>
      </w:numPr>
      <w:tabs>
        <w:tab w:val="left" w:pos="8505"/>
      </w:tabs>
      <w:ind w:right="-2"/>
    </w:pPr>
  </w:style>
  <w:style w:type="character" w:customStyle="1" w:styleId="SzvegtrzsChar">
    <w:name w:val="Szövegtörzs Char"/>
    <w:basedOn w:val="Bekezdsalapbettpusa"/>
    <w:link w:val="Szvegtrzs"/>
    <w:rPr>
      <w:sz w:val="22"/>
      <w:lang w:val="sl-SI" w:eastAsia="sl-SI"/>
    </w:rPr>
  </w:style>
  <w:style w:type="paragraph" w:styleId="Szvegtrzs2">
    <w:name w:val="Body Text 2"/>
    <w:basedOn w:val="Norml"/>
    <w:link w:val="Szvegtrzs2Char"/>
    <w:pPr>
      <w:spacing w:after="120" w:line="480" w:lineRule="auto"/>
    </w:pPr>
  </w:style>
  <w:style w:type="character" w:customStyle="1" w:styleId="Szvegtrzs2Char">
    <w:name w:val="Szövegtörzs 2 Char"/>
    <w:basedOn w:val="Bekezdsalapbettpusa"/>
    <w:link w:val="Szvegtrzs2"/>
    <w:rPr>
      <w:sz w:val="24"/>
      <w:lang w:val="sl-SI" w:eastAsia="sl-SI"/>
    </w:r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4"/>
      <w:szCs w:val="24"/>
      <w:lang w:val="sl-SI" w:eastAsia="sl-SI"/>
    </w:rPr>
  </w:style>
  <w:style w:type="numbering" w:customStyle="1" w:styleId="Brezseznama1">
    <w:name w:val="Brez seznama1"/>
    <w:next w:val="Nemlista"/>
    <w:semiHidden/>
  </w:style>
  <w:style w:type="paragraph" w:styleId="Vgjegyzetszvege">
    <w:name w:val="endnote text"/>
    <w:basedOn w:val="Norml"/>
    <w:link w:val="VgjegyzetszvegeChar"/>
    <w:pPr>
      <w:tabs>
        <w:tab w:val="left" w:pos="567"/>
      </w:tabs>
    </w:pPr>
    <w:rPr>
      <w:lang w:val="en-GB" w:eastAsia="en-US"/>
    </w:rPr>
  </w:style>
  <w:style w:type="character" w:customStyle="1" w:styleId="VgjegyzetszvegeChar">
    <w:name w:val="Végjegyzet szövege Char"/>
    <w:basedOn w:val="Bekezdsalapbettpusa"/>
    <w:link w:val="Vgjegyzetszvege"/>
    <w:rPr>
      <w:sz w:val="22"/>
      <w:lang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link w:val="CmChar"/>
    <w:qFormat/>
    <w:pPr>
      <w:jc w:val="center"/>
    </w:pPr>
    <w:rPr>
      <w:b/>
      <w:lang w:val="en-GB" w:eastAsia="en-US"/>
    </w:rPr>
  </w:style>
  <w:style w:type="character" w:customStyle="1" w:styleId="CmChar">
    <w:name w:val="Cím Char"/>
    <w:basedOn w:val="Bekezdsalapbettpusa"/>
    <w:link w:val="Cm"/>
    <w:rPr>
      <w:b/>
      <w:sz w:val="22"/>
      <w:lang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paragraph" w:customStyle="1" w:styleId="TitleB">
    <w:name w:val="Title B"/>
    <w:basedOn w:val="Norml"/>
    <w:qFormat/>
    <w:pPr>
      <w:widowControl w:val="0"/>
      <w:tabs>
        <w:tab w:val="left" w:pos="567"/>
      </w:tabs>
      <w:ind w:left="567" w:hanging="567"/>
    </w:pPr>
    <w:rPr>
      <w:b/>
      <w:bCs/>
      <w:noProof/>
      <w:szCs w:val="22"/>
      <w:lang w:val="en-US" w:eastAsia="en-US"/>
    </w:rPr>
  </w:style>
  <w:style w:type="paragraph" w:customStyle="1" w:styleId="TitleA">
    <w:name w:val="Title A"/>
    <w:basedOn w:val="Norml"/>
    <w:qFormat/>
    <w:pPr>
      <w:widowControl w:val="0"/>
      <w:jc w:val="center"/>
      <w:outlineLvl w:val="0"/>
    </w:pPr>
    <w:rPr>
      <w:b/>
      <w:noProof/>
      <w:szCs w:val="22"/>
      <w:lang w:val="en-GB" w:eastAsia="en-US"/>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cs="Tahoma"/>
      <w:sz w:val="16"/>
      <w:szCs w:val="16"/>
    </w:rPr>
  </w:style>
  <w:style w:type="character" w:customStyle="1" w:styleId="BuborkszvegChar">
    <w:name w:val="Buborékszöveg Char"/>
    <w:basedOn w:val="Bekezdsalapbettpusa"/>
    <w:link w:val="Buborkszveg"/>
    <w:rPr>
      <w:rFonts w:ascii="Tahoma" w:hAnsi="Tahoma" w:cs="Tahoma"/>
      <w:sz w:val="16"/>
      <w:szCs w:val="16"/>
      <w:lang w:val="sl-SI" w:eastAsia="sl-SI"/>
    </w:rPr>
  </w:style>
  <w:style w:type="numbering" w:customStyle="1" w:styleId="Brezseznama6">
    <w:name w:val="Brez seznama6"/>
    <w:next w:val="Nemlista"/>
    <w:uiPriority w:val="99"/>
    <w:semiHidden/>
    <w:unhideWhenUsed/>
  </w:style>
  <w:style w:type="paragraph" w:customStyle="1" w:styleId="BodytextAgency">
    <w:name w:val="Body text (Agency)"/>
    <w:basedOn w:val="Norml"/>
    <w:link w:val="BodytextAgencyChar"/>
    <w:pPr>
      <w:spacing w:after="140" w:line="280" w:lineRule="atLeast"/>
    </w:pPr>
    <w:rPr>
      <w:rFonts w:ascii="Verdana" w:eastAsia="Verdana" w:hAnsi="Verdana" w:cs="Verdana"/>
      <w:sz w:val="18"/>
      <w:szCs w:val="18"/>
      <w:lang w:val="en-GB" w:eastAsia="en-GB"/>
    </w:rPr>
  </w:style>
  <w:style w:type="character" w:customStyle="1" w:styleId="BodytextAgencyChar">
    <w:name w:val="Body text (Agency) Char"/>
    <w:link w:val="BodytextAgency"/>
    <w:rPr>
      <w:rFonts w:ascii="Verdana" w:eastAsia="Verdana" w:hAnsi="Verdana" w:cs="Verdana"/>
      <w:sz w:val="18"/>
      <w:szCs w:val="18"/>
    </w:rPr>
  </w:style>
  <w:style w:type="paragraph" w:styleId="Szvegtrzsbehzssal">
    <w:name w:val="Body Text Indent"/>
    <w:basedOn w:val="Norml"/>
    <w:link w:val="SzvegtrzsbehzssalChar"/>
    <w:pPr>
      <w:spacing w:after="120"/>
      <w:ind w:left="283"/>
    </w:pPr>
  </w:style>
  <w:style w:type="character" w:customStyle="1" w:styleId="SzvegtrzsbehzssalChar">
    <w:name w:val="Szövegtörzs behúzással Char"/>
    <w:basedOn w:val="Bekezdsalapbettpusa"/>
    <w:link w:val="Szvegtrzsbehzssal"/>
    <w:rPr>
      <w:sz w:val="24"/>
      <w:lang w:val="sl-SI" w:eastAsia="sl-SI"/>
    </w:rPr>
  </w:style>
  <w:style w:type="paragraph" w:styleId="Szvegtrzs3">
    <w:name w:val="Body Text 3"/>
    <w:basedOn w:val="Norml"/>
    <w:link w:val="Szvegtrzs3Char"/>
    <w:pPr>
      <w:spacing w:after="120"/>
    </w:pPr>
    <w:rPr>
      <w:sz w:val="16"/>
      <w:szCs w:val="16"/>
    </w:rPr>
  </w:style>
  <w:style w:type="character" w:customStyle="1" w:styleId="Szvegtrzs3Char">
    <w:name w:val="Szövegtörzs 3 Char"/>
    <w:basedOn w:val="Bekezdsalapbettpusa"/>
    <w:link w:val="Szvegtrzs3"/>
    <w:rPr>
      <w:sz w:val="16"/>
      <w:szCs w:val="16"/>
      <w:lang w:val="sl-SI" w:eastAsia="sl-SI"/>
    </w:rPr>
  </w:style>
  <w:style w:type="paragraph" w:customStyle="1" w:styleId="ndringar">
    <w:name w:val="ändringar"/>
    <w:basedOn w:val="Norml"/>
    <w:pPr>
      <w:overflowPunct w:val="0"/>
      <w:autoSpaceDE w:val="0"/>
      <w:autoSpaceDN w:val="0"/>
      <w:adjustRightInd w:val="0"/>
      <w:textAlignment w:val="baseline"/>
    </w:pPr>
    <w:rPr>
      <w:rFonts w:ascii="Arial" w:hAnsi="Arial" w:cs="Arial"/>
      <w:color w:val="FF0000"/>
      <w:szCs w:val="24"/>
      <w:lang w:val="en-GB" w:eastAsia="en-US"/>
    </w:rPr>
  </w:style>
  <w:style w:type="paragraph" w:customStyle="1" w:styleId="A-TableText">
    <w:name w:val="A-Table Text"/>
    <w:pPr>
      <w:spacing w:before="60" w:after="60"/>
    </w:pPr>
    <w:rPr>
      <w:sz w:val="22"/>
      <w:szCs w:val="22"/>
      <w:lang w:eastAsia="en-US"/>
    </w:rPr>
  </w:style>
  <w:style w:type="paragraph" w:customStyle="1" w:styleId="A-TableTitle">
    <w:name w:val="A-Table Title"/>
    <w:next w:val="Norml"/>
    <w:pPr>
      <w:keepNext/>
      <w:tabs>
        <w:tab w:val="left" w:pos="1800"/>
      </w:tabs>
      <w:spacing w:after="120" w:line="280" w:lineRule="atLeast"/>
      <w:ind w:left="1800" w:hanging="1800"/>
    </w:pPr>
    <w:rPr>
      <w:b/>
      <w:bCs/>
      <w:sz w:val="24"/>
      <w:szCs w:val="24"/>
      <w:lang w:eastAsia="en-US"/>
    </w:rPr>
  </w:style>
  <w:style w:type="paragraph" w:customStyle="1" w:styleId="A-TableHeader">
    <w:name w:val="A-Table Header"/>
    <w:next w:val="A-TableText"/>
    <w:pPr>
      <w:keepNext/>
      <w:spacing w:before="60" w:after="60"/>
    </w:pPr>
    <w:rPr>
      <w:b/>
      <w:bCs/>
      <w:sz w:val="22"/>
      <w:szCs w:val="22"/>
      <w:lang w:eastAsia="en-US"/>
    </w:rPr>
  </w:style>
  <w:style w:type="paragraph" w:styleId="NormlWeb">
    <w:name w:val="Normal (Web)"/>
    <w:basedOn w:val="Norml"/>
    <w:uiPriority w:val="99"/>
    <w:pPr>
      <w:spacing w:before="100" w:beforeAutospacing="1" w:after="69"/>
    </w:pPr>
    <w:rPr>
      <w:color w:val="000000"/>
      <w:szCs w:val="24"/>
      <w:lang w:val="en-US" w:eastAsia="en-US"/>
    </w:rPr>
  </w:style>
  <w:style w:type="character" w:customStyle="1" w:styleId="bold1">
    <w:name w:val="bold1"/>
    <w:rPr>
      <w:b/>
      <w:bCs/>
    </w:rPr>
  </w:style>
  <w:style w:type="paragraph" w:customStyle="1" w:styleId="paragraph1">
    <w:name w:val="paragraph1"/>
    <w:basedOn w:val="Norml"/>
    <w:rPr>
      <w:szCs w:val="24"/>
    </w:rPr>
  </w:style>
  <w:style w:type="table" w:customStyle="1" w:styleId="Tabelamrea1">
    <w:name w:val="Tabela – mreža1"/>
    <w:basedOn w:val="Normltblzat"/>
    <w:next w:val="Rcsostblzat"/>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l"/>
    <w:pPr>
      <w:widowControl w:val="0"/>
      <w:suppressAutoHyphens/>
    </w:pPr>
    <w:rPr>
      <w:rFonts w:eastAsia="HG Mincho Light J"/>
      <w:color w:val="000000"/>
      <w:sz w:val="20"/>
      <w:szCs w:val="24"/>
      <w:lang w:val="en-US"/>
    </w:rPr>
  </w:style>
  <w:style w:type="paragraph" w:customStyle="1" w:styleId="ExtraSpace">
    <w:name w:val="Extra Space"/>
    <w:basedOn w:val="Norml"/>
    <w:next w:val="Norml"/>
    <w:pPr>
      <w:spacing w:line="120" w:lineRule="exact"/>
    </w:pPr>
    <w:rPr>
      <w:rFonts w:ascii="Arial" w:hAnsi="Arial"/>
      <w:color w:val="00FF00"/>
      <w:sz w:val="20"/>
      <w:szCs w:val="24"/>
      <w:lang w:val="en-US" w:eastAsia="en-US"/>
    </w:rPr>
  </w:style>
  <w:style w:type="paragraph" w:customStyle="1" w:styleId="Tablecentered">
    <w:name w:val="Table: centered"/>
    <w:basedOn w:val="Norml"/>
    <w:pPr>
      <w:keepNext/>
      <w:keepLines/>
      <w:jc w:val="center"/>
    </w:pPr>
    <w:rPr>
      <w:rFonts w:ascii="Arial" w:hAnsi="Arial"/>
      <w:sz w:val="14"/>
      <w:szCs w:val="24"/>
      <w:lang w:val="en-US" w:eastAsia="en-US"/>
    </w:rPr>
  </w:style>
  <w:style w:type="character" w:styleId="Lbjegyzet-hivatkozs">
    <w:name w:val="footnote reference"/>
    <w:rPr>
      <w:vertAlign w:val="superscript"/>
    </w:rPr>
  </w:style>
  <w:style w:type="paragraph" w:customStyle="1" w:styleId="Body">
    <w:name w:val="Body"/>
    <w:basedOn w:val="Norml"/>
    <w:link w:val="BodyChar"/>
    <w:pPr>
      <w:ind w:firstLine="288"/>
      <w:jc w:val="both"/>
    </w:pPr>
    <w:rPr>
      <w:rFonts w:ascii="Arial" w:hAnsi="Arial"/>
      <w:sz w:val="20"/>
      <w:szCs w:val="24"/>
      <w:lang w:val="en-US" w:eastAsia="en-US"/>
    </w:rPr>
  </w:style>
  <w:style w:type="paragraph" w:customStyle="1" w:styleId="Footnote">
    <w:name w:val="Footnote"/>
    <w:basedOn w:val="Norml"/>
    <w:next w:val="Body"/>
    <w:pPr>
      <w:keepLines/>
      <w:tabs>
        <w:tab w:val="right" w:pos="317"/>
        <w:tab w:val="left" w:pos="346"/>
      </w:tabs>
      <w:ind w:left="346" w:hanging="346"/>
    </w:pPr>
    <w:rPr>
      <w:rFonts w:ascii="Arial" w:hAnsi="Arial"/>
      <w:sz w:val="14"/>
      <w:szCs w:val="24"/>
      <w:lang w:val="en-US" w:eastAsia="en-US"/>
    </w:rPr>
  </w:style>
  <w:style w:type="paragraph" w:customStyle="1" w:styleId="Tablenormal">
    <w:name w:val="Table: normal"/>
    <w:basedOn w:val="Norml"/>
    <w:pPr>
      <w:keepNext/>
      <w:keepLines/>
    </w:pPr>
    <w:rPr>
      <w:rFonts w:ascii="Arial" w:hAnsi="Arial"/>
      <w:sz w:val="14"/>
      <w:szCs w:val="24"/>
      <w:lang w:val="en-US" w:eastAsia="en-US"/>
    </w:rPr>
  </w:style>
  <w:style w:type="character" w:customStyle="1" w:styleId="BodyChar">
    <w:name w:val="Body Char"/>
    <w:link w:val="Body"/>
    <w:rPr>
      <w:rFonts w:ascii="Arial" w:hAnsi="Arial"/>
      <w:szCs w:val="24"/>
      <w:lang w:val="en-US" w:eastAsia="en-US"/>
    </w:rPr>
  </w:style>
  <w:style w:type="character" w:customStyle="1" w:styleId="Kiemelt">
    <w:name w:val="Kiemelt"/>
    <w:rPr>
      <w:i/>
      <w:iCs/>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
    <w:uiPriority w:val="99"/>
    <w:unhideWhenUsed/>
    <w:rPr>
      <w:sz w:val="20"/>
    </w:rPr>
  </w:style>
  <w:style w:type="character" w:customStyle="1" w:styleId="JegyzetszvegChar">
    <w:name w:val="Jegyzetszöveg Char"/>
    <w:basedOn w:val="Bekezdsalapbettpusa"/>
    <w:link w:val="Jegyzetszveg"/>
    <w:uiPriority w:val="99"/>
    <w:rPr>
      <w:lang w:val="sl-SI" w:eastAsia="sl-SI"/>
    </w:rPr>
  </w:style>
  <w:style w:type="paragraph" w:styleId="Megjegyzstrgya">
    <w:name w:val="annotation subject"/>
    <w:basedOn w:val="Jegyzetszveg"/>
    <w:next w:val="Jegyzetszveg"/>
    <w:link w:val="MegjegyzstrgyaChar"/>
    <w:semiHidden/>
    <w:unhideWhenUsed/>
    <w:rPr>
      <w:b/>
      <w:bCs/>
    </w:rPr>
  </w:style>
  <w:style w:type="character" w:customStyle="1" w:styleId="MegjegyzstrgyaChar">
    <w:name w:val="Megjegyzés tárgya Char"/>
    <w:basedOn w:val="JegyzetszvegChar"/>
    <w:link w:val="Megjegyzstrgya"/>
    <w:semiHidden/>
    <w:rPr>
      <w:b/>
      <w:bCs/>
      <w:lang w:val="sl-SI" w:eastAsia="sl-SI"/>
    </w:rPr>
  </w:style>
  <w:style w:type="paragraph" w:customStyle="1" w:styleId="Normal2">
    <w:name w:val="Normal2"/>
    <w:basedOn w:val="Norml"/>
    <w:pPr>
      <w:suppressAutoHyphens/>
    </w:pPr>
    <w:rPr>
      <w:sz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49121">
      <w:bodyDiv w:val="1"/>
      <w:marLeft w:val="0"/>
      <w:marRight w:val="0"/>
      <w:marTop w:val="0"/>
      <w:marBottom w:val="0"/>
      <w:divBdr>
        <w:top w:val="none" w:sz="0" w:space="0" w:color="auto"/>
        <w:left w:val="none" w:sz="0" w:space="0" w:color="auto"/>
        <w:bottom w:val="none" w:sz="0" w:space="0" w:color="auto"/>
        <w:right w:val="none" w:sz="0" w:space="0" w:color="auto"/>
      </w:divBdr>
    </w:div>
    <w:div w:id="556091507">
      <w:bodyDiv w:val="1"/>
      <w:marLeft w:val="0"/>
      <w:marRight w:val="0"/>
      <w:marTop w:val="0"/>
      <w:marBottom w:val="0"/>
      <w:divBdr>
        <w:top w:val="none" w:sz="0" w:space="0" w:color="auto"/>
        <w:left w:val="none" w:sz="0" w:space="0" w:color="auto"/>
        <w:bottom w:val="none" w:sz="0" w:space="0" w:color="auto"/>
        <w:right w:val="none" w:sz="0" w:space="0" w:color="auto"/>
      </w:divBdr>
    </w:div>
    <w:div w:id="788859783">
      <w:bodyDiv w:val="1"/>
      <w:marLeft w:val="0"/>
      <w:marRight w:val="0"/>
      <w:marTop w:val="0"/>
      <w:marBottom w:val="0"/>
      <w:divBdr>
        <w:top w:val="none" w:sz="0" w:space="0" w:color="auto"/>
        <w:left w:val="none" w:sz="0" w:space="0" w:color="auto"/>
        <w:bottom w:val="none" w:sz="0" w:space="0" w:color="auto"/>
        <w:right w:val="none" w:sz="0" w:space="0" w:color="auto"/>
      </w:divBdr>
    </w:div>
    <w:div w:id="847863941">
      <w:bodyDiv w:val="1"/>
      <w:marLeft w:val="0"/>
      <w:marRight w:val="0"/>
      <w:marTop w:val="0"/>
      <w:marBottom w:val="0"/>
      <w:divBdr>
        <w:top w:val="none" w:sz="0" w:space="0" w:color="auto"/>
        <w:left w:val="none" w:sz="0" w:space="0" w:color="auto"/>
        <w:bottom w:val="none" w:sz="0" w:space="0" w:color="auto"/>
        <w:right w:val="none" w:sz="0" w:space="0" w:color="auto"/>
      </w:divBdr>
    </w:div>
    <w:div w:id="1511330931">
      <w:bodyDiv w:val="1"/>
      <w:marLeft w:val="0"/>
      <w:marRight w:val="0"/>
      <w:marTop w:val="0"/>
      <w:marBottom w:val="0"/>
      <w:divBdr>
        <w:top w:val="none" w:sz="0" w:space="0" w:color="auto"/>
        <w:left w:val="none" w:sz="0" w:space="0" w:color="auto"/>
        <w:bottom w:val="none" w:sz="0" w:space="0" w:color="auto"/>
        <w:right w:val="none" w:sz="0" w:space="0" w:color="auto"/>
      </w:divBdr>
    </w:div>
    <w:div w:id="1568883331">
      <w:bodyDiv w:val="1"/>
      <w:marLeft w:val="0"/>
      <w:marRight w:val="0"/>
      <w:marTop w:val="0"/>
      <w:marBottom w:val="0"/>
      <w:divBdr>
        <w:top w:val="none" w:sz="0" w:space="0" w:color="auto"/>
        <w:left w:val="none" w:sz="0" w:space="0" w:color="auto"/>
        <w:bottom w:val="none" w:sz="0" w:space="0" w:color="auto"/>
        <w:right w:val="none" w:sz="0" w:space="0" w:color="auto"/>
      </w:divBdr>
    </w:div>
    <w:div w:id="1775903535">
      <w:bodyDiv w:val="1"/>
      <w:marLeft w:val="0"/>
      <w:marRight w:val="0"/>
      <w:marTop w:val="0"/>
      <w:marBottom w:val="0"/>
      <w:divBdr>
        <w:top w:val="none" w:sz="0" w:space="0" w:color="auto"/>
        <w:left w:val="none" w:sz="0" w:space="0" w:color="auto"/>
        <w:bottom w:val="none" w:sz="0" w:space="0" w:color="auto"/>
        <w:right w:val="none" w:sz="0" w:space="0" w:color="auto"/>
      </w:divBdr>
    </w:div>
    <w:div w:id="1888101710">
      <w:bodyDiv w:val="1"/>
      <w:marLeft w:val="0"/>
      <w:marRight w:val="0"/>
      <w:marTop w:val="0"/>
      <w:marBottom w:val="0"/>
      <w:divBdr>
        <w:top w:val="none" w:sz="0" w:space="0" w:color="auto"/>
        <w:left w:val="none" w:sz="0" w:space="0" w:color="auto"/>
        <w:bottom w:val="none" w:sz="0" w:space="0" w:color="auto"/>
        <w:right w:val="none" w:sz="0" w:space="0" w:color="auto"/>
      </w:divBdr>
    </w:div>
    <w:div w:id="2042128137">
      <w:bodyDiv w:val="1"/>
      <w:marLeft w:val="0"/>
      <w:marRight w:val="0"/>
      <w:marTop w:val="0"/>
      <w:marBottom w:val="0"/>
      <w:divBdr>
        <w:top w:val="none" w:sz="0" w:space="0" w:color="auto"/>
        <w:left w:val="none" w:sz="0" w:space="0" w:color="auto"/>
        <w:bottom w:val="none" w:sz="0" w:space="0" w:color="auto"/>
        <w:right w:val="none" w:sz="0" w:space="0" w:color="auto"/>
      </w:divBdr>
    </w:div>
    <w:div w:id="210318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Microsoft\Templates\Normal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1AF44-EF63-45D5-AEA2-469401B9E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Normal11.dot</Template>
  <TotalTime>23</TotalTime>
  <Pages>25</Pages>
  <Words>9068</Words>
  <Characters>67128</Characters>
  <Application>Microsoft Office Word</Application>
  <DocSecurity>0</DocSecurity>
  <Lines>559</Lines>
  <Paragraphs>152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None</Company>
  <LinksUpToDate>false</LinksUpToDate>
  <CharactersWithSpaces>76044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Nagy István</dc:creator>
  <cp:lastModifiedBy>HU_OGYI_61_1</cp:lastModifiedBy>
  <cp:revision>11</cp:revision>
  <dcterms:created xsi:type="dcterms:W3CDTF">2025-08-26T12:54:00Z</dcterms:created>
  <dcterms:modified xsi:type="dcterms:W3CDTF">2026-03-02T11:54:00Z</dcterms:modified>
</cp:coreProperties>
</file>