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E025" w14:textId="77777777" w:rsidR="00342CEA" w:rsidRDefault="00837BAB">
      <w:pPr>
        <w:keepNext/>
        <w:spacing w:line="240" w:lineRule="auto"/>
        <w:rPr>
          <w:lang w:val="hu-HU"/>
        </w:rPr>
      </w:pPr>
      <w:r>
        <w:rPr>
          <w:rFonts w:eastAsia="Times New Roman"/>
          <w:b/>
          <w:bCs/>
          <w:lang w:val="hu-HU" w:eastAsia="en-US"/>
        </w:rPr>
        <w:t>1.</w:t>
      </w:r>
      <w:r>
        <w:rPr>
          <w:rFonts w:eastAsia="Times New Roman"/>
          <w:b/>
          <w:bCs/>
          <w:lang w:val="hu-HU" w:eastAsia="en-US"/>
        </w:rPr>
        <w:tab/>
        <w:t>A GYÓGYSZER NEVE</w:t>
      </w:r>
    </w:p>
    <w:p w14:paraId="44D59F71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52528E24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bookmarkStart w:id="0" w:name="_Hlk187059785"/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12,5 mg filmtabletta</w:t>
      </w:r>
    </w:p>
    <w:p w14:paraId="4423CEA0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25 mg filmtabletta</w:t>
      </w:r>
    </w:p>
    <w:p w14:paraId="2CBA97E8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50 mg filmtabletta</w:t>
      </w:r>
    </w:p>
    <w:p w14:paraId="0D627993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75 mg filmtabletta</w:t>
      </w:r>
    </w:p>
    <w:bookmarkEnd w:id="0"/>
    <w:p w14:paraId="15DEAB29" w14:textId="77777777" w:rsidR="00342CEA" w:rsidRDefault="00342CEA">
      <w:pPr>
        <w:spacing w:line="240" w:lineRule="auto"/>
        <w:rPr>
          <w:lang w:val="hu-HU"/>
        </w:rPr>
      </w:pPr>
    </w:p>
    <w:p w14:paraId="1A59048F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6410B26C" w14:textId="77777777" w:rsidR="00342CEA" w:rsidRDefault="00837BAB">
      <w:pPr>
        <w:keepNext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MINŐSÉGI ÉS MENNYISÉGI ÖSSZETÉTEL</w:t>
      </w:r>
    </w:p>
    <w:p w14:paraId="6F99B638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76F06C24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12,5 mg filmtabletta</w:t>
      </w:r>
    </w:p>
    <w:p w14:paraId="00718D34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12,5 mg </w:t>
      </w:r>
      <w:proofErr w:type="spellStart"/>
      <w:r>
        <w:rPr>
          <w:rFonts w:eastAsia="Times New Roman"/>
          <w:lang w:val="hu-HU" w:eastAsia="en-US"/>
        </w:rPr>
        <w:t>eltrombopagnak</w:t>
      </w:r>
      <w:proofErr w:type="spellEnd"/>
      <w:r>
        <w:rPr>
          <w:rFonts w:eastAsia="Times New Roman"/>
          <w:lang w:val="hu-HU" w:eastAsia="en-US"/>
        </w:rPr>
        <w:t xml:space="preserve"> megfelelő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 New Roman"/>
          <w:lang w:val="hu-HU" w:eastAsia="en-US"/>
        </w:rPr>
        <w:noBreakHyphen/>
        <w:t>olamint</w:t>
      </w:r>
      <w:proofErr w:type="spellEnd"/>
      <w:r>
        <w:rPr>
          <w:rFonts w:eastAsia="Times New Roman"/>
          <w:lang w:val="hu-HU" w:eastAsia="en-US"/>
        </w:rPr>
        <w:t xml:space="preserve">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1F42BB91" w14:textId="77777777" w:rsidR="00342CEA" w:rsidRDefault="00342CEA">
      <w:pPr>
        <w:widowControl w:val="0"/>
        <w:spacing w:line="240" w:lineRule="auto"/>
        <w:rPr>
          <w:lang w:val="hu-HU"/>
        </w:rPr>
      </w:pPr>
    </w:p>
    <w:p w14:paraId="5E225B94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25 mg filmtabletta</w:t>
      </w:r>
    </w:p>
    <w:p w14:paraId="6720210E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25 mg </w:t>
      </w:r>
      <w:proofErr w:type="spellStart"/>
      <w:r>
        <w:rPr>
          <w:rFonts w:eastAsia="Times New Roman"/>
          <w:lang w:val="hu-HU" w:eastAsia="en-US"/>
        </w:rPr>
        <w:t>eltrombopagnak</w:t>
      </w:r>
      <w:proofErr w:type="spellEnd"/>
      <w:r>
        <w:rPr>
          <w:rFonts w:eastAsia="Times New Roman"/>
          <w:lang w:val="hu-HU" w:eastAsia="en-US"/>
        </w:rPr>
        <w:t xml:space="preserve"> megfelelő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 New Roman"/>
          <w:lang w:val="hu-HU" w:eastAsia="en-US"/>
        </w:rPr>
        <w:noBreakHyphen/>
        <w:t>olamint</w:t>
      </w:r>
      <w:proofErr w:type="spellEnd"/>
      <w:r>
        <w:rPr>
          <w:rFonts w:eastAsia="Times New Roman"/>
          <w:lang w:val="hu-HU" w:eastAsia="en-US"/>
        </w:rPr>
        <w:t xml:space="preserve">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56A107FA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7ABBDF41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50 mg filmtabletta</w:t>
      </w:r>
    </w:p>
    <w:p w14:paraId="1470ADDD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50 mg </w:t>
      </w:r>
      <w:proofErr w:type="spellStart"/>
      <w:r>
        <w:rPr>
          <w:rFonts w:eastAsia="Times New Roman"/>
          <w:lang w:val="hu-HU" w:eastAsia="en-US"/>
        </w:rPr>
        <w:t>eltrombopagnak</w:t>
      </w:r>
      <w:proofErr w:type="spellEnd"/>
      <w:r>
        <w:rPr>
          <w:rFonts w:eastAsia="Times New Roman"/>
          <w:lang w:val="hu-HU" w:eastAsia="en-US"/>
        </w:rPr>
        <w:t xml:space="preserve"> megfelelő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 New Roman"/>
          <w:lang w:val="hu-HU" w:eastAsia="en-US"/>
        </w:rPr>
        <w:noBreakHyphen/>
        <w:t>olamint</w:t>
      </w:r>
      <w:proofErr w:type="spellEnd"/>
      <w:r>
        <w:rPr>
          <w:rFonts w:eastAsia="Times New Roman"/>
          <w:lang w:val="hu-HU" w:eastAsia="en-US"/>
        </w:rPr>
        <w:t xml:space="preserve">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41CAA478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16145761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75 mg filmtabletta</w:t>
      </w:r>
    </w:p>
    <w:p w14:paraId="2568D82A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75 mg </w:t>
      </w:r>
      <w:proofErr w:type="spellStart"/>
      <w:r>
        <w:rPr>
          <w:rFonts w:eastAsia="Times New Roman"/>
          <w:lang w:val="hu-HU" w:eastAsia="en-US"/>
        </w:rPr>
        <w:t>eltrombopagnak</w:t>
      </w:r>
      <w:proofErr w:type="spellEnd"/>
      <w:r>
        <w:rPr>
          <w:rFonts w:eastAsia="Times New Roman"/>
          <w:lang w:val="hu-HU" w:eastAsia="en-US"/>
        </w:rPr>
        <w:t xml:space="preserve"> megfelelő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 New Roman"/>
          <w:lang w:val="hu-HU" w:eastAsia="en-US"/>
        </w:rPr>
        <w:noBreakHyphen/>
        <w:t>olamint</w:t>
      </w:r>
      <w:proofErr w:type="spellEnd"/>
      <w:r>
        <w:rPr>
          <w:rFonts w:eastAsia="Times New Roman"/>
          <w:lang w:val="hu-HU" w:eastAsia="en-US"/>
        </w:rPr>
        <w:t xml:space="preserve">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42399860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369781E7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Ismert hatású segédanyagok</w:t>
      </w:r>
    </w:p>
    <w:p w14:paraId="6D5F4B63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7BDC1850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12,5 mg filmtabletta</w:t>
      </w:r>
    </w:p>
    <w:p w14:paraId="459D9EF0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29 mg izomaltot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4AE729FD" w14:textId="77777777" w:rsidR="00342CEA" w:rsidRDefault="00342CEA">
      <w:pPr>
        <w:widowControl w:val="0"/>
        <w:spacing w:line="240" w:lineRule="auto"/>
        <w:rPr>
          <w:lang w:val="hu-HU"/>
        </w:rPr>
      </w:pPr>
    </w:p>
    <w:p w14:paraId="2142AFB8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25 mg filmtabletta</w:t>
      </w:r>
    </w:p>
    <w:p w14:paraId="165BF366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58 mg izomaltot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60954374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5949AA35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50 mg filmtabletta</w:t>
      </w:r>
    </w:p>
    <w:p w14:paraId="7A1390C3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117 mg izomaltot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5BA57D0D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76BB516F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75 mg filmtabletta</w:t>
      </w:r>
    </w:p>
    <w:p w14:paraId="0B2FF6E1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175 mg </w:t>
      </w:r>
      <w:proofErr w:type="spellStart"/>
      <w:r>
        <w:rPr>
          <w:rFonts w:eastAsia="Times New Roman"/>
          <w:lang w:val="hu-HU" w:eastAsia="en-US"/>
        </w:rPr>
        <w:t>eltrombopagnak</w:t>
      </w:r>
      <w:proofErr w:type="spellEnd"/>
      <w:r>
        <w:rPr>
          <w:rFonts w:eastAsia="Times New Roman"/>
          <w:lang w:val="hu-HU" w:eastAsia="en-US"/>
        </w:rPr>
        <w:t xml:space="preserve"> megfelelő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 New Roman"/>
          <w:lang w:val="hu-HU" w:eastAsia="en-US"/>
        </w:rPr>
        <w:noBreakHyphen/>
        <w:t>olamint</w:t>
      </w:r>
      <w:proofErr w:type="spellEnd"/>
      <w:r>
        <w:rPr>
          <w:rFonts w:eastAsia="Times New Roman"/>
          <w:lang w:val="hu-HU" w:eastAsia="en-US"/>
        </w:rPr>
        <w:t xml:space="preserve"> tartalmaz </w:t>
      </w:r>
      <w:proofErr w:type="spellStart"/>
      <w:r>
        <w:rPr>
          <w:rFonts w:eastAsia="Times New Roman"/>
          <w:lang w:val="hu-HU" w:eastAsia="en-US"/>
        </w:rPr>
        <w:t>filmtablettánként</w:t>
      </w:r>
      <w:proofErr w:type="spellEnd"/>
      <w:r>
        <w:rPr>
          <w:rFonts w:eastAsia="Times New Roman"/>
          <w:lang w:val="hu-HU" w:eastAsia="en-US"/>
        </w:rPr>
        <w:t>.</w:t>
      </w:r>
    </w:p>
    <w:p w14:paraId="4A1ECA6A" w14:textId="77777777" w:rsidR="00342CEA" w:rsidRDefault="00342CEA">
      <w:pPr>
        <w:pStyle w:val="EMEAEnBodyText"/>
        <w:autoSpaceDE w:val="0"/>
        <w:autoSpaceDN w:val="0"/>
        <w:spacing w:before="0" w:after="0"/>
        <w:rPr>
          <w:lang w:val="hu-HU"/>
        </w:rPr>
      </w:pPr>
    </w:p>
    <w:p w14:paraId="1A481296" w14:textId="77777777" w:rsidR="00342CEA" w:rsidRDefault="00837BAB">
      <w:pPr>
        <w:pStyle w:val="EMEAEnBodyText"/>
        <w:autoSpaceDE w:val="0"/>
        <w:autoSpaceDN w:val="0"/>
        <w:spacing w:before="0" w:after="0"/>
        <w:rPr>
          <w:lang w:val="hu-HU"/>
        </w:rPr>
      </w:pPr>
      <w:r>
        <w:rPr>
          <w:lang w:val="hu-HU"/>
        </w:rPr>
        <w:t>A segédanyagok teljes listáját lásd a 6.1 pontban.</w:t>
      </w:r>
    </w:p>
    <w:p w14:paraId="59FDC24F" w14:textId="77777777" w:rsidR="00342CEA" w:rsidRDefault="00342CEA">
      <w:pPr>
        <w:pStyle w:val="EMEAEnBodyText"/>
        <w:autoSpaceDE w:val="0"/>
        <w:autoSpaceDN w:val="0"/>
        <w:spacing w:before="0" w:after="0"/>
        <w:rPr>
          <w:lang w:val="hu-HU"/>
        </w:rPr>
      </w:pPr>
    </w:p>
    <w:p w14:paraId="771424EA" w14:textId="77777777" w:rsidR="00342CEA" w:rsidRDefault="00342CEA">
      <w:pPr>
        <w:widowControl w:val="0"/>
        <w:spacing w:line="240" w:lineRule="auto"/>
        <w:rPr>
          <w:lang w:val="hu-HU"/>
        </w:rPr>
      </w:pPr>
    </w:p>
    <w:p w14:paraId="5AD92B81" w14:textId="77777777" w:rsidR="00342CEA" w:rsidRDefault="00837BAB">
      <w:pPr>
        <w:keepNext/>
        <w:spacing w:line="240" w:lineRule="auto"/>
        <w:ind w:left="567" w:hanging="567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3.</w:t>
      </w:r>
      <w:r>
        <w:rPr>
          <w:rFonts w:eastAsia="Times New Roman"/>
          <w:b/>
          <w:bCs/>
          <w:lang w:val="hu-HU" w:eastAsia="en-US"/>
        </w:rPr>
        <w:tab/>
        <w:t>GYÓGYSZERFORMA</w:t>
      </w:r>
    </w:p>
    <w:p w14:paraId="5866CF80" w14:textId="77777777" w:rsidR="00342CEA" w:rsidRDefault="00342CEA">
      <w:pPr>
        <w:spacing w:line="240" w:lineRule="auto"/>
        <w:ind w:left="567" w:hanging="567"/>
        <w:rPr>
          <w:lang w:val="hu-HU"/>
        </w:rPr>
      </w:pPr>
    </w:p>
    <w:p w14:paraId="7B3340F5" w14:textId="77777777" w:rsidR="00342CEA" w:rsidRDefault="00837BAB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Filmtabletta (tabletta).</w:t>
      </w:r>
    </w:p>
    <w:p w14:paraId="784FE093" w14:textId="77777777" w:rsidR="00342CEA" w:rsidRDefault="00342CEA">
      <w:pPr>
        <w:spacing w:line="240" w:lineRule="auto"/>
        <w:ind w:left="567" w:hanging="567"/>
        <w:rPr>
          <w:lang w:val="hu-HU"/>
        </w:rPr>
      </w:pPr>
    </w:p>
    <w:p w14:paraId="2B67650F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12,5 mg filmtabletta</w:t>
      </w:r>
    </w:p>
    <w:p w14:paraId="389CBB74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Narancssárga vagy barna színű, kerek, mindkét oldalán domború felületű, megközelítőleg 5,5 mm átmérőjű filmtabletta, egyik oldalán mélynyomású „I” jelöléssel.</w:t>
      </w:r>
    </w:p>
    <w:p w14:paraId="6FD02429" w14:textId="77777777" w:rsidR="00342CEA" w:rsidRDefault="00342CEA">
      <w:pPr>
        <w:spacing w:line="240" w:lineRule="auto"/>
        <w:ind w:left="567" w:hanging="567"/>
        <w:rPr>
          <w:lang w:val="hu-HU"/>
        </w:rPr>
      </w:pPr>
    </w:p>
    <w:p w14:paraId="1F081CA0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25 mg filmtabletta</w:t>
      </w:r>
    </w:p>
    <w:p w14:paraId="153EF6FA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Sötét rózsaszínű, kerek, mindkét oldalán domború felületű, megközelítőleg 8 mm átmérőjű filmtabletta, egyik oldalán mélynyomású „II” jelöléssel.</w:t>
      </w:r>
    </w:p>
    <w:p w14:paraId="2B9587EC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228C3DEE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50 mg filmtabletta</w:t>
      </w:r>
    </w:p>
    <w:p w14:paraId="79309B17" w14:textId="77777777" w:rsidR="00342CEA" w:rsidRDefault="00837BAB">
      <w:pPr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Rózsaszínű, kerek, mindkét oldalán domború felületű, megközelítőleg 10 mm átmérőjű filmtabletta, egyik oldalán mélynyomású „III” jelöléssel.</w:t>
      </w:r>
    </w:p>
    <w:p w14:paraId="58BAB412" w14:textId="77777777" w:rsidR="00342CEA" w:rsidRDefault="00342CEA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</w:p>
    <w:p w14:paraId="0D9AF3FA" w14:textId="77777777" w:rsidR="00342CEA" w:rsidRDefault="00837BAB">
      <w:pPr>
        <w:widowControl w:val="0"/>
        <w:spacing w:line="240" w:lineRule="auto"/>
        <w:rPr>
          <w:rFonts w:eastAsia="Times New Roman"/>
          <w:u w:val="single"/>
          <w:lang w:val="hu-HU" w:eastAsia="en-US"/>
        </w:rPr>
      </w:pPr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75 mg filmtabletta</w:t>
      </w:r>
    </w:p>
    <w:p w14:paraId="0C8E84B5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Vörös vagy barna színű, kerek, mindkét oldalán domború felületű, megközelítőleg 12 mm átmérőjű filmtabletta, egyik oldalán mélynyomású „IV” jelöléssel.</w:t>
      </w:r>
    </w:p>
    <w:p w14:paraId="5285C0C9" w14:textId="77777777" w:rsidR="00342CEA" w:rsidRDefault="00342CEA">
      <w:pPr>
        <w:autoSpaceDE w:val="0"/>
        <w:autoSpaceDN w:val="0"/>
        <w:spacing w:line="240" w:lineRule="auto"/>
        <w:jc w:val="both"/>
        <w:rPr>
          <w:lang w:val="hu-HU"/>
        </w:rPr>
      </w:pPr>
    </w:p>
    <w:p w14:paraId="7041BF3A" w14:textId="77777777" w:rsidR="00342CEA" w:rsidRDefault="00342CEA">
      <w:pPr>
        <w:spacing w:line="240" w:lineRule="auto"/>
        <w:rPr>
          <w:lang w:val="hu-HU"/>
        </w:rPr>
      </w:pPr>
    </w:p>
    <w:p w14:paraId="2551F69A" w14:textId="77777777" w:rsidR="00342CEA" w:rsidRDefault="00837BAB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KLINIKAI JELLEMZŐK</w:t>
      </w:r>
    </w:p>
    <w:p w14:paraId="546E4663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258F3901" w14:textId="77777777" w:rsidR="00342CEA" w:rsidRDefault="00837BAB">
      <w:pP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4.1</w:t>
      </w:r>
      <w:r>
        <w:rPr>
          <w:rFonts w:eastAsia="Times New Roman"/>
          <w:b/>
          <w:bCs/>
          <w:lang w:val="hu-HU" w:eastAsia="en-US"/>
        </w:rPr>
        <w:tab/>
        <w:t>Terápiás javallatok</w:t>
      </w:r>
    </w:p>
    <w:p w14:paraId="028AAA91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1CBE2FEE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primer immun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(ITP) kezelésére javallott olyan felnőtt betegeknél, akik más kezelésekre (pl. </w:t>
      </w:r>
      <w:proofErr w:type="spellStart"/>
      <w:r>
        <w:rPr>
          <w:rFonts w:eastAsia="Times New Roman"/>
          <w:lang w:val="hu-HU" w:eastAsia="en-US"/>
        </w:rPr>
        <w:t>kortikoszteroidok</w:t>
      </w:r>
      <w:proofErr w:type="spellEnd"/>
      <w:r>
        <w:rPr>
          <w:rFonts w:eastAsia="Times New Roman"/>
          <w:lang w:val="hu-HU" w:eastAsia="en-US"/>
        </w:rPr>
        <w:t>, immunglobulinok) nem reagálnak (lásd 4.2 és 5.1 pont).</w:t>
      </w:r>
    </w:p>
    <w:p w14:paraId="47417A3B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35FAFFD4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6 hónapja vagy annál hosszabb ideje fennálló primer immun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(ITP) kezelésére javallott olyan, 1 évesnél idősebb gyermekeknél és serdülőknél, akik más kezelésekre (pl. </w:t>
      </w:r>
      <w:proofErr w:type="spellStart"/>
      <w:r>
        <w:rPr>
          <w:rFonts w:eastAsia="Times New Roman"/>
          <w:lang w:val="hu-HU" w:eastAsia="en-US"/>
        </w:rPr>
        <w:t>kortikoszteroidok</w:t>
      </w:r>
      <w:proofErr w:type="spellEnd"/>
      <w:r>
        <w:rPr>
          <w:rFonts w:eastAsia="Times New Roman"/>
          <w:lang w:val="hu-HU" w:eastAsia="en-US"/>
        </w:rPr>
        <w:t>, immunglobulinok) nem reagálnak (lásd 4.2 és 5.1 pont).</w:t>
      </w:r>
    </w:p>
    <w:p w14:paraId="79352C0C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07E7C5DE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felnőttkori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kezelésére javallott olyan, krónikus hepatitis C vírus (HCV) fertőzésben szenvedő felnőtt betegeknél, akiknél a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mértéke a legfontosabb gátló </w:t>
      </w:r>
      <w:proofErr w:type="spellStart"/>
      <w:r>
        <w:rPr>
          <w:rFonts w:eastAsia="Times New Roman"/>
          <w:lang w:val="hu-HU" w:eastAsia="en-US"/>
        </w:rPr>
        <w:t>faktora</w:t>
      </w:r>
      <w:proofErr w:type="spellEnd"/>
      <w:r>
        <w:rPr>
          <w:rFonts w:eastAsia="Times New Roman"/>
          <w:lang w:val="hu-HU" w:eastAsia="en-US"/>
        </w:rPr>
        <w:t xml:space="preserve"> az optimális interferon alapú terápia megkezdésének vagy fenntartásának (lásd 4.4 és 5.1 pont).</w:t>
      </w:r>
    </w:p>
    <w:p w14:paraId="619E92B7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B6F51BF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89FC902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4.2</w:t>
      </w:r>
      <w:r>
        <w:rPr>
          <w:rFonts w:eastAsia="Times New Roman"/>
          <w:b/>
          <w:bCs/>
          <w:lang w:val="hu-HU" w:eastAsia="en-US"/>
        </w:rPr>
        <w:tab/>
        <w:t>Adagolás és alkalmazás</w:t>
      </w:r>
    </w:p>
    <w:p w14:paraId="44EF032E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2059D10E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kezelést a hematológiai betegségek vagy a krónikus hepatitis C és szövődményeinek kezelésében jártas szakorvos felügyelete mellett kell elkezdeni és végezni.</w:t>
      </w:r>
    </w:p>
    <w:p w14:paraId="30B5DBA8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4BB88024" w14:textId="77777777" w:rsidR="00342CEA" w:rsidRDefault="00837BAB">
      <w:pPr>
        <w:spacing w:line="240" w:lineRule="auto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Adagolás</w:t>
      </w:r>
    </w:p>
    <w:p w14:paraId="0018C331" w14:textId="77777777" w:rsidR="00342CEA" w:rsidRDefault="00342CEA">
      <w:pPr>
        <w:autoSpaceDE w:val="0"/>
        <w:autoSpaceDN w:val="0"/>
        <w:spacing w:line="240" w:lineRule="auto"/>
        <w:jc w:val="both"/>
        <w:rPr>
          <w:lang w:val="hu-HU"/>
        </w:rPr>
      </w:pPr>
    </w:p>
    <w:p w14:paraId="5104E7AC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adagolását egyénenként kell meghatározni a beteg vérlemezkeszáma alapján.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célja nem lehet a vérlemezkeszám normalizálása.</w:t>
      </w:r>
    </w:p>
    <w:p w14:paraId="44388628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77F776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por belsőleges szuszpenzióhoz gyógyszerformában is elérhető más márkaneveken. A por belsőleges szuszpenzióhoz magasabb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expozíciót okozhat, mint a tabletta gyógyszerformájú készítmény (lásd 5.2 pont). A tabletta és a por belsőleges szuszpenzióhoz </w:t>
      </w:r>
      <w:r>
        <w:rPr>
          <w:lang w:val="hu-HU"/>
        </w:rPr>
        <w:t>gyógyszerformájú készítmények</w:t>
      </w:r>
      <w:r>
        <w:rPr>
          <w:rFonts w:eastAsia="Times New Roman"/>
          <w:lang w:val="hu-HU" w:eastAsia="en-US"/>
        </w:rPr>
        <w:t xml:space="preserve"> közötti váltáskor a </w:t>
      </w:r>
      <w:proofErr w:type="spellStart"/>
      <w:r>
        <w:rPr>
          <w:rFonts w:eastAsia="Times New Roman"/>
          <w:lang w:val="hu-HU" w:eastAsia="en-US"/>
        </w:rPr>
        <w:t>thrombocytaszámot</w:t>
      </w:r>
      <w:proofErr w:type="spellEnd"/>
      <w:r>
        <w:rPr>
          <w:rFonts w:eastAsia="Times New Roman"/>
          <w:lang w:val="hu-HU" w:eastAsia="en-US"/>
        </w:rPr>
        <w:t xml:space="preserve"> 2 hétig hetente </w:t>
      </w:r>
      <w:proofErr w:type="spellStart"/>
      <w:r>
        <w:rPr>
          <w:rFonts w:eastAsia="Times New Roman"/>
          <w:lang w:val="hu-HU" w:eastAsia="en-US"/>
        </w:rPr>
        <w:t>monitorozni</w:t>
      </w:r>
      <w:proofErr w:type="spellEnd"/>
      <w:r>
        <w:rPr>
          <w:rFonts w:eastAsia="Times New Roman"/>
          <w:lang w:val="hu-HU" w:eastAsia="en-US"/>
        </w:rPr>
        <w:t xml:space="preserve"> kell.</w:t>
      </w:r>
    </w:p>
    <w:p w14:paraId="0013D60E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4077656" w14:textId="77777777" w:rsidR="00342CEA" w:rsidRDefault="00837BAB">
      <w:pPr>
        <w:spacing w:line="240" w:lineRule="auto"/>
        <w:rPr>
          <w:rFonts w:eastAsia="Times New Roman"/>
          <w:i/>
          <w:u w:val="single"/>
          <w:lang w:val="hu-HU" w:eastAsia="en-US"/>
        </w:rPr>
      </w:pPr>
      <w:r>
        <w:rPr>
          <w:rFonts w:eastAsia="Times New Roman"/>
          <w:i/>
          <w:u w:val="single"/>
          <w:lang w:val="hu-HU" w:eastAsia="en-US"/>
        </w:rPr>
        <w:t xml:space="preserve">Immun (primer) </w:t>
      </w:r>
      <w:proofErr w:type="spellStart"/>
      <w:r>
        <w:rPr>
          <w:rFonts w:eastAsia="Times New Roman"/>
          <w:i/>
          <w:u w:val="single"/>
          <w:lang w:val="hu-HU" w:eastAsia="en-US"/>
        </w:rPr>
        <w:t>thrombocytopenia</w:t>
      </w:r>
      <w:proofErr w:type="spellEnd"/>
    </w:p>
    <w:p w14:paraId="7D536AE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≥ 50 000/µl-es vérlemezkeszám eléréséhez és fenntartásához szükséges legalacsonyabb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adagot kell alkalmazni. A dózismódosításnak a vérlemezkeszám</w:t>
      </w:r>
      <w:r>
        <w:rPr>
          <w:rFonts w:eastAsia="Times New Roman"/>
          <w:lang w:val="hu-HU" w:eastAsia="en-US"/>
        </w:rPr>
        <w:noBreakHyphen/>
        <w:t xml:space="preserve">válaszon kell alapulnia. Az </w:t>
      </w:r>
      <w:proofErr w:type="spellStart"/>
      <w:r>
        <w:rPr>
          <w:rFonts w:eastAsia="Times New Roman"/>
          <w:lang w:val="hu-HU" w:eastAsia="en-US"/>
        </w:rPr>
        <w:t>eltrombopagot</w:t>
      </w:r>
      <w:proofErr w:type="spellEnd"/>
      <w:r>
        <w:rPr>
          <w:rFonts w:eastAsia="Times New Roman"/>
          <w:lang w:val="hu-HU" w:eastAsia="en-US"/>
        </w:rPr>
        <w:t xml:space="preserve"> tilos a vérlemezkeszám normalizálására alkalmazni. Klinikai vizsgálatokban a vérlemezkeszám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megkezdése után 1</w:t>
      </w:r>
      <w:r>
        <w:rPr>
          <w:rFonts w:eastAsia="Times New Roman"/>
          <w:lang w:val="hu-HU" w:eastAsia="en-US"/>
        </w:rPr>
        <w:noBreakHyphen/>
        <w:t>2 héten belül általában megemelkedett, majd a kezelés befejezése után 1</w:t>
      </w:r>
      <w:r>
        <w:rPr>
          <w:rFonts w:eastAsia="Times New Roman"/>
          <w:lang w:val="hu-HU" w:eastAsia="en-US"/>
        </w:rPr>
        <w:noBreakHyphen/>
        <w:t>2 héten belül csökkent.</w:t>
      </w:r>
    </w:p>
    <w:p w14:paraId="0439071E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AD2BA3B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i/>
          <w:lang w:val="hu-HU" w:eastAsia="en-US"/>
        </w:rPr>
        <w:t>Felnőttek, valamint 6 és betöltött 18. életév közötti gyermekek és serdülők</w:t>
      </w:r>
    </w:p>
    <w:p w14:paraId="213F22FB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javasolt kezdő dózisa naponta egyszer 50 mg. Kelet</w:t>
      </w:r>
      <w:r>
        <w:rPr>
          <w:rFonts w:eastAsia="Times New Roman"/>
          <w:lang w:val="hu-HU" w:eastAsia="en-US"/>
        </w:rPr>
        <w:noBreakHyphen/>
        <w:t>/délkelet</w:t>
      </w:r>
      <w:r>
        <w:rPr>
          <w:rFonts w:eastAsia="Times New Roman"/>
          <w:lang w:val="hu-HU" w:eastAsia="en-US"/>
        </w:rPr>
        <w:noBreakHyphen/>
        <w:t>ázsiai származású betegeknél a kezelést csökkentett dózissal, napi egyszeri 25 mg</w:t>
      </w:r>
      <w:r>
        <w:rPr>
          <w:rFonts w:eastAsia="Times New Roman"/>
          <w:lang w:val="hu-HU" w:eastAsia="en-US"/>
        </w:rPr>
        <w:noBreakHyphen/>
      </w:r>
      <w:proofErr w:type="spellStart"/>
      <w:r>
        <w:rPr>
          <w:rFonts w:eastAsia="Times New Roman"/>
          <w:lang w:val="hu-HU" w:eastAsia="en-US"/>
        </w:rPr>
        <w:t>mal</w:t>
      </w:r>
      <w:proofErr w:type="spellEnd"/>
      <w:r>
        <w:rPr>
          <w:rFonts w:eastAsia="Times New Roman"/>
          <w:lang w:val="hu-HU" w:eastAsia="en-US"/>
        </w:rPr>
        <w:t xml:space="preserve"> kell kezdeni (lásd 5.2 pont).</w:t>
      </w:r>
    </w:p>
    <w:p w14:paraId="0E2DBDD8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BD8C5F6" w14:textId="77777777" w:rsidR="00342CEA" w:rsidRDefault="00837BAB">
      <w:pPr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1–5 éves gyermekek</w:t>
      </w:r>
    </w:p>
    <w:p w14:paraId="162F3494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javasolt kezdő dózisa naponta egyszer 25 mg.</w:t>
      </w:r>
    </w:p>
    <w:p w14:paraId="2C00CCD0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35BE0022" w14:textId="77777777" w:rsidR="00342CEA" w:rsidRDefault="00837BAB">
      <w:pPr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Monitorozás és dózisbeállítás</w:t>
      </w:r>
    </w:p>
    <w:p w14:paraId="5517F78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lastRenderedPageBreak/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megkezdése után az adagot úgy kell beállítani, hogy a vérlemezkeszám ≥ 50 000/µl legyen, ami a vérzés kockázatának csökkentéséhez szükséges érték. A napi dózis semmiképpen nem haladhatja meg a 75 mg</w:t>
      </w:r>
      <w:r>
        <w:rPr>
          <w:rFonts w:eastAsia="Times New Roman"/>
          <w:lang w:val="hu-HU" w:eastAsia="en-US"/>
        </w:rPr>
        <w:noBreakHyphen/>
        <w:t>ot.</w:t>
      </w:r>
    </w:p>
    <w:p w14:paraId="137F2A4B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086409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 alatt rendszeresen </w:t>
      </w:r>
      <w:proofErr w:type="spellStart"/>
      <w:r>
        <w:rPr>
          <w:rFonts w:eastAsia="Times New Roman"/>
          <w:lang w:val="hu-HU" w:eastAsia="en-US"/>
        </w:rPr>
        <w:t>monitorozni</w:t>
      </w:r>
      <w:proofErr w:type="spellEnd"/>
      <w:r>
        <w:rPr>
          <w:rFonts w:eastAsia="Times New Roman"/>
          <w:lang w:val="hu-HU" w:eastAsia="en-US"/>
        </w:rPr>
        <w:t xml:space="preserve"> kell a </w:t>
      </w:r>
      <w:proofErr w:type="spellStart"/>
      <w:r>
        <w:rPr>
          <w:rFonts w:eastAsia="Times New Roman"/>
          <w:lang w:val="hu-HU" w:eastAsia="en-US"/>
        </w:rPr>
        <w:t>haematológiai</w:t>
      </w:r>
      <w:proofErr w:type="spellEnd"/>
      <w:r>
        <w:rPr>
          <w:rFonts w:eastAsia="Times New Roman"/>
          <w:lang w:val="hu-HU" w:eastAsia="en-US"/>
        </w:rPr>
        <w:t xml:space="preserve"> és májfunkciós értékeket, és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adagolását a vérlemezkeszámnak megfelelően kell módosítani, az 1. táblázatban leírtak szerint.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során hetente értékelni kell a teljes vérképet, beleértve a vérlemezkeszámot és a perifériás vérkenetet, a stabil vérlemezkeszám elérésig (≥ 50 000/µl legalább 4 hétig). Ezt követően havonta kell a teljes vérképet ellenőrizni, beleértve a vérlemezkeszámot és a perifériás vérkenetet.</w:t>
      </w:r>
    </w:p>
    <w:p w14:paraId="09687CF5" w14:textId="77777777" w:rsidR="00342CEA" w:rsidRDefault="00342CEA">
      <w:pPr>
        <w:spacing w:line="240" w:lineRule="auto"/>
        <w:rPr>
          <w:rFonts w:eastAsia="Times New Roman"/>
          <w:i/>
          <w:lang w:val="hu-HU" w:eastAsia="en-US"/>
        </w:rPr>
      </w:pPr>
    </w:p>
    <w:p w14:paraId="088E7AE7" w14:textId="77777777" w:rsidR="00342CEA" w:rsidRDefault="00837BAB">
      <w:pPr>
        <w:tabs>
          <w:tab w:val="clear" w:pos="567"/>
          <w:tab w:val="left" w:pos="1134"/>
        </w:tabs>
        <w:spacing w:after="12" w:line="247" w:lineRule="auto"/>
        <w:ind w:right="14" w:hanging="9"/>
        <w:rPr>
          <w:b/>
          <w:bCs/>
          <w:lang w:val="hu-HU" w:eastAsia="en-GB"/>
        </w:rPr>
      </w:pPr>
      <w:r>
        <w:rPr>
          <w:b/>
          <w:bCs/>
          <w:lang w:val="hu-HU"/>
        </w:rPr>
        <w:t>1. táblázat</w:t>
      </w:r>
      <w:r>
        <w:rPr>
          <w:b/>
          <w:bCs/>
          <w:lang w:val="hu-HU"/>
        </w:rPr>
        <w:tab/>
      </w:r>
      <w:r>
        <w:rPr>
          <w:b/>
          <w:bCs/>
          <w:lang w:val="hu-HU" w:eastAsia="en-GB"/>
        </w:rPr>
        <w:t xml:space="preserve">Az </w:t>
      </w:r>
      <w:proofErr w:type="spellStart"/>
      <w:r>
        <w:rPr>
          <w:b/>
          <w:bCs/>
          <w:lang w:val="hu-HU" w:eastAsia="en-GB"/>
        </w:rPr>
        <w:t>eltrombopag</w:t>
      </w:r>
      <w:proofErr w:type="spellEnd"/>
      <w:r>
        <w:rPr>
          <w:b/>
          <w:bCs/>
          <w:lang w:val="hu-HU" w:eastAsia="en-GB"/>
        </w:rPr>
        <w:t xml:space="preserve"> adagjának módosítása ITP</w:t>
      </w:r>
      <w:r>
        <w:rPr>
          <w:b/>
          <w:bCs/>
          <w:lang w:val="hu-HU" w:eastAsia="en-GB"/>
        </w:rPr>
        <w:noBreakHyphen/>
        <w:t>s betegeknél</w:t>
      </w:r>
    </w:p>
    <w:tbl>
      <w:tblPr>
        <w:tblStyle w:val="TableGrid"/>
        <w:tblW w:w="9109" w:type="dxa"/>
        <w:tblInd w:w="5" w:type="dxa"/>
        <w:tblCellMar>
          <w:top w:w="13" w:type="dxa"/>
          <w:left w:w="108" w:type="dxa"/>
          <w:right w:w="81" w:type="dxa"/>
        </w:tblCellMar>
        <w:tblLook w:val="04A0" w:firstRow="1" w:lastRow="0" w:firstColumn="1" w:lastColumn="0" w:noHBand="0" w:noVBand="1"/>
      </w:tblPr>
      <w:tblGrid>
        <w:gridCol w:w="4076"/>
        <w:gridCol w:w="5033"/>
      </w:tblGrid>
      <w:tr w:rsidR="00342CEA" w14:paraId="7B7D1FF6" w14:textId="77777777">
        <w:trPr>
          <w:trHeight w:val="263"/>
        </w:trPr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D0DB6B9" w14:textId="77777777" w:rsidR="00342CEA" w:rsidRDefault="00837BAB">
            <w:pPr>
              <w:spacing w:line="259" w:lineRule="auto"/>
              <w:ind w:right="29"/>
              <w:jc w:val="center"/>
              <w:rPr>
                <w:rFonts w:ascii="Times New Roman" w:hAnsi="Times New Roman"/>
                <w:b/>
                <w:bCs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Vérlemezkeszám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227C9FF" w14:textId="77777777" w:rsidR="00342CEA" w:rsidRDefault="00837BAB">
            <w:pPr>
              <w:spacing w:line="259" w:lineRule="auto"/>
              <w:ind w:right="29"/>
              <w:jc w:val="center"/>
              <w:rPr>
                <w:rFonts w:ascii="Times New Roman" w:hAnsi="Times New Roman"/>
                <w:b/>
                <w:bCs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Dózismódosítás vagy válasz</w:t>
            </w:r>
          </w:p>
        </w:tc>
      </w:tr>
      <w:tr w:rsidR="00342CEA" w14:paraId="1FF91D22" w14:textId="77777777">
        <w:trPr>
          <w:trHeight w:val="516"/>
        </w:trPr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A4028F7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proofErr w:type="gramStart"/>
            <w:r>
              <w:rPr>
                <w:rFonts w:ascii="Times New Roman" w:hAnsi="Times New Roman"/>
                <w:lang w:val="hu-HU"/>
              </w:rPr>
              <w:t>&lt; 50</w:t>
            </w:r>
            <w:proofErr w:type="gramEnd"/>
            <w:r>
              <w:rPr>
                <w:rFonts w:ascii="Times New Roman" w:hAnsi="Times New Roman"/>
                <w:lang w:val="hu-HU"/>
              </w:rPr>
              <w:t> 000/µl legalább 2 hetes kezelés után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A70444D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A napi dózist 25 mg-</w:t>
            </w:r>
            <w:proofErr w:type="spellStart"/>
            <w:r>
              <w:rPr>
                <w:rFonts w:ascii="Times New Roman" w:hAnsi="Times New Roman"/>
                <w:lang w:val="hu-HU"/>
              </w:rPr>
              <w:t>mal</w:t>
            </w:r>
            <w:proofErr w:type="spellEnd"/>
            <w:r>
              <w:rPr>
                <w:rFonts w:ascii="Times New Roman" w:hAnsi="Times New Roman"/>
                <w:lang w:val="hu-HU"/>
              </w:rPr>
              <w:t xml:space="preserve"> kell emelni, legfeljebb napi 75 mg-ig*.</w:t>
            </w:r>
          </w:p>
        </w:tc>
      </w:tr>
      <w:tr w:rsidR="00342CEA" w14:paraId="5B3F710F" w14:textId="77777777">
        <w:trPr>
          <w:trHeight w:val="770"/>
        </w:trPr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2DF6F0E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≥ 50 000/µl – ≤ 150 000/µl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0B42D6C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Az </w:t>
            </w:r>
            <w:proofErr w:type="spellStart"/>
            <w:r>
              <w:rPr>
                <w:rFonts w:ascii="Times New Roman" w:hAnsi="Times New Roman"/>
                <w:lang w:val="hu-HU"/>
              </w:rPr>
              <w:t>eltrombopagnak</w:t>
            </w:r>
            <w:proofErr w:type="spellEnd"/>
            <w:r>
              <w:rPr>
                <w:rFonts w:ascii="Times New Roman" w:hAnsi="Times New Roman"/>
                <w:lang w:val="hu-HU"/>
              </w:rPr>
              <w:t xml:space="preserve"> és/vagy az ITP kezelésére együtt adott gyógyszereknek azt a legalacsonyabb dózisát kell alkalmazni, amellyel fenntartható a vérzés elkerüléséhez vagy csökkentéséhez szükséges vérlemezkeszám.</w:t>
            </w:r>
          </w:p>
        </w:tc>
      </w:tr>
      <w:tr w:rsidR="00342CEA" w14:paraId="7050A686" w14:textId="77777777">
        <w:trPr>
          <w:trHeight w:val="515"/>
        </w:trPr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BE12AB6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&gt; 150 000/µl – ≤ 250 000/µl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8304EEC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25 mg</w:t>
            </w:r>
            <w:r>
              <w:rPr>
                <w:rFonts w:ascii="Times New Roman" w:hAnsi="Times New Roman"/>
                <w:lang w:val="hu-HU"/>
              </w:rPr>
              <w:noBreakHyphen/>
            </w:r>
            <w:proofErr w:type="spellStart"/>
            <w:r>
              <w:rPr>
                <w:rFonts w:ascii="Times New Roman" w:hAnsi="Times New Roman"/>
                <w:lang w:val="hu-HU"/>
              </w:rPr>
              <w:t>mal</w:t>
            </w:r>
            <w:proofErr w:type="spellEnd"/>
            <w:r>
              <w:rPr>
                <w:rFonts w:ascii="Times New Roman" w:hAnsi="Times New Roman"/>
                <w:lang w:val="hu-HU"/>
              </w:rPr>
              <w:t xml:space="preserve"> csökkenteni kell a napi dózist. A dóziscsökkentés, valamint a további dózismódosítások hatásának a megítéléséhez 2 hetet kell várni</w:t>
            </w:r>
            <w:r>
              <w:rPr>
                <w:rFonts w:ascii="DengXian" w:hAnsi="DengXian"/>
                <w:lang w:val="hu-HU"/>
              </w:rPr>
              <w:t>♦</w:t>
            </w:r>
            <w:r>
              <w:rPr>
                <w:rFonts w:ascii="Times New Roman" w:hAnsi="Times New Roman"/>
                <w:lang w:val="hu-HU"/>
              </w:rPr>
              <w:t>.</w:t>
            </w:r>
          </w:p>
        </w:tc>
      </w:tr>
      <w:tr w:rsidR="00342CEA" w14:paraId="3D2811E2" w14:textId="77777777">
        <w:trPr>
          <w:trHeight w:val="1276"/>
        </w:trPr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1114702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&gt; 250 000/µl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EDDF9F4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Az </w:t>
            </w:r>
            <w:proofErr w:type="spellStart"/>
            <w:r>
              <w:rPr>
                <w:rFonts w:ascii="Times New Roman" w:hAnsi="Times New Roman"/>
                <w:lang w:val="hu-HU"/>
              </w:rPr>
              <w:t>eltrombopag</w:t>
            </w:r>
            <w:proofErr w:type="spellEnd"/>
            <w:r>
              <w:rPr>
                <w:rFonts w:ascii="Times New Roman" w:hAnsi="Times New Roman"/>
                <w:lang w:val="hu-HU"/>
              </w:rPr>
              <w:t xml:space="preserve"> adását le kell állítani; a vérlemezkeszámot gyakrabban, hetente kétszer kell </w:t>
            </w:r>
            <w:proofErr w:type="spellStart"/>
            <w:r>
              <w:rPr>
                <w:rFonts w:ascii="Times New Roman" w:hAnsi="Times New Roman"/>
                <w:lang w:val="hu-HU"/>
              </w:rPr>
              <w:t>monitorozni</w:t>
            </w:r>
            <w:proofErr w:type="spellEnd"/>
            <w:r>
              <w:rPr>
                <w:rFonts w:ascii="Times New Roman" w:hAnsi="Times New Roman"/>
                <w:lang w:val="hu-HU"/>
              </w:rPr>
              <w:t>.</w:t>
            </w:r>
          </w:p>
          <w:p w14:paraId="54CB0ADD" w14:textId="77777777" w:rsidR="00342CEA" w:rsidRDefault="00342CEA">
            <w:pPr>
              <w:spacing w:line="259" w:lineRule="auto"/>
              <w:rPr>
                <w:rFonts w:ascii="Times New Roman" w:hAnsi="Times New Roman"/>
                <w:lang w:val="hu-HU"/>
              </w:rPr>
            </w:pPr>
          </w:p>
          <w:p w14:paraId="0C6C98A1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Amint a vérlemezkeszám ≤ 100 000/µl, 25 mg</w:t>
            </w:r>
            <w:r>
              <w:rPr>
                <w:rFonts w:ascii="Times New Roman" w:hAnsi="Times New Roman"/>
                <w:lang w:val="hu-HU"/>
              </w:rPr>
              <w:noBreakHyphen/>
            </w:r>
            <w:proofErr w:type="spellStart"/>
            <w:r>
              <w:rPr>
                <w:rFonts w:ascii="Times New Roman" w:hAnsi="Times New Roman"/>
                <w:lang w:val="hu-HU"/>
              </w:rPr>
              <w:t>mal</w:t>
            </w:r>
            <w:proofErr w:type="spellEnd"/>
            <w:r>
              <w:rPr>
                <w:rFonts w:ascii="Times New Roman" w:hAnsi="Times New Roman"/>
                <w:lang w:val="hu-HU"/>
              </w:rPr>
              <w:t xml:space="preserve"> alacsonyabb napi adaggal kell újrakezdeni a kezelést.</w:t>
            </w:r>
          </w:p>
        </w:tc>
      </w:tr>
    </w:tbl>
    <w:p w14:paraId="4542EA30" w14:textId="77777777" w:rsidR="00342CEA" w:rsidRDefault="00837BAB">
      <w:pPr>
        <w:tabs>
          <w:tab w:val="right" w:pos="9071"/>
        </w:tabs>
        <w:spacing w:after="12" w:line="247" w:lineRule="auto"/>
        <w:ind w:left="567" w:hanging="582"/>
        <w:rPr>
          <w:lang w:val="hu-HU"/>
        </w:rPr>
      </w:pPr>
      <w:r>
        <w:rPr>
          <w:lang w:val="hu-HU"/>
        </w:rPr>
        <w:t>*</w:t>
      </w:r>
      <w:r>
        <w:rPr>
          <w:vertAlign w:val="superscript"/>
          <w:lang w:val="hu-HU"/>
        </w:rPr>
        <w:tab/>
      </w:r>
      <w:r>
        <w:rPr>
          <w:lang w:val="hu-HU"/>
        </w:rPr>
        <w:t xml:space="preserve">A minden második napon 25 mg </w:t>
      </w:r>
      <w:proofErr w:type="spellStart"/>
      <w:r>
        <w:rPr>
          <w:lang w:val="hu-HU"/>
        </w:rPr>
        <w:t>eltrombopagot</w:t>
      </w:r>
      <w:proofErr w:type="spellEnd"/>
      <w:r>
        <w:rPr>
          <w:lang w:val="hu-HU"/>
        </w:rPr>
        <w:t xml:space="preserve"> szedő betegeknél a dózist naponta egyszer 25 mg</w:t>
      </w:r>
      <w:r>
        <w:rPr>
          <w:lang w:val="hu-HU"/>
        </w:rPr>
        <w:noBreakHyphen/>
        <w:t>ra kell emelni.</w:t>
      </w:r>
    </w:p>
    <w:p w14:paraId="331EFA2C" w14:textId="77777777" w:rsidR="00342CEA" w:rsidRDefault="00837BAB">
      <w:pPr>
        <w:tabs>
          <w:tab w:val="clear" w:pos="567"/>
          <w:tab w:val="center" w:pos="4674"/>
        </w:tabs>
        <w:spacing w:after="12" w:line="247" w:lineRule="auto"/>
        <w:ind w:left="567" w:hanging="567"/>
        <w:rPr>
          <w:lang w:val="hu-HU"/>
        </w:rPr>
      </w:pPr>
      <w:r>
        <w:rPr>
          <w:lang w:val="hu-HU"/>
        </w:rPr>
        <w:t>♦</w:t>
      </w:r>
      <w:r>
        <w:rPr>
          <w:lang w:val="hu-HU"/>
        </w:rPr>
        <w:tab/>
        <w:t xml:space="preserve">A naponta egyszer 25 mg </w:t>
      </w:r>
      <w:proofErr w:type="spellStart"/>
      <w:r>
        <w:rPr>
          <w:lang w:val="hu-HU"/>
        </w:rPr>
        <w:t>eltrombopagot</w:t>
      </w:r>
      <w:proofErr w:type="spellEnd"/>
      <w:r>
        <w:rPr>
          <w:lang w:val="hu-HU"/>
        </w:rPr>
        <w:t xml:space="preserve"> szedő betegeknél mérlegelni kell a napi egyszeri 12,5 mg</w:t>
      </w:r>
      <w:r>
        <w:rPr>
          <w:lang w:val="hu-HU"/>
        </w:rPr>
        <w:noBreakHyphen/>
        <w:t>os dózis, vagy alternatív megoldásként a másnaponkénti 25 mg</w:t>
      </w:r>
      <w:r>
        <w:rPr>
          <w:lang w:val="hu-HU"/>
        </w:rPr>
        <w:noBreakHyphen/>
        <w:t>os dózis adását.</w:t>
      </w:r>
    </w:p>
    <w:p w14:paraId="46702F71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58D8EA80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az ITP kezelésére alkalmazott más gyógyszerekkel együtt is adható. Az ITP</w:t>
      </w:r>
      <w:r>
        <w:rPr>
          <w:rFonts w:eastAsia="Times New Roman"/>
          <w:lang w:val="hu-HU" w:eastAsia="en-US"/>
        </w:rPr>
        <w:noBreakHyphen/>
        <w:t xml:space="preserve">re egyidejűleg alkalmazott gyógyszerek adagját úgy kell módosítani, ahogyan az </w:t>
      </w:r>
      <w:proofErr w:type="spellStart"/>
      <w:r>
        <w:rPr>
          <w:rFonts w:eastAsia="Times New Roman"/>
          <w:lang w:val="hu-HU" w:eastAsia="en-US"/>
        </w:rPr>
        <w:t>orvosilag</w:t>
      </w:r>
      <w:proofErr w:type="spellEnd"/>
      <w:r>
        <w:rPr>
          <w:rFonts w:eastAsia="Times New Roman"/>
          <w:lang w:val="hu-HU" w:eastAsia="en-US"/>
        </w:rPr>
        <w:t xml:space="preserve"> indokolt, hogy elkerülhető legyen a vérlemezkeszám túlzott emelkedése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alatt.</w:t>
      </w:r>
    </w:p>
    <w:p w14:paraId="14A91249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352F2F9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Újabb dózismódosítás megfontolása előtt legalább 2 hetet kell várni, hogy megítélhető legyen a dózismódosítás hatása a beteg vérlemezkeválaszára.</w:t>
      </w:r>
    </w:p>
    <w:p w14:paraId="6E40BE97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4DC9CCB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</w:t>
      </w:r>
      <w:proofErr w:type="spellStart"/>
      <w:r>
        <w:rPr>
          <w:rFonts w:eastAsia="Times New Roman"/>
          <w:lang w:val="hu-HU" w:eastAsia="en-US"/>
        </w:rPr>
        <w:t>szoásos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dózismódosítás – növelés vagy csökkentés – mértéke naponta egyszer 25 mg.</w:t>
      </w:r>
    </w:p>
    <w:p w14:paraId="5E77EDFD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39F1DF5F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A kezelés leállítása</w:t>
      </w:r>
    </w:p>
    <w:p w14:paraId="0F131EE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kezelést le kell állítani, ha a vérlemezkeszám napi egyszeri 75 mg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4 hétig történő alkalmazása után sem éri el a klinikailag jelentős vérzés elkerüléséhez elegendő szintet.</w:t>
      </w:r>
    </w:p>
    <w:p w14:paraId="6B9519CB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20B827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betegek állapotát rendszeres időközönként értékelni kell, és a kezelés folytatásáról a kezelőorvosnak egyénenként kell döntenie. Nem </w:t>
      </w:r>
      <w:proofErr w:type="spellStart"/>
      <w:r>
        <w:rPr>
          <w:rFonts w:eastAsia="Times New Roman"/>
          <w:lang w:val="hu-HU" w:eastAsia="en-US"/>
        </w:rPr>
        <w:t>splenectomizált</w:t>
      </w:r>
      <w:proofErr w:type="spellEnd"/>
      <w:r>
        <w:rPr>
          <w:rFonts w:eastAsia="Times New Roman"/>
          <w:lang w:val="hu-HU" w:eastAsia="en-US"/>
        </w:rPr>
        <w:t xml:space="preserve"> betegeknél ennek ki kell terjednie a lépeltávolítással történő összehasonlításra is. A kezelés leállítása után a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kiújulhat (lásd 4.4 pont).</w:t>
      </w:r>
    </w:p>
    <w:p w14:paraId="1E983971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0E0585A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u w:val="single"/>
          <w:lang w:val="hu-HU" w:eastAsia="en-US"/>
        </w:rPr>
      </w:pPr>
      <w:r>
        <w:rPr>
          <w:rFonts w:eastAsia="Times New Roman"/>
          <w:i/>
          <w:u w:val="single"/>
          <w:lang w:val="hu-HU" w:eastAsia="en-US"/>
        </w:rPr>
        <w:t>Krónikus hepatitis C-</w:t>
      </w:r>
      <w:proofErr w:type="spellStart"/>
      <w:r>
        <w:rPr>
          <w:rFonts w:eastAsia="Times New Roman"/>
          <w:i/>
          <w:u w:val="single"/>
          <w:lang w:val="hu-HU" w:eastAsia="en-US"/>
        </w:rPr>
        <w:t>hez</w:t>
      </w:r>
      <w:proofErr w:type="spellEnd"/>
      <w:r>
        <w:rPr>
          <w:rFonts w:eastAsia="Times New Roman"/>
          <w:i/>
          <w:u w:val="single"/>
          <w:lang w:val="hu-HU" w:eastAsia="en-US"/>
        </w:rPr>
        <w:t xml:space="preserve"> (HCV) társuló </w:t>
      </w:r>
      <w:proofErr w:type="spellStart"/>
      <w:r>
        <w:rPr>
          <w:rFonts w:eastAsia="Times New Roman"/>
          <w:i/>
          <w:u w:val="single"/>
          <w:lang w:val="hu-HU" w:eastAsia="en-US"/>
        </w:rPr>
        <w:t>thrombocytopenia</w:t>
      </w:r>
      <w:proofErr w:type="spellEnd"/>
    </w:p>
    <w:p w14:paraId="49AA464B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Amikor az </w:t>
      </w:r>
      <w:proofErr w:type="spellStart"/>
      <w:r>
        <w:rPr>
          <w:rFonts w:eastAsia="Times New Roman"/>
          <w:lang w:val="hu-HU" w:eastAsia="en-US"/>
        </w:rPr>
        <w:t>eltrombopagot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szerekkel kombinálva alkalmazzák, hivatkozásként figyelembe kell venni a szóban forgó együtt adott gyógyszerek teljes alkalmazási előírását, a vonatkozó biztonságossági információk vagy ellenjavallatok minden részletét is beleértve.</w:t>
      </w:r>
    </w:p>
    <w:p w14:paraId="24577DAB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B7CDB78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Klinikai vizsgálatokban a vérlemezkeszám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 megkezdése után általában 1 héten belül emelkedett.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 célja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megkezdéséhez szükséges minimális vérlemezkeszám elérése kell, hogy legyen, a klinikai gyakorlatban alkalmazott ajánlásokkal összhangban.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során a kezelés célja, hogy fenntartható legyen a vérzéses szövődmények kockázatának megelőzéséhez szükséges vérlemezkeszám, amely általában 50 000</w:t>
      </w:r>
      <w:r>
        <w:rPr>
          <w:rFonts w:eastAsia="Times New Roman"/>
          <w:lang w:val="hu-HU" w:eastAsia="en-US"/>
        </w:rPr>
        <w:noBreakHyphen/>
        <w:t>75 000/µl. A 75 000/µ</w:t>
      </w:r>
      <w:proofErr w:type="spellStart"/>
      <w:r>
        <w:rPr>
          <w:rFonts w:eastAsia="Times New Roman"/>
          <w:lang w:val="hu-HU" w:eastAsia="en-US"/>
        </w:rPr>
        <w:t>lnél</w:t>
      </w:r>
      <w:proofErr w:type="spellEnd"/>
      <w:r>
        <w:rPr>
          <w:rFonts w:eastAsia="Times New Roman"/>
          <w:lang w:val="hu-HU" w:eastAsia="en-US"/>
        </w:rPr>
        <w:t xml:space="preserve"> magasabb vérlemezkeszám kerülendő. A terápiás célok eléréséhez szükséges legalacsonyabb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>-dózist kell alkalmazni. A dózismódosításnak a vérlemezkeszám-válaszon kell alapulnia.</w:t>
      </w:r>
    </w:p>
    <w:p w14:paraId="0FFC55FA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E7B00F4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Bevezető adagolási rend</w:t>
      </w:r>
    </w:p>
    <w:p w14:paraId="2FE08621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kezdő dózisának napi egyszer 25 mg</w:t>
      </w:r>
      <w:r>
        <w:rPr>
          <w:rFonts w:eastAsia="Times New Roman"/>
          <w:lang w:val="hu-HU" w:eastAsia="en-US"/>
        </w:rPr>
        <w:noBreakHyphen/>
        <w:t>nak kell lennie. Nincs szükség dózismódosításra kelet</w:t>
      </w:r>
      <w:r>
        <w:rPr>
          <w:rFonts w:eastAsia="Times New Roman"/>
          <w:lang w:val="hu-HU" w:eastAsia="en-US"/>
        </w:rPr>
        <w:noBreakHyphen/>
        <w:t>/délkelet</w:t>
      </w:r>
      <w:r>
        <w:rPr>
          <w:rFonts w:eastAsia="Times New Roman"/>
          <w:lang w:val="hu-HU" w:eastAsia="en-US"/>
        </w:rPr>
        <w:noBreakHyphen/>
        <w:t>ázsiai származású HCV</w:t>
      </w:r>
      <w:r>
        <w:rPr>
          <w:rFonts w:eastAsia="Times New Roman"/>
          <w:lang w:val="hu-HU" w:eastAsia="en-US"/>
        </w:rPr>
        <w:noBreakHyphen/>
        <w:t>s betegeknél, illetve enyhe májkárosodásban szenvedő betegeknél (lásd 5.2 pont).</w:t>
      </w:r>
    </w:p>
    <w:p w14:paraId="538672A2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67E8981A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Monitorozás és dózisbeállítás</w:t>
      </w:r>
    </w:p>
    <w:p w14:paraId="612002D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napi dózisát szükség szerint kéthetente, 25 mg</w:t>
      </w:r>
      <w:r>
        <w:rPr>
          <w:rFonts w:eastAsia="Times New Roman"/>
          <w:lang w:val="hu-HU" w:eastAsia="en-US"/>
        </w:rPr>
        <w:noBreakHyphen/>
      </w:r>
      <w:proofErr w:type="spellStart"/>
      <w:r>
        <w:rPr>
          <w:rFonts w:eastAsia="Times New Roman"/>
          <w:lang w:val="hu-HU" w:eastAsia="en-US"/>
        </w:rPr>
        <w:t>mal</w:t>
      </w:r>
      <w:proofErr w:type="spellEnd"/>
      <w:r>
        <w:rPr>
          <w:rFonts w:eastAsia="Times New Roman"/>
          <w:lang w:val="hu-HU" w:eastAsia="en-US"/>
        </w:rPr>
        <w:t xml:space="preserve"> kell emelni,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megkezdéséhez szükséges vérlemezkeszám elérése érdekében.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noBreakHyphen/>
        <w:t xml:space="preserve">terápia megkezdése előtt hetente vizsgálni kell a vérlemezkeszámot.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noBreakHyphen/>
        <w:t xml:space="preserve">terápia megkezdésekor a vérlemezkeszám csökkenhet, ezért ekkor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azonnali dózismódosítását el kell kerülni (lásd 2. táblázat).</w:t>
      </w:r>
    </w:p>
    <w:p w14:paraId="24192947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74514D59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noBreakHyphen/>
        <w:t xml:space="preserve">terápia során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dózisát szükség szerint úgy kell módosítani, hogy elkerülhető legyen a vérlemezkeszám csökkenése miatti </w:t>
      </w:r>
      <w:proofErr w:type="spellStart"/>
      <w:r>
        <w:rPr>
          <w:rFonts w:eastAsia="Times New Roman"/>
          <w:lang w:val="hu-HU" w:eastAsia="en-US"/>
        </w:rPr>
        <w:t>peginterferon</w:t>
      </w:r>
      <w:proofErr w:type="spellEnd"/>
      <w:r>
        <w:rPr>
          <w:rFonts w:eastAsia="Times New Roman"/>
          <w:lang w:val="hu-HU" w:eastAsia="en-US"/>
        </w:rPr>
        <w:t xml:space="preserve"> dóziscsökkentés, amely növelheti a vérzés kockázatát a betegeknél (lásd 2. táblázat).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alatt a vérlemezkeszámot az általában 50 000</w:t>
      </w:r>
      <w:r>
        <w:rPr>
          <w:rFonts w:eastAsia="Times New Roman"/>
          <w:lang w:val="hu-HU" w:eastAsia="en-US"/>
        </w:rPr>
        <w:noBreakHyphen/>
        <w:t xml:space="preserve">70 000/µl körüli stabil vérlemezkeszám eléréséig hetente ellenőrizni kell. Ezt követően havonta kell a teljes vérképet ellenőrizni, beleértve a vérlemezkeszámot és a perifériás vérkenetet is. A napi adag </w:t>
      </w:r>
      <w:r>
        <w:rPr>
          <w:lang w:val="hu-HU" w:eastAsia="en-US"/>
        </w:rPr>
        <w:t>25</w:t>
      </w:r>
      <w:r>
        <w:rPr>
          <w:lang w:val="hu-HU"/>
        </w:rPr>
        <w:t> </w:t>
      </w:r>
      <w:r>
        <w:rPr>
          <w:lang w:val="hu-HU" w:eastAsia="en-US"/>
        </w:rPr>
        <w:t>mg</w:t>
      </w:r>
      <w:r>
        <w:rPr>
          <w:lang w:val="hu-HU" w:eastAsia="en-US"/>
        </w:rPr>
        <w:noBreakHyphen/>
      </w:r>
      <w:proofErr w:type="spellStart"/>
      <w:r>
        <w:rPr>
          <w:rFonts w:eastAsia="Times New Roman"/>
          <w:lang w:val="hu-HU" w:eastAsia="en-US"/>
        </w:rPr>
        <w:t>mal</w:t>
      </w:r>
      <w:proofErr w:type="spellEnd"/>
      <w:r>
        <w:rPr>
          <w:rFonts w:eastAsia="Times New Roman"/>
          <w:lang w:val="hu-HU" w:eastAsia="en-US"/>
        </w:rPr>
        <w:t xml:space="preserve"> történő dóziscsökkentése megfontolandó, ha a vérlemezkeszám meghaladja a kitűzött célértéket. Javasolt 2 hétig várni, hogy ennek és valamennyi ezt követő dózismódosításnak a hatását értékelni lehessen.</w:t>
      </w:r>
    </w:p>
    <w:p w14:paraId="6E115740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A4D1F4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naponta egyszeri 100 mg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adagot nem szabad túllépni.</w:t>
      </w:r>
    </w:p>
    <w:p w14:paraId="6BB57EFE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CD5C9D0" w14:textId="77777777" w:rsidR="00342CEA" w:rsidRDefault="00837BAB">
      <w:pPr>
        <w:tabs>
          <w:tab w:val="clear" w:pos="567"/>
          <w:tab w:val="left" w:pos="1134"/>
        </w:tabs>
        <w:ind w:left="1134" w:hanging="1134"/>
        <w:rPr>
          <w:b/>
          <w:bCs/>
          <w:lang w:val="hu-HU"/>
        </w:rPr>
      </w:pPr>
      <w:r>
        <w:rPr>
          <w:b/>
          <w:bCs/>
          <w:lang w:val="hu-HU"/>
        </w:rPr>
        <w:t>2. táblázat</w:t>
      </w:r>
      <w:r>
        <w:rPr>
          <w:b/>
          <w:bCs/>
          <w:lang w:val="hu-HU"/>
        </w:rPr>
        <w:tab/>
        <w:t xml:space="preserve">Az </w:t>
      </w:r>
      <w:proofErr w:type="spellStart"/>
      <w:r>
        <w:rPr>
          <w:b/>
          <w:bCs/>
          <w:lang w:val="hu-HU"/>
        </w:rPr>
        <w:t>eltrombopag</w:t>
      </w:r>
      <w:proofErr w:type="spellEnd"/>
      <w:r>
        <w:rPr>
          <w:b/>
          <w:bCs/>
          <w:lang w:val="hu-HU"/>
        </w:rPr>
        <w:t xml:space="preserve"> adagjának módosítása HCV</w:t>
      </w:r>
      <w:r>
        <w:rPr>
          <w:b/>
          <w:bCs/>
          <w:lang w:val="hu-HU"/>
        </w:rPr>
        <w:noBreakHyphen/>
        <w:t xml:space="preserve">s betegeknél </w:t>
      </w:r>
      <w:proofErr w:type="spellStart"/>
      <w:r>
        <w:rPr>
          <w:b/>
          <w:bCs/>
          <w:lang w:val="hu-HU"/>
        </w:rPr>
        <w:t>antivirális</w:t>
      </w:r>
      <w:proofErr w:type="spellEnd"/>
      <w:r>
        <w:rPr>
          <w:b/>
          <w:bCs/>
          <w:lang w:val="hu-HU"/>
        </w:rPr>
        <w:t xml:space="preserve"> terápia mellett</w:t>
      </w:r>
    </w:p>
    <w:tbl>
      <w:tblPr>
        <w:tblW w:w="9109" w:type="dxa"/>
        <w:tblInd w:w="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962"/>
        <w:gridCol w:w="5147"/>
      </w:tblGrid>
      <w:tr w:rsidR="00342CEA" w14:paraId="73A39D7E" w14:textId="77777777">
        <w:trPr>
          <w:trHeight w:val="272"/>
        </w:trPr>
        <w:tc>
          <w:tcPr>
            <w:tcW w:w="3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C0E00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Vérlemezkeszám</w:t>
            </w:r>
          </w:p>
        </w:tc>
        <w:tc>
          <w:tcPr>
            <w:tcW w:w="5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1DCE3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Dózismódosítás vagy válasz</w:t>
            </w:r>
          </w:p>
        </w:tc>
      </w:tr>
      <w:tr w:rsidR="00342CEA" w14:paraId="4073C5DF" w14:textId="77777777">
        <w:trPr>
          <w:trHeight w:val="526"/>
        </w:trPr>
        <w:tc>
          <w:tcPr>
            <w:tcW w:w="3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DF158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gramStart"/>
            <w:r>
              <w:rPr>
                <w:lang w:val="hu-HU" w:eastAsia="en-US"/>
              </w:rPr>
              <w:t>&lt; 50</w:t>
            </w:r>
            <w:proofErr w:type="gramEnd"/>
            <w:r>
              <w:rPr>
                <w:lang w:val="hu-HU" w:eastAsia="en-US"/>
              </w:rPr>
              <w:t> 000/µl legalább 2 hetes kezelés után</w:t>
            </w:r>
          </w:p>
        </w:tc>
        <w:tc>
          <w:tcPr>
            <w:tcW w:w="5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09F7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A napi adagot 25 mg</w:t>
            </w:r>
            <w:r>
              <w:rPr>
                <w:lang w:val="hu-HU" w:eastAsia="en-US"/>
              </w:rPr>
              <w:noBreakHyphen/>
            </w:r>
            <w:proofErr w:type="spellStart"/>
            <w:r>
              <w:rPr>
                <w:lang w:val="hu-HU" w:eastAsia="en-US"/>
              </w:rPr>
              <w:t>mal</w:t>
            </w:r>
            <w:proofErr w:type="spellEnd"/>
            <w:r>
              <w:rPr>
                <w:lang w:val="hu-HU" w:eastAsia="en-US"/>
              </w:rPr>
              <w:t xml:space="preserve"> kell emelni, legfeljebb napi 100 mg</w:t>
            </w:r>
            <w:r>
              <w:rPr>
                <w:lang w:val="hu-HU" w:eastAsia="en-US"/>
              </w:rPr>
              <w:noBreakHyphen/>
              <w:t>ig.</w:t>
            </w:r>
          </w:p>
        </w:tc>
      </w:tr>
      <w:tr w:rsidR="00342CEA" w14:paraId="27CB2148" w14:textId="77777777">
        <w:trPr>
          <w:trHeight w:val="527"/>
        </w:trPr>
        <w:tc>
          <w:tcPr>
            <w:tcW w:w="3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AC3D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≥ 50 000/µl </w:t>
            </w:r>
            <w:r>
              <w:rPr>
                <w:lang w:val="hu-HU" w:eastAsia="en-US"/>
              </w:rPr>
              <w:noBreakHyphen/>
              <w:t> ≤ 100 000/µl</w:t>
            </w:r>
          </w:p>
        </w:tc>
        <w:tc>
          <w:tcPr>
            <w:tcW w:w="5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8FCE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Az </w:t>
            </w:r>
            <w:proofErr w:type="spellStart"/>
            <w:r>
              <w:rPr>
                <w:lang w:val="hu-HU" w:eastAsia="en-US"/>
              </w:rPr>
              <w:t>eltrombopag</w:t>
            </w:r>
            <w:proofErr w:type="spellEnd"/>
            <w:r>
              <w:rPr>
                <w:lang w:val="hu-HU" w:eastAsia="en-US"/>
              </w:rPr>
              <w:t xml:space="preserve"> legalacsonyabb szükséges dózisát kell alkalmazni, hogy a </w:t>
            </w:r>
            <w:proofErr w:type="spellStart"/>
            <w:r>
              <w:rPr>
                <w:lang w:val="hu-HU" w:eastAsia="en-US"/>
              </w:rPr>
              <w:t>peginterferon</w:t>
            </w:r>
            <w:proofErr w:type="spellEnd"/>
            <w:r>
              <w:rPr>
                <w:lang w:val="hu-HU" w:eastAsia="en-US"/>
              </w:rPr>
              <w:t xml:space="preserve"> dóziscsökkentése elkerülhető legyen.</w:t>
            </w:r>
          </w:p>
        </w:tc>
      </w:tr>
      <w:tr w:rsidR="00342CEA" w14:paraId="7C6D4E47" w14:textId="77777777">
        <w:trPr>
          <w:trHeight w:val="526"/>
        </w:trPr>
        <w:tc>
          <w:tcPr>
            <w:tcW w:w="3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88832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&gt; 100 000/µl </w:t>
            </w:r>
            <w:r>
              <w:rPr>
                <w:lang w:val="hu-HU" w:eastAsia="en-US"/>
              </w:rPr>
              <w:noBreakHyphen/>
              <w:t> ≤ 150 000/µl</w:t>
            </w:r>
          </w:p>
        </w:tc>
        <w:tc>
          <w:tcPr>
            <w:tcW w:w="5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DB31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A napi adagot 25 mg</w:t>
            </w:r>
            <w:r>
              <w:rPr>
                <w:lang w:val="hu-HU" w:eastAsia="en-US"/>
              </w:rPr>
              <w:noBreakHyphen/>
            </w:r>
            <w:proofErr w:type="spellStart"/>
            <w:r>
              <w:rPr>
                <w:lang w:val="hu-HU" w:eastAsia="en-US"/>
              </w:rPr>
              <w:t>mal</w:t>
            </w:r>
            <w:proofErr w:type="spellEnd"/>
            <w:r>
              <w:rPr>
                <w:lang w:val="hu-HU" w:eastAsia="en-US"/>
              </w:rPr>
              <w:t xml:space="preserve"> kell csökkenteni. Várni kell 2 hétig, hogy ennek és valamennyi ezt követő dózismódosításnak a hatását értékelni lehessen♦.</w:t>
            </w:r>
          </w:p>
        </w:tc>
      </w:tr>
      <w:tr w:rsidR="00342CEA" w14:paraId="0E9BCE0F" w14:textId="77777777">
        <w:trPr>
          <w:trHeight w:val="1284"/>
        </w:trPr>
        <w:tc>
          <w:tcPr>
            <w:tcW w:w="3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0E57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&gt; 150 000/µl</w:t>
            </w:r>
          </w:p>
        </w:tc>
        <w:tc>
          <w:tcPr>
            <w:tcW w:w="5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FE0D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Az </w:t>
            </w:r>
            <w:proofErr w:type="spellStart"/>
            <w:r>
              <w:rPr>
                <w:lang w:val="hu-HU" w:eastAsia="en-US"/>
              </w:rPr>
              <w:t>eltrombopag</w:t>
            </w:r>
            <w:proofErr w:type="spellEnd"/>
            <w:r>
              <w:rPr>
                <w:lang w:val="hu-HU" w:eastAsia="en-US"/>
              </w:rPr>
              <w:t xml:space="preserve"> adását le kell állítani; a vérlemezkeszámot gyakrabban, hetente kétszer kell </w:t>
            </w:r>
            <w:proofErr w:type="spellStart"/>
            <w:r>
              <w:rPr>
                <w:lang w:val="hu-HU" w:eastAsia="en-US"/>
              </w:rPr>
              <w:t>monitorozni</w:t>
            </w:r>
            <w:proofErr w:type="spellEnd"/>
            <w:r>
              <w:rPr>
                <w:lang w:val="hu-HU" w:eastAsia="en-US"/>
              </w:rPr>
              <w:t>.</w:t>
            </w:r>
          </w:p>
          <w:p w14:paraId="7B70A2EA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  <w:p w14:paraId="2B26E7E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Ha a vérlemezkeszám ≤ 100 000/µl, 25 mg</w:t>
            </w:r>
            <w:r>
              <w:rPr>
                <w:lang w:val="hu-HU" w:eastAsia="en-US"/>
              </w:rPr>
              <w:noBreakHyphen/>
            </w:r>
            <w:proofErr w:type="spellStart"/>
            <w:r>
              <w:rPr>
                <w:lang w:val="hu-HU" w:eastAsia="en-US"/>
              </w:rPr>
              <w:t>mal</w:t>
            </w:r>
            <w:proofErr w:type="spellEnd"/>
            <w:r>
              <w:rPr>
                <w:lang w:val="hu-HU" w:eastAsia="en-US"/>
              </w:rPr>
              <w:t xml:space="preserve"> alacsonyabb napi adaggal újra kell kezdeni a kezelést*.</w:t>
            </w:r>
          </w:p>
        </w:tc>
      </w:tr>
    </w:tbl>
    <w:p w14:paraId="0A3CC4F5" w14:textId="77777777" w:rsidR="00342CEA" w:rsidRDefault="00837BAB">
      <w:pPr>
        <w:spacing w:after="12" w:line="247" w:lineRule="auto"/>
        <w:ind w:left="553" w:right="14" w:hanging="568"/>
        <w:rPr>
          <w:lang w:val="hu-HU"/>
        </w:rPr>
      </w:pPr>
      <w:r>
        <w:rPr>
          <w:lang w:val="hu-HU"/>
        </w:rPr>
        <w:t>*</w:t>
      </w:r>
      <w:r>
        <w:rPr>
          <w:sz w:val="20"/>
          <w:szCs w:val="20"/>
          <w:lang w:val="hu-HU"/>
        </w:rPr>
        <w:tab/>
      </w:r>
      <w:r>
        <w:rPr>
          <w:lang w:val="hu-HU"/>
        </w:rPr>
        <w:t>A naponta egyszer 25 mg</w:t>
      </w:r>
      <w:r>
        <w:rPr>
          <w:lang w:val="hu-HU"/>
        </w:rPr>
        <w:noBreakHyphen/>
        <w:t>ot szedő betegeknél megfontolandó a minden második nap szedett 25 mg adaggal történő újrakezdés.</w:t>
      </w:r>
    </w:p>
    <w:p w14:paraId="585CA49F" w14:textId="77777777" w:rsidR="00342CEA" w:rsidRDefault="00837BAB">
      <w:pPr>
        <w:spacing w:after="12" w:line="247" w:lineRule="auto"/>
        <w:ind w:left="553" w:right="14" w:hanging="568"/>
        <w:rPr>
          <w:lang w:val="hu-HU"/>
        </w:rPr>
      </w:pPr>
      <w:r>
        <w:rPr>
          <w:lang w:val="hu-HU"/>
        </w:rPr>
        <w:t xml:space="preserve">♦ </w:t>
      </w:r>
      <w:r>
        <w:rPr>
          <w:vertAlign w:val="superscript"/>
          <w:lang w:val="hu-HU"/>
        </w:rPr>
        <w:tab/>
      </w:r>
      <w:r>
        <w:rPr>
          <w:lang w:val="hu-HU"/>
        </w:rPr>
        <w:t xml:space="preserve">Az </w:t>
      </w:r>
      <w:proofErr w:type="spellStart"/>
      <w:r>
        <w:rPr>
          <w:lang w:val="hu-HU"/>
        </w:rPr>
        <w:t>antivirális</w:t>
      </w:r>
      <w:proofErr w:type="spellEnd"/>
      <w:r>
        <w:rPr>
          <w:lang w:val="hu-HU"/>
        </w:rPr>
        <w:t xml:space="preserve"> terápia megkezdésekor a vérlemezkeszám lecsökkenhet, ezért ekkor az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azonnali dóziscsökkentését el kell kerülni.</w:t>
      </w:r>
    </w:p>
    <w:p w14:paraId="75245BBF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EE0B57C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A kezelés leállítása</w:t>
      </w:r>
    </w:p>
    <w:p w14:paraId="5D9F1CB4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kezelést le kell állítani, ha a vérlemezkeszám 100 mg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2 hétig történő alkalmazása után sem éri el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megkezdéséhez szükséges szintet.</w:t>
      </w:r>
    </w:p>
    <w:p w14:paraId="3C1D0A3F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11ED918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indokolt eseteket kivéve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kezelést be kell fejezni, amikor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leállításra kerül. Túlzott vérlemezkeszám</w:t>
      </w:r>
      <w:r>
        <w:rPr>
          <w:rFonts w:eastAsia="Times New Roman"/>
          <w:lang w:val="hu-HU" w:eastAsia="en-US"/>
        </w:rPr>
        <w:noBreakHyphen/>
        <w:t>válasz vagy a májfunkciókban észlelt jelentős rendellenességek szintén szükségessé teszik a kezelés leállítását.</w:t>
      </w:r>
    </w:p>
    <w:p w14:paraId="577B4F20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30975D8F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u w:val="single"/>
          <w:lang w:val="hu-HU" w:eastAsia="en-US"/>
        </w:rPr>
      </w:pPr>
      <w:r>
        <w:rPr>
          <w:rFonts w:eastAsia="Times New Roman"/>
          <w:i/>
          <w:u w:val="single"/>
          <w:lang w:val="hu-HU" w:eastAsia="en-US"/>
        </w:rPr>
        <w:t>Különleges betegcsoportok</w:t>
      </w:r>
    </w:p>
    <w:p w14:paraId="39ED161C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775FDDF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Vesekárosodás</w:t>
      </w:r>
    </w:p>
    <w:p w14:paraId="64993BB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Vesekárosodásban szenvedő betegeknél nem szükséges dózismódosítás. Károsodott vesefunkciójú betegeknél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körültekintően alkalmazandó, a beteg gondos monitorozása mellett, pl. a szérum-</w:t>
      </w:r>
      <w:proofErr w:type="spellStart"/>
      <w:r>
        <w:rPr>
          <w:rFonts w:eastAsia="Times New Roman"/>
          <w:lang w:val="hu-HU" w:eastAsia="en-US"/>
        </w:rPr>
        <w:t>kreatininszint</w:t>
      </w:r>
      <w:proofErr w:type="spellEnd"/>
      <w:r>
        <w:rPr>
          <w:rFonts w:eastAsia="Times New Roman"/>
          <w:lang w:val="hu-HU" w:eastAsia="en-US"/>
        </w:rPr>
        <w:t xml:space="preserve"> mérésével és/vagy vizeletvizsgálattal (lásd 5.2 pont).</w:t>
      </w:r>
    </w:p>
    <w:p w14:paraId="65949DF1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17C04D0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Májkárosodás</w:t>
      </w:r>
    </w:p>
    <w:p w14:paraId="5DD1665E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nem alkalmazható májkárosodásban szenvedő ITP</w:t>
      </w:r>
      <w:r>
        <w:rPr>
          <w:rFonts w:eastAsia="Times New Roman"/>
          <w:lang w:val="hu-HU" w:eastAsia="en-US"/>
        </w:rPr>
        <w:noBreakHyphen/>
        <w:t>s betegeknél (</w:t>
      </w:r>
      <w:proofErr w:type="spellStart"/>
      <w:r>
        <w:rPr>
          <w:rFonts w:eastAsia="Times New Roman"/>
          <w:lang w:val="hu-HU" w:eastAsia="en-US"/>
        </w:rPr>
        <w:t>Child</w:t>
      </w:r>
      <w:r>
        <w:rPr>
          <w:rFonts w:eastAsia="Times New Roman"/>
          <w:lang w:val="hu-HU" w:eastAsia="en-US"/>
        </w:rPr>
        <w:noBreakHyphen/>
        <w:t>Pugh</w:t>
      </w:r>
      <w:proofErr w:type="spellEnd"/>
      <w:r>
        <w:rPr>
          <w:rFonts w:eastAsia="Times New Roman"/>
          <w:lang w:val="hu-HU" w:eastAsia="en-US"/>
        </w:rPr>
        <w:t xml:space="preserve"> pontszám ≥ 5), kivéve, ha a várható előny nagyobb, mint a </w:t>
      </w:r>
      <w:proofErr w:type="spellStart"/>
      <w:r>
        <w:rPr>
          <w:rFonts w:eastAsia="Times New Roman"/>
          <w:lang w:val="hu-HU" w:eastAsia="en-US"/>
        </w:rPr>
        <w:t>vena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portae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thrombosis</w:t>
      </w:r>
      <w:proofErr w:type="spellEnd"/>
      <w:r>
        <w:rPr>
          <w:rFonts w:eastAsia="Times New Roman"/>
          <w:lang w:val="hu-HU" w:eastAsia="en-US"/>
        </w:rPr>
        <w:t xml:space="preserve"> kimutatott kockázata (lásd 4.4 pont).</w:t>
      </w:r>
    </w:p>
    <w:p w14:paraId="455116F0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2E9D984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Amennyiben májkárosodásban szenvedő ITP</w:t>
      </w:r>
      <w:r>
        <w:rPr>
          <w:rFonts w:eastAsia="Times New Roman"/>
          <w:lang w:val="hu-HU" w:eastAsia="en-US"/>
        </w:rPr>
        <w:noBreakHyphen/>
        <w:t xml:space="preserve">s betegeknél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alkalmazását szükségesnek ítélik, a kezdő dózis naponta egyszer 25 mg kell, hogy legyen. A májkárosodásban szenvedő betegeket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adagolásának megkezdését követően a dózis emelése előtt.</w:t>
      </w:r>
    </w:p>
    <w:p w14:paraId="704A7F1B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három hétig megfigyelés alatt kell tartani.</w:t>
      </w:r>
    </w:p>
    <w:p w14:paraId="74FB2D0F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62FC9B33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Nem szükséges dózismódosítás a krónikus HCV</w:t>
      </w:r>
      <w:r>
        <w:rPr>
          <w:rFonts w:eastAsia="Times New Roman"/>
          <w:lang w:val="hu-HU" w:eastAsia="en-US"/>
        </w:rPr>
        <w:noBreakHyphen/>
        <w:t>ben és enyhe májkárosodásban (</w:t>
      </w:r>
      <w:proofErr w:type="spellStart"/>
      <w:r>
        <w:rPr>
          <w:rFonts w:eastAsia="Times New Roman"/>
          <w:lang w:val="hu-HU" w:eastAsia="en-US"/>
        </w:rPr>
        <w:t>Child</w:t>
      </w:r>
      <w:r>
        <w:rPr>
          <w:rFonts w:eastAsia="Times New Roman"/>
          <w:lang w:val="hu-HU" w:eastAsia="en-US"/>
        </w:rPr>
        <w:noBreakHyphen/>
        <w:t>Pugh</w:t>
      </w:r>
      <w:proofErr w:type="spellEnd"/>
      <w:r>
        <w:rPr>
          <w:rFonts w:eastAsia="Times New Roman"/>
          <w:lang w:val="hu-HU" w:eastAsia="en-US"/>
        </w:rPr>
        <w:t xml:space="preserve"> pontszám ≤ 6) szenvedő betegeknél. A krónikus HCV</w:t>
      </w:r>
      <w:r>
        <w:rPr>
          <w:rFonts w:eastAsia="Times New Roman"/>
          <w:lang w:val="hu-HU" w:eastAsia="en-US"/>
        </w:rPr>
        <w:noBreakHyphen/>
      </w:r>
      <w:r>
        <w:t xml:space="preserve"> </w:t>
      </w:r>
      <w:proofErr w:type="spellStart"/>
      <w:r>
        <w:rPr>
          <w:rFonts w:eastAsia="Times New Roman"/>
          <w:lang w:val="hu-HU" w:eastAsia="en-US"/>
        </w:rPr>
        <w:t>sbetegeknél</w:t>
      </w:r>
      <w:proofErr w:type="spellEnd"/>
      <w:r>
        <w:rPr>
          <w:rFonts w:eastAsia="Times New Roman"/>
          <w:lang w:val="hu-HU" w:eastAsia="en-US"/>
        </w:rPr>
        <w:t xml:space="preserve">, akiknek májkárosodása is van,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kezelést naponta egyszer 25 mg dózissal kell kezdeni (lásd 5.2 pont). A májkárosodásban szenvedő betegeknél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>kezelés megkezdését követően a dózis emelése előtt 2 hétig megfigyelés alatt kell tartani.</w:t>
      </w:r>
    </w:p>
    <w:p w14:paraId="0FDACC05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57D1A326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eltrombopaggal</w:t>
      </w:r>
      <w:proofErr w:type="spellEnd"/>
      <w:r>
        <w:rPr>
          <w:rFonts w:eastAsia="Times New Roman"/>
          <w:lang w:val="hu-HU" w:eastAsia="en-US"/>
        </w:rPr>
        <w:t xml:space="preserve"> kezelt, előrehaladott krónikus májbetegségben szenvedő, </w:t>
      </w:r>
      <w:proofErr w:type="spellStart"/>
      <w:r>
        <w:rPr>
          <w:rFonts w:eastAsia="Times New Roman"/>
          <w:lang w:val="hu-HU" w:eastAsia="en-US"/>
        </w:rPr>
        <w:t>thrombocytopeniás</w:t>
      </w:r>
      <w:proofErr w:type="spellEnd"/>
      <w:r>
        <w:rPr>
          <w:rFonts w:eastAsia="Times New Roman"/>
          <w:lang w:val="hu-HU" w:eastAsia="en-US"/>
        </w:rPr>
        <w:t xml:space="preserve"> betegek esetében fokozott a nemkívánatos események kockázata, beleértve a </w:t>
      </w:r>
      <w:proofErr w:type="spellStart"/>
      <w:r>
        <w:rPr>
          <w:rFonts w:eastAsia="Times New Roman"/>
          <w:lang w:val="hu-HU" w:eastAsia="en-US"/>
        </w:rPr>
        <w:t>hepaticus</w:t>
      </w:r>
      <w:proofErr w:type="spellEnd"/>
      <w:r>
        <w:rPr>
          <w:rFonts w:eastAsia="Times New Roman"/>
          <w:lang w:val="hu-HU" w:eastAsia="en-US"/>
        </w:rPr>
        <w:t xml:space="preserve"> dekompenzációt és </w:t>
      </w:r>
      <w:proofErr w:type="spellStart"/>
      <w:r>
        <w:rPr>
          <w:rFonts w:eastAsia="Times New Roman"/>
          <w:lang w:val="hu-HU" w:eastAsia="en-US"/>
        </w:rPr>
        <w:t>thromboemboliás</w:t>
      </w:r>
      <w:proofErr w:type="spellEnd"/>
      <w:r>
        <w:rPr>
          <w:rFonts w:eastAsia="Times New Roman"/>
          <w:lang w:val="hu-HU" w:eastAsia="en-US"/>
        </w:rPr>
        <w:t xml:space="preserve"> eseményeket (TEE</w:t>
      </w:r>
      <w:r>
        <w:rPr>
          <w:rFonts w:eastAsia="Times New Roman"/>
          <w:lang w:val="hu-HU" w:eastAsia="en-US"/>
        </w:rPr>
        <w:noBreakHyphen/>
        <w:t xml:space="preserve">k), az </w:t>
      </w:r>
      <w:proofErr w:type="spellStart"/>
      <w:r>
        <w:rPr>
          <w:rFonts w:eastAsia="Times New Roman"/>
          <w:lang w:val="hu-HU" w:eastAsia="en-US"/>
        </w:rPr>
        <w:t>invazív</w:t>
      </w:r>
      <w:proofErr w:type="spellEnd"/>
      <w:r>
        <w:rPr>
          <w:rFonts w:eastAsia="Times New Roman"/>
          <w:lang w:val="hu-HU" w:eastAsia="en-US"/>
        </w:rPr>
        <w:t xml:space="preserve"> beavatkozások előkészítése során, illetve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terápiában részesülő, HCV</w:t>
      </w:r>
      <w:r>
        <w:rPr>
          <w:rFonts w:eastAsia="Times New Roman"/>
          <w:lang w:val="hu-HU" w:eastAsia="en-US"/>
        </w:rPr>
        <w:noBreakHyphen/>
        <w:t>s betegeknél is (lásd 4.4 és 4.8 pont).</w:t>
      </w:r>
    </w:p>
    <w:p w14:paraId="206CBFA6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7010ACA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Idősek</w:t>
      </w:r>
    </w:p>
    <w:p w14:paraId="4E07A5CC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65 éves és idősebb ITP</w:t>
      </w:r>
      <w:r>
        <w:rPr>
          <w:rFonts w:eastAsia="Times New Roman"/>
          <w:lang w:val="hu-HU" w:eastAsia="en-US"/>
        </w:rPr>
        <w:noBreakHyphen/>
        <w:t xml:space="preserve">s betegek esetében korlátozott mennyiségű adat áll rendelkezésre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alkalmazásával kapcsolatban, illetve 85 évesnél idősebbek esetén nincs klinikai tapasztalat. Az </w:t>
      </w:r>
      <w:proofErr w:type="spellStart"/>
      <w:r>
        <w:rPr>
          <w:rFonts w:eastAsia="Times New Roman"/>
          <w:lang w:val="hu-HU" w:eastAsia="en-US"/>
        </w:rPr>
        <w:t>eltrombopaggal</w:t>
      </w:r>
      <w:proofErr w:type="spellEnd"/>
      <w:r>
        <w:rPr>
          <w:rFonts w:eastAsia="Times New Roman"/>
          <w:lang w:val="hu-HU" w:eastAsia="en-US"/>
        </w:rPr>
        <w:t xml:space="preserve"> végzett klinikai vizsgálatokban összességében nem tapasztaltak klinikailag jelentős eltéréseket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biztonságosságát illetően a legalább 65 éves betegek és a fiatalabb betegek között. Más klinikai beszámolók szerint nem volt különbség a válaszadás terén az idősebb és a fiatalabb betegek között, de nem zárható ki egyes idősebb betegek fokozott érzékenysége (lásd 5.2 pont).</w:t>
      </w:r>
    </w:p>
    <w:p w14:paraId="167068B7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716DF3A4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75 évesnél idősebb, HCV</w:t>
      </w:r>
      <w:r>
        <w:rPr>
          <w:rFonts w:eastAsia="Times New Roman"/>
          <w:lang w:val="hu-HU" w:eastAsia="en-US"/>
        </w:rPr>
        <w:noBreakHyphen/>
        <w:t>s</w:t>
      </w:r>
      <w:r>
        <w:rPr>
          <w:lang w:val="hu-HU"/>
        </w:rPr>
        <w:t xml:space="preserve"> </w:t>
      </w:r>
      <w:r>
        <w:rPr>
          <w:rFonts w:eastAsia="Times New Roman"/>
          <w:lang w:val="hu-HU" w:eastAsia="en-US"/>
        </w:rPr>
        <w:t xml:space="preserve">betegek esetében korlátozott mennyiségű adat áll rendelkezésre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alkalmazásával kapcsolatban. Ezeknél a betegeknél elővigyázatosság szükséges (lásd 4.4 pont).</w:t>
      </w:r>
    </w:p>
    <w:p w14:paraId="2228DF81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5131455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Kelet</w:t>
      </w:r>
      <w:r>
        <w:rPr>
          <w:rFonts w:eastAsia="Times New Roman"/>
          <w:i/>
          <w:lang w:val="hu-HU" w:eastAsia="en-US"/>
        </w:rPr>
        <w:noBreakHyphen/>
        <w:t>/délkelet</w:t>
      </w:r>
      <w:r>
        <w:rPr>
          <w:rFonts w:eastAsia="Times New Roman"/>
          <w:i/>
          <w:lang w:val="hu-HU" w:eastAsia="en-US"/>
        </w:rPr>
        <w:noBreakHyphen/>
        <w:t>ázsiai betegek</w:t>
      </w:r>
    </w:p>
    <w:p w14:paraId="17FFCAC3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Kelet</w:t>
      </w:r>
      <w:r>
        <w:rPr>
          <w:rFonts w:eastAsia="Times New Roman"/>
          <w:lang w:val="hu-HU" w:eastAsia="en-US"/>
        </w:rPr>
        <w:noBreakHyphen/>
        <w:t>/délkelet</w:t>
      </w:r>
      <w:r>
        <w:rPr>
          <w:rFonts w:eastAsia="Times New Roman"/>
          <w:lang w:val="hu-HU" w:eastAsia="en-US"/>
        </w:rPr>
        <w:noBreakHyphen/>
        <w:t xml:space="preserve">ázsiai származású felnőtt, valamint gyermek- és serdülőkorú betegeknél – a májkárosodásban szenvedőket is beleértve –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>-kezelést naponta egyszer 25 mg</w:t>
      </w:r>
      <w:r>
        <w:rPr>
          <w:rFonts w:eastAsia="Times New Roman"/>
          <w:lang w:val="hu-HU" w:eastAsia="en-US"/>
        </w:rPr>
        <w:noBreakHyphen/>
        <w:t>os dózissal kell elkezdeni (lásd 5.2 pont).</w:t>
      </w:r>
    </w:p>
    <w:p w14:paraId="4B125210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8E304A2" w14:textId="77777777" w:rsidR="00342CEA" w:rsidRDefault="00837BAB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betegek vérlemezkeszámát folyamatosan </w:t>
      </w:r>
      <w:proofErr w:type="spellStart"/>
      <w:r>
        <w:rPr>
          <w:rFonts w:eastAsia="Times New Roman"/>
          <w:lang w:val="hu-HU" w:eastAsia="en-US"/>
        </w:rPr>
        <w:t>monitorozni</w:t>
      </w:r>
      <w:proofErr w:type="spellEnd"/>
      <w:r>
        <w:rPr>
          <w:rFonts w:eastAsia="Times New Roman"/>
          <w:lang w:val="hu-HU" w:eastAsia="en-US"/>
        </w:rPr>
        <w:t xml:space="preserve"> kell, és a további dózismódosítások esetén a vonatkozó standard előírásokat kell követni.</w:t>
      </w:r>
    </w:p>
    <w:p w14:paraId="58358601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862B553" w14:textId="77777777" w:rsidR="00342CEA" w:rsidRDefault="00837BAB">
      <w:pPr>
        <w:widowControl w:val="0"/>
        <w:autoSpaceDE w:val="0"/>
        <w:autoSpaceDN w:val="0"/>
        <w:spacing w:line="240" w:lineRule="auto"/>
        <w:rPr>
          <w:rFonts w:eastAsia="Times New Roman"/>
          <w:i/>
          <w:lang w:val="hu-HU" w:eastAsia="en-US"/>
        </w:rPr>
      </w:pPr>
      <w:r>
        <w:rPr>
          <w:rFonts w:eastAsia="Times New Roman"/>
          <w:i/>
          <w:lang w:val="hu-HU" w:eastAsia="en-US"/>
        </w:rPr>
        <w:t>Gyermekek és serdülők</w:t>
      </w:r>
    </w:p>
    <w:p w14:paraId="1DD2E647" w14:textId="77777777" w:rsidR="00342CEA" w:rsidRDefault="00837BAB">
      <w:pPr>
        <w:widowControl w:val="0"/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alkalmazása nem javasolt egy éves kor alatti, ITP</w:t>
      </w:r>
      <w:r>
        <w:rPr>
          <w:rFonts w:eastAsia="Times New Roman"/>
          <w:lang w:val="hu-HU" w:eastAsia="en-US"/>
        </w:rPr>
        <w:noBreakHyphen/>
        <w:t xml:space="preserve">s gyermekeknél, mivel nincs elegendő adat a biztonságosságra és a hatásosságra vonatkozóan.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biztonságosságát és </w:t>
      </w:r>
      <w:r>
        <w:rPr>
          <w:rFonts w:eastAsia="Times New Roman"/>
          <w:lang w:val="hu-HU" w:eastAsia="en-US"/>
        </w:rPr>
        <w:lastRenderedPageBreak/>
        <w:t>hatásosságát gyermekek és (18 év alatti) serdülők esetében, krónikus HCV</w:t>
      </w:r>
      <w:r>
        <w:rPr>
          <w:rFonts w:eastAsia="Times New Roman"/>
          <w:lang w:val="hu-HU" w:eastAsia="en-US"/>
        </w:rPr>
        <w:noBreakHyphen/>
        <w:t xml:space="preserve">vel összefüggő </w:t>
      </w:r>
      <w:proofErr w:type="spellStart"/>
      <w:r>
        <w:rPr>
          <w:rFonts w:eastAsia="Times New Roman"/>
          <w:lang w:val="hu-HU" w:eastAsia="en-US"/>
        </w:rPr>
        <w:t>thrombocytopeniában</w:t>
      </w:r>
      <w:proofErr w:type="spellEnd"/>
      <w:r>
        <w:rPr>
          <w:rFonts w:eastAsia="Times New Roman"/>
          <w:lang w:val="hu-HU" w:eastAsia="en-US"/>
        </w:rPr>
        <w:t xml:space="preserve"> nem igazolták. Nincsenek rendelkezésre álló adatok.</w:t>
      </w:r>
    </w:p>
    <w:p w14:paraId="3ED90351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66105E1" w14:textId="77777777" w:rsidR="00342CEA" w:rsidRDefault="00837BAB">
      <w:pPr>
        <w:keepNext/>
        <w:spacing w:line="240" w:lineRule="auto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Az alkalmazás módja</w:t>
      </w:r>
    </w:p>
    <w:p w14:paraId="732B5F34" w14:textId="77777777" w:rsidR="00342CEA" w:rsidRDefault="00837BAB">
      <w:pPr>
        <w:keepNext/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Szájon át történő alkalmazásra.</w:t>
      </w:r>
    </w:p>
    <w:p w14:paraId="61F03F41" w14:textId="77777777" w:rsidR="00342CEA" w:rsidRDefault="00837BAB">
      <w:pPr>
        <w:widowControl w:val="0"/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tablettát egyéb készítmények, például </w:t>
      </w:r>
      <w:proofErr w:type="spellStart"/>
      <w:r>
        <w:rPr>
          <w:rFonts w:eastAsia="Times New Roman"/>
          <w:lang w:val="hu-HU" w:eastAsia="en-US"/>
        </w:rPr>
        <w:t>antacidok</w:t>
      </w:r>
      <w:proofErr w:type="spellEnd"/>
      <w:r>
        <w:rPr>
          <w:rFonts w:eastAsia="Times New Roman"/>
          <w:lang w:val="hu-HU" w:eastAsia="en-US"/>
        </w:rPr>
        <w:t xml:space="preserve">, tejtermékek (vagy egyéb, kalciumot tartalmazó élelmiszerek) vagy </w:t>
      </w:r>
      <w:proofErr w:type="spellStart"/>
      <w:r>
        <w:rPr>
          <w:rFonts w:eastAsia="Times New Roman"/>
          <w:lang w:val="hu-HU" w:eastAsia="en-US"/>
        </w:rPr>
        <w:t>polivalens</w:t>
      </w:r>
      <w:proofErr w:type="spellEnd"/>
      <w:r>
        <w:rPr>
          <w:rFonts w:eastAsia="Times New Roman"/>
          <w:lang w:val="hu-HU" w:eastAsia="en-US"/>
        </w:rPr>
        <w:t xml:space="preserve"> kationokat (pl. vas, kalcium, magnézium, alumínium, szelén és cink) tartalmazó ásványianyag</w:t>
      </w:r>
      <w:r>
        <w:rPr>
          <w:rFonts w:eastAsia="Times New Roman"/>
          <w:lang w:val="hu-HU" w:eastAsia="en-US"/>
        </w:rPr>
        <w:noBreakHyphen/>
        <w:t>pótló készítmények bevétele előtt legalább két órával vagy ezek után legalább négy órával kell bevenni (lásd 4.5 és 5.2 pont).</w:t>
      </w:r>
    </w:p>
    <w:p w14:paraId="58B79A12" w14:textId="77777777" w:rsidR="00342CEA" w:rsidRDefault="00342CEA">
      <w:pPr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169E8F3D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4.3</w:t>
      </w:r>
      <w:r>
        <w:rPr>
          <w:rFonts w:eastAsia="Times New Roman"/>
          <w:b/>
          <w:bCs/>
          <w:lang w:val="hu-HU" w:eastAsia="en-US"/>
        </w:rPr>
        <w:tab/>
        <w:t>Ellenjavallatok</w:t>
      </w:r>
    </w:p>
    <w:p w14:paraId="5BE9E3CF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36D5756F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eltrombopaggal</w:t>
      </w:r>
      <w:proofErr w:type="spellEnd"/>
      <w:r>
        <w:rPr>
          <w:rFonts w:eastAsia="Times New Roman"/>
          <w:lang w:val="hu-HU" w:eastAsia="en-US"/>
        </w:rPr>
        <w:t xml:space="preserve"> vagy a 6.1 pontban felsorolt bármely segédanyaggal szembeni túlérzékenység.</w:t>
      </w:r>
    </w:p>
    <w:p w14:paraId="3606F91E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448FCCEA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4.4</w:t>
      </w:r>
      <w:r>
        <w:rPr>
          <w:rFonts w:eastAsia="Times New Roman"/>
          <w:b/>
          <w:bCs/>
          <w:lang w:val="hu-HU" w:eastAsia="en-US"/>
        </w:rPr>
        <w:tab/>
        <w:t>Különleges figyelmeztetések és az alkalmazással kapcsolatos óvintézkedések</w:t>
      </w:r>
    </w:p>
    <w:p w14:paraId="5BB4FEC1" w14:textId="77777777" w:rsidR="00342CEA" w:rsidRDefault="00342CEA">
      <w:pPr>
        <w:spacing w:line="240" w:lineRule="auto"/>
        <w:rPr>
          <w:lang w:val="hu-HU"/>
        </w:rPr>
      </w:pPr>
    </w:p>
    <w:p w14:paraId="499E1279" w14:textId="77777777" w:rsidR="00342CEA" w:rsidRDefault="00837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Azoknál, az előrehaladott krónikus májbetegségben is szenvedő, </w:t>
      </w:r>
      <w:proofErr w:type="spellStart"/>
      <w:r>
        <w:rPr>
          <w:rFonts w:eastAsia="Times New Roman"/>
          <w:lang w:val="hu-HU" w:eastAsia="en-US"/>
        </w:rPr>
        <w:t>thrombocytopeniás</w:t>
      </w:r>
      <w:proofErr w:type="spellEnd"/>
      <w:r>
        <w:rPr>
          <w:rFonts w:eastAsia="Times New Roman"/>
          <w:lang w:val="hu-HU" w:eastAsia="en-US"/>
        </w:rPr>
        <w:t xml:space="preserve"> HCV</w:t>
      </w:r>
      <w:r>
        <w:rPr>
          <w:rFonts w:eastAsia="Times New Roman"/>
          <w:lang w:val="hu-HU" w:eastAsia="en-US"/>
        </w:rPr>
        <w:noBreakHyphen/>
        <w:t>s betegeknél (definíciója: ≤ 35 g/l</w:t>
      </w:r>
      <w:r>
        <w:rPr>
          <w:rFonts w:eastAsia="Times New Roman"/>
          <w:lang w:val="hu-HU" w:eastAsia="en-US"/>
        </w:rPr>
        <w:noBreakHyphen/>
        <w:t>nél alacsonyabb albuminszint vagy ≥ 10 MELD</w:t>
      </w:r>
      <w:r>
        <w:rPr>
          <w:rFonts w:eastAsia="Times New Roman"/>
          <w:lang w:val="hu-HU" w:eastAsia="en-US"/>
        </w:rPr>
        <w:noBreakHyphen/>
        <w:t xml:space="preserve"> [</w:t>
      </w:r>
      <w:proofErr w:type="spellStart"/>
      <w:r>
        <w:rPr>
          <w:rFonts w:eastAsia="Times New Roman"/>
          <w:lang w:val="hu-HU" w:eastAsia="en-US"/>
        </w:rPr>
        <w:t>Model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for</w:t>
      </w:r>
      <w:proofErr w:type="spellEnd"/>
      <w:r>
        <w:rPr>
          <w:rFonts w:eastAsia="Times New Roman"/>
          <w:lang w:val="hu-HU" w:eastAsia="en-US"/>
        </w:rPr>
        <w:t xml:space="preserve"> End </w:t>
      </w:r>
      <w:proofErr w:type="spellStart"/>
      <w:r>
        <w:rPr>
          <w:rFonts w:eastAsia="Times New Roman"/>
          <w:lang w:val="hu-HU" w:eastAsia="en-US"/>
        </w:rPr>
        <w:t>Stage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Liver</w:t>
      </w:r>
      <w:proofErr w:type="spellEnd"/>
      <w:r>
        <w:rPr>
          <w:rFonts w:eastAsia="Times New Roman"/>
          <w:lang w:val="hu-HU" w:eastAsia="en-US"/>
        </w:rPr>
        <w:t xml:space="preserve"> </w:t>
      </w:r>
      <w:proofErr w:type="spellStart"/>
      <w:r>
        <w:rPr>
          <w:rFonts w:eastAsia="Times New Roman"/>
          <w:lang w:val="hu-HU" w:eastAsia="en-US"/>
        </w:rPr>
        <w:t>Disease</w:t>
      </w:r>
      <w:proofErr w:type="spellEnd"/>
      <w:r>
        <w:rPr>
          <w:rFonts w:eastAsia="Times New Roman"/>
          <w:lang w:val="hu-HU" w:eastAsia="en-US"/>
        </w:rPr>
        <w:t xml:space="preserve">) pontszám]), akik interferon alapú terápiával kombinációban részesülnek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kezelésben, fokozott a mellékhatások kockázata, beleértve a potenciálisan halálos </w:t>
      </w:r>
      <w:proofErr w:type="spellStart"/>
      <w:r>
        <w:rPr>
          <w:rFonts w:eastAsia="Times New Roman"/>
          <w:lang w:val="hu-HU" w:eastAsia="en-US"/>
        </w:rPr>
        <w:t>hepaticus</w:t>
      </w:r>
      <w:proofErr w:type="spellEnd"/>
      <w:r>
        <w:rPr>
          <w:rFonts w:eastAsia="Times New Roman"/>
          <w:lang w:val="hu-HU" w:eastAsia="en-US"/>
        </w:rPr>
        <w:t xml:space="preserve"> dekompenzációt és </w:t>
      </w:r>
      <w:proofErr w:type="spellStart"/>
      <w:r>
        <w:rPr>
          <w:rFonts w:eastAsia="Times New Roman"/>
          <w:lang w:val="hu-HU" w:eastAsia="en-US"/>
        </w:rPr>
        <w:t>thromboemboliás</w:t>
      </w:r>
      <w:proofErr w:type="spellEnd"/>
      <w:r>
        <w:rPr>
          <w:rFonts w:eastAsia="Times New Roman"/>
          <w:lang w:val="hu-HU" w:eastAsia="en-US"/>
        </w:rPr>
        <w:t xml:space="preserve"> eseményeket is. Emellett ezeknél a betegeknél a kezelés előnyei mérsékeltének bizonyultak a tartós virológiai választ (</w:t>
      </w:r>
      <w:r>
        <w:rPr>
          <w:spacing w:val="-2"/>
        </w:rPr>
        <w:t>sustained</w:t>
      </w:r>
      <w:r>
        <w:rPr>
          <w:spacing w:val="5"/>
        </w:rPr>
        <w:t xml:space="preserve"> </w:t>
      </w:r>
      <w:r>
        <w:rPr>
          <w:spacing w:val="-2"/>
        </w:rPr>
        <w:t>virological</w:t>
      </w:r>
      <w:r>
        <w:rPr>
          <w:spacing w:val="3"/>
        </w:rPr>
        <w:t xml:space="preserve"> </w:t>
      </w:r>
      <w:r>
        <w:rPr>
          <w:spacing w:val="-3"/>
        </w:rPr>
        <w:t>response</w:t>
      </w:r>
      <w:r>
        <w:rPr>
          <w:spacing w:val="10"/>
        </w:rPr>
        <w:t xml:space="preserve">, </w:t>
      </w:r>
      <w:r>
        <w:rPr>
          <w:rFonts w:eastAsia="Times New Roman"/>
          <w:lang w:val="hu-HU" w:eastAsia="en-US"/>
        </w:rPr>
        <w:t xml:space="preserve">SVR) elérők </w:t>
      </w:r>
      <w:proofErr w:type="spellStart"/>
      <w:r>
        <w:rPr>
          <w:rFonts w:eastAsia="Times New Roman"/>
          <w:lang w:val="hu-HU" w:eastAsia="en-US"/>
        </w:rPr>
        <w:t>placebóhoz</w:t>
      </w:r>
      <w:proofErr w:type="spellEnd"/>
      <w:r>
        <w:rPr>
          <w:rFonts w:eastAsia="Times New Roman"/>
          <w:lang w:val="hu-HU" w:eastAsia="en-US"/>
        </w:rPr>
        <w:t xml:space="preserve"> viszonyított arányának tekintetében (különösen, akiknél a kiindulási albuminszint ≤ 35 g/l), a teljes vizsgálati csoporttal összehasonlítva. Ezeknél a betegeknél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  <w:t xml:space="preserve">kezelést csak az előrehaladott HCV kezelésében tapasztalt szakorvosnak szabad </w:t>
      </w:r>
      <w:proofErr w:type="spellStart"/>
      <w:r>
        <w:rPr>
          <w:rFonts w:eastAsia="Times New Roman"/>
          <w:lang w:val="hu-HU" w:eastAsia="en-US"/>
        </w:rPr>
        <w:t>elkezdenie</w:t>
      </w:r>
      <w:proofErr w:type="spellEnd"/>
      <w:r>
        <w:rPr>
          <w:rFonts w:eastAsia="Times New Roman"/>
          <w:lang w:val="hu-HU" w:eastAsia="en-US"/>
        </w:rPr>
        <w:t xml:space="preserve">, és csak abban az esetben, ha a </w:t>
      </w:r>
      <w:proofErr w:type="spellStart"/>
      <w:r>
        <w:rPr>
          <w:rFonts w:eastAsia="Times New Roman"/>
          <w:lang w:val="hu-HU" w:eastAsia="en-US"/>
        </w:rPr>
        <w:t>thrombocytopenia</w:t>
      </w:r>
      <w:proofErr w:type="spellEnd"/>
      <w:r>
        <w:rPr>
          <w:rFonts w:eastAsia="Times New Roman"/>
          <w:lang w:val="hu-HU" w:eastAsia="en-US"/>
        </w:rPr>
        <w:t xml:space="preserve"> kockázatai vagy az </w:t>
      </w:r>
      <w:proofErr w:type="spellStart"/>
      <w:r>
        <w:rPr>
          <w:rFonts w:eastAsia="Times New Roman"/>
          <w:lang w:val="hu-HU" w:eastAsia="en-US"/>
        </w:rPr>
        <w:t>antivirális</w:t>
      </w:r>
      <w:proofErr w:type="spellEnd"/>
      <w:r>
        <w:rPr>
          <w:rFonts w:eastAsia="Times New Roman"/>
          <w:lang w:val="hu-HU" w:eastAsia="en-US"/>
        </w:rPr>
        <w:t xml:space="preserve"> terápia felfüggesztése elkerülhetetlenné teszi a beavatkozást. Ha a kezelést klinikailag indokoltnak tartják, akkor ezeknek a betegeknek a szoros monitorozása szükséges.</w:t>
      </w:r>
    </w:p>
    <w:p w14:paraId="5037760F" w14:textId="77777777" w:rsidR="00342CEA" w:rsidRDefault="00342CEA">
      <w:pPr>
        <w:spacing w:line="240" w:lineRule="auto"/>
        <w:rPr>
          <w:lang w:val="hu-HU"/>
        </w:rPr>
      </w:pPr>
    </w:p>
    <w:p w14:paraId="7AB90FF0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Kombináció direkt hatású </w:t>
      </w:r>
      <w:proofErr w:type="spellStart"/>
      <w:r>
        <w:rPr>
          <w:u w:val="single"/>
          <w:lang w:val="hu-HU"/>
        </w:rPr>
        <w:t>antivirális</w:t>
      </w:r>
      <w:proofErr w:type="spellEnd"/>
      <w:r>
        <w:rPr>
          <w:u w:val="single"/>
          <w:lang w:val="hu-HU"/>
        </w:rPr>
        <w:t xml:space="preserve"> szerekkel</w:t>
      </w:r>
    </w:p>
    <w:p w14:paraId="28A55902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>A krónikus hepatitis C</w:t>
      </w:r>
      <w:r>
        <w:rPr>
          <w:lang w:val="hu-HU"/>
        </w:rPr>
        <w:noBreakHyphen/>
        <w:t xml:space="preserve">fertőzés kezelésére engedélyezett direkt hatású </w:t>
      </w:r>
      <w:proofErr w:type="spellStart"/>
      <w:r>
        <w:rPr>
          <w:lang w:val="hu-HU"/>
        </w:rPr>
        <w:t>antivirális</w:t>
      </w:r>
      <w:proofErr w:type="spellEnd"/>
      <w:r>
        <w:rPr>
          <w:lang w:val="hu-HU"/>
        </w:rPr>
        <w:t xml:space="preserve"> szerekkel történő kombinációk biztonságosságát és hatásosságát nem vizsgálták.</w:t>
      </w:r>
    </w:p>
    <w:p w14:paraId="6A546E14" w14:textId="77777777" w:rsidR="00342CEA" w:rsidRDefault="00342CEA">
      <w:pPr>
        <w:spacing w:line="240" w:lineRule="auto"/>
        <w:rPr>
          <w:lang w:val="hu-HU"/>
        </w:rPr>
      </w:pPr>
    </w:p>
    <w:p w14:paraId="440FD2A0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hepatotoxicitás</w:t>
      </w:r>
      <w:proofErr w:type="spellEnd"/>
      <w:r>
        <w:rPr>
          <w:u w:val="single"/>
          <w:lang w:val="hu-HU"/>
        </w:rPr>
        <w:t xml:space="preserve"> kockázata</w:t>
      </w:r>
    </w:p>
    <w:p w14:paraId="2E102A67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adása májfunkciós zavart és súlyos </w:t>
      </w:r>
      <w:proofErr w:type="spellStart"/>
      <w:r>
        <w:rPr>
          <w:lang w:val="hu-HU"/>
        </w:rPr>
        <w:t>hepatotoxicitást</w:t>
      </w:r>
      <w:proofErr w:type="spellEnd"/>
      <w:r>
        <w:rPr>
          <w:lang w:val="hu-HU"/>
        </w:rPr>
        <w:t xml:space="preserve"> okozhat, amely akár életveszélyes is lehet (lásd 4.8 pont).</w:t>
      </w:r>
    </w:p>
    <w:p w14:paraId="3D3788EF" w14:textId="77777777" w:rsidR="00342CEA" w:rsidRDefault="00342CEA">
      <w:pPr>
        <w:spacing w:line="240" w:lineRule="auto"/>
        <w:rPr>
          <w:lang w:val="hu-HU"/>
        </w:rPr>
      </w:pPr>
    </w:p>
    <w:p w14:paraId="168D18A9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 xml:space="preserve">Ellenőrizni kell a szérum </w:t>
      </w:r>
      <w:proofErr w:type="spellStart"/>
      <w:r>
        <w:rPr>
          <w:lang w:val="hu-HU"/>
        </w:rPr>
        <w:t>glutamát</w:t>
      </w:r>
      <w:r>
        <w:rPr>
          <w:lang w:val="hu-HU"/>
        </w:rPr>
        <w:noBreakHyphen/>
        <w:t>piruvát-transzamináz</w:t>
      </w:r>
      <w:proofErr w:type="spellEnd"/>
      <w:r>
        <w:rPr>
          <w:lang w:val="hu-HU"/>
        </w:rPr>
        <w:t xml:space="preserve"> (GPT), </w:t>
      </w:r>
      <w:proofErr w:type="spellStart"/>
      <w:r>
        <w:rPr>
          <w:lang w:val="hu-HU"/>
        </w:rPr>
        <w:t>glutamát</w:t>
      </w:r>
      <w:proofErr w:type="spellEnd"/>
      <w:r>
        <w:rPr>
          <w:lang w:val="hu-HU"/>
        </w:rPr>
        <w:noBreakHyphen/>
        <w:t>oxálacetát</w:t>
      </w:r>
      <w:r>
        <w:rPr>
          <w:lang w:val="hu-HU"/>
        </w:rPr>
        <w:noBreakHyphen/>
      </w:r>
      <w:proofErr w:type="spellStart"/>
      <w:r>
        <w:rPr>
          <w:lang w:val="hu-HU"/>
        </w:rPr>
        <w:t>transzamináz</w:t>
      </w:r>
      <w:proofErr w:type="spellEnd"/>
      <w:r>
        <w:rPr>
          <w:lang w:val="hu-HU"/>
        </w:rPr>
        <w:t xml:space="preserve"> (GOT) és a bilirubin szintjét az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noBreakHyphen/>
        <w:t xml:space="preserve">kezelés megkezdése előtt, majd a dózisbeállítás időszakában 2 hetente, ezt követően pedig a stabil dózis megállapítása után havonta. Az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gátolja az UGT1A1 és OATP1B1</w:t>
      </w:r>
      <w:r>
        <w:rPr>
          <w:lang w:val="hu-HU"/>
        </w:rPr>
        <w:noBreakHyphen/>
        <w:t xml:space="preserve">et, ami indirekt </w:t>
      </w:r>
      <w:proofErr w:type="spellStart"/>
      <w:r>
        <w:rPr>
          <w:lang w:val="hu-HU"/>
        </w:rPr>
        <w:t>hyperbilirubinaemiát</w:t>
      </w:r>
      <w:proofErr w:type="spellEnd"/>
      <w:r>
        <w:rPr>
          <w:lang w:val="hu-HU"/>
        </w:rPr>
        <w:t xml:space="preserve"> eredményezhet. Emelkedett bilirubinszint esetén frakcionálást kell végezni. Az eltérést mutató májfunkciós teszteket 3</w:t>
      </w:r>
      <w:r>
        <w:rPr>
          <w:lang w:val="hu-HU"/>
        </w:rPr>
        <w:noBreakHyphen/>
        <w:t xml:space="preserve">5 naponta megismételt vizsgálat alapján kell értékelni. Ha a kóros értékeket megerősítették, a májfunkciós értékeket mindaddig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kell, ameddig a rendellenesség megszűnik, az értékek stabilizálódnak vagy visszatérnek a kiindulási szintre. Abba kell hagyni az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alkalmazását, ha az GPT</w:t>
      </w:r>
      <w:r>
        <w:rPr>
          <w:lang w:val="hu-HU"/>
        </w:rPr>
        <w:noBreakHyphen/>
        <w:t>szint megemelkedik (a normálérték felső határának 3</w:t>
      </w:r>
      <w:r>
        <w:rPr>
          <w:lang w:val="hu-HU"/>
        </w:rPr>
        <w:noBreakHyphen/>
        <w:t>szorosára vagy annál magasabbra a normális májfunkciójú betegeknél, vagy a kiindulási szint legalább 3</w:t>
      </w:r>
      <w:r>
        <w:rPr>
          <w:lang w:val="hu-HU"/>
        </w:rPr>
        <w:noBreakHyphen/>
        <w:t>szorosára, vagy a normálérték felső határának 5</w:t>
      </w:r>
      <w:r>
        <w:rPr>
          <w:lang w:val="hu-HU"/>
        </w:rPr>
        <w:noBreakHyphen/>
        <w:t xml:space="preserve">szörösére - a kettő közül az alacsonyabbat figyelembe véve - olyan betegeknél, akiknél a kezelés előtt emelkedett </w:t>
      </w:r>
      <w:proofErr w:type="spellStart"/>
      <w:r>
        <w:rPr>
          <w:lang w:val="hu-HU"/>
        </w:rPr>
        <w:t>transzaminázszintek</w:t>
      </w:r>
      <w:proofErr w:type="spellEnd"/>
      <w:r>
        <w:rPr>
          <w:lang w:val="hu-HU"/>
        </w:rPr>
        <w:t xml:space="preserve"> állnak fenn), és ha az emelkedés:</w:t>
      </w:r>
    </w:p>
    <w:p w14:paraId="3DF7CB16" w14:textId="77777777" w:rsidR="00342CEA" w:rsidRDefault="00837BA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progresszív, vagy</w:t>
      </w:r>
    </w:p>
    <w:p w14:paraId="6636CD9A" w14:textId="77777777" w:rsidR="00342CEA" w:rsidRDefault="00837BA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4 hétig vagy tovább fennáll, vagy</w:t>
      </w:r>
    </w:p>
    <w:p w14:paraId="5F7A7924" w14:textId="77777777" w:rsidR="00342CEA" w:rsidRDefault="00837BA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direkt bilirubin emelkedésével jár együtt, vagy</w:t>
      </w:r>
    </w:p>
    <w:p w14:paraId="78863F01" w14:textId="77777777" w:rsidR="00342CEA" w:rsidRDefault="00837BA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májkárosodás klinikai tünetei vagy a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noBreakHyphen/>
        <w:t>dekompenzáció nyilvánvaló jelei kísérik.</w:t>
      </w:r>
    </w:p>
    <w:p w14:paraId="512BFCE7" w14:textId="77777777" w:rsidR="00342CEA" w:rsidRDefault="00342CEA">
      <w:pPr>
        <w:spacing w:line="240" w:lineRule="auto"/>
        <w:rPr>
          <w:lang w:val="hu-HU"/>
        </w:rPr>
      </w:pPr>
    </w:p>
    <w:p w14:paraId="1F92075B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 xml:space="preserve">Elővigyázatosan kell eljárni, ha az </w:t>
      </w:r>
      <w:proofErr w:type="spellStart"/>
      <w:r>
        <w:rPr>
          <w:lang w:val="hu-HU"/>
        </w:rPr>
        <w:t>eltrombopagot</w:t>
      </w:r>
      <w:proofErr w:type="spellEnd"/>
      <w:r>
        <w:rPr>
          <w:lang w:val="hu-HU"/>
        </w:rPr>
        <w:t xml:space="preserve"> májbetegeknél alkalmazzák. Májkárosodásban szenvedő ITP</w:t>
      </w:r>
      <w:r>
        <w:rPr>
          <w:lang w:val="hu-HU"/>
        </w:rPr>
        <w:noBreakHyphen/>
        <w:t xml:space="preserve">s betegeknél </w:t>
      </w: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alkalmazásakor alacsonyabb kezdő dózis alkalmazandó. Az </w:t>
      </w:r>
      <w:proofErr w:type="spellStart"/>
      <w:r>
        <w:rPr>
          <w:lang w:val="hu-HU"/>
        </w:rPr>
        <w:lastRenderedPageBreak/>
        <w:t>eltrombopag</w:t>
      </w:r>
      <w:proofErr w:type="spellEnd"/>
      <w:r>
        <w:rPr>
          <w:lang w:val="hu-HU"/>
        </w:rPr>
        <w:t xml:space="preserve"> alkalmazásakor a májkárosodásban szenvedő betegek szoros monitorozása szükséges (lásd 4.2 pont).</w:t>
      </w:r>
    </w:p>
    <w:p w14:paraId="4030F4F1" w14:textId="77777777" w:rsidR="00342CEA" w:rsidRDefault="00342CEA">
      <w:pPr>
        <w:spacing w:line="240" w:lineRule="auto"/>
        <w:rPr>
          <w:lang w:val="hu-HU"/>
        </w:rPr>
      </w:pPr>
    </w:p>
    <w:p w14:paraId="313194F2" w14:textId="77777777" w:rsidR="00342CEA" w:rsidRDefault="00837BAB">
      <w:pPr>
        <w:keepNext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Hepaticus</w:t>
      </w:r>
      <w:proofErr w:type="spellEnd"/>
      <w:r>
        <w:rPr>
          <w:u w:val="single"/>
          <w:lang w:val="hu-HU"/>
        </w:rPr>
        <w:t xml:space="preserve"> dekompenzáció (interferonnal történő alkalmazás)</w:t>
      </w:r>
    </w:p>
    <w:p w14:paraId="562BE81F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dekompenzáció krónikus hepatitis C</w:t>
      </w:r>
      <w:r>
        <w:rPr>
          <w:lang w:val="hu-HU"/>
        </w:rPr>
        <w:noBreakHyphen/>
        <w:t xml:space="preserve">ben szenvedő betegeknél: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</w:t>
      </w:r>
      <w:r>
        <w:rPr>
          <w:rFonts w:eastAsia="TimesNewRomanPSMT"/>
          <w:lang w:val="hu-HU" w:eastAsia="en-GB"/>
        </w:rPr>
        <w:t xml:space="preserve"> azokat a betegeket, akiknél alacsony albuminszint (≤ </w:t>
      </w:r>
      <w:r>
        <w:rPr>
          <w:lang w:val="hu-HU" w:eastAsia="en-GB"/>
        </w:rPr>
        <w:t>35 </w:t>
      </w:r>
      <w:r>
        <w:rPr>
          <w:rFonts w:eastAsia="TimesNewRomanPSMT"/>
          <w:lang w:val="hu-HU" w:eastAsia="en-GB"/>
        </w:rPr>
        <w:t>g/l) vagy ≥ </w:t>
      </w:r>
      <w:r>
        <w:rPr>
          <w:lang w:val="hu-HU" w:eastAsia="en-GB"/>
        </w:rPr>
        <w:t>10 kiindulási MELD</w:t>
      </w:r>
      <w:r>
        <w:rPr>
          <w:lang w:val="hu-HU" w:eastAsia="en-GB"/>
        </w:rPr>
        <w:noBreakHyphen/>
        <w:t>pontszám áll fenn.</w:t>
      </w:r>
    </w:p>
    <w:p w14:paraId="6D74CFCA" w14:textId="77777777" w:rsidR="00342CEA" w:rsidRDefault="00342CEA">
      <w:pPr>
        <w:spacing w:line="240" w:lineRule="auto"/>
        <w:rPr>
          <w:lang w:val="hu-HU"/>
        </w:rPr>
      </w:pPr>
    </w:p>
    <w:p w14:paraId="3554731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 xml:space="preserve">A </w:t>
      </w:r>
      <w:proofErr w:type="spellStart"/>
      <w:r>
        <w:rPr>
          <w:lang w:val="hu-HU" w:eastAsia="en-GB"/>
        </w:rPr>
        <w:t>máj</w:t>
      </w:r>
      <w:r>
        <w:rPr>
          <w:rFonts w:eastAsia="TimesNewRomanPSMT"/>
          <w:lang w:val="hu-HU" w:eastAsia="en-GB"/>
        </w:rPr>
        <w:t>cirrhosisban</w:t>
      </w:r>
      <w:proofErr w:type="spellEnd"/>
      <w:r>
        <w:rPr>
          <w:rFonts w:eastAsia="TimesNewRomanPSMT"/>
          <w:lang w:val="hu-HU" w:eastAsia="en-GB"/>
        </w:rPr>
        <w:t xml:space="preserve"> szenvedő, </w:t>
      </w:r>
      <w:r>
        <w:rPr>
          <w:lang w:val="hu-HU" w:eastAsia="en-GB"/>
        </w:rPr>
        <w:t>krónikus HCV</w:t>
      </w:r>
      <w:r>
        <w:rPr>
          <w:lang w:val="hu-HU" w:eastAsia="en-GB"/>
        </w:rPr>
        <w:noBreakHyphen/>
        <w:t>ben szenvedő betegek alfa interferon</w:t>
      </w:r>
      <w:r>
        <w:rPr>
          <w:lang w:val="hu-HU" w:eastAsia="en-GB"/>
        </w:rPr>
        <w:noBreakHyphen/>
        <w:t xml:space="preserve">kezelése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 kialakulásának kockázatával járhat. Két, </w:t>
      </w: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 xml:space="preserve">betegek bevonásával végzett klinikai vizsgálatban nagyobb gyakorisággal </w:t>
      </w:r>
      <w:r>
        <w:rPr>
          <w:rFonts w:eastAsia="TimesNewRomanPSMT"/>
          <w:lang w:val="hu-HU" w:eastAsia="en-GB"/>
        </w:rPr>
        <w:t xml:space="preserve">fordult elő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 (</w:t>
      </w:r>
      <w:proofErr w:type="spellStart"/>
      <w:r>
        <w:rPr>
          <w:lang w:val="hu-HU" w:eastAsia="en-GB"/>
        </w:rPr>
        <w:t>ascites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encephalopathia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varix</w:t>
      </w:r>
      <w:proofErr w:type="spellEnd"/>
      <w:r>
        <w:rPr>
          <w:lang w:val="hu-HU" w:eastAsia="en-GB"/>
        </w:rPr>
        <w:t xml:space="preserve"> vérzés, spontán bakteriális </w:t>
      </w:r>
      <w:proofErr w:type="spellStart"/>
      <w:r>
        <w:rPr>
          <w:lang w:val="hu-HU" w:eastAsia="en-GB"/>
        </w:rPr>
        <w:t>peritonitis</w:t>
      </w:r>
      <w:proofErr w:type="spellEnd"/>
      <w:r>
        <w:rPr>
          <w:lang w:val="hu-HU" w:eastAsia="en-GB"/>
        </w:rPr>
        <w:t xml:space="preserve">)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karon (11%), mint a pl</w:t>
      </w:r>
      <w:r>
        <w:rPr>
          <w:rFonts w:eastAsia="TimesNewRomanPSMT"/>
          <w:lang w:val="hu-HU" w:eastAsia="en-GB"/>
        </w:rPr>
        <w:t>acebo</w:t>
      </w:r>
      <w:r>
        <w:rPr>
          <w:rFonts w:eastAsia="TimesNewRomanPSMT"/>
          <w:lang w:val="hu-HU" w:eastAsia="en-GB"/>
        </w:rPr>
        <w:noBreakHyphen/>
        <w:t>karon (6%). Azoknál a betegeknél, akiknél alacsony albuminszint (≤ </w:t>
      </w:r>
      <w:r>
        <w:rPr>
          <w:lang w:val="hu-HU" w:eastAsia="en-GB"/>
        </w:rPr>
        <w:t xml:space="preserve">35 g/l) vagy </w:t>
      </w:r>
      <w:r>
        <w:rPr>
          <w:rFonts w:eastAsia="TimesNewRomanPSMT"/>
          <w:lang w:val="hu-HU" w:eastAsia="en-GB"/>
        </w:rPr>
        <w:t>≥ </w:t>
      </w:r>
      <w:r>
        <w:rPr>
          <w:lang w:val="hu-HU" w:eastAsia="en-GB"/>
        </w:rPr>
        <w:t>10 kiindulási MELD</w:t>
      </w:r>
      <w:r>
        <w:rPr>
          <w:lang w:val="hu-HU" w:eastAsia="en-GB"/>
        </w:rPr>
        <w:noBreakHyphen/>
        <w:t xml:space="preserve"> (</w:t>
      </w:r>
      <w:proofErr w:type="spellStart"/>
      <w:r>
        <w:rPr>
          <w:lang w:val="hu-HU" w:eastAsia="en-GB"/>
        </w:rPr>
        <w:t>Model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for</w:t>
      </w:r>
      <w:proofErr w:type="spellEnd"/>
      <w:r>
        <w:rPr>
          <w:lang w:val="hu-HU" w:eastAsia="en-GB"/>
        </w:rPr>
        <w:t xml:space="preserve"> End </w:t>
      </w:r>
      <w:proofErr w:type="spellStart"/>
      <w:r>
        <w:rPr>
          <w:lang w:val="hu-HU" w:eastAsia="en-GB"/>
        </w:rPr>
        <w:t>Stage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Liver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Disease</w:t>
      </w:r>
      <w:proofErr w:type="spellEnd"/>
      <w:r>
        <w:rPr>
          <w:lang w:val="hu-HU" w:eastAsia="en-GB"/>
        </w:rPr>
        <w:t>) pontszám állt fenn, 3</w:t>
      </w:r>
      <w:r>
        <w:rPr>
          <w:lang w:val="hu-HU" w:eastAsia="en-GB"/>
        </w:rPr>
        <w:noBreakHyphen/>
        <w:t xml:space="preserve">szor nagyobb volt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dekompenzáció rizikója, és emelkedett a halálos kimenetelű nemkívánatos események kockázata a kevésbé előrehaladott májbetegségben szenvedő betegekhez viszonyítva. </w:t>
      </w:r>
      <w:r>
        <w:rPr>
          <w:lang w:val="hu-HU" w:eastAsia="en-GB"/>
        </w:rPr>
        <w:t>Emellett, ezeknél a betegeknél a kezelés el</w:t>
      </w:r>
      <w:r>
        <w:rPr>
          <w:rFonts w:eastAsia="TimesNewRomanPSMT"/>
          <w:lang w:val="hu-HU" w:eastAsia="en-GB"/>
        </w:rPr>
        <w:t xml:space="preserve">őnyei </w:t>
      </w:r>
      <w:r>
        <w:rPr>
          <w:lang w:val="hu-HU" w:eastAsia="en-GB"/>
        </w:rPr>
        <w:t>mérsékeltnek bizonyultak</w:t>
      </w:r>
      <w:r>
        <w:rPr>
          <w:rFonts w:eastAsia="TimesNewRomanPSMT"/>
          <w:lang w:val="hu-HU" w:eastAsia="en-GB"/>
        </w:rPr>
        <w:t xml:space="preserve"> a tartós virológiai választ (SVR) elérők </w:t>
      </w:r>
      <w:proofErr w:type="spellStart"/>
      <w:r>
        <w:rPr>
          <w:rFonts w:eastAsia="TimesNewRomanPSMT"/>
          <w:lang w:val="hu-HU" w:eastAsia="en-GB"/>
        </w:rPr>
        <w:t>placebóhoz</w:t>
      </w:r>
      <w:proofErr w:type="spellEnd"/>
      <w:r>
        <w:rPr>
          <w:rFonts w:eastAsia="TimesNewRomanPSMT"/>
          <w:lang w:val="hu-HU" w:eastAsia="en-GB"/>
        </w:rPr>
        <w:t xml:space="preserve"> viszonyított aránya tekintetében (különösen, akiknél a kiindulási albuminszint ≤ </w:t>
      </w:r>
      <w:r>
        <w:rPr>
          <w:lang w:val="hu-HU" w:eastAsia="en-GB"/>
        </w:rPr>
        <w:t xml:space="preserve">35g/l), a teljes csoporttal összehasonlítva. Ezeknél a betegeknél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csak a várható </w:t>
      </w:r>
      <w:r>
        <w:rPr>
          <w:rFonts w:eastAsia="TimesNewRomanPSMT"/>
          <w:lang w:val="hu-HU" w:eastAsia="en-GB"/>
        </w:rPr>
        <w:t xml:space="preserve">előnyök és kockázatok körültekintő mérlegelése után alkalmazható. </w:t>
      </w:r>
    </w:p>
    <w:p w14:paraId="03D10DC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rFonts w:eastAsia="TimesNewRomanPSMT"/>
          <w:lang w:val="hu-HU" w:eastAsia="en-GB"/>
        </w:rPr>
        <w:t xml:space="preserve">Az ezekkel a jellemzőkkel bíró </w:t>
      </w:r>
      <w:r>
        <w:rPr>
          <w:lang w:val="hu-HU" w:eastAsia="en-GB"/>
        </w:rPr>
        <w:t xml:space="preserve">betegeknél gondosan vizsgálni kell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dekompenzációra utaló jeleket és tüneteket. </w:t>
      </w:r>
      <w:r>
        <w:rPr>
          <w:rFonts w:eastAsia="TimesNewRomanPSMT"/>
          <w:lang w:val="hu-HU" w:eastAsia="en-GB"/>
        </w:rPr>
        <w:t xml:space="preserve">Figyelembe kell venni az adott interferon alkalmazási előírásában szereplő, a kezelés leállítására </w:t>
      </w:r>
      <w:r>
        <w:rPr>
          <w:lang w:val="hu-HU" w:eastAsia="en-GB"/>
        </w:rPr>
        <w:t xml:space="preserve">vonatkozó kritériumokat.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kezelést be kell fejezni, amennyiben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 miatt az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noBreakHyphen/>
        <w:t>terápia leállításra kerül.</w:t>
      </w:r>
    </w:p>
    <w:p w14:paraId="06098660" w14:textId="77777777" w:rsidR="00342CEA" w:rsidRDefault="00342CEA">
      <w:pPr>
        <w:spacing w:line="240" w:lineRule="auto"/>
        <w:rPr>
          <w:lang w:val="hu-HU"/>
        </w:rPr>
      </w:pPr>
    </w:p>
    <w:p w14:paraId="3674BB8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u w:val="single"/>
          <w:lang w:val="hu-HU" w:eastAsia="en-GB"/>
        </w:rPr>
      </w:pPr>
      <w:proofErr w:type="spellStart"/>
      <w:r>
        <w:rPr>
          <w:u w:val="single"/>
          <w:lang w:val="hu-HU" w:eastAsia="en-GB"/>
        </w:rPr>
        <w:t>Thrombotic</w:t>
      </w:r>
      <w:r>
        <w:rPr>
          <w:rFonts w:eastAsia="TimesNewRomanPSMT"/>
          <w:u w:val="single"/>
          <w:lang w:val="hu-HU" w:eastAsia="en-GB"/>
        </w:rPr>
        <w:t>us</w:t>
      </w:r>
      <w:proofErr w:type="spellEnd"/>
      <w:r>
        <w:rPr>
          <w:rFonts w:eastAsia="TimesNewRomanPSMT"/>
          <w:u w:val="single"/>
          <w:lang w:val="hu-HU" w:eastAsia="en-GB"/>
        </w:rPr>
        <w:t>/</w:t>
      </w:r>
      <w:proofErr w:type="spellStart"/>
      <w:r>
        <w:rPr>
          <w:rFonts w:eastAsia="TimesNewRomanPSMT"/>
          <w:u w:val="single"/>
          <w:lang w:val="hu-HU" w:eastAsia="en-GB"/>
        </w:rPr>
        <w:t>thromboemboliás</w:t>
      </w:r>
      <w:proofErr w:type="spellEnd"/>
      <w:r>
        <w:rPr>
          <w:rFonts w:eastAsia="TimesNewRomanPSMT"/>
          <w:u w:val="single"/>
          <w:lang w:val="hu-HU" w:eastAsia="en-GB"/>
        </w:rPr>
        <w:t xml:space="preserve"> szövődmények</w:t>
      </w:r>
    </w:p>
    <w:p w14:paraId="374A51A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Interferon alapú </w:t>
      </w:r>
      <w:r>
        <w:rPr>
          <w:rFonts w:eastAsia="TimesNewRomanPSMT"/>
          <w:lang w:val="hu-HU" w:eastAsia="en-GB"/>
        </w:rPr>
        <w:t xml:space="preserve">kezelésben részesülő, </w:t>
      </w:r>
      <w:proofErr w:type="spellStart"/>
      <w:r>
        <w:rPr>
          <w:rFonts w:eastAsia="TimesNewRomanPSMT"/>
          <w:lang w:val="hu-HU" w:eastAsia="en-GB"/>
        </w:rPr>
        <w:t>thrombocytopeniás</w:t>
      </w:r>
      <w:proofErr w:type="spellEnd"/>
      <w:r>
        <w:rPr>
          <w:rFonts w:eastAsia="TimesNewRomanPSMT"/>
          <w:lang w:val="hu-HU" w:eastAsia="en-GB"/>
        </w:rPr>
        <w:t xml:space="preserve"> HCV</w:t>
      </w:r>
      <w:r>
        <w:rPr>
          <w:rFonts w:eastAsia="TimesNewRomanPSMT"/>
          <w:lang w:val="hu-HU" w:eastAsia="en-GB"/>
        </w:rPr>
        <w:noBreakHyphen/>
      </w:r>
      <w:r>
        <w:rPr>
          <w:lang w:val="hu-HU" w:eastAsia="en-GB"/>
        </w:rPr>
        <w:t xml:space="preserve">betegekkel végzett kontrollos vizsgálatokban (n = 1439), 955,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 közül 38</w:t>
      </w:r>
      <w:r>
        <w:rPr>
          <w:lang w:val="hu-HU" w:eastAsia="en-GB"/>
        </w:rPr>
        <w:noBreakHyphen/>
        <w:t xml:space="preserve">nál (4%), illetve 484, </w:t>
      </w:r>
      <w:proofErr w:type="spellStart"/>
      <w:r>
        <w:rPr>
          <w:lang w:val="hu-HU" w:eastAsia="en-GB"/>
        </w:rPr>
        <w:t>placebóval</w:t>
      </w:r>
      <w:proofErr w:type="spellEnd"/>
      <w:r>
        <w:rPr>
          <w:lang w:val="hu-HU" w:eastAsia="en-GB"/>
        </w:rPr>
        <w:t xml:space="preserve"> kezelt beteg közül 6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nál (1%) fordult elő TEE. A jelentett </w:t>
      </w:r>
      <w:proofErr w:type="spellStart"/>
      <w:r>
        <w:rPr>
          <w:rFonts w:eastAsia="TimesNewRomanPSMT"/>
          <w:lang w:val="hu-HU" w:eastAsia="en-GB"/>
        </w:rPr>
        <w:t>thromboticus</w:t>
      </w:r>
      <w:proofErr w:type="spellEnd"/>
      <w:r>
        <w:rPr>
          <w:rFonts w:eastAsia="TimesNewRomanPSMT"/>
          <w:lang w:val="hu-HU" w:eastAsia="en-GB"/>
        </w:rPr>
        <w:t>/</w:t>
      </w:r>
      <w:proofErr w:type="spellStart"/>
      <w:r>
        <w:rPr>
          <w:rFonts w:eastAsia="TimesNewRomanPSMT"/>
          <w:lang w:val="hu-HU" w:eastAsia="en-GB"/>
        </w:rPr>
        <w:t>thrombo</w:t>
      </w:r>
      <w:r>
        <w:rPr>
          <w:lang w:val="hu-HU" w:eastAsia="en-GB"/>
        </w:rPr>
        <w:t>emboliás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szövődmények között vénás és artériás események egyaránt voltak. A </w:t>
      </w:r>
      <w:proofErr w:type="spellStart"/>
      <w:r>
        <w:rPr>
          <w:rFonts w:eastAsia="TimesNewRomanPSMT"/>
          <w:lang w:val="hu-HU" w:eastAsia="en-GB"/>
        </w:rPr>
        <w:t>thromboemboliás</w:t>
      </w:r>
      <w:proofErr w:type="spellEnd"/>
      <w:r>
        <w:rPr>
          <w:rFonts w:eastAsia="TimesNewRomanPSMT"/>
          <w:lang w:val="hu-HU" w:eastAsia="en-GB"/>
        </w:rPr>
        <w:t xml:space="preserve"> események többsége nem volt súlyos, ezek a vizsgálat végére rendeződtek. Mindkét kezelési csoportban a </w:t>
      </w:r>
      <w:proofErr w:type="spellStart"/>
      <w:r>
        <w:rPr>
          <w:rFonts w:eastAsia="TimesNewRomanPSMT"/>
          <w:lang w:val="hu-HU" w:eastAsia="en-GB"/>
        </w:rPr>
        <w:t>v</w:t>
      </w:r>
      <w:r>
        <w:rPr>
          <w:lang w:val="hu-HU" w:eastAsia="en-GB"/>
        </w:rPr>
        <w:t>ena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portae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thrombosisa</w:t>
      </w:r>
      <w:proofErr w:type="spellEnd"/>
      <w:r>
        <w:rPr>
          <w:lang w:val="hu-HU" w:eastAsia="en-GB"/>
        </w:rPr>
        <w:t xml:space="preserve"> volt a leggyakoribb TEE (2%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csoportban </w:t>
      </w:r>
      <w:proofErr w:type="spellStart"/>
      <w:r>
        <w:rPr>
          <w:lang w:val="hu-HU" w:eastAsia="en-GB"/>
        </w:rPr>
        <w:t>versus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1</w:t>
      </w:r>
      <w:proofErr w:type="gramEnd"/>
      <w:r>
        <w:rPr>
          <w:lang w:val="hu-HU" w:eastAsia="en-GB"/>
        </w:rPr>
        <w:t xml:space="preserve">% a </w:t>
      </w:r>
      <w:r>
        <w:rPr>
          <w:rFonts w:eastAsia="TimesNewRomanPSMT"/>
          <w:lang w:val="hu-HU" w:eastAsia="en-GB"/>
        </w:rPr>
        <w:t xml:space="preserve">placebocsoportban). Nem figyeltek meg specifikus időbeli összefüggést a kezelés kezdete és a </w:t>
      </w:r>
      <w:proofErr w:type="spellStart"/>
      <w:r>
        <w:rPr>
          <w:rFonts w:eastAsia="TimesNewRomanPSMT"/>
          <w:lang w:val="hu-HU" w:eastAsia="en-GB"/>
        </w:rPr>
        <w:t>thromboemboliás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esemény között. Az alacsony albuminszinttel (</w:t>
      </w:r>
      <w:r>
        <w:rPr>
          <w:rFonts w:eastAsia="TimesNewRomanPSMT"/>
          <w:lang w:val="hu-HU" w:eastAsia="en-GB"/>
        </w:rPr>
        <w:t>≤ </w:t>
      </w:r>
      <w:r>
        <w:rPr>
          <w:lang w:val="hu-HU" w:eastAsia="en-GB"/>
        </w:rPr>
        <w:t xml:space="preserve">35 g/l) vagy </w:t>
      </w:r>
      <w:r>
        <w:rPr>
          <w:rFonts w:eastAsia="TimesNewRomanPSMT"/>
          <w:lang w:val="hu-HU" w:eastAsia="en-GB"/>
        </w:rPr>
        <w:t>≥ </w:t>
      </w:r>
      <w:r>
        <w:rPr>
          <w:lang w:val="hu-HU" w:eastAsia="en-GB"/>
        </w:rPr>
        <w:t>10 MELD</w:t>
      </w:r>
      <w:r>
        <w:rPr>
          <w:lang w:val="hu-HU" w:eastAsia="en-GB"/>
        </w:rPr>
        <w:noBreakHyphen/>
        <w:t>pontszám</w:t>
      </w:r>
      <w:r>
        <w:rPr>
          <w:rFonts w:eastAsia="TimesNewRomanPSMT"/>
          <w:lang w:val="hu-HU" w:eastAsia="en-GB"/>
        </w:rPr>
        <w:t xml:space="preserve">mal rendelkező </w:t>
      </w:r>
      <w:r>
        <w:rPr>
          <w:lang w:val="hu-HU" w:eastAsia="en-GB"/>
        </w:rPr>
        <w:t>betegeknél 2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szeres mértékű volt a TEE kockázata a magasabb </w:t>
      </w:r>
      <w:proofErr w:type="spellStart"/>
      <w:r>
        <w:rPr>
          <w:rFonts w:eastAsia="TimesNewRomanPSMT"/>
          <w:lang w:val="hu-HU" w:eastAsia="en-GB"/>
        </w:rPr>
        <w:t>albmuniszinttel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rendelkezőkhöz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viszonyítva, illetve a 60 </w:t>
      </w:r>
      <w:r>
        <w:rPr>
          <w:rFonts w:eastAsia="TimesNewRomanPSMT"/>
          <w:lang w:val="hu-HU" w:eastAsia="en-GB"/>
        </w:rPr>
        <w:t>éves vagy annál idősebbeknél kétszeres volt a TEE</w:t>
      </w:r>
      <w:r>
        <w:rPr>
          <w:lang w:val="hu-HU" w:eastAsia="en-GB"/>
        </w:rPr>
        <w:noBreakHyphen/>
        <w:t xml:space="preserve">k kockázata, mint a </w:t>
      </w:r>
      <w:r>
        <w:rPr>
          <w:rFonts w:eastAsia="TimesNewRomanPSMT"/>
          <w:lang w:val="hu-HU" w:eastAsia="en-GB"/>
        </w:rPr>
        <w:t xml:space="preserve">fiatalabb betegeknél. Ezeknél a betegeknél 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csak a várható előnyök és kockázatok </w:t>
      </w:r>
      <w:r>
        <w:rPr>
          <w:lang w:val="hu-HU" w:eastAsia="en-GB"/>
        </w:rPr>
        <w:t>k</w:t>
      </w:r>
      <w:r>
        <w:rPr>
          <w:rFonts w:eastAsia="TimesNewRomanPSMT"/>
          <w:lang w:val="hu-HU" w:eastAsia="en-GB"/>
        </w:rPr>
        <w:t xml:space="preserve">örültekintő mérlegelése után alkalmazható A betegeknél gondosan </w:t>
      </w:r>
      <w:proofErr w:type="spellStart"/>
      <w:r>
        <w:rPr>
          <w:rFonts w:eastAsia="TimesNewRomanPSMT"/>
          <w:lang w:val="hu-HU" w:eastAsia="en-GB"/>
        </w:rPr>
        <w:t>monitorozni</w:t>
      </w:r>
      <w:proofErr w:type="spellEnd"/>
      <w:r>
        <w:rPr>
          <w:rFonts w:eastAsia="TimesNewRomanPSMT"/>
          <w:lang w:val="hu-HU" w:eastAsia="en-GB"/>
        </w:rPr>
        <w:t xml:space="preserve"> kell a TEE</w:t>
      </w:r>
      <w:r>
        <w:rPr>
          <w:rFonts w:eastAsia="TimesNewRomanPSMT"/>
          <w:lang w:val="hu-HU" w:eastAsia="en-GB"/>
        </w:rPr>
        <w:noBreakHyphen/>
      </w:r>
      <w:r>
        <w:rPr>
          <w:lang w:val="hu-HU" w:eastAsia="en-GB"/>
        </w:rPr>
        <w:t>re utaló jeleket és tüneteket.</w:t>
      </w:r>
    </w:p>
    <w:p w14:paraId="392A5A71" w14:textId="77777777" w:rsidR="00342CEA" w:rsidRDefault="00342CEA">
      <w:pPr>
        <w:spacing w:line="240" w:lineRule="auto"/>
        <w:rPr>
          <w:lang w:val="hu-HU"/>
        </w:rPr>
      </w:pPr>
    </w:p>
    <w:p w14:paraId="28DC696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események kockázatának fokozódását észlelték azoknál a krónikus </w:t>
      </w:r>
      <w:r>
        <w:rPr>
          <w:rFonts w:eastAsia="TimesNewRomanPSMT"/>
          <w:lang w:val="hu-HU" w:eastAsia="en-GB"/>
        </w:rPr>
        <w:t>májbetegségben szenvedő betegeknél</w:t>
      </w:r>
      <w:r>
        <w:rPr>
          <w:lang w:val="hu-HU" w:eastAsia="en-GB"/>
        </w:rPr>
        <w:t xml:space="preserve">, akiket </w:t>
      </w:r>
      <w:proofErr w:type="spellStart"/>
      <w:r>
        <w:rPr>
          <w:lang w:val="hu-HU" w:eastAsia="en-GB"/>
        </w:rPr>
        <w:t>invazív</w:t>
      </w:r>
      <w:proofErr w:type="spellEnd"/>
      <w:r>
        <w:rPr>
          <w:lang w:val="hu-HU" w:eastAsia="en-GB"/>
        </w:rPr>
        <w:t xml:space="preserve"> bea</w:t>
      </w:r>
      <w:r>
        <w:rPr>
          <w:rFonts w:eastAsia="TimesNewRomanPSMT"/>
          <w:lang w:val="hu-HU" w:eastAsia="en-GB"/>
        </w:rPr>
        <w:t xml:space="preserve">vatkozás előkészítése során </w:t>
      </w:r>
      <w:r>
        <w:rPr>
          <w:lang w:val="hu-HU" w:eastAsia="en-GB"/>
        </w:rPr>
        <w:t xml:space="preserve">2 hétig napi egyszeri 75 mg </w:t>
      </w:r>
      <w:proofErr w:type="spellStart"/>
      <w:r>
        <w:rPr>
          <w:rFonts w:eastAsia="TimesNewRomanPSMT"/>
          <w:lang w:val="hu-HU" w:eastAsia="en-GB"/>
        </w:rPr>
        <w:t>eltrombopaggal</w:t>
      </w:r>
      <w:proofErr w:type="spellEnd"/>
      <w:r>
        <w:rPr>
          <w:rFonts w:eastAsia="TimesNewRomanPSMT"/>
          <w:lang w:val="hu-HU" w:eastAsia="en-GB"/>
        </w:rPr>
        <w:t xml:space="preserve"> kezeltek. A krónikus májbetegségben szenvedő, </w:t>
      </w:r>
      <w:proofErr w:type="spellStart"/>
      <w:r>
        <w:rPr>
          <w:rFonts w:eastAsia="TimesNewRomanPSMT"/>
          <w:lang w:val="hu-HU" w:eastAsia="en-GB"/>
        </w:rPr>
        <w:t>eltrombopaggal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kezelt 143 </w:t>
      </w:r>
      <w:r>
        <w:rPr>
          <w:rFonts w:eastAsia="TimesNewRomanPSMT"/>
          <w:lang w:val="hu-HU" w:eastAsia="en-GB"/>
        </w:rPr>
        <w:t xml:space="preserve">felnőtt beteg közül hatnál (4%) tapasztaltak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eseményt (valamennyi a </w:t>
      </w:r>
      <w:proofErr w:type="spellStart"/>
      <w:r>
        <w:rPr>
          <w:lang w:val="hu-HU" w:eastAsia="en-GB"/>
        </w:rPr>
        <w:t>portalis</w:t>
      </w:r>
      <w:proofErr w:type="spellEnd"/>
      <w:r>
        <w:rPr>
          <w:lang w:val="hu-HU" w:eastAsia="en-GB"/>
        </w:rPr>
        <w:t xml:space="preserve"> rendszert érintette), míg a placebocsoportban a 145 beteg közül </w:t>
      </w:r>
      <w:r>
        <w:rPr>
          <w:rFonts w:eastAsia="TimesNewRomanPSMT"/>
          <w:lang w:val="hu-HU" w:eastAsia="en-GB"/>
        </w:rPr>
        <w:t>kettő</w:t>
      </w:r>
      <w:r>
        <w:rPr>
          <w:lang w:val="hu-HU" w:eastAsia="en-GB"/>
        </w:rPr>
        <w:t xml:space="preserve">nél (1%) tapasztaltak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eseményt (egynél a </w:t>
      </w:r>
      <w:proofErr w:type="spellStart"/>
      <w:r>
        <w:rPr>
          <w:lang w:val="hu-HU" w:eastAsia="en-GB"/>
        </w:rPr>
        <w:t>portalis</w:t>
      </w:r>
      <w:proofErr w:type="spellEnd"/>
      <w:r>
        <w:rPr>
          <w:lang w:val="hu-HU" w:eastAsia="en-GB"/>
        </w:rPr>
        <w:t xml:space="preserve"> vénás rendszerben egynél pedig </w:t>
      </w:r>
      <w:proofErr w:type="spellStart"/>
      <w:r>
        <w:rPr>
          <w:lang w:val="hu-HU" w:eastAsia="en-GB"/>
        </w:rPr>
        <w:t>myocardialis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infarctust</w:t>
      </w:r>
      <w:proofErr w:type="spellEnd"/>
      <w:r>
        <w:rPr>
          <w:lang w:val="hu-HU" w:eastAsia="en-GB"/>
        </w:rPr>
        <w:t xml:space="preserve"> okozott).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6 beteg közül ötnél alakult ki </w:t>
      </w:r>
      <w:proofErr w:type="spellStart"/>
      <w:r>
        <w:rPr>
          <w:lang w:val="hu-HU" w:eastAsia="en-GB"/>
        </w:rPr>
        <w:t>thromboticus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>szövődmény &gt; </w:t>
      </w:r>
      <w:r>
        <w:rPr>
          <w:lang w:val="hu-HU" w:eastAsia="en-GB"/>
        </w:rPr>
        <w:t xml:space="preserve">200 000/µl vérlemezkeszámnál és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utolsó adagjától számított 30 napon belül.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javasolt </w:t>
      </w:r>
      <w:r>
        <w:rPr>
          <w:rFonts w:eastAsia="TimesNewRomanPSMT"/>
          <w:lang w:val="hu-HU" w:eastAsia="en-GB"/>
        </w:rPr>
        <w:t xml:space="preserve">krónikus májbetegségben szenvedő betegek </w:t>
      </w:r>
      <w:proofErr w:type="spellStart"/>
      <w:r>
        <w:rPr>
          <w:rFonts w:eastAsia="TimesNewRomanPSMT"/>
          <w:lang w:val="hu-HU" w:eastAsia="en-GB"/>
        </w:rPr>
        <w:t>thrombocytopeniájának</w:t>
      </w:r>
      <w:proofErr w:type="spellEnd"/>
      <w:r>
        <w:rPr>
          <w:rFonts w:eastAsia="TimesNewRomanPSMT"/>
          <w:lang w:val="hu-HU" w:eastAsia="en-GB"/>
        </w:rPr>
        <w:t xml:space="preserve"> kezelésére, </w:t>
      </w:r>
      <w:proofErr w:type="spellStart"/>
      <w:r>
        <w:rPr>
          <w:rFonts w:eastAsia="TimesNewRomanPSMT"/>
          <w:lang w:val="hu-HU" w:eastAsia="en-GB"/>
        </w:rPr>
        <w:t>invazív</w:t>
      </w:r>
      <w:proofErr w:type="spellEnd"/>
      <w:r>
        <w:rPr>
          <w:rFonts w:eastAsia="TimesNewRomanPSMT"/>
          <w:lang w:val="hu-HU" w:eastAsia="en-GB"/>
        </w:rPr>
        <w:t xml:space="preserve"> beavatkozások előkészítése során.</w:t>
      </w:r>
    </w:p>
    <w:p w14:paraId="2AC58CA2" w14:textId="77777777" w:rsidR="00342CEA" w:rsidRDefault="00342CEA">
      <w:pPr>
        <w:spacing w:line="240" w:lineRule="auto"/>
        <w:rPr>
          <w:lang w:val="hu-HU"/>
        </w:rPr>
      </w:pPr>
    </w:p>
    <w:p w14:paraId="77B0FD5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>ITP</w:t>
      </w:r>
      <w:r>
        <w:rPr>
          <w:lang w:val="hu-HU" w:eastAsia="en-GB"/>
        </w:rPr>
        <w:noBreakHyphen/>
        <w:t xml:space="preserve">s betegek bevonásával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végzett klinikai vizsgálatokban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eseményeket figyeltek meg alacsony és normál vérlemezkeszám mellett. Elővigyázatosság szükséges, amikor az </w:t>
      </w:r>
      <w:proofErr w:type="spellStart"/>
      <w:r>
        <w:rPr>
          <w:rFonts w:eastAsia="TimesNewRomanPSMT"/>
          <w:lang w:val="hu-HU" w:eastAsia="en-GB"/>
        </w:rPr>
        <w:t>eltrombopagot</w:t>
      </w:r>
      <w:proofErr w:type="spellEnd"/>
      <w:r>
        <w:rPr>
          <w:rFonts w:eastAsia="TimesNewRomanPSMT"/>
          <w:lang w:val="hu-HU" w:eastAsia="en-GB"/>
        </w:rPr>
        <w:t xml:space="preserve"> olyan betegeknél alkalmazzák, akiknél ismerten jelen vannak a </w:t>
      </w:r>
      <w:proofErr w:type="spellStart"/>
      <w:r>
        <w:rPr>
          <w:rFonts w:eastAsia="TimesNewRomanPSMT"/>
          <w:lang w:val="hu-HU" w:eastAsia="en-GB"/>
        </w:rPr>
        <w:t>thromboembolára</w:t>
      </w:r>
      <w:proofErr w:type="spellEnd"/>
      <w:r>
        <w:rPr>
          <w:rFonts w:eastAsia="TimesNewRomanPSMT"/>
          <w:lang w:val="hu-HU" w:eastAsia="en-GB"/>
        </w:rPr>
        <w:t xml:space="preserve"> hajlamosító kockázati tényezők, beleértve, de nem kizárólagosan, az öröklött (pl. </w:t>
      </w:r>
      <w:r>
        <w:rPr>
          <w:lang w:val="hu-HU" w:eastAsia="en-GB"/>
        </w:rPr>
        <w:t>V. vagy Leiden faktor) vagy szerzett (pl. ATIII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hiány, </w:t>
      </w:r>
      <w:proofErr w:type="spellStart"/>
      <w:r>
        <w:rPr>
          <w:rFonts w:eastAsia="TimesNewRomanPSMT"/>
          <w:lang w:val="hu-HU" w:eastAsia="en-GB"/>
        </w:rPr>
        <w:t>antifoszfolipid</w:t>
      </w:r>
      <w:proofErr w:type="spellEnd"/>
      <w:r>
        <w:rPr>
          <w:rFonts w:eastAsia="TimesNewRomanPSMT"/>
          <w:lang w:val="hu-HU" w:eastAsia="en-GB"/>
        </w:rPr>
        <w:t xml:space="preserve"> szindróma), előrehaladott életkor, hosszabb időszakokon át mozgásukban korlátozott bete</w:t>
      </w:r>
      <w:r>
        <w:rPr>
          <w:lang w:val="hu-HU" w:eastAsia="en-GB"/>
        </w:rPr>
        <w:t xml:space="preserve">gek, </w:t>
      </w:r>
      <w:proofErr w:type="spellStart"/>
      <w:r>
        <w:rPr>
          <w:lang w:val="hu-HU" w:eastAsia="en-GB"/>
        </w:rPr>
        <w:t>malignitások</w:t>
      </w:r>
      <w:proofErr w:type="spellEnd"/>
      <w:r>
        <w:rPr>
          <w:lang w:val="hu-HU" w:eastAsia="en-GB"/>
        </w:rPr>
        <w:t xml:space="preserve">, fogamzásgátlók és </w:t>
      </w:r>
      <w:r>
        <w:rPr>
          <w:rFonts w:eastAsia="TimesNewRomanPSMT"/>
          <w:lang w:val="hu-HU" w:eastAsia="en-GB"/>
        </w:rPr>
        <w:t>hormonpótló</w:t>
      </w:r>
      <w:r>
        <w:rPr>
          <w:rFonts w:eastAsia="TimesNewRomanPSMT"/>
          <w:lang w:val="hu-HU" w:eastAsia="en-GB"/>
        </w:rPr>
        <w:noBreakHyphen/>
        <w:t xml:space="preserve">kezelések, műtét/trauma, elhízás és dohányzás. A vérlemezkeszámot gondosan </w:t>
      </w:r>
      <w:proofErr w:type="spellStart"/>
      <w:r>
        <w:rPr>
          <w:rFonts w:eastAsia="TimesNewRomanPSMT"/>
          <w:lang w:val="hu-HU" w:eastAsia="en-GB"/>
        </w:rPr>
        <w:lastRenderedPageBreak/>
        <w:t>monitorozni</w:t>
      </w:r>
      <w:proofErr w:type="spellEnd"/>
      <w:r>
        <w:rPr>
          <w:rFonts w:eastAsia="TimesNewRomanPSMT"/>
          <w:lang w:val="hu-HU" w:eastAsia="en-GB"/>
        </w:rPr>
        <w:t xml:space="preserve"> kell, és amennyiben a vérlemezkeszám meghaladja a kitűzött célértéket, fontolóra kell </w:t>
      </w:r>
      <w:r>
        <w:rPr>
          <w:lang w:val="hu-HU" w:eastAsia="en-GB"/>
        </w:rPr>
        <w:t xml:space="preserve">venni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dózisának csökkentését vagy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 leállítását (lásd 4.2 pont). </w:t>
      </w:r>
      <w:r>
        <w:rPr>
          <w:rFonts w:eastAsia="TimesNewRomanPSMT"/>
          <w:lang w:val="hu-HU" w:eastAsia="en-GB"/>
        </w:rPr>
        <w:t>Az előny/kockázat</w:t>
      </w:r>
      <w:r>
        <w:rPr>
          <w:lang w:val="hu-HU" w:eastAsia="en-GB"/>
        </w:rPr>
        <w:t>-</w:t>
      </w:r>
      <w:r>
        <w:rPr>
          <w:rFonts w:eastAsia="TimesNewRomanPSMT"/>
          <w:lang w:val="hu-HU" w:eastAsia="en-GB"/>
        </w:rPr>
        <w:t xml:space="preserve">arányt mérlegelni kell azoknál a betegeknél, akiknél </w:t>
      </w:r>
      <w:r>
        <w:rPr>
          <w:lang w:val="hu-HU" w:eastAsia="en-GB"/>
        </w:rPr>
        <w:t>fennáll</w:t>
      </w:r>
      <w:r>
        <w:rPr>
          <w:rFonts w:eastAsia="TimesNewRomanPSMT"/>
          <w:lang w:val="hu-HU" w:eastAsia="en-GB"/>
        </w:rPr>
        <w:t xml:space="preserve"> bármilyen eredetű </w:t>
      </w:r>
      <w:r>
        <w:rPr>
          <w:lang w:val="hu-HU" w:eastAsia="en-GB"/>
        </w:rPr>
        <w:t>TEE kockázata.</w:t>
      </w:r>
    </w:p>
    <w:p w14:paraId="5BF4C2CF" w14:textId="77777777" w:rsidR="00342CEA" w:rsidRDefault="00342CEA">
      <w:pPr>
        <w:spacing w:line="240" w:lineRule="auto"/>
        <w:rPr>
          <w:lang w:val="hu-HU"/>
        </w:rPr>
      </w:pPr>
    </w:p>
    <w:p w14:paraId="57E259F0" w14:textId="77777777" w:rsidR="00342CEA" w:rsidRDefault="00342CEA">
      <w:pPr>
        <w:spacing w:line="240" w:lineRule="auto"/>
        <w:rPr>
          <w:lang w:val="hu-HU"/>
        </w:rPr>
      </w:pPr>
    </w:p>
    <w:p w14:paraId="21A124C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nem alkalmazható májkárosodásban szenvedő (</w:t>
      </w:r>
      <w:proofErr w:type="spellStart"/>
      <w:r>
        <w:rPr>
          <w:rFonts w:eastAsia="TimesNewRomanPSMT"/>
          <w:lang w:val="hu-HU" w:eastAsia="en-GB"/>
        </w:rPr>
        <w:t>Child</w:t>
      </w:r>
      <w:r>
        <w:rPr>
          <w:rFonts w:eastAsia="TimesNewRomanPSMT"/>
          <w:lang w:val="hu-HU" w:eastAsia="en-GB"/>
        </w:rPr>
        <w:noBreakHyphen/>
        <w:t>Pugh</w:t>
      </w:r>
      <w:proofErr w:type="spellEnd"/>
      <w:r>
        <w:rPr>
          <w:rFonts w:eastAsia="TimesNewRomanPSMT"/>
          <w:lang w:val="hu-HU" w:eastAsia="en-GB"/>
        </w:rPr>
        <w:t xml:space="preserve"> pontszám ≥ 5) ITP</w:t>
      </w:r>
      <w:r>
        <w:rPr>
          <w:rFonts w:eastAsia="TimesNewRomanPSMT"/>
          <w:lang w:val="hu-HU" w:eastAsia="en-GB"/>
        </w:rPr>
        <w:noBreakHyphen/>
        <w:t xml:space="preserve">s betegeknél, kivéve, ha a várható előny meghaladja a </w:t>
      </w:r>
      <w:proofErr w:type="spellStart"/>
      <w:r>
        <w:rPr>
          <w:rFonts w:eastAsia="TimesNewRomanPSMT"/>
          <w:lang w:val="hu-HU" w:eastAsia="en-GB"/>
        </w:rPr>
        <w:t>vena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portae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thrombosis</w:t>
      </w:r>
      <w:proofErr w:type="spellEnd"/>
      <w:r>
        <w:rPr>
          <w:rFonts w:eastAsia="TimesNewRomanPSMT"/>
          <w:lang w:val="hu-HU" w:eastAsia="en-GB"/>
        </w:rPr>
        <w:t xml:space="preserve"> ismert kockázatát. Ha a kezelést előnyösnek értékelik, májkárosodásban szenvedő betegeknél 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adásakor elővigyázatosság szükséges (lásd 4.2 és 4.8 pont).</w:t>
      </w:r>
    </w:p>
    <w:p w14:paraId="3E0BCE6A" w14:textId="77777777" w:rsidR="00342CEA" w:rsidRDefault="00342CEA">
      <w:pPr>
        <w:spacing w:line="240" w:lineRule="auto"/>
        <w:rPr>
          <w:lang w:val="hu-HU"/>
        </w:rPr>
      </w:pPr>
    </w:p>
    <w:p w14:paraId="65FA8B3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Vérzés az </w:t>
      </w:r>
      <w:proofErr w:type="spellStart"/>
      <w:r>
        <w:rPr>
          <w:u w:val="single"/>
          <w:lang w:val="hu-HU" w:eastAsia="en-GB"/>
        </w:rPr>
        <w:t>eltrombopag</w:t>
      </w:r>
      <w:proofErr w:type="spellEnd"/>
      <w:r>
        <w:rPr>
          <w:u w:val="single"/>
          <w:lang w:val="hu-HU" w:eastAsia="en-GB"/>
        </w:rPr>
        <w:t>-kezelés leállítása után</w:t>
      </w:r>
    </w:p>
    <w:p w14:paraId="57BC1E4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>kezelés befejezése után az ITP</w:t>
      </w:r>
      <w:r>
        <w:rPr>
          <w:rFonts w:eastAsia="TimesNewRomanPSMT"/>
          <w:lang w:val="hu-HU" w:eastAsia="en-GB"/>
        </w:rPr>
        <w:noBreakHyphen/>
        <w:t xml:space="preserve">s betegeknél várható a </w:t>
      </w:r>
      <w:proofErr w:type="spellStart"/>
      <w:r>
        <w:rPr>
          <w:lang w:val="hu-HU" w:eastAsia="en-GB"/>
        </w:rPr>
        <w:t>thrombocytopenia</w:t>
      </w:r>
      <w:proofErr w:type="spellEnd"/>
      <w:r>
        <w:rPr>
          <w:lang w:val="hu-HU" w:eastAsia="en-GB"/>
        </w:rPr>
        <w:t xml:space="preserve"> kiújulása.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>leállítását követően a vérlemezkeszám a betegek többségénél 2 </w:t>
      </w:r>
      <w:r>
        <w:rPr>
          <w:lang w:val="hu-HU" w:eastAsia="en-GB"/>
        </w:rPr>
        <w:t xml:space="preserve">hét alatt visszatér a kiindulási szintre, </w:t>
      </w:r>
      <w:r>
        <w:rPr>
          <w:rFonts w:eastAsia="TimesNewRomanPSMT"/>
          <w:lang w:val="hu-HU" w:eastAsia="en-GB"/>
        </w:rPr>
        <w:t xml:space="preserve">ami növeli a vérzés kockázatát, sőt bizonyos esetekben vérzést okozhat. </w:t>
      </w:r>
      <w:r>
        <w:rPr>
          <w:lang w:val="hu-HU" w:eastAsia="en-GB"/>
        </w:rPr>
        <w:t xml:space="preserve">Ez a kockázat fokozódik, ha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kezelést véralvadásgátlók vagy </w:t>
      </w:r>
      <w:proofErr w:type="spellStart"/>
      <w:r>
        <w:rPr>
          <w:lang w:val="hu-HU" w:eastAsia="en-GB"/>
        </w:rPr>
        <w:t>thrombocyta</w:t>
      </w:r>
      <w:r>
        <w:rPr>
          <w:lang w:val="hu-HU" w:eastAsia="en-GB"/>
        </w:rPr>
        <w:noBreakHyphen/>
        <w:t>aggregációt</w:t>
      </w:r>
      <w:proofErr w:type="spellEnd"/>
      <w:r>
        <w:rPr>
          <w:lang w:val="hu-HU" w:eastAsia="en-GB"/>
        </w:rPr>
        <w:t xml:space="preserve"> gátló szerek adása mellett hagyják abba.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kezelés leállítása esetén javasolt az ITP kezelésének az érvényben lévő </w:t>
      </w:r>
      <w:r>
        <w:rPr>
          <w:lang w:val="hu-HU" w:eastAsia="en-GB"/>
        </w:rPr>
        <w:t xml:space="preserve">terápiás protokollok szerinti újraindítása. További kezelésként szükséges lehet még az </w:t>
      </w:r>
      <w:proofErr w:type="spellStart"/>
      <w:r>
        <w:rPr>
          <w:lang w:val="hu-HU" w:eastAsia="en-GB"/>
        </w:rPr>
        <w:t>antikoaguláns</w:t>
      </w:r>
      <w:proofErr w:type="spellEnd"/>
      <w:r>
        <w:rPr>
          <w:lang w:val="hu-HU" w:eastAsia="en-GB"/>
        </w:rPr>
        <w:t xml:space="preserve"> és/vagy a </w:t>
      </w:r>
      <w:proofErr w:type="spellStart"/>
      <w:r>
        <w:rPr>
          <w:lang w:val="hu-HU" w:eastAsia="en-GB"/>
        </w:rPr>
        <w:t>thrombocytagátló</w:t>
      </w:r>
      <w:proofErr w:type="spellEnd"/>
      <w:r>
        <w:rPr>
          <w:lang w:val="hu-HU" w:eastAsia="en-GB"/>
        </w:rPr>
        <w:t xml:space="preserve"> szerek leállítása, a véralvadásgátlás felfüggesztése vagy a </w:t>
      </w:r>
      <w:proofErr w:type="spellStart"/>
      <w:r>
        <w:rPr>
          <w:lang w:val="hu-HU" w:eastAsia="en-GB"/>
        </w:rPr>
        <w:t>thrombocyta</w:t>
      </w:r>
      <w:proofErr w:type="spellEnd"/>
      <w:r>
        <w:rPr>
          <w:lang w:val="hu-HU" w:eastAsia="en-GB"/>
        </w:rPr>
        <w:t xml:space="preserve"> pótlás.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-kezelés leállítása után a vérlemezkeszámot 4 hétig hetente </w:t>
      </w:r>
      <w:proofErr w:type="spellStart"/>
      <w:r>
        <w:rPr>
          <w:lang w:val="hu-HU" w:eastAsia="en-GB"/>
        </w:rPr>
        <w:t>monitorozni</w:t>
      </w:r>
      <w:proofErr w:type="spellEnd"/>
      <w:r>
        <w:rPr>
          <w:lang w:val="hu-HU" w:eastAsia="en-GB"/>
        </w:rPr>
        <w:t xml:space="preserve"> kell.</w:t>
      </w:r>
    </w:p>
    <w:p w14:paraId="66E2DE23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2870DC1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HCV klinikai vizsgálatokban a </w:t>
      </w:r>
      <w:proofErr w:type="spellStart"/>
      <w:r>
        <w:rPr>
          <w:lang w:val="hu-HU" w:eastAsia="en-GB"/>
        </w:rPr>
        <w:t>peginterferon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ribavirin</w:t>
      </w:r>
      <w:proofErr w:type="spellEnd"/>
      <w:r>
        <w:rPr>
          <w:lang w:val="hu-HU" w:eastAsia="en-GB"/>
        </w:rPr>
        <w:t xml:space="preserve"> és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alkalmazásának leállítása után nagyobb gyakorisággal jelentettek </w:t>
      </w:r>
      <w:proofErr w:type="spellStart"/>
      <w:r>
        <w:rPr>
          <w:lang w:val="hu-HU" w:eastAsia="en-GB"/>
        </w:rPr>
        <w:t>gastrointestinalis</w:t>
      </w:r>
      <w:proofErr w:type="spellEnd"/>
      <w:r>
        <w:rPr>
          <w:lang w:val="hu-HU" w:eastAsia="en-GB"/>
        </w:rPr>
        <w:t xml:space="preserve"> vérzést, beleértve a súlyos és halálos eseteket is. A kezelés leállítása után, a betegeknél gondosan </w:t>
      </w:r>
      <w:proofErr w:type="spellStart"/>
      <w:r>
        <w:rPr>
          <w:lang w:val="hu-HU" w:eastAsia="en-GB"/>
        </w:rPr>
        <w:t>monitoroznié</w:t>
      </w:r>
      <w:proofErr w:type="spellEnd"/>
      <w:r>
        <w:rPr>
          <w:lang w:val="hu-HU" w:eastAsia="en-GB"/>
        </w:rPr>
        <w:t xml:space="preserve"> kell a </w:t>
      </w:r>
      <w:proofErr w:type="spellStart"/>
      <w:r>
        <w:rPr>
          <w:lang w:val="hu-HU" w:eastAsia="en-GB"/>
        </w:rPr>
        <w:t>gastrointestinalis</w:t>
      </w:r>
      <w:proofErr w:type="spellEnd"/>
      <w:r>
        <w:rPr>
          <w:lang w:val="hu-HU" w:eastAsia="en-GB"/>
        </w:rPr>
        <w:t xml:space="preserve"> vérzésre utaló jeleket és tüneteket.</w:t>
      </w:r>
    </w:p>
    <w:p w14:paraId="0CB7AC4F" w14:textId="77777777" w:rsidR="00342CEA" w:rsidRDefault="00342CEA">
      <w:pPr>
        <w:spacing w:line="240" w:lineRule="auto"/>
        <w:rPr>
          <w:lang w:val="hu-HU"/>
        </w:rPr>
      </w:pPr>
    </w:p>
    <w:p w14:paraId="7D59F94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u w:val="single"/>
          <w:lang w:val="hu-HU" w:eastAsia="en-GB"/>
        </w:rPr>
      </w:pPr>
      <w:proofErr w:type="spellStart"/>
      <w:r>
        <w:rPr>
          <w:rFonts w:eastAsia="TimesNewRomanPSMT"/>
          <w:u w:val="single"/>
          <w:lang w:val="hu-HU" w:eastAsia="en-GB"/>
        </w:rPr>
        <w:t>Retikulinképződés</w:t>
      </w:r>
      <w:proofErr w:type="spellEnd"/>
      <w:r>
        <w:rPr>
          <w:rFonts w:eastAsia="TimesNewRomanPSMT"/>
          <w:u w:val="single"/>
          <w:lang w:val="hu-HU" w:eastAsia="en-GB"/>
        </w:rPr>
        <w:t xml:space="preserve"> a csontvelőben és a </w:t>
      </w:r>
      <w:proofErr w:type="spellStart"/>
      <w:r>
        <w:rPr>
          <w:rFonts w:eastAsia="TimesNewRomanPSMT"/>
          <w:u w:val="single"/>
          <w:lang w:val="hu-HU" w:eastAsia="en-GB"/>
        </w:rPr>
        <w:t>csontvelőfibrózis</w:t>
      </w:r>
      <w:proofErr w:type="spellEnd"/>
      <w:r>
        <w:rPr>
          <w:rFonts w:eastAsia="TimesNewRomanPSMT"/>
          <w:u w:val="single"/>
          <w:lang w:val="hu-HU" w:eastAsia="en-GB"/>
        </w:rPr>
        <w:t xml:space="preserve"> kockázata</w:t>
      </w:r>
    </w:p>
    <w:p w14:paraId="7FBD544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fokozhatja a csontvelőben a </w:t>
      </w:r>
      <w:proofErr w:type="spellStart"/>
      <w:r>
        <w:rPr>
          <w:rFonts w:eastAsia="TimesNewRomanPSMT"/>
          <w:lang w:val="hu-HU" w:eastAsia="en-GB"/>
        </w:rPr>
        <w:t>retikulinrostok</w:t>
      </w:r>
      <w:proofErr w:type="spellEnd"/>
      <w:r>
        <w:rPr>
          <w:rFonts w:eastAsia="TimesNewRomanPSMT"/>
          <w:lang w:val="hu-HU" w:eastAsia="en-GB"/>
        </w:rPr>
        <w:t xml:space="preserve"> képződésének vagy azok progressziójának a kockázatát. Ennek jelentőségét, más </w:t>
      </w:r>
      <w:proofErr w:type="spellStart"/>
      <w:r>
        <w:rPr>
          <w:rFonts w:eastAsia="TimesNewRomanPSMT"/>
          <w:lang w:val="hu-HU" w:eastAsia="en-GB"/>
        </w:rPr>
        <w:t>thrombopoietin</w:t>
      </w:r>
      <w:proofErr w:type="spellEnd"/>
      <w:r>
        <w:rPr>
          <w:rFonts w:eastAsia="TimesNewRomanPSMT"/>
          <w:lang w:val="hu-HU" w:eastAsia="en-GB"/>
        </w:rPr>
        <w:noBreakHyphen/>
        <w:t>receptor</w:t>
      </w:r>
      <w:r>
        <w:rPr>
          <w:rFonts w:eastAsia="TimesNewRomanPSMT"/>
          <w:lang w:val="hu-HU" w:eastAsia="en-GB"/>
        </w:rPr>
        <w:noBreakHyphen/>
        <w:t xml:space="preserve"> (TPO</w:t>
      </w:r>
      <w:r>
        <w:rPr>
          <w:rFonts w:eastAsia="TimesNewRomanPSMT"/>
          <w:lang w:val="hu-HU" w:eastAsia="en-GB"/>
        </w:rPr>
        <w:noBreakHyphen/>
        <w:t>R) agonistákhoz hasonlóan, még nem határozták meg.</w:t>
      </w:r>
    </w:p>
    <w:p w14:paraId="1D567A2A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19995F6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noBreakHyphen/>
        <w:t xml:space="preserve">kezelés elkezdése előtt a kóros sejtmorfológiai eltérések ellenőrzése érdekében figyelmesen meg kell vizsgálni a perifériás vérkenetet. A stabil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dózis elérése után havonta el kell végezni a teljes vérkép vizsgálatot, a fehérvérsejtszám minőségi összetételének meghatározásával. Ha éretlen vagy </w:t>
      </w:r>
      <w:proofErr w:type="spellStart"/>
      <w:r>
        <w:rPr>
          <w:rFonts w:eastAsia="TimesNewRomanPSMT"/>
          <w:lang w:val="hu-HU" w:eastAsia="en-GB"/>
        </w:rPr>
        <w:t>dysplasiás</w:t>
      </w:r>
      <w:proofErr w:type="spellEnd"/>
      <w:r>
        <w:rPr>
          <w:rFonts w:eastAsia="TimesNewRomanPSMT"/>
          <w:lang w:val="hu-HU" w:eastAsia="en-GB"/>
        </w:rPr>
        <w:t xml:space="preserve"> sejtek láthatók, meg kell vizsgálni a perifériás vérkenetet az új vagy súlyosbodó kóros morfológiai eltérések (pl. könnycsepp alakú és magot tartalmazó vörösvérsejtek, éretlen fehérvérsejtek), vagy a </w:t>
      </w:r>
      <w:proofErr w:type="spellStart"/>
      <w:r>
        <w:rPr>
          <w:rFonts w:eastAsia="TimesNewRomanPSMT"/>
          <w:lang w:val="hu-HU" w:eastAsia="en-GB"/>
        </w:rPr>
        <w:t>cytopenia</w:t>
      </w:r>
      <w:proofErr w:type="spellEnd"/>
      <w:r>
        <w:rPr>
          <w:rFonts w:eastAsia="TimesNewRomanPSMT"/>
          <w:lang w:val="hu-HU" w:eastAsia="en-GB"/>
        </w:rPr>
        <w:t>/</w:t>
      </w:r>
      <w:proofErr w:type="spellStart"/>
      <w:r>
        <w:rPr>
          <w:rFonts w:eastAsia="TimesNewRomanPSMT"/>
          <w:lang w:val="hu-HU" w:eastAsia="en-GB"/>
        </w:rPr>
        <w:t>cytopeniák</w:t>
      </w:r>
      <w:proofErr w:type="spellEnd"/>
      <w:r>
        <w:rPr>
          <w:rFonts w:eastAsia="TimesNewRomanPSMT"/>
          <w:lang w:val="hu-HU" w:eastAsia="en-GB"/>
        </w:rPr>
        <w:t xml:space="preserve"> szempontjából. Ha a betegnél új, vagy súlyosbodó kóros morfológiai eltérések, vagy </w:t>
      </w:r>
      <w:proofErr w:type="spellStart"/>
      <w:r>
        <w:rPr>
          <w:rFonts w:eastAsia="TimesNewRomanPSMT"/>
          <w:lang w:val="hu-HU" w:eastAsia="en-GB"/>
        </w:rPr>
        <w:t>cytopenia</w:t>
      </w:r>
      <w:proofErr w:type="spellEnd"/>
      <w:r>
        <w:rPr>
          <w:rFonts w:eastAsia="TimesNewRomanPSMT"/>
          <w:lang w:val="hu-HU" w:eastAsia="en-GB"/>
        </w:rPr>
        <w:t>/</w:t>
      </w:r>
      <w:proofErr w:type="spellStart"/>
      <w:r>
        <w:rPr>
          <w:rFonts w:eastAsia="TimesNewRomanPSMT"/>
          <w:lang w:val="hu-HU" w:eastAsia="en-GB"/>
        </w:rPr>
        <w:t>cytopeniák</w:t>
      </w:r>
      <w:proofErr w:type="spellEnd"/>
      <w:r>
        <w:rPr>
          <w:rFonts w:eastAsia="TimesNewRomanPSMT"/>
          <w:lang w:val="hu-HU" w:eastAsia="en-GB"/>
        </w:rPr>
        <w:t xml:space="preserve"> alakulnak ki, le kell állítani 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noBreakHyphen/>
        <w:t xml:space="preserve">kezelést, és meg kell fontolni a csontvelő </w:t>
      </w:r>
      <w:proofErr w:type="spellStart"/>
      <w:r>
        <w:rPr>
          <w:rFonts w:eastAsia="TimesNewRomanPSMT"/>
          <w:lang w:val="hu-HU" w:eastAsia="en-GB"/>
        </w:rPr>
        <w:t>biopsziát</w:t>
      </w:r>
      <w:proofErr w:type="spellEnd"/>
      <w:r>
        <w:rPr>
          <w:rFonts w:eastAsia="TimesNewRomanPSMT"/>
          <w:lang w:val="hu-HU" w:eastAsia="en-GB"/>
        </w:rPr>
        <w:t xml:space="preserve"> csontvelőfestéssel a </w:t>
      </w:r>
      <w:proofErr w:type="spellStart"/>
      <w:r>
        <w:rPr>
          <w:rFonts w:eastAsia="TimesNewRomanPSMT"/>
          <w:lang w:val="hu-HU" w:eastAsia="en-GB"/>
        </w:rPr>
        <w:t>fibrosis</w:t>
      </w:r>
      <w:proofErr w:type="spellEnd"/>
      <w:r>
        <w:rPr>
          <w:rFonts w:eastAsia="TimesNewRomanPSMT"/>
          <w:lang w:val="hu-HU" w:eastAsia="en-GB"/>
        </w:rPr>
        <w:t xml:space="preserve"> kimutatására.</w:t>
      </w:r>
    </w:p>
    <w:p w14:paraId="2BEE749F" w14:textId="77777777" w:rsidR="00342CEA" w:rsidRDefault="00342CEA">
      <w:pPr>
        <w:spacing w:line="240" w:lineRule="auto"/>
        <w:rPr>
          <w:lang w:val="hu-HU"/>
        </w:rPr>
      </w:pPr>
    </w:p>
    <w:p w14:paraId="75FCCF0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Fennálló </w:t>
      </w:r>
      <w:proofErr w:type="spellStart"/>
      <w:r>
        <w:rPr>
          <w:u w:val="single"/>
          <w:lang w:val="hu-HU" w:eastAsia="en-GB"/>
        </w:rPr>
        <w:t>myelodysplasiás</w:t>
      </w:r>
      <w:proofErr w:type="spellEnd"/>
      <w:r>
        <w:rPr>
          <w:u w:val="single"/>
          <w:lang w:val="hu-HU" w:eastAsia="en-GB"/>
        </w:rPr>
        <w:t xml:space="preserve"> szindróma (MDS) progressziója</w:t>
      </w:r>
    </w:p>
    <w:p w14:paraId="7EA0170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>Elméleti megfontolások alapján a TPO</w:t>
      </w:r>
      <w:r>
        <w:rPr>
          <w:lang w:val="hu-HU" w:eastAsia="en-GB"/>
        </w:rPr>
        <w:noBreakHyphen/>
        <w:t>R</w:t>
      </w:r>
      <w:r>
        <w:rPr>
          <w:lang w:val="hu-HU" w:eastAsia="en-GB"/>
        </w:rPr>
        <w:noBreakHyphen/>
        <w:t>agonisták fokozhatják a már fennálló, rosszindulatú hematológiai betegségek, pl. az MDS progresszióját. A TPO</w:t>
      </w:r>
      <w:r>
        <w:rPr>
          <w:lang w:val="hu-HU" w:eastAsia="en-GB"/>
        </w:rPr>
        <w:noBreakHyphen/>
        <w:t>R</w:t>
      </w:r>
      <w:r>
        <w:rPr>
          <w:lang w:val="hu-HU" w:eastAsia="en-GB"/>
        </w:rPr>
        <w:noBreakHyphen/>
        <w:t xml:space="preserve">agonisták növekedési faktorok, melyek a </w:t>
      </w:r>
      <w:proofErr w:type="spellStart"/>
      <w:r>
        <w:rPr>
          <w:lang w:val="hu-HU" w:eastAsia="en-GB"/>
        </w:rPr>
        <w:t>thrombopoietikus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progenitor</w:t>
      </w:r>
      <w:proofErr w:type="spellEnd"/>
      <w:r>
        <w:rPr>
          <w:lang w:val="hu-HU" w:eastAsia="en-GB"/>
        </w:rPr>
        <w:t xml:space="preserve"> sejtek expanziójához, differenciálódásához és vérlemezke </w:t>
      </w:r>
      <w:r>
        <w:rPr>
          <w:rFonts w:eastAsia="TimesNewRomanPSMT"/>
          <w:lang w:val="hu-HU" w:eastAsia="en-GB"/>
        </w:rPr>
        <w:t>termelődéséhez vezetnek. A TPO</w:t>
      </w:r>
      <w:r>
        <w:rPr>
          <w:rFonts w:eastAsia="TimesNewRomanPSMT"/>
          <w:lang w:val="hu-HU" w:eastAsia="en-GB"/>
        </w:rPr>
        <w:noBreakHyphen/>
        <w:t xml:space="preserve">R főként a </w:t>
      </w:r>
      <w:proofErr w:type="spellStart"/>
      <w:r>
        <w:rPr>
          <w:rFonts w:eastAsia="TimesNewRomanPSMT"/>
          <w:lang w:val="hu-HU" w:eastAsia="en-GB"/>
        </w:rPr>
        <w:t>myeloid</w:t>
      </w:r>
      <w:proofErr w:type="spellEnd"/>
      <w:r>
        <w:rPr>
          <w:rFonts w:eastAsia="TimesNewRomanPSMT"/>
          <w:lang w:val="hu-HU" w:eastAsia="en-GB"/>
        </w:rPr>
        <w:t xml:space="preserve"> sejtvonal sejtjeinek felszínén </w:t>
      </w:r>
      <w:proofErr w:type="spellStart"/>
      <w:r>
        <w:rPr>
          <w:rFonts w:eastAsia="TimesNewRomanPSMT"/>
          <w:lang w:val="hu-HU" w:eastAsia="en-GB"/>
        </w:rPr>
        <w:t>expresszálódik</w:t>
      </w:r>
      <w:proofErr w:type="spellEnd"/>
      <w:r>
        <w:rPr>
          <w:rFonts w:eastAsia="TimesNewRomanPSMT"/>
          <w:lang w:val="hu-HU" w:eastAsia="en-GB"/>
        </w:rPr>
        <w:t>.</w:t>
      </w:r>
    </w:p>
    <w:p w14:paraId="5E9FC081" w14:textId="77777777" w:rsidR="00342CEA" w:rsidRDefault="00342CEA">
      <w:pPr>
        <w:spacing w:line="240" w:lineRule="auto"/>
        <w:rPr>
          <w:lang w:val="hu-HU"/>
        </w:rPr>
      </w:pPr>
    </w:p>
    <w:p w14:paraId="31A8FCC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>TPO</w:t>
      </w:r>
      <w:r>
        <w:rPr>
          <w:lang w:val="hu-HU" w:eastAsia="en-GB"/>
        </w:rPr>
        <w:noBreakHyphen/>
        <w:t>R</w:t>
      </w:r>
      <w:r>
        <w:rPr>
          <w:lang w:val="hu-HU" w:eastAsia="en-GB"/>
        </w:rPr>
        <w:noBreakHyphen/>
        <w:t>agonistákkal MDS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ben szenvedő betegekkel végzett klinikai </w:t>
      </w:r>
      <w:r>
        <w:rPr>
          <w:lang w:val="hu-HU" w:eastAsia="en-GB"/>
        </w:rPr>
        <w:t xml:space="preserve">vizsgálatokban a </w:t>
      </w:r>
      <w:proofErr w:type="spellStart"/>
      <w:r>
        <w:rPr>
          <w:lang w:val="hu-HU" w:eastAsia="en-GB"/>
        </w:rPr>
        <w:t>blaszt</w:t>
      </w:r>
      <w:proofErr w:type="spellEnd"/>
      <w:r>
        <w:rPr>
          <w:lang w:val="hu-HU" w:eastAsia="en-GB"/>
        </w:rPr>
        <w:noBreakHyphen/>
        <w:t xml:space="preserve">sejtek számának átmeneti emelkedését figyelték meg, és az MDS betegség akut </w:t>
      </w:r>
      <w:proofErr w:type="spellStart"/>
      <w:r>
        <w:rPr>
          <w:lang w:val="hu-HU" w:eastAsia="en-GB"/>
        </w:rPr>
        <w:t>myeloid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leukaemiává</w:t>
      </w:r>
      <w:proofErr w:type="spellEnd"/>
      <w:r>
        <w:rPr>
          <w:lang w:val="hu-HU" w:eastAsia="en-GB"/>
        </w:rPr>
        <w:t xml:space="preserve"> (AML) </w:t>
      </w:r>
      <w:r>
        <w:rPr>
          <w:rFonts w:eastAsia="TimesNewRomanPSMT"/>
          <w:lang w:val="hu-HU" w:eastAsia="en-GB"/>
        </w:rPr>
        <w:t>történő progressziójával járó eseteket is jelentettek.</w:t>
      </w:r>
    </w:p>
    <w:p w14:paraId="3AF6A8C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23B49FA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rFonts w:eastAsia="TimesNewRomanPSMT"/>
          <w:lang w:val="hu-HU" w:eastAsia="en-GB"/>
        </w:rPr>
        <w:t xml:space="preserve">Az ITP diagnózisát felnőtt és idős </w:t>
      </w:r>
      <w:r>
        <w:rPr>
          <w:lang w:val="hu-HU" w:eastAsia="en-GB"/>
        </w:rPr>
        <w:t xml:space="preserve">korú betegeknél a </w:t>
      </w:r>
      <w:proofErr w:type="spellStart"/>
      <w:r>
        <w:rPr>
          <w:lang w:val="hu-HU" w:eastAsia="en-GB"/>
        </w:rPr>
        <w:t>thrombocytopeniával</w:t>
      </w:r>
      <w:proofErr w:type="spellEnd"/>
      <w:r>
        <w:rPr>
          <w:lang w:val="hu-HU" w:eastAsia="en-GB"/>
        </w:rPr>
        <w:t xml:space="preserve"> járó egyéb </w:t>
      </w:r>
      <w:r>
        <w:rPr>
          <w:rFonts w:eastAsia="TimesNewRomanPSMT"/>
          <w:lang w:val="hu-HU" w:eastAsia="en-GB"/>
        </w:rPr>
        <w:t xml:space="preserve">klinikai kórképek kizárásával kell megerősíteni, különösen az MDS diagnózisát kell kizárni. A betegség lefolyása és a kezelés során mérlegelni kell a csontvelő aspiráció és a </w:t>
      </w:r>
      <w:proofErr w:type="spellStart"/>
      <w:r>
        <w:rPr>
          <w:rFonts w:eastAsia="TimesNewRomanPSMT"/>
          <w:lang w:val="hu-HU" w:eastAsia="en-GB"/>
        </w:rPr>
        <w:t>biopszia</w:t>
      </w:r>
      <w:proofErr w:type="spellEnd"/>
      <w:r>
        <w:rPr>
          <w:rFonts w:eastAsia="TimesNewRomanPSMT"/>
          <w:lang w:val="hu-HU" w:eastAsia="en-GB"/>
        </w:rPr>
        <w:t xml:space="preserve"> elvégzését, </w:t>
      </w:r>
      <w:r>
        <w:rPr>
          <w:lang w:val="hu-HU" w:eastAsia="en-GB"/>
        </w:rPr>
        <w:t xml:space="preserve">különösen 60 év feletti betegeknél, azoknál, akiknél szisztémás tünetek, illetve kóros jelek állnak fenn, pl. a perifériás </w:t>
      </w:r>
      <w:proofErr w:type="spellStart"/>
      <w:r>
        <w:rPr>
          <w:lang w:val="hu-HU" w:eastAsia="en-GB"/>
        </w:rPr>
        <w:t>blasztok</w:t>
      </w:r>
      <w:proofErr w:type="spellEnd"/>
      <w:r>
        <w:rPr>
          <w:lang w:val="hu-HU" w:eastAsia="en-GB"/>
        </w:rPr>
        <w:t xml:space="preserve"> számának emelkedése.</w:t>
      </w:r>
    </w:p>
    <w:p w14:paraId="635D6B3C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11E7C50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hatásosságát és biztonságosságát az MDS miatt kialakult </w:t>
      </w:r>
      <w:proofErr w:type="spellStart"/>
      <w:r>
        <w:rPr>
          <w:lang w:val="hu-HU" w:eastAsia="en-GB"/>
        </w:rPr>
        <w:t>thrombocytopenia</w:t>
      </w:r>
      <w:proofErr w:type="spellEnd"/>
      <w:r>
        <w:rPr>
          <w:lang w:val="hu-HU" w:eastAsia="en-GB"/>
        </w:rPr>
        <w:t xml:space="preserve"> kezelésében nem igazolták. </w:t>
      </w: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</w:t>
      </w:r>
      <w:r>
        <w:rPr>
          <w:lang w:val="hu-HU" w:eastAsia="en-GB"/>
        </w:rPr>
        <w:t xml:space="preserve">a klinikai vizsgálatokon kívül nem alkalmazható az MDS miatt kialakuló </w:t>
      </w:r>
      <w:proofErr w:type="spellStart"/>
      <w:r>
        <w:rPr>
          <w:lang w:val="hu-HU" w:eastAsia="en-GB"/>
        </w:rPr>
        <w:t>thrombocytopeniában</w:t>
      </w:r>
      <w:proofErr w:type="spellEnd"/>
      <w:r>
        <w:rPr>
          <w:lang w:val="hu-HU" w:eastAsia="en-GB"/>
        </w:rPr>
        <w:t>.</w:t>
      </w:r>
    </w:p>
    <w:p w14:paraId="037E440F" w14:textId="77777777" w:rsidR="00342CEA" w:rsidRDefault="00342CEA">
      <w:pPr>
        <w:spacing w:line="240" w:lineRule="auto"/>
        <w:rPr>
          <w:lang w:val="hu-HU"/>
        </w:rPr>
      </w:pPr>
    </w:p>
    <w:p w14:paraId="1E05B4DD" w14:textId="77777777" w:rsidR="00342CEA" w:rsidRDefault="00342CEA">
      <w:pPr>
        <w:spacing w:line="240" w:lineRule="auto"/>
        <w:rPr>
          <w:lang w:val="hu-HU"/>
        </w:rPr>
      </w:pPr>
    </w:p>
    <w:p w14:paraId="5BF84BB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Szemészeti elváltozások</w:t>
      </w:r>
    </w:p>
    <w:p w14:paraId="5F7D859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Toxikológiai vizsgálatokban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rágcsálóknál szürkehályogot okozott (lásd 5.3 pont). </w:t>
      </w:r>
      <w:r>
        <w:rPr>
          <w:rFonts w:eastAsia="TimesNewRomanPSMT"/>
          <w:lang w:val="hu-HU" w:eastAsia="en-GB"/>
        </w:rPr>
        <w:t xml:space="preserve">Interferon alapú kezelésben részesülő, </w:t>
      </w: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 xml:space="preserve">s betegekkel végzett kontrollos vizsgálatokban (n = 1439),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csoportba tartozók 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, illetve a </w:t>
      </w:r>
      <w:proofErr w:type="spellStart"/>
      <w:r>
        <w:rPr>
          <w:lang w:val="hu-HU" w:eastAsia="en-GB"/>
        </w:rPr>
        <w:t>placebóval</w:t>
      </w:r>
      <w:proofErr w:type="spellEnd"/>
      <w:r>
        <w:rPr>
          <w:lang w:val="hu-HU" w:eastAsia="en-GB"/>
        </w:rPr>
        <w:t xml:space="preserve"> kezelt csoportba tartozók 5%</w:t>
      </w:r>
      <w:r>
        <w:rPr>
          <w:lang w:val="hu-HU" w:eastAsia="en-GB"/>
        </w:rPr>
        <w:noBreakHyphen/>
      </w:r>
      <w:proofErr w:type="spellStart"/>
      <w:r>
        <w:rPr>
          <w:rFonts w:eastAsia="TimesNewRomanPSMT"/>
          <w:lang w:val="hu-HU" w:eastAsia="en-GB"/>
        </w:rPr>
        <w:t>ánál</w:t>
      </w:r>
      <w:proofErr w:type="spellEnd"/>
      <w:r>
        <w:rPr>
          <w:rFonts w:eastAsia="TimesNewRomanPSMT"/>
          <w:lang w:val="hu-HU" w:eastAsia="en-GB"/>
        </w:rPr>
        <w:t xml:space="preserve"> jelentették a meglévő szürkehályog progresszióját vagy </w:t>
      </w:r>
      <w:r>
        <w:rPr>
          <w:lang w:val="hu-HU" w:eastAsia="en-GB"/>
        </w:rPr>
        <w:t>következményes szürkehályogot. Többségében 1</w:t>
      </w:r>
      <w:r>
        <w:rPr>
          <w:lang w:val="hu-HU" w:eastAsia="en-GB"/>
        </w:rPr>
        <w:noBreakHyphen/>
        <w:t>es vagy 2</w:t>
      </w:r>
      <w:r>
        <w:rPr>
          <w:lang w:val="hu-HU" w:eastAsia="en-GB"/>
        </w:rPr>
        <w:noBreakHyphen/>
        <w:t xml:space="preserve">es fokozatú retina bevérzéseket jelentettek az interferont, </w:t>
      </w:r>
      <w:proofErr w:type="spellStart"/>
      <w:r>
        <w:rPr>
          <w:lang w:val="hu-HU" w:eastAsia="en-GB"/>
        </w:rPr>
        <w:t>ribavirint</w:t>
      </w:r>
      <w:proofErr w:type="spellEnd"/>
      <w:r>
        <w:rPr>
          <w:lang w:val="hu-HU" w:eastAsia="en-GB"/>
        </w:rPr>
        <w:t xml:space="preserve"> és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HCV</w:t>
      </w:r>
      <w:r>
        <w:rPr>
          <w:lang w:val="hu-HU" w:eastAsia="en-GB"/>
        </w:rPr>
        <w:noBreakHyphen/>
        <w:t xml:space="preserve">betegeknél (2%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csoportban és 2% a placebo</w:t>
      </w:r>
      <w:r>
        <w:rPr>
          <w:rFonts w:eastAsia="TimesNewRomanPSMT"/>
          <w:lang w:val="hu-HU" w:eastAsia="en-GB"/>
        </w:rPr>
        <w:t xml:space="preserve">csoportban). Vérzések előfordultak a retina felületén </w:t>
      </w:r>
      <w:r>
        <w:rPr>
          <w:lang w:val="hu-HU" w:eastAsia="en-GB"/>
        </w:rPr>
        <w:t>(</w:t>
      </w:r>
      <w:proofErr w:type="spellStart"/>
      <w:r>
        <w:rPr>
          <w:lang w:val="hu-HU" w:eastAsia="en-GB"/>
        </w:rPr>
        <w:t>preretinálisan</w:t>
      </w:r>
      <w:proofErr w:type="spellEnd"/>
      <w:r>
        <w:rPr>
          <w:lang w:val="hu-HU" w:eastAsia="en-GB"/>
        </w:rPr>
        <w:t>), a retina alatt (</w:t>
      </w:r>
      <w:proofErr w:type="spellStart"/>
      <w:r>
        <w:rPr>
          <w:lang w:val="hu-HU" w:eastAsia="en-GB"/>
        </w:rPr>
        <w:t>subretinalisan</w:t>
      </w:r>
      <w:proofErr w:type="spellEnd"/>
      <w:r>
        <w:rPr>
          <w:lang w:val="hu-HU" w:eastAsia="en-GB"/>
        </w:rPr>
        <w:t xml:space="preserve">) vagy a retina szövetén belül. Ajánlott a betegek </w:t>
      </w:r>
      <w:r>
        <w:rPr>
          <w:rFonts w:eastAsia="TimesNewRomanPSMT"/>
          <w:lang w:val="hu-HU" w:eastAsia="en-GB"/>
        </w:rPr>
        <w:t xml:space="preserve">rutinszerű </w:t>
      </w:r>
      <w:r>
        <w:rPr>
          <w:lang w:val="hu-HU" w:eastAsia="en-GB"/>
        </w:rPr>
        <w:t xml:space="preserve">szemészeti </w:t>
      </w:r>
      <w:r>
        <w:rPr>
          <w:rFonts w:eastAsia="TimesNewRomanPSMT"/>
          <w:lang w:val="hu-HU" w:eastAsia="en-GB"/>
        </w:rPr>
        <w:t>szű</w:t>
      </w:r>
      <w:r>
        <w:rPr>
          <w:lang w:val="hu-HU" w:eastAsia="en-GB"/>
        </w:rPr>
        <w:t>rése.</w:t>
      </w:r>
    </w:p>
    <w:p w14:paraId="6D7BEBF1" w14:textId="77777777" w:rsidR="00342CEA" w:rsidRDefault="00342CEA">
      <w:pPr>
        <w:spacing w:line="240" w:lineRule="auto"/>
        <w:rPr>
          <w:lang w:val="hu-HU"/>
        </w:rPr>
      </w:pPr>
    </w:p>
    <w:p w14:paraId="46176BD2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QT/</w:t>
      </w:r>
      <w:proofErr w:type="spellStart"/>
      <w:r>
        <w:rPr>
          <w:u w:val="single"/>
          <w:lang w:val="hu-HU" w:eastAsia="en-GB"/>
        </w:rPr>
        <w:t>QTc</w:t>
      </w:r>
      <w:proofErr w:type="spellEnd"/>
      <w:r>
        <w:rPr>
          <w:u w:val="single"/>
          <w:lang w:val="hu-HU" w:eastAsia="en-GB"/>
        </w:rPr>
        <w:noBreakHyphen/>
        <w:t>megnyúlás</w:t>
      </w:r>
    </w:p>
    <w:p w14:paraId="0B902717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Egy, egészséges önkéntesekkel végzett </w:t>
      </w:r>
      <w:proofErr w:type="spellStart"/>
      <w:r>
        <w:rPr>
          <w:lang w:val="hu-HU" w:eastAsia="en-GB"/>
        </w:rPr>
        <w:t>QTc</w:t>
      </w:r>
      <w:proofErr w:type="spellEnd"/>
      <w:r>
        <w:rPr>
          <w:lang w:val="hu-HU" w:eastAsia="en-GB"/>
        </w:rPr>
        <w:noBreakHyphen/>
        <w:t xml:space="preserve">vizsgálat, amelyben napi 150 mg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adagoltak, </w:t>
      </w:r>
      <w:r>
        <w:rPr>
          <w:rFonts w:eastAsia="TimesNewRomanPSMT"/>
          <w:lang w:val="hu-HU" w:eastAsia="en-GB"/>
        </w:rPr>
        <w:t xml:space="preserve">nem mutatott a </w:t>
      </w:r>
      <w:proofErr w:type="spellStart"/>
      <w:r>
        <w:rPr>
          <w:rFonts w:eastAsia="TimesNewRomanPSMT"/>
          <w:lang w:val="hu-HU" w:eastAsia="en-GB"/>
        </w:rPr>
        <w:t>cardialis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repolarisatióra</w:t>
      </w:r>
      <w:proofErr w:type="spellEnd"/>
      <w:r>
        <w:rPr>
          <w:rFonts w:eastAsia="TimesNewRomanPSMT"/>
          <w:lang w:val="hu-HU" w:eastAsia="en-GB"/>
        </w:rPr>
        <w:t xml:space="preserve"> gyakorolt, klinikailag számottevő hatást. A </w:t>
      </w:r>
      <w:proofErr w:type="spellStart"/>
      <w:r>
        <w:rPr>
          <w:rFonts w:eastAsia="TimesNewRomanPSMT"/>
          <w:lang w:val="hu-HU" w:eastAsia="en-GB"/>
        </w:rPr>
        <w:t>QT</w:t>
      </w:r>
      <w:r>
        <w:rPr>
          <w:lang w:val="hu-HU" w:eastAsia="en-GB"/>
        </w:rPr>
        <w:t>c</w:t>
      </w:r>
      <w:r>
        <w:rPr>
          <w:lang w:val="hu-HU" w:eastAsia="en-GB"/>
        </w:rPr>
        <w:noBreakHyphen/>
        <w:t>menyúlásáról</w:t>
      </w:r>
      <w:proofErr w:type="spellEnd"/>
      <w:r>
        <w:rPr>
          <w:lang w:val="hu-HU" w:eastAsia="en-GB"/>
        </w:rPr>
        <w:t xml:space="preserve"> számoltak be ITP</w:t>
      </w:r>
      <w:r>
        <w:rPr>
          <w:lang w:val="hu-HU" w:eastAsia="en-GB"/>
        </w:rPr>
        <w:noBreakHyphen/>
        <w:t xml:space="preserve">s és </w:t>
      </w: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 xml:space="preserve">betegekkel végzett klinikai vizsgálatok során. Ezen </w:t>
      </w:r>
      <w:proofErr w:type="spellStart"/>
      <w:r>
        <w:rPr>
          <w:lang w:val="hu-HU" w:eastAsia="en-GB"/>
        </w:rPr>
        <w:t>QTc</w:t>
      </w:r>
      <w:proofErr w:type="spellEnd"/>
      <w:r>
        <w:rPr>
          <w:lang w:val="hu-HU" w:eastAsia="en-GB"/>
        </w:rPr>
        <w:noBreakHyphen/>
        <w:t xml:space="preserve">megnyúlások </w:t>
      </w:r>
      <w:r>
        <w:rPr>
          <w:rFonts w:eastAsia="TimesNewRomanPSMT"/>
          <w:lang w:val="hu-HU" w:eastAsia="en-GB"/>
        </w:rPr>
        <w:t>klinikai jelentősége nem ismert.</w:t>
      </w:r>
    </w:p>
    <w:p w14:paraId="343861FE" w14:textId="77777777" w:rsidR="00342CEA" w:rsidRDefault="00342CEA">
      <w:pPr>
        <w:spacing w:line="240" w:lineRule="auto"/>
        <w:rPr>
          <w:lang w:val="hu-HU"/>
        </w:rPr>
      </w:pPr>
    </w:p>
    <w:p w14:paraId="72140F6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Az </w:t>
      </w:r>
      <w:proofErr w:type="spellStart"/>
      <w:r>
        <w:rPr>
          <w:u w:val="single"/>
          <w:lang w:val="hu-HU" w:eastAsia="en-GB"/>
        </w:rPr>
        <w:t>eltrombopagra</w:t>
      </w:r>
      <w:proofErr w:type="spellEnd"/>
      <w:r>
        <w:rPr>
          <w:u w:val="single"/>
          <w:lang w:val="hu-HU" w:eastAsia="en-GB"/>
        </w:rPr>
        <w:t xml:space="preserve"> adott terápiás válasz </w:t>
      </w:r>
      <w:r>
        <w:rPr>
          <w:rFonts w:eastAsia="TimesNewRomanPSMT"/>
          <w:u w:val="single"/>
          <w:lang w:val="hu-HU" w:eastAsia="en-GB"/>
        </w:rPr>
        <w:t>megszűnése</w:t>
      </w:r>
    </w:p>
    <w:p w14:paraId="06A0FE1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Ha </w:t>
      </w:r>
      <w:r>
        <w:rPr>
          <w:rFonts w:eastAsia="TimesNewRomanPSMT"/>
          <w:lang w:val="hu-HU" w:eastAsia="en-GB"/>
        </w:rPr>
        <w:t xml:space="preserve">megszűnik a </w:t>
      </w:r>
      <w:r>
        <w:rPr>
          <w:lang w:val="hu-HU" w:eastAsia="en-GB"/>
        </w:rPr>
        <w:t xml:space="preserve">terápiás válasz, vagy nem sikerül a vérlemezkeszámot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kezeléssel az ajánlott dózistartományban tartani, </w:t>
      </w:r>
      <w:r>
        <w:rPr>
          <w:rFonts w:eastAsia="TimesNewRomanPSMT"/>
          <w:lang w:val="hu-HU" w:eastAsia="en-GB"/>
        </w:rPr>
        <w:t xml:space="preserve">mielőbb </w:t>
      </w:r>
      <w:r>
        <w:rPr>
          <w:lang w:val="hu-HU" w:eastAsia="en-GB"/>
        </w:rPr>
        <w:t xml:space="preserve">meg kell keresni a </w:t>
      </w:r>
      <w:r>
        <w:rPr>
          <w:rFonts w:eastAsia="TimesNewRomanPSMT"/>
          <w:lang w:val="hu-HU" w:eastAsia="en-GB"/>
        </w:rPr>
        <w:t xml:space="preserve">kiváltó tényezőket, beleértve </w:t>
      </w:r>
      <w:r>
        <w:rPr>
          <w:lang w:val="hu-HU" w:eastAsia="en-GB"/>
        </w:rPr>
        <w:t xml:space="preserve">a </w:t>
      </w:r>
      <w:proofErr w:type="spellStart"/>
      <w:r>
        <w:rPr>
          <w:lang w:val="hu-HU" w:eastAsia="en-GB"/>
        </w:rPr>
        <w:t>retikulin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>felszaporodását a csontvelőben</w:t>
      </w:r>
      <w:r>
        <w:rPr>
          <w:lang w:val="hu-HU" w:eastAsia="en-GB"/>
        </w:rPr>
        <w:t>.</w:t>
      </w:r>
    </w:p>
    <w:p w14:paraId="693FF657" w14:textId="77777777" w:rsidR="00342CEA" w:rsidRDefault="00342CEA">
      <w:pPr>
        <w:spacing w:line="240" w:lineRule="auto"/>
        <w:rPr>
          <w:lang w:val="hu-HU"/>
        </w:rPr>
      </w:pPr>
    </w:p>
    <w:p w14:paraId="55DA66D5" w14:textId="77777777" w:rsidR="00342CEA" w:rsidRDefault="00837BAB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14:paraId="36A7E38E" w14:textId="77777777" w:rsidR="00342CEA" w:rsidRDefault="00837BAB">
      <w:pPr>
        <w:keepNext/>
        <w:spacing w:line="240" w:lineRule="auto"/>
        <w:rPr>
          <w:lang w:val="hu-HU" w:eastAsia="en-GB"/>
        </w:rPr>
      </w:pPr>
      <w:r>
        <w:rPr>
          <w:lang w:val="hu-HU" w:eastAsia="en-GB"/>
        </w:rPr>
        <w:t>Az ITP</w:t>
      </w:r>
      <w:r>
        <w:rPr>
          <w:lang w:val="hu-HU" w:eastAsia="en-GB"/>
        </w:rPr>
        <w:noBreakHyphen/>
        <w:t>vel kapcsolatos fenti figyelmeztetések és óvintézkedések érvényesek gyermekek esetében is.</w:t>
      </w:r>
    </w:p>
    <w:p w14:paraId="61D180D2" w14:textId="77777777" w:rsidR="00342CEA" w:rsidRDefault="00342CEA">
      <w:pPr>
        <w:spacing w:line="240" w:lineRule="auto"/>
        <w:rPr>
          <w:lang w:val="hu-HU" w:eastAsia="en-GB"/>
        </w:rPr>
      </w:pPr>
    </w:p>
    <w:p w14:paraId="3D47E80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Laboratóriumi vizsgálatokra gyakorolt hatás</w:t>
      </w:r>
    </w:p>
    <w:p w14:paraId="0A9C67E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erőteljes</w:t>
      </w:r>
      <w:r>
        <w:rPr>
          <w:lang w:val="hu-HU" w:eastAsia="en-GB"/>
        </w:rPr>
        <w:t xml:space="preserve">en színezett, így várható, hogy bizonyos laboratóriumi vizsgálatokra hatással lehet.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rFonts w:eastAsia="TimesNewRomanPSMT"/>
          <w:lang w:val="hu-HU" w:eastAsia="en-GB"/>
        </w:rPr>
        <w:t xml:space="preserve"> szedő betegeknél </w:t>
      </w:r>
      <w:r>
        <w:rPr>
          <w:lang w:val="hu-HU" w:eastAsia="en-GB"/>
        </w:rPr>
        <w:t xml:space="preserve">arról számoltak be, hogy a </w:t>
      </w:r>
      <w:r>
        <w:rPr>
          <w:rFonts w:eastAsia="TimesNewRomanPSMT"/>
          <w:lang w:val="hu-HU" w:eastAsia="en-GB"/>
        </w:rPr>
        <w:t xml:space="preserve">gyógyszer a szérum elszíneződését </w:t>
      </w:r>
      <w:r>
        <w:rPr>
          <w:lang w:val="hu-HU" w:eastAsia="en-GB"/>
        </w:rPr>
        <w:t xml:space="preserve">okozhatja, és zavarhatja az </w:t>
      </w:r>
      <w:proofErr w:type="spellStart"/>
      <w:r>
        <w:rPr>
          <w:lang w:val="hu-HU" w:eastAsia="en-GB"/>
        </w:rPr>
        <w:t>összbilirubin</w:t>
      </w:r>
      <w:proofErr w:type="spellEnd"/>
      <w:r>
        <w:rPr>
          <w:lang w:val="hu-HU" w:eastAsia="en-GB"/>
        </w:rPr>
        <w:t xml:space="preserve">, illetve a </w:t>
      </w:r>
      <w:proofErr w:type="spellStart"/>
      <w:r>
        <w:rPr>
          <w:lang w:val="hu-HU" w:eastAsia="en-GB"/>
        </w:rPr>
        <w:t>szérumkreatininszint</w:t>
      </w:r>
      <w:proofErr w:type="spellEnd"/>
      <w:r>
        <w:rPr>
          <w:lang w:val="hu-HU" w:eastAsia="en-GB"/>
        </w:rPr>
        <w:t xml:space="preserve">- vizsgálatokat. Amennyiben a laboratóriumi eredmények és a klinikai megfigyelések inkonzisztensek, egy ismételt vizsgálat más </w:t>
      </w:r>
      <w:r>
        <w:rPr>
          <w:rFonts w:eastAsia="TimesNewRomanPSMT"/>
          <w:lang w:val="hu-HU" w:eastAsia="en-GB"/>
        </w:rPr>
        <w:t xml:space="preserve">módszerrel történő </w:t>
      </w:r>
      <w:r>
        <w:rPr>
          <w:lang w:val="hu-HU" w:eastAsia="en-GB"/>
        </w:rPr>
        <w:t xml:space="preserve">elvégzése segíthet meghatározni az eredmény </w:t>
      </w:r>
      <w:proofErr w:type="spellStart"/>
      <w:r>
        <w:rPr>
          <w:lang w:val="hu-HU" w:eastAsia="en-GB"/>
        </w:rPr>
        <w:t>validitását</w:t>
      </w:r>
      <w:proofErr w:type="spellEnd"/>
      <w:r>
        <w:rPr>
          <w:lang w:val="hu-HU" w:eastAsia="en-GB"/>
        </w:rPr>
        <w:t>.</w:t>
      </w:r>
    </w:p>
    <w:p w14:paraId="2D4AADDC" w14:textId="77777777" w:rsidR="00342CEA" w:rsidRDefault="00342CEA">
      <w:pPr>
        <w:spacing w:line="240" w:lineRule="auto"/>
        <w:rPr>
          <w:lang w:val="hu-HU"/>
        </w:rPr>
      </w:pPr>
    </w:p>
    <w:p w14:paraId="24FC9974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Segédanyagok</w:t>
      </w:r>
    </w:p>
    <w:p w14:paraId="0997CA64" w14:textId="77777777" w:rsidR="00342CEA" w:rsidRDefault="00837BAB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Izomalt</w:t>
      </w:r>
    </w:p>
    <w:p w14:paraId="1F3C0A3D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>Ritkán előforduló, örökletes fruktóz</w:t>
      </w:r>
      <w:r>
        <w:rPr>
          <w:lang w:val="hu-HU"/>
        </w:rPr>
        <w:noBreakHyphen/>
        <w:t>intoleranciában a készítmény nem szedhető.</w:t>
      </w:r>
    </w:p>
    <w:p w14:paraId="5D618A91" w14:textId="77777777" w:rsidR="00342CEA" w:rsidRDefault="00342CEA">
      <w:pPr>
        <w:spacing w:line="240" w:lineRule="auto"/>
        <w:rPr>
          <w:lang w:val="hu-HU"/>
        </w:rPr>
      </w:pPr>
    </w:p>
    <w:p w14:paraId="020DD6A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Nátrium</w:t>
      </w:r>
    </w:p>
    <w:p w14:paraId="67F0E02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>A készítmény kevesebb mint 1 </w:t>
      </w:r>
      <w:proofErr w:type="spellStart"/>
      <w:r>
        <w:rPr>
          <w:lang w:val="hu-HU" w:eastAsia="en-GB"/>
        </w:rPr>
        <w:t>mmol</w:t>
      </w:r>
      <w:proofErr w:type="spellEnd"/>
      <w:r>
        <w:rPr>
          <w:lang w:val="hu-HU" w:eastAsia="en-GB"/>
        </w:rPr>
        <w:t xml:space="preserve"> (23 mg) nátriumot tartalmaz </w:t>
      </w:r>
      <w:proofErr w:type="spellStart"/>
      <w:r>
        <w:rPr>
          <w:lang w:val="hu-HU" w:eastAsia="en-GB"/>
        </w:rPr>
        <w:t>filmtablettánként</w:t>
      </w:r>
      <w:proofErr w:type="spellEnd"/>
      <w:r>
        <w:rPr>
          <w:lang w:val="hu-HU" w:eastAsia="en-GB"/>
        </w:rPr>
        <w:t xml:space="preserve">, azaz </w:t>
      </w:r>
      <w:r>
        <w:rPr>
          <w:rFonts w:eastAsia="TimesNewRomanPSMT"/>
          <w:lang w:val="hu-HU" w:eastAsia="en-GB"/>
        </w:rPr>
        <w:t>gyakorlatilag „nátriummentes”.</w:t>
      </w:r>
    </w:p>
    <w:p w14:paraId="1ED3C19D" w14:textId="77777777" w:rsidR="00342CEA" w:rsidRDefault="00342CEA">
      <w:pPr>
        <w:spacing w:line="240" w:lineRule="auto"/>
        <w:rPr>
          <w:lang w:val="hu-HU"/>
        </w:rPr>
      </w:pPr>
    </w:p>
    <w:p w14:paraId="3CB76A2B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4.5</w:t>
      </w:r>
      <w:r>
        <w:rPr>
          <w:rFonts w:eastAsia="Times New Roman"/>
          <w:b/>
          <w:bCs/>
          <w:lang w:val="hu-HU" w:eastAsia="en-US"/>
        </w:rPr>
        <w:tab/>
        <w:t>Gyógyszerkölcsönhatások és egyéb interakciók</w:t>
      </w:r>
    </w:p>
    <w:p w14:paraId="6370CE0F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799DF88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Az </w:t>
      </w:r>
      <w:proofErr w:type="spellStart"/>
      <w:r>
        <w:rPr>
          <w:u w:val="single"/>
          <w:lang w:val="hu-HU" w:eastAsia="en-GB"/>
        </w:rPr>
        <w:t>eltrombopag</w:t>
      </w:r>
      <w:proofErr w:type="spellEnd"/>
      <w:r>
        <w:rPr>
          <w:u w:val="single"/>
          <w:lang w:val="hu-HU" w:eastAsia="en-GB"/>
        </w:rPr>
        <w:t xml:space="preserve"> hatása más gyógyszerekre</w:t>
      </w:r>
    </w:p>
    <w:p w14:paraId="3C534BA6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6289F09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HMG</w:t>
      </w:r>
      <w:r>
        <w:rPr>
          <w:i/>
          <w:u w:val="single"/>
          <w:lang w:val="hu-HU" w:eastAsia="en-GB"/>
        </w:rPr>
        <w:noBreakHyphen/>
      </w:r>
      <w:proofErr w:type="spellStart"/>
      <w:r>
        <w:rPr>
          <w:i/>
          <w:u w:val="single"/>
          <w:lang w:val="hu-HU" w:eastAsia="en-GB"/>
        </w:rPr>
        <w:t>CoA</w:t>
      </w:r>
      <w:proofErr w:type="spellEnd"/>
      <w:r>
        <w:rPr>
          <w:i/>
          <w:u w:val="single"/>
          <w:lang w:val="hu-HU" w:eastAsia="en-GB"/>
        </w:rPr>
        <w:noBreakHyphen/>
      </w:r>
      <w:proofErr w:type="spellStart"/>
      <w:r>
        <w:rPr>
          <w:i/>
          <w:u w:val="single"/>
          <w:lang w:val="hu-HU" w:eastAsia="en-GB"/>
        </w:rPr>
        <w:t>reduktáz</w:t>
      </w:r>
      <w:proofErr w:type="spellEnd"/>
      <w:r>
        <w:rPr>
          <w:i/>
          <w:u w:val="single"/>
          <w:lang w:val="hu-HU" w:eastAsia="en-GB"/>
        </w:rPr>
        <w:noBreakHyphen/>
        <w:t>gátlók</w:t>
      </w:r>
    </w:p>
    <w:p w14:paraId="60E020D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39 egészséges </w:t>
      </w:r>
      <w:r>
        <w:rPr>
          <w:rFonts w:eastAsia="TimesNewRomanPSMT"/>
          <w:lang w:val="hu-HU" w:eastAsia="en-GB"/>
        </w:rPr>
        <w:t>felnőttnél az</w:t>
      </w:r>
      <w:r>
        <w:rPr>
          <w:lang w:val="hu-HU" w:eastAsia="en-GB"/>
        </w:rPr>
        <w:t xml:space="preserve"> 5 napon át adott napi egyszeri 75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az OATP1B1</w:t>
      </w:r>
      <w:r>
        <w:rPr>
          <w:lang w:val="hu-HU" w:eastAsia="en-GB"/>
        </w:rPr>
        <w:noBreakHyphen/>
        <w:t xml:space="preserve"> és BCRP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szubsztrát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rozuvasztatin</w:t>
      </w:r>
      <w:proofErr w:type="spellEnd"/>
      <w:r>
        <w:rPr>
          <w:lang w:val="hu-HU" w:eastAsia="en-GB"/>
        </w:rPr>
        <w:t xml:space="preserve"> egyszeri 10 mg</w:t>
      </w:r>
      <w:r>
        <w:rPr>
          <w:lang w:val="hu-HU" w:eastAsia="en-GB"/>
        </w:rPr>
        <w:noBreakHyphen/>
        <w:t>os adagjának együttes alkalmazása</w:t>
      </w:r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103%</w:t>
      </w:r>
      <w:r>
        <w:rPr>
          <w:lang w:val="hu-HU" w:eastAsia="en-GB"/>
        </w:rPr>
        <w:noBreakHyphen/>
        <w:t xml:space="preserve">kal növelte a plazma </w:t>
      </w:r>
      <w:proofErr w:type="spellStart"/>
      <w:r>
        <w:rPr>
          <w:lang w:val="hu-HU" w:eastAsia="en-GB"/>
        </w:rPr>
        <w:t>rozuvasztatin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max</w:t>
      </w:r>
      <w:proofErr w:type="spellEnd"/>
      <w:r>
        <w:rPr>
          <w:sz w:val="14"/>
          <w:szCs w:val="14"/>
          <w:lang w:val="hu-HU" w:eastAsia="en-GB"/>
        </w:rPr>
        <w:noBreakHyphen/>
      </w:r>
      <w:r>
        <w:rPr>
          <w:lang w:val="hu-HU" w:eastAsia="en-GB"/>
        </w:rPr>
        <w:t>értékét (90%</w:t>
      </w:r>
      <w:r>
        <w:rPr>
          <w:lang w:val="hu-HU" w:eastAsia="en-GB"/>
        </w:rPr>
        <w:noBreakHyphen/>
        <w:t>os CI: 82%, 126%) és 55%</w:t>
      </w:r>
      <w:r>
        <w:rPr>
          <w:lang w:val="hu-HU" w:eastAsia="en-GB"/>
        </w:rPr>
        <w:noBreakHyphen/>
        <w:t>kal az AUC</w:t>
      </w:r>
      <w:r>
        <w:rPr>
          <w:sz w:val="14"/>
          <w:szCs w:val="14"/>
          <w:lang w:val="hu-HU" w:eastAsia="en-GB"/>
        </w:rPr>
        <w:t>0-∞</w:t>
      </w:r>
      <w:r>
        <w:rPr>
          <w:lang w:val="hu-HU" w:eastAsia="en-GB"/>
        </w:rPr>
        <w:noBreakHyphen/>
        <w:t>értékét (90%</w:t>
      </w:r>
      <w:r>
        <w:rPr>
          <w:lang w:val="hu-HU" w:eastAsia="en-GB"/>
        </w:rPr>
        <w:noBreakHyphen/>
        <w:t>os konfidencia intervallum [CI]: 42%, 69%). Kölcsönhatásokra számítani lehet más HMG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CoA</w:t>
      </w:r>
      <w:proofErr w:type="spellEnd"/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reduktáz</w:t>
      </w:r>
      <w:proofErr w:type="spellEnd"/>
      <w:r>
        <w:rPr>
          <w:lang w:val="hu-HU" w:eastAsia="en-GB"/>
        </w:rPr>
        <w:noBreakHyphen/>
        <w:t xml:space="preserve">gátlókkal is, beleértve az </w:t>
      </w:r>
      <w:proofErr w:type="spellStart"/>
      <w:r>
        <w:rPr>
          <w:lang w:val="hu-HU" w:eastAsia="en-GB"/>
        </w:rPr>
        <w:t>atorvasztatint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fluvasztatint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lovasztatint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pravasztatint</w:t>
      </w:r>
      <w:proofErr w:type="spellEnd"/>
      <w:r>
        <w:rPr>
          <w:lang w:val="hu-HU" w:eastAsia="en-GB"/>
        </w:rPr>
        <w:t xml:space="preserve"> és a </w:t>
      </w:r>
      <w:proofErr w:type="spellStart"/>
      <w:r>
        <w:rPr>
          <w:lang w:val="hu-HU" w:eastAsia="en-GB"/>
        </w:rPr>
        <w:t>szimvasztatint</w:t>
      </w:r>
      <w:proofErr w:type="spellEnd"/>
      <w:r>
        <w:rPr>
          <w:lang w:val="hu-HU" w:eastAsia="en-GB"/>
        </w:rPr>
        <w:t xml:space="preserve">.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történő egyidejű </w:t>
      </w:r>
      <w:r>
        <w:rPr>
          <w:lang w:val="hu-HU" w:eastAsia="en-GB"/>
        </w:rPr>
        <w:t xml:space="preserve">alkalmazás esetén mérlegelni kell a </w:t>
      </w:r>
      <w:proofErr w:type="spellStart"/>
      <w:r>
        <w:rPr>
          <w:lang w:val="hu-HU" w:eastAsia="en-GB"/>
        </w:rPr>
        <w:t>sztatinok</w:t>
      </w:r>
      <w:proofErr w:type="spellEnd"/>
      <w:r>
        <w:rPr>
          <w:lang w:val="hu-HU" w:eastAsia="en-GB"/>
        </w:rPr>
        <w:t xml:space="preserve"> dózisának csökkentését, és gondosan </w:t>
      </w:r>
      <w:proofErr w:type="spellStart"/>
      <w:r>
        <w:rPr>
          <w:lang w:val="hu-HU" w:eastAsia="en-GB"/>
        </w:rPr>
        <w:t>monotorozni</w:t>
      </w:r>
      <w:proofErr w:type="spellEnd"/>
      <w:r>
        <w:rPr>
          <w:lang w:val="hu-HU" w:eastAsia="en-GB"/>
        </w:rPr>
        <w:t xml:space="preserve"> kell azok mellékhatásait (lásd 5.2 pont).</w:t>
      </w:r>
    </w:p>
    <w:p w14:paraId="11595464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B074A3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OATP1B1</w:t>
      </w:r>
      <w:r>
        <w:rPr>
          <w:i/>
          <w:u w:val="single"/>
          <w:lang w:val="hu-HU" w:eastAsia="en-GB"/>
        </w:rPr>
        <w:noBreakHyphen/>
        <w:t xml:space="preserve"> és BCRP-</w:t>
      </w:r>
      <w:proofErr w:type="spellStart"/>
      <w:r>
        <w:rPr>
          <w:i/>
          <w:u w:val="single"/>
          <w:lang w:val="hu-HU" w:eastAsia="en-GB"/>
        </w:rPr>
        <w:t>szubsztrátok</w:t>
      </w:r>
      <w:proofErr w:type="spellEnd"/>
    </w:p>
    <w:p w14:paraId="51B6B0D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OATP1B1</w:t>
      </w:r>
      <w:r>
        <w:rPr>
          <w:lang w:val="hu-HU" w:eastAsia="en-GB"/>
        </w:rPr>
        <w:noBreakHyphen/>
        <w:t xml:space="preserve"> (pl. </w:t>
      </w:r>
      <w:proofErr w:type="spellStart"/>
      <w:r>
        <w:rPr>
          <w:lang w:val="hu-HU" w:eastAsia="en-GB"/>
        </w:rPr>
        <w:t>metotrexát</w:t>
      </w:r>
      <w:proofErr w:type="spellEnd"/>
      <w:r>
        <w:rPr>
          <w:lang w:val="hu-HU" w:eastAsia="en-GB"/>
        </w:rPr>
        <w:t>), valamint BCRP</w:t>
      </w:r>
      <w:r>
        <w:rPr>
          <w:lang w:val="hu-HU" w:eastAsia="en-GB"/>
        </w:rPr>
        <w:noBreakHyphen/>
        <w:t xml:space="preserve"> (pl. </w:t>
      </w:r>
      <w:proofErr w:type="spellStart"/>
      <w:r>
        <w:rPr>
          <w:lang w:val="hu-HU" w:eastAsia="en-GB"/>
        </w:rPr>
        <w:t>topotekán</w:t>
      </w:r>
      <w:proofErr w:type="spellEnd"/>
      <w:r>
        <w:rPr>
          <w:lang w:val="hu-HU" w:eastAsia="en-GB"/>
        </w:rPr>
        <w:t xml:space="preserve"> és </w:t>
      </w:r>
      <w:proofErr w:type="spellStart"/>
      <w:r>
        <w:rPr>
          <w:lang w:val="hu-HU" w:eastAsia="en-GB"/>
        </w:rPr>
        <w:t>metotrexát</w:t>
      </w:r>
      <w:proofErr w:type="spellEnd"/>
      <w:r>
        <w:rPr>
          <w:lang w:val="hu-HU" w:eastAsia="en-GB"/>
        </w:rPr>
        <w:t xml:space="preserve">) </w:t>
      </w:r>
      <w:proofErr w:type="spellStart"/>
      <w:r>
        <w:rPr>
          <w:lang w:val="hu-HU" w:eastAsia="en-GB"/>
        </w:rPr>
        <w:t>szubsztrát</w:t>
      </w:r>
      <w:r>
        <w:rPr>
          <w:rFonts w:eastAsia="TimesNewRomanPSMT"/>
          <w:lang w:val="hu-HU" w:eastAsia="en-GB"/>
        </w:rPr>
        <w:t>ok</w:t>
      </w:r>
      <w:proofErr w:type="spellEnd"/>
      <w:r>
        <w:rPr>
          <w:rFonts w:eastAsia="TimesNewRomanPSMT"/>
          <w:lang w:val="hu-HU" w:eastAsia="en-GB"/>
        </w:rPr>
        <w:t xml:space="preserve"> együttes alkalmazásakor körültekintően kell eljárni </w:t>
      </w:r>
      <w:r>
        <w:rPr>
          <w:lang w:val="hu-HU" w:eastAsia="en-GB"/>
        </w:rPr>
        <w:t>(lásd 5.2 pont).</w:t>
      </w:r>
    </w:p>
    <w:p w14:paraId="68AAFCEC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2B5DB4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Citokróm</w:t>
      </w:r>
      <w:proofErr w:type="spellEnd"/>
      <w:r>
        <w:rPr>
          <w:i/>
          <w:u w:val="single"/>
          <w:lang w:val="hu-HU" w:eastAsia="en-GB"/>
        </w:rPr>
        <w:t xml:space="preserve"> P450</w:t>
      </w:r>
      <w:r>
        <w:rPr>
          <w:i/>
          <w:u w:val="single"/>
          <w:lang w:val="hu-HU" w:eastAsia="en-GB"/>
        </w:rPr>
        <w:noBreakHyphen/>
        <w:t>szubsztrátok</w:t>
      </w:r>
    </w:p>
    <w:p w14:paraId="15A9073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Emberi </w:t>
      </w:r>
      <w:proofErr w:type="spellStart"/>
      <w:r>
        <w:rPr>
          <w:lang w:val="hu-HU" w:eastAsia="en-GB"/>
        </w:rPr>
        <w:t>májmikroszómákkal</w:t>
      </w:r>
      <w:proofErr w:type="spellEnd"/>
      <w:r>
        <w:rPr>
          <w:lang w:val="hu-HU" w:eastAsia="en-GB"/>
        </w:rPr>
        <w:t xml:space="preserve"> végzett vizsgálatokban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(100 </w:t>
      </w:r>
      <w:r>
        <w:rPr>
          <w:lang w:val="hu-HU" w:eastAsia="en-US"/>
        </w:rPr>
        <w:t>µ</w:t>
      </w:r>
      <w:r>
        <w:rPr>
          <w:lang w:val="hu-HU" w:eastAsia="en-GB"/>
        </w:rPr>
        <w:t>M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ig</w:t>
      </w:r>
      <w:proofErr w:type="spellEnd"/>
      <w:r>
        <w:rPr>
          <w:lang w:val="hu-HU" w:eastAsia="en-GB"/>
        </w:rPr>
        <w:t xml:space="preserve">)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nem gátolta az 1A2, 2A6, 2C19, 2D6, 2E1, 3A4/5, és 4A9/11 CYP450 enzimeket, továbbá </w:t>
      </w:r>
      <w:proofErr w:type="spellStart"/>
      <w:r>
        <w:rPr>
          <w:lang w:val="hu-HU" w:eastAsia="en-GB"/>
        </w:rPr>
        <w:t>paklitaxel</w:t>
      </w:r>
      <w:proofErr w:type="spellEnd"/>
      <w:r>
        <w:rPr>
          <w:lang w:val="hu-HU" w:eastAsia="en-GB"/>
        </w:rPr>
        <w:t xml:space="preserve"> és </w:t>
      </w:r>
      <w:proofErr w:type="spellStart"/>
      <w:r>
        <w:rPr>
          <w:lang w:val="hu-HU" w:eastAsia="en-GB"/>
        </w:rPr>
        <w:t>diklofenak</w:t>
      </w:r>
      <w:proofErr w:type="spellEnd"/>
      <w:r>
        <w:rPr>
          <w:lang w:val="hu-HU" w:eastAsia="en-GB"/>
        </w:rPr>
        <w:t xml:space="preserve"> teszt szubsztrátumok használata esetén a CYP2C8 és CYP2C9 inhibitora volt. 24 egészséges férfi önkéntesnél a 7 napon át, naponta egyszeri 75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gátolta és nem is indukálta az 1A2 (koffein), a 2C19 (</w:t>
      </w:r>
      <w:proofErr w:type="spellStart"/>
      <w:r>
        <w:rPr>
          <w:lang w:val="hu-HU" w:eastAsia="en-GB"/>
        </w:rPr>
        <w:t>omeprazol</w:t>
      </w:r>
      <w:proofErr w:type="spellEnd"/>
      <w:r>
        <w:rPr>
          <w:lang w:val="hu-HU" w:eastAsia="en-GB"/>
        </w:rPr>
        <w:t>), a 2C9 (</w:t>
      </w:r>
      <w:proofErr w:type="spellStart"/>
      <w:r>
        <w:rPr>
          <w:lang w:val="hu-HU" w:eastAsia="en-GB"/>
        </w:rPr>
        <w:t>flurbiprofen</w:t>
      </w:r>
      <w:proofErr w:type="spellEnd"/>
      <w:r>
        <w:rPr>
          <w:lang w:val="hu-HU" w:eastAsia="en-GB"/>
        </w:rPr>
        <w:t>) vagy a 3A4 (</w:t>
      </w:r>
      <w:proofErr w:type="spellStart"/>
      <w:r>
        <w:rPr>
          <w:lang w:val="hu-HU" w:eastAsia="en-GB"/>
        </w:rPr>
        <w:t>midazolam</w:t>
      </w:r>
      <w:proofErr w:type="spellEnd"/>
      <w:r>
        <w:rPr>
          <w:lang w:val="hu-HU" w:eastAsia="en-GB"/>
        </w:rPr>
        <w:t xml:space="preserve">) </w:t>
      </w:r>
      <w:proofErr w:type="spellStart"/>
      <w:r>
        <w:rPr>
          <w:lang w:val="hu-HU" w:eastAsia="en-GB"/>
        </w:rPr>
        <w:t>próbaszubtrátjainak</w:t>
      </w:r>
      <w:proofErr w:type="spellEnd"/>
      <w:r>
        <w:rPr>
          <w:lang w:val="hu-HU" w:eastAsia="en-GB"/>
        </w:rPr>
        <w:t xml:space="preserve"> metabolizmusát embereknél.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a CYP450</w:t>
      </w:r>
      <w:r>
        <w:rPr>
          <w:lang w:val="hu-HU" w:eastAsia="en-GB"/>
        </w:rPr>
        <w:noBreakHyphen/>
        <w:t xml:space="preserve">szubsztrátjainak </w:t>
      </w:r>
      <w:r>
        <w:rPr>
          <w:rFonts w:eastAsia="TimesNewRomanPSMT"/>
          <w:lang w:val="hu-HU" w:eastAsia="en-GB"/>
        </w:rPr>
        <w:t xml:space="preserve">egyidejű alkalmazása esetén nem várható klinikailag jelentős kölcsönhatás </w:t>
      </w:r>
      <w:r>
        <w:rPr>
          <w:lang w:val="hu-HU" w:eastAsia="en-GB"/>
        </w:rPr>
        <w:t>(lásd 5.2 pont).</w:t>
      </w:r>
    </w:p>
    <w:p w14:paraId="108657BF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CE0FC8D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HCV</w:t>
      </w:r>
      <w:r>
        <w:rPr>
          <w:i/>
          <w:u w:val="single"/>
          <w:lang w:val="hu-HU" w:eastAsia="en-GB"/>
        </w:rPr>
        <w:noBreakHyphen/>
      </w:r>
      <w:proofErr w:type="spellStart"/>
      <w:r>
        <w:rPr>
          <w:i/>
          <w:u w:val="single"/>
          <w:lang w:val="hu-HU" w:eastAsia="en-GB"/>
        </w:rPr>
        <w:t>proteáz</w:t>
      </w:r>
      <w:proofErr w:type="spellEnd"/>
      <w:r>
        <w:rPr>
          <w:i/>
          <w:u w:val="single"/>
          <w:lang w:val="hu-HU" w:eastAsia="en-GB"/>
        </w:rPr>
        <w:noBreakHyphen/>
        <w:t>gátlók</w:t>
      </w:r>
    </w:p>
    <w:p w14:paraId="2E456F9C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Nincs szükség dózismódosításra, ha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telaprevirrel</w:t>
      </w:r>
      <w:proofErr w:type="spellEnd"/>
      <w:r>
        <w:rPr>
          <w:lang w:val="hu-HU" w:eastAsia="en-GB"/>
        </w:rPr>
        <w:t xml:space="preserve"> vagy </w:t>
      </w:r>
      <w:proofErr w:type="spellStart"/>
      <w:r>
        <w:rPr>
          <w:lang w:val="hu-HU" w:eastAsia="en-GB"/>
        </w:rPr>
        <w:t>boceprevirrel</w:t>
      </w:r>
      <w:proofErr w:type="spellEnd"/>
      <w:r>
        <w:rPr>
          <w:lang w:val="hu-HU" w:eastAsia="en-GB"/>
        </w:rPr>
        <w:t xml:space="preserve"> adják együtt. Egyszeri 200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8 óránként ismételt 750 mg </w:t>
      </w:r>
      <w:proofErr w:type="spellStart"/>
      <w:r>
        <w:rPr>
          <w:lang w:val="hu-HU" w:eastAsia="en-GB"/>
        </w:rPr>
        <w:t>telapre</w:t>
      </w:r>
      <w:r>
        <w:rPr>
          <w:rFonts w:eastAsia="TimesNewRomanPSMT"/>
          <w:lang w:val="hu-HU" w:eastAsia="en-GB"/>
        </w:rPr>
        <w:t>virrel</w:t>
      </w:r>
      <w:proofErr w:type="spellEnd"/>
      <w:r>
        <w:rPr>
          <w:rFonts w:eastAsia="TimesNewRomanPSMT"/>
          <w:lang w:val="hu-HU" w:eastAsia="en-GB"/>
        </w:rPr>
        <w:t xml:space="preserve"> való egyidejű alkalmazása nem </w:t>
      </w:r>
      <w:r>
        <w:rPr>
          <w:lang w:val="hu-HU" w:eastAsia="en-GB"/>
        </w:rPr>
        <w:t xml:space="preserve">változtatta meg a </w:t>
      </w:r>
      <w:proofErr w:type="spellStart"/>
      <w:r>
        <w:rPr>
          <w:lang w:val="hu-HU" w:eastAsia="en-GB"/>
        </w:rPr>
        <w:t>telaprevir</w:t>
      </w:r>
      <w:proofErr w:type="spellEnd"/>
      <w:r>
        <w:rPr>
          <w:lang w:val="hu-HU" w:eastAsia="en-GB"/>
        </w:rPr>
        <w:t xml:space="preserve"> plazmaexpozícióját.</w:t>
      </w:r>
    </w:p>
    <w:p w14:paraId="38D78AF7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FFAF0A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Egyszeri 200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8 óránként ismételt 800 </w:t>
      </w:r>
      <w:r>
        <w:rPr>
          <w:rFonts w:eastAsia="TimesNewRomanPSMT"/>
          <w:lang w:val="hu-HU" w:eastAsia="en-GB"/>
        </w:rPr>
        <w:t xml:space="preserve">mg </w:t>
      </w:r>
      <w:proofErr w:type="spellStart"/>
      <w:r>
        <w:rPr>
          <w:rFonts w:eastAsia="TimesNewRomanPSMT"/>
          <w:lang w:val="hu-HU" w:eastAsia="en-GB"/>
        </w:rPr>
        <w:t>boceprevirrel</w:t>
      </w:r>
      <w:proofErr w:type="spellEnd"/>
      <w:r>
        <w:rPr>
          <w:rFonts w:eastAsia="TimesNewRomanPSMT"/>
          <w:lang w:val="hu-HU" w:eastAsia="en-GB"/>
        </w:rPr>
        <w:t xml:space="preserve"> való egyidejű alkalmazása </w:t>
      </w:r>
      <w:r>
        <w:rPr>
          <w:lang w:val="hu-HU" w:eastAsia="en-GB"/>
        </w:rPr>
        <w:t xml:space="preserve">nem változtatta meg a </w:t>
      </w:r>
      <w:proofErr w:type="spellStart"/>
      <w:r>
        <w:rPr>
          <w:lang w:val="hu-HU" w:eastAsia="en-GB"/>
        </w:rPr>
        <w:t>boceprevir</w:t>
      </w:r>
      <w:proofErr w:type="spellEnd"/>
      <w:r>
        <w:rPr>
          <w:lang w:val="hu-HU" w:eastAsia="en-GB"/>
        </w:rPr>
        <w:t xml:space="preserve"> AUC</w:t>
      </w:r>
      <w:r>
        <w:rPr>
          <w:sz w:val="14"/>
          <w:szCs w:val="14"/>
          <w:lang w:val="hu-HU" w:eastAsia="en-GB"/>
        </w:rPr>
        <w:t>(0-</w:t>
      </w:r>
      <w:proofErr w:type="gramStart"/>
      <w:r>
        <w:rPr>
          <w:sz w:val="14"/>
          <w:szCs w:val="14"/>
          <w:lang w:val="hu-HU" w:eastAsia="en-GB"/>
        </w:rPr>
        <w:t>τ)</w:t>
      </w:r>
      <w:r>
        <w:rPr>
          <w:lang w:val="hu-HU" w:eastAsia="en-GB"/>
        </w:rPr>
        <w:t>-</w:t>
      </w:r>
      <w:proofErr w:type="gramEnd"/>
      <w:r>
        <w:rPr>
          <w:lang w:val="hu-HU" w:eastAsia="en-GB"/>
        </w:rPr>
        <w:t xml:space="preserve">értékét, azonban a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>ot 20%</w:t>
      </w:r>
      <w:r>
        <w:rPr>
          <w:lang w:val="hu-HU" w:eastAsia="en-GB"/>
        </w:rPr>
        <w:noBreakHyphen/>
        <w:t xml:space="preserve">kal növelte, míg a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min</w:t>
      </w:r>
      <w:proofErr w:type="spellEnd"/>
      <w:r>
        <w:rPr>
          <w:lang w:val="hu-HU" w:eastAsia="en-GB"/>
        </w:rPr>
        <w:noBreakHyphen/>
        <w:t>t 32%</w:t>
      </w:r>
      <w:r>
        <w:rPr>
          <w:lang w:val="hu-HU" w:eastAsia="en-GB"/>
        </w:rPr>
        <w:noBreakHyphen/>
        <w:t xml:space="preserve">kal csökkentette. A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min</w:t>
      </w:r>
      <w:proofErr w:type="spellEnd"/>
      <w:r>
        <w:rPr>
          <w:sz w:val="14"/>
          <w:szCs w:val="14"/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csökkenésének klinikai jelentőségét nem igazolták. A </w:t>
      </w:r>
      <w:r>
        <w:rPr>
          <w:lang w:val="hu-HU" w:eastAsia="en-GB"/>
        </w:rPr>
        <w:t>HCV</w:t>
      </w:r>
      <w:r>
        <w:rPr>
          <w:lang w:val="hu-HU" w:eastAsia="en-GB"/>
        </w:rPr>
        <w:noBreakHyphen/>
      </w:r>
      <w:proofErr w:type="spellStart"/>
      <w:r>
        <w:rPr>
          <w:rFonts w:eastAsia="TimesNewRomanPSMT"/>
          <w:lang w:val="hu-HU" w:eastAsia="en-GB"/>
        </w:rPr>
        <w:t>szuppresszió</w:t>
      </w:r>
      <w:proofErr w:type="spellEnd"/>
      <w:r>
        <w:rPr>
          <w:rFonts w:eastAsia="TimesNewRomanPSMT"/>
          <w:lang w:val="hu-HU" w:eastAsia="en-GB"/>
        </w:rPr>
        <w:t xml:space="preserve"> fokozott klinikai és laboratóriumi ellenőrzése javasolt.</w:t>
      </w:r>
    </w:p>
    <w:p w14:paraId="18EF4F73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FC7B044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Egyéb gyógyszerek hatása az </w:t>
      </w:r>
      <w:proofErr w:type="spellStart"/>
      <w:r>
        <w:rPr>
          <w:u w:val="single"/>
          <w:lang w:val="hu-HU" w:eastAsia="en-GB"/>
        </w:rPr>
        <w:t>eltrombopagra</w:t>
      </w:r>
      <w:proofErr w:type="spellEnd"/>
    </w:p>
    <w:p w14:paraId="1AC1F11B" w14:textId="77777777" w:rsidR="00342CEA" w:rsidRDefault="00342CEA">
      <w:pPr>
        <w:keepNext/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1D4B4877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Ciklosporin</w:t>
      </w:r>
      <w:proofErr w:type="spellEnd"/>
    </w:p>
    <w:p w14:paraId="6C27C4C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200 mg és 600 mg </w:t>
      </w:r>
      <w:proofErr w:type="spellStart"/>
      <w:r>
        <w:rPr>
          <w:lang w:val="hu-HU" w:eastAsia="en-GB"/>
        </w:rPr>
        <w:t>ciklosporin</w:t>
      </w:r>
      <w:proofErr w:type="spellEnd"/>
      <w:r>
        <w:rPr>
          <w:lang w:val="hu-HU" w:eastAsia="en-GB"/>
        </w:rPr>
        <w:t xml:space="preserve"> (BCRP</w:t>
      </w:r>
      <w:r>
        <w:rPr>
          <w:lang w:val="hu-HU" w:eastAsia="en-GB"/>
        </w:rPr>
        <w:noBreakHyphen/>
        <w:t xml:space="preserve">inhibitor), illetve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együttes adása során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expozíciójának csökkenését észlelték. 200 mg </w:t>
      </w:r>
      <w:proofErr w:type="spellStart"/>
      <w:r>
        <w:rPr>
          <w:lang w:val="hu-HU" w:eastAsia="en-GB"/>
        </w:rPr>
        <w:t>ciklosporin</w:t>
      </w:r>
      <w:proofErr w:type="spellEnd"/>
      <w:r>
        <w:rPr>
          <w:lang w:val="hu-HU" w:eastAsia="en-GB"/>
        </w:rPr>
        <w:t xml:space="preserve"> együttes alkalmazása 25%</w:t>
      </w:r>
      <w:r>
        <w:rPr>
          <w:lang w:val="hu-HU" w:eastAsia="en-GB"/>
        </w:rPr>
        <w:noBreakHyphen/>
        <w:t xml:space="preserve">kal csökkentette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 xml:space="preserve"> és 18%</w:t>
      </w:r>
      <w:r>
        <w:rPr>
          <w:lang w:val="hu-HU" w:eastAsia="en-GB"/>
        </w:rPr>
        <w:noBreakHyphen/>
        <w:t>kal az AUC</w:t>
      </w:r>
      <w:r>
        <w:rPr>
          <w:sz w:val="14"/>
          <w:szCs w:val="14"/>
          <w:lang w:val="hu-HU" w:eastAsia="en-GB"/>
        </w:rPr>
        <w:t>0-∞</w:t>
      </w:r>
      <w:r>
        <w:rPr>
          <w:lang w:val="hu-HU" w:eastAsia="en-GB"/>
        </w:rPr>
        <w:noBreakHyphen/>
        <w:t xml:space="preserve">értékét. 600 mg </w:t>
      </w:r>
      <w:proofErr w:type="spellStart"/>
      <w:r>
        <w:rPr>
          <w:lang w:val="hu-HU" w:eastAsia="en-GB"/>
        </w:rPr>
        <w:t>ciklosporin</w:t>
      </w:r>
      <w:proofErr w:type="spellEnd"/>
      <w:r>
        <w:rPr>
          <w:lang w:val="hu-HU" w:eastAsia="en-GB"/>
        </w:rPr>
        <w:t xml:space="preserve"> együttes alkalmazása 39%</w:t>
      </w:r>
      <w:r>
        <w:rPr>
          <w:lang w:val="hu-HU" w:eastAsia="en-GB"/>
        </w:rPr>
        <w:noBreakHyphen/>
        <w:t xml:space="preserve">kal csökkentette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 xml:space="preserve"> és 24%</w:t>
      </w:r>
      <w:r>
        <w:rPr>
          <w:lang w:val="hu-HU" w:eastAsia="en-GB"/>
        </w:rPr>
        <w:noBreakHyphen/>
        <w:t>kal az AUC</w:t>
      </w:r>
      <w:r>
        <w:rPr>
          <w:sz w:val="14"/>
          <w:szCs w:val="14"/>
          <w:lang w:val="hu-HU" w:eastAsia="en-GB"/>
        </w:rPr>
        <w:t>0-∞</w:t>
      </w:r>
      <w:r>
        <w:rPr>
          <w:lang w:val="hu-HU" w:eastAsia="en-GB"/>
        </w:rPr>
        <w:noBreakHyphen/>
        <w:t xml:space="preserve">értékét. A kezelés során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dózismódosítása a beteg vérlemezkeszáma alapján engedélyezett (lásd 4.2 pont). Ha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ciklsoporinnal</w:t>
      </w:r>
      <w:proofErr w:type="spellEnd"/>
      <w:r>
        <w:rPr>
          <w:lang w:val="hu-HU" w:eastAsia="en-GB"/>
        </w:rPr>
        <w:t xml:space="preserve"> együttesen alkalmazzák, a vérlemezkeszámot 2</w:t>
      </w:r>
      <w:r>
        <w:rPr>
          <w:lang w:val="hu-HU" w:eastAsia="en-GB"/>
        </w:rPr>
        <w:noBreakHyphen/>
        <w:t xml:space="preserve">3 héten </w:t>
      </w:r>
      <w:r>
        <w:rPr>
          <w:rFonts w:eastAsia="TimesNewRomanPSMT"/>
          <w:lang w:val="hu-HU" w:eastAsia="en-GB"/>
        </w:rPr>
        <w:t xml:space="preserve">keresztül legalább hetente kell ellenőrizni. A vérlemezkeszám alapján szükségessé válhat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dózisának növelése.</w:t>
      </w:r>
    </w:p>
    <w:p w14:paraId="4CB53EC4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6035C6D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Polivalens</w:t>
      </w:r>
      <w:proofErr w:type="spellEnd"/>
      <w:r>
        <w:rPr>
          <w:i/>
          <w:u w:val="single"/>
          <w:lang w:val="hu-HU" w:eastAsia="en-GB"/>
        </w:rPr>
        <w:t xml:space="preserve"> kationok (</w:t>
      </w:r>
      <w:proofErr w:type="spellStart"/>
      <w:r>
        <w:rPr>
          <w:i/>
          <w:u w:val="single"/>
          <w:lang w:val="hu-HU" w:eastAsia="en-GB"/>
        </w:rPr>
        <w:t>kelátképzés</w:t>
      </w:r>
      <w:proofErr w:type="spellEnd"/>
      <w:r>
        <w:rPr>
          <w:i/>
          <w:u w:val="single"/>
          <w:lang w:val="hu-HU" w:eastAsia="en-GB"/>
        </w:rPr>
        <w:t>)</w:t>
      </w:r>
    </w:p>
    <w:p w14:paraId="0A19CD3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kelátot</w:t>
      </w:r>
      <w:proofErr w:type="spellEnd"/>
      <w:r>
        <w:rPr>
          <w:lang w:val="hu-HU" w:eastAsia="en-GB"/>
        </w:rPr>
        <w:t xml:space="preserve"> képez a </w:t>
      </w:r>
      <w:proofErr w:type="spellStart"/>
      <w:r>
        <w:rPr>
          <w:lang w:val="hu-HU" w:eastAsia="en-GB"/>
        </w:rPr>
        <w:t>polivalens</w:t>
      </w:r>
      <w:proofErr w:type="spellEnd"/>
      <w:r>
        <w:rPr>
          <w:lang w:val="hu-HU" w:eastAsia="en-GB"/>
        </w:rPr>
        <w:t xml:space="preserve"> kationokkal, így a vassal, a kalciummal, a magnéziummal, az alumíniummal, a szelénnel és a cinkkel. Egyetlen 75 m</w:t>
      </w:r>
      <w:r>
        <w:rPr>
          <w:lang w:val="hu-HU" w:eastAsia="en-GB"/>
        </w:rPr>
        <w:noBreakHyphen/>
        <w:t xml:space="preserve">-os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adag és egy </w:t>
      </w:r>
      <w:proofErr w:type="spellStart"/>
      <w:r>
        <w:rPr>
          <w:lang w:val="hu-HU" w:eastAsia="en-GB"/>
        </w:rPr>
        <w:t>polivalens</w:t>
      </w:r>
      <w:proofErr w:type="spellEnd"/>
      <w:r>
        <w:rPr>
          <w:lang w:val="hu-HU" w:eastAsia="en-GB"/>
        </w:rPr>
        <w:t xml:space="preserve"> kationt tartalmazó </w:t>
      </w:r>
      <w:proofErr w:type="spellStart"/>
      <w:r>
        <w:rPr>
          <w:lang w:val="hu-HU" w:eastAsia="en-GB"/>
        </w:rPr>
        <w:t>antacid</w:t>
      </w:r>
      <w:proofErr w:type="spellEnd"/>
      <w:r>
        <w:rPr>
          <w:lang w:val="hu-HU" w:eastAsia="en-GB"/>
        </w:rPr>
        <w:t xml:space="preserve"> (1524 mg alumínium</w:t>
      </w:r>
      <w:r>
        <w:rPr>
          <w:lang w:val="hu-HU" w:eastAsia="en-GB"/>
        </w:rPr>
        <w:noBreakHyphen/>
        <w:t>hidroxid és 1425 mg magnézium</w:t>
      </w:r>
      <w:r>
        <w:rPr>
          <w:lang w:val="hu-HU" w:eastAsia="en-GB"/>
        </w:rPr>
        <w:noBreakHyphen/>
        <w:t>karbonát) együttes adásakor 70%</w:t>
      </w:r>
      <w:r>
        <w:rPr>
          <w:lang w:val="hu-HU" w:eastAsia="en-GB"/>
        </w:rPr>
        <w:noBreakHyphen/>
        <w:t xml:space="preserve">kal csökkent a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</w:t>
      </w:r>
      <w:r>
        <w:rPr>
          <w:sz w:val="14"/>
          <w:szCs w:val="14"/>
          <w:lang w:val="hu-HU" w:eastAsia="en-GB"/>
        </w:rPr>
        <w:t>0-∞</w:t>
      </w:r>
      <w:r>
        <w:rPr>
          <w:lang w:val="hu-HU" w:eastAsia="en-GB"/>
        </w:rPr>
        <w:noBreakHyphen/>
        <w:t>értéke (90%</w:t>
      </w:r>
      <w:r>
        <w:rPr>
          <w:lang w:val="hu-HU" w:eastAsia="en-GB"/>
        </w:rPr>
        <w:noBreakHyphen/>
        <w:t>os CI: 64%, 76%), és 70%</w:t>
      </w:r>
      <w:r>
        <w:rPr>
          <w:lang w:val="hu-HU" w:eastAsia="en-GB"/>
        </w:rPr>
        <w:noBreakHyphen/>
        <w:t xml:space="preserve">kal a </w:t>
      </w:r>
      <w:proofErr w:type="spellStart"/>
      <w:r>
        <w:rPr>
          <w:lang w:val="hu-HU" w:eastAsia="en-GB"/>
        </w:rPr>
        <w:t>C</w:t>
      </w:r>
      <w:r>
        <w:rPr>
          <w:sz w:val="18"/>
          <w:szCs w:val="18"/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>értéke (90%</w:t>
      </w:r>
      <w:r>
        <w:rPr>
          <w:lang w:val="hu-HU" w:eastAsia="en-GB"/>
        </w:rPr>
        <w:noBreakHyphen/>
        <w:t xml:space="preserve">os CI: 62%, 76%). </w:t>
      </w: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eltrombopagot</w:t>
      </w:r>
      <w:proofErr w:type="spellEnd"/>
      <w:r>
        <w:rPr>
          <w:rFonts w:eastAsia="TimesNewRomanPSMT"/>
          <w:lang w:val="hu-HU" w:eastAsia="en-GB"/>
        </w:rPr>
        <w:t xml:space="preserve"> legalább két órával előbb vagy négy órával később kell bevenni, mint bármilyen más készítményt, mint például </w:t>
      </w: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antacidákat</w:t>
      </w:r>
      <w:proofErr w:type="spellEnd"/>
      <w:r>
        <w:rPr>
          <w:lang w:val="hu-HU" w:eastAsia="en-GB"/>
        </w:rPr>
        <w:t xml:space="preserve">, a tejtermékeket vagy </w:t>
      </w:r>
      <w:proofErr w:type="spellStart"/>
      <w:r>
        <w:rPr>
          <w:lang w:val="hu-HU" w:eastAsia="en-GB"/>
        </w:rPr>
        <w:t>polivalens</w:t>
      </w:r>
      <w:proofErr w:type="spellEnd"/>
      <w:r>
        <w:rPr>
          <w:lang w:val="hu-HU" w:eastAsia="en-GB"/>
        </w:rPr>
        <w:t xml:space="preserve"> kationokat tartalmazó sópótlókat,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felszívódása ne csökkenjen j</w:t>
      </w:r>
      <w:r>
        <w:rPr>
          <w:rFonts w:eastAsia="TimesNewRomanPSMT"/>
          <w:lang w:val="hu-HU" w:eastAsia="en-GB"/>
        </w:rPr>
        <w:t xml:space="preserve">elentős mértékben a </w:t>
      </w:r>
      <w:proofErr w:type="spellStart"/>
      <w:r>
        <w:rPr>
          <w:rFonts w:eastAsia="TimesNewRomanPSMT"/>
          <w:lang w:val="hu-HU" w:eastAsia="en-GB"/>
        </w:rPr>
        <w:t>kelátképzés</w:t>
      </w:r>
      <w:proofErr w:type="spellEnd"/>
      <w:r>
        <w:rPr>
          <w:rFonts w:eastAsia="TimesNewRomanPSMT"/>
          <w:lang w:val="hu-HU" w:eastAsia="en-GB"/>
        </w:rPr>
        <w:t xml:space="preserve"> miatt (lásd 4.2 és 5.2 </w:t>
      </w:r>
      <w:r>
        <w:rPr>
          <w:lang w:val="hu-HU" w:eastAsia="en-GB"/>
        </w:rPr>
        <w:t>pont).</w:t>
      </w:r>
    </w:p>
    <w:p w14:paraId="1AE2B024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58C23E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Lopinavir/ritonavir</w:t>
      </w:r>
    </w:p>
    <w:p w14:paraId="6C4A320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lopinavir/ritonavir </w:t>
      </w:r>
      <w:proofErr w:type="spellStart"/>
      <w:r>
        <w:rPr>
          <w:lang w:val="hu-HU" w:eastAsia="en-GB"/>
        </w:rPr>
        <w:t>együttadásakor</w:t>
      </w:r>
      <w:proofErr w:type="spellEnd"/>
      <w:r>
        <w:rPr>
          <w:lang w:val="hu-HU" w:eastAsia="en-GB"/>
        </w:rPr>
        <w:t xml:space="preserve"> csökkenhet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koncentrációja. Egy, 40 egészséges önkéntes bevonásával végzett vizsgálat azt mutatta, hogy egyszeri 100 mg</w:t>
      </w:r>
      <w:r>
        <w:rPr>
          <w:lang w:val="hu-HU" w:eastAsia="en-GB"/>
        </w:rPr>
        <w:noBreakHyphen/>
        <w:t xml:space="preserve">os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 </w:t>
      </w:r>
      <w:proofErr w:type="spellStart"/>
      <w:r>
        <w:rPr>
          <w:lang w:val="hu-HU" w:eastAsia="en-GB"/>
        </w:rPr>
        <w:t>együttadása</w:t>
      </w:r>
      <w:proofErr w:type="spellEnd"/>
      <w:r>
        <w:rPr>
          <w:lang w:val="hu-HU" w:eastAsia="en-GB"/>
        </w:rPr>
        <w:t xml:space="preserve"> ismételten adott lopinavirral/ritonavirral (naponta kétszer 400/100 mg)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plazma AUC</w:t>
      </w:r>
      <w:r>
        <w:rPr>
          <w:sz w:val="14"/>
          <w:szCs w:val="14"/>
          <w:lang w:val="hu-HU" w:eastAsia="en-GB"/>
        </w:rPr>
        <w:t>0-∞</w:t>
      </w:r>
      <w:r>
        <w:rPr>
          <w:lang w:val="hu-HU" w:eastAsia="en-GB"/>
        </w:rPr>
        <w:noBreakHyphen/>
        <w:t>értékének 17%</w:t>
      </w:r>
      <w:r>
        <w:rPr>
          <w:lang w:val="hu-HU" w:eastAsia="en-GB"/>
        </w:rPr>
        <w:noBreakHyphen/>
        <w:t>os csökkenését eredményezte (90%</w:t>
      </w:r>
      <w:r>
        <w:rPr>
          <w:lang w:val="hu-HU" w:eastAsia="en-GB"/>
        </w:rPr>
        <w:noBreakHyphen/>
        <w:t xml:space="preserve">os CI: 6,6%, 26,6%). Ezért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lopinavir/ritonavir </w:t>
      </w:r>
      <w:proofErr w:type="spellStart"/>
      <w:r>
        <w:rPr>
          <w:rFonts w:eastAsia="TimesNewRomanPSMT"/>
          <w:lang w:val="hu-HU" w:eastAsia="en-GB"/>
        </w:rPr>
        <w:t>együttadása</w:t>
      </w:r>
      <w:proofErr w:type="spellEnd"/>
      <w:r>
        <w:rPr>
          <w:rFonts w:eastAsia="TimesNewRomanPSMT"/>
          <w:lang w:val="hu-HU" w:eastAsia="en-GB"/>
        </w:rPr>
        <w:t xml:space="preserve"> esetén elővigyázatosság szükséges. A vérlemezkeszámot gondosan </w:t>
      </w:r>
      <w:proofErr w:type="spellStart"/>
      <w:r>
        <w:rPr>
          <w:rFonts w:eastAsia="TimesNewRomanPSMT"/>
          <w:lang w:val="hu-HU" w:eastAsia="en-GB"/>
        </w:rPr>
        <w:t>monitorozni</w:t>
      </w:r>
      <w:proofErr w:type="spellEnd"/>
      <w:r>
        <w:rPr>
          <w:rFonts w:eastAsia="TimesNewRomanPSMT"/>
          <w:lang w:val="hu-HU" w:eastAsia="en-GB"/>
        </w:rPr>
        <w:t xml:space="preserve"> kell a lopinavir</w:t>
      </w:r>
      <w:r>
        <w:rPr>
          <w:rFonts w:eastAsia="TimesNewRomanPSMT"/>
          <w:lang w:val="hu-HU" w:eastAsia="en-GB"/>
        </w:rPr>
        <w:noBreakHyphen/>
        <w:t>/ritonavir</w:t>
      </w:r>
      <w:r>
        <w:rPr>
          <w:lang w:val="hu-HU" w:eastAsia="en-GB"/>
        </w:rPr>
        <w:noBreakHyphen/>
        <w:t xml:space="preserve">kezelés megkezdése, vagy abbahagyása esetén, hogy az orvos helyesen tudja meghatározni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adagját.</w:t>
      </w:r>
    </w:p>
    <w:p w14:paraId="756F1475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170B08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CYP1A2</w:t>
      </w:r>
      <w:r>
        <w:rPr>
          <w:i/>
          <w:u w:val="single"/>
          <w:lang w:val="hu-HU" w:eastAsia="en-GB"/>
        </w:rPr>
        <w:noBreakHyphen/>
        <w:t xml:space="preserve"> és CYP2C8</w:t>
      </w:r>
      <w:r>
        <w:rPr>
          <w:i/>
          <w:u w:val="single"/>
          <w:lang w:val="hu-HU" w:eastAsia="en-GB"/>
        </w:rPr>
        <w:noBreakHyphen/>
        <w:t xml:space="preserve">gátlók és </w:t>
      </w:r>
      <w:r>
        <w:rPr>
          <w:i/>
          <w:u w:val="single"/>
          <w:lang w:val="hu-HU" w:eastAsia="en-GB"/>
        </w:rPr>
        <w:noBreakHyphen/>
        <w:t>induktorok</w:t>
      </w:r>
    </w:p>
    <w:p w14:paraId="1B313E2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lastRenderedPageBreak/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többféle úton </w:t>
      </w:r>
      <w:proofErr w:type="spellStart"/>
      <w:r>
        <w:rPr>
          <w:lang w:val="hu-HU" w:eastAsia="en-GB"/>
        </w:rPr>
        <w:t>metabolizálódik</w:t>
      </w:r>
      <w:proofErr w:type="spellEnd"/>
      <w:r>
        <w:rPr>
          <w:lang w:val="hu-HU" w:eastAsia="en-GB"/>
        </w:rPr>
        <w:t xml:space="preserve">, beleértve a CYP1A2, CYP2C8, UGT1A1 és UGT1A3 enzimeket (lásd 5.2 pont). Azok a gyógyszerek, amelyek egyetlen enzimet gátolnak vagy indukálnak, </w:t>
      </w:r>
      <w:r>
        <w:rPr>
          <w:rFonts w:eastAsia="TimesNewRomanPSMT"/>
          <w:lang w:val="hu-HU" w:eastAsia="en-GB"/>
        </w:rPr>
        <w:t xml:space="preserve">nem valószínű, hogy szignifikáns mértékben befolyásolják 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plazmakoncentrációját</w:t>
      </w:r>
      <w:r>
        <w:rPr>
          <w:lang w:val="hu-HU" w:eastAsia="en-GB"/>
        </w:rPr>
        <w:t xml:space="preserve">; míg azok a gyógyszerek, amelyek több enzimet is gátolnak vagy indukálnak, képesek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koncentrációját növelni (pl. </w:t>
      </w:r>
      <w:proofErr w:type="spellStart"/>
      <w:r>
        <w:rPr>
          <w:lang w:val="hu-HU" w:eastAsia="en-GB"/>
        </w:rPr>
        <w:t>fluvoxamin</w:t>
      </w:r>
      <w:proofErr w:type="spellEnd"/>
      <w:r>
        <w:rPr>
          <w:lang w:val="hu-HU" w:eastAsia="en-GB"/>
        </w:rPr>
        <w:t xml:space="preserve">) vagy csökkenteni (pl. </w:t>
      </w:r>
      <w:proofErr w:type="spellStart"/>
      <w:r>
        <w:rPr>
          <w:lang w:val="hu-HU" w:eastAsia="en-GB"/>
        </w:rPr>
        <w:t>rifampicin</w:t>
      </w:r>
      <w:proofErr w:type="spellEnd"/>
      <w:r>
        <w:rPr>
          <w:lang w:val="hu-HU" w:eastAsia="en-GB"/>
        </w:rPr>
        <w:t>).</w:t>
      </w:r>
    </w:p>
    <w:p w14:paraId="4B2940F8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08AE40CA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HCV-</w:t>
      </w:r>
      <w:proofErr w:type="spellStart"/>
      <w:r>
        <w:rPr>
          <w:i/>
          <w:u w:val="single"/>
          <w:lang w:val="hu-HU" w:eastAsia="en-GB"/>
        </w:rPr>
        <w:t>proteáz</w:t>
      </w:r>
      <w:proofErr w:type="spellEnd"/>
      <w:r>
        <w:rPr>
          <w:i/>
          <w:u w:val="single"/>
          <w:lang w:val="hu-HU" w:eastAsia="en-GB"/>
        </w:rPr>
        <w:noBreakHyphen/>
        <w:t>gátlók</w:t>
      </w:r>
    </w:p>
    <w:p w14:paraId="1FF83EEE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Egy gyógyszer-gyógyszer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interakció vizsgálat eredményei alapján a 8 óránként ismételten adagolt 800 mg </w:t>
      </w:r>
      <w:proofErr w:type="spellStart"/>
      <w:r>
        <w:rPr>
          <w:lang w:val="hu-HU" w:eastAsia="en-GB"/>
        </w:rPr>
        <w:t>boceprevir</w:t>
      </w:r>
      <w:proofErr w:type="spellEnd"/>
      <w:r>
        <w:rPr>
          <w:lang w:val="hu-HU" w:eastAsia="en-GB"/>
        </w:rPr>
        <w:t xml:space="preserve"> vagy 8 óránként ismételten adagolt 750 mg </w:t>
      </w:r>
      <w:proofErr w:type="spellStart"/>
      <w:r>
        <w:rPr>
          <w:lang w:val="hu-HU" w:eastAsia="en-GB"/>
        </w:rPr>
        <w:t>telaprevir</w:t>
      </w:r>
      <w:proofErr w:type="spellEnd"/>
      <w:r>
        <w:rPr>
          <w:lang w:val="hu-HU" w:eastAsia="en-GB"/>
        </w:rPr>
        <w:t xml:space="preserve"> 200 mg </w:t>
      </w:r>
      <w:r>
        <w:rPr>
          <w:rFonts w:eastAsia="TimesNewRomanPSMT"/>
          <w:lang w:val="hu-HU" w:eastAsia="en-GB"/>
        </w:rPr>
        <w:t xml:space="preserve">egyszeri dózisú </w:t>
      </w:r>
      <w:proofErr w:type="spellStart"/>
      <w:r>
        <w:rPr>
          <w:rFonts w:eastAsia="TimesNewRomanPSMT"/>
          <w:lang w:val="hu-HU" w:eastAsia="en-GB"/>
        </w:rPr>
        <w:t>eltrombopaggal</w:t>
      </w:r>
      <w:proofErr w:type="spellEnd"/>
      <w:r>
        <w:rPr>
          <w:rFonts w:eastAsia="TimesNewRomanPSMT"/>
          <w:lang w:val="hu-HU" w:eastAsia="en-GB"/>
        </w:rPr>
        <w:t xml:space="preserve"> történő </w:t>
      </w:r>
      <w:proofErr w:type="spellStart"/>
      <w:r>
        <w:rPr>
          <w:rFonts w:eastAsia="TimesNewRomanPSMT"/>
          <w:lang w:val="hu-HU" w:eastAsia="en-GB"/>
        </w:rPr>
        <w:t>együttadása</w:t>
      </w:r>
      <w:proofErr w:type="spellEnd"/>
      <w:r>
        <w:rPr>
          <w:rFonts w:eastAsia="TimesNewRomanPSMT"/>
          <w:lang w:val="hu-HU" w:eastAsia="en-GB"/>
        </w:rPr>
        <w:t xml:space="preserve"> nem befolyásolta jelentős mértékben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plazmaexpozícióját.</w:t>
      </w:r>
    </w:p>
    <w:p w14:paraId="1192F71F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4E1F1EC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ITP kezelésére használt gyógyszerek</w:t>
      </w:r>
    </w:p>
    <w:p w14:paraId="1AEB985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Klinikai vizsgálatokban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az ITP </w:t>
      </w:r>
      <w:r>
        <w:rPr>
          <w:rFonts w:eastAsia="TimesNewRomanPSMT"/>
          <w:lang w:val="hu-HU" w:eastAsia="en-GB"/>
        </w:rPr>
        <w:t xml:space="preserve">kezelésére alkalmazott következő </w:t>
      </w:r>
      <w:r>
        <w:rPr>
          <w:lang w:val="hu-HU" w:eastAsia="en-GB"/>
        </w:rPr>
        <w:t xml:space="preserve">gyógyszerekkel adták együtt: </w:t>
      </w:r>
      <w:proofErr w:type="spellStart"/>
      <w:r>
        <w:rPr>
          <w:lang w:val="hu-HU" w:eastAsia="en-GB"/>
        </w:rPr>
        <w:t>kortikoszteroidok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danazol</w:t>
      </w:r>
      <w:proofErr w:type="spellEnd"/>
      <w:r>
        <w:rPr>
          <w:lang w:val="hu-HU" w:eastAsia="en-GB"/>
        </w:rPr>
        <w:t xml:space="preserve"> és/vagy </w:t>
      </w:r>
      <w:proofErr w:type="spellStart"/>
      <w:r>
        <w:rPr>
          <w:lang w:val="hu-HU" w:eastAsia="en-GB"/>
        </w:rPr>
        <w:t>azatioprin</w:t>
      </w:r>
      <w:proofErr w:type="spellEnd"/>
      <w:r>
        <w:rPr>
          <w:lang w:val="hu-HU" w:eastAsia="en-GB"/>
        </w:rPr>
        <w:t xml:space="preserve">, intravénás immunglobulin (IVIG), és </w:t>
      </w:r>
      <w:proofErr w:type="spellStart"/>
      <w:r>
        <w:rPr>
          <w:lang w:val="hu-HU" w:eastAsia="en-GB"/>
        </w:rPr>
        <w:t>anti</w:t>
      </w:r>
      <w:proofErr w:type="spellEnd"/>
      <w:r>
        <w:rPr>
          <w:lang w:val="hu-HU" w:eastAsia="en-GB"/>
        </w:rPr>
        <w:noBreakHyphen/>
        <w:t xml:space="preserve">D immunglobulin.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és az ITP</w:t>
      </w:r>
      <w:r>
        <w:rPr>
          <w:lang w:val="hu-HU" w:eastAsia="en-GB"/>
        </w:rPr>
        <w:noBreakHyphen/>
        <w:t xml:space="preserve">re adott más gyógyszerek </w:t>
      </w:r>
      <w:r>
        <w:rPr>
          <w:rFonts w:eastAsia="TimesNewRomanPSMT"/>
          <w:lang w:val="hu-HU" w:eastAsia="en-GB"/>
        </w:rPr>
        <w:t xml:space="preserve">kombinációban történő </w:t>
      </w:r>
      <w:r>
        <w:rPr>
          <w:lang w:val="hu-HU" w:eastAsia="en-GB"/>
        </w:rPr>
        <w:t>alkalmazása esetén a vérlemezkeszám monitorozása szükséges, a javasolt vérlemezkeszám határértékek túllépésének elkerülése céljából (lásd 4.2 pont).</w:t>
      </w:r>
    </w:p>
    <w:p w14:paraId="5B3F6332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14:paraId="29CD541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Kölcsönhatás élelmiszerekkel</w:t>
      </w:r>
    </w:p>
    <w:p w14:paraId="4520223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rFonts w:eastAsia="TimesNewRomanPSMT"/>
          <w:lang w:val="hu-HU" w:eastAsia="en-GB"/>
        </w:rPr>
        <w:t xml:space="preserve">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tabletta vagy por belsőleges szuszpenzióhoz magas kalciumtartalmú étellel (pl. tejtermékeket tartalmazó étkezés) történő adása jelentősen csökkent</w:t>
      </w:r>
      <w:r>
        <w:rPr>
          <w:lang w:val="hu-HU" w:eastAsia="en-GB"/>
        </w:rPr>
        <w:t xml:space="preserve">ette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</w:t>
      </w:r>
      <w:r>
        <w:rPr>
          <w:vertAlign w:val="subscript"/>
          <w:lang w:val="hu-HU" w:eastAsia="en-GB"/>
        </w:rPr>
        <w:t>0-</w:t>
      </w:r>
      <w:r>
        <w:rPr>
          <w:rFonts w:eastAsia="TimesNewRomanPSMT"/>
          <w:vertAlign w:val="subscript"/>
          <w:lang w:val="hu-HU" w:eastAsia="en-GB"/>
        </w:rPr>
        <w:t>∞</w:t>
      </w:r>
      <w:r>
        <w:rPr>
          <w:lang w:val="hu-HU" w:eastAsia="en-GB"/>
        </w:rPr>
        <w:noBreakHyphen/>
        <w:t xml:space="preserve">t és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 xml:space="preserve">ot. Ezzel szemben az </w:t>
      </w:r>
      <w:proofErr w:type="spellStart"/>
      <w:r>
        <w:rPr>
          <w:lang w:val="hu-HU" w:eastAsia="en-GB"/>
        </w:rPr>
        <w:t>eltrombopagnak</w:t>
      </w:r>
      <w:proofErr w:type="spellEnd"/>
      <w:r>
        <w:rPr>
          <w:lang w:val="hu-HU" w:eastAsia="en-GB"/>
        </w:rPr>
        <w:t xml:space="preserve"> 2 </w:t>
      </w:r>
      <w:r>
        <w:rPr>
          <w:rFonts w:eastAsia="TimesNewRomanPSMT"/>
          <w:lang w:val="hu-HU" w:eastAsia="en-GB"/>
        </w:rPr>
        <w:t>órával a magas kalciumtartalmú étel előtt vagy 4 </w:t>
      </w:r>
      <w:r>
        <w:rPr>
          <w:lang w:val="hu-HU" w:eastAsia="en-GB"/>
        </w:rPr>
        <w:t xml:space="preserve">órával </w:t>
      </w:r>
      <w:r>
        <w:rPr>
          <w:rFonts w:eastAsia="TimesNewRomanPSMT"/>
          <w:lang w:val="hu-HU" w:eastAsia="en-GB"/>
        </w:rPr>
        <w:t xml:space="preserve">azután történő, vagy alacsony kalciumtartalmú étellel </w:t>
      </w:r>
      <w:proofErr w:type="gramStart"/>
      <w:r>
        <w:rPr>
          <w:rFonts w:eastAsia="TimesNewRomanPSMT"/>
          <w:lang w:val="hu-HU" w:eastAsia="en-GB"/>
        </w:rPr>
        <w:t>[&lt; </w:t>
      </w:r>
      <w:r>
        <w:rPr>
          <w:lang w:val="hu-HU" w:eastAsia="en-GB"/>
        </w:rPr>
        <w:t>50</w:t>
      </w:r>
      <w:proofErr w:type="gramEnd"/>
      <w:r>
        <w:rPr>
          <w:lang w:val="hu-HU" w:eastAsia="en-GB"/>
        </w:rPr>
        <w:t> </w:t>
      </w:r>
      <w:r>
        <w:rPr>
          <w:rFonts w:eastAsia="TimesNewRomanPSMT"/>
          <w:lang w:val="hu-HU" w:eastAsia="en-GB"/>
        </w:rPr>
        <w:t xml:space="preserve">mg kalcium] történő együtt adása nem </w:t>
      </w:r>
      <w:r>
        <w:rPr>
          <w:lang w:val="hu-HU" w:eastAsia="en-GB"/>
        </w:rPr>
        <w:t xml:space="preserve">változtatta meg klinikailag </w:t>
      </w:r>
      <w:r>
        <w:rPr>
          <w:rFonts w:eastAsia="TimesNewRomanPSMT"/>
          <w:lang w:val="hu-HU" w:eastAsia="en-GB"/>
        </w:rPr>
        <w:t xml:space="preserve">jelentős mértékben a plazma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noBreakHyphen/>
      </w:r>
      <w:r>
        <w:rPr>
          <w:lang w:val="hu-HU" w:eastAsia="en-GB"/>
        </w:rPr>
        <w:t>expozíciót (lásd 4.2 pont).</w:t>
      </w:r>
    </w:p>
    <w:p w14:paraId="7CCE7238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1700DC6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Standard, magas kalóriájú, magas zsírtartalmú, tejtermékeket is tartalmazó reggeli mellett a tabletta formájában adott egyetlen 50 mg</w:t>
      </w:r>
      <w:r>
        <w:rPr>
          <w:lang w:val="hu-HU" w:eastAsia="en-GB"/>
        </w:rPr>
        <w:noBreakHyphen/>
        <w:t xml:space="preserve">os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 az átlagos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</w:t>
      </w:r>
      <w:r>
        <w:rPr>
          <w:vertAlign w:val="subscript"/>
          <w:lang w:val="hu-HU" w:eastAsia="en-GB"/>
        </w:rPr>
        <w:t>0-</w:t>
      </w:r>
      <w:r>
        <w:rPr>
          <w:rFonts w:eastAsia="TimesNewRomanPSMT"/>
          <w:vertAlign w:val="subscript"/>
          <w:lang w:val="hu-HU" w:eastAsia="en-GB"/>
        </w:rPr>
        <w:t>∞</w:t>
      </w:r>
      <w:r>
        <w:rPr>
          <w:lang w:val="hu-HU" w:eastAsia="en-GB"/>
        </w:rPr>
        <w:noBreakHyphen/>
        <w:t>t 59%</w:t>
      </w:r>
      <w:r>
        <w:rPr>
          <w:lang w:val="hu-HU" w:eastAsia="en-GB"/>
        </w:rPr>
        <w:noBreakHyphen/>
        <w:t xml:space="preserve">kal, az átlagos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>ot pedig 65%</w:t>
      </w:r>
      <w:r>
        <w:rPr>
          <w:lang w:val="hu-HU" w:eastAsia="en-GB"/>
        </w:rPr>
        <w:noBreakHyphen/>
        <w:t>kal csökkentette.</w:t>
      </w:r>
    </w:p>
    <w:p w14:paraId="17146A9C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054A9A9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Egyszeri 25 mg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os dózis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por belsőleges szuszpenzióhoz alkalmazása magas </w:t>
      </w:r>
      <w:r>
        <w:rPr>
          <w:lang w:val="hu-HU" w:eastAsia="en-GB"/>
        </w:rPr>
        <w:t>kalciumtartalmú, mérsékelt zsír</w:t>
      </w:r>
      <w:r>
        <w:rPr>
          <w:lang w:val="hu-HU" w:eastAsia="en-GB"/>
        </w:rPr>
        <w:noBreakHyphen/>
        <w:t xml:space="preserve"> és mérsékelt kalóriatartalmú étel fogyasztása mellett az átlagos AUC</w:t>
      </w:r>
      <w:r>
        <w:rPr>
          <w:vertAlign w:val="subscript"/>
          <w:lang w:val="hu-HU" w:eastAsia="en-GB"/>
        </w:rPr>
        <w:t>0-</w:t>
      </w:r>
      <w:r>
        <w:rPr>
          <w:rFonts w:eastAsia="TimesNewRomanPSMT"/>
          <w:vertAlign w:val="subscript"/>
          <w:lang w:val="hu-HU" w:eastAsia="en-GB"/>
        </w:rPr>
        <w:t>∞</w:t>
      </w:r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75%</w:t>
      </w:r>
      <w:r>
        <w:rPr>
          <w:lang w:val="hu-HU" w:eastAsia="en-GB"/>
        </w:rPr>
        <w:noBreakHyphen/>
        <w:t xml:space="preserve">kal, míg az átlagos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t xml:space="preserve"> 79%</w:t>
      </w:r>
      <w:r>
        <w:rPr>
          <w:lang w:val="hu-HU" w:eastAsia="en-GB"/>
        </w:rPr>
        <w:noBreakHyphen/>
        <w:t xml:space="preserve">kal csökkent. </w:t>
      </w:r>
      <w:r>
        <w:rPr>
          <w:rFonts w:eastAsia="TimesNewRomanPSMT"/>
          <w:lang w:val="hu-HU" w:eastAsia="en-GB"/>
        </w:rPr>
        <w:t xml:space="preserve">Ez a csökkenés azonban mérséklődött, ha az </w:t>
      </w:r>
      <w:r>
        <w:rPr>
          <w:lang w:val="hu-HU" w:eastAsia="en-GB"/>
        </w:rPr>
        <w:t>egyszeri, 25 mg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os adag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por belsőleges szuszpenzióhoz bevétele 2 </w:t>
      </w:r>
      <w:r>
        <w:rPr>
          <w:lang w:val="hu-HU" w:eastAsia="en-GB"/>
        </w:rPr>
        <w:t xml:space="preserve">órával a magas </w:t>
      </w:r>
      <w:r>
        <w:rPr>
          <w:rFonts w:eastAsia="TimesNewRomanPSMT"/>
          <w:lang w:val="hu-HU" w:eastAsia="en-GB"/>
        </w:rPr>
        <w:t>kalciumtartalmú étel fogyasztása előtt történt (az átlagos AUC</w:t>
      </w:r>
      <w:r>
        <w:rPr>
          <w:vertAlign w:val="subscript"/>
          <w:lang w:val="hu-HU" w:eastAsia="en-GB"/>
        </w:rPr>
        <w:t>0-</w:t>
      </w:r>
      <w:r>
        <w:rPr>
          <w:rFonts w:eastAsia="TimesNewRomanPSMT"/>
          <w:vertAlign w:val="subscript"/>
          <w:lang w:val="hu-HU" w:eastAsia="en-GB"/>
        </w:rPr>
        <w:t>∞</w:t>
      </w:r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20%</w:t>
      </w:r>
      <w:r>
        <w:rPr>
          <w:lang w:val="hu-HU" w:eastAsia="en-GB"/>
        </w:rPr>
        <w:noBreakHyphen/>
        <w:t xml:space="preserve">kal és az átlagos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t xml:space="preserve"> 14%</w:t>
      </w:r>
      <w:r>
        <w:rPr>
          <w:lang w:val="hu-HU" w:eastAsia="en-GB"/>
        </w:rPr>
        <w:noBreakHyphen/>
        <w:t>kal csökkent).</w:t>
      </w:r>
    </w:p>
    <w:p w14:paraId="1A1899D9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CD2E64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>Kalória</w:t>
      </w:r>
      <w:r>
        <w:rPr>
          <w:lang w:val="hu-HU" w:eastAsia="en-GB"/>
        </w:rPr>
        <w:noBreakHyphen/>
        <w:t xml:space="preserve"> és zsírtartalmától függetlenül az alacsony kalciumtartalmú étel </w:t>
      </w:r>
      <w:proofErr w:type="gramStart"/>
      <w:r>
        <w:rPr>
          <w:lang w:val="hu-HU" w:eastAsia="en-GB"/>
        </w:rPr>
        <w:t>(&lt; 50</w:t>
      </w:r>
      <w:proofErr w:type="gramEnd"/>
      <w:r>
        <w:rPr>
          <w:lang w:val="hu-HU" w:eastAsia="en-GB"/>
        </w:rPr>
        <w:t xml:space="preserve"> mg kalcium), beleértve a gyümölcsöt, sovány sonkát, marhahúst és természetes (hozzáadott kalciumot, magnéziumot vagy vasat nem tartalmazó) gyümölcslevet, természetes szójatejet és természetes gabonát, nem befolyásolta </w:t>
      </w:r>
      <w:r>
        <w:rPr>
          <w:rFonts w:eastAsia="TimesNewRomanPSMT"/>
          <w:lang w:val="hu-HU" w:eastAsia="en-GB"/>
        </w:rPr>
        <w:t xml:space="preserve">jelentősen a plazma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lang w:val="hu-HU" w:eastAsia="en-GB"/>
        </w:rPr>
        <w:t>-expozíciót (lásd 4.2 és 4.5 pont).</w:t>
      </w:r>
    </w:p>
    <w:p w14:paraId="01D8564F" w14:textId="77777777" w:rsidR="00342CEA" w:rsidRDefault="00342CEA">
      <w:pPr>
        <w:spacing w:line="240" w:lineRule="auto"/>
        <w:ind w:left="567" w:hanging="567"/>
        <w:outlineLvl w:val="0"/>
        <w:rPr>
          <w:rFonts w:eastAsia="Times New Roman"/>
          <w:lang w:val="hu-HU" w:eastAsia="en-US"/>
        </w:rPr>
      </w:pPr>
    </w:p>
    <w:p w14:paraId="6373D07D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4.6</w:t>
      </w:r>
      <w:r>
        <w:rPr>
          <w:rFonts w:eastAsia="Times New Roman"/>
          <w:b/>
          <w:bCs/>
          <w:lang w:val="hu-HU" w:eastAsia="en-US"/>
        </w:rPr>
        <w:tab/>
        <w:t>Termékenység, terhesség és szoptatás</w:t>
      </w:r>
    </w:p>
    <w:p w14:paraId="6D1249AA" w14:textId="77777777" w:rsidR="00342CEA" w:rsidRDefault="00342CEA">
      <w:pPr>
        <w:spacing w:line="240" w:lineRule="auto"/>
        <w:rPr>
          <w:i/>
          <w:lang w:val="hu-HU"/>
        </w:rPr>
      </w:pPr>
    </w:p>
    <w:p w14:paraId="71A0F212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46738B5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terhes nőknél történő alkalmazásáról nincsenek adatok, vagy korlátozott mennyiségű adat áll rendelkezésre. Az állatokkal végzett vizsgálatok reprodukciós toxicitást igazoltak (lásd 5.3 pont). Embereknél a lehetséges kockázat mértéke nem ismert.</w:t>
      </w:r>
    </w:p>
    <w:p w14:paraId="59B614C6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947CD4B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alkalmazása </w:t>
      </w:r>
      <w:r>
        <w:rPr>
          <w:lang w:val="hu-HU" w:eastAsia="en-GB"/>
        </w:rPr>
        <w:t>nem javasolt terhesség alatt.</w:t>
      </w:r>
    </w:p>
    <w:p w14:paraId="129B762A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7110DA6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Fogamzóképes nők/fogamzásgátlás férfiaknál és nőknél</w:t>
      </w:r>
    </w:p>
    <w:p w14:paraId="2E97CDFB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rFonts w:eastAsia="Times New Roman"/>
          <w:lang w:val="hu-HU" w:eastAsia="en-US"/>
        </w:rPr>
        <w:t>Sandoz</w:t>
      </w:r>
      <w:proofErr w:type="spellEnd"/>
      <w:r>
        <w:rPr>
          <w:rFonts w:eastAsia="Times New Roman"/>
          <w:lang w:val="hu-HU" w:eastAsia="en-US"/>
        </w:rPr>
        <w:t xml:space="preserve"> </w:t>
      </w:r>
      <w:r>
        <w:rPr>
          <w:lang w:val="hu-HU" w:eastAsia="en-GB"/>
        </w:rPr>
        <w:t xml:space="preserve">nem javasolt fogamzásgátlást nem alkalmazó, </w:t>
      </w:r>
      <w:r>
        <w:rPr>
          <w:rFonts w:eastAsia="TimesNewRomanPSMT"/>
          <w:lang w:val="hu-HU" w:eastAsia="en-GB"/>
        </w:rPr>
        <w:t>fogamzóképes nőknek.</w:t>
      </w:r>
    </w:p>
    <w:p w14:paraId="10C5D5F3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0AD94DC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6E347DA2" w14:textId="77777777" w:rsidR="00342CEA" w:rsidRDefault="00837BAB">
      <w:pPr>
        <w:rPr>
          <w:rFonts w:eastAsia="Times New Roman"/>
          <w:lang w:val="hu-HU" w:eastAsia="el-GR"/>
        </w:rPr>
      </w:pPr>
      <w:r>
        <w:rPr>
          <w:lang w:val="hu-HU" w:eastAsia="en-GB"/>
        </w:rPr>
        <w:t xml:space="preserve">Nem ismert,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ill. </w:t>
      </w:r>
      <w:proofErr w:type="spellStart"/>
      <w:r>
        <w:rPr>
          <w:lang w:val="hu-HU" w:eastAsia="en-GB"/>
        </w:rPr>
        <w:t>metabolitjai</w:t>
      </w:r>
      <w:proofErr w:type="spellEnd"/>
      <w:r>
        <w:rPr>
          <w:lang w:val="hu-HU" w:eastAsia="en-GB"/>
        </w:rPr>
        <w:t xml:space="preserve"> kiválasztódnak</w:t>
      </w:r>
      <w:r>
        <w:rPr>
          <w:lang w:val="hu-HU" w:eastAsia="en-GB"/>
        </w:rPr>
        <w:noBreakHyphen/>
        <w:t xml:space="preserve">e a humán anyatejbe. Az állatokkal végzett kísérletek arra utalnak,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r>
        <w:rPr>
          <w:rFonts w:eastAsia="TimesNewRomanPSMT"/>
          <w:lang w:val="hu-HU" w:eastAsia="en-GB"/>
        </w:rPr>
        <w:t xml:space="preserve">valószínűleg </w:t>
      </w:r>
      <w:proofErr w:type="spellStart"/>
      <w:r>
        <w:rPr>
          <w:rFonts w:eastAsia="TimesNewRomanPSMT"/>
          <w:lang w:val="hu-HU" w:eastAsia="en-GB"/>
        </w:rPr>
        <w:t>kiválasztódik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 xml:space="preserve">az anyatejbe (lásd </w:t>
      </w:r>
      <w:r>
        <w:rPr>
          <w:lang w:val="hu-HU" w:eastAsia="en-GB"/>
        </w:rPr>
        <w:lastRenderedPageBreak/>
        <w:t xml:space="preserve">5.3 pont); ezért a szoptatott </w:t>
      </w:r>
      <w:r>
        <w:rPr>
          <w:rFonts w:eastAsia="TimesNewRomanPSMT"/>
          <w:lang w:val="hu-HU" w:eastAsia="en-GB"/>
        </w:rPr>
        <w:t>csecsemőt érintő</w:t>
      </w:r>
      <w:r>
        <w:rPr>
          <w:lang w:val="hu-HU" w:eastAsia="en-GB"/>
        </w:rPr>
        <w:t xml:space="preserve"> kockázat nem zárható ki. </w:t>
      </w:r>
      <w:r>
        <w:rPr>
          <w:rFonts w:eastAsia="Times New Roman"/>
          <w:lang w:val="hu-HU" w:eastAsia="el-GR"/>
        </w:rPr>
        <w:t xml:space="preserve">Az </w:t>
      </w:r>
      <w:proofErr w:type="spellStart"/>
      <w:r>
        <w:rPr>
          <w:rFonts w:eastAsia="Times New Roman"/>
          <w:lang w:val="hu-HU" w:eastAsia="el-GR"/>
        </w:rPr>
        <w:t>Eltrombopag</w:t>
      </w:r>
      <w:proofErr w:type="spellEnd"/>
      <w:r>
        <w:rPr>
          <w:rFonts w:eastAsia="Times New Roman"/>
          <w:lang w:val="hu-HU" w:eastAsia="el-GR"/>
        </w:rPr>
        <w:t xml:space="preserve"> </w:t>
      </w:r>
      <w:proofErr w:type="spellStart"/>
      <w:r>
        <w:rPr>
          <w:rFonts w:eastAsia="Times New Roman"/>
          <w:lang w:val="hu-HU" w:eastAsia="el-GR"/>
        </w:rPr>
        <w:t>Sandoz</w:t>
      </w:r>
      <w:proofErr w:type="spellEnd"/>
      <w:r>
        <w:rPr>
          <w:rFonts w:eastAsia="Times New Roman"/>
          <w:lang w:val="hu-HU" w:eastAsia="el-GR"/>
        </w:rPr>
        <w:t xml:space="preserve"> alkalmazása előtt el kell dönteni, hogy a szoptatást függesztik fel, vagy a kezelést szakítják meg /halasztják el – figyelembe véve a szoptatás előnyét a gyermek, illetve a kezelés előnyét az anya szempontjából.</w:t>
      </w:r>
    </w:p>
    <w:p w14:paraId="6EC49527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</w:p>
    <w:p w14:paraId="069AE931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14:paraId="7FF09F3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rFonts w:eastAsia="TimesNewRomanPSMT"/>
          <w:lang w:val="hu-HU" w:eastAsia="en-GB"/>
        </w:rPr>
        <w:t>A humán alkalmazással összevethető mértékű expozíciók mellett nem tapasztaltak a hím vagy nőstény patkányok termékenységére gyakorolt hatást. Mindamellett az emberekre gyakorolt kockázat nem zárható ki (lásd 5.3 pont).</w:t>
      </w:r>
    </w:p>
    <w:p w14:paraId="4D1802F3" w14:textId="77777777" w:rsidR="00342CEA" w:rsidRDefault="00342CEA">
      <w:pPr>
        <w:spacing w:line="240" w:lineRule="auto"/>
        <w:rPr>
          <w:lang w:val="hu-HU"/>
        </w:rPr>
      </w:pPr>
    </w:p>
    <w:p w14:paraId="2D3610B3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4.7</w:t>
      </w:r>
      <w:r>
        <w:rPr>
          <w:rFonts w:eastAsia="Times New Roman"/>
          <w:b/>
          <w:bCs/>
          <w:lang w:val="hu-HU" w:eastAsia="en-US"/>
        </w:rPr>
        <w:tab/>
        <w:t>A készítmény hatásai a gépjárművezetéshez és a gépek kezeléséhez szükséges képességekre</w:t>
      </w:r>
    </w:p>
    <w:p w14:paraId="0E2B7680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346DCD5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elhanyagolható mértékben befolyásolja a gépjárművezetéshez és a gépek kezeléséhez szükséges képességeket.</w:t>
      </w:r>
      <w:r>
        <w:rPr>
          <w:rFonts w:eastAsia="TimesNewRomanPSMT"/>
          <w:lang w:val="hu-HU" w:eastAsia="en-GB"/>
        </w:rPr>
        <w:t xml:space="preserve"> A beteg klinikai állapotát és az </w:t>
      </w:r>
      <w:proofErr w:type="spellStart"/>
      <w:r>
        <w:rPr>
          <w:rFonts w:eastAsia="TimesNewRomanPSMT"/>
          <w:lang w:val="hu-HU" w:eastAsia="en-GB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mellékhatás</w:t>
      </w:r>
      <w:r>
        <w:rPr>
          <w:rFonts w:eastAsia="TimesNewRomanPSMT"/>
          <w:lang w:val="hu-HU" w:eastAsia="en-GB"/>
        </w:rPr>
        <w:noBreakHyphen/>
        <w:t>profilját, beleértve a szédülést és a figyelem hiányát szem előtt kell tartani, amikor azt mérlegelik, hogy a beteg képes</w:t>
      </w:r>
      <w:r>
        <w:rPr>
          <w:rFonts w:eastAsia="TimesNewRomanPSMT"/>
          <w:lang w:val="hu-HU" w:eastAsia="en-GB"/>
        </w:rPr>
        <w:noBreakHyphen/>
        <w:t>e ítélőképességet, motorikus és kognitív képességeket igénylő tevékenységek elvégzésére.</w:t>
      </w:r>
    </w:p>
    <w:p w14:paraId="736A5478" w14:textId="77777777" w:rsidR="00342CEA" w:rsidRDefault="00342CEA">
      <w:pPr>
        <w:spacing w:line="240" w:lineRule="auto"/>
        <w:ind w:left="567" w:hanging="567"/>
        <w:outlineLvl w:val="0"/>
        <w:rPr>
          <w:rFonts w:eastAsia="Times New Roman"/>
          <w:lang w:val="hu-HU" w:eastAsia="en-US"/>
        </w:rPr>
      </w:pPr>
    </w:p>
    <w:p w14:paraId="51377AB3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4.8</w:t>
      </w:r>
      <w:r>
        <w:rPr>
          <w:rFonts w:eastAsia="Times New Roman"/>
          <w:b/>
          <w:bCs/>
          <w:lang w:val="hu-HU" w:eastAsia="en-US"/>
        </w:rPr>
        <w:tab/>
        <w:t>Nemkívánatos hatások, mellékhatások</w:t>
      </w:r>
    </w:p>
    <w:p w14:paraId="586B0FA6" w14:textId="77777777" w:rsidR="00342CEA" w:rsidRDefault="00342CEA">
      <w:pPr>
        <w:spacing w:line="240" w:lineRule="auto"/>
        <w:rPr>
          <w:i/>
          <w:lang w:val="hu-HU"/>
        </w:rPr>
      </w:pPr>
    </w:p>
    <w:p w14:paraId="1E443F5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u w:val="single"/>
          <w:lang w:val="hu-HU" w:eastAsia="en-GB"/>
        </w:rPr>
      </w:pPr>
      <w:r>
        <w:rPr>
          <w:rFonts w:eastAsia="TimesNewRomanPSMT"/>
          <w:u w:val="single"/>
          <w:lang w:val="hu-HU" w:eastAsia="en-GB"/>
        </w:rPr>
        <w:t>A biztonságossági profil összefoglalása</w:t>
      </w:r>
    </w:p>
    <w:p w14:paraId="3B3F36B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0321D35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i/>
          <w:u w:val="single"/>
          <w:lang w:val="hu-HU" w:eastAsia="en-GB"/>
        </w:rPr>
      </w:pPr>
      <w:r>
        <w:rPr>
          <w:rFonts w:eastAsia="TimesNewRomanPSMT"/>
          <w:i/>
          <w:u w:val="single"/>
          <w:lang w:val="hu-HU" w:eastAsia="en-GB"/>
        </w:rPr>
        <w:t xml:space="preserve">Immunológiai eredetű </w:t>
      </w:r>
      <w:proofErr w:type="spellStart"/>
      <w:r>
        <w:rPr>
          <w:rFonts w:eastAsia="TimesNewRomanPSMT"/>
          <w:i/>
          <w:u w:val="single"/>
          <w:lang w:val="hu-HU" w:eastAsia="en-GB"/>
        </w:rPr>
        <w:t>thrombocytopenia</w:t>
      </w:r>
      <w:proofErr w:type="spellEnd"/>
      <w:r>
        <w:rPr>
          <w:rFonts w:eastAsia="TimesNewRomanPSMT"/>
          <w:i/>
          <w:u w:val="single"/>
          <w:lang w:val="hu-HU" w:eastAsia="en-GB"/>
        </w:rPr>
        <w:t xml:space="preserve"> felnőtteknél, illetve gyermekeknél és serdülőknél</w:t>
      </w:r>
    </w:p>
    <w:p w14:paraId="43B6269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rFonts w:eastAsia="TimesNewRomanPSMT"/>
          <w:lang w:val="hu-HU" w:eastAsia="en-GB"/>
        </w:rPr>
        <w:t xml:space="preserve">A nyílt elrendezésű, befejezett TRA108057 (REPEAT), TRA105325 (EXTEND) és TRA112940 vizsgálatokból (n = 360) származó adatok mellett, 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t xml:space="preserve"> </w:t>
      </w:r>
      <w:r>
        <w:rPr>
          <w:rFonts w:eastAsia="TimesNewRomanPSMT"/>
          <w:lang w:val="hu-HU" w:eastAsia="en-GB"/>
        </w:rPr>
        <w:t>biztonságosságát felnőtt betegeknél (n = 763) az összesített, kettős</w:t>
      </w:r>
      <w:r>
        <w:rPr>
          <w:rFonts w:eastAsia="TimesNewRomanPSMT"/>
          <w:lang w:val="hu-HU" w:eastAsia="en-GB"/>
        </w:rPr>
        <w:noBreakHyphen/>
        <w:t xml:space="preserve">vak, placebokontrollos TRA100773A és B, TRA102537 (RAISE) és TRA113765 vizsgálatok alapján értékelték, amelyekben 403 beteg kapott </w:t>
      </w:r>
      <w:proofErr w:type="spellStart"/>
      <w:r>
        <w:rPr>
          <w:rFonts w:eastAsia="Times New Roman"/>
          <w:lang w:val="hu-HU" w:eastAsia="en-US"/>
        </w:rPr>
        <w:t>eltrombopag</w:t>
      </w:r>
      <w:r>
        <w:rPr>
          <w:rFonts w:eastAsia="TimesNewRomanPSMT"/>
          <w:lang w:val="hu-HU" w:eastAsia="en-GB"/>
        </w:rPr>
        <w:t>ot</w:t>
      </w:r>
      <w:proofErr w:type="spellEnd"/>
      <w:r>
        <w:rPr>
          <w:rFonts w:eastAsia="TimesNewRomanPSMT"/>
          <w:lang w:val="hu-HU" w:eastAsia="en-GB"/>
        </w:rPr>
        <w:t xml:space="preserve">, 179 pedig </w:t>
      </w:r>
      <w:proofErr w:type="spellStart"/>
      <w:r>
        <w:rPr>
          <w:rFonts w:eastAsia="TimesNewRomanPSMT"/>
          <w:lang w:val="hu-HU" w:eastAsia="en-GB"/>
        </w:rPr>
        <w:t>placebót</w:t>
      </w:r>
      <w:proofErr w:type="spellEnd"/>
      <w:r>
        <w:rPr>
          <w:rFonts w:eastAsia="TimesNewRomanPSMT"/>
          <w:lang w:val="hu-HU" w:eastAsia="en-GB"/>
        </w:rPr>
        <w:t xml:space="preserve"> (lásd 5.1 pont). A betegek legtovább 8 évig kapták a vizsgálati készítményt (az EXTEND vizsgálatban). A legjelentősebb súlyos mellékhatások a </w:t>
      </w:r>
      <w:proofErr w:type="spellStart"/>
      <w:r>
        <w:rPr>
          <w:rFonts w:eastAsia="TimesNewRomanPSMT"/>
          <w:lang w:val="hu-HU" w:eastAsia="en-GB"/>
        </w:rPr>
        <w:t>hepatotoxicitás</w:t>
      </w:r>
      <w:proofErr w:type="spellEnd"/>
      <w:r>
        <w:rPr>
          <w:rFonts w:eastAsia="TimesNewRomanPSMT"/>
          <w:lang w:val="hu-HU" w:eastAsia="en-GB"/>
        </w:rPr>
        <w:t xml:space="preserve">, illetve a </w:t>
      </w:r>
      <w:proofErr w:type="spellStart"/>
      <w:r>
        <w:rPr>
          <w:rFonts w:eastAsia="TimesNewRomanPSMT"/>
          <w:lang w:val="hu-HU" w:eastAsia="en-GB"/>
        </w:rPr>
        <w:t>thromboticus</w:t>
      </w:r>
      <w:proofErr w:type="spellEnd"/>
      <w:r>
        <w:rPr>
          <w:rFonts w:eastAsia="TimesNewRomanPSMT"/>
          <w:lang w:val="hu-HU" w:eastAsia="en-GB"/>
        </w:rPr>
        <w:t>/</w:t>
      </w:r>
      <w:proofErr w:type="spellStart"/>
      <w:r>
        <w:rPr>
          <w:rFonts w:eastAsia="TimesNewRomanPSMT"/>
          <w:lang w:val="hu-HU" w:eastAsia="en-GB"/>
        </w:rPr>
        <w:t>thromboemboliás</w:t>
      </w:r>
      <w:proofErr w:type="spellEnd"/>
      <w:r>
        <w:rPr>
          <w:rFonts w:eastAsia="TimesNewRomanPSMT"/>
          <w:lang w:val="hu-HU" w:eastAsia="en-GB"/>
        </w:rPr>
        <w:t xml:space="preserve"> események voltak. A leggyakoribb (a betegek legalább 10%</w:t>
      </w:r>
      <w:r>
        <w:rPr>
          <w:rFonts w:eastAsia="TimesNewRomanPSMT"/>
          <w:lang w:val="hu-HU" w:eastAsia="en-GB"/>
        </w:rPr>
        <w:noBreakHyphen/>
      </w:r>
      <w:proofErr w:type="spellStart"/>
      <w:r>
        <w:rPr>
          <w:rFonts w:eastAsia="TimesNewRomanPSMT"/>
          <w:lang w:val="hu-HU" w:eastAsia="en-GB"/>
        </w:rPr>
        <w:t>ánál</w:t>
      </w:r>
      <w:proofErr w:type="spellEnd"/>
      <w:r>
        <w:rPr>
          <w:rFonts w:eastAsia="TimesNewRomanPSMT"/>
          <w:lang w:val="hu-HU" w:eastAsia="en-GB"/>
        </w:rPr>
        <w:t xml:space="preserve"> előforduló) mellékhatások a hányinger, hasmenés, emelkedett </w:t>
      </w:r>
      <w:proofErr w:type="spellStart"/>
      <w:r>
        <w:rPr>
          <w:rFonts w:eastAsia="TimesNewRomanPSMT"/>
          <w:lang w:val="hu-HU" w:eastAsia="en-GB"/>
        </w:rPr>
        <w:t>glutamát</w:t>
      </w:r>
      <w:r>
        <w:rPr>
          <w:rFonts w:eastAsia="TimesNewRomanPSMT"/>
          <w:lang w:val="hu-HU" w:eastAsia="en-GB"/>
        </w:rPr>
        <w:noBreakHyphen/>
        <w:t>piruvát</w:t>
      </w:r>
      <w:r>
        <w:rPr>
          <w:rFonts w:eastAsia="TimesNewRomanPSMT"/>
          <w:lang w:val="hu-HU" w:eastAsia="en-GB"/>
        </w:rPr>
        <w:noBreakHyphen/>
        <w:t>transzamináz</w:t>
      </w:r>
      <w:proofErr w:type="spellEnd"/>
      <w:r>
        <w:rPr>
          <w:rFonts w:eastAsia="TimesNewRomanPSMT"/>
          <w:lang w:val="hu-HU" w:eastAsia="en-GB"/>
        </w:rPr>
        <w:noBreakHyphen/>
        <w:t xml:space="preserve"> (GPT) (más néven </w:t>
      </w:r>
      <w:proofErr w:type="spellStart"/>
      <w:r>
        <w:rPr>
          <w:rFonts w:eastAsia="TimesNewRomanPSMT"/>
          <w:lang w:val="hu-HU" w:eastAsia="en-GB"/>
        </w:rPr>
        <w:t>alanin</w:t>
      </w:r>
      <w:r>
        <w:rPr>
          <w:rFonts w:eastAsia="TimesNewRomanPSMT"/>
          <w:lang w:val="hu-HU" w:eastAsia="en-GB"/>
        </w:rPr>
        <w:noBreakHyphen/>
        <w:t>aminotranszferáz</w:t>
      </w:r>
      <w:proofErr w:type="spellEnd"/>
      <w:r>
        <w:rPr>
          <w:rFonts w:eastAsia="TimesNewRomanPSMT"/>
          <w:lang w:val="hu-HU" w:eastAsia="en-GB"/>
        </w:rPr>
        <w:t>) szint és hátfájás voltak.</w:t>
      </w:r>
    </w:p>
    <w:p w14:paraId="3DF37B93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40D8858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rFonts w:eastAsia="Times New Roman"/>
          <w:lang w:val="hu-HU" w:eastAsia="en-US"/>
        </w:rPr>
        <w:t xml:space="preserve">Az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NewRomanPSMT"/>
          <w:lang w:val="hu-HU" w:eastAsia="en-GB"/>
        </w:rPr>
        <w:t xml:space="preserve"> biztonságosságát előzőleg ITP miatt már kezelt gyermekeknél és serdülőknél (1 – betöltött 18 éves kor) két vizsgálatban igazolták (n = 171) (lásd 5.1 pont). A PETIT2 (TRA115450) egy kétrészes, kettős</w:t>
      </w:r>
      <w:r>
        <w:rPr>
          <w:rFonts w:eastAsia="TimesNewRomanPSMT"/>
          <w:lang w:val="hu-HU" w:eastAsia="en-GB"/>
        </w:rPr>
        <w:noBreakHyphen/>
        <w:t xml:space="preserve">vak és nyílt rendezésű, </w:t>
      </w:r>
      <w:proofErr w:type="spellStart"/>
      <w:r>
        <w:rPr>
          <w:rFonts w:eastAsia="TimesNewRomanPSMT"/>
          <w:lang w:val="hu-HU" w:eastAsia="en-GB"/>
        </w:rPr>
        <w:t>randomizált</w:t>
      </w:r>
      <w:proofErr w:type="spellEnd"/>
      <w:r>
        <w:rPr>
          <w:rFonts w:eastAsia="TimesNewRomanPSMT"/>
          <w:lang w:val="hu-HU" w:eastAsia="en-GB"/>
        </w:rPr>
        <w:t xml:space="preserve">, placebokontrollos vizsgálat volt. A betegeket 2:1 arányban </w:t>
      </w:r>
      <w:proofErr w:type="spellStart"/>
      <w:r>
        <w:rPr>
          <w:rFonts w:eastAsia="TimesNewRomanPSMT"/>
          <w:lang w:val="hu-HU" w:eastAsia="en-GB"/>
        </w:rPr>
        <w:t>randomizálták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e</w:t>
      </w:r>
      <w:r>
        <w:rPr>
          <w:rFonts w:eastAsia="Times New Roman"/>
          <w:lang w:val="hu-HU" w:eastAsia="en-US"/>
        </w:rPr>
        <w:t>ltrombopag</w:t>
      </w:r>
      <w:proofErr w:type="spellEnd"/>
      <w:r>
        <w:rPr>
          <w:rFonts w:eastAsia="TimesNewRomanPSMT"/>
          <w:lang w:val="hu-HU" w:eastAsia="en-GB"/>
        </w:rPr>
        <w:t xml:space="preserve"> (n = 63) vagy placebo (n = 29) készítménnyel történő 13 hetes kezelésre a vizsgálat </w:t>
      </w:r>
      <w:proofErr w:type="spellStart"/>
      <w:r>
        <w:rPr>
          <w:rFonts w:eastAsia="TimesNewRomanPSMT"/>
          <w:lang w:val="hu-HU" w:eastAsia="en-GB"/>
        </w:rPr>
        <w:t>randomizált</w:t>
      </w:r>
      <w:proofErr w:type="spellEnd"/>
      <w:r>
        <w:rPr>
          <w:rFonts w:eastAsia="TimesNewRomanPSMT"/>
          <w:lang w:val="hu-HU" w:eastAsia="en-GB"/>
        </w:rPr>
        <w:t xml:space="preserve"> időszakában. A PETIT (TRA108062) egy háromrészes, többszakaszos, nyílt és kettős</w:t>
      </w:r>
      <w:r>
        <w:rPr>
          <w:rFonts w:eastAsia="TimesNewRomanPSMT"/>
          <w:lang w:val="hu-HU" w:eastAsia="en-GB"/>
        </w:rPr>
        <w:noBreakHyphen/>
        <w:t xml:space="preserve">vak elrendezésű, </w:t>
      </w:r>
      <w:proofErr w:type="spellStart"/>
      <w:r>
        <w:rPr>
          <w:rFonts w:eastAsia="TimesNewRomanPSMT"/>
          <w:lang w:val="hu-HU" w:eastAsia="en-GB"/>
        </w:rPr>
        <w:t>randomizált</w:t>
      </w:r>
      <w:proofErr w:type="spellEnd"/>
      <w:r>
        <w:rPr>
          <w:rFonts w:eastAsia="TimesNewRomanPSMT"/>
          <w:lang w:val="hu-HU" w:eastAsia="en-GB"/>
        </w:rPr>
        <w:t xml:space="preserve">, placebokontrollos vizsgálat volt. A betegeket 2:1 arányban </w:t>
      </w:r>
      <w:proofErr w:type="spellStart"/>
      <w:r>
        <w:rPr>
          <w:rFonts w:eastAsia="TimesNewRomanPSMT"/>
          <w:lang w:val="hu-HU" w:eastAsia="en-GB"/>
        </w:rPr>
        <w:t>randomizálták</w:t>
      </w:r>
      <w:proofErr w:type="spellEnd"/>
      <w:r>
        <w:rPr>
          <w:rFonts w:eastAsia="TimesNewRomanPSMT"/>
          <w:lang w:val="hu-HU" w:eastAsia="en-GB"/>
        </w:rPr>
        <w:t xml:space="preserve"> </w:t>
      </w:r>
      <w:proofErr w:type="spellStart"/>
      <w:r>
        <w:rPr>
          <w:rFonts w:eastAsia="TimesNewRomanPSMT"/>
          <w:lang w:val="hu-HU" w:eastAsia="en-GB"/>
        </w:rPr>
        <w:t>e</w:t>
      </w:r>
      <w:r>
        <w:rPr>
          <w:rFonts w:eastAsia="Times New Roman"/>
          <w:lang w:val="hu-HU" w:eastAsia="en-US"/>
        </w:rPr>
        <w:t>ltrombopag</w:t>
      </w:r>
      <w:proofErr w:type="spellEnd"/>
      <w:r>
        <w:rPr>
          <w:rFonts w:eastAsia="TimesNewRomanPSMT"/>
          <w:lang w:val="hu-HU" w:eastAsia="en-GB"/>
        </w:rPr>
        <w:t xml:space="preserve"> (n = 44) vagy placebo- (n = 21) készítménnyel történő 7 hetes kezelésre. A mellékhatások jellege a felnőtteknél tapasztaltakkal összevethető volt, néhány további mellékhatással kiegészülve, amelyek az alábbi táblázatban ♦ jelzéssel szerepelnek. Az 1 éves vagy annál idősebb, ITP</w:t>
      </w:r>
      <w:r>
        <w:rPr>
          <w:rFonts w:eastAsia="TimesNewRomanPSMT"/>
          <w:lang w:val="hu-HU" w:eastAsia="en-GB"/>
        </w:rPr>
        <w:noBreakHyphen/>
        <w:t xml:space="preserve">s gyermekgyógyászati betegek körében a leggyakoribb mellékhatások (legalább 3%, és magasabb, mint a placebo esetén) a felső légúti fertőzés, </w:t>
      </w:r>
      <w:proofErr w:type="spellStart"/>
      <w:r>
        <w:rPr>
          <w:rFonts w:eastAsia="TimesNewRomanPSMT"/>
          <w:lang w:val="hu-HU" w:eastAsia="en-GB"/>
        </w:rPr>
        <w:t>nasopharyngitis</w:t>
      </w:r>
      <w:proofErr w:type="spellEnd"/>
      <w:r>
        <w:rPr>
          <w:rFonts w:eastAsia="TimesNewRomanPSMT"/>
          <w:lang w:val="hu-HU" w:eastAsia="en-GB"/>
        </w:rPr>
        <w:t>, köhögés, láz, hasi fájdalom, a száj</w:t>
      </w:r>
      <w:r>
        <w:rPr>
          <w:rFonts w:eastAsia="TimesNewRomanPSMT"/>
          <w:lang w:val="hu-HU" w:eastAsia="en-GB"/>
        </w:rPr>
        <w:noBreakHyphen/>
        <w:t>garat fájdalma, fogfájás, illetve orrfolyás voltak.</w:t>
      </w:r>
    </w:p>
    <w:p w14:paraId="4D875EB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5D486D3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Thrombocytopenia</w:t>
      </w:r>
      <w:proofErr w:type="spellEnd"/>
      <w:r>
        <w:rPr>
          <w:i/>
          <w:u w:val="single"/>
          <w:lang w:val="hu-HU" w:eastAsia="en-GB"/>
        </w:rPr>
        <w:t xml:space="preserve"> HCV</w:t>
      </w:r>
      <w:r>
        <w:rPr>
          <w:i/>
          <w:u w:val="single"/>
          <w:lang w:val="hu-HU" w:eastAsia="en-GB"/>
        </w:rPr>
        <w:noBreakHyphen/>
        <w:t>fertőzéssel felnőtt betegeknél</w:t>
      </w:r>
    </w:p>
    <w:p w14:paraId="3E91AFD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>Az ENABLE 1 (TPL103922 n = 716, 715 </w:t>
      </w:r>
      <w:r>
        <w:rPr>
          <w:rFonts w:eastAsia="TimesNewRomanPSMT"/>
          <w:lang w:val="hu-HU" w:eastAsia="en-GB"/>
        </w:rPr>
        <w:t xml:space="preserve">főt kezeltek </w:t>
      </w:r>
      <w:proofErr w:type="spellStart"/>
      <w:r>
        <w:rPr>
          <w:rFonts w:eastAsia="TimesNewRomanPSMT"/>
          <w:lang w:val="hu-HU" w:eastAsia="en-GB"/>
        </w:rPr>
        <w:t>eltrombopaggal</w:t>
      </w:r>
      <w:proofErr w:type="spellEnd"/>
      <w:r>
        <w:rPr>
          <w:lang w:val="hu-HU" w:eastAsia="en-GB"/>
        </w:rPr>
        <w:t>) és az ENABLE 2 (TPL108390 n = </w:t>
      </w:r>
      <w:r>
        <w:rPr>
          <w:rFonts w:eastAsia="TimesNewRomanPSMT"/>
          <w:lang w:val="hu-HU" w:eastAsia="en-GB"/>
        </w:rPr>
        <w:t xml:space="preserve">805) </w:t>
      </w:r>
      <w:proofErr w:type="spellStart"/>
      <w:r>
        <w:rPr>
          <w:rFonts w:eastAsia="TimesNewRomanPSMT"/>
          <w:lang w:val="hu-HU" w:eastAsia="en-GB"/>
        </w:rPr>
        <w:t>randomizált</w:t>
      </w:r>
      <w:proofErr w:type="spellEnd"/>
      <w:r>
        <w:rPr>
          <w:rFonts w:eastAsia="TimesNewRomanPSMT"/>
          <w:lang w:val="hu-HU" w:eastAsia="en-GB"/>
        </w:rPr>
        <w:t>, kettős</w:t>
      </w:r>
      <w:r>
        <w:rPr>
          <w:rFonts w:eastAsia="TimesNewRomanPSMT"/>
          <w:lang w:val="hu-HU" w:eastAsia="en-GB"/>
        </w:rPr>
        <w:noBreakHyphen/>
        <w:t xml:space="preserve">vak, placebokontrollos, multicentrikus vizsgálatok voltak, az </w:t>
      </w:r>
      <w:proofErr w:type="spellStart"/>
      <w:r>
        <w:rPr>
          <w:rFonts w:eastAsia="TimesNewRomanPSMT"/>
          <w:lang w:val="hu-HU" w:eastAsia="en-GB"/>
        </w:rPr>
        <w:t>e</w:t>
      </w:r>
      <w:r>
        <w:rPr>
          <w:rFonts w:eastAsia="Times New Roman"/>
          <w:lang w:val="hu-HU" w:eastAsia="en-US"/>
        </w:rPr>
        <w:t>ltrombopag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>hatásosságának és biztonságosságának értékelésére, HCV</w:t>
      </w:r>
      <w:r>
        <w:rPr>
          <w:lang w:val="hu-HU" w:eastAsia="en-GB"/>
        </w:rPr>
        <w:noBreakHyphen/>
      </w:r>
      <w:r>
        <w:rPr>
          <w:rFonts w:eastAsia="TimesNewRomanPSMT"/>
          <w:lang w:val="hu-HU" w:eastAsia="en-GB"/>
        </w:rPr>
        <w:t xml:space="preserve">fertőzésben szenvedő </w:t>
      </w:r>
      <w:proofErr w:type="spellStart"/>
      <w:r>
        <w:rPr>
          <w:rFonts w:eastAsia="TimesNewRomanPSMT"/>
          <w:lang w:val="hu-HU" w:eastAsia="en-GB"/>
        </w:rPr>
        <w:t>thrombocytopeniás</w:t>
      </w:r>
      <w:proofErr w:type="spellEnd"/>
      <w:r>
        <w:rPr>
          <w:rFonts w:eastAsia="TimesNewRomanPSMT"/>
          <w:lang w:val="hu-HU" w:eastAsia="en-GB"/>
        </w:rPr>
        <w:t xml:space="preserve"> </w:t>
      </w:r>
      <w:r>
        <w:rPr>
          <w:lang w:val="hu-HU" w:eastAsia="en-GB"/>
        </w:rPr>
        <w:t xml:space="preserve">betegeknél, akik egyébként alkalmasak voltak az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terápia megkezdésére. A HCV</w:t>
      </w:r>
      <w:r>
        <w:rPr>
          <w:lang w:val="hu-HU" w:eastAsia="en-GB"/>
        </w:rPr>
        <w:noBreakHyphen/>
        <w:t>vizsgálatokban a biztonságossági populáció magában foglalt minden olyan beteget, aki az ENABLE 1 vizsgálat 2. részében (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rFonts w:eastAsia="Times New Roman"/>
          <w:lang w:val="hu-HU" w:eastAsia="en-US"/>
        </w:rPr>
        <w:noBreakHyphen/>
      </w:r>
      <w:r>
        <w:rPr>
          <w:lang w:val="hu-HU" w:eastAsia="en-GB"/>
        </w:rPr>
        <w:t>kezelés n = 450, placebo</w:t>
      </w:r>
      <w:r>
        <w:rPr>
          <w:lang w:val="hu-HU" w:eastAsia="en-GB"/>
        </w:rPr>
        <w:noBreakHyphen/>
        <w:t>kezelés n = 232) és az ENABLE 2 (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lang w:val="hu-HU" w:eastAsia="en-GB"/>
        </w:rPr>
        <w:noBreakHyphen/>
        <w:t>kezelés n = 506, placebo</w:t>
      </w:r>
      <w:r>
        <w:rPr>
          <w:lang w:val="hu-HU" w:eastAsia="en-GB"/>
        </w:rPr>
        <w:noBreakHyphen/>
        <w:t>kezelés n = 252</w:t>
      </w:r>
      <w:r>
        <w:rPr>
          <w:rFonts w:eastAsia="TimesNewRomanPSMT"/>
          <w:lang w:val="hu-HU" w:eastAsia="en-GB"/>
        </w:rPr>
        <w:t>) vizsgálat során kettős</w:t>
      </w:r>
      <w:r>
        <w:rPr>
          <w:rFonts w:eastAsia="TimesNewRomanPSMT"/>
          <w:lang w:val="hu-HU" w:eastAsia="en-GB"/>
        </w:rPr>
        <w:noBreakHyphen/>
        <w:t xml:space="preserve">vak elrendezésben vizsgálati készítményt </w:t>
      </w:r>
      <w:r>
        <w:rPr>
          <w:lang w:val="hu-HU" w:eastAsia="en-GB"/>
        </w:rPr>
        <w:t xml:space="preserve">kaptak. A betegeket a kapott kezelés szerint elemezték </w:t>
      </w:r>
      <w:r>
        <w:rPr>
          <w:rFonts w:eastAsia="TimesNewRomanPSMT"/>
          <w:lang w:val="hu-HU" w:eastAsia="en-GB"/>
        </w:rPr>
        <w:t>(teljes biztonságossági kettős</w:t>
      </w:r>
      <w:r>
        <w:rPr>
          <w:rFonts w:eastAsia="TimesNewRomanPSMT"/>
          <w:lang w:val="hu-HU" w:eastAsia="en-GB"/>
        </w:rPr>
        <w:noBreakHyphen/>
        <w:t xml:space="preserve">vak populáció, </w:t>
      </w:r>
      <w:proofErr w:type="spellStart"/>
      <w:r>
        <w:rPr>
          <w:rFonts w:eastAsia="Times New Roman"/>
          <w:lang w:val="hu-HU" w:eastAsia="en-US"/>
        </w:rPr>
        <w:t>eltrombopag</w:t>
      </w:r>
      <w:proofErr w:type="spellEnd"/>
      <w:r>
        <w:rPr>
          <w:lang w:val="hu-HU" w:eastAsia="en-GB"/>
        </w:rPr>
        <w:t xml:space="preserve"> n = 955 és placebo n = 484). </w:t>
      </w:r>
      <w:r>
        <w:rPr>
          <w:rFonts w:eastAsia="TimesNewRomanPSMT"/>
          <w:lang w:val="hu-HU" w:eastAsia="en-GB"/>
        </w:rPr>
        <w:t xml:space="preserve">A legjelentősebb súlyos </w:t>
      </w:r>
      <w:r>
        <w:rPr>
          <w:lang w:val="hu-HU" w:eastAsia="en-GB"/>
        </w:rPr>
        <w:t xml:space="preserve">mellékhatások a </w:t>
      </w:r>
      <w:proofErr w:type="spellStart"/>
      <w:r>
        <w:rPr>
          <w:lang w:val="hu-HU" w:eastAsia="en-GB"/>
        </w:rPr>
        <w:t>hepatotoxicitás</w:t>
      </w:r>
      <w:proofErr w:type="spellEnd"/>
      <w:r>
        <w:rPr>
          <w:lang w:val="hu-HU" w:eastAsia="en-GB"/>
        </w:rPr>
        <w:t xml:space="preserve">, illetve a </w:t>
      </w:r>
      <w:proofErr w:type="spellStart"/>
      <w:r>
        <w:rPr>
          <w:lang w:val="hu-HU" w:eastAsia="en-GB"/>
        </w:rPr>
        <w:t>thromboticus</w:t>
      </w:r>
      <w:proofErr w:type="spellEnd"/>
      <w:r>
        <w:rPr>
          <w:lang w:val="hu-HU" w:eastAsia="en-GB"/>
        </w:rPr>
        <w:t>/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események voltak. A leggyakoribb (a betegek legalább 10%</w:t>
      </w:r>
      <w:r>
        <w:rPr>
          <w:lang w:val="hu-HU" w:eastAsia="en-GB"/>
        </w:rPr>
        <w:noBreakHyphen/>
      </w:r>
      <w:proofErr w:type="spellStart"/>
      <w:r>
        <w:rPr>
          <w:rFonts w:eastAsia="TimesNewRomanPSMT"/>
          <w:lang w:val="hu-HU" w:eastAsia="en-GB"/>
        </w:rPr>
        <w:t>ánál</w:t>
      </w:r>
      <w:proofErr w:type="spellEnd"/>
      <w:r>
        <w:rPr>
          <w:rFonts w:eastAsia="TimesNewRomanPSMT"/>
          <w:lang w:val="hu-HU" w:eastAsia="en-GB"/>
        </w:rPr>
        <w:t xml:space="preserve"> előforduló</w:t>
      </w:r>
      <w:r>
        <w:rPr>
          <w:lang w:val="hu-HU" w:eastAsia="en-GB"/>
        </w:rPr>
        <w:t xml:space="preserve">) mellékhatások a fejfájás, </w:t>
      </w:r>
      <w:proofErr w:type="spellStart"/>
      <w:r>
        <w:rPr>
          <w:lang w:val="hu-HU" w:eastAsia="en-GB"/>
        </w:rPr>
        <w:t>anaemia</w:t>
      </w:r>
      <w:proofErr w:type="spellEnd"/>
      <w:r>
        <w:rPr>
          <w:lang w:val="hu-HU" w:eastAsia="en-GB"/>
        </w:rPr>
        <w:t xml:space="preserve">, </w:t>
      </w:r>
      <w:r>
        <w:rPr>
          <w:lang w:val="hu-HU" w:eastAsia="en-GB"/>
        </w:rPr>
        <w:lastRenderedPageBreak/>
        <w:t xml:space="preserve">étvágycsökkenés, köhögés, hányinger, hasmenés, </w:t>
      </w:r>
      <w:proofErr w:type="spellStart"/>
      <w:r>
        <w:rPr>
          <w:lang w:val="hu-HU" w:eastAsia="en-GB"/>
        </w:rPr>
        <w:t>hyperbilirubinaemia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rFonts w:eastAsia="TimesNewRomanPSMT"/>
          <w:lang w:val="hu-HU" w:eastAsia="en-GB"/>
        </w:rPr>
        <w:t>alopecia</w:t>
      </w:r>
      <w:proofErr w:type="spellEnd"/>
      <w:r>
        <w:rPr>
          <w:rFonts w:eastAsia="TimesNewRomanPSMT"/>
          <w:lang w:val="hu-HU" w:eastAsia="en-GB"/>
        </w:rPr>
        <w:t xml:space="preserve">, </w:t>
      </w:r>
      <w:proofErr w:type="spellStart"/>
      <w:r>
        <w:rPr>
          <w:rFonts w:eastAsia="TimesNewRomanPSMT"/>
          <w:lang w:val="hu-HU" w:eastAsia="en-GB"/>
        </w:rPr>
        <w:t>pruritus</w:t>
      </w:r>
      <w:proofErr w:type="spellEnd"/>
      <w:r>
        <w:rPr>
          <w:rFonts w:eastAsia="TimesNewRomanPSMT"/>
          <w:lang w:val="hu-HU" w:eastAsia="en-GB"/>
        </w:rPr>
        <w:t xml:space="preserve">, izomfájdalom, láz, fáradtság, influenzaszerű </w:t>
      </w:r>
      <w:r>
        <w:rPr>
          <w:lang w:val="hu-HU" w:eastAsia="en-GB"/>
        </w:rPr>
        <w:t xml:space="preserve">megbetegedés, gyengeség, hidegrázás és </w:t>
      </w:r>
      <w:proofErr w:type="spellStart"/>
      <w:r>
        <w:rPr>
          <w:lang w:val="hu-HU" w:eastAsia="en-GB"/>
        </w:rPr>
        <w:t>oedema</w:t>
      </w:r>
      <w:proofErr w:type="spellEnd"/>
      <w:r>
        <w:rPr>
          <w:lang w:val="hu-HU" w:eastAsia="en-GB"/>
        </w:rPr>
        <w:t xml:space="preserve"> voltak.</w:t>
      </w:r>
    </w:p>
    <w:p w14:paraId="7612B58C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46CBA6C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A mellékhatások felsorolása</w:t>
      </w:r>
    </w:p>
    <w:p w14:paraId="0DCA284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Az ITP</w:t>
      </w:r>
      <w:r>
        <w:rPr>
          <w:lang w:val="hu-HU" w:eastAsia="en-GB"/>
        </w:rPr>
        <w:noBreakHyphen/>
        <w:t>s felnőttekkel végzett (n = 763), az ITP</w:t>
      </w:r>
      <w:r>
        <w:rPr>
          <w:lang w:val="hu-HU" w:eastAsia="en-GB"/>
        </w:rPr>
        <w:noBreakHyphen/>
        <w:t>s gyermekekkel és serdülőkkel végzett (n = 171), valamint a HCV</w:t>
      </w:r>
      <w:r>
        <w:rPr>
          <w:lang w:val="hu-HU" w:eastAsia="en-GB"/>
        </w:rPr>
        <w:noBreakHyphen/>
        <w:t xml:space="preserve"> (n = 1520) során, továbbá a forgalomba hozatalt követő jelentésekben előforduló mellékhatások az alábbiakban a </w:t>
      </w:r>
      <w:proofErr w:type="spellStart"/>
      <w:r>
        <w:rPr>
          <w:lang w:val="hu-HU" w:eastAsia="en-GB"/>
        </w:rPr>
        <w:t>MedDRA</w:t>
      </w:r>
      <w:proofErr w:type="spellEnd"/>
      <w:r>
        <w:rPr>
          <w:lang w:val="hu-HU" w:eastAsia="en-GB"/>
        </w:rPr>
        <w:t xml:space="preserve"> szervrendszer szerinti osztályozásban és gyakoriság szerint kerülnek felsorolásra. Az egyes szervrendszeri kategóriákban a mellékhatások gyakoriság szerinti sorrendben szerepelnek úgy, hogy a leggyakoribb mellékhatás szerepel először. Az egyes mellékhatások megfelelő gyakorisági kategóriája a következő megegyezésen alapul (CIOMS III): nagyon gyakori (≥ 1/10); gyakori (≥ 1/100 – </w:t>
      </w:r>
      <w:proofErr w:type="gramStart"/>
      <w:r>
        <w:rPr>
          <w:lang w:val="hu-HU" w:eastAsia="en-GB"/>
        </w:rPr>
        <w:t>&lt; 1</w:t>
      </w:r>
      <w:proofErr w:type="gramEnd"/>
      <w:r>
        <w:rPr>
          <w:lang w:val="hu-HU" w:eastAsia="en-GB"/>
        </w:rPr>
        <w:t>/10); nem gyakori (≥ 1/1000 – </w:t>
      </w:r>
      <w:proofErr w:type="gramStart"/>
      <w:r>
        <w:rPr>
          <w:lang w:val="hu-HU" w:eastAsia="en-GB"/>
        </w:rPr>
        <w:t>&lt; 1</w:t>
      </w:r>
      <w:proofErr w:type="gramEnd"/>
      <w:r>
        <w:rPr>
          <w:lang w:val="hu-HU" w:eastAsia="en-GB"/>
        </w:rPr>
        <w:t>/100); ritka (≥ 1/10 000 – </w:t>
      </w:r>
      <w:proofErr w:type="gramStart"/>
      <w:r>
        <w:rPr>
          <w:lang w:val="hu-HU" w:eastAsia="en-GB"/>
        </w:rPr>
        <w:t>&lt; 1</w:t>
      </w:r>
      <w:proofErr w:type="gramEnd"/>
      <w:r>
        <w:rPr>
          <w:lang w:val="hu-HU" w:eastAsia="en-GB"/>
        </w:rPr>
        <w:t>/1000); nem ismert (a gyakoriság a rendelkezésre álló adatokból nem állapítható meg).</w:t>
      </w:r>
    </w:p>
    <w:p w14:paraId="1F786C5C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69E1D837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b/>
          <w:bCs/>
          <w:i/>
          <w:u w:val="single"/>
          <w:lang w:val="hu-HU" w:eastAsia="en-GB"/>
        </w:rPr>
      </w:pPr>
      <w:r>
        <w:rPr>
          <w:b/>
          <w:bCs/>
          <w:i/>
          <w:u w:val="single"/>
          <w:lang w:val="hu-HU" w:eastAsia="en-GB"/>
        </w:rPr>
        <w:t>ITP vizsgálati csoport</w:t>
      </w:r>
    </w:p>
    <w:p w14:paraId="1830AB2C" w14:textId="77777777" w:rsidR="00342CEA" w:rsidRDefault="00342CEA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tbl>
      <w:tblPr>
        <w:tblW w:w="9210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2810"/>
        <w:gridCol w:w="1255"/>
        <w:gridCol w:w="5145"/>
      </w:tblGrid>
      <w:tr w:rsidR="00342CEA" w14:paraId="706A48D3" w14:textId="77777777">
        <w:trPr>
          <w:trHeight w:val="264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6DC2" w14:textId="77777777" w:rsidR="00342CEA" w:rsidRDefault="00837BAB">
            <w:pPr>
              <w:keepNext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Szervrendszeri kategória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7CD9" w14:textId="77777777" w:rsidR="00342CEA" w:rsidRDefault="00837BAB">
            <w:pPr>
              <w:keepNext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Gyakoriság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74B6" w14:textId="77777777" w:rsidR="00342CEA" w:rsidRDefault="00837BAB">
            <w:pPr>
              <w:keepNext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Mellékhatás</w:t>
            </w:r>
          </w:p>
        </w:tc>
      </w:tr>
      <w:tr w:rsidR="00342CEA" w14:paraId="36AA7598" w14:textId="77777777">
        <w:trPr>
          <w:trHeight w:val="521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B745" w14:textId="77777777" w:rsidR="00342CEA" w:rsidRDefault="00837BAB">
            <w:pPr>
              <w:keepNext/>
              <w:rPr>
                <w:lang w:val="hu-HU" w:eastAsia="en-US"/>
              </w:rPr>
            </w:pPr>
            <w:r>
              <w:rPr>
                <w:lang w:val="hu-HU" w:eastAsia="en-US"/>
              </w:rPr>
              <w:t>Fertőző betegségek és parazitafertőzések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AC35" w14:textId="77777777" w:rsidR="00342CEA" w:rsidRDefault="00837BAB">
            <w:pPr>
              <w:keepNext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A346F" w14:textId="77777777" w:rsidR="00342CEA" w:rsidRDefault="00837BAB">
            <w:pPr>
              <w:keepNext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Nasopharyngitis</w:t>
            </w:r>
            <w:proofErr w:type="spellEnd"/>
            <w:r>
              <w:rPr>
                <w:vertAlign w:val="superscript"/>
                <w:lang w:val="hu-HU" w:eastAsia="en-GB"/>
              </w:rPr>
              <w:t>♦</w:t>
            </w:r>
            <w:r>
              <w:rPr>
                <w:lang w:val="hu-HU" w:eastAsia="en-GB"/>
              </w:rPr>
              <w:t>, felső légúti fertőzés</w:t>
            </w:r>
            <w:r>
              <w:rPr>
                <w:vertAlign w:val="superscript"/>
                <w:lang w:val="hu-HU" w:eastAsia="en-GB"/>
              </w:rPr>
              <w:t>♦</w:t>
            </w:r>
          </w:p>
        </w:tc>
      </w:tr>
      <w:tr w:rsidR="00342CEA" w14:paraId="400E5285" w14:textId="77777777">
        <w:trPr>
          <w:trHeight w:val="63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17F1" w14:textId="77777777" w:rsidR="00342CEA" w:rsidRDefault="00342CEA">
            <w:pPr>
              <w:keepNext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5C9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8669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Pharyngitis</w:t>
            </w:r>
            <w:proofErr w:type="spellEnd"/>
            <w:r>
              <w:rPr>
                <w:lang w:val="hu-HU" w:eastAsia="en-GB"/>
              </w:rPr>
              <w:t xml:space="preserve">, influenza, </w:t>
            </w:r>
            <w:proofErr w:type="spellStart"/>
            <w:r>
              <w:rPr>
                <w:lang w:val="hu-HU" w:eastAsia="en-GB"/>
              </w:rPr>
              <w:t>oralis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herpes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pneumonia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sinusitis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tonsillitis</w:t>
            </w:r>
            <w:proofErr w:type="spellEnd"/>
            <w:r>
              <w:rPr>
                <w:lang w:val="hu-HU" w:eastAsia="en-GB"/>
              </w:rPr>
              <w:t xml:space="preserve">, légúti fertőzések, </w:t>
            </w:r>
            <w:proofErr w:type="spellStart"/>
            <w:r>
              <w:rPr>
                <w:lang w:val="hu-HU" w:eastAsia="en-GB"/>
              </w:rPr>
              <w:t>gingivitis</w:t>
            </w:r>
            <w:proofErr w:type="spellEnd"/>
          </w:p>
        </w:tc>
      </w:tr>
      <w:tr w:rsidR="00342CEA" w14:paraId="5003C4AF" w14:textId="77777777">
        <w:trPr>
          <w:trHeight w:val="2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9335" w14:textId="77777777" w:rsidR="00342CEA" w:rsidRDefault="00342CEA">
            <w:pPr>
              <w:keepNext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186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0A0C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Bőrfertőzés</w:t>
            </w:r>
          </w:p>
        </w:tc>
      </w:tr>
      <w:tr w:rsidR="00342CEA" w14:paraId="5D03AB80" w14:textId="77777777">
        <w:trPr>
          <w:trHeight w:val="790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4CB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Jó-, rosszindulatú és nem meghatározott daganatok (beleértve a cisztákat és polipokat is)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AD0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AB7A3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Rectosigmoidealis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carcinoma</w:t>
            </w:r>
            <w:proofErr w:type="spellEnd"/>
          </w:p>
        </w:tc>
      </w:tr>
      <w:tr w:rsidR="00342CEA" w14:paraId="611C240F" w14:textId="77777777">
        <w:trPr>
          <w:trHeight w:val="678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2BA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Vérképzőszervi és nyirokrendszeri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BEC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AA8D7" w14:textId="77777777" w:rsidR="00342CEA" w:rsidRDefault="00837BAB">
            <w:pPr>
              <w:widowControl w:val="0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Anaemia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eosinophilia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leukocytosis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thrombocytopenia</w:t>
            </w:r>
            <w:proofErr w:type="spellEnd"/>
            <w:r>
              <w:rPr>
                <w:lang w:val="hu-HU" w:eastAsia="en-GB"/>
              </w:rPr>
              <w:t>, csökkent hemoglobinszint, csökkent fehérvérsejtszám</w:t>
            </w:r>
          </w:p>
        </w:tc>
      </w:tr>
      <w:tr w:rsidR="00342CEA" w14:paraId="1CC76E16" w14:textId="77777777">
        <w:trPr>
          <w:trHeight w:val="7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03921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6D2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18B4" w14:textId="77777777" w:rsidR="00342CEA" w:rsidRDefault="00837BAB">
            <w:pPr>
              <w:widowControl w:val="0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Anisocytosis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haemolyticus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anaemia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myelocytosis</w:t>
            </w:r>
            <w:proofErr w:type="spellEnd"/>
            <w:r>
              <w:rPr>
                <w:lang w:val="hu-HU" w:eastAsia="en-GB"/>
              </w:rPr>
              <w:t xml:space="preserve">, emelkedett </w:t>
            </w:r>
            <w:proofErr w:type="spellStart"/>
            <w:r>
              <w:rPr>
                <w:lang w:val="hu-HU" w:eastAsia="en-GB"/>
              </w:rPr>
              <w:t>stab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neutrophilszám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myelocyták</w:t>
            </w:r>
            <w:proofErr w:type="spellEnd"/>
            <w:r>
              <w:rPr>
                <w:lang w:val="hu-HU" w:eastAsia="en-GB"/>
              </w:rPr>
              <w:t xml:space="preserve"> jelenléte, emelkedett vérlemezkeszám, emelkedett hemoglobinszint</w:t>
            </w:r>
          </w:p>
        </w:tc>
      </w:tr>
      <w:tr w:rsidR="00342CEA" w14:paraId="62BA7453" w14:textId="77777777">
        <w:trPr>
          <w:trHeight w:val="265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FA6A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Immunrendszeri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185B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2CE0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Túlérzékenység</w:t>
            </w:r>
          </w:p>
        </w:tc>
      </w:tr>
      <w:tr w:rsidR="00342CEA" w14:paraId="6C5CED3F" w14:textId="77777777">
        <w:trPr>
          <w:trHeight w:val="516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840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Anyagcsere és táplálkozási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94E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0B28" w14:textId="77777777" w:rsidR="00342CEA" w:rsidRDefault="00837BAB">
            <w:pPr>
              <w:widowControl w:val="0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Hypokalaemia</w:t>
            </w:r>
            <w:proofErr w:type="spellEnd"/>
            <w:r>
              <w:rPr>
                <w:lang w:val="hu-HU" w:eastAsia="en-GB"/>
              </w:rPr>
              <w:t>, étvágycsökkenés, a húgysavszint emelkedése a vérben</w:t>
            </w:r>
          </w:p>
        </w:tc>
      </w:tr>
      <w:tr w:rsidR="00342CEA" w14:paraId="6229D7C8" w14:textId="77777777">
        <w:trPr>
          <w:trHeight w:val="2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6836C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91B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DE368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Anorexia, köszvény, </w:t>
            </w:r>
            <w:proofErr w:type="spellStart"/>
            <w:r>
              <w:rPr>
                <w:lang w:val="hu-HU" w:eastAsia="en-GB"/>
              </w:rPr>
              <w:t>hypocalcaemia</w:t>
            </w:r>
            <w:proofErr w:type="spellEnd"/>
          </w:p>
        </w:tc>
      </w:tr>
      <w:tr w:rsidR="00342CEA" w14:paraId="0B4FDC52" w14:textId="77777777">
        <w:trPr>
          <w:trHeight w:val="265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80D09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Pszichiátriai kórképek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91C5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1ECA1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Alvászavar, depresszió</w:t>
            </w:r>
          </w:p>
        </w:tc>
      </w:tr>
      <w:tr w:rsidR="00342CEA" w14:paraId="6A671DC3" w14:textId="77777777">
        <w:trPr>
          <w:trHeight w:val="26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E4C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2F2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15D2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Apátia, hangulatváltozás, könnyezés</w:t>
            </w:r>
          </w:p>
        </w:tc>
      </w:tr>
      <w:tr w:rsidR="00342CEA" w14:paraId="3251C499" w14:textId="77777777">
        <w:trPr>
          <w:trHeight w:val="264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A11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Idegrendszeri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2A9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069F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Paraesthesia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hypaesthesia</w:t>
            </w:r>
            <w:proofErr w:type="spellEnd"/>
            <w:r>
              <w:rPr>
                <w:lang w:val="hu-HU" w:eastAsia="en-GB"/>
              </w:rPr>
              <w:t>, aluszékonyság, migrén</w:t>
            </w:r>
          </w:p>
        </w:tc>
      </w:tr>
      <w:tr w:rsidR="00342CEA" w14:paraId="61E14724" w14:textId="77777777">
        <w:trPr>
          <w:trHeight w:val="10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FFC53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FAE5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A75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Tremor</w:t>
            </w:r>
            <w:proofErr w:type="spellEnd"/>
            <w:r>
              <w:rPr>
                <w:lang w:val="hu-HU" w:eastAsia="en-GB"/>
              </w:rPr>
              <w:t xml:space="preserve">, egyensúlyzavar, </w:t>
            </w:r>
            <w:proofErr w:type="spellStart"/>
            <w:r>
              <w:rPr>
                <w:lang w:val="hu-HU" w:eastAsia="en-GB"/>
              </w:rPr>
              <w:t>dysaesthesia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hemiparesis</w:t>
            </w:r>
            <w:proofErr w:type="spellEnd"/>
            <w:r>
              <w:rPr>
                <w:lang w:val="hu-HU" w:eastAsia="en-GB"/>
              </w:rPr>
              <w:t xml:space="preserve">, aurával járó migrén, perifériás </w:t>
            </w:r>
            <w:proofErr w:type="spellStart"/>
            <w:r>
              <w:rPr>
                <w:lang w:val="hu-HU" w:eastAsia="en-GB"/>
              </w:rPr>
              <w:t>neuropathia</w:t>
            </w:r>
            <w:proofErr w:type="spellEnd"/>
            <w:r>
              <w:rPr>
                <w:lang w:val="hu-HU" w:eastAsia="en-GB"/>
              </w:rPr>
              <w:t xml:space="preserve">, perifériás szenzoros </w:t>
            </w:r>
            <w:proofErr w:type="spellStart"/>
            <w:r>
              <w:rPr>
                <w:lang w:val="hu-HU" w:eastAsia="en-GB"/>
              </w:rPr>
              <w:t>neuropathia</w:t>
            </w:r>
            <w:proofErr w:type="spellEnd"/>
            <w:r>
              <w:rPr>
                <w:lang w:val="hu-HU" w:eastAsia="en-GB"/>
              </w:rPr>
              <w:t xml:space="preserve">, beszédzavar, toxikus </w:t>
            </w:r>
            <w:proofErr w:type="spellStart"/>
            <w:r>
              <w:rPr>
                <w:lang w:val="hu-HU" w:eastAsia="en-GB"/>
              </w:rPr>
              <w:t>neuropathia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vascularis</w:t>
            </w:r>
            <w:proofErr w:type="spellEnd"/>
            <w:r>
              <w:rPr>
                <w:lang w:val="hu-HU" w:eastAsia="en-GB"/>
              </w:rPr>
              <w:t xml:space="preserve"> fejfájás</w:t>
            </w:r>
          </w:p>
        </w:tc>
      </w:tr>
      <w:tr w:rsidR="00342CEA" w14:paraId="6BF23C57" w14:textId="77777777">
        <w:trPr>
          <w:trHeight w:val="265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31E4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Szembetegségek és szemészeti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E2AD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57A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Száraz szem, homályos látás, fájdalom a szemben, csökkent látásélesség</w:t>
            </w:r>
          </w:p>
        </w:tc>
      </w:tr>
      <w:tr w:rsidR="00342CEA" w14:paraId="4CDDA7A8" w14:textId="77777777">
        <w:trPr>
          <w:trHeight w:val="12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C8EC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CE3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FA1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Szemlencse homály, </w:t>
            </w:r>
            <w:proofErr w:type="spellStart"/>
            <w:r>
              <w:rPr>
                <w:lang w:val="hu-HU" w:eastAsia="en-GB"/>
              </w:rPr>
              <w:t>astigmatismus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cataracta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corticalis</w:t>
            </w:r>
            <w:proofErr w:type="spellEnd"/>
            <w:r>
              <w:rPr>
                <w:lang w:val="hu-HU" w:eastAsia="en-GB"/>
              </w:rPr>
              <w:t xml:space="preserve">, fokozott könnyezés, retinavérzés, retina pigment </w:t>
            </w:r>
            <w:proofErr w:type="spellStart"/>
            <w:r>
              <w:rPr>
                <w:lang w:val="hu-HU" w:eastAsia="en-GB"/>
              </w:rPr>
              <w:t>epitheliopathia</w:t>
            </w:r>
            <w:proofErr w:type="spellEnd"/>
            <w:r>
              <w:rPr>
                <w:lang w:val="hu-HU" w:eastAsia="en-GB"/>
              </w:rPr>
              <w:t xml:space="preserve">, látásromlás, kóros látásélességi vizsgálati eredmények, </w:t>
            </w:r>
            <w:proofErr w:type="spellStart"/>
            <w:r>
              <w:rPr>
                <w:lang w:val="hu-HU" w:eastAsia="en-GB"/>
              </w:rPr>
              <w:t>blepharitis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keratoconjunctivitis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sicca</w:t>
            </w:r>
            <w:proofErr w:type="spellEnd"/>
          </w:p>
        </w:tc>
      </w:tr>
      <w:tr w:rsidR="00342CEA" w14:paraId="592109A3" w14:textId="77777777">
        <w:trPr>
          <w:trHeight w:val="265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C26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lastRenderedPageBreak/>
              <w:t>A fül és az egyensúlyérzékelő szerv betegségei és tünetei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0CD1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41E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Fülfájás, vertigo</w:t>
            </w:r>
          </w:p>
        </w:tc>
      </w:tr>
      <w:tr w:rsidR="00342CEA" w14:paraId="76EA209C" w14:textId="77777777">
        <w:trPr>
          <w:trHeight w:val="770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B953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Szívbetegségek és a szívvel kapcsolatos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76F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508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Tachycardia</w:t>
            </w:r>
            <w:proofErr w:type="spellEnd"/>
            <w:r>
              <w:rPr>
                <w:lang w:val="hu-HU" w:eastAsia="en-GB"/>
              </w:rPr>
              <w:t xml:space="preserve">, akut </w:t>
            </w:r>
            <w:proofErr w:type="spellStart"/>
            <w:r>
              <w:rPr>
                <w:lang w:val="hu-HU" w:eastAsia="en-GB"/>
              </w:rPr>
              <w:t>myocardialis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infarctus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cardiovascularis</w:t>
            </w:r>
            <w:proofErr w:type="spellEnd"/>
            <w:r>
              <w:rPr>
                <w:lang w:val="hu-HU" w:eastAsia="en-GB"/>
              </w:rPr>
              <w:t xml:space="preserve"> betegségek, </w:t>
            </w:r>
            <w:proofErr w:type="spellStart"/>
            <w:r>
              <w:rPr>
                <w:lang w:val="hu-HU" w:eastAsia="en-GB"/>
              </w:rPr>
              <w:t>cyanosis</w:t>
            </w:r>
            <w:proofErr w:type="spellEnd"/>
            <w:r>
              <w:rPr>
                <w:lang w:val="hu-HU" w:eastAsia="en-GB"/>
              </w:rPr>
              <w:t xml:space="preserve">, sinus </w:t>
            </w:r>
            <w:proofErr w:type="spellStart"/>
            <w:r>
              <w:rPr>
                <w:lang w:val="hu-HU" w:eastAsia="en-GB"/>
              </w:rPr>
              <w:t>tachycardia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elektrokardiagramon</w:t>
            </w:r>
            <w:proofErr w:type="spellEnd"/>
            <w:r>
              <w:rPr>
                <w:lang w:val="hu-HU" w:eastAsia="en-GB"/>
              </w:rPr>
              <w:t xml:space="preserve"> QT-megnyúlás</w:t>
            </w:r>
          </w:p>
        </w:tc>
      </w:tr>
      <w:tr w:rsidR="00342CEA" w14:paraId="22A26F9F" w14:textId="77777777">
        <w:trPr>
          <w:trHeight w:val="265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EB4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Érbetegségek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885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5C1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Mélyvénás </w:t>
            </w:r>
            <w:proofErr w:type="spellStart"/>
            <w:r>
              <w:rPr>
                <w:lang w:val="hu-HU" w:eastAsia="en-GB"/>
              </w:rPr>
              <w:t>thrombosis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haematoma</w:t>
            </w:r>
            <w:proofErr w:type="spellEnd"/>
            <w:r>
              <w:rPr>
                <w:lang w:val="hu-HU" w:eastAsia="en-GB"/>
              </w:rPr>
              <w:t>, hőhullámok</w:t>
            </w:r>
          </w:p>
        </w:tc>
      </w:tr>
      <w:tr w:rsidR="00342CEA" w14:paraId="28C344D2" w14:textId="77777777">
        <w:trPr>
          <w:trHeight w:val="2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EB3F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AA79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1D4F4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Embolia</w:t>
            </w:r>
            <w:proofErr w:type="spellEnd"/>
            <w:r>
              <w:rPr>
                <w:lang w:val="hu-HU" w:eastAsia="en-GB"/>
              </w:rPr>
              <w:t xml:space="preserve">, felületes </w:t>
            </w:r>
            <w:proofErr w:type="spellStart"/>
            <w:r>
              <w:rPr>
                <w:lang w:val="hu-HU" w:eastAsia="en-GB"/>
              </w:rPr>
              <w:t>thrombophlebitis</w:t>
            </w:r>
            <w:proofErr w:type="spellEnd"/>
            <w:r>
              <w:rPr>
                <w:lang w:val="hu-HU" w:eastAsia="en-GB"/>
              </w:rPr>
              <w:t>, kipirulás</w:t>
            </w:r>
          </w:p>
        </w:tc>
      </w:tr>
      <w:tr w:rsidR="00342CEA" w14:paraId="38E13CF4" w14:textId="77777777">
        <w:trPr>
          <w:trHeight w:val="520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FE42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Légzőrendszeri, mellkasi és </w:t>
            </w:r>
            <w:proofErr w:type="spellStart"/>
            <w:r>
              <w:rPr>
                <w:lang w:val="hu-HU" w:eastAsia="en-GB"/>
              </w:rPr>
              <w:t>mediastinalis</w:t>
            </w:r>
            <w:proofErr w:type="spellEnd"/>
            <w:r>
              <w:rPr>
                <w:lang w:val="hu-HU" w:eastAsia="en-GB"/>
              </w:rPr>
              <w:t xml:space="preserve">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1F3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4B4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Köhögés</w:t>
            </w:r>
            <w:r>
              <w:rPr>
                <w:vertAlign w:val="superscript"/>
                <w:lang w:val="hu-HU" w:eastAsia="en-US"/>
              </w:rPr>
              <w:t>♦</w:t>
            </w:r>
          </w:p>
        </w:tc>
      </w:tr>
      <w:tr w:rsidR="00342CEA" w14:paraId="5D774063" w14:textId="77777777">
        <w:trPr>
          <w:trHeight w:val="2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40F8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4C4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0B24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Oropharyngealis</w:t>
            </w:r>
            <w:proofErr w:type="spellEnd"/>
            <w:r>
              <w:rPr>
                <w:lang w:val="hu-HU" w:eastAsia="en-GB"/>
              </w:rPr>
              <w:t xml:space="preserve"> fájdalom</w:t>
            </w:r>
            <w:r>
              <w:rPr>
                <w:vertAlign w:val="superscript"/>
                <w:lang w:val="hu-HU" w:eastAsia="en-US"/>
              </w:rPr>
              <w:t>♦</w:t>
            </w:r>
            <w:r>
              <w:rPr>
                <w:lang w:val="hu-HU" w:eastAsia="en-US"/>
              </w:rPr>
              <w:t xml:space="preserve">, </w:t>
            </w:r>
            <w:proofErr w:type="spellStart"/>
            <w:r>
              <w:rPr>
                <w:lang w:val="hu-HU" w:eastAsia="en-US"/>
              </w:rPr>
              <w:t>rhinorrhoea</w:t>
            </w:r>
            <w:proofErr w:type="spellEnd"/>
            <w:r>
              <w:rPr>
                <w:vertAlign w:val="superscript"/>
                <w:lang w:val="hu-HU" w:eastAsia="en-US"/>
              </w:rPr>
              <w:t xml:space="preserve">♦ </w:t>
            </w:r>
          </w:p>
        </w:tc>
      </w:tr>
      <w:tr w:rsidR="00342CEA" w14:paraId="7E332BBA" w14:textId="77777777">
        <w:trPr>
          <w:trHeight w:val="7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E0DC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4FC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5FE2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Tüdőembolia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pulmonalis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infarctus</w:t>
            </w:r>
            <w:proofErr w:type="spellEnd"/>
            <w:r>
              <w:rPr>
                <w:lang w:val="hu-HU" w:eastAsia="en-GB"/>
              </w:rPr>
              <w:t xml:space="preserve">, kellemetlen érzés az orrban, </w:t>
            </w:r>
            <w:proofErr w:type="spellStart"/>
            <w:r>
              <w:rPr>
                <w:lang w:val="hu-HU" w:eastAsia="en-GB"/>
              </w:rPr>
              <w:t>oropharyngealis</w:t>
            </w:r>
            <w:proofErr w:type="spellEnd"/>
            <w:r>
              <w:rPr>
                <w:lang w:val="hu-HU" w:eastAsia="en-GB"/>
              </w:rPr>
              <w:t xml:space="preserve"> hólyagképződés, sinus betegség, alvási apnoe szindróma</w:t>
            </w:r>
          </w:p>
        </w:tc>
      </w:tr>
      <w:tr w:rsidR="00342CEA" w14:paraId="603A0696" w14:textId="77777777">
        <w:trPr>
          <w:trHeight w:val="534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7B7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Emésztőrendszeri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C95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10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Hányinger, hasmenés</w:t>
            </w:r>
          </w:p>
        </w:tc>
      </w:tr>
      <w:tr w:rsidR="00342CEA" w14:paraId="0ACD4295" w14:textId="77777777">
        <w:trPr>
          <w:trHeight w:val="79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B840E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E59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2619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Szájnyálkahártya fekély, fogfájás</w:t>
            </w:r>
            <w:r>
              <w:rPr>
                <w:vertAlign w:val="superscript"/>
                <w:lang w:val="hu-HU" w:eastAsia="en-US"/>
              </w:rPr>
              <w:t>♦</w:t>
            </w:r>
            <w:r>
              <w:rPr>
                <w:lang w:val="hu-HU" w:eastAsia="en-US"/>
              </w:rPr>
              <w:t xml:space="preserve">, </w:t>
            </w:r>
            <w:r>
              <w:rPr>
                <w:lang w:val="hu-HU" w:eastAsia="en-GB"/>
              </w:rPr>
              <w:t>hányás, hasi fájdalom</w:t>
            </w:r>
            <w:r>
              <w:rPr>
                <w:lang w:val="hu-HU" w:eastAsia="en-US"/>
              </w:rPr>
              <w:t xml:space="preserve">*, </w:t>
            </w:r>
            <w:r>
              <w:rPr>
                <w:lang w:val="hu-HU" w:eastAsia="en-GB"/>
              </w:rPr>
              <w:t xml:space="preserve">a szájnyálkahártya vérzése, </w:t>
            </w:r>
            <w:proofErr w:type="spellStart"/>
            <w:r>
              <w:rPr>
                <w:lang w:val="hu-HU" w:eastAsia="en-GB"/>
              </w:rPr>
              <w:t>flatulentia</w:t>
            </w:r>
            <w:proofErr w:type="spellEnd"/>
          </w:p>
          <w:p w14:paraId="697363E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*-nagyon gyakori ITP</w:t>
            </w:r>
            <w:r>
              <w:rPr>
                <w:lang w:val="hu-HU" w:eastAsia="en-GB"/>
              </w:rPr>
              <w:noBreakHyphen/>
              <w:t>s gyermekeknél</w:t>
            </w:r>
          </w:p>
        </w:tc>
      </w:tr>
      <w:tr w:rsidR="00342CEA" w14:paraId="4D35194E" w14:textId="77777777">
        <w:trPr>
          <w:trHeight w:val="8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0C8A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1619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A29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Szájszárazság, a nyelv fájdalma, a has nyomásérzékenysége, a széklet elszíneződése, ételmérgezés, gyakori székletürítés, </w:t>
            </w:r>
            <w:proofErr w:type="spellStart"/>
            <w:r>
              <w:rPr>
                <w:lang w:val="hu-HU" w:eastAsia="en-GB"/>
              </w:rPr>
              <w:t>haematemesis</w:t>
            </w:r>
            <w:proofErr w:type="spellEnd"/>
            <w:r>
              <w:rPr>
                <w:lang w:val="hu-HU" w:eastAsia="en-GB"/>
              </w:rPr>
              <w:t>, orális diszkomfort</w:t>
            </w:r>
          </w:p>
        </w:tc>
      </w:tr>
      <w:tr w:rsidR="00342CEA" w14:paraId="46009A43" w14:textId="77777777">
        <w:trPr>
          <w:trHeight w:val="520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AEF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Máj- és epebetegségek, illetve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DD7B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072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Emelkedett </w:t>
            </w:r>
            <w:proofErr w:type="spellStart"/>
            <w:r>
              <w:rPr>
                <w:lang w:val="hu-HU" w:eastAsia="en-GB"/>
              </w:rPr>
              <w:t>glutamát</w:t>
            </w:r>
            <w:r>
              <w:rPr>
                <w:lang w:val="hu-HU" w:eastAsia="en-GB"/>
              </w:rPr>
              <w:noBreakHyphen/>
              <w:t>piruvát</w:t>
            </w:r>
            <w:r>
              <w:rPr>
                <w:lang w:val="hu-HU" w:eastAsia="en-GB"/>
              </w:rPr>
              <w:noBreakHyphen/>
              <w:t>transzamináz</w:t>
            </w:r>
            <w:proofErr w:type="spellEnd"/>
            <w:r>
              <w:rPr>
                <w:lang w:val="hu-HU" w:eastAsia="en-GB"/>
              </w:rPr>
              <w:noBreakHyphen/>
              <w:t xml:space="preserve"> (GPT) (más néven </w:t>
            </w:r>
            <w:proofErr w:type="spellStart"/>
            <w:r>
              <w:rPr>
                <w:lang w:val="hu-HU" w:eastAsia="en-GB"/>
              </w:rPr>
              <w:t>alanin</w:t>
            </w:r>
            <w:r>
              <w:rPr>
                <w:lang w:val="hu-HU" w:eastAsia="en-GB"/>
              </w:rPr>
              <w:noBreakHyphen/>
              <w:t>aminotranszferáz</w:t>
            </w:r>
            <w:proofErr w:type="spellEnd"/>
            <w:r>
              <w:rPr>
                <w:lang w:val="hu-HU" w:eastAsia="en-GB"/>
              </w:rPr>
              <w:t>) szint</w:t>
            </w:r>
            <w:r>
              <w:rPr>
                <w:vertAlign w:val="superscript"/>
                <w:lang w:val="hu-HU" w:eastAsia="en-US"/>
              </w:rPr>
              <w:t>†</w:t>
            </w:r>
          </w:p>
        </w:tc>
      </w:tr>
      <w:tr w:rsidR="00342CEA" w14:paraId="5B7FA5DF" w14:textId="77777777">
        <w:trPr>
          <w:trHeight w:val="5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AE04C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82E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A843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Emelkedett </w:t>
            </w:r>
            <w:proofErr w:type="spellStart"/>
            <w:r>
              <w:rPr>
                <w:lang w:val="hu-HU" w:eastAsia="en-GB"/>
              </w:rPr>
              <w:t>glutamát</w:t>
            </w:r>
            <w:proofErr w:type="spellEnd"/>
            <w:r>
              <w:rPr>
                <w:lang w:val="hu-HU" w:eastAsia="en-GB"/>
              </w:rPr>
              <w:noBreakHyphen/>
              <w:t>oxálacetát</w:t>
            </w:r>
            <w:r>
              <w:rPr>
                <w:lang w:val="hu-HU" w:eastAsia="en-GB"/>
              </w:rPr>
              <w:noBreakHyphen/>
            </w:r>
            <w:proofErr w:type="spellStart"/>
            <w:r>
              <w:rPr>
                <w:lang w:val="hu-HU" w:eastAsia="en-GB"/>
              </w:rPr>
              <w:t>transzamináz</w:t>
            </w:r>
            <w:proofErr w:type="spellEnd"/>
            <w:r>
              <w:rPr>
                <w:lang w:val="hu-HU" w:eastAsia="en-GB"/>
              </w:rPr>
              <w:noBreakHyphen/>
              <w:t xml:space="preserve"> (GOT) (más néven aszpartát-</w:t>
            </w:r>
            <w:proofErr w:type="spellStart"/>
            <w:r>
              <w:rPr>
                <w:lang w:val="hu-HU" w:eastAsia="en-GB"/>
              </w:rPr>
              <w:t>aminotranszferáz</w:t>
            </w:r>
            <w:proofErr w:type="spellEnd"/>
            <w:r>
              <w:rPr>
                <w:lang w:val="hu-HU" w:eastAsia="en-GB"/>
              </w:rPr>
              <w:t>) szint</w:t>
            </w:r>
            <w:r>
              <w:rPr>
                <w:vertAlign w:val="superscript"/>
                <w:lang w:val="hu-HU" w:eastAsia="en-US"/>
              </w:rPr>
              <w:t>†</w:t>
            </w:r>
            <w:r>
              <w:rPr>
                <w:lang w:val="hu-HU" w:eastAsia="en-US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hyperbilirubinaemia</w:t>
            </w:r>
            <w:proofErr w:type="spellEnd"/>
            <w:r>
              <w:rPr>
                <w:lang w:val="hu-HU" w:eastAsia="en-GB"/>
              </w:rPr>
              <w:t>, kóros májfunkció</w:t>
            </w:r>
          </w:p>
        </w:tc>
      </w:tr>
      <w:tr w:rsidR="00342CEA" w14:paraId="3FD021CC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B3F11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F4DF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A79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Cholestasis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hepaticus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laesio</w:t>
            </w:r>
            <w:proofErr w:type="spellEnd"/>
            <w:r>
              <w:rPr>
                <w:lang w:val="hu-HU" w:eastAsia="en-GB"/>
              </w:rPr>
              <w:t>, hepatitis, gyógyszer okozta májkárosodás</w:t>
            </w:r>
          </w:p>
        </w:tc>
      </w:tr>
      <w:tr w:rsidR="00342CEA" w14:paraId="624E4408" w14:textId="77777777">
        <w:trPr>
          <w:trHeight w:val="516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762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 bőr és a bőr alatti szövet betegségei és tünetei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9ED3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276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Bőrkiütés, </w:t>
            </w:r>
            <w:proofErr w:type="spellStart"/>
            <w:r>
              <w:rPr>
                <w:lang w:val="hu-HU" w:eastAsia="en-GB"/>
              </w:rPr>
              <w:t>alopecia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hyperhydrosis</w:t>
            </w:r>
            <w:proofErr w:type="spellEnd"/>
            <w:r>
              <w:rPr>
                <w:lang w:val="hu-HU" w:eastAsia="en-GB"/>
              </w:rPr>
              <w:t xml:space="preserve">, generalizált </w:t>
            </w:r>
            <w:proofErr w:type="spellStart"/>
            <w:r>
              <w:rPr>
                <w:lang w:val="hu-HU" w:eastAsia="en-GB"/>
              </w:rPr>
              <w:t>pruritus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petechiák</w:t>
            </w:r>
            <w:proofErr w:type="spellEnd"/>
          </w:p>
        </w:tc>
      </w:tr>
      <w:tr w:rsidR="00342CEA" w14:paraId="30D9688C" w14:textId="77777777">
        <w:trPr>
          <w:trHeight w:val="76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D30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918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D34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Urticaria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dermatosis</w:t>
            </w:r>
            <w:proofErr w:type="spellEnd"/>
            <w:r>
              <w:rPr>
                <w:lang w:val="hu-HU" w:eastAsia="en-GB"/>
              </w:rPr>
              <w:t xml:space="preserve">, hideg verejték, </w:t>
            </w:r>
            <w:proofErr w:type="spellStart"/>
            <w:r>
              <w:rPr>
                <w:lang w:val="hu-HU" w:eastAsia="en-GB"/>
              </w:rPr>
              <w:t>erythema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melanosis</w:t>
            </w:r>
            <w:proofErr w:type="spellEnd"/>
            <w:r>
              <w:rPr>
                <w:lang w:val="hu-HU" w:eastAsia="en-GB"/>
              </w:rPr>
              <w:t>, pigmentációs zavarok, a bőr elszíneződése, bőrhámlás</w:t>
            </w:r>
          </w:p>
        </w:tc>
      </w:tr>
      <w:tr w:rsidR="00342CEA" w14:paraId="7ADC4532" w14:textId="77777777">
        <w:trPr>
          <w:trHeight w:val="516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9D7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 csont- és izomrendszer, valamint a kötőszövet betegségei és tünetei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0F6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8DF5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Hátfájás</w:t>
            </w:r>
          </w:p>
        </w:tc>
      </w:tr>
      <w:tr w:rsidR="00342CEA" w14:paraId="2B219158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8B65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81D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0574A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Myalgia</w:t>
            </w:r>
            <w:proofErr w:type="spellEnd"/>
            <w:r>
              <w:rPr>
                <w:lang w:val="hu-HU" w:eastAsia="en-GB"/>
              </w:rPr>
              <w:t xml:space="preserve">, izomgörcs, </w:t>
            </w:r>
            <w:proofErr w:type="spellStart"/>
            <w:r>
              <w:rPr>
                <w:lang w:val="hu-HU" w:eastAsia="en-GB"/>
              </w:rPr>
              <w:t>musculoskeletalis</w:t>
            </w:r>
            <w:proofErr w:type="spellEnd"/>
            <w:r>
              <w:rPr>
                <w:lang w:val="hu-HU" w:eastAsia="en-GB"/>
              </w:rPr>
              <w:t xml:space="preserve"> fájdalmak, csontfájdalom</w:t>
            </w:r>
          </w:p>
        </w:tc>
      </w:tr>
      <w:tr w:rsidR="00342CEA" w14:paraId="72ADE868" w14:textId="77777777">
        <w:trPr>
          <w:trHeight w:val="2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1A02E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DBE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FD6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Izomgyengeség</w:t>
            </w:r>
          </w:p>
        </w:tc>
      </w:tr>
      <w:tr w:rsidR="00342CEA" w14:paraId="67D6787F" w14:textId="77777777">
        <w:trPr>
          <w:trHeight w:val="520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C54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Vese- és </w:t>
            </w:r>
            <w:proofErr w:type="spellStart"/>
            <w:r>
              <w:rPr>
                <w:lang w:val="hu-HU" w:eastAsia="en-GB"/>
              </w:rPr>
              <w:t>húgyúti</w:t>
            </w:r>
            <w:proofErr w:type="spellEnd"/>
            <w:r>
              <w:rPr>
                <w:lang w:val="hu-HU" w:eastAsia="en-GB"/>
              </w:rPr>
              <w:t xml:space="preserve">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48F9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43B0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Proteinuria</w:t>
            </w:r>
            <w:proofErr w:type="spellEnd"/>
            <w:r>
              <w:rPr>
                <w:lang w:val="hu-HU" w:eastAsia="en-GB"/>
              </w:rPr>
              <w:t xml:space="preserve">, a </w:t>
            </w:r>
            <w:proofErr w:type="spellStart"/>
            <w:r>
              <w:rPr>
                <w:lang w:val="hu-HU" w:eastAsia="en-GB"/>
              </w:rPr>
              <w:t>kreatininszint</w:t>
            </w:r>
            <w:proofErr w:type="spellEnd"/>
            <w:r>
              <w:rPr>
                <w:lang w:val="hu-HU" w:eastAsia="en-GB"/>
              </w:rPr>
              <w:t xml:space="preserve"> emelkedése a vérben, </w:t>
            </w:r>
            <w:proofErr w:type="spellStart"/>
            <w:r>
              <w:rPr>
                <w:lang w:val="hu-HU" w:eastAsia="en-GB"/>
              </w:rPr>
              <w:t>thromboticus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microangiopathia</w:t>
            </w:r>
            <w:proofErr w:type="spellEnd"/>
            <w:r>
              <w:rPr>
                <w:lang w:val="hu-HU" w:eastAsia="en-GB"/>
              </w:rPr>
              <w:t xml:space="preserve"> veseelégtelenséggel</w:t>
            </w:r>
            <w:r>
              <w:rPr>
                <w:vertAlign w:val="superscript"/>
                <w:lang w:val="hu-HU" w:eastAsia="en-US"/>
              </w:rPr>
              <w:t>‡</w:t>
            </w:r>
          </w:p>
        </w:tc>
      </w:tr>
      <w:tr w:rsidR="00342CEA" w14:paraId="7B8FFE9B" w14:textId="77777777">
        <w:trPr>
          <w:trHeight w:val="7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9DDE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A1F8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905CA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Veseelégtelenség, </w:t>
            </w:r>
            <w:proofErr w:type="spellStart"/>
            <w:r>
              <w:rPr>
                <w:lang w:val="hu-HU" w:eastAsia="en-GB"/>
              </w:rPr>
              <w:t>leukocyturia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lupus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nephritis</w:t>
            </w:r>
            <w:proofErr w:type="spellEnd"/>
            <w:r>
              <w:rPr>
                <w:lang w:val="hu-HU" w:eastAsia="en-GB"/>
              </w:rPr>
              <w:t>, éjszakai vizelés, a karbamidszint emelkedése a vérben, a protein/kreatinin arány emelkedése a vizeletben</w:t>
            </w:r>
          </w:p>
        </w:tc>
      </w:tr>
      <w:tr w:rsidR="00342CEA" w14:paraId="50529D2C" w14:textId="77777777">
        <w:trPr>
          <w:trHeight w:val="535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739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 nemi szervekkel és az emlőkkel kapcsolatos betegségek és tünetek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899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E568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Menorrhagia</w:t>
            </w:r>
            <w:proofErr w:type="spellEnd"/>
          </w:p>
        </w:tc>
      </w:tr>
      <w:tr w:rsidR="00342CEA" w14:paraId="70816681" w14:textId="77777777">
        <w:trPr>
          <w:trHeight w:val="520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8B6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Általános tünetek, az alkalmazás helyén fellépő reakciók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05B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2D6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Láz</w:t>
            </w:r>
            <w:r>
              <w:rPr>
                <w:lang w:val="hu-HU" w:eastAsia="en-US"/>
              </w:rPr>
              <w:t xml:space="preserve">*, </w:t>
            </w:r>
            <w:r>
              <w:rPr>
                <w:lang w:val="hu-HU" w:eastAsia="en-GB"/>
              </w:rPr>
              <w:t xml:space="preserve">mellkasi fájdalom, </w:t>
            </w:r>
            <w:proofErr w:type="spellStart"/>
            <w:r>
              <w:rPr>
                <w:lang w:val="hu-HU" w:eastAsia="en-GB"/>
              </w:rPr>
              <w:t>asthenia</w:t>
            </w:r>
            <w:proofErr w:type="spellEnd"/>
          </w:p>
          <w:p w14:paraId="0CE2B689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*</w:t>
            </w:r>
            <w:r>
              <w:rPr>
                <w:lang w:val="hu-HU" w:eastAsia="en-GB"/>
              </w:rPr>
              <w:t>Nagyon gyakori ITP-s gyermekeknél</w:t>
            </w:r>
          </w:p>
        </w:tc>
      </w:tr>
      <w:tr w:rsidR="00342CEA" w14:paraId="37B1D656" w14:textId="77777777">
        <w:trPr>
          <w:trHeight w:val="62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60AB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7591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8597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Forróságérzés, vérzés az érfalszúrás helyén, idegesség, sebgyulladás, rossz közérzet, idegentest érzés</w:t>
            </w:r>
          </w:p>
        </w:tc>
      </w:tr>
      <w:tr w:rsidR="00342CEA" w14:paraId="4DE7AF91" w14:textId="77777777">
        <w:trPr>
          <w:trHeight w:val="265"/>
        </w:trPr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6AF9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lastRenderedPageBreak/>
              <w:t>Laboratóriumi és egyéb vizsgálatok eredményei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CA21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2D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Emelkedett szérum alkalikus-</w:t>
            </w:r>
            <w:proofErr w:type="spellStart"/>
            <w:r>
              <w:rPr>
                <w:lang w:val="hu-HU" w:eastAsia="en-GB"/>
              </w:rPr>
              <w:t>foszfatázszint</w:t>
            </w:r>
            <w:proofErr w:type="spellEnd"/>
          </w:p>
        </w:tc>
      </w:tr>
      <w:tr w:rsidR="00342CEA" w14:paraId="68653566" w14:textId="77777777">
        <w:trPr>
          <w:trHeight w:val="5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1D40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9F65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5C7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Emelkedett szérum albuminszint, emelkedett </w:t>
            </w:r>
            <w:proofErr w:type="spellStart"/>
            <w:r>
              <w:rPr>
                <w:lang w:val="hu-HU" w:eastAsia="en-GB"/>
              </w:rPr>
              <w:t>összproteinszint</w:t>
            </w:r>
            <w:proofErr w:type="spellEnd"/>
            <w:r>
              <w:rPr>
                <w:lang w:val="hu-HU" w:eastAsia="en-GB"/>
              </w:rPr>
              <w:t>, csökkent szérumalbuminszint, emelkedett vizelet pH</w:t>
            </w:r>
          </w:p>
        </w:tc>
      </w:tr>
      <w:tr w:rsidR="00342CEA" w14:paraId="4B949CC5" w14:textId="77777777">
        <w:trPr>
          <w:trHeight w:val="521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6BEA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Sérülés, mérgezés és a beavatkozással kapcsolatos szövődmények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AC06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4EF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Napégés</w:t>
            </w:r>
          </w:p>
        </w:tc>
      </w:tr>
    </w:tbl>
    <w:p w14:paraId="1F4F0424" w14:textId="77777777" w:rsidR="00342CEA" w:rsidRDefault="00837BAB">
      <w:pPr>
        <w:autoSpaceDE w:val="0"/>
        <w:autoSpaceDN w:val="0"/>
        <w:spacing w:line="240" w:lineRule="auto"/>
        <w:ind w:left="567" w:hanging="567"/>
        <w:rPr>
          <w:lang w:val="hu-HU" w:eastAsia="en-GB"/>
        </w:rPr>
      </w:pPr>
      <w:r>
        <w:rPr>
          <w:vertAlign w:val="superscript"/>
          <w:lang w:val="hu-HU" w:eastAsia="en-GB"/>
        </w:rPr>
        <w:t>♦</w:t>
      </w:r>
      <w:r>
        <w:rPr>
          <w:lang w:val="hu-HU" w:eastAsia="en-GB"/>
        </w:rPr>
        <w:tab/>
        <w:t>A gyermek és serdülőkorú betegek vizsgálataiban megfigyelt további mellékhatások (1 – betöltött 18 éves korig).</w:t>
      </w:r>
    </w:p>
    <w:p w14:paraId="355E9300" w14:textId="77777777" w:rsidR="00342CEA" w:rsidRDefault="00837BAB">
      <w:pPr>
        <w:autoSpaceDE w:val="0"/>
        <w:autoSpaceDN w:val="0"/>
        <w:spacing w:line="240" w:lineRule="auto"/>
        <w:ind w:left="567" w:hanging="567"/>
        <w:rPr>
          <w:lang w:val="hu-HU" w:eastAsia="en-GB"/>
        </w:rPr>
      </w:pPr>
      <w:r>
        <w:rPr>
          <w:vertAlign w:val="superscript"/>
          <w:lang w:val="hu-HU" w:eastAsia="en-GB"/>
        </w:rPr>
        <w:t>†</w:t>
      </w:r>
      <w:r>
        <w:rPr>
          <w:lang w:val="hu-HU" w:eastAsia="en-GB"/>
        </w:rPr>
        <w:tab/>
        <w:t xml:space="preserve">A </w:t>
      </w:r>
      <w:proofErr w:type="spellStart"/>
      <w:r>
        <w:rPr>
          <w:lang w:val="hu-HU" w:eastAsia="en-GB"/>
        </w:rPr>
        <w:t>glutamát</w:t>
      </w:r>
      <w:r>
        <w:rPr>
          <w:lang w:val="hu-HU" w:eastAsia="en-GB"/>
        </w:rPr>
        <w:noBreakHyphen/>
        <w:t>piruvát</w:t>
      </w:r>
      <w:r>
        <w:rPr>
          <w:lang w:val="hu-HU" w:eastAsia="en-GB"/>
        </w:rPr>
        <w:noBreakHyphen/>
        <w:t>transzamináz</w:t>
      </w:r>
      <w:proofErr w:type="spellEnd"/>
      <w:r>
        <w:rPr>
          <w:lang w:val="hu-HU" w:eastAsia="en-GB"/>
        </w:rPr>
        <w:t xml:space="preserve"> szintjének és a </w:t>
      </w:r>
      <w:proofErr w:type="spellStart"/>
      <w:r>
        <w:rPr>
          <w:lang w:val="hu-HU" w:eastAsia="en-GB"/>
        </w:rPr>
        <w:t>glutamát</w:t>
      </w:r>
      <w:proofErr w:type="spellEnd"/>
      <w:r>
        <w:rPr>
          <w:lang w:val="hu-HU" w:eastAsia="en-GB"/>
        </w:rPr>
        <w:noBreakHyphen/>
        <w:t>oxálacetát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transzamináz</w:t>
      </w:r>
      <w:proofErr w:type="spellEnd"/>
      <w:r>
        <w:rPr>
          <w:lang w:val="hu-HU" w:eastAsia="en-GB"/>
        </w:rPr>
        <w:t xml:space="preserve"> szintjének emelkedése előfordulhat párhuzamosan, habár kisebb gyakorisággal.</w:t>
      </w:r>
    </w:p>
    <w:p w14:paraId="083A2A24" w14:textId="77777777" w:rsidR="00342CEA" w:rsidRDefault="00837BAB">
      <w:pPr>
        <w:autoSpaceDE w:val="0"/>
        <w:autoSpaceDN w:val="0"/>
        <w:spacing w:line="240" w:lineRule="auto"/>
        <w:ind w:left="567" w:hanging="567"/>
        <w:rPr>
          <w:lang w:val="hu-HU" w:eastAsia="en-GB"/>
        </w:rPr>
      </w:pPr>
      <w:r>
        <w:rPr>
          <w:vertAlign w:val="superscript"/>
          <w:lang w:val="hu-HU" w:eastAsia="en-GB"/>
        </w:rPr>
        <w:t>‡</w:t>
      </w:r>
      <w:r>
        <w:rPr>
          <w:lang w:val="hu-HU" w:eastAsia="en-GB"/>
        </w:rPr>
        <w:tab/>
        <w:t>Csoportosított kifejezés az akut vesekárosodás és a veseelégtelenség preferált kifejezések alapján</w:t>
      </w:r>
    </w:p>
    <w:p w14:paraId="3A6F50F7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5B81DBC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b/>
          <w:bCs/>
          <w:i/>
          <w:u w:val="single"/>
          <w:lang w:val="hu-HU" w:eastAsia="en-GB"/>
        </w:rPr>
      </w:pPr>
      <w:r>
        <w:rPr>
          <w:b/>
          <w:bCs/>
          <w:i/>
          <w:u w:val="single"/>
          <w:lang w:val="hu-HU" w:eastAsia="en-GB"/>
        </w:rPr>
        <w:t>HCV vizsgálati csoport (</w:t>
      </w:r>
      <w:proofErr w:type="spellStart"/>
      <w:r>
        <w:rPr>
          <w:b/>
          <w:bCs/>
          <w:i/>
          <w:u w:val="single"/>
          <w:lang w:val="hu-HU" w:eastAsia="en-GB"/>
        </w:rPr>
        <w:t>antivirális</w:t>
      </w:r>
      <w:proofErr w:type="spellEnd"/>
      <w:r>
        <w:rPr>
          <w:b/>
          <w:bCs/>
          <w:i/>
          <w:u w:val="single"/>
          <w:lang w:val="hu-HU" w:eastAsia="en-GB"/>
        </w:rPr>
        <w:t xml:space="preserve"> interferonnal és </w:t>
      </w:r>
      <w:proofErr w:type="spellStart"/>
      <w:r>
        <w:rPr>
          <w:b/>
          <w:bCs/>
          <w:i/>
          <w:u w:val="single"/>
          <w:lang w:val="hu-HU" w:eastAsia="en-GB"/>
        </w:rPr>
        <w:t>ribavirin</w:t>
      </w:r>
      <w:proofErr w:type="spellEnd"/>
      <w:r>
        <w:rPr>
          <w:b/>
          <w:bCs/>
          <w:i/>
          <w:u w:val="single"/>
          <w:lang w:val="hu-HU" w:eastAsia="en-GB"/>
        </w:rPr>
        <w:t>-kezeléssel kombinációban)</w:t>
      </w:r>
    </w:p>
    <w:p w14:paraId="1FDA8A5D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b/>
          <w:bCs/>
          <w:lang w:val="hu-HU" w:eastAsia="en-GB"/>
        </w:rPr>
      </w:pPr>
    </w:p>
    <w:tbl>
      <w:tblPr>
        <w:tblW w:w="9210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2944"/>
        <w:gridCol w:w="1276"/>
        <w:gridCol w:w="4990"/>
      </w:tblGrid>
      <w:tr w:rsidR="00342CEA" w14:paraId="03AC2C59" w14:textId="77777777">
        <w:trPr>
          <w:trHeight w:val="263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D66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Szervrendszeri kategória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AF66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Gyakoriság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9E7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Mellékhatás</w:t>
            </w:r>
          </w:p>
        </w:tc>
      </w:tr>
      <w:tr w:rsidR="00342CEA" w14:paraId="33EA982A" w14:textId="77777777">
        <w:trPr>
          <w:trHeight w:val="692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DF6E5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Fertőző betegségek és parazitafertőzések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5A19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9F3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Húgyúti</w:t>
            </w:r>
            <w:proofErr w:type="spellEnd"/>
            <w:r>
              <w:rPr>
                <w:lang w:val="hu-HU" w:eastAsia="en-GB"/>
              </w:rPr>
              <w:t xml:space="preserve"> fertőzés, felsőlégúti fertőzések, bronchitis, </w:t>
            </w:r>
            <w:proofErr w:type="spellStart"/>
            <w:r>
              <w:rPr>
                <w:lang w:val="hu-HU" w:eastAsia="en-GB"/>
              </w:rPr>
              <w:t>nasopharyngitis</w:t>
            </w:r>
            <w:proofErr w:type="spellEnd"/>
            <w:r>
              <w:rPr>
                <w:lang w:val="hu-HU" w:eastAsia="en-GB"/>
              </w:rPr>
              <w:t>, influenza, ajakherpesz</w:t>
            </w:r>
          </w:p>
        </w:tc>
      </w:tr>
      <w:tr w:rsidR="00342CEA" w14:paraId="7A385F98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C5527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A77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4218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Gastroenteritis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pharyngitis</w:t>
            </w:r>
            <w:proofErr w:type="spellEnd"/>
          </w:p>
        </w:tc>
      </w:tr>
      <w:tr w:rsidR="00342CEA" w14:paraId="5107577F" w14:textId="77777777">
        <w:trPr>
          <w:trHeight w:val="768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31F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Jó-, rosszindulatú és nem meghatározott daganatok (beleértve a cisztákat és polipokat is)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CD2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BF2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A máj </w:t>
            </w:r>
            <w:proofErr w:type="spellStart"/>
            <w:r>
              <w:rPr>
                <w:lang w:val="hu-HU" w:eastAsia="en-GB"/>
              </w:rPr>
              <w:t>malignus</w:t>
            </w:r>
            <w:proofErr w:type="spellEnd"/>
            <w:r>
              <w:rPr>
                <w:lang w:val="hu-HU" w:eastAsia="en-GB"/>
              </w:rPr>
              <w:t xml:space="preserve"> daganata</w:t>
            </w:r>
          </w:p>
        </w:tc>
      </w:tr>
      <w:tr w:rsidR="00342CEA" w14:paraId="7A24277C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92C8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Vérképzőszervi és nyirokrendszeri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FCED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9D5A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Anaemia</w:t>
            </w:r>
            <w:proofErr w:type="spellEnd"/>
          </w:p>
        </w:tc>
      </w:tr>
      <w:tr w:rsidR="00342CEA" w14:paraId="06ADF852" w14:textId="77777777">
        <w:trPr>
          <w:trHeight w:val="2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BD2D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4E6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895A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Lymphopenia</w:t>
            </w:r>
            <w:proofErr w:type="spellEnd"/>
          </w:p>
        </w:tc>
      </w:tr>
      <w:tr w:rsidR="00342CEA" w14:paraId="03E1811F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2539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E7D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68DFB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Haemolyticus</w:t>
            </w:r>
            <w:proofErr w:type="spellEnd"/>
            <w:r>
              <w:rPr>
                <w:lang w:val="hu-HU" w:eastAsia="en-US"/>
              </w:rPr>
              <w:t xml:space="preserve"> </w:t>
            </w:r>
            <w:proofErr w:type="spellStart"/>
            <w:r>
              <w:rPr>
                <w:lang w:val="hu-HU" w:eastAsia="en-US"/>
              </w:rPr>
              <w:t>anaemia</w:t>
            </w:r>
            <w:proofErr w:type="spellEnd"/>
          </w:p>
        </w:tc>
      </w:tr>
      <w:tr w:rsidR="00342CEA" w14:paraId="77DBA879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338C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Anyagcsere és táplálkozási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400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3CD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Csökkent étvágy</w:t>
            </w:r>
          </w:p>
        </w:tc>
      </w:tr>
      <w:tr w:rsidR="00342CEA" w14:paraId="5B18478E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2105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E886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45546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Hyperglykaemia</w:t>
            </w:r>
            <w:proofErr w:type="spellEnd"/>
            <w:r>
              <w:rPr>
                <w:lang w:val="hu-HU" w:eastAsia="en-US"/>
              </w:rPr>
              <w:t xml:space="preserve">, </w:t>
            </w:r>
            <w:r>
              <w:rPr>
                <w:lang w:val="hu-HU" w:eastAsia="en-GB"/>
              </w:rPr>
              <w:t>kóros testtömegcsökkenés</w:t>
            </w:r>
          </w:p>
        </w:tc>
      </w:tr>
      <w:tr w:rsidR="00342CEA" w14:paraId="2909A14F" w14:textId="77777777">
        <w:trPr>
          <w:trHeight w:val="263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DE65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Pszichiátriai kórképek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0DBE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B265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Depresszió, szorongás, alvászavar</w:t>
            </w:r>
          </w:p>
        </w:tc>
      </w:tr>
      <w:tr w:rsidR="00342CEA" w14:paraId="7CC75E71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09CB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B67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E27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Zavartság, agitáció</w:t>
            </w:r>
          </w:p>
        </w:tc>
      </w:tr>
      <w:tr w:rsidR="00342CEA" w14:paraId="52CEF834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F213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Idegrendszeri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B1BA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1484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Fejfájás</w:t>
            </w:r>
          </w:p>
        </w:tc>
      </w:tr>
      <w:tr w:rsidR="00342CEA" w14:paraId="1D4CCE97" w14:textId="77777777">
        <w:trPr>
          <w:trHeight w:val="7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4BB01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069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44737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Szédülés, figyelemzavar, ízérzékelési zavar, </w:t>
            </w:r>
            <w:proofErr w:type="spellStart"/>
            <w:r>
              <w:rPr>
                <w:lang w:val="hu-HU" w:eastAsia="en-GB"/>
              </w:rPr>
              <w:t>hepaticus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encephalopathia</w:t>
            </w:r>
            <w:proofErr w:type="spellEnd"/>
            <w:r>
              <w:rPr>
                <w:lang w:val="hu-HU" w:eastAsia="en-GB"/>
              </w:rPr>
              <w:t xml:space="preserve">, levertség, memóriazavar, </w:t>
            </w:r>
            <w:proofErr w:type="spellStart"/>
            <w:r>
              <w:rPr>
                <w:lang w:val="hu-HU" w:eastAsia="en-GB"/>
              </w:rPr>
              <w:t>paraesthesia</w:t>
            </w:r>
            <w:proofErr w:type="spellEnd"/>
          </w:p>
        </w:tc>
      </w:tr>
      <w:tr w:rsidR="00342CEA" w14:paraId="70F8D483" w14:textId="77777777">
        <w:trPr>
          <w:trHeight w:val="516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46E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Szembetegségek és szemészeti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FF4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B22F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Cataracta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retinalis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exsudatio</w:t>
            </w:r>
            <w:proofErr w:type="spellEnd"/>
            <w:r>
              <w:rPr>
                <w:lang w:val="hu-HU" w:eastAsia="en-GB"/>
              </w:rPr>
              <w:t xml:space="preserve">, száraz szem, </w:t>
            </w:r>
            <w:proofErr w:type="spellStart"/>
            <w:r>
              <w:rPr>
                <w:lang w:val="hu-HU" w:eastAsia="en-GB"/>
              </w:rPr>
              <w:t>ocularis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icterus</w:t>
            </w:r>
            <w:proofErr w:type="spellEnd"/>
            <w:r>
              <w:rPr>
                <w:lang w:val="hu-HU" w:eastAsia="en-GB"/>
              </w:rPr>
              <w:t>, retina vérzés</w:t>
            </w:r>
          </w:p>
        </w:tc>
      </w:tr>
      <w:tr w:rsidR="00342CEA" w14:paraId="51CE3D15" w14:textId="77777777">
        <w:trPr>
          <w:trHeight w:val="263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98AF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A fül és az egyensúlyérzékelő szerv betegségei és tünetei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250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356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Vertigo</w:t>
            </w:r>
          </w:p>
        </w:tc>
      </w:tr>
      <w:tr w:rsidR="00342CEA" w14:paraId="71B41662" w14:textId="77777777">
        <w:trPr>
          <w:trHeight w:val="263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1CDA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Szívbetegségek és a szívvel kapcsolatos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C94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4CE1E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Palpitatiók</w:t>
            </w:r>
            <w:proofErr w:type="spellEnd"/>
          </w:p>
        </w:tc>
      </w:tr>
      <w:tr w:rsidR="00342CEA" w14:paraId="657180F7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A45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Légzőrendszeri, mellkasi és </w:t>
            </w:r>
            <w:proofErr w:type="spellStart"/>
            <w:r>
              <w:rPr>
                <w:lang w:val="hu-HU" w:eastAsia="en-GB"/>
              </w:rPr>
              <w:t>mediastinalis</w:t>
            </w:r>
            <w:proofErr w:type="spellEnd"/>
            <w:r>
              <w:rPr>
                <w:lang w:val="hu-HU" w:eastAsia="en-GB"/>
              </w:rPr>
              <w:t xml:space="preserve">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D59E1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DDB44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Köhögés</w:t>
            </w:r>
          </w:p>
        </w:tc>
      </w:tr>
      <w:tr w:rsidR="00342CEA" w14:paraId="27A5A526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D659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0DD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10C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proofErr w:type="spellStart"/>
            <w:r>
              <w:rPr>
                <w:lang w:val="hu-HU" w:eastAsia="en-GB"/>
              </w:rPr>
              <w:t>Dyspnoe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oropharyngealis</w:t>
            </w:r>
            <w:proofErr w:type="spellEnd"/>
            <w:r>
              <w:rPr>
                <w:lang w:val="hu-HU" w:eastAsia="en-GB"/>
              </w:rPr>
              <w:t xml:space="preserve"> fájdalom, terhelésre jelentkező </w:t>
            </w:r>
            <w:proofErr w:type="spellStart"/>
            <w:r>
              <w:rPr>
                <w:lang w:val="hu-HU" w:eastAsia="en-GB"/>
              </w:rPr>
              <w:t>dyspnoe</w:t>
            </w:r>
            <w:proofErr w:type="spellEnd"/>
            <w:r>
              <w:rPr>
                <w:lang w:val="hu-HU" w:eastAsia="en-GB"/>
              </w:rPr>
              <w:t>, produktív köhögés</w:t>
            </w:r>
          </w:p>
        </w:tc>
      </w:tr>
      <w:tr w:rsidR="00342CEA" w14:paraId="13562F28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756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Emésztőrendszeri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CC429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1C0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Hányinger, hasmenés</w:t>
            </w:r>
          </w:p>
        </w:tc>
      </w:tr>
      <w:tr w:rsidR="00342CEA" w14:paraId="2984AC46" w14:textId="77777777">
        <w:trPr>
          <w:trHeight w:val="12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99C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82BD6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757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Hányás, </w:t>
            </w:r>
            <w:proofErr w:type="spellStart"/>
            <w:r>
              <w:rPr>
                <w:lang w:val="hu-HU" w:eastAsia="en-GB"/>
              </w:rPr>
              <w:t>ascites</w:t>
            </w:r>
            <w:proofErr w:type="spellEnd"/>
            <w:r>
              <w:rPr>
                <w:lang w:val="hu-HU" w:eastAsia="en-GB"/>
              </w:rPr>
              <w:t xml:space="preserve">, hasi fájdalom, gyomortáji fájdalom, </w:t>
            </w:r>
            <w:proofErr w:type="spellStart"/>
            <w:r>
              <w:rPr>
                <w:lang w:val="hu-HU" w:eastAsia="en-GB"/>
              </w:rPr>
              <w:t>dyspepsia</w:t>
            </w:r>
            <w:proofErr w:type="spellEnd"/>
            <w:r>
              <w:rPr>
                <w:lang w:val="hu-HU" w:eastAsia="en-GB"/>
              </w:rPr>
              <w:t xml:space="preserve">, szájszárazság, </w:t>
            </w:r>
            <w:proofErr w:type="spellStart"/>
            <w:r>
              <w:rPr>
                <w:lang w:val="hu-HU" w:eastAsia="en-GB"/>
              </w:rPr>
              <w:t>obstipatio</w:t>
            </w:r>
            <w:proofErr w:type="spellEnd"/>
            <w:r>
              <w:rPr>
                <w:lang w:val="hu-HU" w:eastAsia="en-GB"/>
              </w:rPr>
              <w:t xml:space="preserve">, haspuffadás, fogfájás, </w:t>
            </w:r>
            <w:proofErr w:type="spellStart"/>
            <w:r>
              <w:rPr>
                <w:lang w:val="hu-HU" w:eastAsia="en-GB"/>
              </w:rPr>
              <w:t>stomatitis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gastrooesophagealis</w:t>
            </w:r>
            <w:proofErr w:type="spellEnd"/>
            <w:r>
              <w:rPr>
                <w:lang w:val="hu-HU" w:eastAsia="en-GB"/>
              </w:rPr>
              <w:t xml:space="preserve"> reflux betegség, aranyér, hasi diszkomfort, </w:t>
            </w:r>
            <w:proofErr w:type="spellStart"/>
            <w:r>
              <w:rPr>
                <w:lang w:val="hu-HU" w:eastAsia="en-GB"/>
              </w:rPr>
              <w:t>oesophagus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varixok</w:t>
            </w:r>
            <w:proofErr w:type="spellEnd"/>
          </w:p>
        </w:tc>
      </w:tr>
      <w:tr w:rsidR="00342CEA" w14:paraId="4C7FF954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B7B2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0FF5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0274A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Oesophagus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varix</w:t>
            </w:r>
            <w:proofErr w:type="spellEnd"/>
            <w:r>
              <w:rPr>
                <w:lang w:val="hu-HU" w:eastAsia="en-GB"/>
              </w:rPr>
              <w:noBreakHyphen/>
              <w:t xml:space="preserve">vérzés, </w:t>
            </w:r>
            <w:proofErr w:type="spellStart"/>
            <w:r>
              <w:rPr>
                <w:lang w:val="hu-HU" w:eastAsia="en-GB"/>
              </w:rPr>
              <w:t>gastritis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stomatitis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aphthosa</w:t>
            </w:r>
            <w:proofErr w:type="spellEnd"/>
          </w:p>
        </w:tc>
      </w:tr>
      <w:tr w:rsidR="00342CEA" w14:paraId="516582A2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CF53D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Máj- és epebetegségek, illetve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915C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4D5C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Hyperbilirubinaemia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icterus</w:t>
            </w:r>
            <w:proofErr w:type="spellEnd"/>
            <w:r>
              <w:rPr>
                <w:lang w:val="hu-HU" w:eastAsia="en-GB"/>
              </w:rPr>
              <w:t>, gyógyszer okozta májkárosodás</w:t>
            </w:r>
          </w:p>
        </w:tc>
      </w:tr>
      <w:tr w:rsidR="00342CEA" w14:paraId="0D281E34" w14:textId="77777777">
        <w:trPr>
          <w:trHeight w:val="2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743E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53DD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37B90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Vena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portae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thrombosis</w:t>
            </w:r>
            <w:proofErr w:type="spellEnd"/>
            <w:r>
              <w:rPr>
                <w:lang w:val="hu-HU" w:eastAsia="en-GB"/>
              </w:rPr>
              <w:t>, májelégtelenség</w:t>
            </w:r>
          </w:p>
        </w:tc>
      </w:tr>
      <w:tr w:rsidR="00342CEA" w14:paraId="3EFA93B4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107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 bőr és a bőr alatti szövet betegségei és tünetei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C05F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DA833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Pruritus</w:t>
            </w:r>
            <w:proofErr w:type="spellEnd"/>
          </w:p>
        </w:tc>
      </w:tr>
      <w:tr w:rsidR="00342CEA" w14:paraId="40CDE353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3EE0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5F31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796C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Bőrkiütés, bőrszárazság, ekcéma, viszkető bőrkiütés, </w:t>
            </w:r>
            <w:proofErr w:type="spellStart"/>
            <w:r>
              <w:rPr>
                <w:lang w:val="hu-HU" w:eastAsia="en-GB"/>
              </w:rPr>
              <w:t>erythema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hyperhidrosis</w:t>
            </w:r>
            <w:proofErr w:type="spellEnd"/>
            <w:r>
              <w:rPr>
                <w:lang w:val="hu-HU" w:eastAsia="en-GB"/>
              </w:rPr>
              <w:t xml:space="preserve">, generalizált </w:t>
            </w:r>
            <w:proofErr w:type="spellStart"/>
            <w:r>
              <w:rPr>
                <w:lang w:val="hu-HU" w:eastAsia="en-GB"/>
              </w:rPr>
              <w:t>pruritus</w:t>
            </w:r>
            <w:proofErr w:type="spellEnd"/>
            <w:r>
              <w:rPr>
                <w:lang w:val="hu-HU" w:eastAsia="en-GB"/>
              </w:rPr>
              <w:t xml:space="preserve">, </w:t>
            </w:r>
            <w:proofErr w:type="spellStart"/>
            <w:r>
              <w:rPr>
                <w:lang w:val="hu-HU" w:eastAsia="en-GB"/>
              </w:rPr>
              <w:t>alopecia</w:t>
            </w:r>
            <w:proofErr w:type="spellEnd"/>
          </w:p>
        </w:tc>
      </w:tr>
      <w:tr w:rsidR="00342CEA" w14:paraId="30B356A0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CA3F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A202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1FBC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Bőrelváltozás, </w:t>
            </w:r>
            <w:proofErr w:type="spellStart"/>
            <w:r>
              <w:rPr>
                <w:lang w:val="hu-HU" w:eastAsia="en-GB"/>
              </w:rPr>
              <w:t>bőrelszíneződés</w:t>
            </w:r>
            <w:proofErr w:type="spellEnd"/>
            <w:r>
              <w:rPr>
                <w:lang w:val="hu-HU" w:eastAsia="en-GB"/>
              </w:rPr>
              <w:t xml:space="preserve">, bőr </w:t>
            </w:r>
            <w:proofErr w:type="spellStart"/>
            <w:r>
              <w:rPr>
                <w:lang w:val="hu-HU" w:eastAsia="en-GB"/>
              </w:rPr>
              <w:t>hyperpigmentatio</w:t>
            </w:r>
            <w:proofErr w:type="spellEnd"/>
            <w:r>
              <w:rPr>
                <w:lang w:val="hu-HU" w:eastAsia="en-GB"/>
              </w:rPr>
              <w:t>, éjszakai izzadás</w:t>
            </w:r>
          </w:p>
        </w:tc>
      </w:tr>
      <w:tr w:rsidR="00342CEA" w14:paraId="2C1A6790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FE1B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A csont- és izomrendszer, valamint a kötőszövet betegségei és tünetei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44A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65DC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US"/>
              </w:rPr>
              <w:t>Myalgia</w:t>
            </w:r>
            <w:proofErr w:type="spellEnd"/>
          </w:p>
        </w:tc>
      </w:tr>
      <w:tr w:rsidR="00342CEA" w14:paraId="686421F3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D37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08A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D67C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Arthralgia</w:t>
            </w:r>
            <w:proofErr w:type="spellEnd"/>
            <w:r>
              <w:rPr>
                <w:lang w:val="hu-HU" w:eastAsia="en-GB"/>
              </w:rPr>
              <w:t xml:space="preserve">, izomgörcs, hátfájás, végtagfájdalom, </w:t>
            </w:r>
            <w:proofErr w:type="spellStart"/>
            <w:r>
              <w:rPr>
                <w:lang w:val="hu-HU" w:eastAsia="en-GB"/>
              </w:rPr>
              <w:t>musculoskeletalis</w:t>
            </w:r>
            <w:proofErr w:type="spellEnd"/>
            <w:r>
              <w:rPr>
                <w:lang w:val="hu-HU" w:eastAsia="en-GB"/>
              </w:rPr>
              <w:t xml:space="preserve"> fájdalom, csontfájdalom</w:t>
            </w:r>
          </w:p>
        </w:tc>
      </w:tr>
      <w:tr w:rsidR="00342CEA" w14:paraId="101CB074" w14:textId="77777777">
        <w:trPr>
          <w:trHeight w:val="516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587E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Vese- és </w:t>
            </w:r>
            <w:proofErr w:type="spellStart"/>
            <w:r>
              <w:rPr>
                <w:lang w:val="hu-HU" w:eastAsia="en-GB"/>
              </w:rPr>
              <w:t>húgyúti</w:t>
            </w:r>
            <w:proofErr w:type="spellEnd"/>
            <w:r>
              <w:rPr>
                <w:lang w:val="hu-HU" w:eastAsia="en-GB"/>
              </w:rPr>
              <w:t xml:space="preserve"> betegségek és tünetek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C53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E151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lang w:val="hu-HU" w:eastAsia="en-GB"/>
              </w:rPr>
              <w:t>Thromboticus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microangiopathia</w:t>
            </w:r>
            <w:proofErr w:type="spellEnd"/>
            <w:r>
              <w:rPr>
                <w:lang w:val="hu-HU" w:eastAsia="en-GB"/>
              </w:rPr>
              <w:t xml:space="preserve"> akut veseelégtelenséggel</w:t>
            </w:r>
            <w:r>
              <w:rPr>
                <w:vertAlign w:val="superscript"/>
                <w:lang w:val="hu-HU" w:eastAsia="en-US"/>
              </w:rPr>
              <w:t>†</w:t>
            </w:r>
            <w:r>
              <w:rPr>
                <w:lang w:val="hu-HU" w:eastAsia="en-US"/>
              </w:rPr>
              <w:t xml:space="preserve">, </w:t>
            </w:r>
            <w:proofErr w:type="spellStart"/>
            <w:r>
              <w:rPr>
                <w:lang w:val="hu-HU" w:eastAsia="en-US"/>
              </w:rPr>
              <w:t>dysuria</w:t>
            </w:r>
            <w:proofErr w:type="spellEnd"/>
            <w:r>
              <w:rPr>
                <w:vertAlign w:val="superscript"/>
                <w:lang w:val="hu-HU" w:eastAsia="en-US"/>
              </w:rPr>
              <w:t xml:space="preserve"> </w:t>
            </w:r>
          </w:p>
        </w:tc>
      </w:tr>
      <w:tr w:rsidR="00342CEA" w14:paraId="3CEB86E0" w14:textId="77777777">
        <w:trPr>
          <w:trHeight w:val="516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A055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Általános tünetek, az alkalmazás helyén fellépő reakciók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AD097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Nagyon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F45E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Láz, fáradtság, influenzaszerű megbetegedés, </w:t>
            </w:r>
            <w:proofErr w:type="spellStart"/>
            <w:r>
              <w:rPr>
                <w:lang w:val="hu-HU" w:eastAsia="en-GB"/>
              </w:rPr>
              <w:t>asthenia</w:t>
            </w:r>
            <w:proofErr w:type="spellEnd"/>
            <w:r>
              <w:rPr>
                <w:lang w:val="hu-HU" w:eastAsia="en-GB"/>
              </w:rPr>
              <w:t>, hidegrázás</w:t>
            </w:r>
          </w:p>
        </w:tc>
      </w:tr>
      <w:tr w:rsidR="00342CEA" w14:paraId="535FB1AC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21937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24A8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F40F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Ingerlékenység, fájdalom, rossz közérzet, az injekció beadási helyén fellépő reakció, nem szíveredetű mellkasi fájdalom, </w:t>
            </w:r>
            <w:proofErr w:type="spellStart"/>
            <w:r>
              <w:rPr>
                <w:lang w:val="hu-HU" w:eastAsia="en-GB"/>
              </w:rPr>
              <w:t>oedema</w:t>
            </w:r>
            <w:proofErr w:type="spellEnd"/>
            <w:r>
              <w:rPr>
                <w:lang w:val="hu-HU" w:eastAsia="en-GB"/>
              </w:rPr>
              <w:t xml:space="preserve">, perifériás </w:t>
            </w:r>
            <w:proofErr w:type="spellStart"/>
            <w:r>
              <w:rPr>
                <w:lang w:val="hu-HU" w:eastAsia="en-GB"/>
              </w:rPr>
              <w:t>oedema</w:t>
            </w:r>
            <w:proofErr w:type="spellEnd"/>
          </w:p>
        </w:tc>
      </w:tr>
      <w:tr w:rsidR="00342CEA" w14:paraId="718437EA" w14:textId="77777777">
        <w:trPr>
          <w:trHeight w:val="5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0059A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B0EC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2E9E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 xml:space="preserve">Az injekció beadási helyén fellépő </w:t>
            </w:r>
            <w:proofErr w:type="spellStart"/>
            <w:r>
              <w:rPr>
                <w:lang w:val="hu-HU" w:eastAsia="en-GB"/>
              </w:rPr>
              <w:t>pruritus</w:t>
            </w:r>
            <w:proofErr w:type="spellEnd"/>
            <w:r>
              <w:rPr>
                <w:lang w:val="hu-HU" w:eastAsia="en-GB"/>
              </w:rPr>
              <w:t xml:space="preserve"> és kiütések, mellkasi diszkomfortérzés</w:t>
            </w:r>
          </w:p>
        </w:tc>
      </w:tr>
      <w:tr w:rsidR="00342CEA" w14:paraId="17BB6710" w14:textId="77777777">
        <w:trPr>
          <w:trHeight w:val="1528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080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Laboratóriumi és egyéb vizsgálatok eredményei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4C9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B757" w14:textId="77777777" w:rsidR="00342CEA" w:rsidRDefault="00837BAB">
            <w:pPr>
              <w:widowControl w:val="0"/>
              <w:rPr>
                <w:lang w:val="hu-HU" w:eastAsia="en-GB"/>
              </w:rPr>
            </w:pPr>
            <w:r>
              <w:rPr>
                <w:lang w:val="hu-HU" w:eastAsia="en-GB"/>
              </w:rPr>
              <w:t>Emelkedett bilirubinszint a vérben, testtömeg</w:t>
            </w:r>
            <w:r>
              <w:rPr>
                <w:lang w:val="hu-HU" w:eastAsia="en-GB"/>
              </w:rPr>
              <w:noBreakHyphen/>
              <w:t xml:space="preserve">csökkenés, csökkent fehérvérsejtszám, csökkent hemoglobinszint, csökkent </w:t>
            </w:r>
            <w:proofErr w:type="spellStart"/>
            <w:r>
              <w:rPr>
                <w:lang w:val="hu-HU" w:eastAsia="en-GB"/>
              </w:rPr>
              <w:t>neutrofilszám</w:t>
            </w:r>
            <w:proofErr w:type="spellEnd"/>
            <w:r>
              <w:rPr>
                <w:lang w:val="hu-HU" w:eastAsia="en-GB"/>
              </w:rPr>
              <w:t>, megnyúlt INR (</w:t>
            </w:r>
            <w:proofErr w:type="spellStart"/>
            <w:r>
              <w:rPr>
                <w:lang w:val="hu-HU" w:eastAsia="en-GB"/>
              </w:rPr>
              <w:t>international</w:t>
            </w:r>
            <w:proofErr w:type="spellEnd"/>
            <w:r>
              <w:rPr>
                <w:lang w:val="hu-HU" w:eastAsia="en-GB"/>
              </w:rPr>
              <w:t xml:space="preserve"> </w:t>
            </w:r>
            <w:proofErr w:type="spellStart"/>
            <w:r>
              <w:rPr>
                <w:lang w:val="hu-HU" w:eastAsia="en-GB"/>
              </w:rPr>
              <w:t>normalised</w:t>
            </w:r>
            <w:proofErr w:type="spellEnd"/>
            <w:r>
              <w:rPr>
                <w:lang w:val="hu-HU" w:eastAsia="en-GB"/>
              </w:rPr>
              <w:t xml:space="preserve"> ratio), megnyúlt aktivált parciális </w:t>
            </w:r>
            <w:proofErr w:type="spellStart"/>
            <w:r>
              <w:rPr>
                <w:lang w:val="hu-HU" w:eastAsia="en-GB"/>
              </w:rPr>
              <w:t>thromboplastinidő</w:t>
            </w:r>
            <w:proofErr w:type="spellEnd"/>
            <w:r>
              <w:rPr>
                <w:lang w:val="hu-HU" w:eastAsia="en-GB"/>
              </w:rPr>
              <w:t>, vércukorszint emelkedés, csökkent albuminszint a vérben</w:t>
            </w:r>
          </w:p>
        </w:tc>
      </w:tr>
      <w:tr w:rsidR="00342CEA" w14:paraId="14CD0735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9E38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6FD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Nem gyakori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2B2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GB"/>
              </w:rPr>
              <w:t>QT</w:t>
            </w:r>
            <w:r>
              <w:rPr>
                <w:lang w:val="hu-HU" w:eastAsia="en-GB"/>
              </w:rPr>
              <w:noBreakHyphen/>
              <w:t>megnyúlás az elektrokardiogramon</w:t>
            </w:r>
          </w:p>
        </w:tc>
      </w:tr>
    </w:tbl>
    <w:p w14:paraId="189A2AC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ind w:left="567" w:hanging="567"/>
        <w:rPr>
          <w:rFonts w:eastAsia="TimesNewRomanPSMT"/>
          <w:lang w:val="hu-HU" w:eastAsia="en-GB"/>
        </w:rPr>
      </w:pPr>
      <w:r>
        <w:rPr>
          <w:rFonts w:ascii="TimesNewRomanPSMT" w:hAnsi="TimesNewRomanPSMT" w:cs="TimesNewRomanPSMT"/>
          <w:sz w:val="14"/>
          <w:szCs w:val="14"/>
          <w:lang w:val="hu-HU" w:eastAsia="en-GB"/>
        </w:rPr>
        <w:t>†</w:t>
      </w:r>
      <w:r>
        <w:rPr>
          <w:rFonts w:ascii="TimesNewRomanPSMT" w:hAnsi="TimesNewRomanPSMT" w:cs="TimesNewRomanPSMT"/>
          <w:sz w:val="14"/>
          <w:szCs w:val="14"/>
          <w:lang w:val="hu-HU" w:eastAsia="en-GB"/>
        </w:rPr>
        <w:tab/>
      </w:r>
      <w:r>
        <w:rPr>
          <w:lang w:val="hu-HU" w:eastAsia="en-GB"/>
        </w:rPr>
        <w:t xml:space="preserve">Csoportosított kifejezés az </w:t>
      </w:r>
      <w:proofErr w:type="spellStart"/>
      <w:r>
        <w:rPr>
          <w:lang w:val="hu-HU" w:eastAsia="en-GB"/>
        </w:rPr>
        <w:t>oliguria</w:t>
      </w:r>
      <w:proofErr w:type="spellEnd"/>
      <w:r>
        <w:rPr>
          <w:lang w:val="hu-HU" w:eastAsia="en-GB"/>
        </w:rPr>
        <w:t>, veseelégtelenség és vesekárosodás preferált kifejezések alapján.</w:t>
      </w:r>
    </w:p>
    <w:p w14:paraId="6D683323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517EC8EA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07EE94F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Egyes kiválasztott mellékhatások leírása</w:t>
      </w:r>
    </w:p>
    <w:p w14:paraId="66D4DCE1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0F2AA33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Thromboticus</w:t>
      </w:r>
      <w:proofErr w:type="spellEnd"/>
      <w:r>
        <w:rPr>
          <w:i/>
          <w:u w:val="single"/>
          <w:lang w:val="hu-HU" w:eastAsia="en-GB"/>
        </w:rPr>
        <w:t>/</w:t>
      </w:r>
      <w:proofErr w:type="spellStart"/>
      <w:r>
        <w:rPr>
          <w:i/>
          <w:u w:val="single"/>
          <w:lang w:val="hu-HU" w:eastAsia="en-GB"/>
        </w:rPr>
        <w:t>thromboemboliás</w:t>
      </w:r>
      <w:proofErr w:type="spellEnd"/>
      <w:r>
        <w:rPr>
          <w:i/>
          <w:u w:val="single"/>
          <w:lang w:val="hu-HU" w:eastAsia="en-GB"/>
        </w:rPr>
        <w:t xml:space="preserve"> események (TEE-k)</w:t>
      </w:r>
    </w:p>
    <w:p w14:paraId="71C3678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Három kontrollos és két nem kontrollos klinikai vizsgálatban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felnőtt ITP</w:t>
      </w:r>
      <w:r>
        <w:rPr>
          <w:lang w:val="hu-HU" w:eastAsia="en-GB"/>
        </w:rPr>
        <w:noBreakHyphen/>
        <w:t>s betegek (n = 446) közül 17 betegnél összesen 19 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 fordult elő, amelyek közé tartozott (csökkenő előfordulási sorrendben) a mélyvénás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 (n = 6), a </w:t>
      </w:r>
      <w:proofErr w:type="spellStart"/>
      <w:r>
        <w:rPr>
          <w:lang w:val="hu-HU" w:eastAsia="en-GB"/>
        </w:rPr>
        <w:t>tüdőembolia</w:t>
      </w:r>
      <w:proofErr w:type="spellEnd"/>
      <w:r>
        <w:rPr>
          <w:lang w:val="hu-HU" w:eastAsia="en-GB"/>
        </w:rPr>
        <w:t xml:space="preserve"> (n = 6), az akut </w:t>
      </w:r>
      <w:proofErr w:type="spellStart"/>
      <w:r>
        <w:rPr>
          <w:lang w:val="hu-HU" w:eastAsia="en-GB"/>
        </w:rPr>
        <w:t>myocardialis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infarctus</w:t>
      </w:r>
      <w:proofErr w:type="spellEnd"/>
      <w:r>
        <w:rPr>
          <w:lang w:val="hu-HU" w:eastAsia="en-GB"/>
        </w:rPr>
        <w:t xml:space="preserve"> (n = 2), az agyi </w:t>
      </w:r>
      <w:proofErr w:type="spellStart"/>
      <w:r>
        <w:rPr>
          <w:lang w:val="hu-HU" w:eastAsia="en-GB"/>
        </w:rPr>
        <w:t>infarctus</w:t>
      </w:r>
      <w:proofErr w:type="spellEnd"/>
      <w:r>
        <w:rPr>
          <w:lang w:val="hu-HU" w:eastAsia="en-GB"/>
        </w:rPr>
        <w:t xml:space="preserve"> (n = 2), az </w:t>
      </w:r>
      <w:proofErr w:type="spellStart"/>
      <w:r>
        <w:rPr>
          <w:lang w:val="hu-HU" w:eastAsia="en-GB"/>
        </w:rPr>
        <w:t>embolia</w:t>
      </w:r>
      <w:proofErr w:type="spellEnd"/>
      <w:r>
        <w:rPr>
          <w:lang w:val="hu-HU" w:eastAsia="en-GB"/>
        </w:rPr>
        <w:t xml:space="preserve"> (n = 1) (lásd 4.4 pont).</w:t>
      </w:r>
    </w:p>
    <w:p w14:paraId="70670F3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CBE955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Egy placebokontrollos vizsgálatban (n = 288, biztonságossági populáció), 2 heti kezelés után az </w:t>
      </w:r>
      <w:proofErr w:type="spellStart"/>
      <w:r>
        <w:rPr>
          <w:lang w:val="hu-HU" w:eastAsia="en-GB"/>
        </w:rPr>
        <w:t>invazív</w:t>
      </w:r>
      <w:proofErr w:type="spellEnd"/>
      <w:r>
        <w:rPr>
          <w:lang w:val="hu-HU" w:eastAsia="en-GB"/>
        </w:rPr>
        <w:t xml:space="preserve"> beavatkozás előkészítése során, 143, krónikus májbetegségben szenvedő,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felnőtt beteg közül 6</w:t>
      </w:r>
      <w:r>
        <w:rPr>
          <w:lang w:val="hu-HU" w:eastAsia="en-GB"/>
        </w:rPr>
        <w:noBreakHyphen/>
        <w:t xml:space="preserve">nál (4%) tapasztaltak 7, a </w:t>
      </w:r>
      <w:proofErr w:type="spellStart"/>
      <w:r>
        <w:rPr>
          <w:lang w:val="hu-HU" w:eastAsia="en-GB"/>
        </w:rPr>
        <w:t>portalis</w:t>
      </w:r>
      <w:proofErr w:type="spellEnd"/>
      <w:r>
        <w:rPr>
          <w:lang w:val="hu-HU" w:eastAsia="en-GB"/>
        </w:rPr>
        <w:t xml:space="preserve"> rendszert érintő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</w:t>
      </w:r>
      <w:r>
        <w:rPr>
          <w:lang w:val="hu-HU" w:eastAsia="en-GB"/>
        </w:rPr>
        <w:lastRenderedPageBreak/>
        <w:t>eseményt. A placebocsoportban a 145 beteg közül 2</w:t>
      </w:r>
      <w:r>
        <w:rPr>
          <w:lang w:val="hu-HU" w:eastAsia="en-GB"/>
        </w:rPr>
        <w:noBreakHyphen/>
        <w:t>nél (1%) tapasztaltak 3 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eseményt.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6 beteg közül ötnél alakult ki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esemény, &gt; 200 000/µl vérlemezkeszámnál.</w:t>
      </w:r>
    </w:p>
    <w:p w14:paraId="767493B4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715363D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≥ 200 000/µl vérlemezkeszám kivételével specifikus kockázati tényezőt nem azonosítottak azoknál a betegeknél, akiknél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 fordult elő (lásd 4.4 pont).</w:t>
      </w:r>
    </w:p>
    <w:p w14:paraId="2729137B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6DDD255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 xml:space="preserve">betegekkel végzett kontrollos vizsgálatokban (n = 1439), 955,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 közül 38</w:t>
      </w:r>
      <w:r>
        <w:rPr>
          <w:lang w:val="hu-HU" w:eastAsia="en-GB"/>
        </w:rPr>
        <w:noBreakHyphen/>
        <w:t>nál (4%) fordult elő TEE, míg a placebocsoportba tartozó 484 beteg közül 6</w:t>
      </w:r>
      <w:r>
        <w:rPr>
          <w:lang w:val="hu-HU" w:eastAsia="en-GB"/>
        </w:rPr>
        <w:noBreakHyphen/>
        <w:t xml:space="preserve">nál fordult elő TEE. Mindkét kezelési csoportban a </w:t>
      </w:r>
      <w:proofErr w:type="spellStart"/>
      <w:r>
        <w:rPr>
          <w:lang w:val="hu-HU" w:eastAsia="en-GB"/>
        </w:rPr>
        <w:t>vena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portae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 volt a leggyakoribb TEE (2%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csoportban </w:t>
      </w:r>
      <w:proofErr w:type="spellStart"/>
      <w:r>
        <w:rPr>
          <w:lang w:val="hu-HU" w:eastAsia="en-GB"/>
        </w:rPr>
        <w:t>versus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1</w:t>
      </w:r>
      <w:proofErr w:type="gramEnd"/>
      <w:r>
        <w:rPr>
          <w:lang w:val="hu-HU" w:eastAsia="en-GB"/>
        </w:rPr>
        <w:t>% a placebocsoportban) (lásd 4.4 pont). Az alacsony albuminszinttel (≤ 35 g/l) vagy ≥ 10 MELD</w:t>
      </w:r>
      <w:r>
        <w:rPr>
          <w:lang w:val="hu-HU" w:eastAsia="en-GB"/>
        </w:rPr>
        <w:noBreakHyphen/>
        <w:t>pontszámmal rendelkező betegeknél 2</w:t>
      </w:r>
      <w:r>
        <w:rPr>
          <w:lang w:val="hu-HU" w:eastAsia="en-GB"/>
        </w:rPr>
        <w:noBreakHyphen/>
        <w:t xml:space="preserve">szer nagyobb volt a TEE kockázata a magasabb albuminszinttel </w:t>
      </w:r>
      <w:proofErr w:type="spellStart"/>
      <w:r>
        <w:rPr>
          <w:lang w:val="hu-HU" w:eastAsia="en-GB"/>
        </w:rPr>
        <w:t>rendelkezőkhöz</w:t>
      </w:r>
      <w:proofErr w:type="spellEnd"/>
      <w:r>
        <w:rPr>
          <w:lang w:val="hu-HU" w:eastAsia="en-GB"/>
        </w:rPr>
        <w:t xml:space="preserve"> viszonyítva, illetve a 60 éves vagy annál idősebbeknél kétszer nagyobb volt a TEE</w:t>
      </w:r>
      <w:r>
        <w:rPr>
          <w:lang w:val="hu-HU" w:eastAsia="en-GB"/>
        </w:rPr>
        <w:noBreakHyphen/>
        <w:t>k kockázata a fiatalabb betegekhez viszonyítva.</w:t>
      </w:r>
    </w:p>
    <w:p w14:paraId="57EE0AF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62268A1A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Hepaticus</w:t>
      </w:r>
      <w:proofErr w:type="spellEnd"/>
      <w:r>
        <w:rPr>
          <w:i/>
          <w:u w:val="single"/>
          <w:lang w:val="hu-HU" w:eastAsia="en-GB"/>
        </w:rPr>
        <w:t xml:space="preserve"> dekompenzáció (interferonnal történő alkalmazás)</w:t>
      </w:r>
    </w:p>
    <w:p w14:paraId="7B8CFD61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 xml:space="preserve">A </w:t>
      </w:r>
      <w:proofErr w:type="spellStart"/>
      <w:r>
        <w:rPr>
          <w:lang w:val="hu-HU" w:eastAsia="en-GB"/>
        </w:rPr>
        <w:t>cirrhosisban</w:t>
      </w:r>
      <w:proofErr w:type="spellEnd"/>
      <w:r>
        <w:rPr>
          <w:lang w:val="hu-HU" w:eastAsia="en-GB"/>
        </w:rPr>
        <w:t xml:space="preserve"> szenvedő krónikus HCV</w:t>
      </w:r>
      <w:r>
        <w:rPr>
          <w:lang w:val="hu-HU" w:eastAsia="en-GB"/>
        </w:rPr>
        <w:noBreakHyphen/>
        <w:t>betegeknél alfa interferon</w:t>
      </w:r>
      <w:r>
        <w:rPr>
          <w:lang w:val="hu-HU" w:eastAsia="en-GB"/>
        </w:rPr>
        <w:noBreakHyphen/>
        <w:t xml:space="preserve">kezelés esetén fokozott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 kockázata. Két, </w:t>
      </w: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 xml:space="preserve">betegek bevonásával végzett klinikai vizsgálatban nagyobb gyakorisággal jelentettek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dekompenzációt (</w:t>
      </w:r>
      <w:proofErr w:type="spellStart"/>
      <w:r>
        <w:rPr>
          <w:lang w:val="hu-HU" w:eastAsia="en-GB"/>
        </w:rPr>
        <w:t>ascites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encephalopathia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varix</w:t>
      </w:r>
      <w:proofErr w:type="spellEnd"/>
      <w:r>
        <w:rPr>
          <w:lang w:val="hu-HU" w:eastAsia="en-GB"/>
        </w:rPr>
        <w:t xml:space="preserve"> vérzés, spontán bakteriális </w:t>
      </w:r>
      <w:proofErr w:type="spellStart"/>
      <w:r>
        <w:rPr>
          <w:lang w:val="hu-HU" w:eastAsia="en-GB"/>
        </w:rPr>
        <w:t>peritonitis</w:t>
      </w:r>
      <w:proofErr w:type="spellEnd"/>
      <w:r>
        <w:rPr>
          <w:lang w:val="hu-HU" w:eastAsia="en-GB"/>
        </w:rPr>
        <w:t xml:space="preserve">)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karon (11%), mint a placebokaron (6%). Azoknál a betegeknél, akiknél alacsony albuminszint (≤ 35 g/l) vagy ≥ 10 kiindulási MELD pontérték állt fenn, 3</w:t>
      </w:r>
      <w:r>
        <w:rPr>
          <w:lang w:val="hu-HU" w:eastAsia="en-GB"/>
        </w:rPr>
        <w:noBreakHyphen/>
        <w:t xml:space="preserve">szor nagyobb volt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 kockázata, és emelkedett a halálos kimenetelű nemkívánatos események kockázata a kevésbé előrehaladott májbetegségben szenvedő betegekhez viszonyítva. Ezeknél a betegeknél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csak a várható előnyök és kockázatok körültekintő mérlegelése után alkalmazható. Az ezekkel a jellemzőkkel bíró betegeknél gondosan ellenőrizni kell a </w:t>
      </w:r>
      <w:proofErr w:type="spellStart"/>
      <w:r>
        <w:rPr>
          <w:lang w:val="hu-HU" w:eastAsia="en-GB"/>
        </w:rPr>
        <w:t>hepaticus</w:t>
      </w:r>
      <w:proofErr w:type="spellEnd"/>
      <w:r>
        <w:rPr>
          <w:lang w:val="hu-HU" w:eastAsia="en-GB"/>
        </w:rPr>
        <w:t xml:space="preserve"> dekompenzációra utaló jeleket és tüneteket. (lásd 4.4 pont).</w:t>
      </w:r>
    </w:p>
    <w:p w14:paraId="6AE16EB1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65607143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Hepatotoxicitás</w:t>
      </w:r>
      <w:proofErr w:type="spellEnd"/>
    </w:p>
    <w:p w14:paraId="3FE60602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kontrollos,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végzett krónikus ITP klinikai vizsgálatokban a szérum GPT-, GOT- és bilirubinszintek emelkedését figyelték meg (lásd 4.4 pont).</w:t>
      </w:r>
    </w:p>
    <w:p w14:paraId="76815F6D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5C36DD9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>Ezek a jelenségek többnyire enyhék (1</w:t>
      </w:r>
      <w:r>
        <w:rPr>
          <w:lang w:val="hu-HU" w:eastAsia="en-GB"/>
        </w:rPr>
        <w:noBreakHyphen/>
        <w:t>2. fokozat) és reverzibilisek voltak, és nem kísérték őket olyan, klinikailag jelentős tünetek, amelyek károsodott májműködésre utaltak volna. A 3, krónikus ITP</w:t>
      </w:r>
      <w:r>
        <w:rPr>
          <w:lang w:val="hu-HU" w:eastAsia="en-GB"/>
        </w:rPr>
        <w:noBreakHyphen/>
        <w:t xml:space="preserve">s felnőttekkel végzett placebokontrollos vizsgálatban a placebocsoportban 1 betegnek, és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csoportban is 1 betegnek volt 4</w:t>
      </w:r>
      <w:r>
        <w:rPr>
          <w:lang w:val="hu-HU" w:eastAsia="en-GB"/>
        </w:rPr>
        <w:noBreakHyphen/>
        <w:t>es fokozatú májfunkciós zavara. A krónikus ITP</w:t>
      </w:r>
      <w:r>
        <w:rPr>
          <w:lang w:val="hu-HU" w:eastAsia="en-GB"/>
        </w:rPr>
        <w:noBreakHyphen/>
        <w:t xml:space="preserve">s gyermekekkel és serdülőkkel (1 és betöltött 18 éves kor között) végzett két, placebokontrollos vizsgálatban a normálérték felső határának </w:t>
      </w:r>
      <w:r>
        <w:rPr>
          <w:rFonts w:eastAsia="Segoe UI Symbol"/>
          <w:lang w:val="hu-HU"/>
        </w:rPr>
        <w:t>≥ </w:t>
      </w:r>
      <w:r>
        <w:rPr>
          <w:lang w:val="hu-HU" w:eastAsia="en-GB"/>
        </w:rPr>
        <w:t>3</w:t>
      </w:r>
      <w:r>
        <w:rPr>
          <w:lang w:val="hu-HU" w:eastAsia="en-GB"/>
        </w:rPr>
        <w:noBreakHyphen/>
        <w:t>szorosát elérő GPT</w:t>
      </w:r>
      <w:r>
        <w:rPr>
          <w:lang w:val="hu-HU" w:eastAsia="en-GB"/>
        </w:rPr>
        <w:noBreakHyphen/>
        <w:t xml:space="preserve">szintről számoltak be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 4,7%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>, míg a placebocsoportban ez 0% volt.</w:t>
      </w:r>
    </w:p>
    <w:p w14:paraId="3FDFF9F1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0E8477B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Két kontrollos, HCV</w:t>
      </w:r>
      <w:r>
        <w:rPr>
          <w:lang w:val="hu-HU" w:eastAsia="en-GB"/>
        </w:rPr>
        <w:noBreakHyphen/>
        <w:t xml:space="preserve">s betegek bevonásával végzett klinikai vizsgálatban a normálérték felső határának legalább háromszorosát meghaladó GPT- vagy GOT-szintet jelentettek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csoport 34%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, és a </w:t>
      </w:r>
      <w:proofErr w:type="spellStart"/>
      <w:r>
        <w:rPr>
          <w:lang w:val="hu-HU" w:eastAsia="en-GB"/>
        </w:rPr>
        <w:t>placebóval</w:t>
      </w:r>
      <w:proofErr w:type="spellEnd"/>
      <w:r>
        <w:rPr>
          <w:lang w:val="hu-HU" w:eastAsia="en-GB"/>
        </w:rPr>
        <w:t xml:space="preserve"> kezelt csoport 38%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.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peginterferon</w:t>
      </w:r>
      <w:proofErr w:type="spellEnd"/>
      <w:r>
        <w:rPr>
          <w:lang w:val="hu-HU" w:eastAsia="en-GB"/>
        </w:rPr>
        <w:t>/</w:t>
      </w:r>
      <w:proofErr w:type="spellStart"/>
      <w:r>
        <w:rPr>
          <w:lang w:val="hu-HU" w:eastAsia="en-GB"/>
        </w:rPr>
        <w:t>ribavirin</w:t>
      </w:r>
      <w:proofErr w:type="spellEnd"/>
      <w:r>
        <w:rPr>
          <w:lang w:val="hu-HU" w:eastAsia="en-GB"/>
        </w:rPr>
        <w:t xml:space="preserve"> kombinációban alkalmazva a betegek többségénél indirekt </w:t>
      </w:r>
      <w:proofErr w:type="spellStart"/>
      <w:r>
        <w:rPr>
          <w:lang w:val="hu-HU" w:eastAsia="en-GB"/>
        </w:rPr>
        <w:t>hyperbilirubinaemia</w:t>
      </w:r>
      <w:proofErr w:type="spellEnd"/>
      <w:r>
        <w:rPr>
          <w:lang w:val="hu-HU" w:eastAsia="en-GB"/>
        </w:rPr>
        <w:t xml:space="preserve"> jelentkezik. Összességében, a normálérték felső határának legalább 1,5</w:t>
      </w:r>
      <w:r>
        <w:rPr>
          <w:lang w:val="hu-HU" w:eastAsia="en-GB"/>
        </w:rPr>
        <w:noBreakHyphen/>
        <w:t xml:space="preserve">szeresét meghaladó </w:t>
      </w:r>
      <w:proofErr w:type="spellStart"/>
      <w:r>
        <w:rPr>
          <w:lang w:val="hu-HU" w:eastAsia="en-GB"/>
        </w:rPr>
        <w:t>összbilirubinszintet</w:t>
      </w:r>
      <w:proofErr w:type="spellEnd"/>
      <w:r>
        <w:rPr>
          <w:lang w:val="hu-HU" w:eastAsia="en-GB"/>
        </w:rPr>
        <w:t xml:space="preserve"> jelentettek az </w:t>
      </w:r>
      <w:proofErr w:type="spellStart"/>
      <w:r>
        <w:rPr>
          <w:lang w:val="hu-HU" w:eastAsia="en-GB"/>
        </w:rPr>
        <w:t>eltrompopaggal</w:t>
      </w:r>
      <w:proofErr w:type="spellEnd"/>
      <w:r>
        <w:rPr>
          <w:lang w:val="hu-HU" w:eastAsia="en-GB"/>
        </w:rPr>
        <w:t xml:space="preserve"> kezelt csoport 76%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, és a </w:t>
      </w:r>
      <w:proofErr w:type="spellStart"/>
      <w:r>
        <w:rPr>
          <w:lang w:val="hu-HU" w:eastAsia="en-GB"/>
        </w:rPr>
        <w:t>placebóval</w:t>
      </w:r>
      <w:proofErr w:type="spellEnd"/>
      <w:r>
        <w:rPr>
          <w:lang w:val="hu-HU" w:eastAsia="en-GB"/>
        </w:rPr>
        <w:t xml:space="preserve"> kezelt csoport 50%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>.</w:t>
      </w:r>
    </w:p>
    <w:p w14:paraId="0AF1167A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5DF7F0E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Thrombocytopenia</w:t>
      </w:r>
      <w:proofErr w:type="spellEnd"/>
      <w:r>
        <w:rPr>
          <w:i/>
          <w:u w:val="single"/>
          <w:lang w:val="hu-HU" w:eastAsia="en-GB"/>
        </w:rPr>
        <w:t xml:space="preserve"> a kezelés leállítása után</w:t>
      </w:r>
    </w:p>
    <w:p w14:paraId="0BE0C82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t xml:space="preserve">A 3, kontrollos ITP vizsgálatban megfigyelték, hogy a kezelés befejezését követően a vérlemezkeszám átmenetileg a kiindulási érték alá csökkent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 betegeinek 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és a placebocsoport 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(lásd 4.4 pont).</w:t>
      </w:r>
    </w:p>
    <w:p w14:paraId="496C110E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51D7347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proofErr w:type="spellStart"/>
      <w:r>
        <w:rPr>
          <w:i/>
          <w:u w:val="single"/>
          <w:lang w:val="hu-HU" w:eastAsia="en-GB"/>
        </w:rPr>
        <w:t>Retikulin</w:t>
      </w:r>
      <w:proofErr w:type="spellEnd"/>
      <w:r>
        <w:rPr>
          <w:i/>
          <w:u w:val="single"/>
          <w:lang w:val="hu-HU" w:eastAsia="en-GB"/>
        </w:rPr>
        <w:noBreakHyphen/>
        <w:t>felszaporodás a csontvelőben</w:t>
      </w:r>
    </w:p>
    <w:p w14:paraId="4804355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  <w:r>
        <w:rPr>
          <w:lang w:val="hu-HU" w:eastAsia="en-GB"/>
        </w:rPr>
        <w:lastRenderedPageBreak/>
        <w:t>A programban egyetlen betegnél sem találtak klinikailag jelentős csontvelő</w:t>
      </w:r>
      <w:r>
        <w:rPr>
          <w:lang w:val="hu-HU" w:eastAsia="en-GB"/>
        </w:rPr>
        <w:noBreakHyphen/>
        <w:t>rendellenességet vagy a csontvelő rendellenes működésére utaló klinikai jeleket. Kis számú ITP</w:t>
      </w:r>
      <w:r>
        <w:rPr>
          <w:lang w:val="hu-HU" w:eastAsia="en-GB"/>
        </w:rPr>
        <w:noBreakHyphen/>
        <w:t xml:space="preserve">s betegnél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kezelést a csontvelőben kimutatott </w:t>
      </w:r>
      <w:proofErr w:type="spellStart"/>
      <w:r>
        <w:rPr>
          <w:lang w:val="hu-HU" w:eastAsia="en-GB"/>
        </w:rPr>
        <w:t>retikulin</w:t>
      </w:r>
      <w:proofErr w:type="spellEnd"/>
      <w:r>
        <w:rPr>
          <w:lang w:val="hu-HU" w:eastAsia="en-GB"/>
        </w:rPr>
        <w:t xml:space="preserve"> miatt szakították meg (lásd 4.4 pont).</w:t>
      </w:r>
    </w:p>
    <w:p w14:paraId="647EECFF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7456DAC9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rFonts w:eastAsia="TimesNewRomanPSMT"/>
          <w:lang w:val="hu-HU" w:eastAsia="en-GB"/>
        </w:rPr>
      </w:pPr>
    </w:p>
    <w:p w14:paraId="43143D4B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7A802BDA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21F4096" w14:textId="77777777" w:rsidR="00342CEA" w:rsidRDefault="00837BAB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7">
        <w:r>
          <w:rPr>
            <w:rStyle w:val="Hiperhivatkozs"/>
            <w:highlight w:val="lightGray"/>
            <w:lang w:val="hu-HU"/>
          </w:rPr>
          <w:t>V. füg</w:t>
        </w:r>
        <w:bookmarkStart w:id="1" w:name="_Hlt352075914"/>
        <w:bookmarkStart w:id="2" w:name="_Hlt352075915"/>
        <w:r>
          <w:rPr>
            <w:rStyle w:val="Hiperhivatkozs"/>
            <w:highlight w:val="lightGray"/>
            <w:lang w:val="hu-HU"/>
          </w:rPr>
          <w:t>g</w:t>
        </w:r>
        <w:bookmarkEnd w:id="1"/>
        <w:bookmarkEnd w:id="2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lang w:val="hu-HU"/>
        </w:rPr>
        <w:t>.</w:t>
      </w:r>
    </w:p>
    <w:p w14:paraId="23FD6DAC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4C651548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4.9</w:t>
      </w:r>
      <w:r>
        <w:rPr>
          <w:rFonts w:eastAsia="Times New Roman"/>
          <w:b/>
          <w:bCs/>
          <w:lang w:val="hu-HU" w:eastAsia="en-US"/>
        </w:rPr>
        <w:tab/>
        <w:t>Túladagolás</w:t>
      </w:r>
    </w:p>
    <w:p w14:paraId="5CEE5507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3E40E0A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Túladagolás esetén a vérlemezkeszám rendkívüli módon megemelkedhet, és ez </w:t>
      </w:r>
      <w:proofErr w:type="spellStart"/>
      <w:r>
        <w:rPr>
          <w:lang w:val="hu-HU" w:eastAsia="en-GB"/>
        </w:rPr>
        <w:t>thromboticus</w:t>
      </w:r>
      <w:proofErr w:type="spellEnd"/>
      <w:r>
        <w:rPr>
          <w:lang w:val="hu-HU" w:eastAsia="en-GB"/>
        </w:rPr>
        <w:t>/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szövődményekhez vezethet. Túladagolás esetén mérlegelni kell valamilyen fémkation</w:t>
      </w:r>
      <w:r>
        <w:rPr>
          <w:lang w:val="hu-HU" w:eastAsia="en-GB"/>
        </w:rPr>
        <w:noBreakHyphen/>
        <w:t>tartalmú készítmény, pl. kalcium</w:t>
      </w:r>
      <w:r>
        <w:rPr>
          <w:lang w:val="hu-HU" w:eastAsia="en-GB"/>
        </w:rPr>
        <w:noBreakHyphen/>
        <w:t>, alumínium</w:t>
      </w:r>
      <w:r>
        <w:rPr>
          <w:lang w:val="hu-HU" w:eastAsia="en-GB"/>
        </w:rPr>
        <w:noBreakHyphen/>
        <w:t xml:space="preserve"> vagy magnézium</w:t>
      </w:r>
      <w:r>
        <w:rPr>
          <w:lang w:val="hu-HU" w:eastAsia="en-GB"/>
        </w:rPr>
        <w:noBreakHyphen/>
        <w:t xml:space="preserve">készítmények orális adagolását, hogy </w:t>
      </w:r>
      <w:proofErr w:type="spellStart"/>
      <w:r>
        <w:rPr>
          <w:lang w:val="hu-HU" w:eastAsia="en-GB"/>
        </w:rPr>
        <w:t>kelátot</w:t>
      </w:r>
      <w:proofErr w:type="spellEnd"/>
      <w:r>
        <w:rPr>
          <w:lang w:val="hu-HU" w:eastAsia="en-GB"/>
        </w:rPr>
        <w:t xml:space="preserve"> képezzen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, és így csökkentse a felszívódást. Gondosan </w:t>
      </w:r>
      <w:proofErr w:type="spellStart"/>
      <w:r>
        <w:rPr>
          <w:lang w:val="hu-HU" w:eastAsia="en-GB"/>
        </w:rPr>
        <w:t>monitorozni</w:t>
      </w:r>
      <w:proofErr w:type="spellEnd"/>
      <w:r>
        <w:rPr>
          <w:lang w:val="hu-HU" w:eastAsia="en-GB"/>
        </w:rPr>
        <w:t xml:space="preserve"> kell a vérlemezkeszámot.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kezelést az adagolási és alkalmazási előírások szerint kell újraindítani (lásd 4.2 pont).</w:t>
      </w:r>
    </w:p>
    <w:p w14:paraId="59F680B0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60B3D7F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klinikai vizsgálatokban egy túladagolásról számoltak be, amikor a beteg 5000 mg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nyelt le. A jelentett mellékhatások enyhe kiütés, múló </w:t>
      </w:r>
      <w:proofErr w:type="spellStart"/>
      <w:r>
        <w:rPr>
          <w:lang w:val="hu-HU" w:eastAsia="en-GB"/>
        </w:rPr>
        <w:t>bradycardia</w:t>
      </w:r>
      <w:proofErr w:type="spellEnd"/>
      <w:r>
        <w:rPr>
          <w:lang w:val="hu-HU" w:eastAsia="en-GB"/>
        </w:rPr>
        <w:t>, GPT</w:t>
      </w:r>
      <w:r>
        <w:rPr>
          <w:lang w:val="hu-HU" w:eastAsia="en-GB"/>
        </w:rPr>
        <w:noBreakHyphen/>
        <w:t xml:space="preserve"> és GOT</w:t>
      </w:r>
      <w:r>
        <w:rPr>
          <w:lang w:val="hu-HU" w:eastAsia="en-GB"/>
        </w:rPr>
        <w:noBreakHyphen/>
        <w:t>emelkedés és fáradtság voltak. A gyógyszer lenyelése utáni 2</w:t>
      </w:r>
      <w:r>
        <w:rPr>
          <w:lang w:val="hu-HU" w:eastAsia="en-GB"/>
        </w:rPr>
        <w:noBreakHyphen/>
        <w:t>18. napon a májenzimek mért csúcsértéke a normálérték felső határának (ULN) 1,6</w:t>
      </w:r>
      <w:r>
        <w:rPr>
          <w:lang w:val="hu-HU" w:eastAsia="en-GB"/>
        </w:rPr>
        <w:noBreakHyphen/>
        <w:t>szorosa volt a GOT, az ULN 3,9</w:t>
      </w:r>
      <w:r>
        <w:rPr>
          <w:lang w:val="hu-HU" w:eastAsia="en-GB"/>
        </w:rPr>
        <w:noBreakHyphen/>
        <w:t>szerese volt az GPT, és az ULN 2,4</w:t>
      </w:r>
      <w:r>
        <w:rPr>
          <w:lang w:val="hu-HU" w:eastAsia="en-GB"/>
        </w:rPr>
        <w:noBreakHyphen/>
        <w:t xml:space="preserve">szerese volt az </w:t>
      </w:r>
      <w:proofErr w:type="spellStart"/>
      <w:r>
        <w:rPr>
          <w:lang w:val="hu-HU" w:eastAsia="en-GB"/>
        </w:rPr>
        <w:t>összbilirubin</w:t>
      </w:r>
      <w:proofErr w:type="spellEnd"/>
      <w:r>
        <w:rPr>
          <w:lang w:val="hu-HU" w:eastAsia="en-GB"/>
        </w:rPr>
        <w:t xml:space="preserve"> esetében. A vérlemezkeszám 672 000/µl volt a gyógyszer bevétele utáni 18. napon, a legmagasabb vérlemezkeszám 929 000/µl volt. A mellékhatások a kezelés után következmények nélkül megszűntek.</w:t>
      </w:r>
    </w:p>
    <w:p w14:paraId="6E7144D8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0A6B071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b/>
          <w:bCs/>
          <w:lang w:val="hu-HU"/>
        </w:rPr>
      </w:pPr>
      <w:r>
        <w:rPr>
          <w:lang w:val="hu-HU" w:eastAsia="en-GB"/>
        </w:rPr>
        <w:t xml:space="preserve">Mivel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renalisan</w:t>
      </w:r>
      <w:proofErr w:type="spellEnd"/>
      <w:r>
        <w:rPr>
          <w:lang w:val="hu-HU" w:eastAsia="en-GB"/>
        </w:rPr>
        <w:t xml:space="preserve"> nem ürül jelentős mértékben, és erősen kötődik a plazmafehérjékhez, nem várható, hogy a </w:t>
      </w:r>
      <w:proofErr w:type="spellStart"/>
      <w:r>
        <w:rPr>
          <w:lang w:val="hu-HU" w:eastAsia="en-GB"/>
        </w:rPr>
        <w:t>hemodialízis</w:t>
      </w:r>
      <w:proofErr w:type="spellEnd"/>
      <w:r>
        <w:rPr>
          <w:lang w:val="hu-HU" w:eastAsia="en-GB"/>
        </w:rPr>
        <w:t xml:space="preserve"> hatékonyan gyorsítsa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kiürülését.</w:t>
      </w:r>
    </w:p>
    <w:p w14:paraId="46FA9634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166114DF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256A6988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5.</w:t>
      </w:r>
      <w:r>
        <w:rPr>
          <w:rFonts w:eastAsia="Times New Roman"/>
          <w:b/>
          <w:bCs/>
          <w:lang w:val="hu-HU" w:eastAsia="en-US"/>
        </w:rPr>
        <w:tab/>
        <w:t>FARMAKOLÓGIAI TULAJDONSÁGOK</w:t>
      </w:r>
    </w:p>
    <w:p w14:paraId="7E5F5AEC" w14:textId="77777777" w:rsidR="00342CEA" w:rsidRDefault="00342CEA">
      <w:pPr>
        <w:keepNext/>
        <w:spacing w:line="240" w:lineRule="auto"/>
        <w:ind w:left="567" w:hanging="567"/>
        <w:outlineLvl w:val="0"/>
        <w:rPr>
          <w:rFonts w:eastAsia="Times New Roman"/>
          <w:lang w:val="hu-HU" w:eastAsia="en-US"/>
        </w:rPr>
      </w:pPr>
    </w:p>
    <w:p w14:paraId="2B300BBE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5.1</w:t>
      </w:r>
      <w:r>
        <w:rPr>
          <w:rFonts w:eastAsia="Times New Roman"/>
          <w:b/>
          <w:bCs/>
          <w:lang w:val="hu-HU" w:eastAsia="en-US"/>
        </w:rPr>
        <w:tab/>
      </w:r>
      <w:proofErr w:type="spellStart"/>
      <w:r>
        <w:rPr>
          <w:rFonts w:eastAsia="Times New Roman"/>
          <w:b/>
          <w:bCs/>
          <w:lang w:val="hu-HU" w:eastAsia="en-US"/>
        </w:rPr>
        <w:t>Farmakodinámiás</w:t>
      </w:r>
      <w:proofErr w:type="spellEnd"/>
      <w:r>
        <w:rPr>
          <w:rFonts w:eastAsia="Times New Roman"/>
          <w:b/>
          <w:bCs/>
          <w:lang w:val="hu-HU" w:eastAsia="en-US"/>
        </w:rPr>
        <w:t xml:space="preserve"> tulajdonságok</w:t>
      </w:r>
    </w:p>
    <w:p w14:paraId="6D3F432D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2F00F64E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Farmakoterápiás</w:t>
      </w:r>
      <w:proofErr w:type="spellEnd"/>
      <w:r>
        <w:rPr>
          <w:rFonts w:eastAsia="Times New Roman"/>
          <w:lang w:val="hu-HU" w:eastAsia="en-US"/>
        </w:rPr>
        <w:t xml:space="preserve"> csoport: </w:t>
      </w:r>
      <w:proofErr w:type="spellStart"/>
      <w:r>
        <w:rPr>
          <w:lang w:val="hu-HU" w:eastAsia="en-GB"/>
        </w:rPr>
        <w:t>Antihaemorrhagiás</w:t>
      </w:r>
      <w:proofErr w:type="spellEnd"/>
      <w:r>
        <w:rPr>
          <w:lang w:val="hu-HU" w:eastAsia="en-GB"/>
        </w:rPr>
        <w:t xml:space="preserve"> készítmények, egyéb szisztémás vérzéscsillapítók.</w:t>
      </w:r>
      <w:r>
        <w:rPr>
          <w:rFonts w:eastAsia="Times New Roman"/>
          <w:lang w:val="hu-HU" w:eastAsia="en-US"/>
        </w:rPr>
        <w:t xml:space="preserve"> ATC kód: </w:t>
      </w:r>
      <w:r>
        <w:rPr>
          <w:lang w:val="hu-HU" w:eastAsia="en-GB"/>
        </w:rPr>
        <w:t>B02BX 05.</w:t>
      </w:r>
    </w:p>
    <w:p w14:paraId="52F5E9F9" w14:textId="77777777" w:rsidR="00342CEA" w:rsidRDefault="00342CEA">
      <w:pPr>
        <w:autoSpaceDE w:val="0"/>
        <w:autoSpaceDN w:val="0"/>
        <w:spacing w:line="240" w:lineRule="auto"/>
        <w:jc w:val="both"/>
        <w:rPr>
          <w:lang w:val="hu-HU"/>
        </w:rPr>
      </w:pPr>
    </w:p>
    <w:p w14:paraId="3F1DD4EB" w14:textId="77777777" w:rsidR="00342CEA" w:rsidRDefault="00837BAB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14:paraId="767DFE9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TPO a </w:t>
      </w:r>
      <w:proofErr w:type="spellStart"/>
      <w:r>
        <w:rPr>
          <w:lang w:val="hu-HU" w:eastAsia="en-GB"/>
        </w:rPr>
        <w:t>megakaryopoiesis</w:t>
      </w:r>
      <w:proofErr w:type="spellEnd"/>
      <w:r>
        <w:rPr>
          <w:lang w:val="hu-HU" w:eastAsia="en-GB"/>
        </w:rPr>
        <w:t xml:space="preserve"> szabályozásában és a vérlemezke termelésben részt vevő legfontosabb </w:t>
      </w:r>
      <w:proofErr w:type="spellStart"/>
      <w:r>
        <w:rPr>
          <w:lang w:val="hu-HU" w:eastAsia="en-GB"/>
        </w:rPr>
        <w:t>citokin</w:t>
      </w:r>
      <w:proofErr w:type="spellEnd"/>
      <w:r>
        <w:rPr>
          <w:lang w:val="hu-HU" w:eastAsia="en-GB"/>
        </w:rPr>
        <w:t>, és a TPO</w:t>
      </w:r>
      <w:r>
        <w:rPr>
          <w:lang w:val="hu-HU" w:eastAsia="en-GB"/>
        </w:rPr>
        <w:noBreakHyphen/>
        <w:t xml:space="preserve">R endogén </w:t>
      </w:r>
      <w:proofErr w:type="spellStart"/>
      <w:r>
        <w:rPr>
          <w:lang w:val="hu-HU" w:eastAsia="en-GB"/>
        </w:rPr>
        <w:t>ligandja</w:t>
      </w:r>
      <w:proofErr w:type="spellEnd"/>
      <w:r>
        <w:rPr>
          <w:lang w:val="hu-HU" w:eastAsia="en-GB"/>
        </w:rPr>
        <w:t xml:space="preserve">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kölcsönhatásba lép a humán TPO</w:t>
      </w:r>
      <w:r>
        <w:rPr>
          <w:lang w:val="hu-HU" w:eastAsia="en-GB"/>
        </w:rPr>
        <w:noBreakHyphen/>
        <w:t xml:space="preserve">R transzmembrán doménjével, és az endogén </w:t>
      </w:r>
      <w:proofErr w:type="spellStart"/>
      <w:r>
        <w:rPr>
          <w:lang w:val="hu-HU" w:eastAsia="en-GB"/>
        </w:rPr>
        <w:t>thrombopoietinéhoz</w:t>
      </w:r>
      <w:proofErr w:type="spellEnd"/>
      <w:r>
        <w:rPr>
          <w:lang w:val="hu-HU" w:eastAsia="en-GB"/>
        </w:rPr>
        <w:t xml:space="preserve"> (TPO) hasonló, de azzal nem azonos kaszkád mechanizmust indít el, ami indukálja a </w:t>
      </w:r>
      <w:proofErr w:type="spellStart"/>
      <w:r>
        <w:rPr>
          <w:lang w:val="hu-HU" w:eastAsia="en-GB"/>
        </w:rPr>
        <w:t>proliferációt</w:t>
      </w:r>
      <w:proofErr w:type="spellEnd"/>
      <w:r>
        <w:rPr>
          <w:lang w:val="hu-HU" w:eastAsia="en-GB"/>
        </w:rPr>
        <w:t xml:space="preserve"> és differenciálódást a csontvelő </w:t>
      </w:r>
      <w:proofErr w:type="spellStart"/>
      <w:r>
        <w:rPr>
          <w:lang w:val="hu-HU" w:eastAsia="en-GB"/>
        </w:rPr>
        <w:t>progenitor</w:t>
      </w:r>
      <w:proofErr w:type="spellEnd"/>
      <w:r>
        <w:rPr>
          <w:lang w:val="hu-HU" w:eastAsia="en-GB"/>
        </w:rPr>
        <w:t xml:space="preserve"> sejtjeiből.</w:t>
      </w:r>
    </w:p>
    <w:p w14:paraId="5A9C7158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EB5274B" w14:textId="77777777" w:rsidR="00342CEA" w:rsidRDefault="00837BAB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14:paraId="46B1386B" w14:textId="77777777" w:rsidR="00342CEA" w:rsidRDefault="00342CEA">
      <w:pPr>
        <w:keepNext/>
        <w:spacing w:line="240" w:lineRule="auto"/>
        <w:rPr>
          <w:u w:val="single"/>
          <w:lang w:val="hu-HU"/>
        </w:rPr>
      </w:pPr>
    </w:p>
    <w:p w14:paraId="17CE485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 xml:space="preserve">Immun (primer) </w:t>
      </w:r>
      <w:proofErr w:type="spellStart"/>
      <w:r>
        <w:rPr>
          <w:i/>
          <w:u w:val="single"/>
          <w:lang w:val="hu-HU" w:eastAsia="en-GB"/>
        </w:rPr>
        <w:t>thrombocytopenia</w:t>
      </w:r>
      <w:proofErr w:type="spellEnd"/>
      <w:r>
        <w:rPr>
          <w:i/>
          <w:u w:val="single"/>
          <w:lang w:val="hu-HU" w:eastAsia="en-GB"/>
        </w:rPr>
        <w:t xml:space="preserve"> (ITP) vizsgálatok</w:t>
      </w:r>
    </w:p>
    <w:p w14:paraId="5FBA524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biztonságosságát és hatásosságát korábban ITP miatt kezelt felnőtt betegeknél két III. fázisú,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>, kettős</w:t>
      </w:r>
      <w:r>
        <w:rPr>
          <w:lang w:val="hu-HU" w:eastAsia="en-GB"/>
        </w:rPr>
        <w:noBreakHyphen/>
        <w:t>vak, placebokontrollos vizsgálat, a RAISE (TRA102537) és a TRA100773B, valamint két nyílt vizsgálat, a REPEAT (TRA108057) és az EXTEND (TRA105325) értékelte. Összességében 277, ITP</w:t>
      </w:r>
      <w:r>
        <w:rPr>
          <w:lang w:val="hu-HU" w:eastAsia="en-GB"/>
        </w:rPr>
        <w:noBreakHyphen/>
        <w:t xml:space="preserve">s beteg kapott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legalább 6 hónapig 202 beteg pedig legalább 1 évig. A TAPER (CETB115J2411) elnevezésű egy karú, II. fázisú vizsgálatban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biztonságosságát és hatásosságát, valamint a kezelés abbahagyása utáni tartós válasz </w:t>
      </w:r>
      <w:r>
        <w:rPr>
          <w:lang w:val="hu-HU" w:eastAsia="en-GB"/>
        </w:rPr>
        <w:lastRenderedPageBreak/>
        <w:t>kiváltása iránti képességét tanulmányozták 105, olyan felnőttkorú ITP</w:t>
      </w:r>
      <w:r>
        <w:rPr>
          <w:lang w:val="hu-HU" w:eastAsia="en-GB"/>
        </w:rPr>
        <w:noBreakHyphen/>
        <w:t xml:space="preserve">s betegnél, akiknél első vonalbeli </w:t>
      </w:r>
      <w:proofErr w:type="spellStart"/>
      <w:r>
        <w:rPr>
          <w:lang w:val="hu-HU" w:eastAsia="en-GB"/>
        </w:rPr>
        <w:t>kortikoszteroid</w:t>
      </w:r>
      <w:proofErr w:type="spellEnd"/>
      <w:r>
        <w:rPr>
          <w:lang w:val="hu-HU" w:eastAsia="en-GB"/>
        </w:rPr>
        <w:noBreakHyphen/>
        <w:t xml:space="preserve">kezelés után </w:t>
      </w:r>
      <w:proofErr w:type="spellStart"/>
      <w:r>
        <w:rPr>
          <w:lang w:val="hu-HU" w:eastAsia="en-GB"/>
        </w:rPr>
        <w:t>relapszus</w:t>
      </w:r>
      <w:proofErr w:type="spellEnd"/>
      <w:r>
        <w:rPr>
          <w:lang w:val="hu-HU" w:eastAsia="en-GB"/>
        </w:rPr>
        <w:t xml:space="preserve"> lépett fel vagy nem alakult ki terápiás válasz.</w:t>
      </w:r>
    </w:p>
    <w:p w14:paraId="09F24BE0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2F55960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  <w:r>
        <w:rPr>
          <w:i/>
          <w:lang w:val="hu-HU" w:eastAsia="en-GB"/>
        </w:rPr>
        <w:t>Kettős vak, placebokontrollos vizsgálatok</w:t>
      </w:r>
    </w:p>
    <w:p w14:paraId="016A947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RAISE: </w:t>
      </w:r>
    </w:p>
    <w:p w14:paraId="70CD887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197 ITP</w:t>
      </w:r>
      <w:r>
        <w:rPr>
          <w:lang w:val="hu-HU" w:eastAsia="en-GB"/>
        </w:rPr>
        <w:noBreakHyphen/>
        <w:t xml:space="preserve">s beteget </w:t>
      </w:r>
      <w:proofErr w:type="spellStart"/>
      <w:r>
        <w:rPr>
          <w:lang w:val="hu-HU" w:eastAsia="en-GB"/>
        </w:rPr>
        <w:t>randomizáltak</w:t>
      </w:r>
      <w:proofErr w:type="spellEnd"/>
      <w:r>
        <w:rPr>
          <w:lang w:val="hu-HU" w:eastAsia="en-GB"/>
        </w:rPr>
        <w:t xml:space="preserve"> 2:1 arányban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 (n = 135) és placebokarra (n = 62), a </w:t>
      </w:r>
      <w:proofErr w:type="spellStart"/>
      <w:r>
        <w:rPr>
          <w:lang w:val="hu-HU" w:eastAsia="en-GB"/>
        </w:rPr>
        <w:t>stratifikációnál</w:t>
      </w:r>
      <w:proofErr w:type="spellEnd"/>
      <w:r>
        <w:rPr>
          <w:lang w:val="hu-HU" w:eastAsia="en-GB"/>
        </w:rPr>
        <w:t xml:space="preserve"> a </w:t>
      </w:r>
      <w:proofErr w:type="spellStart"/>
      <w:r>
        <w:rPr>
          <w:lang w:val="hu-HU" w:eastAsia="en-GB"/>
        </w:rPr>
        <w:t>splenectomiás</w:t>
      </w:r>
      <w:proofErr w:type="spellEnd"/>
      <w:r>
        <w:rPr>
          <w:lang w:val="hu-HU" w:eastAsia="en-GB"/>
        </w:rPr>
        <w:t xml:space="preserve"> státuszt, az ITP</w:t>
      </w:r>
      <w:r>
        <w:rPr>
          <w:lang w:val="hu-HU" w:eastAsia="en-GB"/>
        </w:rPr>
        <w:noBreakHyphen/>
        <w:t xml:space="preserve">re a vizsgálat indításakor alkalmazott gyógyszereket és a kiindulási vérlemezkeszámot vették figyelembe.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dózisát a 6 hónapos kezelési idő alatt a betegek vérlemezkeszáma alapján egyénenként állították be. A kezelést minden betegnél 50 mg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indították. A 29. naptól a kezelés végéig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 15</w:t>
      </w:r>
      <w:r>
        <w:rPr>
          <w:lang w:val="hu-HU" w:eastAsia="en-GB"/>
        </w:rPr>
        <w:noBreakHyphen/>
        <w:t>28%</w:t>
      </w:r>
      <w:r>
        <w:rPr>
          <w:lang w:val="hu-HU" w:eastAsia="en-GB"/>
        </w:rPr>
        <w:noBreakHyphen/>
        <w:t>a kapott 25 mg</w:t>
      </w:r>
      <w:r>
        <w:rPr>
          <w:lang w:val="hu-HU" w:eastAsia="en-GB"/>
        </w:rPr>
        <w:noBreakHyphen/>
        <w:t>ot vagy annál kevesebbet, és 29</w:t>
      </w:r>
      <w:r>
        <w:rPr>
          <w:lang w:val="hu-HU" w:eastAsia="en-GB"/>
        </w:rPr>
        <w:noBreakHyphen/>
        <w:t>53%</w:t>
      </w:r>
      <w:r>
        <w:rPr>
          <w:lang w:val="hu-HU" w:eastAsia="en-GB"/>
        </w:rPr>
        <w:noBreakHyphen/>
        <w:t>a kapott 75 mg</w:t>
      </w:r>
      <w:r>
        <w:rPr>
          <w:lang w:val="hu-HU" w:eastAsia="en-GB"/>
        </w:rPr>
        <w:noBreakHyphen/>
        <w:t>ot.</w:t>
      </w:r>
    </w:p>
    <w:p w14:paraId="17F94022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01E23F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Emellett a betegek fokozatosan csökkenthették az ITP kezelésére együtt adott gyógyszereket, és a helyi kezelési standardok szerint kaphatták a mentő kezelést („</w:t>
      </w:r>
      <w:proofErr w:type="spellStart"/>
      <w:r>
        <w:rPr>
          <w:lang w:val="hu-HU" w:eastAsia="en-GB"/>
        </w:rPr>
        <w:t>rescue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treatment</w:t>
      </w:r>
      <w:proofErr w:type="spellEnd"/>
      <w:r>
        <w:rPr>
          <w:lang w:val="hu-HU" w:eastAsia="en-GB"/>
        </w:rPr>
        <w:t>”). Mindkét kezelési csoportban a betegeknek több mint a fele kapott korábban legalább 3 kezelést ITP miatt, és 36%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uknak</w:t>
      </w:r>
      <w:proofErr w:type="spellEnd"/>
      <w:r>
        <w:rPr>
          <w:lang w:val="hu-HU" w:eastAsia="en-GB"/>
        </w:rPr>
        <w:t xml:space="preserve"> korábban eltávolították a lépét.</w:t>
      </w:r>
    </w:p>
    <w:p w14:paraId="2F562C0C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7E48B2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medián vérlemezkeszám a vizsgálat indításakor mindkét kezelési csoportban 16 000/</w:t>
      </w:r>
      <w:r>
        <w:rPr>
          <w:u w:val="single"/>
          <w:lang w:val="hu-HU"/>
        </w:rPr>
        <w:t>µl</w:t>
      </w:r>
      <w:r>
        <w:rPr>
          <w:lang w:val="hu-HU" w:eastAsia="en-GB"/>
        </w:rPr>
        <w:t xml:space="preserve"> volt, és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csoportban a 15. naptól kezdődően minden kontroll alkalmával 50 000/</w:t>
      </w:r>
      <w:r>
        <w:rPr>
          <w:lang w:val="hu-HU"/>
        </w:rPr>
        <w:t>µl</w:t>
      </w:r>
      <w:r>
        <w:rPr>
          <w:lang w:val="hu-HU" w:eastAsia="en-GB"/>
        </w:rPr>
        <w:t xml:space="preserve"> felett maradt; ezzel szemben a placebocsoportban a medián vérlemezkeszám 30 000/</w:t>
      </w:r>
      <w:r>
        <w:rPr>
          <w:lang w:val="hu-HU"/>
        </w:rPr>
        <w:t>µl</w:t>
      </w:r>
      <w:r>
        <w:rPr>
          <w:lang w:val="hu-HU" w:eastAsia="en-GB"/>
        </w:rPr>
        <w:t xml:space="preserve"> alatt maradt a vizsgálat egész ideje alatt.</w:t>
      </w:r>
    </w:p>
    <w:p w14:paraId="35B9F808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A6D279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Szignifikánsan több beteg ért el 50 000</w:t>
      </w:r>
      <w:r>
        <w:rPr>
          <w:lang w:val="hu-HU" w:eastAsia="en-GB"/>
        </w:rPr>
        <w:noBreakHyphen/>
        <w:t>400 000/</w:t>
      </w:r>
      <w:r>
        <w:rPr>
          <w:lang w:val="hu-HU"/>
        </w:rPr>
        <w:t>µl</w:t>
      </w:r>
      <w:r>
        <w:rPr>
          <w:lang w:val="hu-HU" w:eastAsia="en-GB"/>
        </w:rPr>
        <w:t xml:space="preserve"> közötti vérlemezkeszámot a mentő</w:t>
      </w:r>
      <w:r>
        <w:rPr>
          <w:lang w:val="hu-HU" w:eastAsia="en-GB"/>
        </w:rPr>
        <w:noBreakHyphen/>
        <w:t xml:space="preserve">kezelés nélkül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csoportban a 6 hónapos kezelés alatt (p </w:t>
      </w:r>
      <w:proofErr w:type="gramStart"/>
      <w:r>
        <w:rPr>
          <w:lang w:val="hu-HU" w:eastAsia="en-GB"/>
        </w:rPr>
        <w:t>&lt; 0,001</w:t>
      </w:r>
      <w:proofErr w:type="gramEnd"/>
      <w:r>
        <w:rPr>
          <w:lang w:val="hu-HU" w:eastAsia="en-GB"/>
        </w:rPr>
        <w:t xml:space="preserve">).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 54%</w:t>
      </w:r>
      <w:r>
        <w:rPr>
          <w:lang w:val="hu-HU" w:eastAsia="en-GB"/>
        </w:rPr>
        <w:noBreakHyphen/>
        <w:t>a és a placebot kapók 13%</w:t>
      </w:r>
      <w:r>
        <w:rPr>
          <w:lang w:val="hu-HU" w:eastAsia="en-GB"/>
        </w:rPr>
        <w:noBreakHyphen/>
      </w:r>
      <w:proofErr w:type="gramStart"/>
      <w:r>
        <w:rPr>
          <w:lang w:val="hu-HU" w:eastAsia="en-GB"/>
        </w:rPr>
        <w:t>a</w:t>
      </w:r>
      <w:proofErr w:type="gramEnd"/>
      <w:r>
        <w:rPr>
          <w:lang w:val="hu-HU" w:eastAsia="en-GB"/>
        </w:rPr>
        <w:t xml:space="preserve"> ért el ilyen szintű választ 6 hét kezelés után. Hasonló vérlemezke választ sikerült fenntartani a kezelés teljes időtartama alatt, és a betegek 52%</w:t>
      </w:r>
      <w:r>
        <w:rPr>
          <w:lang w:val="hu-HU" w:eastAsia="en-GB"/>
        </w:rPr>
        <w:noBreakHyphen/>
        <w:t>a, ill. 16%</w:t>
      </w:r>
      <w:r>
        <w:rPr>
          <w:lang w:val="hu-HU" w:eastAsia="en-GB"/>
        </w:rPr>
        <w:noBreakHyphen/>
        <w:t>a reagált a 6. hónapos kezelési időszak végén.</w:t>
      </w:r>
    </w:p>
    <w:p w14:paraId="0894C026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4D9C21AF" w14:textId="77777777" w:rsidR="00342CEA" w:rsidRDefault="00837BAB">
      <w:pPr>
        <w:tabs>
          <w:tab w:val="clear" w:pos="567"/>
          <w:tab w:val="left" w:pos="1134"/>
        </w:tabs>
        <w:spacing w:line="240" w:lineRule="auto"/>
        <w:rPr>
          <w:b/>
          <w:bCs/>
          <w:u w:val="single"/>
          <w:lang w:val="hu-HU"/>
        </w:rPr>
      </w:pPr>
      <w:r>
        <w:rPr>
          <w:b/>
          <w:bCs/>
          <w:lang w:val="hu-HU" w:eastAsia="en-GB"/>
        </w:rPr>
        <w:t>4. táblázat</w:t>
      </w:r>
      <w:r>
        <w:rPr>
          <w:b/>
          <w:bCs/>
          <w:lang w:val="hu-HU" w:eastAsia="en-GB"/>
        </w:rPr>
        <w:tab/>
        <w:t>A RAISE vizsgálat másodlagos hatásossági eredményei</w:t>
      </w:r>
    </w:p>
    <w:tbl>
      <w:tblPr>
        <w:tblW w:w="9062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bottom w:w="7" w:type="dxa"/>
          <w:right w:w="33" w:type="dxa"/>
        </w:tblCellMar>
        <w:tblLook w:val="04A0" w:firstRow="1" w:lastRow="0" w:firstColumn="1" w:lastColumn="0" w:noHBand="0" w:noVBand="1"/>
      </w:tblPr>
      <w:tblGrid>
        <w:gridCol w:w="6059"/>
        <w:gridCol w:w="1656"/>
        <w:gridCol w:w="1347"/>
      </w:tblGrid>
      <w:tr w:rsidR="00342CEA" w14:paraId="1EA934A4" w14:textId="77777777">
        <w:trPr>
          <w:trHeight w:val="516"/>
        </w:trPr>
        <w:tc>
          <w:tcPr>
            <w:tcW w:w="6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C51308" w14:textId="77777777" w:rsidR="00342CEA" w:rsidRDefault="00342CEA">
            <w:pPr>
              <w:rPr>
                <w:lang w:val="hu-HU" w:eastAsia="en-US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1FA8" w14:textId="77777777" w:rsidR="00342CEA" w:rsidRDefault="00837BAB">
            <w:pPr>
              <w:keepNext/>
              <w:keepLines/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  <w:r>
              <w:rPr>
                <w:b/>
                <w:bCs/>
                <w:lang w:val="hu-HU" w:eastAsia="en-US"/>
              </w:rPr>
              <w:t xml:space="preserve"> N = 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32C59" w14:textId="77777777" w:rsidR="00342CEA" w:rsidRDefault="00837BAB">
            <w:pPr>
              <w:keepNext/>
              <w:keepLines/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Placebo N = 62</w:t>
            </w:r>
          </w:p>
        </w:tc>
      </w:tr>
      <w:tr w:rsidR="00342CEA" w14:paraId="61B62351" w14:textId="77777777">
        <w:trPr>
          <w:trHeight w:val="263"/>
        </w:trPr>
        <w:tc>
          <w:tcPr>
            <w:tcW w:w="6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55370A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A legfontosabb másodlagos végpontok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C2D7511" w14:textId="77777777" w:rsidR="00342CEA" w:rsidRDefault="00342CEA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F0DF60" w14:textId="77777777" w:rsidR="00342CEA" w:rsidRDefault="00342CEA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</w:p>
        </w:tc>
      </w:tr>
      <w:tr w:rsidR="00342CEA" w14:paraId="64021B53" w14:textId="77777777">
        <w:trPr>
          <w:trHeight w:val="532"/>
        </w:trPr>
        <w:tc>
          <w:tcPr>
            <w:tcW w:w="6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B22B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Kumulatív hetek száma </w:t>
            </w:r>
            <w:r>
              <w:rPr>
                <w:lang w:val="hu-HU" w:eastAsia="en-US"/>
              </w:rPr>
              <w:t>≥ </w:t>
            </w:r>
            <w:r>
              <w:rPr>
                <w:lang w:val="hu-HU" w:eastAsia="en-GB"/>
              </w:rPr>
              <w:t>50 000</w:t>
            </w:r>
            <w:r>
              <w:rPr>
                <w:lang w:val="hu-HU" w:eastAsia="en-GB"/>
              </w:rPr>
              <w:noBreakHyphen/>
              <w:t>400 000/</w:t>
            </w:r>
            <w:r>
              <w:rPr>
                <w:lang w:val="hu-HU"/>
              </w:rPr>
              <w:t>µl</w:t>
            </w:r>
            <w:r>
              <w:rPr>
                <w:lang w:val="hu-HU" w:eastAsia="en-GB"/>
              </w:rPr>
              <w:t xml:space="preserve"> vérlemezkeszámmal, átlagérték (SD)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0E9FE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11,3 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B553" w14:textId="77777777" w:rsidR="00342CEA" w:rsidRDefault="00837BAB">
            <w:pPr>
              <w:keepNext/>
              <w:keepLines/>
              <w:widowControl w:val="0"/>
              <w:spacing w:before="12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2,4 (5,95)</w:t>
            </w:r>
          </w:p>
        </w:tc>
      </w:tr>
      <w:tr w:rsidR="00342CEA" w14:paraId="11116380" w14:textId="77777777">
        <w:trPr>
          <w:trHeight w:val="264"/>
        </w:trPr>
        <w:tc>
          <w:tcPr>
            <w:tcW w:w="6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27C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Betegek, akiknél a mért értékek ≥ 75%</w:t>
            </w:r>
            <w:r>
              <w:rPr>
                <w:lang w:val="hu-HU" w:eastAsia="en-GB"/>
              </w:rPr>
              <w:noBreakHyphen/>
            </w:r>
            <w:proofErr w:type="gramStart"/>
            <w:r>
              <w:rPr>
                <w:lang w:val="hu-HU" w:eastAsia="en-GB"/>
              </w:rPr>
              <w:t xml:space="preserve">a </w:t>
            </w:r>
            <w:proofErr w:type="spellStart"/>
            <w:r>
              <w:rPr>
                <w:lang w:val="hu-HU" w:eastAsia="en-GB"/>
              </w:rPr>
              <w:t>a</w:t>
            </w:r>
            <w:proofErr w:type="spellEnd"/>
            <w:proofErr w:type="gramEnd"/>
            <w:r>
              <w:rPr>
                <w:lang w:val="hu-HU" w:eastAsia="en-GB"/>
              </w:rPr>
              <w:t xml:space="preserve"> megcélzott tartományban (50 000</w:t>
            </w:r>
            <w:r>
              <w:rPr>
                <w:lang w:val="hu-HU" w:eastAsia="en-GB"/>
              </w:rPr>
              <w:noBreakHyphen/>
              <w:t>400 000/</w:t>
            </w:r>
            <w:r>
              <w:rPr>
                <w:lang w:val="hu-HU"/>
              </w:rPr>
              <w:t>µl</w:t>
            </w:r>
            <w:r>
              <w:rPr>
                <w:lang w:val="hu-HU" w:eastAsia="en-GB"/>
              </w:rPr>
              <w:t>) volt, n (%)</w:t>
            </w:r>
          </w:p>
          <w:p w14:paraId="6F04E077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2EC4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51 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2E0A7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4 (7)</w:t>
            </w:r>
          </w:p>
        </w:tc>
      </w:tr>
      <w:tr w:rsidR="00342CEA" w14:paraId="49D2309D" w14:textId="77777777">
        <w:trPr>
          <w:trHeight w:val="5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F0A7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717A0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&lt;0,001</w:t>
            </w:r>
          </w:p>
        </w:tc>
      </w:tr>
      <w:tr w:rsidR="00342CEA" w14:paraId="6B1A939D" w14:textId="77777777">
        <w:trPr>
          <w:trHeight w:val="263"/>
        </w:trPr>
        <w:tc>
          <w:tcPr>
            <w:tcW w:w="6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C88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Betegek, akiknél vérzés jelentkezett (WHO 1</w:t>
            </w:r>
            <w:r>
              <w:rPr>
                <w:lang w:val="hu-HU" w:eastAsia="en-GB"/>
              </w:rPr>
              <w:noBreakHyphen/>
              <w:t>4. fokozat) bármikor a 6 hónap során, n (%)</w:t>
            </w:r>
          </w:p>
          <w:p w14:paraId="4FDDE167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02E3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106 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48979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56 (93)</w:t>
            </w:r>
          </w:p>
        </w:tc>
      </w:tr>
      <w:tr w:rsidR="00342CEA" w14:paraId="07B85544" w14:textId="77777777">
        <w:trPr>
          <w:trHeight w:val="50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D1C3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1D0D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0,012</w:t>
            </w:r>
          </w:p>
        </w:tc>
      </w:tr>
      <w:tr w:rsidR="00342CEA" w14:paraId="781FDFB0" w14:textId="77777777">
        <w:trPr>
          <w:trHeight w:val="263"/>
        </w:trPr>
        <w:tc>
          <w:tcPr>
            <w:tcW w:w="6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C780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Betegek, akiknél vérzés jelentkezett (WHO 2</w:t>
            </w:r>
            <w:r>
              <w:rPr>
                <w:lang w:val="hu-HU" w:eastAsia="en-GB"/>
              </w:rPr>
              <w:noBreakHyphen/>
              <w:t>4. fokozat) bármikor a 6 hónap során, n (%)</w:t>
            </w:r>
          </w:p>
          <w:p w14:paraId="6A11635F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E269A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44 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BBC8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32 (53)</w:t>
            </w:r>
          </w:p>
        </w:tc>
      </w:tr>
      <w:tr w:rsidR="00342CEA" w14:paraId="7B563085" w14:textId="77777777">
        <w:trPr>
          <w:trHeight w:val="50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562D6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AE59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0,002</w:t>
            </w:r>
          </w:p>
        </w:tc>
      </w:tr>
      <w:tr w:rsidR="00342CEA" w14:paraId="25DE5B23" w14:textId="77777777">
        <w:trPr>
          <w:trHeight w:val="263"/>
        </w:trPr>
        <w:tc>
          <w:tcPr>
            <w:tcW w:w="6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5441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Mentő terápiát igénylő betegek, n (%)</w:t>
            </w:r>
          </w:p>
          <w:p w14:paraId="1FFD17DC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0905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24 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E433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25 (40)</w:t>
            </w:r>
          </w:p>
        </w:tc>
      </w:tr>
      <w:tr w:rsidR="00342CEA" w14:paraId="1138EF2A" w14:textId="77777777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B02B0" w14:textId="77777777" w:rsidR="00342CEA" w:rsidRDefault="00342CEA">
            <w:pPr>
              <w:rPr>
                <w:lang w:val="hu-HU" w:eastAsia="en-US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303E2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0,001</w:t>
            </w:r>
          </w:p>
        </w:tc>
      </w:tr>
      <w:tr w:rsidR="00342CEA" w14:paraId="1BC1F91F" w14:textId="77777777">
        <w:trPr>
          <w:trHeight w:val="263"/>
        </w:trPr>
        <w:tc>
          <w:tcPr>
            <w:tcW w:w="6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CD9D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A vizsgálat indításakor ITP miatt kezelést kapott betegek (n)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D215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457E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31</w:t>
            </w:r>
          </w:p>
        </w:tc>
      </w:tr>
      <w:tr w:rsidR="00342CEA" w14:paraId="55A7C425" w14:textId="77777777">
        <w:trPr>
          <w:trHeight w:val="263"/>
        </w:trPr>
        <w:tc>
          <w:tcPr>
            <w:tcW w:w="6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E7F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A vizsgálat indításakor kapott gyógyszerek csökkentését vagy abbahagyását megpróbáló betegek, n </w:t>
            </w:r>
            <w:r>
              <w:rPr>
                <w:lang w:val="hu-HU" w:eastAsia="en-US"/>
              </w:rPr>
              <w:t>(</w:t>
            </w:r>
            <w:proofErr w:type="gramStart"/>
            <w:r>
              <w:rPr>
                <w:lang w:val="hu-HU" w:eastAsia="en-US"/>
              </w:rPr>
              <w:t>%)</w:t>
            </w:r>
            <w:r>
              <w:rPr>
                <w:vertAlign w:val="superscript"/>
                <w:lang w:val="hu-HU" w:eastAsia="en-US"/>
              </w:rPr>
              <w:t>b</w:t>
            </w:r>
            <w:proofErr w:type="gramEnd"/>
          </w:p>
          <w:p w14:paraId="4E95B011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6500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37 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8F43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 (32)</w:t>
            </w:r>
          </w:p>
        </w:tc>
      </w:tr>
      <w:tr w:rsidR="00342CEA" w14:paraId="5FC2CBFF" w14:textId="77777777">
        <w:trPr>
          <w:trHeight w:val="50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B23C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E65C4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0,016</w:t>
            </w:r>
          </w:p>
        </w:tc>
      </w:tr>
    </w:tbl>
    <w:p w14:paraId="4F18CD87" w14:textId="77777777" w:rsidR="00342CEA" w:rsidRDefault="00837BAB">
      <w:pPr>
        <w:rPr>
          <w:lang w:val="hu-HU" w:eastAsia="en-US"/>
        </w:rPr>
      </w:pPr>
      <w:r>
        <w:rPr>
          <w:vertAlign w:val="superscript"/>
          <w:lang w:val="hu-HU" w:eastAsia="en-US"/>
        </w:rPr>
        <w:t>a</w:t>
      </w:r>
      <w:r>
        <w:rPr>
          <w:lang w:val="hu-HU" w:eastAsia="en-US"/>
        </w:rPr>
        <w:t xml:space="preserve"> </w:t>
      </w:r>
      <w:proofErr w:type="spellStart"/>
      <w:r>
        <w:rPr>
          <w:lang w:val="hu-HU" w:eastAsia="en-GB"/>
        </w:rPr>
        <w:t>Randomizációs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stratifikációs</w:t>
      </w:r>
      <w:proofErr w:type="spellEnd"/>
      <w:r>
        <w:rPr>
          <w:lang w:val="hu-HU" w:eastAsia="en-GB"/>
        </w:rPr>
        <w:t xml:space="preserve"> változókkal korrigált logisztikai regressziós modell</w:t>
      </w:r>
    </w:p>
    <w:p w14:paraId="0591905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US"/>
        </w:rPr>
      </w:pPr>
      <w:r>
        <w:rPr>
          <w:vertAlign w:val="superscript"/>
          <w:lang w:val="hu-HU" w:eastAsia="en-US"/>
        </w:rPr>
        <w:t>b</w:t>
      </w:r>
      <w:r>
        <w:rPr>
          <w:lang w:val="hu-HU" w:eastAsia="en-US"/>
        </w:rPr>
        <w:t xml:space="preserve"> </w:t>
      </w: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63 beteg közül, akik a vizsgálat indításakor az ITP kezelésére gyógyszert szedtek, 21 (33%) tartósan abbahagyta az összes, kiinduláskor ITP</w:t>
      </w:r>
      <w:r>
        <w:rPr>
          <w:lang w:val="hu-HU" w:eastAsia="en-GB"/>
        </w:rPr>
        <w:noBreakHyphen/>
        <w:t>re alkalmazott gyógyszert.</w:t>
      </w:r>
    </w:p>
    <w:p w14:paraId="3C5BC482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278E73B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 vizsgálat indításakor minden kezelési csoportban az ITP</w:t>
      </w:r>
      <w:r>
        <w:rPr>
          <w:lang w:val="hu-HU" w:eastAsia="en-GB"/>
        </w:rPr>
        <w:noBreakHyphen/>
        <w:t>s betegek több mint 70%</w:t>
      </w:r>
      <w:r>
        <w:rPr>
          <w:lang w:val="hu-HU" w:eastAsia="en-GB"/>
        </w:rPr>
        <w:noBreakHyphen/>
        <w:t>a számolt be vérzésről (WHO 1</w:t>
      </w:r>
      <w:r>
        <w:rPr>
          <w:lang w:val="hu-HU" w:eastAsia="en-GB"/>
        </w:rPr>
        <w:noBreakHyphen/>
        <w:t>4</w:t>
      </w:r>
      <w:r>
        <w:rPr>
          <w:lang w:val="hu-HU" w:eastAsia="en-GB"/>
        </w:rPr>
        <w:noBreakHyphen/>
        <w:t xml:space="preserve">es fokozat), és több mint 20% számolt be klinikailag jelentős vérzésről (WHO </w:t>
      </w:r>
      <w:r>
        <w:rPr>
          <w:lang w:val="hu-HU" w:eastAsia="en-GB"/>
        </w:rPr>
        <w:lastRenderedPageBreak/>
        <w:t>2</w:t>
      </w:r>
      <w:r>
        <w:rPr>
          <w:lang w:val="hu-HU" w:eastAsia="en-GB"/>
        </w:rPr>
        <w:noBreakHyphen/>
        <w:t>4</w:t>
      </w:r>
      <w:r>
        <w:rPr>
          <w:lang w:val="hu-HU" w:eastAsia="en-GB"/>
        </w:rPr>
        <w:noBreakHyphen/>
        <w:t>es fokozat). A bármilyen vérzést (1</w:t>
      </w:r>
      <w:r>
        <w:rPr>
          <w:lang w:val="hu-HU" w:eastAsia="en-GB"/>
        </w:rPr>
        <w:noBreakHyphen/>
        <w:t>4</w:t>
      </w:r>
      <w:r>
        <w:rPr>
          <w:lang w:val="hu-HU" w:eastAsia="en-GB"/>
        </w:rPr>
        <w:noBreakHyphen/>
        <w:t>es fokozat) és a klinikailag jelentős vérzést (2</w:t>
      </w:r>
      <w:r>
        <w:rPr>
          <w:lang w:val="hu-HU" w:eastAsia="en-GB"/>
        </w:rPr>
        <w:noBreakHyphen/>
        <w:t>4</w:t>
      </w:r>
      <w:r>
        <w:rPr>
          <w:lang w:val="hu-HU" w:eastAsia="en-GB"/>
        </w:rPr>
        <w:noBreakHyphen/>
        <w:t xml:space="preserve">es fokozat) észlelő,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 aránya megközelítőleg 50%</w:t>
      </w:r>
      <w:r>
        <w:rPr>
          <w:lang w:val="hu-HU" w:eastAsia="en-GB"/>
        </w:rPr>
        <w:noBreakHyphen/>
        <w:t>kal csökkent a kiindulási értékhez képest a 15. naptól kezdődően a 6 hónapos kezelés alatt, a kezelés végéig.</w:t>
      </w:r>
    </w:p>
    <w:p w14:paraId="1EF9E7B5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743AD56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TRA100773B: </w:t>
      </w:r>
    </w:p>
    <w:p w14:paraId="1018E72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Az elsődleges hatásossági végpont a válaszadók aránya volt, akik a definíció szerint olyan ITP</w:t>
      </w:r>
      <w:r>
        <w:rPr>
          <w:lang w:val="hu-HU" w:eastAsia="en-GB"/>
        </w:rPr>
        <w:noBreakHyphen/>
        <w:t xml:space="preserve">s betegek voltak, akiknek a vérlemezkeszáma </w:t>
      </w:r>
      <w:r>
        <w:rPr>
          <w:lang w:val="hu-HU"/>
        </w:rPr>
        <w:t>≥ </w:t>
      </w:r>
      <w:r>
        <w:rPr>
          <w:lang w:val="hu-HU" w:eastAsia="en-GB"/>
        </w:rPr>
        <w:t>50 000/</w:t>
      </w:r>
      <w:r>
        <w:rPr>
          <w:lang w:val="hu-HU"/>
        </w:rPr>
        <w:t>µl</w:t>
      </w:r>
      <w:r>
        <w:rPr>
          <w:lang w:val="hu-HU" w:eastAsia="en-GB"/>
        </w:rPr>
        <w:t xml:space="preserve"> értékre emelkedett a 43. napon a kiinduláskor mért </w:t>
      </w:r>
      <w:proofErr w:type="gramStart"/>
      <w:r>
        <w:rPr>
          <w:lang w:val="hu-HU" w:eastAsia="en-GB"/>
        </w:rPr>
        <w:t>&lt; 30</w:t>
      </w:r>
      <w:proofErr w:type="gramEnd"/>
      <w:r>
        <w:rPr>
          <w:lang w:val="hu-HU" w:eastAsia="en-GB"/>
        </w:rPr>
        <w:t> 000/</w:t>
      </w:r>
      <w:r>
        <w:rPr>
          <w:lang w:val="hu-HU"/>
        </w:rPr>
        <w:t>µl-</w:t>
      </w:r>
      <w:proofErr w:type="spellStart"/>
      <w:r>
        <w:rPr>
          <w:lang w:val="hu-HU" w:eastAsia="en-GB"/>
        </w:rPr>
        <w:t>ről</w:t>
      </w:r>
      <w:proofErr w:type="spellEnd"/>
      <w:r>
        <w:rPr>
          <w:lang w:val="hu-HU" w:eastAsia="en-GB"/>
        </w:rPr>
        <w:t>; a vizsgálatból 200 000/</w:t>
      </w:r>
      <w:r>
        <w:rPr>
          <w:lang w:val="hu-HU"/>
        </w:rPr>
        <w:t>µl-</w:t>
      </w:r>
      <w:r>
        <w:rPr>
          <w:lang w:val="hu-HU" w:eastAsia="en-GB"/>
        </w:rPr>
        <w:t xml:space="preserve">nél magasabb vérlemezkeszám miatt idő előtt kivont betegeket válaszadónak tekintették, azokat, akik más okból léptek ki vizsgálatból, választ nem adónak tekintették, tekintet nélkül a vérlemezkeszámra. Összesen 114, korábban ITP miatt kezelt beteget </w:t>
      </w:r>
      <w:proofErr w:type="spellStart"/>
      <w:r>
        <w:rPr>
          <w:lang w:val="hu-HU" w:eastAsia="en-GB"/>
        </w:rPr>
        <w:t>randomizáltak</w:t>
      </w:r>
      <w:proofErr w:type="spellEnd"/>
      <w:r>
        <w:rPr>
          <w:lang w:val="hu-HU" w:eastAsia="en-GB"/>
        </w:rPr>
        <w:t xml:space="preserve"> 2:1 arányban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(n = 76) és placebora (n = 38).</w:t>
      </w:r>
    </w:p>
    <w:p w14:paraId="2668487D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09B1B948" w14:textId="77777777" w:rsidR="00342CEA" w:rsidRDefault="00837BAB">
      <w:pPr>
        <w:tabs>
          <w:tab w:val="clear" w:pos="567"/>
          <w:tab w:val="left" w:pos="1134"/>
        </w:tabs>
        <w:spacing w:line="240" w:lineRule="auto"/>
        <w:rPr>
          <w:b/>
          <w:bCs/>
          <w:u w:val="single"/>
          <w:lang w:val="hu-HU"/>
        </w:rPr>
      </w:pPr>
      <w:r>
        <w:rPr>
          <w:b/>
          <w:bCs/>
          <w:lang w:val="hu-HU" w:eastAsia="en-GB"/>
        </w:rPr>
        <w:t>5. táblázat</w:t>
      </w:r>
      <w:r>
        <w:rPr>
          <w:b/>
          <w:bCs/>
          <w:lang w:val="hu-HU" w:eastAsia="en-GB"/>
        </w:rPr>
        <w:tab/>
        <w:t>A TRA100773B vizsgálat hatásossági eredményei</w:t>
      </w:r>
    </w:p>
    <w:tbl>
      <w:tblPr>
        <w:tblW w:w="9062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bottom w:w="7" w:type="dxa"/>
          <w:right w:w="189" w:type="dxa"/>
        </w:tblCellMar>
        <w:tblLook w:val="04A0" w:firstRow="1" w:lastRow="0" w:firstColumn="1" w:lastColumn="0" w:noHBand="0" w:noVBand="1"/>
      </w:tblPr>
      <w:tblGrid>
        <w:gridCol w:w="5750"/>
        <w:gridCol w:w="1710"/>
        <w:gridCol w:w="1602"/>
      </w:tblGrid>
      <w:tr w:rsidR="00342CEA" w14:paraId="45A9C783" w14:textId="77777777">
        <w:trPr>
          <w:trHeight w:val="516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DB8C8" w14:textId="77777777" w:rsidR="00342CEA" w:rsidRDefault="00342CEA">
            <w:pPr>
              <w:rPr>
                <w:lang w:val="hu-HU" w:eastAsia="en-US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77EB" w14:textId="77777777" w:rsidR="00342CEA" w:rsidRDefault="00837BAB">
            <w:pPr>
              <w:keepNext/>
              <w:keepLines/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  <w:r>
              <w:rPr>
                <w:b/>
                <w:bCs/>
                <w:lang w:val="hu-HU" w:eastAsia="en-US"/>
              </w:rPr>
              <w:t xml:space="preserve"> N = 74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3531B" w14:textId="77777777" w:rsidR="00342CEA" w:rsidRDefault="00837BAB">
            <w:pPr>
              <w:keepNext/>
              <w:keepLines/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 xml:space="preserve">Placebo </w:t>
            </w:r>
          </w:p>
          <w:p w14:paraId="76481064" w14:textId="77777777" w:rsidR="00342CEA" w:rsidRDefault="00837BAB">
            <w:pPr>
              <w:keepNext/>
              <w:keepLines/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38</w:t>
            </w:r>
          </w:p>
        </w:tc>
      </w:tr>
      <w:tr w:rsidR="00342CEA" w14:paraId="71677CAB" w14:textId="77777777">
        <w:trPr>
          <w:trHeight w:val="263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57B7BF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A legfontosabb elsődleges végpontok</w:t>
            </w:r>
          </w:p>
        </w:tc>
        <w:tc>
          <w:tcPr>
            <w:tcW w:w="33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30D4FB" w14:textId="77777777" w:rsidR="00342CEA" w:rsidRDefault="00342CEA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</w:p>
        </w:tc>
      </w:tr>
      <w:tr w:rsidR="00342CEA" w14:paraId="5DE1AAB6" w14:textId="77777777">
        <w:trPr>
          <w:trHeight w:val="264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6A402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Hatékonysági analízisre alkalmas, 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AC2E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73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372D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37</w:t>
            </w:r>
          </w:p>
        </w:tc>
      </w:tr>
      <w:tr w:rsidR="00342CEA" w14:paraId="77568910" w14:textId="77777777">
        <w:trPr>
          <w:trHeight w:val="526"/>
        </w:trPr>
        <w:tc>
          <w:tcPr>
            <w:tcW w:w="5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0181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Legfeljebb 42 napos adagolás után </w:t>
            </w:r>
            <w:r>
              <w:rPr>
                <w:lang w:val="hu-HU" w:eastAsia="en-US"/>
              </w:rPr>
              <w:t>≥ </w:t>
            </w:r>
            <w:r>
              <w:rPr>
                <w:lang w:val="hu-HU" w:eastAsia="en-GB"/>
              </w:rPr>
              <w:t>50 000/</w:t>
            </w:r>
            <w:r>
              <w:rPr>
                <w:lang w:val="hu-HU"/>
              </w:rPr>
              <w:t>µl</w:t>
            </w:r>
            <w:r>
              <w:rPr>
                <w:lang w:val="hu-HU" w:eastAsia="en-GB"/>
              </w:rPr>
              <w:t xml:space="preserve"> vérlemezkeszámot elérő betegek (a kiindulási </w:t>
            </w:r>
            <w:proofErr w:type="gramStart"/>
            <w:r>
              <w:rPr>
                <w:lang w:val="hu-HU" w:eastAsia="en-GB"/>
              </w:rPr>
              <w:t>&lt; 30</w:t>
            </w:r>
            <w:proofErr w:type="gramEnd"/>
            <w:r>
              <w:rPr>
                <w:lang w:val="hu-HU" w:eastAsia="en-GB"/>
              </w:rPr>
              <w:t> 000/</w:t>
            </w:r>
            <w:r>
              <w:rPr>
                <w:lang w:val="hu-HU"/>
              </w:rPr>
              <w:t>µl</w:t>
            </w:r>
            <w:r>
              <w:rPr>
                <w:lang w:val="hu-HU" w:eastAsia="en-GB"/>
              </w:rPr>
              <w:t xml:space="preserve"> értékhez képest), n (%)</w:t>
            </w:r>
          </w:p>
          <w:p w14:paraId="18C96F3B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FB36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43 (59)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DF2C0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 (16)</w:t>
            </w:r>
          </w:p>
        </w:tc>
      </w:tr>
      <w:tr w:rsidR="00342CEA" w14:paraId="69316E4E" w14:textId="77777777">
        <w:trPr>
          <w:trHeight w:val="50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2F6F" w14:textId="77777777" w:rsidR="00342CEA" w:rsidRDefault="00342CEA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</w:p>
        </w:tc>
        <w:tc>
          <w:tcPr>
            <w:tcW w:w="33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9A2A6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&lt;0,001</w:t>
            </w:r>
          </w:p>
        </w:tc>
      </w:tr>
      <w:tr w:rsidR="00342CEA" w14:paraId="74D6D1EC" w14:textId="77777777">
        <w:trPr>
          <w:trHeight w:val="264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61826D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A legfontosabb másodlagos végpontok</w:t>
            </w:r>
          </w:p>
        </w:tc>
        <w:tc>
          <w:tcPr>
            <w:tcW w:w="33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D54C24" w14:textId="77777777" w:rsidR="00342CEA" w:rsidRDefault="00342CEA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</w:p>
        </w:tc>
      </w:tr>
      <w:tr w:rsidR="00342CEA" w14:paraId="4CB5C1F5" w14:textId="77777777">
        <w:trPr>
          <w:trHeight w:val="263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4A8F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GB"/>
              </w:rPr>
            </w:pPr>
            <w:r>
              <w:rPr>
                <w:lang w:val="hu-HU" w:eastAsia="en-GB"/>
              </w:rPr>
              <w:t>Betegek, akiket a 43.</w:t>
            </w:r>
            <w:r>
              <w:rPr>
                <w:lang w:val="hu-HU"/>
              </w:rPr>
              <w:t> </w:t>
            </w:r>
            <w:r>
              <w:rPr>
                <w:lang w:val="hu-HU" w:eastAsia="en-GB"/>
              </w:rPr>
              <w:t>napon vérzés szempontjából</w:t>
            </w:r>
          </w:p>
          <w:p w14:paraId="6D794BA7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>értékeltek, 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841AC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5501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30</w:t>
            </w:r>
          </w:p>
        </w:tc>
      </w:tr>
      <w:tr w:rsidR="00342CEA" w14:paraId="49E4A629" w14:textId="77777777">
        <w:trPr>
          <w:trHeight w:val="263"/>
        </w:trPr>
        <w:tc>
          <w:tcPr>
            <w:tcW w:w="5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AF7D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GB"/>
              </w:rPr>
              <w:t>Vérzés (WHO 1</w:t>
            </w:r>
            <w:r>
              <w:rPr>
                <w:lang w:val="hu-HU" w:eastAsia="en-GB"/>
              </w:rPr>
              <w:noBreakHyphen/>
              <w:t>4</w:t>
            </w:r>
            <w:r>
              <w:rPr>
                <w:lang w:val="hu-HU" w:eastAsia="en-GB"/>
              </w:rPr>
              <w:noBreakHyphen/>
              <w:t>es fokozat) n (%)</w:t>
            </w:r>
          </w:p>
          <w:p w14:paraId="40FF464C" w14:textId="77777777" w:rsidR="00342CEA" w:rsidRDefault="00837BAB">
            <w:pPr>
              <w:rPr>
                <w:lang w:val="hu-HU" w:eastAsia="en-US"/>
              </w:rPr>
            </w:pPr>
            <w:r>
              <w:rPr>
                <w:lang w:val="hu-HU" w:eastAsia="en-US"/>
              </w:rPr>
              <w:tab/>
            </w:r>
            <w:r>
              <w:rPr>
                <w:i/>
                <w:lang w:val="hu-HU" w:eastAsia="en-US"/>
              </w:rPr>
              <w:t>p-</w:t>
            </w:r>
            <w:r>
              <w:rPr>
                <w:lang w:val="hu-HU" w:eastAsia="en-US"/>
              </w:rPr>
              <w:t>érték</w:t>
            </w:r>
            <w:r>
              <w:rPr>
                <w:vertAlign w:val="superscript"/>
                <w:lang w:val="hu-HU" w:eastAsia="en-US"/>
              </w:rPr>
              <w:t>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9D11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20 (39)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E4548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18 (60)</w:t>
            </w:r>
          </w:p>
        </w:tc>
      </w:tr>
      <w:tr w:rsidR="00342CEA" w14:paraId="0A32F470" w14:textId="77777777">
        <w:trPr>
          <w:trHeight w:val="3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745EA" w14:textId="77777777" w:rsidR="00342CEA" w:rsidRDefault="00342CEA">
            <w:pPr>
              <w:rPr>
                <w:lang w:val="hu-HU" w:eastAsia="en-US"/>
              </w:rPr>
            </w:pPr>
          </w:p>
        </w:tc>
        <w:tc>
          <w:tcPr>
            <w:tcW w:w="33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205BC" w14:textId="77777777" w:rsidR="00342CEA" w:rsidRDefault="00837BAB">
            <w:pPr>
              <w:keepNext/>
              <w:keepLines/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0,029</w:t>
            </w:r>
          </w:p>
        </w:tc>
      </w:tr>
    </w:tbl>
    <w:p w14:paraId="5FD818F8" w14:textId="77777777" w:rsidR="00342CEA" w:rsidRDefault="00837BAB">
      <w:pPr>
        <w:tabs>
          <w:tab w:val="center" w:pos="3923"/>
        </w:tabs>
        <w:spacing w:after="12" w:line="247" w:lineRule="auto"/>
        <w:ind w:left="-15"/>
        <w:rPr>
          <w:sz w:val="20"/>
          <w:szCs w:val="20"/>
          <w:lang w:val="hu-HU"/>
        </w:rPr>
      </w:pPr>
      <w:r>
        <w:rPr>
          <w:sz w:val="20"/>
          <w:szCs w:val="20"/>
          <w:lang w:val="hu-HU"/>
        </w:rPr>
        <w:t>a</w:t>
      </w:r>
      <w:r>
        <w:rPr>
          <w:sz w:val="20"/>
          <w:szCs w:val="20"/>
          <w:lang w:val="hu-HU"/>
        </w:rPr>
        <w:tab/>
      </w:r>
      <w:proofErr w:type="spellStart"/>
      <w:r>
        <w:rPr>
          <w:lang w:val="hu-HU" w:eastAsia="en-GB"/>
        </w:rPr>
        <w:t>Randomizációs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stratifikációs</w:t>
      </w:r>
      <w:proofErr w:type="spellEnd"/>
      <w:r>
        <w:rPr>
          <w:lang w:val="hu-HU" w:eastAsia="en-GB"/>
        </w:rPr>
        <w:t xml:space="preserve"> változókkal korrigált logisztikai regressziós modell</w:t>
      </w:r>
    </w:p>
    <w:p w14:paraId="0042C959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D331A5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Mind a RAISE, mind a TRA100773B vizsgálatban a placebora és az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adott válasz hasonló volt, tekintet nélkül az ITP kezelésére alkalmazott gyógyszerekre, a </w:t>
      </w:r>
      <w:proofErr w:type="spellStart"/>
      <w:r>
        <w:rPr>
          <w:lang w:val="hu-HU" w:eastAsia="en-GB"/>
        </w:rPr>
        <w:t>splenectomiás</w:t>
      </w:r>
      <w:proofErr w:type="spellEnd"/>
      <w:r>
        <w:rPr>
          <w:lang w:val="hu-HU" w:eastAsia="en-GB"/>
        </w:rPr>
        <w:t xml:space="preserve"> státuszra és a </w:t>
      </w:r>
      <w:proofErr w:type="spellStart"/>
      <w:r>
        <w:rPr>
          <w:lang w:val="hu-HU" w:eastAsia="en-GB"/>
        </w:rPr>
        <w:t>randomizáláskor</w:t>
      </w:r>
      <w:proofErr w:type="spellEnd"/>
      <w:r>
        <w:rPr>
          <w:lang w:val="hu-HU" w:eastAsia="en-GB"/>
        </w:rPr>
        <w:t xml:space="preserve"> mért kiindulási vérlemezkeszámra (≤ 15 000/</w:t>
      </w:r>
      <w:r>
        <w:rPr>
          <w:lang w:val="hu-HU"/>
        </w:rPr>
        <w:t>µl</w:t>
      </w:r>
      <w:r>
        <w:rPr>
          <w:lang w:val="hu-HU" w:eastAsia="en-GB"/>
        </w:rPr>
        <w:t>, &gt; 15 000/</w:t>
      </w:r>
      <w:r>
        <w:rPr>
          <w:lang w:val="hu-HU"/>
        </w:rPr>
        <w:t>µl</w:t>
      </w:r>
      <w:r>
        <w:rPr>
          <w:lang w:val="hu-HU" w:eastAsia="en-GB"/>
        </w:rPr>
        <w:t>).</w:t>
      </w:r>
    </w:p>
    <w:p w14:paraId="4C8698F5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62A6C1F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RAISE és a TRA100773B vizsgálatban az ITP</w:t>
      </w:r>
      <w:r>
        <w:rPr>
          <w:lang w:val="hu-HU" w:eastAsia="en-GB"/>
        </w:rPr>
        <w:noBreakHyphen/>
        <w:t>s betegeknek abban az alcsoportjában, ahol a kiindulási vérlemezkeszám ≤ 15 000/</w:t>
      </w:r>
      <w:r>
        <w:rPr>
          <w:lang w:val="hu-HU"/>
        </w:rPr>
        <w:t>µl</w:t>
      </w:r>
      <w:r>
        <w:rPr>
          <w:lang w:val="hu-HU" w:eastAsia="en-GB"/>
        </w:rPr>
        <w:t xml:space="preserve"> volt, a medián vérlemezkeszám nem érte el a megcélzott szintet (&gt; 50 000/</w:t>
      </w:r>
      <w:r>
        <w:rPr>
          <w:lang w:val="hu-HU"/>
        </w:rPr>
        <w:t>µl</w:t>
      </w:r>
      <w:r>
        <w:rPr>
          <w:lang w:val="hu-HU" w:eastAsia="en-GB"/>
        </w:rPr>
        <w:t xml:space="preserve">), bár mindkét vizsgálatban ezeknek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betegeknek a 43%</w:t>
      </w:r>
      <w:r>
        <w:rPr>
          <w:lang w:val="hu-HU" w:eastAsia="en-GB"/>
        </w:rPr>
        <w:noBreakHyphen/>
        <w:t xml:space="preserve">a reagált 6 hét után a kezelésre. Ezen túlmenően, a RAISE vizsgálatban azoknak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betegeknek, akiknek kiinduláskor ≤ 15 000/</w:t>
      </w:r>
      <w:r>
        <w:rPr>
          <w:lang w:val="hu-HU"/>
        </w:rPr>
        <w:t>µl</w:t>
      </w:r>
      <w:r>
        <w:rPr>
          <w:lang w:val="hu-HU" w:eastAsia="en-GB"/>
        </w:rPr>
        <w:t xml:space="preserve"> volt a vérlemezkeszáma, 42%</w:t>
      </w:r>
      <w:r>
        <w:rPr>
          <w:lang w:val="hu-HU" w:eastAsia="en-GB"/>
        </w:rPr>
        <w:noBreakHyphen/>
        <w:t xml:space="preserve">a reagált a 6 hónapos kezelési időszak végén. A RAISE vizsgálatban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 42</w:t>
      </w:r>
      <w:r>
        <w:rPr>
          <w:lang w:val="hu-HU" w:eastAsia="en-GB"/>
        </w:rPr>
        <w:noBreakHyphen/>
        <w:t>60%</w:t>
      </w:r>
      <w:r>
        <w:rPr>
          <w:lang w:val="hu-HU" w:eastAsia="en-GB"/>
        </w:rPr>
        <w:noBreakHyphen/>
        <w:t>a kapott 75 mg</w:t>
      </w:r>
      <w:r>
        <w:rPr>
          <w:lang w:val="hu-HU" w:eastAsia="en-GB"/>
        </w:rPr>
        <w:noBreakHyphen/>
        <w:t>ot a 29. naptól kezdve a kezelés végéig.</w:t>
      </w:r>
    </w:p>
    <w:p w14:paraId="326B640A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CE9A88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  <w:r>
        <w:rPr>
          <w:i/>
          <w:lang w:val="hu-HU" w:eastAsia="en-GB"/>
        </w:rPr>
        <w:t>Nyílt elrendezésű, nem kontrollos vizsgálatok</w:t>
      </w:r>
    </w:p>
    <w:p w14:paraId="0AF3152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REPEAT (TRA108057): </w:t>
      </w:r>
    </w:p>
    <w:p w14:paraId="2A7FC91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Ez a nyílt, ismétlődő dózisú vizsgálat (6 hetes kezelés 4 hét szünettel 3 ciklusban) azt mutatta, hogy a többszöri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>-kúra epizódszerű alkalmazása nem csökkenti a terápiás választ.</w:t>
      </w:r>
    </w:p>
    <w:p w14:paraId="03527996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0E0F172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EXTEND (TRA105325): </w:t>
      </w:r>
    </w:p>
    <w:p w14:paraId="73F72A3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Ebben a kiterjesztett, nyílt vizsgálatban 302, ITP</w:t>
      </w:r>
      <w:r>
        <w:rPr>
          <w:lang w:val="hu-HU" w:eastAsia="en-GB"/>
        </w:rPr>
        <w:noBreakHyphen/>
        <w:t xml:space="preserve">s beteg kapott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; 218 beteg 1 évig, 180 beteg 2 évig, 107 beteg 3 évig, 75 beteg 4 évig, 34 beteg 5 évig, 18 beteg pedig 6 évig. A medián kiindulási vérlemezkeszám 19 000/µl volt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adása előtt. A medián vérlemezkeszám a vizsgálat 1., 2., 3., 4., 5., .6 és 7. évében sorrendben 85 000/</w:t>
      </w:r>
      <w:r>
        <w:rPr>
          <w:lang w:val="hu-HU"/>
        </w:rPr>
        <w:t>µl</w:t>
      </w:r>
      <w:r>
        <w:rPr>
          <w:lang w:val="hu-HU" w:eastAsia="en-GB"/>
        </w:rPr>
        <w:t>, 85 000/</w:t>
      </w:r>
      <w:r>
        <w:rPr>
          <w:lang w:val="hu-HU"/>
        </w:rPr>
        <w:t>µl</w:t>
      </w:r>
      <w:r>
        <w:rPr>
          <w:lang w:val="hu-HU" w:eastAsia="en-GB"/>
        </w:rPr>
        <w:t>, 105 000/</w:t>
      </w:r>
      <w:r>
        <w:rPr>
          <w:lang w:val="hu-HU"/>
        </w:rPr>
        <w:t>µl</w:t>
      </w:r>
      <w:r>
        <w:rPr>
          <w:lang w:val="hu-HU" w:eastAsia="en-GB"/>
        </w:rPr>
        <w:t>, 64 000/</w:t>
      </w:r>
      <w:r>
        <w:rPr>
          <w:lang w:val="hu-HU"/>
        </w:rPr>
        <w:t>µl</w:t>
      </w:r>
      <w:r>
        <w:rPr>
          <w:lang w:val="hu-HU" w:eastAsia="en-GB"/>
        </w:rPr>
        <w:t>, 75 000/</w:t>
      </w:r>
      <w:r>
        <w:rPr>
          <w:lang w:val="hu-HU"/>
        </w:rPr>
        <w:t>µl</w:t>
      </w:r>
      <w:r>
        <w:rPr>
          <w:lang w:val="hu-HU" w:eastAsia="en-GB"/>
        </w:rPr>
        <w:t>, 119 000/</w:t>
      </w:r>
      <w:r>
        <w:rPr>
          <w:lang w:val="hu-HU"/>
        </w:rPr>
        <w:t>µl</w:t>
      </w:r>
      <w:r>
        <w:rPr>
          <w:lang w:val="hu-HU" w:eastAsia="en-GB"/>
        </w:rPr>
        <w:t>, illetve 76 000/</w:t>
      </w:r>
      <w:r>
        <w:rPr>
          <w:lang w:val="hu-HU"/>
        </w:rPr>
        <w:t>µl</w:t>
      </w:r>
      <w:r>
        <w:rPr>
          <w:lang w:val="hu-HU" w:eastAsia="en-GB"/>
        </w:rPr>
        <w:t xml:space="preserve"> volt.</w:t>
      </w:r>
    </w:p>
    <w:p w14:paraId="6C1AD5DE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C8BA2D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TAPER (CETB115J2411): </w:t>
      </w:r>
    </w:p>
    <w:p w14:paraId="73F3731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Ebben az egy karú, II. fázisú vizsgálatban olyan ITP</w:t>
      </w:r>
      <w:r>
        <w:rPr>
          <w:lang w:val="hu-HU" w:eastAsia="en-GB"/>
        </w:rPr>
        <w:noBreakHyphen/>
        <w:t xml:space="preserve">s betegek vettek részt, akiket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kezeltek az első vonalban alkalmazott </w:t>
      </w:r>
      <w:proofErr w:type="spellStart"/>
      <w:r>
        <w:rPr>
          <w:lang w:val="hu-HU" w:eastAsia="en-GB"/>
        </w:rPr>
        <w:t>kortikoszteroidok</w:t>
      </w:r>
      <w:proofErr w:type="spellEnd"/>
      <w:r>
        <w:rPr>
          <w:lang w:val="hu-HU" w:eastAsia="en-GB"/>
        </w:rPr>
        <w:t xml:space="preserve"> kudarcát követően, a diagnózis óta eltelt időre </w:t>
      </w:r>
      <w:r>
        <w:rPr>
          <w:lang w:val="hu-HU" w:eastAsia="en-GB"/>
        </w:rPr>
        <w:lastRenderedPageBreak/>
        <w:t xml:space="preserve">való tekintet nélkül. Összesen 105 beteget vontak be a vizsgálatba, akik naponta egyszer 50 mg dózissal kezdték meg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kezelést (a dózis naponta egyszer 25 mg volt a kelet</w:t>
      </w:r>
      <w:r>
        <w:rPr>
          <w:lang w:val="hu-HU" w:eastAsia="en-GB"/>
        </w:rPr>
        <w:noBreakHyphen/>
        <w:t xml:space="preserve"> vagy délkelet</w:t>
      </w:r>
      <w:r>
        <w:rPr>
          <w:lang w:val="hu-HU" w:eastAsia="en-GB"/>
        </w:rPr>
        <w:noBreakHyphen/>
        <w:t xml:space="preserve">ázsiai felmenőkkel rendelkező betegeknél). A kezelési időszak során az adott beteg vérlemezkeszáma szerint módosították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dózisát azzal a céllal, hogy a vérlemezkeszám elérje vagy meghaladja a 100 000/</w:t>
      </w:r>
      <w:r>
        <w:rPr>
          <w:lang w:val="hu-HU"/>
        </w:rPr>
        <w:t>µl-</w:t>
      </w:r>
      <w:r>
        <w:rPr>
          <w:lang w:val="hu-HU" w:eastAsia="en-GB"/>
        </w:rPr>
        <w:t>t.</w:t>
      </w:r>
    </w:p>
    <w:p w14:paraId="5D940B48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381AAC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 vizsgálatba beválasztott és legalább egy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dózist kapott 105 beteg közül 69 beteg (65,7%) teljesítette a kezelést, 36 beteg (34,3%) pedig idő előtt abbahagyta azt.</w:t>
      </w:r>
    </w:p>
    <w:p w14:paraId="7081D4DB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FCFCEB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 kezelés abbahagyása után fennmaradó tartós válasz elemzése</w:t>
      </w:r>
    </w:p>
    <w:p w14:paraId="223A37B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elsődleges végpont azon betegek aránya volt, akik tartós választ értek el a kezelés abbahagyása után a 12. hónapig. Lehetőség volt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dózisának fokozatos csökkentésére és a kezelés abbahagyására azoknál a betegeknél, akiknek a vérlemezkeszáma elérte a ≥ 100 000/µl értéket, a továbbiakban pedig 100 000/µl érték körül alakult 2 hónapig (egyszer sem csökkenve 70 000/µl alá). Azokat a betegeket tekintették a kezelés abbahagyása után tartós választ elérőknek, akiknél a vérlemezkeszám ≥ 30 000/µl maradt, nem álltak fenn vérzéses események, illetve nem kellett mentő kezelést igénybe venni a dózis fokozatos csökkentésének időszakában, valamint a kezelés abbahagyását követően, a 12. hónapig.</w:t>
      </w:r>
    </w:p>
    <w:p w14:paraId="2E795821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0036B73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fokozatos dóziscsökkentés időtartamát egyénenként állapították meg a kezdő dózis és a beteg terápiás válasza függvényében. A fokozatos dóziscsökkentés ütemterve 2 hetenként 25 mg</w:t>
      </w:r>
      <w:r>
        <w:rPr>
          <w:lang w:val="hu-HU" w:eastAsia="en-GB"/>
        </w:rPr>
        <w:noBreakHyphen/>
        <w:t>os dóziscsökkentést ajánlott abban az esetben, ha a vérlemezkeszám stabil volt. Miután a napi dózist 2 hét időtartamra 25 mg</w:t>
      </w:r>
      <w:r>
        <w:rPr>
          <w:lang w:val="hu-HU" w:eastAsia="en-GB"/>
        </w:rPr>
        <w:noBreakHyphen/>
        <w:t>ra csökkentették, a kezelés abbahagyásáig már csak minden második napon adtak 25 mg</w:t>
      </w:r>
      <w:r>
        <w:rPr>
          <w:lang w:val="hu-HU" w:eastAsia="en-GB"/>
        </w:rPr>
        <w:noBreakHyphen/>
        <w:t>os dózist 2 hétig. Kelet</w:t>
      </w:r>
      <w:r>
        <w:rPr>
          <w:lang w:val="hu-HU" w:eastAsia="en-GB"/>
        </w:rPr>
        <w:noBreakHyphen/>
        <w:t xml:space="preserve"> vagy délkelet</w:t>
      </w:r>
      <w:r>
        <w:rPr>
          <w:lang w:val="hu-HU" w:eastAsia="en-GB"/>
        </w:rPr>
        <w:noBreakHyphen/>
        <w:t>ázsiai felmenőkkel rendelkező betegeknél kisebb – minden második héten 12,5 mg</w:t>
      </w:r>
      <w:r>
        <w:rPr>
          <w:lang w:val="hu-HU" w:eastAsia="en-GB"/>
        </w:rPr>
        <w:noBreakHyphen/>
        <w:t xml:space="preserve">os – lépésekkel végezték a fokozatos dóziscsökkentést. Amennyiben </w:t>
      </w:r>
      <w:proofErr w:type="spellStart"/>
      <w:r>
        <w:rPr>
          <w:lang w:val="hu-HU" w:eastAsia="en-GB"/>
        </w:rPr>
        <w:t>relapszus</w:t>
      </w:r>
      <w:proofErr w:type="spellEnd"/>
      <w:r>
        <w:rPr>
          <w:lang w:val="hu-HU" w:eastAsia="en-GB"/>
        </w:rPr>
        <w:t xml:space="preserve"> (meghatározása: 30 000/µl alatti vérlemezkeszám) következett be, a betegeknek újabb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kezelést ajánlottak fel, amelyet a megfelelő kezdő dózissal indítottak.</w:t>
      </w:r>
    </w:p>
    <w:p w14:paraId="4E20836A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05E54B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Nyolcvankilenc beteg (84,8%) ért el teljes választ (vérlemezkeszám ≥ 100 000/µl) (1. lépés, 5. táblázat), 65 betegnél (61,9%) pedig legalább 2 hónapig fennmaradt a tartós válasz anélkül, hogy a vérlemezkeszám 70 000/µl alá csökkent volna (2. lépés, 5. táblázat). Negyvennégy betegnél (41,9%) sikerült a fokozatos csökkentést követően abbahagyni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alkalmazását úgy, hogy eközben a vérlemezkeszám ≥30 000/µl maradt, nem álltak fenn vérzéses események, illetve nem kellett mentő kezelést igénybe venni (3. lépés, 5. táblázat).</w:t>
      </w:r>
    </w:p>
    <w:p w14:paraId="4DE41B10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42EF0BF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 vizsgálat igazolta,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tartós választ tudott indukálni vérzéses események vagy mentő</w:t>
      </w:r>
      <w:r>
        <w:rPr>
          <w:lang w:val="hu-HU" w:eastAsia="en-GB"/>
        </w:rPr>
        <w:noBreakHyphen/>
        <w:t>kezelés alkalmazása nélkül, a kezelés abbahagyása után a 12. hónapig a 105 beválasztott beteg közül 32 főnél (30,5%; p &lt;0,0001; 95%-os CI: 21,9; 40,2), és ezzel elérte elsődleges célját (4. lépés, 5. táblázat). A 24. hónapig a 105 beválasztott beteg közül 20 főnél (19,0%; 95%</w:t>
      </w:r>
      <w:r>
        <w:rPr>
          <w:lang w:val="hu-HU" w:eastAsia="en-GB"/>
        </w:rPr>
        <w:noBreakHyphen/>
        <w:t>os CI: 12,0; 27,9) maradt fenn tartós válasz vérzéses események vagy mentő kezelés alkalmazása nélkül a kezelés abbahagyása után (5. lépés, 5. táblázat).</w:t>
      </w:r>
    </w:p>
    <w:p w14:paraId="67AA72FE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10A74E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kezelés abbahagyása utáni tartós válasz medián időtartama a 12. hónapig 33,3 hét volt (szélsőértékek: 4 és 51 hét), a kezelés abbahagyása utáni tartós válasz medián időtartama a 24. hónapig pedig 88,6 hét volt (szélsőértékek: 57 és 107 hét).</w:t>
      </w:r>
    </w:p>
    <w:p w14:paraId="5934B590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6262CC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 fokozatos csökkentése és a kezelés abbahagyása után 12 betegnél szűnt meg a terápiás válasz; 8</w:t>
      </w:r>
      <w:r>
        <w:rPr>
          <w:lang w:val="hu-HU" w:eastAsia="en-GB"/>
        </w:rPr>
        <w:noBreakHyphen/>
        <w:t xml:space="preserve">an közülük újrakezdték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alkalmazását, 7 főnél pedig helyre is állt a terápiás válasz.</w:t>
      </w:r>
    </w:p>
    <w:p w14:paraId="118FC0FB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2EB20F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2 éves követés ideje alatt 105</w:t>
      </w:r>
      <w:r>
        <w:rPr>
          <w:lang w:val="hu-HU" w:eastAsia="en-GB"/>
        </w:rPr>
        <w:noBreakHyphen/>
        <w:t xml:space="preserve">ből 6 betegnél (5,7%) léptek fel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események: közülük 3 betegnél (2,9%) mélyvénás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, 1 betegnél (1,0%) felszíni vénás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, 1 betegnél (1,0%) sinus </w:t>
      </w:r>
      <w:proofErr w:type="spellStart"/>
      <w:r>
        <w:rPr>
          <w:lang w:val="hu-HU" w:eastAsia="en-GB"/>
        </w:rPr>
        <w:t>cavernosus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, 1 betegnél (1,0%) </w:t>
      </w:r>
      <w:proofErr w:type="spellStart"/>
      <w:r>
        <w:rPr>
          <w:lang w:val="hu-HU" w:eastAsia="en-GB"/>
        </w:rPr>
        <w:t>cerebrovascularis</w:t>
      </w:r>
      <w:proofErr w:type="spellEnd"/>
      <w:r>
        <w:rPr>
          <w:lang w:val="hu-HU" w:eastAsia="en-GB"/>
        </w:rPr>
        <w:t xml:space="preserve"> történés, 1 betegnél (1,0%) pedig </w:t>
      </w:r>
      <w:proofErr w:type="spellStart"/>
      <w:r>
        <w:rPr>
          <w:lang w:val="hu-HU" w:eastAsia="en-GB"/>
        </w:rPr>
        <w:t>pulmonalis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embolia</w:t>
      </w:r>
      <w:proofErr w:type="spellEnd"/>
      <w:r>
        <w:rPr>
          <w:lang w:val="hu-HU" w:eastAsia="en-GB"/>
        </w:rPr>
        <w:t xml:space="preserve"> alakult ki. A 6 beteg közül 4 főnél léptek fel 3</w:t>
      </w:r>
      <w:r>
        <w:rPr>
          <w:lang w:val="hu-HU" w:eastAsia="en-GB"/>
        </w:rPr>
        <w:noBreakHyphen/>
        <w:t xml:space="preserve">as vagy magasabb fokozatúnak jelentett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események, 4 betegnél pedig súlyosnak jelentett </w:t>
      </w:r>
      <w:proofErr w:type="spellStart"/>
      <w:r>
        <w:rPr>
          <w:lang w:val="hu-HU" w:eastAsia="en-GB"/>
        </w:rPr>
        <w:t>thromboemboliás</w:t>
      </w:r>
      <w:proofErr w:type="spellEnd"/>
      <w:r>
        <w:rPr>
          <w:lang w:val="hu-HU" w:eastAsia="en-GB"/>
        </w:rPr>
        <w:t xml:space="preserve"> esemény fordult elő. Nem számoltak be végzetes kimenetelű esetekről.</w:t>
      </w:r>
    </w:p>
    <w:p w14:paraId="215D98E0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EBE92B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lastRenderedPageBreak/>
        <w:t>A 105</w:t>
      </w:r>
      <w:r>
        <w:rPr>
          <w:lang w:val="hu-HU" w:eastAsia="en-GB"/>
        </w:rPr>
        <w:noBreakHyphen/>
        <w:t xml:space="preserve">ből 20 beteg (19,0%) tapasztalt enyhétől súlyosig terjedő vérzéses eseményeket a kezelés során, mielőtt megkezdődött volna a fokozatos dóziscsökkentés. A fokozatos csökkentést megkezdő 65 beteg közül 5 betegnél (7,7%) léptek fel enyhe vagy közepesen súlyos vérzéses események a fokozatos dóziscsökkentés során. Nem számoltak be súlyos vérzésről a fokozatos dóziscsökkentés során.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kezelést fokozatos dóziscsökkentés után abbahagyó 44 beteg közül 2 betegnél (4,5%) léptek fel enyhe vagy közepesen súlyos vérzéses események a kezelés abbahagyását követően, a 12. hónapig. Ezen időszak alatt nem számoltak be súlyos vérzésről.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kezelést abbahagyó és a követés második évét megkezdő betegek közül senkinél sem lépett fel vérzéses esemény a második év során. Kettő végzetes kimenetelű </w:t>
      </w:r>
      <w:proofErr w:type="spellStart"/>
      <w:r>
        <w:rPr>
          <w:lang w:val="hu-HU" w:eastAsia="en-GB"/>
        </w:rPr>
        <w:t>intracranialis</w:t>
      </w:r>
      <w:proofErr w:type="spellEnd"/>
      <w:r>
        <w:rPr>
          <w:lang w:val="hu-HU" w:eastAsia="en-GB"/>
        </w:rPr>
        <w:t xml:space="preserve"> vérzéses eseményről számoltak be a 2 éves követés során. Mindkét eseményre a kezelés közben került sor, nem a fokozatos dóziscsökkentéssel összefüggésben. Az eseményeket nem tekintették a vizsgálati kezeléssel összefüggőnek.</w:t>
      </w:r>
    </w:p>
    <w:p w14:paraId="100FE31B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4C884E1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Az általános biztonságossági elemzés összhangban van a korábban jelentett adatokkal, az ITP</w:t>
      </w:r>
      <w:r>
        <w:rPr>
          <w:lang w:val="hu-HU" w:eastAsia="en-GB"/>
        </w:rPr>
        <w:noBreakHyphen/>
        <w:t xml:space="preserve">s betegeknél alkalmazott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vonatkozó előny</w:t>
      </w:r>
      <w:r>
        <w:rPr>
          <w:lang w:val="hu-HU" w:eastAsia="en-GB"/>
        </w:rPr>
        <w:noBreakHyphen/>
        <w:t>kockázat értékelés nem változott.</w:t>
      </w:r>
    </w:p>
    <w:p w14:paraId="24297711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65C99A6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ind w:left="1134" w:hanging="1134"/>
        <w:rPr>
          <w:b/>
          <w:bCs/>
          <w:u w:val="single"/>
          <w:lang w:val="hu-HU"/>
        </w:rPr>
      </w:pPr>
      <w:r>
        <w:rPr>
          <w:b/>
          <w:bCs/>
          <w:lang w:val="hu-HU" w:eastAsia="en-GB"/>
        </w:rPr>
        <w:t>6. táblázat</w:t>
      </w:r>
      <w:r>
        <w:rPr>
          <w:b/>
          <w:bCs/>
          <w:lang w:val="hu-HU" w:eastAsia="en-GB"/>
        </w:rPr>
        <w:tab/>
        <w:t xml:space="preserve">A kezelés abbahagyása után </w:t>
      </w:r>
      <w:r>
        <w:rPr>
          <w:rFonts w:eastAsia="TimesNewRomanPS-BoldMT"/>
          <w:b/>
          <w:bCs/>
          <w:lang w:val="hu-HU" w:eastAsia="en-GB"/>
        </w:rPr>
        <w:t>tartós választ elérő betegek aránya a 12. </w:t>
      </w:r>
      <w:r>
        <w:rPr>
          <w:b/>
          <w:bCs/>
          <w:lang w:val="hu-HU" w:eastAsia="en-GB"/>
        </w:rPr>
        <w:t>hónapra és a 24. hónapra (teljes elemzési populáció) a TAPER vizsgálat során</w:t>
      </w:r>
    </w:p>
    <w:tbl>
      <w:tblPr>
        <w:tblStyle w:val="TableGrid1"/>
        <w:tblW w:w="9350" w:type="dxa"/>
        <w:tblInd w:w="-60" w:type="dxa"/>
        <w:tblCellMar>
          <w:top w:w="10" w:type="dxa"/>
          <w:left w:w="60" w:type="dxa"/>
          <w:right w:w="19" w:type="dxa"/>
        </w:tblCellMar>
        <w:tblLook w:val="04A0" w:firstRow="1" w:lastRow="0" w:firstColumn="1" w:lastColumn="0" w:noHBand="0" w:noVBand="1"/>
      </w:tblPr>
      <w:tblGrid>
        <w:gridCol w:w="5331"/>
        <w:gridCol w:w="974"/>
        <w:gridCol w:w="1076"/>
        <w:gridCol w:w="981"/>
        <w:gridCol w:w="988"/>
      </w:tblGrid>
      <w:tr w:rsidR="00342CEA" w14:paraId="404B4E1C" w14:textId="77777777">
        <w:trPr>
          <w:trHeight w:val="466"/>
        </w:trPr>
        <w:tc>
          <w:tcPr>
            <w:tcW w:w="5399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0235F382" w14:textId="77777777" w:rsidR="00342CEA" w:rsidRDefault="00342CEA">
            <w:pPr>
              <w:spacing w:line="259" w:lineRule="auto"/>
              <w:rPr>
                <w:rFonts w:ascii="Times New Roman" w:hAnsi="Times New Roman"/>
                <w:lang w:val="hu-H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ACB86A2" w14:textId="77777777" w:rsidR="00342CEA" w:rsidRDefault="00837BAB">
            <w:pPr>
              <w:spacing w:line="259" w:lineRule="auto"/>
              <w:ind w:left="199" w:right="193"/>
              <w:jc w:val="center"/>
              <w:rPr>
                <w:rFonts w:ascii="Times New Roman" w:hAnsi="Times New Roman"/>
                <w:b/>
                <w:bCs/>
                <w:lang w:val="hu-HU" w:eastAsia="en-GB"/>
              </w:rPr>
            </w:pPr>
            <w:r>
              <w:rPr>
                <w:rFonts w:ascii="Times New Roman" w:hAnsi="Times New Roman"/>
                <w:b/>
                <w:bCs/>
                <w:lang w:val="hu-HU" w:eastAsia="en-GB"/>
              </w:rPr>
              <w:t>Minden beteg</w:t>
            </w:r>
          </w:p>
          <w:p w14:paraId="1CF8EED7" w14:textId="77777777" w:rsidR="00342CEA" w:rsidRDefault="00837BAB">
            <w:pPr>
              <w:spacing w:line="259" w:lineRule="auto"/>
              <w:ind w:left="199" w:right="193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N = 105</w:t>
            </w:r>
          </w:p>
        </w:tc>
        <w:tc>
          <w:tcPr>
            <w:tcW w:w="188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4EF6D93" w14:textId="77777777" w:rsidR="00342CEA" w:rsidRDefault="00837BAB">
            <w:pPr>
              <w:spacing w:line="259" w:lineRule="auto"/>
              <w:ind w:left="98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 w:eastAsia="en-GB"/>
              </w:rPr>
              <w:t>Hipotézisvizsgálat</w:t>
            </w:r>
          </w:p>
        </w:tc>
      </w:tr>
      <w:tr w:rsidR="00342CEA" w14:paraId="01FC3D67" w14:textId="77777777">
        <w:trPr>
          <w:trHeight w:val="234"/>
        </w:trPr>
        <w:tc>
          <w:tcPr>
            <w:tcW w:w="5399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05A5F" w14:textId="77777777" w:rsidR="00342CEA" w:rsidRDefault="00837BAB">
            <w:pPr>
              <w:spacing w:line="259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7ABF4" w14:textId="77777777" w:rsidR="00342CEA" w:rsidRDefault="00837BAB">
            <w:pPr>
              <w:spacing w:line="259" w:lineRule="auto"/>
              <w:ind w:right="43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n (%)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C8762" w14:textId="77777777" w:rsidR="00342CEA" w:rsidRDefault="00837BAB">
            <w:pPr>
              <w:spacing w:line="259" w:lineRule="auto"/>
              <w:ind w:left="144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95%-os CI</w:t>
            </w:r>
          </w:p>
        </w:tc>
        <w:tc>
          <w:tcPr>
            <w:tcW w:w="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288F9" w14:textId="77777777" w:rsidR="00342CEA" w:rsidRDefault="00837BAB">
            <w:pPr>
              <w:spacing w:line="259" w:lineRule="auto"/>
              <w:ind w:left="72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p-érték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DDB883" w14:textId="77777777" w:rsidR="00342CEA" w:rsidRDefault="00837BAB">
            <w:pPr>
              <w:spacing w:line="259" w:lineRule="auto"/>
              <w:ind w:left="11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b/>
                <w:bCs/>
                <w:lang w:val="hu-HU"/>
              </w:rPr>
              <w:t>H0 elvetése</w:t>
            </w:r>
          </w:p>
        </w:tc>
      </w:tr>
      <w:tr w:rsidR="00342CEA" w14:paraId="6A5C78B7" w14:textId="77777777">
        <w:trPr>
          <w:trHeight w:val="472"/>
        </w:trPr>
        <w:tc>
          <w:tcPr>
            <w:tcW w:w="5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5AA8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1. lépés: </w:t>
            </w:r>
            <w:r>
              <w:rPr>
                <w:rFonts w:ascii="Times New Roman" w:hAnsi="Times New Roman"/>
                <w:lang w:val="hu-HU" w:eastAsia="en-GB"/>
              </w:rPr>
              <w:t>Azon betegek, akik legalább egyszer elérték a ≥ 100 000/µl vérlemezkeszámot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A863" w14:textId="77777777" w:rsidR="00342CEA" w:rsidRDefault="00837BAB">
            <w:pPr>
              <w:spacing w:line="259" w:lineRule="auto"/>
              <w:ind w:left="62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89 (84,8)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C824" w14:textId="77777777" w:rsidR="00342CEA" w:rsidRDefault="00837BAB">
            <w:pPr>
              <w:spacing w:line="259" w:lineRule="auto"/>
              <w:ind w:left="14"/>
              <w:jc w:val="both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(76,4, 91,0)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F64" w14:textId="77777777" w:rsidR="00342CEA" w:rsidRDefault="00837BAB">
            <w:pPr>
              <w:spacing w:line="259" w:lineRule="auto"/>
              <w:ind w:left="7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00FFA7" w14:textId="77777777" w:rsidR="00342CEA" w:rsidRDefault="00837BAB">
            <w:pPr>
              <w:spacing w:line="259" w:lineRule="auto"/>
              <w:ind w:left="10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</w:tr>
      <w:tr w:rsidR="00342CEA" w14:paraId="6BDFB9E6" w14:textId="77777777">
        <w:trPr>
          <w:trHeight w:val="698"/>
        </w:trPr>
        <w:tc>
          <w:tcPr>
            <w:tcW w:w="5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FF685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2. lépés: </w:t>
            </w:r>
            <w:r>
              <w:rPr>
                <w:rFonts w:ascii="Times New Roman" w:hAnsi="Times New Roman"/>
                <w:lang w:val="hu-HU" w:eastAsia="en-GB"/>
              </w:rPr>
              <w:t>Azon betegek, akiknél stabil maradt a vérlemezkeszám 2 hónapig, miután elérték a 100 000/µl értéket (egy alkalommal sem süllyedt 70 000/µl alá)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37B0" w14:textId="77777777" w:rsidR="00342CEA" w:rsidRDefault="00837BAB">
            <w:pPr>
              <w:spacing w:line="259" w:lineRule="auto"/>
              <w:ind w:left="62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65 (61,9)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4004" w14:textId="77777777" w:rsidR="00342CEA" w:rsidRDefault="00837BAB">
            <w:pPr>
              <w:spacing w:line="259" w:lineRule="auto"/>
              <w:ind w:left="14"/>
              <w:jc w:val="both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(51,9, 71,2)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B491" w14:textId="77777777" w:rsidR="00342CEA" w:rsidRDefault="00837BAB">
            <w:pPr>
              <w:spacing w:line="259" w:lineRule="auto"/>
              <w:ind w:left="7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B1F3B8" w14:textId="77777777" w:rsidR="00342CEA" w:rsidRDefault="00837BAB">
            <w:pPr>
              <w:spacing w:line="259" w:lineRule="auto"/>
              <w:ind w:left="10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</w:tr>
      <w:tr w:rsidR="00342CEA" w14:paraId="094B9BB1" w14:textId="77777777">
        <w:trPr>
          <w:trHeight w:val="931"/>
        </w:trPr>
        <w:tc>
          <w:tcPr>
            <w:tcW w:w="5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A78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3. lépés: </w:t>
            </w:r>
            <w:r>
              <w:rPr>
                <w:rFonts w:ascii="Times New Roman" w:hAnsi="Times New Roman"/>
                <w:lang w:val="hu-HU" w:eastAsia="en-GB"/>
              </w:rPr>
              <w:t xml:space="preserve">Azon betegek, akiknél sikerült a fokozatos dóziscsökkentést követően abbahagyni az </w:t>
            </w:r>
            <w:proofErr w:type="spellStart"/>
            <w:r>
              <w:rPr>
                <w:rFonts w:ascii="Times New Roman" w:hAnsi="Times New Roman"/>
                <w:lang w:val="hu-HU" w:eastAsia="en-GB"/>
              </w:rPr>
              <w:t>eltrombopag</w:t>
            </w:r>
            <w:proofErr w:type="spellEnd"/>
            <w:r>
              <w:rPr>
                <w:rFonts w:ascii="Times New Roman" w:hAnsi="Times New Roman"/>
                <w:lang w:val="hu-HU" w:eastAsia="en-GB"/>
              </w:rPr>
              <w:t xml:space="preserve"> alkalmazását úgy, hogy eközben a vérlemezkeszám ≥ 30 000/µl maradt, nem voltak vérzéses események, illetve nem kellett semmilyen mentő kezelést sem igénybe venni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2946" w14:textId="77777777" w:rsidR="00342CEA" w:rsidRDefault="00837BAB">
            <w:pPr>
              <w:spacing w:line="259" w:lineRule="auto"/>
              <w:ind w:left="62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44 (41,9)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56B9" w14:textId="77777777" w:rsidR="00342CEA" w:rsidRDefault="00837BAB">
            <w:pPr>
              <w:spacing w:line="259" w:lineRule="auto"/>
              <w:ind w:left="14"/>
              <w:jc w:val="both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(32,3, 51,9)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B29F" w14:textId="77777777" w:rsidR="00342CEA" w:rsidRDefault="00837BAB">
            <w:pPr>
              <w:spacing w:line="259" w:lineRule="auto"/>
              <w:ind w:left="7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8A7F8A" w14:textId="77777777" w:rsidR="00342CEA" w:rsidRDefault="00837BAB">
            <w:pPr>
              <w:spacing w:line="259" w:lineRule="auto"/>
              <w:ind w:left="10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</w:tr>
      <w:tr w:rsidR="00342CEA" w14:paraId="39F4EB0E" w14:textId="77777777">
        <w:trPr>
          <w:trHeight w:val="929"/>
        </w:trPr>
        <w:tc>
          <w:tcPr>
            <w:tcW w:w="5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7E83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4. lépés: </w:t>
            </w:r>
            <w:r>
              <w:rPr>
                <w:rFonts w:ascii="Times New Roman" w:hAnsi="Times New Roman"/>
                <w:lang w:val="hu-HU" w:eastAsia="en-GB"/>
              </w:rPr>
              <w:t>Azok a kezelés abbahagyása után a 12. hónapig tartós választ elérő betegek, akiknél a vérlemezkeszám ≥ 30 000/µl maradt, nem voltak vérzéses események, illetve nem kellett semmilyen mentő kezelést sem igénybe venni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3DB0" w14:textId="77777777" w:rsidR="00342CEA" w:rsidRDefault="00837BAB">
            <w:pPr>
              <w:spacing w:line="259" w:lineRule="auto"/>
              <w:ind w:left="62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32 (30,5)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311A" w14:textId="77777777" w:rsidR="00342CEA" w:rsidRDefault="00837BAB">
            <w:pPr>
              <w:spacing w:line="259" w:lineRule="auto"/>
              <w:ind w:left="14"/>
              <w:jc w:val="both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(21,9, 40,2)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973B6" w14:textId="77777777" w:rsidR="00342CEA" w:rsidRDefault="00837BAB">
            <w:pPr>
              <w:spacing w:line="259" w:lineRule="auto"/>
              <w:ind w:left="7"/>
              <w:jc w:val="both"/>
              <w:rPr>
                <w:rFonts w:ascii="Times New Roman" w:hAnsi="Times New Roman"/>
                <w:lang w:val="hu-HU"/>
              </w:rPr>
            </w:pPr>
            <w:proofErr w:type="gramStart"/>
            <w:r>
              <w:rPr>
                <w:rFonts w:ascii="Times New Roman" w:hAnsi="Times New Roman"/>
                <w:lang w:val="hu-HU"/>
              </w:rPr>
              <w:t>&lt; 0</w:t>
            </w:r>
            <w:proofErr w:type="gramEnd"/>
            <w:r>
              <w:rPr>
                <w:rFonts w:ascii="Times New Roman" w:hAnsi="Times New Roman"/>
                <w:lang w:val="hu-HU"/>
              </w:rPr>
              <w:t xml:space="preserve">,0001*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8C89C" w14:textId="77777777" w:rsidR="00342CEA" w:rsidRDefault="00837BAB">
            <w:pPr>
              <w:spacing w:line="259" w:lineRule="auto"/>
              <w:ind w:right="42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Igen</w:t>
            </w:r>
          </w:p>
        </w:tc>
      </w:tr>
      <w:tr w:rsidR="00342CEA" w14:paraId="2E1428A6" w14:textId="77777777">
        <w:trPr>
          <w:trHeight w:val="929"/>
        </w:trPr>
        <w:tc>
          <w:tcPr>
            <w:tcW w:w="5399" w:type="dxa"/>
            <w:tcBorders>
              <w:top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A3E86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5. lépés: </w:t>
            </w:r>
            <w:r>
              <w:rPr>
                <w:rFonts w:ascii="Times New Roman" w:hAnsi="Times New Roman"/>
                <w:lang w:val="hu-HU" w:eastAsia="en-GB"/>
              </w:rPr>
              <w:t>Azok a kezelés abbahagyása után a 12. hónaptól a 24. hónapig tartós választ elérő betegek, akiknél a vérlemezkeszám ≥ 30 000/µl maradt, nem voltak vérzéses események, illetve nem kellett semmilyen mentő kezelést sem igénybe venni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6D4444" w14:textId="77777777" w:rsidR="00342CEA" w:rsidRDefault="00837BAB">
            <w:pPr>
              <w:spacing w:line="259" w:lineRule="auto"/>
              <w:ind w:left="62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20 (19,0) 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6E0B747" w14:textId="77777777" w:rsidR="00342CEA" w:rsidRDefault="00837BAB">
            <w:pPr>
              <w:spacing w:line="259" w:lineRule="auto"/>
              <w:ind w:left="14"/>
              <w:jc w:val="both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(12,0, 27,9)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E3D8B6" w14:textId="77777777" w:rsidR="00342CEA" w:rsidRDefault="00837BAB">
            <w:pPr>
              <w:spacing w:line="259" w:lineRule="auto"/>
              <w:ind w:left="7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</w:tcPr>
          <w:p w14:paraId="50FDA79E" w14:textId="77777777" w:rsidR="00342CEA" w:rsidRDefault="00837BAB">
            <w:pPr>
              <w:spacing w:line="259" w:lineRule="auto"/>
              <w:ind w:left="10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 xml:space="preserve"> </w:t>
            </w:r>
          </w:p>
        </w:tc>
      </w:tr>
    </w:tbl>
    <w:p w14:paraId="56683062" w14:textId="77777777" w:rsidR="00342CEA" w:rsidRDefault="00837BAB">
      <w:pPr>
        <w:spacing w:line="238" w:lineRule="auto"/>
        <w:ind w:left="-5" w:right="995" w:hanging="10"/>
        <w:rPr>
          <w:lang w:val="hu-HU" w:eastAsia="en-GB"/>
        </w:rPr>
      </w:pPr>
      <w:r>
        <w:rPr>
          <w:lang w:val="hu-HU" w:eastAsia="en-US"/>
        </w:rPr>
        <w:t xml:space="preserve">N: </w:t>
      </w:r>
      <w:r>
        <w:rPr>
          <w:lang w:val="hu-HU" w:eastAsia="en-GB"/>
        </w:rPr>
        <w:t>A kezelési csoportba tartozó betegek összesített száma. A százalékos arány (%) számításakor ez szerepel a nevezőben.</w:t>
      </w:r>
    </w:p>
    <w:p w14:paraId="761515C3" w14:textId="77777777" w:rsidR="00342CEA" w:rsidRDefault="00837BAB">
      <w:pPr>
        <w:spacing w:line="238" w:lineRule="auto"/>
        <w:ind w:left="-5" w:right="995" w:hanging="10"/>
        <w:rPr>
          <w:lang w:val="hu-HU" w:eastAsia="en-US"/>
        </w:rPr>
      </w:pPr>
      <w:r>
        <w:rPr>
          <w:lang w:val="hu-HU" w:eastAsia="en-US"/>
        </w:rPr>
        <w:t xml:space="preserve">n: </w:t>
      </w:r>
      <w:r>
        <w:rPr>
          <w:lang w:val="hu-HU" w:eastAsia="en-GB"/>
        </w:rPr>
        <w:t>Az adott kategóriába tartozó betegek száma.</w:t>
      </w:r>
    </w:p>
    <w:p w14:paraId="21F0C4D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US"/>
        </w:rPr>
      </w:pPr>
      <w:r>
        <w:rPr>
          <w:lang w:val="hu-HU" w:eastAsia="en-GB"/>
        </w:rPr>
        <w:t>A gyakoriság</w:t>
      </w:r>
      <w:r>
        <w:rPr>
          <w:lang w:val="hu-HU" w:eastAsia="en-GB"/>
        </w:rPr>
        <w:noBreakHyphen/>
        <w:t>eloszláshoz tartozó 95%</w:t>
      </w:r>
      <w:r>
        <w:rPr>
          <w:lang w:val="hu-HU" w:eastAsia="en-GB"/>
        </w:rPr>
        <w:noBreakHyphen/>
        <w:t xml:space="preserve">os CI számítása a </w:t>
      </w:r>
      <w:proofErr w:type="spellStart"/>
      <w:r>
        <w:rPr>
          <w:lang w:val="hu-HU" w:eastAsia="en-GB"/>
        </w:rPr>
        <w:t>Clopper</w:t>
      </w:r>
      <w:proofErr w:type="spellEnd"/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Pearson</w:t>
      </w:r>
      <w:proofErr w:type="spellEnd"/>
      <w:r>
        <w:rPr>
          <w:lang w:val="hu-HU" w:eastAsia="en-GB"/>
        </w:rPr>
        <w:noBreakHyphen/>
        <w:t xml:space="preserve">féle egzakt módszerrel történt. </w:t>
      </w:r>
      <w:proofErr w:type="spellStart"/>
      <w:r>
        <w:rPr>
          <w:lang w:val="hu-HU" w:eastAsia="en-GB"/>
        </w:rPr>
        <w:t>Clopper</w:t>
      </w:r>
      <w:proofErr w:type="spellEnd"/>
      <w:r>
        <w:rPr>
          <w:lang w:val="hu-HU" w:eastAsia="en-GB"/>
        </w:rPr>
        <w:t>–</w:t>
      </w:r>
      <w:proofErr w:type="spellStart"/>
      <w:r>
        <w:rPr>
          <w:lang w:val="hu-HU" w:eastAsia="en-GB"/>
        </w:rPr>
        <w:t>Pearson</w:t>
      </w:r>
      <w:proofErr w:type="spellEnd"/>
      <w:r>
        <w:rPr>
          <w:lang w:val="hu-HU" w:eastAsia="en-GB"/>
        </w:rPr>
        <w:t xml:space="preserve"> teszttel állapították meg, hogy a terápiás választ adók aránya meghaladja</w:t>
      </w:r>
      <w:r>
        <w:rPr>
          <w:lang w:val="hu-HU" w:eastAsia="en-GB"/>
        </w:rPr>
        <w:noBreakHyphen/>
        <w:t>e a 15%</w:t>
      </w:r>
      <w:r>
        <w:rPr>
          <w:lang w:val="hu-HU" w:eastAsia="en-GB"/>
        </w:rPr>
        <w:noBreakHyphen/>
        <w:t>ot. A CI</w:t>
      </w:r>
      <w:r>
        <w:rPr>
          <w:lang w:val="hu-HU" w:eastAsia="en-GB"/>
        </w:rPr>
        <w:noBreakHyphen/>
        <w:t>t és a p</w:t>
      </w:r>
      <w:r>
        <w:rPr>
          <w:lang w:val="hu-HU" w:eastAsia="en-GB"/>
        </w:rPr>
        <w:noBreakHyphen/>
        <w:t>értékeket jelentették.</w:t>
      </w:r>
    </w:p>
    <w:p w14:paraId="2CBC2E45" w14:textId="77777777" w:rsidR="00342CEA" w:rsidRDefault="00837BAB">
      <w:pPr>
        <w:pBdr>
          <w:bottom w:val="single" w:sz="4" w:space="1" w:color="auto"/>
        </w:pBdr>
        <w:spacing w:line="238" w:lineRule="auto"/>
        <w:ind w:left="-5" w:right="24" w:hanging="10"/>
        <w:rPr>
          <w:lang w:val="hu-HU" w:eastAsia="en-US"/>
        </w:rPr>
      </w:pPr>
      <w:r>
        <w:rPr>
          <w:lang w:val="hu-HU" w:eastAsia="en-US"/>
        </w:rPr>
        <w:t xml:space="preserve">* </w:t>
      </w:r>
      <w:r>
        <w:rPr>
          <w:lang w:val="hu-HU" w:eastAsia="en-GB"/>
        </w:rPr>
        <w:t>(Egy oldalú) statisztikai szignifikanciát jelez 0,05</w:t>
      </w:r>
      <w:r>
        <w:rPr>
          <w:lang w:val="hu-HU" w:eastAsia="en-GB"/>
        </w:rPr>
        <w:noBreakHyphen/>
        <w:t>ös szignifikanciaszinten.</w:t>
      </w:r>
    </w:p>
    <w:p w14:paraId="4A47CF74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FEE6C6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 kezelés során adott terápiás válasz elemzése az ITP diagnózisa óta eltelt idő függvényében</w:t>
      </w:r>
    </w:p>
    <w:p w14:paraId="38C2A94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ITP diagnózisa óta eltelt időtartam szerinti ad hoc elemzést végeztek n = 105 betegnél, melynek célja az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adott korai válasz felmérése volt az ITP diagnózisa óta eltelt időtartam négy különböző kategóriájában (újonnan diagnosztizált, </w:t>
      </w:r>
      <w:proofErr w:type="gramStart"/>
      <w:r>
        <w:rPr>
          <w:lang w:val="hu-HU" w:eastAsia="en-GB"/>
        </w:rPr>
        <w:t>&lt; 3</w:t>
      </w:r>
      <w:proofErr w:type="gramEnd"/>
      <w:r>
        <w:rPr>
          <w:lang w:val="hu-HU" w:eastAsia="en-GB"/>
        </w:rPr>
        <w:t> hónapja fennálló ITP, 3</w:t>
      </w:r>
      <w:proofErr w:type="gramStart"/>
      <w:r>
        <w:rPr>
          <w:lang w:val="hu-HU" w:eastAsia="en-GB"/>
        </w:rPr>
        <w:noBreakHyphen/>
        <w:t>&lt; 6</w:t>
      </w:r>
      <w:proofErr w:type="gramEnd"/>
      <w:r>
        <w:rPr>
          <w:lang w:val="hu-HU" w:eastAsia="en-GB"/>
        </w:rPr>
        <w:t xml:space="preserve"> hónapja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ITP, 6</w:t>
      </w:r>
      <w:r>
        <w:rPr>
          <w:lang w:val="hu-HU" w:eastAsia="en-GB"/>
        </w:rPr>
        <w:noBreakHyphen/>
        <w:t xml:space="preserve">≤ 12 hónapja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ITP, valamint krónikus, &gt; 12 hónapja fennálló ITP). A betegek </w:t>
      </w:r>
      <w:r>
        <w:rPr>
          <w:lang w:val="hu-HU" w:eastAsia="en-GB"/>
        </w:rPr>
        <w:lastRenderedPageBreak/>
        <w:t>49%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(n = 51) </w:t>
      </w:r>
      <w:proofErr w:type="gramStart"/>
      <w:r>
        <w:rPr>
          <w:lang w:val="hu-HU" w:eastAsia="en-GB"/>
        </w:rPr>
        <w:t>&lt; 3</w:t>
      </w:r>
      <w:proofErr w:type="gramEnd"/>
      <w:r>
        <w:rPr>
          <w:lang w:val="hu-HU" w:eastAsia="en-GB"/>
        </w:rPr>
        <w:t> hónapja, 20%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uknál</w:t>
      </w:r>
      <w:proofErr w:type="spellEnd"/>
      <w:r>
        <w:rPr>
          <w:lang w:val="hu-HU" w:eastAsia="en-GB"/>
        </w:rPr>
        <w:t xml:space="preserve"> (n = 21) 3</w:t>
      </w:r>
      <w:proofErr w:type="gramStart"/>
      <w:r>
        <w:rPr>
          <w:lang w:val="hu-HU" w:eastAsia="en-GB"/>
        </w:rPr>
        <w:noBreakHyphen/>
        <w:t>&lt; 6</w:t>
      </w:r>
      <w:proofErr w:type="gramEnd"/>
      <w:r>
        <w:rPr>
          <w:lang w:val="hu-HU" w:eastAsia="en-GB"/>
        </w:rPr>
        <w:t> hónapja, 17%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uknál</w:t>
      </w:r>
      <w:proofErr w:type="spellEnd"/>
      <w:r>
        <w:rPr>
          <w:lang w:val="hu-HU" w:eastAsia="en-GB"/>
        </w:rPr>
        <w:t xml:space="preserve"> (n = 18) 6</w:t>
      </w:r>
      <w:r>
        <w:rPr>
          <w:lang w:val="hu-HU" w:eastAsia="en-GB"/>
        </w:rPr>
        <w:noBreakHyphen/>
        <w:t>≤ 12 hónapja, 14%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uknál</w:t>
      </w:r>
      <w:proofErr w:type="spellEnd"/>
      <w:r>
        <w:rPr>
          <w:lang w:val="hu-HU" w:eastAsia="en-GB"/>
        </w:rPr>
        <w:t xml:space="preserve"> (n = 15) pedig &gt; 12 hónapja állapítottak meg ITP</w:t>
      </w:r>
      <w:r>
        <w:rPr>
          <w:lang w:val="hu-HU" w:eastAsia="en-GB"/>
        </w:rPr>
        <w:noBreakHyphen/>
        <w:t>t.</w:t>
      </w:r>
    </w:p>
    <w:p w14:paraId="1EE3EEAB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2947D79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adatok lezárásáig (2021. október 22.) a betegek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expozíciójának medián (Q1</w:t>
      </w:r>
      <w:r>
        <w:rPr>
          <w:lang w:val="hu-HU" w:eastAsia="en-GB"/>
        </w:rPr>
        <w:noBreakHyphen/>
        <w:t>Q3) időtartama 6,2 hónap (2,3</w:t>
      </w:r>
      <w:r>
        <w:rPr>
          <w:lang w:val="hu-HU" w:eastAsia="en-GB"/>
        </w:rPr>
        <w:noBreakHyphen/>
        <w:t>12,0 hónap) volt. A medián (Q1</w:t>
      </w:r>
      <w:r>
        <w:rPr>
          <w:lang w:val="hu-HU" w:eastAsia="en-GB"/>
        </w:rPr>
        <w:noBreakHyphen/>
        <w:t>Q3) vérlemezkeszám kiindulási értéke 16 000/µl (7800</w:t>
      </w:r>
      <w:r>
        <w:rPr>
          <w:lang w:val="hu-HU" w:eastAsia="en-GB"/>
        </w:rPr>
        <w:noBreakHyphen/>
        <w:t>28 000/µl) volt.</w:t>
      </w:r>
    </w:p>
    <w:p w14:paraId="44274C12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29E248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vérlemezkeszámban megnyilvánuló választ (meghatározása: a vérlemezkeszám ≥ 50 000/µl legalább egy alkalommal a 9. hétig anélkül, hogy mentő</w:t>
      </w:r>
      <w:r>
        <w:rPr>
          <w:lang w:val="hu-HU" w:eastAsia="en-GB"/>
        </w:rPr>
        <w:noBreakHyphen/>
        <w:t>kezelést kellett volna alkalmazni) az újonnan diagnosztizált ITP</w:t>
      </w:r>
      <w:r>
        <w:rPr>
          <w:lang w:val="hu-HU" w:eastAsia="en-GB"/>
        </w:rPr>
        <w:noBreakHyphen/>
        <w:t>s betegek 84%</w:t>
      </w:r>
      <w:r>
        <w:rPr>
          <w:lang w:val="hu-HU" w:eastAsia="en-GB"/>
        </w:rPr>
        <w:noBreakHyphen/>
        <w:t>a (95%</w:t>
      </w:r>
      <w:r>
        <w:rPr>
          <w:lang w:val="hu-HU" w:eastAsia="en-GB"/>
        </w:rPr>
        <w:noBreakHyphen/>
        <w:t>os CI: 71%</w:t>
      </w:r>
      <w:r>
        <w:rPr>
          <w:lang w:val="hu-HU" w:eastAsia="en-GB"/>
        </w:rPr>
        <w:noBreakHyphen/>
        <w:t>93%), a 3</w:t>
      </w:r>
      <w:proofErr w:type="gramStart"/>
      <w:r>
        <w:rPr>
          <w:lang w:val="hu-HU" w:eastAsia="en-GB"/>
        </w:rPr>
        <w:noBreakHyphen/>
        <w:t>&lt; 6</w:t>
      </w:r>
      <w:proofErr w:type="gramEnd"/>
      <w:r>
        <w:rPr>
          <w:lang w:val="hu-HU" w:eastAsia="en-GB"/>
        </w:rPr>
        <w:t xml:space="preserve">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 91%</w:t>
      </w:r>
      <w:r>
        <w:rPr>
          <w:lang w:val="hu-HU" w:eastAsia="en-GB"/>
        </w:rPr>
        <w:noBreakHyphen/>
        <w:t>a (95%</w:t>
      </w:r>
      <w:r>
        <w:rPr>
          <w:lang w:val="hu-HU" w:eastAsia="en-GB"/>
        </w:rPr>
        <w:noBreakHyphen/>
        <w:t>os CI: 70%</w:t>
      </w:r>
      <w:r>
        <w:rPr>
          <w:lang w:val="hu-HU" w:eastAsia="en-GB"/>
        </w:rPr>
        <w:noBreakHyphen/>
        <w:t>99%), a 6</w:t>
      </w:r>
      <w:r>
        <w:rPr>
          <w:lang w:val="hu-HU" w:eastAsia="en-GB"/>
        </w:rPr>
        <w:noBreakHyphen/>
        <w:t xml:space="preserve">≤ 12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 94%</w:t>
      </w:r>
      <w:r>
        <w:rPr>
          <w:lang w:val="hu-HU" w:eastAsia="en-GB"/>
        </w:rPr>
        <w:noBreakHyphen/>
        <w:t>a (95%</w:t>
      </w:r>
      <w:r>
        <w:rPr>
          <w:lang w:val="hu-HU" w:eastAsia="en-GB"/>
        </w:rPr>
        <w:noBreakHyphen/>
        <w:t>os CI: 73%</w:t>
      </w:r>
      <w:r>
        <w:rPr>
          <w:lang w:val="hu-HU" w:eastAsia="en-GB"/>
        </w:rPr>
        <w:noBreakHyphen/>
        <w:t>100%) és a krónikus ITP</w:t>
      </w:r>
      <w:r>
        <w:rPr>
          <w:lang w:val="hu-HU" w:eastAsia="en-GB"/>
        </w:rPr>
        <w:noBreakHyphen/>
        <w:t>s betegek 87%</w:t>
      </w:r>
      <w:r>
        <w:rPr>
          <w:lang w:val="hu-HU" w:eastAsia="en-GB"/>
        </w:rPr>
        <w:noBreakHyphen/>
        <w:t>a (95%</w:t>
      </w:r>
      <w:r>
        <w:rPr>
          <w:lang w:val="hu-HU" w:eastAsia="en-GB"/>
        </w:rPr>
        <w:noBreakHyphen/>
        <w:t>os CI: 60%</w:t>
      </w:r>
      <w:r>
        <w:rPr>
          <w:lang w:val="hu-HU" w:eastAsia="en-GB"/>
        </w:rPr>
        <w:noBreakHyphen/>
        <w:t>98%) érte el.</w:t>
      </w:r>
    </w:p>
    <w:p w14:paraId="77ED4981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6529C59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teljes válasz aránya (meghatározása: a vérlemezkeszám ≥ 100 000/µl legalább egy alkalommal a 9. hétig anélkül, hogy mentő kezelést kellett volna alkalmazni) 75% volt az újonnan diagnosztizált ITP</w:t>
      </w:r>
      <w:r>
        <w:rPr>
          <w:lang w:val="hu-HU" w:eastAsia="en-GB"/>
        </w:rPr>
        <w:noBreakHyphen/>
        <w:t>s betegeknél (95%</w:t>
      </w:r>
      <w:r>
        <w:rPr>
          <w:lang w:val="hu-HU" w:eastAsia="en-GB"/>
        </w:rPr>
        <w:noBreakHyphen/>
        <w:t>os CI: 60%</w:t>
      </w:r>
      <w:r>
        <w:rPr>
          <w:lang w:val="hu-HU" w:eastAsia="en-GB"/>
        </w:rPr>
        <w:noBreakHyphen/>
        <w:t>86%), 76% volt a 3</w:t>
      </w:r>
      <w:proofErr w:type="gramStart"/>
      <w:r>
        <w:rPr>
          <w:lang w:val="hu-HU" w:eastAsia="en-GB"/>
        </w:rPr>
        <w:noBreakHyphen/>
        <w:t>&lt; 6</w:t>
      </w:r>
      <w:proofErr w:type="gramEnd"/>
      <w:r>
        <w:rPr>
          <w:lang w:val="hu-HU" w:eastAsia="en-GB"/>
        </w:rPr>
        <w:t xml:space="preserve">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betegeknél (95%os CI: 53%92%), 72% volt a 6</w:t>
      </w:r>
      <w:r>
        <w:rPr>
          <w:lang w:val="hu-HU" w:eastAsia="en-GB"/>
        </w:rPr>
        <w:noBreakHyphen/>
        <w:t xml:space="preserve">≤ 12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betegeknél (95%</w:t>
      </w:r>
      <w:r>
        <w:rPr>
          <w:lang w:val="hu-HU" w:eastAsia="en-GB"/>
        </w:rPr>
        <w:noBreakHyphen/>
        <w:t>os CI: 47%</w:t>
      </w:r>
      <w:r>
        <w:rPr>
          <w:lang w:val="hu-HU" w:eastAsia="en-GB"/>
        </w:rPr>
        <w:noBreakHyphen/>
        <w:t>90%) és 87% volt a krónikus ITP</w:t>
      </w:r>
      <w:r>
        <w:rPr>
          <w:lang w:val="hu-HU" w:eastAsia="en-GB"/>
        </w:rPr>
        <w:noBreakHyphen/>
        <w:t>s betegeknél (95%</w:t>
      </w:r>
      <w:r>
        <w:rPr>
          <w:lang w:val="hu-HU" w:eastAsia="en-GB"/>
        </w:rPr>
        <w:noBreakHyphen/>
        <w:t>os CI: 60%</w:t>
      </w:r>
      <w:r>
        <w:rPr>
          <w:lang w:val="hu-HU" w:eastAsia="en-GB"/>
        </w:rPr>
        <w:noBreakHyphen/>
        <w:t>98%).</w:t>
      </w:r>
    </w:p>
    <w:p w14:paraId="0E8ED34F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184D24D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tartós válasz aránya (meghatározása: a vérlemezkeszám ≥ 50 000/µl a vizsgálat első 6 hónapja során 8 egymást követő mérésből legalább 6 alkalommal anélkül, hogy mentő kezelést kellett volna alkalmazni) 71% volt az újonnan diagnosztizált ITP</w:t>
      </w:r>
      <w:r>
        <w:rPr>
          <w:lang w:val="hu-HU" w:eastAsia="en-GB"/>
        </w:rPr>
        <w:noBreakHyphen/>
        <w:t>s betegeknél (95%</w:t>
      </w:r>
      <w:r>
        <w:rPr>
          <w:lang w:val="hu-HU" w:eastAsia="en-GB"/>
        </w:rPr>
        <w:noBreakHyphen/>
        <w:t>os CI: 56%</w:t>
      </w:r>
      <w:r>
        <w:rPr>
          <w:lang w:val="hu-HU" w:eastAsia="en-GB"/>
        </w:rPr>
        <w:noBreakHyphen/>
        <w:t>83%), 81% volt a 3</w:t>
      </w:r>
      <w:r>
        <w:rPr>
          <w:lang w:val="hu-HU" w:eastAsia="en-GB"/>
        </w:rPr>
        <w:noBreakHyphen/>
        <w:t xml:space="preserve">&lt; 6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betegeknél (95%-os CI: 58%</w:t>
      </w:r>
      <w:r>
        <w:rPr>
          <w:lang w:val="hu-HU" w:eastAsia="en-GB"/>
        </w:rPr>
        <w:noBreakHyphen/>
        <w:t>95%), 72% volt a 6</w:t>
      </w:r>
      <w:r>
        <w:rPr>
          <w:lang w:val="hu-HU" w:eastAsia="en-GB"/>
        </w:rPr>
        <w:noBreakHyphen/>
        <w:t xml:space="preserve">≤ 12 hónapja diagnosztizált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betegeknél (95%</w:t>
      </w:r>
      <w:r>
        <w:rPr>
          <w:lang w:val="hu-HU" w:eastAsia="en-GB"/>
        </w:rPr>
        <w:noBreakHyphen/>
        <w:t>os CI: 47%</w:t>
      </w:r>
      <w:r>
        <w:rPr>
          <w:lang w:val="hu-HU" w:eastAsia="en-GB"/>
        </w:rPr>
        <w:noBreakHyphen/>
        <w:t>90,3%) és 80% volt a krónikus ITP</w:t>
      </w:r>
      <w:r>
        <w:rPr>
          <w:lang w:val="hu-HU" w:eastAsia="en-GB"/>
        </w:rPr>
        <w:noBreakHyphen/>
        <w:t>s betegeknél (95%-os CI: 52%</w:t>
      </w:r>
      <w:r>
        <w:rPr>
          <w:lang w:val="hu-HU" w:eastAsia="en-GB"/>
        </w:rPr>
        <w:noBreakHyphen/>
        <w:t>96%).</w:t>
      </w:r>
    </w:p>
    <w:p w14:paraId="628A125B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65EF223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WHO szerinti vérzésskálával (</w:t>
      </w:r>
      <w:r>
        <w:rPr>
          <w:lang w:val="en-US"/>
        </w:rPr>
        <w:t>WHO Bleeding Scale</w:t>
      </w:r>
      <w:r>
        <w:rPr>
          <w:lang w:val="hu-HU" w:eastAsia="en-GB"/>
        </w:rPr>
        <w:t xml:space="preserve">) végzett értékelés során a 4. héten vérzéssel nem érintett, újonnan diagnosztizált és </w:t>
      </w:r>
      <w:proofErr w:type="spellStart"/>
      <w:r>
        <w:rPr>
          <w:lang w:val="hu-HU" w:eastAsia="en-GB"/>
        </w:rPr>
        <w:t>perzisztáló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>s betegek aránya 88% és 95% között alakult a kiindulási 37% és 57% közötti értékhez képest. Krónikus ITP</w:t>
      </w:r>
      <w:r>
        <w:rPr>
          <w:lang w:val="hu-HU" w:eastAsia="en-GB"/>
        </w:rPr>
        <w:noBreakHyphen/>
        <w:t>s betegeknél ez az arány 93% volt a kiindulási 73%</w:t>
      </w:r>
      <w:r>
        <w:rPr>
          <w:lang w:val="hu-HU" w:eastAsia="en-GB"/>
        </w:rPr>
        <w:noBreakHyphen/>
        <w:t>hoz képest.</w:t>
      </w:r>
    </w:p>
    <w:p w14:paraId="2201A806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3497BF8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biztonságossága konzisztens volt valamennyi ITP</w:t>
      </w:r>
      <w:r>
        <w:rPr>
          <w:lang w:val="hu-HU" w:eastAsia="en-GB"/>
        </w:rPr>
        <w:noBreakHyphen/>
        <w:t>kategóriában és összhangban volt az ismert biztonságossági profiljával.</w:t>
      </w:r>
    </w:p>
    <w:p w14:paraId="3C9C681A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57528C2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b/>
          <w:bCs/>
          <w:lang w:val="hu-HU" w:eastAsia="en-GB"/>
        </w:rPr>
        <w:t>N</w:t>
      </w:r>
      <w:r>
        <w:rPr>
          <w:lang w:val="hu-HU" w:eastAsia="en-GB"/>
        </w:rPr>
        <w:t xml:space="preserve">em folytattak olyan klinikai vizsgálatokat, amelyekben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más kezelési lehetőségekhez (pl. </w:t>
      </w:r>
      <w:proofErr w:type="spellStart"/>
      <w:r>
        <w:rPr>
          <w:lang w:val="hu-HU" w:eastAsia="en-GB"/>
        </w:rPr>
        <w:t>splenectomia</w:t>
      </w:r>
      <w:proofErr w:type="spellEnd"/>
      <w:r>
        <w:rPr>
          <w:lang w:val="hu-HU" w:eastAsia="en-GB"/>
        </w:rPr>
        <w:t xml:space="preserve">) viszonyították. A kezelés megkezdése előtt figyelembe kell venni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hosszú távú biztonságosságát.</w:t>
      </w:r>
    </w:p>
    <w:p w14:paraId="14D7A4CA" w14:textId="77777777" w:rsidR="00342CEA" w:rsidRDefault="00342CEA">
      <w:pPr>
        <w:spacing w:line="240" w:lineRule="auto"/>
        <w:rPr>
          <w:u w:val="single"/>
          <w:lang w:val="hu-HU"/>
        </w:rPr>
      </w:pPr>
    </w:p>
    <w:p w14:paraId="2FD98D16" w14:textId="77777777" w:rsidR="00342CEA" w:rsidRDefault="00837BAB">
      <w:pPr>
        <w:spacing w:line="240" w:lineRule="auto"/>
        <w:rPr>
          <w:i/>
          <w:lang w:val="hu-HU"/>
        </w:rPr>
      </w:pPr>
      <w:r>
        <w:rPr>
          <w:i/>
          <w:lang w:val="hu-HU"/>
        </w:rPr>
        <w:t>Gyermekek és serdülők (1 és betöltött 18. életév között)</w:t>
      </w:r>
    </w:p>
    <w:p w14:paraId="4806453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biztonságosságát és hatásosságát gyermekeknél és serdülőknél 2 vizsgálatban értékelték.</w:t>
      </w:r>
    </w:p>
    <w:p w14:paraId="3399CF48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2EB1CC8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  <w:r>
        <w:rPr>
          <w:i/>
          <w:lang w:val="hu-HU" w:eastAsia="en-GB"/>
        </w:rPr>
        <w:t xml:space="preserve">TRA115450 (PETIT2): </w:t>
      </w:r>
    </w:p>
    <w:p w14:paraId="75FF586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elsődleges végpont a tartós válasz volt, amit a </w:t>
      </w:r>
      <w:proofErr w:type="spellStart"/>
      <w:r>
        <w:rPr>
          <w:lang w:val="hu-HU" w:eastAsia="en-GB"/>
        </w:rPr>
        <w:t>placebóhoz</w:t>
      </w:r>
      <w:proofErr w:type="spellEnd"/>
      <w:r>
        <w:rPr>
          <w:lang w:val="hu-HU" w:eastAsia="en-GB"/>
        </w:rPr>
        <w:t xml:space="preserve"> viszonyítva azoknak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betegeknek az arányával definiáltak, akik a kettős</w:t>
      </w:r>
      <w:r>
        <w:rPr>
          <w:lang w:val="hu-HU" w:eastAsia="en-GB"/>
        </w:rPr>
        <w:noBreakHyphen/>
        <w:t xml:space="preserve">vak,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 xml:space="preserve"> időszak alatt ≥ 50 000/µl</w:t>
      </w:r>
      <w:r>
        <w:rPr>
          <w:lang w:val="hu-HU" w:eastAsia="en-GB"/>
        </w:rPr>
        <w:noBreakHyphen/>
        <w:t xml:space="preserve">es </w:t>
      </w:r>
      <w:proofErr w:type="spellStart"/>
      <w:r>
        <w:rPr>
          <w:lang w:val="hu-HU" w:eastAsia="en-GB"/>
        </w:rPr>
        <w:t>thrombocytaszámot</w:t>
      </w:r>
      <w:proofErr w:type="spellEnd"/>
      <w:r>
        <w:rPr>
          <w:lang w:val="hu-HU" w:eastAsia="en-GB"/>
        </w:rPr>
        <w:t xml:space="preserve"> értek el az 5. és 12. hét között, a 8 hétből legalább 6 alatt („mentő” kezelés nélkül). A betegeket krónikus ITP</w:t>
      </w:r>
      <w:r>
        <w:rPr>
          <w:lang w:val="hu-HU" w:eastAsia="en-GB"/>
        </w:rPr>
        <w:noBreakHyphen/>
        <w:t xml:space="preserve">vel </w:t>
      </w:r>
      <w:proofErr w:type="spellStart"/>
      <w:r>
        <w:rPr>
          <w:lang w:val="hu-HU" w:eastAsia="en-GB"/>
        </w:rPr>
        <w:t>diagnoztizálták</w:t>
      </w:r>
      <w:proofErr w:type="spellEnd"/>
      <w:r>
        <w:rPr>
          <w:lang w:val="hu-HU" w:eastAsia="en-GB"/>
        </w:rPr>
        <w:t xml:space="preserve"> legalább egy éve és legalább egy korábbi ITP elleni kezelésre nem reagáltak, vagy a kezelés után állapotuk ismét súlyosbodott, vagy orvosi okok miatt nem kaphattak más ITP</w:t>
      </w:r>
      <w:r>
        <w:rPr>
          <w:lang w:val="hu-HU" w:eastAsia="en-GB"/>
        </w:rPr>
        <w:noBreakHyphen/>
        <w:t xml:space="preserve">elleni kezelést, és a </w:t>
      </w:r>
      <w:proofErr w:type="spellStart"/>
      <w:r>
        <w:rPr>
          <w:lang w:val="hu-HU" w:eastAsia="en-GB"/>
        </w:rPr>
        <w:t>thrombocytaszámuk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30</w:t>
      </w:r>
      <w:proofErr w:type="gramEnd"/>
      <w:r>
        <w:rPr>
          <w:lang w:val="hu-HU" w:eastAsia="en-GB"/>
        </w:rPr>
        <w:t xml:space="preserve"> 000/µl volt. Kilencvenkét beteget </w:t>
      </w:r>
      <w:proofErr w:type="spellStart"/>
      <w:r>
        <w:rPr>
          <w:lang w:val="hu-HU" w:eastAsia="en-GB"/>
        </w:rPr>
        <w:t>randomizáltak</w:t>
      </w:r>
      <w:proofErr w:type="spellEnd"/>
      <w:r>
        <w:rPr>
          <w:lang w:val="hu-HU" w:eastAsia="en-GB"/>
        </w:rPr>
        <w:t xml:space="preserve"> három életkori </w:t>
      </w:r>
      <w:proofErr w:type="spellStart"/>
      <w:r>
        <w:rPr>
          <w:lang w:val="hu-HU" w:eastAsia="en-GB"/>
        </w:rPr>
        <w:t>kohorsz</w:t>
      </w:r>
      <w:proofErr w:type="spellEnd"/>
      <w:r>
        <w:rPr>
          <w:lang w:val="hu-HU" w:eastAsia="en-GB"/>
        </w:rPr>
        <w:t xml:space="preserve"> réteg szerint (2:1)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(n = 63) vagy </w:t>
      </w:r>
      <w:proofErr w:type="spellStart"/>
      <w:r>
        <w:rPr>
          <w:lang w:val="hu-HU" w:eastAsia="en-GB"/>
        </w:rPr>
        <w:t>placebóra</w:t>
      </w:r>
      <w:proofErr w:type="spellEnd"/>
      <w:r>
        <w:rPr>
          <w:lang w:val="hu-HU" w:eastAsia="en-GB"/>
        </w:rPr>
        <w:t xml:space="preserve"> (n = 29).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dózisát az individuális vérlemezkeszám alapján módosítani lehetett.</w:t>
      </w:r>
    </w:p>
    <w:p w14:paraId="5FEFB565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0A0ECA4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Összességében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 szignifikánsan nagyobb aránya (40%) érte el az elsődleges végpontot, mint </w:t>
      </w:r>
      <w:proofErr w:type="spellStart"/>
      <w:r>
        <w:rPr>
          <w:lang w:val="hu-HU" w:eastAsia="en-GB"/>
        </w:rPr>
        <w:t>placebót</w:t>
      </w:r>
      <w:proofErr w:type="spellEnd"/>
      <w:r>
        <w:rPr>
          <w:lang w:val="hu-HU" w:eastAsia="en-GB"/>
        </w:rPr>
        <w:t xml:space="preserve"> kapó beteg (3%) (esélyhányados: 18,0 [95%</w:t>
      </w:r>
      <w:r>
        <w:rPr>
          <w:lang w:val="hu-HU" w:eastAsia="en-GB"/>
        </w:rPr>
        <w:noBreakHyphen/>
        <w:t>os CI: 2,3, 140,9] p </w:t>
      </w:r>
      <w:proofErr w:type="gramStart"/>
      <w:r>
        <w:rPr>
          <w:lang w:val="hu-HU" w:eastAsia="en-GB"/>
        </w:rPr>
        <w:t>&lt; 0,001</w:t>
      </w:r>
      <w:proofErr w:type="gramEnd"/>
      <w:r>
        <w:rPr>
          <w:lang w:val="hu-HU" w:eastAsia="en-GB"/>
        </w:rPr>
        <w:t xml:space="preserve">), ami mindhárom életkor </w:t>
      </w:r>
      <w:proofErr w:type="spellStart"/>
      <w:r>
        <w:rPr>
          <w:lang w:val="hu-HU" w:eastAsia="en-GB"/>
        </w:rPr>
        <w:t>kohorszban</w:t>
      </w:r>
      <w:proofErr w:type="spellEnd"/>
      <w:r>
        <w:rPr>
          <w:lang w:val="hu-HU" w:eastAsia="en-GB"/>
        </w:rPr>
        <w:t xml:space="preserve"> hasonló volt (6. táblázat).</w:t>
      </w:r>
    </w:p>
    <w:p w14:paraId="74728617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688F1611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ind w:left="1134" w:hanging="1134"/>
        <w:rPr>
          <w:rFonts w:eastAsia="Times New Roman"/>
          <w:b/>
          <w:bCs/>
          <w:lang w:val="hu-HU" w:eastAsia="en-US"/>
        </w:rPr>
      </w:pPr>
      <w:r>
        <w:rPr>
          <w:b/>
          <w:bCs/>
          <w:lang w:val="hu-HU" w:eastAsia="en-GB"/>
        </w:rPr>
        <w:t>7. táblázat</w:t>
      </w:r>
      <w:r>
        <w:rPr>
          <w:b/>
          <w:bCs/>
          <w:lang w:val="hu-HU" w:eastAsia="en-GB"/>
        </w:rPr>
        <w:tab/>
        <w:t xml:space="preserve">Tartós </w:t>
      </w:r>
      <w:proofErr w:type="spellStart"/>
      <w:r>
        <w:rPr>
          <w:b/>
          <w:bCs/>
          <w:lang w:val="hu-HU" w:eastAsia="en-GB"/>
        </w:rPr>
        <w:t>thrombocyta</w:t>
      </w:r>
      <w:proofErr w:type="spellEnd"/>
      <w:r>
        <w:rPr>
          <w:b/>
          <w:bCs/>
          <w:lang w:val="hu-HU" w:eastAsia="en-GB"/>
        </w:rPr>
        <w:noBreakHyphen/>
        <w:t>válaszarányok életkor</w:t>
      </w:r>
      <w:r>
        <w:rPr>
          <w:b/>
          <w:bCs/>
          <w:lang w:val="hu-HU" w:eastAsia="en-GB"/>
        </w:rPr>
        <w:noBreakHyphen/>
      </w:r>
      <w:proofErr w:type="spellStart"/>
      <w:r>
        <w:rPr>
          <w:b/>
          <w:bCs/>
          <w:lang w:val="hu-HU" w:eastAsia="en-GB"/>
        </w:rPr>
        <w:t>kohorszonként</w:t>
      </w:r>
      <w:proofErr w:type="spellEnd"/>
      <w:r>
        <w:rPr>
          <w:b/>
          <w:bCs/>
          <w:lang w:val="hu-HU" w:eastAsia="en-GB"/>
        </w:rPr>
        <w:t xml:space="preserve"> a krónikus ITP</w:t>
      </w:r>
      <w:r>
        <w:rPr>
          <w:b/>
          <w:bCs/>
          <w:lang w:val="hu-HU" w:eastAsia="en-GB"/>
        </w:rPr>
        <w:noBreakHyphen/>
        <w:t>s gyermek</w:t>
      </w:r>
      <w:r>
        <w:rPr>
          <w:rFonts w:eastAsia="TimesNewRomanPS-BoldMT"/>
          <w:b/>
          <w:bCs/>
          <w:lang w:val="hu-HU" w:eastAsia="en-GB"/>
        </w:rPr>
        <w:t>eknél és serdülők</w:t>
      </w:r>
      <w:r>
        <w:rPr>
          <w:b/>
          <w:bCs/>
          <w:lang w:val="hu-HU" w:eastAsia="en-GB"/>
        </w:rPr>
        <w:t>nél</w:t>
      </w:r>
    </w:p>
    <w:tbl>
      <w:tblPr>
        <w:tblW w:w="7257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right w:w="115" w:type="dxa"/>
        </w:tblCellMar>
        <w:tblLook w:val="04A0" w:firstRow="1" w:lastRow="0" w:firstColumn="1" w:lastColumn="0" w:noHBand="0" w:noVBand="1"/>
      </w:tblPr>
      <w:tblGrid>
        <w:gridCol w:w="2744"/>
        <w:gridCol w:w="2384"/>
        <w:gridCol w:w="2129"/>
      </w:tblGrid>
      <w:tr w:rsidR="00342CEA" w14:paraId="0E7FE797" w14:textId="77777777">
        <w:trPr>
          <w:trHeight w:val="769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71CD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0A754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</w:p>
          <w:p w14:paraId="5CD023E5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n/N (%)</w:t>
            </w:r>
          </w:p>
          <w:p w14:paraId="37FDF4FD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[95%</w:t>
            </w:r>
            <w:r>
              <w:rPr>
                <w:b/>
                <w:bCs/>
                <w:lang w:val="hu-HU" w:eastAsia="en-US"/>
              </w:rPr>
              <w:noBreakHyphen/>
              <w:t>os CI]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5DDC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Placebo</w:t>
            </w:r>
          </w:p>
          <w:p w14:paraId="0399937F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n/N (%)</w:t>
            </w:r>
          </w:p>
          <w:p w14:paraId="35BC290F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[95%</w:t>
            </w:r>
            <w:r>
              <w:rPr>
                <w:b/>
                <w:bCs/>
                <w:lang w:val="hu-HU" w:eastAsia="en-US"/>
              </w:rPr>
              <w:noBreakHyphen/>
              <w:t>os CI]</w:t>
            </w:r>
          </w:p>
        </w:tc>
      </w:tr>
      <w:tr w:rsidR="00342CEA" w14:paraId="1D2A6EEB" w14:textId="77777777">
        <w:trPr>
          <w:trHeight w:val="1529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35B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1. </w:t>
            </w:r>
            <w:proofErr w:type="spellStart"/>
            <w:r>
              <w:rPr>
                <w:lang w:val="hu-HU" w:eastAsia="en-US"/>
              </w:rPr>
              <w:t>kohorsz</w:t>
            </w:r>
            <w:proofErr w:type="spellEnd"/>
            <w:r>
              <w:rPr>
                <w:lang w:val="hu-HU" w:eastAsia="en-US"/>
              </w:rPr>
              <w:t xml:space="preserve"> (12–18 év)</w:t>
            </w:r>
          </w:p>
          <w:p w14:paraId="5CEE821A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  <w:p w14:paraId="4502159B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2. </w:t>
            </w:r>
            <w:proofErr w:type="spellStart"/>
            <w:r>
              <w:rPr>
                <w:lang w:val="hu-HU" w:eastAsia="en-US"/>
              </w:rPr>
              <w:t>kohorsz</w:t>
            </w:r>
            <w:proofErr w:type="spellEnd"/>
            <w:r>
              <w:rPr>
                <w:lang w:val="hu-HU" w:eastAsia="en-US"/>
              </w:rPr>
              <w:t xml:space="preserve"> (6–11 év)</w:t>
            </w:r>
          </w:p>
          <w:p w14:paraId="7C03C64E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  <w:p w14:paraId="37DB86D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3. </w:t>
            </w:r>
            <w:proofErr w:type="spellStart"/>
            <w:r>
              <w:rPr>
                <w:lang w:val="hu-HU" w:eastAsia="en-US"/>
              </w:rPr>
              <w:t>kohorsz</w:t>
            </w:r>
            <w:proofErr w:type="spellEnd"/>
            <w:r>
              <w:rPr>
                <w:lang w:val="hu-HU" w:eastAsia="en-US"/>
              </w:rPr>
              <w:t xml:space="preserve"> (1–5 év)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8EB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9/23 (39%)</w:t>
            </w:r>
          </w:p>
          <w:p w14:paraId="315E13A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[20%; 61%]</w:t>
            </w:r>
          </w:p>
          <w:p w14:paraId="01248E4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11/26 (42%)</w:t>
            </w:r>
          </w:p>
          <w:p w14:paraId="72727AB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[23%; 63%]</w:t>
            </w:r>
          </w:p>
          <w:p w14:paraId="2CDA277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5/14 (36%)</w:t>
            </w:r>
          </w:p>
          <w:p w14:paraId="482961D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[13%; 65%]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4BDF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1/10 (10%)</w:t>
            </w:r>
          </w:p>
          <w:p w14:paraId="3EBA90E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[0%; 45%]</w:t>
            </w:r>
          </w:p>
          <w:p w14:paraId="16553D7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0/13 (0%)</w:t>
            </w:r>
          </w:p>
          <w:p w14:paraId="5F22DDE2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[N/A]</w:t>
            </w:r>
          </w:p>
          <w:p w14:paraId="57A70C0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0/6 (0%)</w:t>
            </w:r>
          </w:p>
          <w:p w14:paraId="3E855C1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[N/A]</w:t>
            </w:r>
          </w:p>
        </w:tc>
      </w:tr>
    </w:tbl>
    <w:p w14:paraId="7FEDE650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64A98D1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A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 xml:space="preserve"> időszak alatt </w:t>
      </w:r>
      <w:proofErr w:type="spellStart"/>
      <w:r>
        <w:rPr>
          <w:lang w:val="hu-HU" w:eastAsia="en-GB"/>
        </w:rPr>
        <w:t>statisztikailag</w:t>
      </w:r>
      <w:proofErr w:type="spellEnd"/>
      <w:r>
        <w:rPr>
          <w:lang w:val="hu-HU" w:eastAsia="en-GB"/>
        </w:rPr>
        <w:t xml:space="preserve"> kevesebb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betegnél volt szükség „mentő” kezelésre (</w:t>
      </w:r>
      <w:proofErr w:type="spellStart"/>
      <w:r>
        <w:rPr>
          <w:lang w:val="hu-HU" w:eastAsia="en-GB"/>
        </w:rPr>
        <w:t>rescue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treatment</w:t>
      </w:r>
      <w:proofErr w:type="spellEnd"/>
      <w:r>
        <w:rPr>
          <w:lang w:val="hu-HU" w:eastAsia="en-GB"/>
        </w:rPr>
        <w:t xml:space="preserve">), mint </w:t>
      </w:r>
      <w:proofErr w:type="spellStart"/>
      <w:r>
        <w:rPr>
          <w:lang w:val="hu-HU" w:eastAsia="en-GB"/>
        </w:rPr>
        <w:t>placebót</w:t>
      </w:r>
      <w:proofErr w:type="spellEnd"/>
      <w:r>
        <w:rPr>
          <w:lang w:val="hu-HU" w:eastAsia="en-GB"/>
        </w:rPr>
        <w:t xml:space="preserve"> kapó betegnél (19% [12/63] </w:t>
      </w:r>
      <w:proofErr w:type="spellStart"/>
      <w:r>
        <w:rPr>
          <w:lang w:val="hu-HU" w:eastAsia="en-GB"/>
        </w:rPr>
        <w:t>vs</w:t>
      </w:r>
      <w:proofErr w:type="spellEnd"/>
      <w:r>
        <w:rPr>
          <w:lang w:val="hu-HU" w:eastAsia="en-GB"/>
        </w:rPr>
        <w:t>. 24% [7/29], p = 0,032).</w:t>
      </w:r>
    </w:p>
    <w:p w14:paraId="57957E58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D1CE68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A vizsgálat megkezdésekor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csoport betegeinek 71%</w:t>
      </w:r>
      <w:r>
        <w:rPr>
          <w:lang w:val="hu-HU" w:eastAsia="en-GB"/>
        </w:rPr>
        <w:noBreakHyphen/>
        <w:t>a és a placebocsoport betegeinek pedig 69%</w:t>
      </w:r>
      <w:r>
        <w:rPr>
          <w:lang w:val="hu-HU" w:eastAsia="en-GB"/>
        </w:rPr>
        <w:noBreakHyphen/>
        <w:t>a számolt be valamilyen vérzésről (WHO 1-4</w:t>
      </w:r>
      <w:r>
        <w:rPr>
          <w:lang w:val="hu-HU" w:eastAsia="en-GB"/>
        </w:rPr>
        <w:noBreakHyphen/>
        <w:t xml:space="preserve">es fokozat). A 12. héten a valamilyen vérzésről beszámoló,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 aránya a kiindulási érték felére csökkent (36%). Összehasonlításképpen a 12. héten a </w:t>
      </w:r>
      <w:proofErr w:type="spellStart"/>
      <w:r>
        <w:rPr>
          <w:lang w:val="hu-HU" w:eastAsia="en-GB"/>
        </w:rPr>
        <w:t>placebót</w:t>
      </w:r>
      <w:proofErr w:type="spellEnd"/>
      <w:r>
        <w:rPr>
          <w:lang w:val="hu-HU" w:eastAsia="en-GB"/>
        </w:rPr>
        <w:t xml:space="preserve"> kapó betegek 55%</w:t>
      </w:r>
      <w:r>
        <w:rPr>
          <w:lang w:val="hu-HU" w:eastAsia="en-GB"/>
        </w:rPr>
        <w:noBreakHyphen/>
        <w:t>a számolt be valamilyen vérzésről.</w:t>
      </w:r>
    </w:p>
    <w:p w14:paraId="78C402AF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2A7DE4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>A betegeknél csak a vizsgálat nyílt elrendezésű fázisa alatt csökkenthették vagy hagyhatták abba a kiindulási ITP</w:t>
      </w:r>
      <w:r>
        <w:rPr>
          <w:lang w:val="hu-HU" w:eastAsia="en-GB"/>
        </w:rPr>
        <w:noBreakHyphen/>
        <w:t>elleni kezelést, és a betegek 53%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(8/15) lehetett csökkenteni (n = 1) vagy abbahagyni (n = 7) a kiindulási ITP</w:t>
      </w:r>
      <w:r>
        <w:rPr>
          <w:lang w:val="hu-HU" w:eastAsia="en-GB"/>
        </w:rPr>
        <w:noBreakHyphen/>
        <w:t xml:space="preserve">elleni kezelést, elsősorban a </w:t>
      </w:r>
      <w:proofErr w:type="spellStart"/>
      <w:r>
        <w:rPr>
          <w:lang w:val="hu-HU" w:eastAsia="en-GB"/>
        </w:rPr>
        <w:t>kortikoszteroidokat</w:t>
      </w:r>
      <w:proofErr w:type="spellEnd"/>
      <w:r>
        <w:rPr>
          <w:lang w:val="hu-HU" w:eastAsia="en-GB"/>
        </w:rPr>
        <w:t>, anélkül, hogy „mentő” kezelésre lett volna szükségük.</w:t>
      </w:r>
    </w:p>
    <w:p w14:paraId="4D06F015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E35288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  <w:r>
        <w:rPr>
          <w:i/>
          <w:lang w:val="hu-HU" w:eastAsia="en-GB"/>
        </w:rPr>
        <w:t xml:space="preserve">TRA108062 (PETIT): </w:t>
      </w:r>
    </w:p>
    <w:p w14:paraId="785F8C4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elsődleges végpont a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 xml:space="preserve"> időszak 1. és 6. hete között legalább egyszer ≥ 50 000/µl</w:t>
      </w:r>
      <w:r>
        <w:rPr>
          <w:lang w:val="hu-HU" w:eastAsia="en-GB"/>
        </w:rPr>
        <w:noBreakHyphen/>
        <w:t xml:space="preserve">es </w:t>
      </w:r>
      <w:proofErr w:type="spellStart"/>
      <w:r>
        <w:rPr>
          <w:lang w:val="hu-HU" w:eastAsia="en-GB"/>
        </w:rPr>
        <w:t>thrombocytaszámot</w:t>
      </w:r>
      <w:proofErr w:type="spellEnd"/>
      <w:r>
        <w:rPr>
          <w:lang w:val="hu-HU" w:eastAsia="en-GB"/>
        </w:rPr>
        <w:t xml:space="preserve"> elérő betegek aránya volt. A betegeknél legalább 6 hónapja diagnosztizáltak ITP</w:t>
      </w:r>
      <w:r>
        <w:rPr>
          <w:lang w:val="hu-HU" w:eastAsia="en-GB"/>
        </w:rPr>
        <w:noBreakHyphen/>
        <w:t>t, és nem reagáltak legalább egy megelőző ITP</w:t>
      </w:r>
      <w:r>
        <w:rPr>
          <w:lang w:val="hu-HU" w:eastAsia="en-GB"/>
        </w:rPr>
        <w:noBreakHyphen/>
        <w:t xml:space="preserve">elleni kezelésre, vagy állapotuk súlyosbodott, vérlemezkeszámuk </w:t>
      </w:r>
      <w:proofErr w:type="gramStart"/>
      <w:r>
        <w:rPr>
          <w:lang w:val="hu-HU" w:eastAsia="en-GB"/>
        </w:rPr>
        <w:t>&lt; 30</w:t>
      </w:r>
      <w:proofErr w:type="gramEnd"/>
      <w:r>
        <w:rPr>
          <w:lang w:val="hu-HU" w:eastAsia="en-GB"/>
        </w:rPr>
        <w:t xml:space="preserve"> 000/µl volt (n = 67). A vizsgálat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 xml:space="preserve"> időszaka alatt a betegeket három életkori </w:t>
      </w:r>
      <w:proofErr w:type="spellStart"/>
      <w:r>
        <w:rPr>
          <w:lang w:val="hu-HU" w:eastAsia="en-GB"/>
        </w:rPr>
        <w:t>kohorsz</w:t>
      </w:r>
      <w:proofErr w:type="spellEnd"/>
      <w:r>
        <w:rPr>
          <w:lang w:val="hu-HU" w:eastAsia="en-GB"/>
        </w:rPr>
        <w:t xml:space="preserve"> réteg szerint (2:1) </w:t>
      </w:r>
      <w:proofErr w:type="spellStart"/>
      <w:r>
        <w:rPr>
          <w:lang w:val="hu-HU" w:eastAsia="en-GB"/>
        </w:rPr>
        <w:t>randomizálták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eltrombopagra</w:t>
      </w:r>
      <w:proofErr w:type="spellEnd"/>
      <w:r>
        <w:rPr>
          <w:lang w:val="hu-HU" w:eastAsia="en-GB"/>
        </w:rPr>
        <w:t xml:space="preserve"> (n = 45) vagy </w:t>
      </w:r>
      <w:proofErr w:type="spellStart"/>
      <w:r>
        <w:rPr>
          <w:lang w:val="hu-HU" w:eastAsia="en-GB"/>
        </w:rPr>
        <w:t>placebóra</w:t>
      </w:r>
      <w:proofErr w:type="spellEnd"/>
      <w:r>
        <w:rPr>
          <w:lang w:val="hu-HU" w:eastAsia="en-GB"/>
        </w:rPr>
        <w:t xml:space="preserve"> (n = 22).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dózisát az individuális vérlemezkeszám alapján módosítani lehetett.</w:t>
      </w:r>
    </w:p>
    <w:p w14:paraId="0495F24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Összességében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kapó betegek szignifikánsan nagyobb hányada (62%) érte el az elsődleges végpontot, mint </w:t>
      </w:r>
      <w:proofErr w:type="spellStart"/>
      <w:r>
        <w:rPr>
          <w:lang w:val="hu-HU" w:eastAsia="en-GB"/>
        </w:rPr>
        <w:t>placebót</w:t>
      </w:r>
      <w:proofErr w:type="spellEnd"/>
      <w:r>
        <w:rPr>
          <w:lang w:val="hu-HU" w:eastAsia="en-GB"/>
        </w:rPr>
        <w:t xml:space="preserve"> kapó beteg (32%) (esélyhányados: 4,3 [95%</w:t>
      </w:r>
      <w:r>
        <w:rPr>
          <w:lang w:val="hu-HU" w:eastAsia="en-GB"/>
        </w:rPr>
        <w:noBreakHyphen/>
        <w:t>os CI: 1,4, 13,3]; p = 0,011).</w:t>
      </w:r>
    </w:p>
    <w:p w14:paraId="077BC617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26B1A5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>Tartós válasz alakult ki a kezdetben reagáló betegek 50%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a 24 hétből 20 hétig a PETIT 2 vizsgálatban és 24 hétből 15 hétig a PETIT vizsgálatban.</w:t>
      </w:r>
    </w:p>
    <w:p w14:paraId="51DEB8CC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68645C99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Krónikus hepatitis C-</w:t>
      </w:r>
      <w:proofErr w:type="spellStart"/>
      <w:r>
        <w:rPr>
          <w:i/>
          <w:u w:val="single"/>
          <w:lang w:val="hu-HU" w:eastAsia="en-GB"/>
        </w:rPr>
        <w:t>hez</w:t>
      </w:r>
      <w:proofErr w:type="spellEnd"/>
      <w:r>
        <w:rPr>
          <w:i/>
          <w:u w:val="single"/>
          <w:lang w:val="hu-HU" w:eastAsia="en-GB"/>
        </w:rPr>
        <w:t xml:space="preserve"> kapcsolódó </w:t>
      </w:r>
      <w:proofErr w:type="spellStart"/>
      <w:r>
        <w:rPr>
          <w:i/>
          <w:u w:val="single"/>
          <w:lang w:val="hu-HU" w:eastAsia="en-GB"/>
        </w:rPr>
        <w:t>thrombocytopenia</w:t>
      </w:r>
      <w:proofErr w:type="spellEnd"/>
      <w:r>
        <w:rPr>
          <w:i/>
          <w:u w:val="single"/>
          <w:lang w:val="hu-HU" w:eastAsia="en-GB"/>
        </w:rPr>
        <w:t>-vizsgálatok</w:t>
      </w:r>
    </w:p>
    <w:p w14:paraId="6D414866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biztonságosságát és hatásosságát </w:t>
      </w:r>
      <w:proofErr w:type="spellStart"/>
      <w:r>
        <w:rPr>
          <w:lang w:val="hu-HU" w:eastAsia="en-GB"/>
        </w:rPr>
        <w:t>thrombocytopeniás</w:t>
      </w:r>
      <w:proofErr w:type="spellEnd"/>
      <w:r>
        <w:rPr>
          <w:lang w:val="hu-HU" w:eastAsia="en-GB"/>
        </w:rPr>
        <w:t>, HCV</w:t>
      </w:r>
      <w:r>
        <w:rPr>
          <w:lang w:val="hu-HU" w:eastAsia="en-GB"/>
        </w:rPr>
        <w:noBreakHyphen/>
        <w:t xml:space="preserve">fertőzött betegeknél két, </w:t>
      </w:r>
      <w:proofErr w:type="spellStart"/>
      <w:r>
        <w:rPr>
          <w:lang w:val="hu-HU" w:eastAsia="en-GB"/>
        </w:rPr>
        <w:t>randomizált</w:t>
      </w:r>
      <w:proofErr w:type="spellEnd"/>
      <w:r>
        <w:rPr>
          <w:lang w:val="hu-HU" w:eastAsia="en-GB"/>
        </w:rPr>
        <w:t>, kettős</w:t>
      </w:r>
      <w:r>
        <w:rPr>
          <w:lang w:val="hu-HU" w:eastAsia="en-GB"/>
        </w:rPr>
        <w:noBreakHyphen/>
        <w:t xml:space="preserve">vak, placebokontrollos vizsgálatban értékelték. Az ENABLE 1 </w:t>
      </w:r>
      <w:proofErr w:type="spellStart"/>
      <w:r>
        <w:rPr>
          <w:lang w:val="hu-HU" w:eastAsia="en-GB"/>
        </w:rPr>
        <w:t>peginterferon</w:t>
      </w:r>
      <w:proofErr w:type="spellEnd"/>
      <w:r>
        <w:rPr>
          <w:lang w:val="hu-HU" w:eastAsia="en-GB"/>
        </w:rPr>
        <w:t xml:space="preserve"> alfa</w:t>
      </w:r>
      <w:r>
        <w:rPr>
          <w:lang w:val="hu-HU" w:eastAsia="en-GB"/>
        </w:rPr>
        <w:noBreakHyphen/>
        <w:t>2a</w:t>
      </w:r>
      <w:r>
        <w:rPr>
          <w:lang w:val="hu-HU" w:eastAsia="en-GB"/>
        </w:rPr>
        <w:noBreakHyphen/>
        <w:t xml:space="preserve">t és </w:t>
      </w:r>
      <w:proofErr w:type="spellStart"/>
      <w:r>
        <w:rPr>
          <w:lang w:val="hu-HU" w:eastAsia="en-GB"/>
        </w:rPr>
        <w:t>ribavirint</w:t>
      </w:r>
      <w:proofErr w:type="spellEnd"/>
      <w:r>
        <w:rPr>
          <w:lang w:val="hu-HU" w:eastAsia="en-GB"/>
        </w:rPr>
        <w:t xml:space="preserve">, míg az ENABLE 2 </w:t>
      </w:r>
      <w:proofErr w:type="spellStart"/>
      <w:r>
        <w:rPr>
          <w:lang w:val="hu-HU" w:eastAsia="en-GB"/>
        </w:rPr>
        <w:t>peginterferon</w:t>
      </w:r>
      <w:proofErr w:type="spellEnd"/>
      <w:r>
        <w:rPr>
          <w:lang w:val="hu-HU" w:eastAsia="en-GB"/>
        </w:rPr>
        <w:t xml:space="preserve"> alfa</w:t>
      </w:r>
      <w:r>
        <w:rPr>
          <w:lang w:val="hu-HU" w:eastAsia="en-GB"/>
        </w:rPr>
        <w:noBreakHyphen/>
        <w:t>2b</w:t>
      </w:r>
      <w:r>
        <w:rPr>
          <w:lang w:val="hu-HU" w:eastAsia="en-GB"/>
        </w:rPr>
        <w:noBreakHyphen/>
        <w:t xml:space="preserve">t és </w:t>
      </w:r>
      <w:proofErr w:type="spellStart"/>
      <w:r>
        <w:rPr>
          <w:lang w:val="hu-HU" w:eastAsia="en-GB"/>
        </w:rPr>
        <w:t>ribavirint</w:t>
      </w:r>
      <w:proofErr w:type="spellEnd"/>
      <w:r>
        <w:rPr>
          <w:lang w:val="hu-HU" w:eastAsia="en-GB"/>
        </w:rPr>
        <w:t xml:space="preserve"> alkalmazott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terápiaként. A betegek nem kaptak közvetlen hatású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szert. Mindkét vizsgálatba a </w:t>
      </w:r>
      <w:proofErr w:type="gramStart"/>
      <w:r>
        <w:rPr>
          <w:lang w:val="hu-HU" w:eastAsia="en-GB"/>
        </w:rPr>
        <w:t>&lt; 75</w:t>
      </w:r>
      <w:proofErr w:type="gramEnd"/>
      <w:r>
        <w:rPr>
          <w:lang w:val="hu-HU" w:eastAsia="en-GB"/>
        </w:rPr>
        <w:t xml:space="preserve"> 000/µl vérlemezkeszámú betegeket válogatták be, és csoportosították őket a vérlemezkeszámuk alapján </w:t>
      </w:r>
      <w:proofErr w:type="gramStart"/>
      <w:r>
        <w:rPr>
          <w:lang w:val="hu-HU" w:eastAsia="en-GB"/>
        </w:rPr>
        <w:t>(&lt; 50</w:t>
      </w:r>
      <w:proofErr w:type="gramEnd"/>
      <w:r>
        <w:rPr>
          <w:lang w:val="hu-HU" w:eastAsia="en-GB"/>
        </w:rPr>
        <w:t> 000/µl és ≥ 50 000/µl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től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75</w:t>
      </w:r>
      <w:proofErr w:type="gramEnd"/>
      <w:r>
        <w:rPr>
          <w:lang w:val="hu-HU" w:eastAsia="en-GB"/>
        </w:rPr>
        <w:t> 000/µl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ig</w:t>
      </w:r>
      <w:proofErr w:type="spellEnd"/>
      <w:r>
        <w:rPr>
          <w:lang w:val="hu-HU" w:eastAsia="en-GB"/>
        </w:rPr>
        <w:t>), szűrték őket HCV RNS</w:t>
      </w:r>
      <w:r>
        <w:rPr>
          <w:lang w:val="hu-HU" w:eastAsia="en-GB"/>
        </w:rPr>
        <w:noBreakHyphen/>
        <w:t xml:space="preserve">re </w:t>
      </w:r>
      <w:proofErr w:type="gramStart"/>
      <w:r>
        <w:rPr>
          <w:lang w:val="hu-HU" w:eastAsia="en-GB"/>
        </w:rPr>
        <w:t>(&lt; 800</w:t>
      </w:r>
      <w:proofErr w:type="gramEnd"/>
      <w:r>
        <w:rPr>
          <w:lang w:val="hu-HU" w:eastAsia="en-GB"/>
        </w:rPr>
        <w:t> 000 NE/ml és ≥ 800 000 NE/ml) és HCV genotípusra (2/3</w:t>
      </w:r>
      <w:r>
        <w:rPr>
          <w:lang w:val="hu-HU" w:eastAsia="en-GB"/>
        </w:rPr>
        <w:noBreakHyphen/>
        <w:t>as genotípus és 1/4/6</w:t>
      </w:r>
      <w:r>
        <w:rPr>
          <w:lang w:val="hu-HU" w:eastAsia="en-GB"/>
        </w:rPr>
        <w:noBreakHyphen/>
        <w:t>os genotípus).</w:t>
      </w:r>
    </w:p>
    <w:p w14:paraId="7C8363B1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57947A3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 xml:space="preserve">A betegség kiindulási jellemzői hasonlóak voltak mindkét vizsgálatban, és összhangban voltak a kompenzált </w:t>
      </w:r>
      <w:proofErr w:type="spellStart"/>
      <w:r>
        <w:rPr>
          <w:lang w:val="hu-HU" w:eastAsia="en-GB"/>
        </w:rPr>
        <w:t>cirrhosisos</w:t>
      </w:r>
      <w:proofErr w:type="spellEnd"/>
      <w:r>
        <w:rPr>
          <w:lang w:val="hu-HU" w:eastAsia="en-GB"/>
        </w:rPr>
        <w:t xml:space="preserve"> HCV</w:t>
      </w:r>
      <w:r>
        <w:rPr>
          <w:lang w:val="hu-HU" w:eastAsia="en-GB"/>
        </w:rPr>
        <w:noBreakHyphen/>
        <w:t>betegpopulációéval. A betegek többsége HCV 1</w:t>
      </w:r>
      <w:r>
        <w:rPr>
          <w:lang w:val="hu-HU" w:eastAsia="en-GB"/>
        </w:rPr>
        <w:noBreakHyphen/>
        <w:t>es genotípusú volt (64%) és „</w:t>
      </w:r>
      <w:proofErr w:type="spellStart"/>
      <w:r>
        <w:rPr>
          <w:lang w:val="hu-HU" w:eastAsia="en-GB"/>
        </w:rPr>
        <w:t>bridging</w:t>
      </w:r>
      <w:proofErr w:type="spellEnd"/>
      <w:r>
        <w:rPr>
          <w:lang w:val="hu-HU" w:eastAsia="en-GB"/>
        </w:rPr>
        <w:t xml:space="preserve">” </w:t>
      </w:r>
      <w:proofErr w:type="spellStart"/>
      <w:r>
        <w:rPr>
          <w:lang w:val="hu-HU" w:eastAsia="en-GB"/>
        </w:rPr>
        <w:t>fibrosisuk</w:t>
      </w:r>
      <w:proofErr w:type="spellEnd"/>
      <w:r>
        <w:rPr>
          <w:lang w:val="hu-HU" w:eastAsia="en-GB"/>
        </w:rPr>
        <w:t>/</w:t>
      </w:r>
      <w:proofErr w:type="spellStart"/>
      <w:r>
        <w:rPr>
          <w:lang w:val="hu-HU" w:eastAsia="en-GB"/>
        </w:rPr>
        <w:t>cirrhosisuk</w:t>
      </w:r>
      <w:proofErr w:type="spellEnd"/>
      <w:r>
        <w:rPr>
          <w:lang w:val="hu-HU" w:eastAsia="en-GB"/>
        </w:rPr>
        <w:t xml:space="preserve"> volt. A betegek 31%</w:t>
      </w:r>
      <w:r>
        <w:rPr>
          <w:lang w:val="hu-HU" w:eastAsia="en-GB"/>
        </w:rPr>
        <w:noBreakHyphen/>
        <w:t>a korábban részesült HCV</w:t>
      </w:r>
      <w:r>
        <w:rPr>
          <w:lang w:val="hu-HU" w:eastAsia="en-GB"/>
        </w:rPr>
        <w:noBreakHyphen/>
        <w:t xml:space="preserve">elleni kezelésben, elsődlegesen </w:t>
      </w:r>
      <w:proofErr w:type="spellStart"/>
      <w:r>
        <w:rPr>
          <w:lang w:val="hu-HU" w:eastAsia="en-GB"/>
        </w:rPr>
        <w:t>pegilált</w:t>
      </w:r>
      <w:proofErr w:type="spellEnd"/>
      <w:r>
        <w:rPr>
          <w:lang w:val="hu-HU" w:eastAsia="en-GB"/>
        </w:rPr>
        <w:t xml:space="preserve"> interferon</w:t>
      </w:r>
      <w:r>
        <w:rPr>
          <w:lang w:val="hu-HU" w:eastAsia="en-GB"/>
        </w:rPr>
        <w:noBreakHyphen/>
        <w:t xml:space="preserve"> és </w:t>
      </w:r>
      <w:proofErr w:type="spellStart"/>
      <w:r>
        <w:rPr>
          <w:lang w:val="hu-HU" w:eastAsia="en-GB"/>
        </w:rPr>
        <w:t>ribavirin</w:t>
      </w:r>
      <w:proofErr w:type="spellEnd"/>
      <w:r>
        <w:rPr>
          <w:lang w:val="hu-HU" w:eastAsia="en-GB"/>
        </w:rPr>
        <w:noBreakHyphen/>
        <w:t>kezelésben. A medián kiindulási vérlemezkeszám 59 500/µl volt mindkét csoportban: a beválogatott betegek 0,8%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20</w:t>
      </w:r>
      <w:proofErr w:type="gramEnd"/>
      <w:r>
        <w:rPr>
          <w:lang w:val="hu-HU" w:eastAsia="en-GB"/>
        </w:rPr>
        <w:t> 000/µl, 28%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</w:t>
      </w:r>
      <w:proofErr w:type="gramStart"/>
      <w:r>
        <w:rPr>
          <w:lang w:val="hu-HU" w:eastAsia="en-GB"/>
        </w:rPr>
        <w:t>&lt; 50</w:t>
      </w:r>
      <w:proofErr w:type="gramEnd"/>
      <w:r>
        <w:rPr>
          <w:lang w:val="hu-HU" w:eastAsia="en-GB"/>
        </w:rPr>
        <w:t> 000/µl és 72%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ánál</w:t>
      </w:r>
      <w:proofErr w:type="spellEnd"/>
      <w:r>
        <w:rPr>
          <w:lang w:val="hu-HU" w:eastAsia="en-GB"/>
        </w:rPr>
        <w:t xml:space="preserve"> ≥ 50 000/µl volt a vérlemezkeszám.</w:t>
      </w:r>
    </w:p>
    <w:p w14:paraId="7621154C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6E3B00D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lastRenderedPageBreak/>
        <w:t xml:space="preserve">A vizsgálatoknak két fázisa volt – egy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kezelés előtti fázis és egy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kezelési fázis. Az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kezelés előtti fázisban a betegek nyílt elrendezésben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kaptak annak érdekében, hogy a vérlemezkeszám ≥ 90 000/µ</w:t>
      </w:r>
      <w:proofErr w:type="spellStart"/>
      <w:r>
        <w:rPr>
          <w:lang w:val="hu-HU" w:eastAsia="en-GB"/>
        </w:rPr>
        <w:t>lre</w:t>
      </w:r>
      <w:proofErr w:type="spellEnd"/>
      <w:r>
        <w:rPr>
          <w:lang w:val="hu-HU" w:eastAsia="en-GB"/>
        </w:rPr>
        <w:t xml:space="preserve"> emelkedjen az ENABLE 1, illetve ≥ 100 000/µ</w:t>
      </w:r>
      <w:proofErr w:type="spellStart"/>
      <w:r>
        <w:rPr>
          <w:lang w:val="hu-HU" w:eastAsia="en-GB"/>
        </w:rPr>
        <w:t>lre</w:t>
      </w:r>
      <w:proofErr w:type="spellEnd"/>
      <w:r>
        <w:rPr>
          <w:lang w:val="hu-HU" w:eastAsia="en-GB"/>
        </w:rPr>
        <w:t xml:space="preserve"> emelkedjen az ENABLE 2 vizsgálatban. A ≥ </w:t>
      </w:r>
      <w:r>
        <w:rPr>
          <w:lang w:val="hu-HU"/>
        </w:rPr>
        <w:t>90 000</w:t>
      </w:r>
      <w:r>
        <w:rPr>
          <w:lang w:val="hu-HU" w:eastAsia="en-GB"/>
        </w:rPr>
        <w:t>/µl (ENABLE 1) vagy ≥ 100 000/µl (ENABLE 2) vérlemezkeszám célérték elérésének medián ideje 2 hét volt.</w:t>
      </w:r>
    </w:p>
    <w:p w14:paraId="689C183C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475AB7C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>Az elsődleges hatásossági végpont mindkét vizsgálatban a tartós virológiai válasz (SVR) volt, azon betegek százalékában definiálva, akiknél a tervezett kezelési periódus vége után 24 héttel HCV</w:t>
      </w:r>
      <w:r>
        <w:rPr>
          <w:lang w:val="hu-HU" w:eastAsia="en-GB"/>
        </w:rPr>
        <w:noBreakHyphen/>
        <w:t>RNS nem volt kimutatható.</w:t>
      </w:r>
    </w:p>
    <w:p w14:paraId="7E49EC91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7505603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lang w:val="hu-HU" w:eastAsia="en-GB"/>
        </w:rPr>
        <w:t>Mindkét HCV</w:t>
      </w:r>
      <w:r>
        <w:rPr>
          <w:lang w:val="hu-HU" w:eastAsia="en-GB"/>
        </w:rPr>
        <w:noBreakHyphen/>
        <w:t xml:space="preserve">vizsgálatban, a </w:t>
      </w:r>
      <w:proofErr w:type="spellStart"/>
      <w:r>
        <w:rPr>
          <w:lang w:val="hu-HU" w:eastAsia="en-GB"/>
        </w:rPr>
        <w:t>placebóval</w:t>
      </w:r>
      <w:proofErr w:type="spellEnd"/>
      <w:r>
        <w:rPr>
          <w:lang w:val="hu-HU" w:eastAsia="en-GB"/>
        </w:rPr>
        <w:t xml:space="preserve"> kezelt betegekhez viszonyítva (n = 65, 13%),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 jelentősen nagyobb arányánál (n = 201, 21%) jelentkezett tartós virológiai válasz (lásd 8. táblázat). A tartós virológiai választ mutató betegek arányában történt javulás következetesen előfordult a </w:t>
      </w:r>
      <w:proofErr w:type="spellStart"/>
      <w:r>
        <w:rPr>
          <w:lang w:val="hu-HU" w:eastAsia="en-GB"/>
        </w:rPr>
        <w:t>randomizációs</w:t>
      </w:r>
      <w:proofErr w:type="spellEnd"/>
      <w:r>
        <w:rPr>
          <w:lang w:val="hu-HU" w:eastAsia="en-GB"/>
        </w:rPr>
        <w:t xml:space="preserve"> rétegek mindegyik alcsoportjában (kiindulási vérlemezkeszám </w:t>
      </w:r>
      <w:proofErr w:type="gramStart"/>
      <w:r>
        <w:rPr>
          <w:lang w:val="hu-HU" w:eastAsia="en-GB"/>
        </w:rPr>
        <w:t>(&lt; 50</w:t>
      </w:r>
      <w:proofErr w:type="gramEnd"/>
      <w:r>
        <w:rPr>
          <w:lang w:val="hu-HU" w:eastAsia="en-GB"/>
        </w:rPr>
        <w:t xml:space="preserve"> 000 </w:t>
      </w:r>
      <w:proofErr w:type="spellStart"/>
      <w:r>
        <w:rPr>
          <w:lang w:val="hu-HU" w:eastAsia="en-GB"/>
        </w:rPr>
        <w:t>vs</w:t>
      </w:r>
      <w:proofErr w:type="spellEnd"/>
      <w:r>
        <w:rPr>
          <w:lang w:val="hu-HU" w:eastAsia="en-GB"/>
        </w:rPr>
        <w:t xml:space="preserve">. &gt; 50 000), vírusterhelés </w:t>
      </w:r>
      <w:proofErr w:type="gramStart"/>
      <w:r>
        <w:rPr>
          <w:lang w:val="hu-HU" w:eastAsia="en-GB"/>
        </w:rPr>
        <w:t>(&lt; 800</w:t>
      </w:r>
      <w:proofErr w:type="gramEnd"/>
      <w:r>
        <w:rPr>
          <w:lang w:val="hu-HU" w:eastAsia="en-GB"/>
        </w:rPr>
        <w:t xml:space="preserve"> 000 NE/ml </w:t>
      </w:r>
      <w:proofErr w:type="spellStart"/>
      <w:r>
        <w:rPr>
          <w:lang w:val="hu-HU" w:eastAsia="en-GB"/>
        </w:rPr>
        <w:t>vs</w:t>
      </w:r>
      <w:proofErr w:type="spellEnd"/>
      <w:r>
        <w:rPr>
          <w:lang w:val="hu-HU" w:eastAsia="en-GB"/>
        </w:rPr>
        <w:t xml:space="preserve">. ≥ 800 000 NE/ml) és genotípus (2/3 </w:t>
      </w:r>
      <w:proofErr w:type="spellStart"/>
      <w:r>
        <w:rPr>
          <w:lang w:val="hu-HU" w:eastAsia="en-GB"/>
        </w:rPr>
        <w:t>vs</w:t>
      </w:r>
      <w:proofErr w:type="spellEnd"/>
      <w:r>
        <w:rPr>
          <w:lang w:val="hu-HU" w:eastAsia="en-GB"/>
        </w:rPr>
        <w:t>. 1/4/6)).</w:t>
      </w:r>
    </w:p>
    <w:p w14:paraId="6A4A4E8A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3FB3F580" w14:textId="77777777" w:rsidR="00342CEA" w:rsidRDefault="00837BAB">
      <w:pPr>
        <w:tabs>
          <w:tab w:val="clear" w:pos="567"/>
          <w:tab w:val="left" w:pos="1134"/>
        </w:tabs>
        <w:spacing w:line="240" w:lineRule="auto"/>
        <w:rPr>
          <w:rFonts w:eastAsia="Times New Roman"/>
          <w:b/>
          <w:bCs/>
          <w:lang w:val="hu-HU" w:eastAsia="en-US"/>
        </w:rPr>
      </w:pPr>
      <w:r>
        <w:rPr>
          <w:b/>
          <w:bCs/>
          <w:lang w:val="hu-HU" w:eastAsia="en-GB"/>
        </w:rPr>
        <w:t>8. táblázat</w:t>
      </w:r>
      <w:r>
        <w:rPr>
          <w:b/>
          <w:bCs/>
          <w:lang w:val="hu-HU" w:eastAsia="en-GB"/>
        </w:rPr>
        <w:tab/>
        <w:t>Az ENABLE 1 és az ENABLE 2 HCV</w:t>
      </w:r>
      <w:r>
        <w:rPr>
          <w:b/>
          <w:bCs/>
          <w:lang w:val="hu-HU" w:eastAsia="en-GB"/>
        </w:rPr>
        <w:noBreakHyphen/>
        <w:t>betegeinek virológiai válasza</w:t>
      </w:r>
    </w:p>
    <w:tbl>
      <w:tblPr>
        <w:tblW w:w="9181" w:type="dxa"/>
        <w:tblInd w:w="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9" w:type="dxa"/>
          <w:right w:w="85" w:type="dxa"/>
        </w:tblCellMar>
        <w:tblLook w:val="04A0" w:firstRow="1" w:lastRow="0" w:firstColumn="1" w:lastColumn="0" w:noHBand="0" w:noVBand="1"/>
      </w:tblPr>
      <w:tblGrid>
        <w:gridCol w:w="1943"/>
        <w:gridCol w:w="1440"/>
        <w:gridCol w:w="1044"/>
        <w:gridCol w:w="1440"/>
        <w:gridCol w:w="937"/>
        <w:gridCol w:w="1440"/>
        <w:gridCol w:w="937"/>
      </w:tblGrid>
      <w:tr w:rsidR="00342CEA" w14:paraId="41D5CB0A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E0285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2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8C0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Összesített adatok</w:t>
            </w: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793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ENABLE 1</w:t>
            </w:r>
            <w:r>
              <w:rPr>
                <w:b/>
                <w:bCs/>
                <w:vertAlign w:val="superscript"/>
                <w:lang w:val="hu-HU" w:eastAsia="en-US"/>
              </w:rPr>
              <w:t>a</w:t>
            </w: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6BFB8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ENABLE 2</w:t>
            </w:r>
            <w:r>
              <w:rPr>
                <w:b/>
                <w:bCs/>
                <w:vertAlign w:val="superscript"/>
                <w:lang w:val="hu-HU" w:eastAsia="en-US"/>
              </w:rPr>
              <w:t>b</w:t>
            </w:r>
          </w:p>
        </w:tc>
      </w:tr>
      <w:tr w:rsidR="00342CEA" w14:paraId="3CCD2E3B" w14:textId="77777777">
        <w:trPr>
          <w:trHeight w:val="102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0644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lang w:val="hu-HU" w:eastAsia="en-GB"/>
              </w:rPr>
              <w:t xml:space="preserve">A vérlemezkeszám célértéket elérő és </w:t>
            </w:r>
            <w:proofErr w:type="spellStart"/>
            <w:r>
              <w:rPr>
                <w:lang w:val="hu-HU" w:eastAsia="en-GB"/>
              </w:rPr>
              <w:t>antivirális</w:t>
            </w:r>
            <w:proofErr w:type="spellEnd"/>
            <w:r>
              <w:rPr>
                <w:lang w:val="hu-HU" w:eastAsia="en-GB"/>
              </w:rPr>
              <w:t xml:space="preserve"> terápiát megkezdő </w:t>
            </w:r>
            <w:proofErr w:type="spellStart"/>
            <w:r>
              <w:rPr>
                <w:lang w:val="hu-HU" w:eastAsia="en-GB"/>
              </w:rPr>
              <w:t>betegek</w:t>
            </w:r>
            <w:r>
              <w:rPr>
                <w:b/>
                <w:bCs/>
                <w:vertAlign w:val="superscript"/>
                <w:lang w:val="hu-HU" w:eastAsia="en-US"/>
              </w:rPr>
              <w:t>c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2B0F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  <w:p w14:paraId="3E5C9572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1439/1520 (95%)</w:t>
            </w: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1CB2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  <w:p w14:paraId="63FF89D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680/715 (95%)</w:t>
            </w: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F6C2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  <w:p w14:paraId="6C4561F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759/805 (94%)</w:t>
            </w:r>
          </w:p>
        </w:tc>
      </w:tr>
      <w:tr w:rsidR="00342CEA" w14:paraId="6F04E057" w14:textId="77777777">
        <w:trPr>
          <w:trHeight w:val="217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6913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2B700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3E3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Placebo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74D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F9B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Placebo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43EA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3E1A9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Placebo</w:t>
            </w:r>
          </w:p>
        </w:tc>
      </w:tr>
      <w:tr w:rsidR="00342CEA" w14:paraId="7EE3B727" w14:textId="77777777">
        <w:trPr>
          <w:trHeight w:val="102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628B" w14:textId="77777777" w:rsidR="00342CEA" w:rsidRDefault="00837BAB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 xml:space="preserve">Az </w:t>
            </w:r>
            <w:proofErr w:type="spellStart"/>
            <w:r>
              <w:rPr>
                <w:b/>
                <w:bCs/>
                <w:lang w:val="hu-HU" w:eastAsia="en-GB"/>
              </w:rPr>
              <w:t>antivirális</w:t>
            </w:r>
            <w:proofErr w:type="spellEnd"/>
            <w:r>
              <w:rPr>
                <w:b/>
                <w:bCs/>
                <w:lang w:val="hu-HU" w:eastAsia="en-GB"/>
              </w:rPr>
              <w:t xml:space="preserve"> kezelési </w:t>
            </w:r>
            <w:r>
              <w:rPr>
                <w:rFonts w:eastAsia="TimesNewRomanPS-BoldMT"/>
                <w:b/>
                <w:bCs/>
                <w:lang w:val="hu-HU" w:eastAsia="en-GB"/>
              </w:rPr>
              <w:t xml:space="preserve">fázisba belépő betegek </w:t>
            </w:r>
            <w:r>
              <w:rPr>
                <w:b/>
                <w:bCs/>
                <w:lang w:val="hu-HU" w:eastAsia="en-GB"/>
              </w:rPr>
              <w:t>teljes száma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4289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956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13C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485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374C2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450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FF4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232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427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506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444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 = 253</w:t>
            </w:r>
          </w:p>
        </w:tc>
      </w:tr>
      <w:tr w:rsidR="00342CEA" w14:paraId="45200D18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3F12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  <w:tc>
          <w:tcPr>
            <w:tcW w:w="7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E383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b/>
                <w:bCs/>
                <w:lang w:val="hu-HU" w:eastAsia="en-GB"/>
              </w:rPr>
              <w:t>Virológiai választ mutató betegek %-a</w:t>
            </w:r>
          </w:p>
        </w:tc>
      </w:tr>
      <w:tr w:rsidR="00342CEA" w14:paraId="2ACFD466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390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Teljes SVR</w:t>
            </w:r>
            <w:r>
              <w:rPr>
                <w:vertAlign w:val="superscript"/>
                <w:lang w:val="hu-HU" w:eastAsia="en-US"/>
              </w:rPr>
              <w:t xml:space="preserve"> 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EC072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8A3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222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CDE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ABB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19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FF17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13</w:t>
            </w:r>
          </w:p>
        </w:tc>
      </w:tr>
      <w:tr w:rsidR="00342CEA" w14:paraId="31EFED03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294C" w14:textId="77777777" w:rsidR="00342CEA" w:rsidRDefault="00837BAB">
            <w:pPr>
              <w:widowControl w:val="0"/>
              <w:ind w:right="-165"/>
              <w:rPr>
                <w:lang w:val="hu-HU" w:eastAsia="en-US"/>
              </w:rPr>
            </w:pPr>
            <w:r>
              <w:rPr>
                <w:i/>
                <w:lang w:val="hu-HU" w:eastAsia="en-US"/>
              </w:rPr>
              <w:t xml:space="preserve">HCV RNS genotípus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ECB9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6642E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0390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B96C3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7C72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A17CD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</w:tr>
      <w:tr w:rsidR="00342CEA" w14:paraId="1586EC8C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684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2/3 genotípus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4920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35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1D5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DF89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35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5C7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347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34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A14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25</w:t>
            </w:r>
          </w:p>
        </w:tc>
      </w:tr>
      <w:tr w:rsidR="00342CEA" w14:paraId="6E2CFF1C" w14:textId="77777777">
        <w:trPr>
          <w:trHeight w:val="264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82D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1/4/6 </w:t>
            </w:r>
            <w:proofErr w:type="spellStart"/>
            <w:r>
              <w:rPr>
                <w:lang w:val="hu-HU" w:eastAsia="en-US"/>
              </w:rPr>
              <w:t>genotípus</w:t>
            </w:r>
            <w:r>
              <w:rPr>
                <w:vertAlign w:val="superscript"/>
                <w:lang w:val="hu-HU" w:eastAsia="en-US"/>
              </w:rPr>
              <w:t>e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12CA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15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9CAB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D17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18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A3C7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554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B746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7</w:t>
            </w:r>
          </w:p>
        </w:tc>
      </w:tr>
      <w:tr w:rsidR="00342CEA" w14:paraId="0D3B8A37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CCD5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spellStart"/>
            <w:r>
              <w:rPr>
                <w:i/>
                <w:lang w:val="hu-HU" w:eastAsia="en-US"/>
              </w:rPr>
              <w:t>Albuminszintek</w:t>
            </w:r>
            <w:r>
              <w:rPr>
                <w:i/>
                <w:vertAlign w:val="superscript"/>
                <w:lang w:val="hu-HU" w:eastAsia="en-US"/>
              </w:rPr>
              <w:t>f</w:t>
            </w:r>
            <w:proofErr w:type="spellEnd"/>
            <w:r>
              <w:rPr>
                <w:i/>
                <w:vertAlign w:val="superscript"/>
                <w:lang w:val="hu-HU"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E45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AD96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 </w:t>
            </w:r>
          </w:p>
        </w:tc>
        <w:tc>
          <w:tcPr>
            <w:tcW w:w="475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E1940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 xml:space="preserve"> </w:t>
            </w:r>
          </w:p>
        </w:tc>
      </w:tr>
      <w:tr w:rsidR="00342CEA" w14:paraId="5C8A5C27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0AEA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≤ 35 g/l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8FE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30D3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8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4DC5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</w:tr>
      <w:tr w:rsidR="00342CEA" w14:paraId="45053E9C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18FD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&gt; 35 g/l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6D1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25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DFC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16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2640E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</w:tr>
      <w:tr w:rsidR="00342CEA" w14:paraId="7DA07BBA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B21F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i/>
                <w:lang w:val="hu-HU" w:eastAsia="en-US"/>
              </w:rPr>
              <w:t>MELD-</w:t>
            </w:r>
            <w:proofErr w:type="spellStart"/>
            <w:r>
              <w:rPr>
                <w:i/>
                <w:lang w:val="hu-HU" w:eastAsia="en-US"/>
              </w:rPr>
              <w:t>pontszám</w:t>
            </w:r>
            <w:r>
              <w:rPr>
                <w:i/>
                <w:vertAlign w:val="superscript"/>
                <w:lang w:val="hu-HU" w:eastAsia="en-US"/>
              </w:rPr>
              <w:t>f</w:t>
            </w:r>
            <w:proofErr w:type="spellEnd"/>
            <w:r>
              <w:rPr>
                <w:i/>
                <w:vertAlign w:val="superscript"/>
                <w:lang w:val="hu-HU"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4C18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0FFDE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4EEF8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</w:tr>
      <w:tr w:rsidR="00342CEA" w14:paraId="641F012A" w14:textId="77777777">
        <w:trPr>
          <w:trHeight w:val="263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9465" w14:textId="77777777" w:rsidR="00342CEA" w:rsidRDefault="00837BAB">
            <w:pPr>
              <w:widowControl w:val="0"/>
              <w:rPr>
                <w:lang w:val="hu-HU" w:eastAsia="en-US"/>
              </w:rPr>
            </w:pPr>
            <w:r>
              <w:rPr>
                <w:lang w:val="hu-HU" w:eastAsia="en-US"/>
              </w:rPr>
              <w:t>≥ 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AA0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18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C99E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089B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</w:tr>
      <w:tr w:rsidR="00342CEA" w14:paraId="49CECF11" w14:textId="77777777">
        <w:trPr>
          <w:trHeight w:val="264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6D1" w14:textId="77777777" w:rsidR="00342CEA" w:rsidRDefault="00837BAB">
            <w:pPr>
              <w:widowControl w:val="0"/>
              <w:rPr>
                <w:lang w:val="hu-HU" w:eastAsia="en-US"/>
              </w:rPr>
            </w:pPr>
            <w:proofErr w:type="gramStart"/>
            <w:r>
              <w:rPr>
                <w:lang w:val="hu-HU" w:eastAsia="en-US"/>
              </w:rPr>
              <w:t>&lt; 10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4B6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23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D5E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17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D172" w14:textId="77777777" w:rsidR="00342CEA" w:rsidRDefault="00342CEA">
            <w:pPr>
              <w:widowControl w:val="0"/>
              <w:rPr>
                <w:lang w:val="hu-HU" w:eastAsia="en-US"/>
              </w:rPr>
            </w:pPr>
          </w:p>
        </w:tc>
      </w:tr>
    </w:tbl>
    <w:p w14:paraId="1DEA920D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kombinációban adva </w:t>
      </w:r>
      <w:proofErr w:type="spellStart"/>
      <w:r>
        <w:rPr>
          <w:lang w:val="hu-HU"/>
        </w:rPr>
        <w:t>peginterferon</w:t>
      </w:r>
      <w:proofErr w:type="spellEnd"/>
      <w:r>
        <w:rPr>
          <w:lang w:val="hu-HU"/>
        </w:rPr>
        <w:t xml:space="preserve"> alfa</w:t>
      </w:r>
      <w:r>
        <w:rPr>
          <w:lang w:val="hu-HU"/>
        </w:rPr>
        <w:noBreakHyphen/>
        <w:t>2a</w:t>
      </w:r>
      <w:r>
        <w:rPr>
          <w:lang w:val="hu-HU"/>
        </w:rPr>
        <w:noBreakHyphen/>
        <w:t>val (hetente egyszer 180 </w:t>
      </w:r>
      <w:proofErr w:type="spellStart"/>
      <w:r>
        <w:rPr>
          <w:lang w:val="hu-HU"/>
        </w:rPr>
        <w:t>mikrogramm</w:t>
      </w:r>
      <w:proofErr w:type="spellEnd"/>
      <w:r>
        <w:rPr>
          <w:lang w:val="hu-HU"/>
        </w:rPr>
        <w:t xml:space="preserve"> 48 héten át 1/4/6</w:t>
      </w:r>
      <w:r>
        <w:rPr>
          <w:lang w:val="hu-HU"/>
        </w:rPr>
        <w:noBreakHyphen/>
        <w:t>os genotípus esetén; 24 héten át 2/3</w:t>
      </w:r>
      <w:r>
        <w:rPr>
          <w:lang w:val="hu-HU"/>
        </w:rPr>
        <w:noBreakHyphen/>
        <w:t xml:space="preserve">as genotípus esetén) és </w:t>
      </w:r>
      <w:proofErr w:type="spellStart"/>
      <w:r>
        <w:rPr>
          <w:lang w:val="hu-HU"/>
        </w:rPr>
        <w:t>ribavirinnel</w:t>
      </w:r>
      <w:proofErr w:type="spellEnd"/>
      <w:r>
        <w:rPr>
          <w:lang w:val="hu-HU"/>
        </w:rPr>
        <w:t xml:space="preserve"> (napi 800</w:t>
      </w:r>
      <w:r>
        <w:rPr>
          <w:lang w:val="hu-HU"/>
        </w:rPr>
        <w:noBreakHyphen/>
        <w:t>tól 1200 mg</w:t>
      </w:r>
      <w:r>
        <w:rPr>
          <w:lang w:val="hu-HU"/>
        </w:rPr>
        <w:noBreakHyphen/>
        <w:t xml:space="preserve">ig, 2 adagra elosztva,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>)</w:t>
      </w:r>
    </w:p>
    <w:p w14:paraId="4AF1AC27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kombinációban adva </w:t>
      </w:r>
      <w:proofErr w:type="spellStart"/>
      <w:r>
        <w:rPr>
          <w:lang w:val="hu-HU"/>
        </w:rPr>
        <w:t>peginterferon</w:t>
      </w:r>
      <w:proofErr w:type="spellEnd"/>
      <w:r>
        <w:rPr>
          <w:lang w:val="hu-HU"/>
        </w:rPr>
        <w:t xml:space="preserve"> alfa</w:t>
      </w:r>
      <w:r>
        <w:rPr>
          <w:lang w:val="hu-HU"/>
        </w:rPr>
        <w:noBreakHyphen/>
        <w:t>2b</w:t>
      </w:r>
      <w:r>
        <w:rPr>
          <w:lang w:val="hu-HU"/>
        </w:rPr>
        <w:noBreakHyphen/>
        <w:t>vel (hetente egyszer 1,5 </w:t>
      </w:r>
      <w:proofErr w:type="spellStart"/>
      <w:r>
        <w:rPr>
          <w:lang w:val="hu-HU"/>
        </w:rPr>
        <w:t>mikrogramm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48 héten át 1/4/6</w:t>
      </w:r>
      <w:r>
        <w:rPr>
          <w:lang w:val="hu-HU"/>
        </w:rPr>
        <w:noBreakHyphen/>
        <w:t>os genotípus esetén; 24 héten át 2/3</w:t>
      </w:r>
      <w:r>
        <w:rPr>
          <w:lang w:val="hu-HU"/>
        </w:rPr>
        <w:noBreakHyphen/>
        <w:t xml:space="preserve">as genotípus esetén) és </w:t>
      </w:r>
      <w:proofErr w:type="spellStart"/>
      <w:r>
        <w:rPr>
          <w:lang w:val="hu-HU"/>
        </w:rPr>
        <w:t>ribavirinnel</w:t>
      </w:r>
      <w:proofErr w:type="spellEnd"/>
      <w:r>
        <w:rPr>
          <w:lang w:val="hu-HU"/>
        </w:rPr>
        <w:t xml:space="preserve"> (napi 800</w:t>
      </w:r>
      <w:r>
        <w:rPr>
          <w:lang w:val="hu-HU"/>
        </w:rPr>
        <w:noBreakHyphen/>
        <w:t>tól 1400 mg</w:t>
      </w:r>
      <w:r>
        <w:rPr>
          <w:lang w:val="hu-HU"/>
        </w:rPr>
        <w:noBreakHyphen/>
        <w:t xml:space="preserve">ig, 2 adagra elosztva,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>)</w:t>
      </w:r>
    </w:p>
    <w:p w14:paraId="34662D2F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lang w:val="hu-HU"/>
        </w:rPr>
      </w:pPr>
      <w:r>
        <w:rPr>
          <w:lang w:val="hu-HU"/>
        </w:rPr>
        <w:t xml:space="preserve">A vérlemezkeszám célértéke ≥ 90 000/µl volt az ENABLE 1 esetén, és ≥ 100 000/µl az ENABLE 2 esetén. Az ENABLE 1 esetén 682 beteget </w:t>
      </w:r>
      <w:proofErr w:type="spellStart"/>
      <w:r>
        <w:rPr>
          <w:lang w:val="hu-HU"/>
        </w:rPr>
        <w:t>randomizáltak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antivirális</w:t>
      </w:r>
      <w:proofErr w:type="spellEnd"/>
      <w:r>
        <w:rPr>
          <w:lang w:val="hu-HU"/>
        </w:rPr>
        <w:t xml:space="preserve"> kezelési szakaszba, azonban 2 beteg visszavonta a beleegyezését, mielőtt </w:t>
      </w:r>
      <w:proofErr w:type="spellStart"/>
      <w:r>
        <w:rPr>
          <w:lang w:val="hu-HU"/>
        </w:rPr>
        <w:t>antivirális</w:t>
      </w:r>
      <w:proofErr w:type="spellEnd"/>
      <w:r>
        <w:rPr>
          <w:lang w:val="hu-HU"/>
        </w:rPr>
        <w:t xml:space="preserve"> terápiában részesültek volna</w:t>
      </w:r>
    </w:p>
    <w:p w14:paraId="4EE035D2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esetén a p</w:t>
      </w:r>
      <w:r>
        <w:rPr>
          <w:lang w:val="hu-HU"/>
        </w:rPr>
        <w:noBreakHyphen/>
        <w:t xml:space="preserve">érték </w:t>
      </w:r>
      <w:proofErr w:type="gramStart"/>
      <w:r>
        <w:rPr>
          <w:lang w:val="hu-HU"/>
        </w:rPr>
        <w:t>&lt; 0</w:t>
      </w:r>
      <w:proofErr w:type="gramEnd"/>
      <w:r>
        <w:rPr>
          <w:lang w:val="hu-HU"/>
        </w:rPr>
        <w:t xml:space="preserve">,05 </w:t>
      </w:r>
      <w:proofErr w:type="spellStart"/>
      <w:r>
        <w:rPr>
          <w:lang w:val="hu-HU"/>
        </w:rPr>
        <w:t>versus</w:t>
      </w:r>
      <w:proofErr w:type="spellEnd"/>
      <w:r>
        <w:rPr>
          <w:lang w:val="hu-HU"/>
        </w:rPr>
        <w:t xml:space="preserve"> placebo</w:t>
      </w:r>
    </w:p>
    <w:p w14:paraId="0A7D99A7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lang w:val="hu-HU"/>
        </w:rPr>
      </w:pPr>
      <w:r>
        <w:rPr>
          <w:lang w:val="hu-HU"/>
        </w:rPr>
        <w:t>Az ENABLE 1 és ENABLE 2-ben résztvevő betegek 64%</w:t>
      </w:r>
      <w:r>
        <w:rPr>
          <w:lang w:val="hu-HU"/>
        </w:rPr>
        <w:noBreakHyphen/>
        <w:t>a 1</w:t>
      </w:r>
      <w:r>
        <w:rPr>
          <w:lang w:val="hu-HU"/>
        </w:rPr>
        <w:noBreakHyphen/>
        <w:t>es genotípusú volt</w:t>
      </w:r>
    </w:p>
    <w:p w14:paraId="0F7C3F69" w14:textId="77777777" w:rsidR="00342CEA" w:rsidRDefault="00837BAB">
      <w:pPr>
        <w:numPr>
          <w:ilvl w:val="0"/>
          <w:numId w:val="2"/>
        </w:numPr>
        <w:tabs>
          <w:tab w:val="clear" w:pos="567"/>
        </w:tabs>
        <w:spacing w:after="12" w:line="247" w:lineRule="auto"/>
        <w:ind w:left="284" w:right="93" w:hanging="286"/>
        <w:rPr>
          <w:sz w:val="20"/>
          <w:szCs w:val="20"/>
          <w:lang w:val="hu-HU"/>
        </w:rPr>
      </w:pPr>
      <w:r>
        <w:rPr>
          <w:i/>
          <w:lang w:val="hu-HU"/>
        </w:rPr>
        <w:t>Post-hoc</w:t>
      </w:r>
      <w:r>
        <w:rPr>
          <w:sz w:val="20"/>
          <w:szCs w:val="20"/>
          <w:lang w:val="hu-HU"/>
        </w:rPr>
        <w:t xml:space="preserve"> analízisek </w:t>
      </w:r>
    </w:p>
    <w:p w14:paraId="2C996B46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4B524E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vizsgálat egyéb másodlagos megfigyelései közé tartoztak a következők: a </w:t>
      </w:r>
      <w:proofErr w:type="spellStart"/>
      <w:r>
        <w:rPr>
          <w:lang w:val="hu-HU" w:eastAsia="en-GB"/>
        </w:rPr>
        <w:t>placebóhoz</w:t>
      </w:r>
      <w:proofErr w:type="spellEnd"/>
      <w:r>
        <w:rPr>
          <w:lang w:val="hu-HU" w:eastAsia="en-GB"/>
        </w:rPr>
        <w:t xml:space="preserve"> viszonyítva szignifikánsan kevesebb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 hagyta abba az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terápiát idő előtt (45% </w:t>
      </w:r>
      <w:proofErr w:type="spellStart"/>
      <w:r>
        <w:rPr>
          <w:lang w:val="hu-HU" w:eastAsia="en-GB"/>
        </w:rPr>
        <w:lastRenderedPageBreak/>
        <w:t>vs</w:t>
      </w:r>
      <w:proofErr w:type="spellEnd"/>
      <w:r>
        <w:rPr>
          <w:lang w:val="hu-HU" w:eastAsia="en-GB"/>
        </w:rPr>
        <w:t xml:space="preserve"> 60%, p = </w:t>
      </w:r>
      <w:proofErr w:type="gramStart"/>
      <w:r>
        <w:rPr>
          <w:lang w:val="hu-HU" w:eastAsia="en-GB"/>
        </w:rPr>
        <w:t>&lt; 0</w:t>
      </w:r>
      <w:proofErr w:type="gramEnd"/>
      <w:r>
        <w:rPr>
          <w:lang w:val="hu-HU" w:eastAsia="en-GB"/>
        </w:rPr>
        <w:t xml:space="preserve">,0001).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kezelt betegek nagyobb hányadánál volt szükségtelen az </w:t>
      </w:r>
      <w:proofErr w:type="spellStart"/>
      <w:r>
        <w:rPr>
          <w:lang w:val="hu-HU" w:eastAsia="en-GB"/>
        </w:rPr>
        <w:t>antivirális</w:t>
      </w:r>
      <w:proofErr w:type="spellEnd"/>
      <w:r>
        <w:rPr>
          <w:lang w:val="hu-HU" w:eastAsia="en-GB"/>
        </w:rPr>
        <w:t xml:space="preserve"> szerek dóziscsökkentése a </w:t>
      </w:r>
      <w:proofErr w:type="spellStart"/>
      <w:r>
        <w:rPr>
          <w:lang w:val="hu-HU" w:eastAsia="en-GB"/>
        </w:rPr>
        <w:t>placebóhoz</w:t>
      </w:r>
      <w:proofErr w:type="spellEnd"/>
      <w:r>
        <w:rPr>
          <w:lang w:val="hu-HU" w:eastAsia="en-GB"/>
        </w:rPr>
        <w:t xml:space="preserve"> viszonyítva (45% </w:t>
      </w:r>
      <w:proofErr w:type="spellStart"/>
      <w:r>
        <w:rPr>
          <w:lang w:val="hu-HU" w:eastAsia="en-GB"/>
        </w:rPr>
        <w:t>vs</w:t>
      </w:r>
      <w:proofErr w:type="spellEnd"/>
      <w:r>
        <w:rPr>
          <w:lang w:val="hu-HU" w:eastAsia="en-GB"/>
        </w:rPr>
        <w:t xml:space="preserve">. 27%).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 késleltette és csökkentette a </w:t>
      </w:r>
      <w:proofErr w:type="spellStart"/>
      <w:r>
        <w:rPr>
          <w:lang w:val="hu-HU" w:eastAsia="en-GB"/>
        </w:rPr>
        <w:t>peginterferon</w:t>
      </w:r>
      <w:proofErr w:type="spellEnd"/>
      <w:r>
        <w:rPr>
          <w:lang w:val="hu-HU" w:eastAsia="en-GB"/>
        </w:rPr>
        <w:t xml:space="preserve"> dóziscsökkentésének számát.</w:t>
      </w:r>
    </w:p>
    <w:p w14:paraId="0454E4BF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47D8236A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49D383E8" w14:textId="77777777" w:rsidR="00342CEA" w:rsidRDefault="00837BAB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5.2</w:t>
      </w:r>
      <w:r>
        <w:rPr>
          <w:b/>
          <w:bCs/>
          <w:lang w:val="hu-HU"/>
        </w:rPr>
        <w:tab/>
      </w:r>
      <w:proofErr w:type="spellStart"/>
      <w:r>
        <w:rPr>
          <w:b/>
          <w:bCs/>
          <w:lang w:val="hu-HU"/>
        </w:rPr>
        <w:t>Farmakokinetikai</w:t>
      </w:r>
      <w:proofErr w:type="spellEnd"/>
      <w:r>
        <w:rPr>
          <w:b/>
          <w:bCs/>
          <w:lang w:val="hu-HU"/>
        </w:rPr>
        <w:t xml:space="preserve"> tulajdonságok</w:t>
      </w:r>
    </w:p>
    <w:p w14:paraId="5278326C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68333C9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proofErr w:type="spellStart"/>
      <w:r>
        <w:rPr>
          <w:u w:val="single"/>
          <w:lang w:val="hu-HU" w:eastAsia="en-GB"/>
        </w:rPr>
        <w:t>Farmakokinetika</w:t>
      </w:r>
      <w:proofErr w:type="spellEnd"/>
    </w:p>
    <w:p w14:paraId="10A8412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 TRA100773A és TRA100773B vizsgálatokból 88 ITP-s beteg plazma-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koncentráció</w:t>
      </w:r>
      <w:r>
        <w:rPr>
          <w:lang w:val="hu-HU" w:eastAsia="en-GB"/>
        </w:rPr>
        <w:noBreakHyphen/>
        <w:t>idő adatait vetették össze 111 egészséges felnőtt adataival egy populációs PK</w:t>
      </w:r>
      <w:r>
        <w:rPr>
          <w:lang w:val="hu-HU" w:eastAsia="en-GB"/>
        </w:rPr>
        <w:noBreakHyphen/>
        <w:t>elemzésben. Megadták az ITP</w:t>
      </w:r>
      <w:r>
        <w:rPr>
          <w:lang w:val="hu-HU" w:eastAsia="en-GB"/>
        </w:rPr>
        <w:noBreakHyphen/>
        <w:t xml:space="preserve">s betegek becsült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AUC(</w:t>
      </w:r>
      <w:r>
        <w:rPr>
          <w:vertAlign w:val="subscript"/>
          <w:lang w:val="hu-HU" w:eastAsia="en-GB"/>
        </w:rPr>
        <w:t>0-</w:t>
      </w:r>
      <w:proofErr w:type="gramStart"/>
      <w:r>
        <w:rPr>
          <w:vertAlign w:val="subscript"/>
          <w:lang w:val="hu-HU" w:eastAsia="en-GB"/>
        </w:rPr>
        <w:t>τ</w:t>
      </w:r>
      <w:r>
        <w:rPr>
          <w:lang w:val="hu-HU" w:eastAsia="en-GB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 xml:space="preserve"> és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noBreakHyphen/>
        <w:t>értékeit (9. táblázat).</w:t>
      </w:r>
    </w:p>
    <w:p w14:paraId="21D835E8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</w:p>
    <w:p w14:paraId="7E98DCB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ind w:left="1134" w:hanging="1134"/>
        <w:rPr>
          <w:b/>
          <w:bCs/>
          <w:lang w:val="hu-HU"/>
        </w:rPr>
      </w:pPr>
      <w:r>
        <w:rPr>
          <w:b/>
          <w:bCs/>
          <w:lang w:val="hu-HU" w:eastAsia="en-GB"/>
        </w:rPr>
        <w:t>9. táblázat</w:t>
      </w:r>
      <w:r>
        <w:rPr>
          <w:b/>
          <w:bCs/>
          <w:lang w:val="hu-HU" w:eastAsia="en-GB"/>
        </w:rPr>
        <w:tab/>
        <w:t>ITP</w:t>
      </w:r>
      <w:r>
        <w:rPr>
          <w:b/>
          <w:bCs/>
          <w:lang w:val="hu-HU" w:eastAsia="en-GB"/>
        </w:rPr>
        <w:noBreakHyphen/>
        <w:t xml:space="preserve">s </w:t>
      </w:r>
      <w:r>
        <w:rPr>
          <w:rFonts w:eastAsia="TimesNewRomanPS-BoldMT"/>
          <w:b/>
          <w:bCs/>
          <w:lang w:val="hu-HU" w:eastAsia="en-GB"/>
        </w:rPr>
        <w:t>felnőttek dinamikus egyensúlyi állapotú</w:t>
      </w:r>
      <w:r>
        <w:rPr>
          <w:b/>
          <w:bCs/>
          <w:lang w:val="hu-HU" w:eastAsia="en-GB"/>
        </w:rPr>
        <w:t xml:space="preserve"> plazma-</w:t>
      </w:r>
      <w:proofErr w:type="spellStart"/>
      <w:r>
        <w:rPr>
          <w:b/>
          <w:bCs/>
          <w:lang w:val="hu-HU" w:eastAsia="en-GB"/>
        </w:rPr>
        <w:t>eltrombopag</w:t>
      </w:r>
      <w:proofErr w:type="spellEnd"/>
      <w:r>
        <w:rPr>
          <w:b/>
          <w:bCs/>
          <w:lang w:val="hu-HU" w:eastAsia="en-GB"/>
        </w:rPr>
        <w:t xml:space="preserve"> </w:t>
      </w:r>
      <w:proofErr w:type="spellStart"/>
      <w:r>
        <w:rPr>
          <w:b/>
          <w:bCs/>
          <w:lang w:val="hu-HU" w:eastAsia="en-GB"/>
        </w:rPr>
        <w:t>farmakokinetikai</w:t>
      </w:r>
      <w:proofErr w:type="spellEnd"/>
      <w:r>
        <w:rPr>
          <w:b/>
          <w:bCs/>
          <w:lang w:val="hu-HU" w:eastAsia="en-GB"/>
        </w:rPr>
        <w:t xml:space="preserve"> paramétereinek mértani átlagértéke (95%</w:t>
      </w:r>
      <w:r>
        <w:rPr>
          <w:b/>
          <w:bCs/>
          <w:lang w:val="hu-HU" w:eastAsia="en-GB"/>
        </w:rPr>
        <w:noBreakHyphen/>
        <w:t>os konfidencia intervallum)</w:t>
      </w:r>
    </w:p>
    <w:tbl>
      <w:tblPr>
        <w:tblW w:w="9066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02"/>
        <w:gridCol w:w="649"/>
        <w:gridCol w:w="1526"/>
        <w:gridCol w:w="2419"/>
        <w:gridCol w:w="2370"/>
      </w:tblGrid>
      <w:tr w:rsidR="00342CEA" w14:paraId="07CEAC12" w14:textId="77777777">
        <w:trPr>
          <w:trHeight w:val="516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87E12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  <w:r>
              <w:rPr>
                <w:b/>
                <w:bCs/>
                <w:lang w:val="hu-HU" w:eastAsia="en-US"/>
              </w:rPr>
              <w:t>-dózis, naponta egyszer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962DC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28876" w14:textId="77777777" w:rsidR="00342CEA" w:rsidRDefault="00342CEA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D7FA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AUC</w:t>
            </w:r>
            <w:r>
              <w:rPr>
                <w:b/>
                <w:bCs/>
                <w:vertAlign w:val="subscript"/>
                <w:lang w:val="hu-HU" w:eastAsia="en-US"/>
              </w:rPr>
              <w:t>(0-</w:t>
            </w:r>
            <w:proofErr w:type="gramStart"/>
            <w:r>
              <w:rPr>
                <w:b/>
                <w:bCs/>
                <w:vertAlign w:val="subscript"/>
                <w:lang w:val="hu-HU" w:eastAsia="en-US"/>
              </w:rPr>
              <w:t>τ)</w:t>
            </w:r>
            <w:r>
              <w:rPr>
                <w:b/>
                <w:bCs/>
                <w:vertAlign w:val="superscript"/>
                <w:lang w:val="hu-HU" w:eastAsia="en-US"/>
              </w:rPr>
              <w:t>a</w:t>
            </w:r>
            <w:proofErr w:type="gramEnd"/>
            <w:r>
              <w:rPr>
                <w:b/>
                <w:bCs/>
                <w:lang w:val="hu-HU" w:eastAsia="en-US"/>
              </w:rPr>
              <w:t xml:space="preserve">, </w:t>
            </w:r>
            <w:proofErr w:type="spellStart"/>
            <w:r>
              <w:rPr>
                <w:b/>
                <w:bCs/>
                <w:lang w:val="hu-HU" w:eastAsia="en-US"/>
              </w:rPr>
              <w:t>mikrogramm</w:t>
            </w:r>
            <w:r>
              <w:rPr>
                <w:color w:val="000000"/>
                <w:lang w:val="hu-HU"/>
              </w:rPr>
              <w:t>×</w:t>
            </w:r>
            <w:r>
              <w:rPr>
                <w:b/>
                <w:bCs/>
                <w:lang w:val="hu-HU" w:eastAsia="en-US"/>
              </w:rPr>
              <w:t>óra</w:t>
            </w:r>
            <w:proofErr w:type="spellEnd"/>
            <w:r>
              <w:rPr>
                <w:b/>
                <w:bCs/>
                <w:lang w:val="hu-HU" w:eastAsia="en-US"/>
              </w:rPr>
              <w:t>/ml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8C1A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C</w:t>
            </w:r>
            <w:r>
              <w:rPr>
                <w:b/>
                <w:bCs/>
                <w:vertAlign w:val="subscript"/>
                <w:lang w:val="hu-HU" w:eastAsia="en-US"/>
              </w:rPr>
              <w:t>max</w:t>
            </w:r>
            <w:r>
              <w:rPr>
                <w:b/>
                <w:bCs/>
                <w:vertAlign w:val="superscript"/>
                <w:lang w:val="hu-HU" w:eastAsia="en-US"/>
              </w:rPr>
              <w:t>a</w:t>
            </w:r>
            <w:proofErr w:type="spellEnd"/>
            <w:r>
              <w:rPr>
                <w:b/>
                <w:bCs/>
                <w:lang w:val="hu-HU" w:eastAsia="en-US"/>
              </w:rPr>
              <w:t xml:space="preserve">, </w:t>
            </w:r>
            <w:proofErr w:type="spellStart"/>
            <w:r>
              <w:rPr>
                <w:b/>
                <w:bCs/>
                <w:lang w:val="hu-HU" w:eastAsia="en-US"/>
              </w:rPr>
              <w:t>mikrogramm</w:t>
            </w:r>
            <w:proofErr w:type="spellEnd"/>
            <w:r>
              <w:rPr>
                <w:b/>
                <w:bCs/>
                <w:lang w:val="hu-HU" w:eastAsia="en-US"/>
              </w:rPr>
              <w:t>/ml</w:t>
            </w:r>
          </w:p>
        </w:tc>
      </w:tr>
      <w:tr w:rsidR="00342CEA" w14:paraId="5840A4F9" w14:textId="77777777">
        <w:trPr>
          <w:trHeight w:val="263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BF43A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30 mg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505B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28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7972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E6F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47 (39; 58)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3DEA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3,78 (3,18; 4,49)</w:t>
            </w:r>
          </w:p>
        </w:tc>
      </w:tr>
      <w:tr w:rsidR="00342CEA" w14:paraId="571459E5" w14:textId="77777777">
        <w:trPr>
          <w:trHeight w:val="263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C02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50 mg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A180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34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969CF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D282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108 (88; 134)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470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8,01 (6,73; 9,53)</w:t>
            </w:r>
          </w:p>
        </w:tc>
      </w:tr>
      <w:tr w:rsidR="00342CEA" w14:paraId="36151644" w14:textId="77777777">
        <w:trPr>
          <w:trHeight w:val="263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8B6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75 mg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670E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26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DA89" w14:textId="77777777" w:rsidR="00342CEA" w:rsidRDefault="00342CEA">
            <w:pPr>
              <w:widowControl w:val="0"/>
              <w:jc w:val="center"/>
              <w:rPr>
                <w:lang w:val="hu-HU" w:eastAsia="en-US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9A9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168 (143; 198)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ED50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12,7 (11,0; 14,5)</w:t>
            </w:r>
          </w:p>
        </w:tc>
      </w:tr>
    </w:tbl>
    <w:p w14:paraId="62040073" w14:textId="77777777" w:rsidR="00342CEA" w:rsidRDefault="00837BAB">
      <w:pPr>
        <w:autoSpaceDE w:val="0"/>
        <w:autoSpaceDN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>
        <w:rPr>
          <w:lang w:val="hu-HU"/>
        </w:rPr>
        <w:tab/>
        <w:t>AUC</w:t>
      </w:r>
      <w:r>
        <w:rPr>
          <w:vertAlign w:val="subscript"/>
          <w:lang w:val="hu-HU"/>
        </w:rPr>
        <w:t>(0-</w:t>
      </w:r>
      <w:r>
        <w:rPr>
          <w:rFonts w:eastAsia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/>
        </w:rPr>
        <w:t xml:space="preserve"> és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, </w:t>
      </w:r>
      <w:r>
        <w:rPr>
          <w:lang w:val="hu-HU" w:eastAsia="en-GB"/>
        </w:rPr>
        <w:t xml:space="preserve">populációs PK </w:t>
      </w:r>
      <w:r>
        <w:rPr>
          <w:i/>
          <w:lang w:val="hu-HU" w:eastAsia="en-GB"/>
        </w:rPr>
        <w:t xml:space="preserve">post hoc </w:t>
      </w:r>
      <w:r>
        <w:rPr>
          <w:lang w:val="hu-HU" w:eastAsia="en-GB"/>
        </w:rPr>
        <w:t>becslés alapján</w:t>
      </w:r>
    </w:p>
    <w:p w14:paraId="4E921C22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</w:p>
    <w:p w14:paraId="564E34D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>A TPL103922/ENABLE 1 és TPL108390/ENABLE 2 III. fázisú vizsgálatokba beválogatott 590 HCV</w:t>
      </w:r>
      <w:r>
        <w:rPr>
          <w:lang w:val="hu-HU" w:eastAsia="en-GB"/>
        </w:rPr>
        <w:noBreakHyphen/>
        <w:t xml:space="preserve">s betegnél gyűjtött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koncentráció</w:t>
      </w:r>
      <w:r>
        <w:rPr>
          <w:lang w:val="hu-HU" w:eastAsia="en-GB"/>
        </w:rPr>
        <w:noBreakHyphen/>
        <w:t>idő adatokat kiegészítették a TPL102357 II. fázisú vizsgálat HCV</w:t>
      </w:r>
      <w:r>
        <w:rPr>
          <w:lang w:val="hu-HU" w:eastAsia="en-GB"/>
        </w:rPr>
        <w:noBreakHyphen/>
        <w:t xml:space="preserve">s betegeinek adataival, valamint egy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(PK) analízis egészséges felnőtt alanyainak adataival. A III. fázisú vizsgálatokba bevont HCV</w:t>
      </w:r>
      <w:r>
        <w:rPr>
          <w:lang w:val="hu-HU" w:eastAsia="en-GB"/>
        </w:rPr>
        <w:noBreakHyphen/>
        <w:t xml:space="preserve">s betegekre vonatkozó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t xml:space="preserve"> és AUC(</w:t>
      </w:r>
      <w:r>
        <w:rPr>
          <w:vertAlign w:val="subscript"/>
          <w:lang w:val="hu-HU" w:eastAsia="en-GB"/>
        </w:rPr>
        <w:t>0-τ</w:t>
      </w:r>
      <w:r>
        <w:rPr>
          <w:lang w:val="hu-HU" w:eastAsia="en-GB"/>
        </w:rPr>
        <w:t>) becsült értékeket az összes dózisra vonatkozóan a 10. táblázat tartalmazza.</w:t>
      </w:r>
    </w:p>
    <w:p w14:paraId="114D286B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</w:p>
    <w:p w14:paraId="58145953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ind w:left="1134" w:hanging="1134"/>
        <w:rPr>
          <w:b/>
          <w:bCs/>
          <w:lang w:val="hu-HU"/>
        </w:rPr>
      </w:pPr>
      <w:r>
        <w:rPr>
          <w:b/>
          <w:bCs/>
          <w:lang w:val="hu-HU" w:eastAsia="en-GB"/>
        </w:rPr>
        <w:t>10. táblázat</w:t>
      </w:r>
      <w:r>
        <w:rPr>
          <w:b/>
          <w:bCs/>
          <w:lang w:val="hu-HU" w:eastAsia="en-GB"/>
        </w:rPr>
        <w:tab/>
        <w:t xml:space="preserve">A plazma </w:t>
      </w:r>
      <w:proofErr w:type="spellStart"/>
      <w:r>
        <w:rPr>
          <w:b/>
          <w:bCs/>
          <w:lang w:val="hu-HU" w:eastAsia="en-GB"/>
        </w:rPr>
        <w:t>eltrombopagszint</w:t>
      </w:r>
      <w:proofErr w:type="spellEnd"/>
      <w:r>
        <w:rPr>
          <w:b/>
          <w:bCs/>
          <w:lang w:val="hu-HU" w:eastAsia="en-GB"/>
        </w:rPr>
        <w:t xml:space="preserve"> dinamikus egyensúlyi </w:t>
      </w:r>
      <w:proofErr w:type="spellStart"/>
      <w:r>
        <w:rPr>
          <w:b/>
          <w:bCs/>
          <w:lang w:val="hu-HU" w:eastAsia="en-GB"/>
        </w:rPr>
        <w:t>farmakokinetikai</w:t>
      </w:r>
      <w:proofErr w:type="spellEnd"/>
      <w:r>
        <w:rPr>
          <w:b/>
          <w:bCs/>
          <w:lang w:val="hu-HU" w:eastAsia="en-GB"/>
        </w:rPr>
        <w:t xml:space="preserve"> paramétereinek mértani középértéke (95%</w:t>
      </w:r>
      <w:r>
        <w:rPr>
          <w:b/>
          <w:bCs/>
          <w:lang w:val="hu-HU" w:eastAsia="en-GB"/>
        </w:rPr>
        <w:noBreakHyphen/>
        <w:t>os CI) krónikus HCV</w:t>
      </w:r>
      <w:r>
        <w:rPr>
          <w:b/>
          <w:bCs/>
          <w:lang w:val="hu-HU" w:eastAsia="en-GB"/>
        </w:rPr>
        <w:noBreakHyphen/>
        <w:t>s betegeknél</w:t>
      </w:r>
    </w:p>
    <w:tbl>
      <w:tblPr>
        <w:tblW w:w="8309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05"/>
        <w:gridCol w:w="1224"/>
        <w:gridCol w:w="2340"/>
        <w:gridCol w:w="2340"/>
      </w:tblGrid>
      <w:tr w:rsidR="00342CEA" w14:paraId="4A453BB9" w14:textId="77777777">
        <w:trPr>
          <w:trHeight w:val="54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B7CC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Eltrombopag</w:t>
            </w:r>
            <w:proofErr w:type="spellEnd"/>
            <w:r>
              <w:rPr>
                <w:b/>
                <w:bCs/>
                <w:lang w:val="hu-HU" w:eastAsia="en-US"/>
              </w:rPr>
              <w:t>-dózis, naponta egyszer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BD23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D21E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AUC</w:t>
            </w:r>
            <w:r>
              <w:rPr>
                <w:b/>
                <w:bCs/>
                <w:vertAlign w:val="subscript"/>
                <w:lang w:val="hu-HU" w:eastAsia="en-US"/>
              </w:rPr>
              <w:t>(0-τ)</w:t>
            </w:r>
            <w:r>
              <w:rPr>
                <w:b/>
                <w:bCs/>
                <w:lang w:val="hu-HU" w:eastAsia="en-US"/>
              </w:rPr>
              <w:t xml:space="preserve"> (</w:t>
            </w:r>
            <w:proofErr w:type="spellStart"/>
            <w:r>
              <w:rPr>
                <w:b/>
                <w:bCs/>
                <w:lang w:val="hu-HU"/>
              </w:rPr>
              <w:t>μg</w:t>
            </w:r>
            <w:r>
              <w:rPr>
                <w:color w:val="000000"/>
                <w:lang w:val="hu-HU"/>
              </w:rPr>
              <w:t>×</w:t>
            </w:r>
            <w:r>
              <w:rPr>
                <w:b/>
                <w:bCs/>
                <w:lang w:val="hu-HU" w:eastAsia="en-US"/>
              </w:rPr>
              <w:t>óra</w:t>
            </w:r>
            <w:proofErr w:type="spellEnd"/>
            <w:r>
              <w:rPr>
                <w:b/>
                <w:bCs/>
                <w:lang w:val="hu-HU" w:eastAsia="en-US"/>
              </w:rPr>
              <w:t>/ml)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B79AC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C</w:t>
            </w:r>
            <w:r>
              <w:rPr>
                <w:b/>
                <w:bCs/>
                <w:vertAlign w:val="subscript"/>
                <w:lang w:val="hu-HU" w:eastAsia="en-US"/>
              </w:rPr>
              <w:t>max</w:t>
            </w:r>
            <w:proofErr w:type="spellEnd"/>
            <w:r>
              <w:rPr>
                <w:b/>
                <w:bCs/>
                <w:lang w:val="hu-HU" w:eastAsia="en-US"/>
              </w:rPr>
              <w:t>,</w:t>
            </w:r>
          </w:p>
          <w:p w14:paraId="07A7C535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/>
              </w:rPr>
              <w:t>(</w:t>
            </w:r>
            <w:proofErr w:type="spellStart"/>
            <w:r>
              <w:rPr>
                <w:b/>
                <w:bCs/>
                <w:lang w:val="hu-HU"/>
              </w:rPr>
              <w:t>μg</w:t>
            </w:r>
            <w:proofErr w:type="spellEnd"/>
            <w:r>
              <w:rPr>
                <w:b/>
                <w:bCs/>
                <w:lang w:val="hu-HU" w:eastAsia="en-US"/>
              </w:rPr>
              <w:t>/ml)</w:t>
            </w:r>
          </w:p>
        </w:tc>
      </w:tr>
      <w:tr w:rsidR="00342CEA" w14:paraId="00DEBE7D" w14:textId="77777777">
        <w:trPr>
          <w:trHeight w:val="5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10E42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25 mg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E2F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7079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118</w:t>
            </w:r>
          </w:p>
          <w:p w14:paraId="4A96B6E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(109; 128)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EFB8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6,40</w:t>
            </w:r>
          </w:p>
          <w:p w14:paraId="0CE323B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(5,97; 6,86)</w:t>
            </w:r>
          </w:p>
        </w:tc>
      </w:tr>
      <w:tr w:rsidR="00342CEA" w14:paraId="1F92ECF6" w14:textId="77777777">
        <w:trPr>
          <w:trHeight w:val="5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E770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50 mg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A566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0F48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166</w:t>
            </w:r>
          </w:p>
          <w:p w14:paraId="6B327DDE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(143; 192)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393C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9,08</w:t>
            </w:r>
          </w:p>
          <w:p w14:paraId="091902F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(7,96; 10,35)</w:t>
            </w:r>
          </w:p>
        </w:tc>
      </w:tr>
      <w:tr w:rsidR="00342CEA" w14:paraId="0564987B" w14:textId="77777777">
        <w:trPr>
          <w:trHeight w:val="5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542F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75 mg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F7F78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E3C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301</w:t>
            </w:r>
          </w:p>
          <w:p w14:paraId="40732FB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(250; 363)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653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16,71</w:t>
            </w:r>
          </w:p>
          <w:p w14:paraId="03AC55CF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(14,26; 19,58)</w:t>
            </w:r>
          </w:p>
        </w:tc>
      </w:tr>
      <w:tr w:rsidR="00342CEA" w14:paraId="3B0F8466" w14:textId="77777777">
        <w:trPr>
          <w:trHeight w:val="517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559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100 mg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507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560D0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354</w:t>
            </w:r>
          </w:p>
          <w:p w14:paraId="5B5FC9FA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(304; 411)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616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19,19</w:t>
            </w:r>
          </w:p>
          <w:p w14:paraId="62AA51C3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(16,81; 21,91)</w:t>
            </w:r>
          </w:p>
        </w:tc>
      </w:tr>
    </w:tbl>
    <w:p w14:paraId="5D571FBC" w14:textId="77777777" w:rsidR="00342CEA" w:rsidRDefault="00837BAB">
      <w:pPr>
        <w:rPr>
          <w:lang w:val="hu-HU"/>
        </w:rPr>
      </w:pPr>
      <w:r>
        <w:rPr>
          <w:lang w:val="hu-HU"/>
        </w:rPr>
        <w:t>Mértani átlagként szerepeltetett adatok (95%</w:t>
      </w:r>
      <w:r>
        <w:rPr>
          <w:lang w:val="hu-HU"/>
        </w:rPr>
        <w:noBreakHyphen/>
        <w:t xml:space="preserve">os CI). </w:t>
      </w:r>
    </w:p>
    <w:p w14:paraId="7269519A" w14:textId="77777777" w:rsidR="00342CEA" w:rsidRDefault="00837BAB">
      <w:pPr>
        <w:rPr>
          <w:lang w:val="hu-HU"/>
        </w:rPr>
      </w:pPr>
      <w:r>
        <w:rPr>
          <w:lang w:val="hu-HU"/>
        </w:rPr>
        <w:t xml:space="preserve">AUC 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/>
        </w:rPr>
        <w:noBreakHyphen/>
      </w:r>
      <w:proofErr w:type="gramEnd"/>
      <w:r>
        <w:rPr>
          <w:lang w:val="hu-HU"/>
        </w:rPr>
        <w:t xml:space="preserve"> és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noBreakHyphen/>
        <w:t xml:space="preserve">értékek a populációs </w:t>
      </w:r>
      <w:proofErr w:type="spellStart"/>
      <w:r>
        <w:rPr>
          <w:lang w:val="hu-HU"/>
        </w:rPr>
        <w:t>farmakokinetika</w:t>
      </w:r>
      <w:proofErr w:type="spellEnd"/>
      <w:r>
        <w:rPr>
          <w:lang w:val="hu-HU"/>
        </w:rPr>
        <w:t xml:space="preserve"> alapján, </w:t>
      </w:r>
      <w:r>
        <w:rPr>
          <w:i/>
          <w:lang w:val="hu-HU"/>
        </w:rPr>
        <w:t>post hoc</w:t>
      </w:r>
      <w:r>
        <w:rPr>
          <w:lang w:val="hu-HU"/>
        </w:rPr>
        <w:t xml:space="preserve"> becsléssel minden egyes beteg legmagasabb dózisához tartozó adatának figyelembevételével.</w:t>
      </w:r>
    </w:p>
    <w:p w14:paraId="4D6C66C6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</w:p>
    <w:p w14:paraId="52AF8E13" w14:textId="77777777" w:rsidR="00342CEA" w:rsidRDefault="00837BAB">
      <w:pPr>
        <w:widowControl w:val="0"/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 xml:space="preserve">Felszívódás és </w:t>
      </w:r>
      <w:proofErr w:type="spellStart"/>
      <w:r>
        <w:rPr>
          <w:u w:val="single"/>
          <w:lang w:val="hu-HU"/>
        </w:rPr>
        <w:t>biohasznosulás</w:t>
      </w:r>
      <w:proofErr w:type="spellEnd"/>
    </w:p>
    <w:p w14:paraId="33EA4811" w14:textId="77777777" w:rsidR="00342CEA" w:rsidRDefault="00837BA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orális alkalmazás után 2</w:t>
      </w:r>
      <w:r>
        <w:rPr>
          <w:lang w:val="hu-HU" w:eastAsia="en-GB"/>
        </w:rPr>
        <w:noBreakHyphen/>
        <w:t xml:space="preserve">6 órával kialakuló csúcskoncentrációval szívódik fel.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egyidejű alkalmazása </w:t>
      </w:r>
      <w:proofErr w:type="spellStart"/>
      <w:r>
        <w:rPr>
          <w:lang w:val="hu-HU" w:eastAsia="en-GB"/>
        </w:rPr>
        <w:t>antacidokkal</w:t>
      </w:r>
      <w:proofErr w:type="spellEnd"/>
      <w:r>
        <w:rPr>
          <w:lang w:val="hu-HU" w:eastAsia="en-GB"/>
        </w:rPr>
        <w:t xml:space="preserve"> és egyéb </w:t>
      </w:r>
      <w:proofErr w:type="spellStart"/>
      <w:r>
        <w:rPr>
          <w:lang w:val="hu-HU" w:eastAsia="en-GB"/>
        </w:rPr>
        <w:t>polivalens</w:t>
      </w:r>
      <w:proofErr w:type="spellEnd"/>
      <w:r>
        <w:rPr>
          <w:lang w:val="hu-HU" w:eastAsia="en-GB"/>
        </w:rPr>
        <w:t xml:space="preserve"> kationokat tartalmazó készítményekkel, így tejtermékekkel és ásványianyag-pótló készítményekkel, jelentősen csökkenti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expozícióját (lásd 4.2 pont)</w:t>
      </w:r>
      <w:r>
        <w:rPr>
          <w:i/>
          <w:lang w:val="hu-HU" w:eastAsia="en-GB"/>
        </w:rPr>
        <w:t xml:space="preserve">. </w:t>
      </w:r>
      <w:r>
        <w:rPr>
          <w:lang w:val="hu-HU" w:eastAsia="en-GB"/>
        </w:rPr>
        <w:t xml:space="preserve">Egy felnőttekkel végzett relatív </w:t>
      </w:r>
      <w:proofErr w:type="spellStart"/>
      <w:r>
        <w:rPr>
          <w:lang w:val="hu-HU" w:eastAsia="en-GB"/>
        </w:rPr>
        <w:t>biohasznosulási</w:t>
      </w:r>
      <w:proofErr w:type="spellEnd"/>
      <w:r>
        <w:rPr>
          <w:lang w:val="hu-HU" w:eastAsia="en-GB"/>
        </w:rPr>
        <w:t xml:space="preserve"> vizsgálatban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por belsőleges szuszpenzióhoz 22%-kal magasabb plazma </w:t>
      </w:r>
      <w:proofErr w:type="gramStart"/>
      <w:r>
        <w:rPr>
          <w:lang w:val="hu-HU" w:eastAsia="en-GB"/>
        </w:rPr>
        <w:t>AUC</w:t>
      </w:r>
      <w:r>
        <w:rPr>
          <w:vertAlign w:val="subscript"/>
          <w:lang w:val="hu-HU"/>
        </w:rPr>
        <w:t>(</w:t>
      </w:r>
      <w:proofErr w:type="gramEnd"/>
      <w:r>
        <w:rPr>
          <w:vertAlign w:val="subscript"/>
          <w:lang w:val="hu-HU"/>
        </w:rPr>
        <w:t>0-</w:t>
      </w:r>
      <w:proofErr w:type="gramStart"/>
      <w:r>
        <w:rPr>
          <w:vertAlign w:val="subscript"/>
          <w:lang w:val="hu-HU"/>
        </w:rPr>
        <w:t>∞)</w:t>
      </w:r>
      <w:r>
        <w:rPr>
          <w:lang w:val="hu-HU" w:eastAsia="en-GB"/>
        </w:rPr>
        <w:t>-</w:t>
      </w:r>
      <w:proofErr w:type="gramEnd"/>
      <w:r>
        <w:rPr>
          <w:lang w:val="hu-HU" w:eastAsia="en-GB"/>
        </w:rPr>
        <w:t xml:space="preserve">t eredményezett, mint a filmtabletta gyógyszerforma. Az abszolút orális </w:t>
      </w:r>
      <w:proofErr w:type="spellStart"/>
      <w:r>
        <w:rPr>
          <w:lang w:val="hu-HU" w:eastAsia="en-GB"/>
        </w:rPr>
        <w:t>biohasznosulást</w:t>
      </w:r>
      <w:proofErr w:type="spellEnd"/>
      <w:r>
        <w:rPr>
          <w:lang w:val="hu-HU" w:eastAsia="en-GB"/>
        </w:rPr>
        <w:t xml:space="preserve"> embereknél nem határozták meg. A vizelettel történő kiválasztódás és a széklettel ürülő </w:t>
      </w:r>
      <w:proofErr w:type="spellStart"/>
      <w:r>
        <w:rPr>
          <w:lang w:val="hu-HU" w:eastAsia="en-GB"/>
        </w:rPr>
        <w:t>metabolitok</w:t>
      </w:r>
      <w:proofErr w:type="spellEnd"/>
      <w:r>
        <w:rPr>
          <w:lang w:val="hu-HU" w:eastAsia="en-GB"/>
        </w:rPr>
        <w:t xml:space="preserve"> alapján a gyógyszerrel kapcsolatos anyagok becsült orális abszorpciója 75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oldat egyszeri alkalmazása után legalább 52% volt.</w:t>
      </w:r>
    </w:p>
    <w:p w14:paraId="3DDB93DC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2BC4370A" w14:textId="77777777" w:rsidR="00342CEA" w:rsidRDefault="00837BAB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14:paraId="2180457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nagymértékben kötődik a humán plazmafehérjékhez (&gt;99,9%), elsősorban az albuminhoz.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 BCRP-</w:t>
      </w:r>
      <w:proofErr w:type="spellStart"/>
      <w:r>
        <w:rPr>
          <w:lang w:val="hu-HU" w:eastAsia="en-GB"/>
        </w:rPr>
        <w:t>nek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szubsztrátja</w:t>
      </w:r>
      <w:proofErr w:type="spellEnd"/>
      <w:r>
        <w:rPr>
          <w:lang w:val="hu-HU" w:eastAsia="en-GB"/>
        </w:rPr>
        <w:t xml:space="preserve">, de nem </w:t>
      </w:r>
      <w:proofErr w:type="spellStart"/>
      <w:r>
        <w:rPr>
          <w:lang w:val="hu-HU" w:eastAsia="en-GB"/>
        </w:rPr>
        <w:t>szubsztrátja</w:t>
      </w:r>
      <w:proofErr w:type="spellEnd"/>
      <w:r>
        <w:rPr>
          <w:lang w:val="hu-HU" w:eastAsia="en-GB"/>
        </w:rPr>
        <w:t xml:space="preserve"> a P-</w:t>
      </w:r>
      <w:proofErr w:type="spellStart"/>
      <w:r>
        <w:rPr>
          <w:lang w:val="hu-HU" w:eastAsia="en-GB"/>
        </w:rPr>
        <w:t>glikoproteinnek</w:t>
      </w:r>
      <w:proofErr w:type="spellEnd"/>
      <w:r>
        <w:rPr>
          <w:lang w:val="hu-HU" w:eastAsia="en-GB"/>
        </w:rPr>
        <w:t xml:space="preserve"> vagy az OATP1B1-nek.</w:t>
      </w:r>
    </w:p>
    <w:p w14:paraId="50F6917E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1E387ABF" w14:textId="77777777" w:rsidR="00342CEA" w:rsidRDefault="00837BAB">
      <w:pPr>
        <w:spacing w:line="240" w:lineRule="auto"/>
        <w:ind w:right="-2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Biotranszformáció</w:t>
      </w:r>
      <w:proofErr w:type="spellEnd"/>
    </w:p>
    <w:p w14:paraId="77C9C16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elsősorban hasadással, oxidációval, illetve </w:t>
      </w:r>
      <w:proofErr w:type="spellStart"/>
      <w:r>
        <w:rPr>
          <w:lang w:val="hu-HU" w:eastAsia="en-GB"/>
        </w:rPr>
        <w:t>glükuronsavval</w:t>
      </w:r>
      <w:proofErr w:type="spellEnd"/>
      <w:r>
        <w:rPr>
          <w:lang w:val="hu-HU" w:eastAsia="en-GB"/>
        </w:rPr>
        <w:t xml:space="preserve">, </w:t>
      </w:r>
      <w:proofErr w:type="spellStart"/>
      <w:r>
        <w:rPr>
          <w:lang w:val="hu-HU" w:eastAsia="en-GB"/>
        </w:rPr>
        <w:t>glutationnal</w:t>
      </w:r>
      <w:proofErr w:type="spellEnd"/>
      <w:r>
        <w:rPr>
          <w:lang w:val="hu-HU" w:eastAsia="en-GB"/>
        </w:rPr>
        <w:t xml:space="preserve">, vagy ciszteinnel történő konjugációval </w:t>
      </w:r>
      <w:proofErr w:type="spellStart"/>
      <w:r>
        <w:rPr>
          <w:lang w:val="hu-HU" w:eastAsia="en-GB"/>
        </w:rPr>
        <w:t>metabolizálódik</w:t>
      </w:r>
      <w:proofErr w:type="spellEnd"/>
      <w:r>
        <w:rPr>
          <w:lang w:val="hu-HU" w:eastAsia="en-GB"/>
        </w:rPr>
        <w:t>. Egy humán radioizotópos vizsgálatban a plazma radiokarbon AUC</w:t>
      </w:r>
      <w:r>
        <w:rPr>
          <w:vertAlign w:val="subscript"/>
          <w:lang w:val="hu-HU"/>
        </w:rPr>
        <w:t>0-∞</w:t>
      </w:r>
      <w:r>
        <w:rPr>
          <w:lang w:val="hu-HU" w:eastAsia="en-GB"/>
        </w:rPr>
        <w:t xml:space="preserve">-érték közel 64%-át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adta. </w:t>
      </w:r>
      <w:proofErr w:type="spellStart"/>
      <w:r>
        <w:rPr>
          <w:lang w:val="hu-HU" w:eastAsia="en-GB"/>
        </w:rPr>
        <w:t>Glükuronidációból</w:t>
      </w:r>
      <w:proofErr w:type="spellEnd"/>
      <w:r>
        <w:rPr>
          <w:lang w:val="hu-HU" w:eastAsia="en-GB"/>
        </w:rPr>
        <w:t xml:space="preserve"> és oxidációból származó kisebb </w:t>
      </w:r>
      <w:proofErr w:type="spellStart"/>
      <w:r>
        <w:rPr>
          <w:lang w:val="hu-HU" w:eastAsia="en-GB"/>
        </w:rPr>
        <w:t>metabolitokat</w:t>
      </w:r>
      <w:proofErr w:type="spellEnd"/>
      <w:r>
        <w:rPr>
          <w:lang w:val="hu-HU" w:eastAsia="en-GB"/>
        </w:rPr>
        <w:t xml:space="preserve"> is kimutattak.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vizsgálatok arra utalnak, hogy a CYP1A2 és a CYP2C8 felelős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oxidatív metabolizmusáért. Az UDP-</w:t>
      </w:r>
      <w:proofErr w:type="spellStart"/>
      <w:r>
        <w:rPr>
          <w:lang w:val="hu-HU" w:eastAsia="en-GB"/>
        </w:rPr>
        <w:t>glükoronozil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transzferázok</w:t>
      </w:r>
      <w:proofErr w:type="spellEnd"/>
      <w:r>
        <w:rPr>
          <w:lang w:val="hu-HU" w:eastAsia="en-GB"/>
        </w:rPr>
        <w:t xml:space="preserve">, az UGT1A1 és UGT1A3 felelősek a </w:t>
      </w:r>
      <w:proofErr w:type="spellStart"/>
      <w:r>
        <w:rPr>
          <w:lang w:val="hu-HU" w:eastAsia="en-GB"/>
        </w:rPr>
        <w:t>glükuronidációért</w:t>
      </w:r>
      <w:proofErr w:type="spellEnd"/>
      <w:r>
        <w:rPr>
          <w:lang w:val="hu-HU" w:eastAsia="en-GB"/>
        </w:rPr>
        <w:t>, és a gyomor</w:t>
      </w:r>
      <w:r>
        <w:rPr>
          <w:lang w:val="hu-HU" w:eastAsia="en-GB"/>
        </w:rPr>
        <w:noBreakHyphen/>
        <w:t>bélrendszer alsó traktusában található baktériumok felelősek a hasadási útvonalért.</w:t>
      </w:r>
    </w:p>
    <w:p w14:paraId="120DB2B0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328CBFD0" w14:textId="77777777" w:rsidR="00342CEA" w:rsidRDefault="00837BAB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14:paraId="5CA7590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 felszívódott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nagymértékben </w:t>
      </w:r>
      <w:proofErr w:type="spellStart"/>
      <w:r>
        <w:rPr>
          <w:lang w:val="hu-HU" w:eastAsia="en-GB"/>
        </w:rPr>
        <w:t>metabolizálódik</w:t>
      </w:r>
      <w:proofErr w:type="spellEnd"/>
      <w:r>
        <w:rPr>
          <w:lang w:val="hu-HU" w:eastAsia="en-GB"/>
        </w:rPr>
        <w:t>. Elsősorban a széklettel ürül (59%), az adag 31%</w:t>
      </w:r>
      <w:r>
        <w:rPr>
          <w:lang w:val="hu-HU" w:eastAsia="en-GB"/>
        </w:rPr>
        <w:noBreakHyphen/>
        <w:t xml:space="preserve">a jelenik meg a vizeletben </w:t>
      </w:r>
      <w:proofErr w:type="spellStart"/>
      <w:r>
        <w:rPr>
          <w:lang w:val="hu-HU" w:eastAsia="en-GB"/>
        </w:rPr>
        <w:t>metabolitok</w:t>
      </w:r>
      <w:proofErr w:type="spellEnd"/>
      <w:r>
        <w:rPr>
          <w:lang w:val="hu-HU" w:eastAsia="en-GB"/>
        </w:rPr>
        <w:t xml:space="preserve"> formájában. A változatlan anyavegyület (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>) nem mutatható ki a vizeletben. Az adag közel 20%</w:t>
      </w:r>
      <w:r>
        <w:rPr>
          <w:lang w:val="hu-HU" w:eastAsia="en-GB"/>
        </w:rPr>
        <w:noBreakHyphen/>
      </w:r>
      <w:proofErr w:type="gramStart"/>
      <w:r>
        <w:rPr>
          <w:lang w:val="hu-HU" w:eastAsia="en-GB"/>
        </w:rPr>
        <w:t>a</w:t>
      </w:r>
      <w:proofErr w:type="gramEnd"/>
      <w:r>
        <w:rPr>
          <w:lang w:val="hu-HU" w:eastAsia="en-GB"/>
        </w:rPr>
        <w:t xml:space="preserve"> ürül a széklettel változatlan formában.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plazma eliminációs felezési ideje megközelítőleg 21–32 óra.</w:t>
      </w:r>
    </w:p>
    <w:p w14:paraId="1B0FC39B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46CFC52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proofErr w:type="spellStart"/>
      <w:r>
        <w:rPr>
          <w:u w:val="single"/>
          <w:lang w:val="hu-HU" w:eastAsia="en-GB"/>
        </w:rPr>
        <w:t>Farmakokinetikai</w:t>
      </w:r>
      <w:proofErr w:type="spellEnd"/>
      <w:r>
        <w:rPr>
          <w:u w:val="single"/>
          <w:lang w:val="hu-HU" w:eastAsia="en-GB"/>
        </w:rPr>
        <w:t xml:space="preserve"> kölcsönhatások</w:t>
      </w:r>
    </w:p>
    <w:p w14:paraId="2BCB840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Egy humán vizsgálat szerint, melyet radioizotóppal jelzett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végeztek, a </w:t>
      </w:r>
      <w:proofErr w:type="spellStart"/>
      <w:r>
        <w:rPr>
          <w:lang w:val="hu-HU" w:eastAsia="en-GB"/>
        </w:rPr>
        <w:t>glükuronidáció</w:t>
      </w:r>
      <w:proofErr w:type="spellEnd"/>
      <w:r>
        <w:rPr>
          <w:lang w:val="hu-HU" w:eastAsia="en-GB"/>
        </w:rPr>
        <w:t xml:space="preserve"> csekély szerepet játszik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metabolizmusában. Emberi </w:t>
      </w:r>
      <w:proofErr w:type="spellStart"/>
      <w:r>
        <w:rPr>
          <w:lang w:val="hu-HU" w:eastAsia="en-GB"/>
        </w:rPr>
        <w:t>májmikroszómákkal</w:t>
      </w:r>
      <w:proofErr w:type="spellEnd"/>
      <w:r>
        <w:rPr>
          <w:lang w:val="hu-HU" w:eastAsia="en-GB"/>
        </w:rPr>
        <w:t xml:space="preserve"> végzett vizsgálatok az UGT1A1 és UGT1A3 enzimeket találták felelősnek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glükuronidációjáért</w:t>
      </w:r>
      <w:proofErr w:type="spellEnd"/>
      <w:r>
        <w:rPr>
          <w:lang w:val="hu-HU" w:eastAsia="en-GB"/>
        </w:rPr>
        <w:t xml:space="preserve">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számos UGT enzim gátlószere volt </w:t>
      </w:r>
      <w:r>
        <w:rPr>
          <w:i/>
          <w:lang w:val="hu-HU" w:eastAsia="en-GB"/>
        </w:rPr>
        <w:t>in vitro</w:t>
      </w:r>
      <w:r>
        <w:rPr>
          <w:lang w:val="hu-HU" w:eastAsia="en-GB"/>
        </w:rPr>
        <w:t xml:space="preserve">. </w:t>
      </w:r>
      <w:proofErr w:type="spellStart"/>
      <w:r>
        <w:rPr>
          <w:lang w:val="hu-HU" w:eastAsia="en-GB"/>
        </w:rPr>
        <w:t>Glükuronidációval</w:t>
      </w:r>
      <w:proofErr w:type="spellEnd"/>
      <w:r>
        <w:rPr>
          <w:lang w:val="hu-HU" w:eastAsia="en-GB"/>
        </w:rPr>
        <w:t xml:space="preserve"> járó, klinikailag jelentős interakciók kialakulása nem várható, mivel az egyes UGT enzimek csekély szerepet játszanak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glükuronidációjában</w:t>
      </w:r>
      <w:proofErr w:type="spellEnd"/>
      <w:r>
        <w:rPr>
          <w:lang w:val="hu-HU" w:eastAsia="en-GB"/>
        </w:rPr>
        <w:t>.</w:t>
      </w:r>
    </w:p>
    <w:p w14:paraId="39958525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3821AC8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>-dózis közel 21%</w:t>
      </w:r>
      <w:r>
        <w:rPr>
          <w:lang w:val="hu-HU" w:eastAsia="en-GB"/>
        </w:rPr>
        <w:noBreakHyphen/>
        <w:t xml:space="preserve">a mehet át oxidatív metabolizmuson. Emberi </w:t>
      </w:r>
      <w:proofErr w:type="spellStart"/>
      <w:r>
        <w:rPr>
          <w:lang w:val="hu-HU" w:eastAsia="en-GB"/>
        </w:rPr>
        <w:t>májmikroszómákkal</w:t>
      </w:r>
      <w:proofErr w:type="spellEnd"/>
      <w:r>
        <w:rPr>
          <w:lang w:val="hu-HU" w:eastAsia="en-GB"/>
        </w:rPr>
        <w:t xml:space="preserve"> végzett vizsgálatok a CYP1A2 és CYP2C8 </w:t>
      </w:r>
      <w:proofErr w:type="spellStart"/>
      <w:r>
        <w:rPr>
          <w:lang w:val="hu-HU" w:eastAsia="en-GB"/>
        </w:rPr>
        <w:t>izoenzimeket</w:t>
      </w:r>
      <w:proofErr w:type="spellEnd"/>
      <w:r>
        <w:rPr>
          <w:lang w:val="hu-HU" w:eastAsia="en-GB"/>
        </w:rPr>
        <w:t xml:space="preserve"> találták felelősnek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oxidációjáért.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és </w:t>
      </w:r>
      <w:r>
        <w:rPr>
          <w:i/>
          <w:lang w:val="hu-HU" w:eastAsia="en-GB"/>
        </w:rPr>
        <w:t xml:space="preserve">in vivo </w:t>
      </w:r>
      <w:r>
        <w:rPr>
          <w:lang w:val="hu-HU" w:eastAsia="en-GB"/>
        </w:rPr>
        <w:t xml:space="preserve">adatok szerint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gátolja és nem is indukálja a CYP enzimeket (lásd 4.5 pont).</w:t>
      </w:r>
    </w:p>
    <w:p w14:paraId="7EE50AA3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33D60D9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vizsgálatokban kimutatták,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az OATP1B1 </w:t>
      </w:r>
      <w:proofErr w:type="spellStart"/>
      <w:r>
        <w:rPr>
          <w:lang w:val="hu-HU" w:eastAsia="en-GB"/>
        </w:rPr>
        <w:t>transzporter</w:t>
      </w:r>
      <w:proofErr w:type="spellEnd"/>
      <w:r>
        <w:rPr>
          <w:lang w:val="hu-HU" w:eastAsia="en-GB"/>
        </w:rPr>
        <w:t xml:space="preserve"> és a BCRP </w:t>
      </w:r>
      <w:proofErr w:type="spellStart"/>
      <w:r>
        <w:rPr>
          <w:lang w:val="hu-HU" w:eastAsia="en-GB"/>
        </w:rPr>
        <w:t>transzporter</w:t>
      </w:r>
      <w:proofErr w:type="spellEnd"/>
      <w:r>
        <w:rPr>
          <w:lang w:val="hu-HU" w:eastAsia="en-GB"/>
        </w:rPr>
        <w:t xml:space="preserve"> gátlószere, továbbá egy klinikai gyógyszerkölcsönhatás vizsgálatban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növelte az OATP1B1 és BRCP-</w:t>
      </w:r>
      <w:proofErr w:type="spellStart"/>
      <w:r>
        <w:rPr>
          <w:lang w:val="hu-HU" w:eastAsia="en-GB"/>
        </w:rPr>
        <w:t>szubsztrát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rozuvasztatin</w:t>
      </w:r>
      <w:proofErr w:type="spellEnd"/>
      <w:r>
        <w:rPr>
          <w:lang w:val="hu-HU" w:eastAsia="en-GB"/>
        </w:rPr>
        <w:t xml:space="preserve"> expozíciót (lásd 4.5 pont).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végzett klinikai vizsgálatokban a </w:t>
      </w:r>
      <w:proofErr w:type="spellStart"/>
      <w:r>
        <w:rPr>
          <w:lang w:val="hu-HU" w:eastAsia="en-GB"/>
        </w:rPr>
        <w:t>sztatinok</w:t>
      </w:r>
      <w:proofErr w:type="spellEnd"/>
      <w:r>
        <w:rPr>
          <w:lang w:val="hu-HU" w:eastAsia="en-GB"/>
        </w:rPr>
        <w:t xml:space="preserve"> dózisának 50%</w:t>
      </w:r>
      <w:r>
        <w:rPr>
          <w:lang w:val="hu-HU" w:eastAsia="en-GB"/>
        </w:rPr>
        <w:noBreakHyphen/>
        <w:t>os csökkentését javasolták.</w:t>
      </w:r>
    </w:p>
    <w:p w14:paraId="35D550B9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53869961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kelátot</w:t>
      </w:r>
      <w:proofErr w:type="spellEnd"/>
      <w:r>
        <w:rPr>
          <w:lang w:val="hu-HU" w:eastAsia="en-GB"/>
        </w:rPr>
        <w:t xml:space="preserve"> képez a </w:t>
      </w:r>
      <w:proofErr w:type="spellStart"/>
      <w:r>
        <w:rPr>
          <w:lang w:val="hu-HU" w:eastAsia="en-GB"/>
        </w:rPr>
        <w:t>polivalens</w:t>
      </w:r>
      <w:proofErr w:type="spellEnd"/>
      <w:r>
        <w:rPr>
          <w:lang w:val="hu-HU" w:eastAsia="en-GB"/>
        </w:rPr>
        <w:t xml:space="preserve"> kationokkal, így a vassal, a kalciummal, a magnéziummal, az alumíniummal, a szelénnel és a cinkkel (lásd 4.2 és 4.5 pont).</w:t>
      </w:r>
    </w:p>
    <w:p w14:paraId="6DB705B6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2163116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vizsgálatokban kimutatták,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</w:t>
      </w:r>
      <w:proofErr w:type="spellStart"/>
      <w:r>
        <w:rPr>
          <w:lang w:val="hu-HU" w:eastAsia="en-GB"/>
        </w:rPr>
        <w:t>szubsztrátja</w:t>
      </w:r>
      <w:proofErr w:type="spellEnd"/>
      <w:r>
        <w:rPr>
          <w:lang w:val="hu-HU" w:eastAsia="en-GB"/>
        </w:rPr>
        <w:t xml:space="preserve"> az organikus anion-</w:t>
      </w:r>
      <w:proofErr w:type="spellStart"/>
      <w:r>
        <w:rPr>
          <w:lang w:val="hu-HU" w:eastAsia="en-GB"/>
        </w:rPr>
        <w:t>transzporter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polipeptidnek</w:t>
      </w:r>
      <w:proofErr w:type="spellEnd"/>
      <w:r>
        <w:rPr>
          <w:lang w:val="hu-HU" w:eastAsia="en-GB"/>
        </w:rPr>
        <w:t>, az OATP1B1</w:t>
      </w:r>
      <w:r>
        <w:rPr>
          <w:lang w:val="hu-HU" w:eastAsia="en-GB"/>
        </w:rPr>
        <w:noBreakHyphen/>
        <w:t>nek, de inhibitora annak (IC</w:t>
      </w:r>
      <w:r>
        <w:rPr>
          <w:vertAlign w:val="subscript"/>
          <w:lang w:val="hu-HU" w:eastAsia="en-GB"/>
        </w:rPr>
        <w:t>50</w:t>
      </w:r>
      <w:r>
        <w:rPr>
          <w:lang w:val="hu-HU" w:eastAsia="en-GB"/>
        </w:rPr>
        <w:noBreakHyphen/>
        <w:t>érték: 2,7 </w:t>
      </w:r>
      <w:proofErr w:type="spellStart"/>
      <w:r>
        <w:rPr>
          <w:lang w:val="hu-HU" w:eastAsia="en-GB"/>
        </w:rPr>
        <w:t>mikromól</w:t>
      </w:r>
      <w:proofErr w:type="spellEnd"/>
      <w:r>
        <w:rPr>
          <w:lang w:val="hu-HU" w:eastAsia="en-GB"/>
        </w:rPr>
        <w:t xml:space="preserve"> [1,2 </w:t>
      </w:r>
      <w:proofErr w:type="spellStart"/>
      <w:r>
        <w:rPr>
          <w:lang w:val="hu-HU" w:eastAsia="en-GB"/>
        </w:rPr>
        <w:t>mikrogramm</w:t>
      </w:r>
      <w:proofErr w:type="spellEnd"/>
      <w:r>
        <w:rPr>
          <w:lang w:val="hu-HU" w:eastAsia="en-GB"/>
        </w:rPr>
        <w:t xml:space="preserve">/ml]).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vizsgálatokban azt is kimutatták,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az emlőrák rezisztencia fehérje (BCRP) </w:t>
      </w:r>
      <w:proofErr w:type="spellStart"/>
      <w:r>
        <w:rPr>
          <w:lang w:val="hu-HU" w:eastAsia="en-GB"/>
        </w:rPr>
        <w:t>szubsztrátja</w:t>
      </w:r>
      <w:proofErr w:type="spellEnd"/>
      <w:r>
        <w:rPr>
          <w:lang w:val="hu-HU" w:eastAsia="en-GB"/>
        </w:rPr>
        <w:t xml:space="preserve"> és inhibitora (IC</w:t>
      </w:r>
      <w:r>
        <w:rPr>
          <w:vertAlign w:val="subscript"/>
          <w:lang w:val="hu-HU" w:eastAsia="en-GB"/>
        </w:rPr>
        <w:t>50</w:t>
      </w:r>
      <w:r>
        <w:rPr>
          <w:lang w:val="hu-HU" w:eastAsia="en-GB"/>
        </w:rPr>
        <w:noBreakHyphen/>
        <w:t>érték: 2,7 </w:t>
      </w:r>
      <w:proofErr w:type="spellStart"/>
      <w:r>
        <w:rPr>
          <w:lang w:val="hu-HU" w:eastAsia="en-GB"/>
        </w:rPr>
        <w:t>mikromól</w:t>
      </w:r>
      <w:proofErr w:type="spellEnd"/>
      <w:r>
        <w:rPr>
          <w:lang w:val="hu-HU" w:eastAsia="en-GB"/>
        </w:rPr>
        <w:t xml:space="preserve"> [1,2 </w:t>
      </w:r>
      <w:proofErr w:type="spellStart"/>
      <w:r>
        <w:rPr>
          <w:lang w:val="hu-HU" w:eastAsia="en-GB"/>
        </w:rPr>
        <w:t>mikrogramm</w:t>
      </w:r>
      <w:proofErr w:type="spellEnd"/>
      <w:r>
        <w:rPr>
          <w:lang w:val="hu-HU" w:eastAsia="en-GB"/>
        </w:rPr>
        <w:t>/ml])</w:t>
      </w:r>
      <w:r>
        <w:rPr>
          <w:i/>
          <w:lang w:val="hu-HU" w:eastAsia="en-GB"/>
        </w:rPr>
        <w:t>.</w:t>
      </w:r>
    </w:p>
    <w:p w14:paraId="709F60AD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2D4CB8E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Különleges betegcsoportok</w:t>
      </w:r>
    </w:p>
    <w:p w14:paraId="735E0055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i/>
          <w:lang w:val="hu-HU" w:eastAsia="en-GB"/>
        </w:rPr>
      </w:pPr>
    </w:p>
    <w:p w14:paraId="783FA03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Vesekárosodás</w:t>
      </w:r>
    </w:p>
    <w:p w14:paraId="3BF2F23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farmakokinetikáját</w:t>
      </w:r>
      <w:proofErr w:type="spellEnd"/>
      <w:r>
        <w:rPr>
          <w:lang w:val="hu-HU" w:eastAsia="en-GB"/>
        </w:rPr>
        <w:t xml:space="preserve"> károsodott vesefunkciójú felnőtt betegeknél vizsgálták. Egyszeri 50 mg</w:t>
      </w:r>
      <w:r>
        <w:rPr>
          <w:lang w:val="hu-HU" w:eastAsia="en-GB"/>
        </w:rPr>
        <w:noBreakHyphen/>
        <w:t xml:space="preserve">os dózis adását követően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</w:t>
      </w:r>
      <w:r>
        <w:rPr>
          <w:vertAlign w:val="subscript"/>
          <w:lang w:val="hu-HU"/>
        </w:rPr>
        <w:t>0-∞</w:t>
      </w:r>
      <w:r>
        <w:rPr>
          <w:lang w:val="hu-HU" w:eastAsia="en-GB"/>
        </w:rPr>
        <w:noBreakHyphen/>
        <w:t>értéke közepes fokú vesekárosodásban szenvedő betegeknél 32%-36%-kal, súlyos vesekárosodásban szenvedő betegeknél 60%</w:t>
      </w:r>
      <w:r>
        <w:rPr>
          <w:lang w:val="hu-HU" w:eastAsia="en-GB"/>
        </w:rPr>
        <w:noBreakHyphen/>
        <w:t>kal volt alacsonyabb, mint az egészséges önkénteseknél. Nagyfokú változékonyság és jelentős átfedés volt az expozíciók terén a vesekárosodásban szenvedő betegek és az egészséges önkéntesek között.</w:t>
      </w:r>
      <w:r>
        <w:rPr>
          <w:rFonts w:eastAsia="DengXian"/>
          <w:sz w:val="24"/>
          <w:szCs w:val="24"/>
          <w:lang w:val="hu-HU" w:eastAsia="el-GR"/>
        </w:rPr>
        <w:t xml:space="preserve"> </w:t>
      </w:r>
      <w:r>
        <w:rPr>
          <w:lang w:val="hu-HU" w:eastAsia="en-GB"/>
        </w:rPr>
        <w:t xml:space="preserve">Plazmafehérjékhez nem kötött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(aktív) koncentrációkat ennél a fehérjékhez </w:t>
      </w:r>
      <w:r>
        <w:rPr>
          <w:lang w:val="hu-HU" w:eastAsia="en-GB"/>
        </w:rPr>
        <w:lastRenderedPageBreak/>
        <w:t xml:space="preserve">nagymértékben kötődő gyógyszernél nem mértek. Károsodott vesefunkciójú betegeknél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körültekintően alkalmazandó, a beteg szoros monitorozása mellett, pl. a szérum </w:t>
      </w:r>
      <w:proofErr w:type="spellStart"/>
      <w:r>
        <w:rPr>
          <w:lang w:val="hu-HU" w:eastAsia="en-GB"/>
        </w:rPr>
        <w:t>kreatininszintjének</w:t>
      </w:r>
      <w:proofErr w:type="spellEnd"/>
      <w:r>
        <w:rPr>
          <w:lang w:val="hu-HU" w:eastAsia="en-GB"/>
        </w:rPr>
        <w:t xml:space="preserve"> mérésével és/vagy vizeletvizsgálattal (lásd 4.2 pont).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hatásosságát és biztonságosságát nem igazolták közepes fokú vagy súlyos fokú vesekárosodásban és májkárosodásban egyaránt szenvedő beteg esetében.</w:t>
      </w:r>
    </w:p>
    <w:p w14:paraId="72440345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363E6A9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Májkárosodás</w:t>
      </w:r>
    </w:p>
    <w:p w14:paraId="138C453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farmakokinetikáját</w:t>
      </w:r>
      <w:proofErr w:type="spellEnd"/>
      <w:r>
        <w:rPr>
          <w:lang w:val="hu-HU" w:eastAsia="en-GB"/>
        </w:rPr>
        <w:t xml:space="preserve"> májkárosodásban szenvedő felnőtt betegeknél vizsgálták,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alkalmazása után. Egyszeri 50 mg</w:t>
      </w:r>
      <w:r>
        <w:rPr>
          <w:lang w:val="hu-HU" w:eastAsia="en-GB"/>
        </w:rPr>
        <w:noBreakHyphen/>
        <w:t xml:space="preserve">os dózis adását követően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AUC</w:t>
      </w:r>
      <w:r>
        <w:rPr>
          <w:vertAlign w:val="subscript"/>
          <w:lang w:val="hu-HU"/>
        </w:rPr>
        <w:t>0-∞</w:t>
      </w:r>
      <w:r>
        <w:rPr>
          <w:lang w:val="hu-HU" w:eastAsia="en-GB"/>
        </w:rPr>
        <w:t>-értéke enyhe májkárosodásban szenvedő betegeknél 41%-kal, közepesen súlyos vagy súlyos májkárosodásban szenvedő betegeknél 80%</w:t>
      </w:r>
      <w:r>
        <w:rPr>
          <w:lang w:val="hu-HU" w:eastAsia="en-GB"/>
        </w:rPr>
        <w:noBreakHyphen/>
        <w:t>93%</w:t>
      </w:r>
      <w:r>
        <w:rPr>
          <w:lang w:val="hu-HU" w:eastAsia="en-GB"/>
        </w:rPr>
        <w:noBreakHyphen/>
        <w:t xml:space="preserve">kal volt magasabb, mint az egészséges önkénteseknél. Nagyfokú változékonyság és jelentős átfedés volt az expozíciók terén a májkárosodásban szenvedő betegek és az egészséges önkéntesek között. Plazmafehérjékhez nem kötött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(aktív) koncentrációt ennél a fehérjékhez nagymértékben kötődő gyógyszernél nem mértek.</w:t>
      </w:r>
    </w:p>
    <w:p w14:paraId="07488D27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055BC4C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májkárosodásnak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gyakorolt, ismételt adagolást követő hatását egy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 28, egészséges önkéntesnél és 714 májkárosodásban szenvedő betegnél (673 HCV</w:t>
      </w:r>
      <w:r>
        <w:rPr>
          <w:lang w:val="hu-HU" w:eastAsia="en-GB"/>
        </w:rPr>
        <w:noBreakHyphen/>
        <w:t xml:space="preserve">s beteg és </w:t>
      </w:r>
      <w:r>
        <w:rPr>
          <w:lang w:val="hu-HU"/>
        </w:rPr>
        <w:t>41 egyéb</w:t>
      </w:r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etiológiájú</w:t>
      </w:r>
      <w:proofErr w:type="spellEnd"/>
      <w:r>
        <w:rPr>
          <w:lang w:val="hu-HU" w:eastAsia="en-GB"/>
        </w:rPr>
        <w:t xml:space="preserve"> krónikus májbetegségben szenvedő beteg). A 714 beteg közül 642</w:t>
      </w:r>
      <w:r>
        <w:rPr>
          <w:lang w:val="hu-HU" w:eastAsia="en-GB"/>
        </w:rPr>
        <w:noBreakHyphen/>
        <w:t>nél enyhe, 67</w:t>
      </w:r>
      <w:r>
        <w:rPr>
          <w:lang w:val="hu-HU" w:eastAsia="en-GB"/>
        </w:rPr>
        <w:noBreakHyphen/>
        <w:t>nél közepesen súlyos és 2</w:t>
      </w:r>
      <w:r>
        <w:rPr>
          <w:lang w:val="hu-HU" w:eastAsia="en-GB"/>
        </w:rPr>
        <w:noBreakHyphen/>
        <w:t xml:space="preserve">nél súlyos májkárosodás állt fenn. Egészséges önkéntesekkel összehasonlítva, az enyhe májkárosodásban szenvedő betegek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AUC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hozzávetőleg 111%</w:t>
      </w:r>
      <w:r>
        <w:rPr>
          <w:lang w:val="hu-HU" w:eastAsia="en-GB"/>
        </w:rPr>
        <w:noBreakHyphen/>
        <w:t>kal (95%</w:t>
      </w:r>
      <w:r>
        <w:rPr>
          <w:lang w:val="hu-HU" w:eastAsia="en-GB"/>
        </w:rPr>
        <w:noBreakHyphen/>
        <w:t>os CI: 45%</w:t>
      </w:r>
      <w:r>
        <w:rPr>
          <w:lang w:val="hu-HU" w:eastAsia="en-GB"/>
        </w:rPr>
        <w:noBreakHyphen/>
        <w:t xml:space="preserve">283%), a középsúlyos májkárosodásban szenvedő betegek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AUC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hozzávetőleg 183%</w:t>
      </w:r>
      <w:r>
        <w:rPr>
          <w:lang w:val="hu-HU" w:eastAsia="en-GB"/>
        </w:rPr>
        <w:noBreakHyphen/>
        <w:t>kal (95%</w:t>
      </w:r>
      <w:r>
        <w:rPr>
          <w:lang w:val="hu-HU" w:eastAsia="en-GB"/>
        </w:rPr>
        <w:noBreakHyphen/>
        <w:t>os CI: 90%</w:t>
      </w:r>
      <w:r>
        <w:rPr>
          <w:lang w:val="hu-HU" w:eastAsia="en-GB"/>
        </w:rPr>
        <w:noBreakHyphen/>
        <w:t>459%) magasabbak voltak.</w:t>
      </w:r>
    </w:p>
    <w:p w14:paraId="2C997F5B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17B7973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Ezért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adható májkárosodásban szenvedő ITP</w:t>
      </w:r>
      <w:r>
        <w:rPr>
          <w:lang w:val="hu-HU" w:eastAsia="en-GB"/>
        </w:rPr>
        <w:noBreakHyphen/>
        <w:t>s betegeknek (</w:t>
      </w:r>
      <w:proofErr w:type="spellStart"/>
      <w:r>
        <w:rPr>
          <w:lang w:val="hu-HU" w:eastAsia="en-GB"/>
        </w:rPr>
        <w:t>Child</w:t>
      </w:r>
      <w:proofErr w:type="spellEnd"/>
      <w:r>
        <w:rPr>
          <w:lang w:val="hu-HU" w:eastAsia="en-GB"/>
        </w:rPr>
        <w:t>–</w:t>
      </w:r>
      <w:proofErr w:type="spellStart"/>
      <w:r>
        <w:rPr>
          <w:lang w:val="hu-HU" w:eastAsia="en-GB"/>
        </w:rPr>
        <w:t>Pugh</w:t>
      </w:r>
      <w:proofErr w:type="spellEnd"/>
      <w:r>
        <w:rPr>
          <w:lang w:val="hu-HU" w:eastAsia="en-GB"/>
        </w:rPr>
        <w:t xml:space="preserve"> pontszám ≥ 5), kivéve, ha a várható előny nagyobb, mint a </w:t>
      </w:r>
      <w:proofErr w:type="spellStart"/>
      <w:r>
        <w:rPr>
          <w:lang w:val="hu-HU" w:eastAsia="en-GB"/>
        </w:rPr>
        <w:t>vena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portae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thrombosis</w:t>
      </w:r>
      <w:proofErr w:type="spellEnd"/>
      <w:r>
        <w:rPr>
          <w:lang w:val="hu-HU" w:eastAsia="en-GB"/>
        </w:rPr>
        <w:t xml:space="preserve"> kimutatott kockázata (lásd 4.2 és 4.4 pont). A HCV</w:t>
      </w:r>
      <w:r>
        <w:rPr>
          <w:lang w:val="hu-HU" w:eastAsia="en-GB"/>
        </w:rPr>
        <w:noBreakHyphen/>
        <w:t xml:space="preserve">s betegeknél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kezelést naponta egyszer 25 mg adaggal kell kezdeni (lásd 4.2 pont).</w:t>
      </w:r>
    </w:p>
    <w:p w14:paraId="79309B3A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58BFEB24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Rassz</w:t>
      </w:r>
    </w:p>
    <w:p w14:paraId="55ACB3A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>A kelet</w:t>
      </w:r>
      <w:r>
        <w:rPr>
          <w:lang w:val="hu-HU" w:eastAsia="en-GB"/>
        </w:rPr>
        <w:noBreakHyphen/>
        <w:t xml:space="preserve">ázsiai etnikumhoz tartozás hatását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111 egészséges önkéntesnél (31 kelet-ázsiai) és 88 ITP</w:t>
      </w:r>
      <w:r>
        <w:rPr>
          <w:lang w:val="hu-HU" w:eastAsia="en-GB"/>
        </w:rPr>
        <w:noBreakHyphen/>
        <w:t>s betegnél (18 kelet</w:t>
      </w:r>
      <w:r>
        <w:rPr>
          <w:lang w:val="hu-HU" w:eastAsia="en-GB"/>
        </w:rPr>
        <w:noBreakHyphen/>
        <w:t xml:space="preserve">ázsiai)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értékelték. A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becslései alapján a keletázsiai ITP</w:t>
      </w:r>
      <w:r>
        <w:rPr>
          <w:lang w:val="hu-HU" w:eastAsia="en-GB"/>
        </w:rPr>
        <w:noBreakHyphen/>
        <w:t xml:space="preserve">s betegek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>AUC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közel 49%</w:t>
      </w:r>
      <w:r>
        <w:rPr>
          <w:lang w:val="hu-HU" w:eastAsia="en-GB"/>
        </w:rPr>
        <w:noBreakHyphen/>
        <w:t>kal magasabbak voltak, összehasonlítva a nem kelet</w:t>
      </w:r>
      <w:r>
        <w:rPr>
          <w:lang w:val="hu-HU" w:eastAsia="en-GB"/>
        </w:rPr>
        <w:noBreakHyphen/>
        <w:t>ázsiai betegekkel, akik főként kaukázusiak voltak (lásd 4.2 pont).</w:t>
      </w:r>
    </w:p>
    <w:p w14:paraId="5D74AC89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600BFDA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>A kelet</w:t>
      </w:r>
      <w:r>
        <w:rPr>
          <w:lang w:val="hu-HU" w:eastAsia="en-GB"/>
        </w:rPr>
        <w:noBreakHyphen/>
        <w:t>/délkelet</w:t>
      </w:r>
      <w:r>
        <w:rPr>
          <w:lang w:val="hu-HU" w:eastAsia="en-GB"/>
        </w:rPr>
        <w:noBreakHyphen/>
        <w:t xml:space="preserve">ázsiai etnikumhoz tartozás hatását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635 HCV</w:t>
      </w:r>
      <w:r>
        <w:rPr>
          <w:lang w:val="hu-HU" w:eastAsia="en-GB"/>
        </w:rPr>
        <w:noBreakHyphen/>
        <w:t xml:space="preserve">s </w:t>
      </w:r>
      <w:proofErr w:type="spellStart"/>
      <w:r>
        <w:rPr>
          <w:lang w:val="hu-HU" w:eastAsia="en-GB"/>
        </w:rPr>
        <w:t>betenél</w:t>
      </w:r>
      <w:proofErr w:type="spellEnd"/>
      <w:r>
        <w:rPr>
          <w:lang w:val="hu-HU" w:eastAsia="en-GB"/>
        </w:rPr>
        <w:t xml:space="preserve"> (145 kelet</w:t>
      </w:r>
      <w:r>
        <w:rPr>
          <w:lang w:val="hu-HU" w:eastAsia="en-GB"/>
        </w:rPr>
        <w:noBreakHyphen/>
        <w:t>ázsiai és 69 délkelet</w:t>
      </w:r>
      <w:r>
        <w:rPr>
          <w:lang w:val="hu-HU" w:eastAsia="en-GB"/>
        </w:rPr>
        <w:noBreakHyphen/>
        <w:t xml:space="preserve">ázsiai)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értékelték. A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becslései alapján a kelet-/délkelet-ázsiai betegek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lang w:val="hu-HU"/>
        </w:rPr>
        <w:t>AUC</w:t>
      </w:r>
      <w:r>
        <w:rPr>
          <w:vertAlign w:val="subscript"/>
          <w:lang w:val="hu-HU"/>
        </w:rPr>
        <w:t>(0-</w:t>
      </w:r>
      <w:proofErr w:type="gramStart"/>
      <w:r>
        <w:rPr>
          <w:vertAlign w:val="subscript"/>
          <w:lang w:val="hu-HU"/>
        </w:rPr>
        <w:t>τ)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közel 55%</w:t>
      </w:r>
      <w:r>
        <w:rPr>
          <w:lang w:val="hu-HU" w:eastAsia="en-GB"/>
        </w:rPr>
        <w:noBreakHyphen/>
        <w:t>kal magasabbak voltak, összehasonlítva az egyéb rasszba tartozó betegekkel, akik főként kaukázusiak voltak (lásd 4.2 pont).</w:t>
      </w:r>
    </w:p>
    <w:p w14:paraId="470FC3FE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42DEC19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Nem</w:t>
      </w:r>
    </w:p>
    <w:p w14:paraId="76B4866E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nem hatását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111 egészséges önkéntessel (14 nő) és 88 ITP</w:t>
      </w:r>
      <w:r>
        <w:rPr>
          <w:lang w:val="hu-HU" w:eastAsia="en-GB"/>
        </w:rPr>
        <w:noBreakHyphen/>
        <w:t xml:space="preserve">s beteggel (57 nő)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értékelték. A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becslései alapján az ITP</w:t>
      </w:r>
      <w:r>
        <w:rPr>
          <w:lang w:val="hu-HU" w:eastAsia="en-GB"/>
        </w:rPr>
        <w:noBreakHyphen/>
        <w:t xml:space="preserve">s nőbetegek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lang w:val="hu-HU"/>
        </w:rPr>
        <w:t>AUC</w:t>
      </w:r>
      <w:r>
        <w:rPr>
          <w:vertAlign w:val="subscript"/>
          <w:lang w:val="hu-HU"/>
        </w:rPr>
        <w:t>(0-</w:t>
      </w:r>
      <w:proofErr w:type="gramStart"/>
      <w:r>
        <w:rPr>
          <w:vertAlign w:val="subscript"/>
          <w:lang w:val="hu-HU"/>
        </w:rPr>
        <w:t>τ)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közel 23%</w:t>
      </w:r>
      <w:r>
        <w:rPr>
          <w:lang w:val="hu-HU" w:eastAsia="en-GB"/>
        </w:rPr>
        <w:noBreakHyphen/>
        <w:t>kal magasabbak voltak, összehasonlítva a férfi betegekkel, ha a testtömeg különbségeket nem vesszük figyelembe.</w:t>
      </w:r>
    </w:p>
    <w:p w14:paraId="069610FE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46168A75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 nem hatását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635 HCV-s beteggel (260 nő)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értékelték. A modell becslések alapján a HCV</w:t>
      </w:r>
      <w:r>
        <w:rPr>
          <w:lang w:val="hu-HU" w:eastAsia="en-GB"/>
        </w:rPr>
        <w:noBreakHyphen/>
        <w:t>s nőbetegek plazma-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>-</w:t>
      </w:r>
      <w:r>
        <w:rPr>
          <w:lang w:val="hu-HU"/>
        </w:rPr>
        <w:t xml:space="preserve"> AUC</w:t>
      </w:r>
      <w:r>
        <w:rPr>
          <w:vertAlign w:val="subscript"/>
          <w:lang w:val="hu-HU"/>
        </w:rPr>
        <w:t>(0-</w:t>
      </w:r>
      <w:proofErr w:type="gramStart"/>
      <w:r>
        <w:rPr>
          <w:vertAlign w:val="subscript"/>
          <w:lang w:val="hu-HU"/>
        </w:rPr>
        <w:t>τ)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közel 41%</w:t>
      </w:r>
      <w:r>
        <w:rPr>
          <w:lang w:val="hu-HU" w:eastAsia="en-GB"/>
        </w:rPr>
        <w:noBreakHyphen/>
        <w:t>kal magasabbak voltak, mint a férfi betegeknél.</w:t>
      </w:r>
    </w:p>
    <w:p w14:paraId="69CA8E75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1AC8042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Életkor</w:t>
      </w:r>
    </w:p>
    <w:p w14:paraId="0655453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életkornak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farmakokinetikájára</w:t>
      </w:r>
      <w:proofErr w:type="spellEnd"/>
      <w:r>
        <w:rPr>
          <w:lang w:val="hu-HU" w:eastAsia="en-GB"/>
        </w:rPr>
        <w:t xml:space="preserve"> gyakorolt hatását populációs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elemzés segítségével értékelték 19–74 éves korúalanyoknál, 28 egészséges önkéntesnél, 673 HCV-s </w:t>
      </w:r>
      <w:r>
        <w:rPr>
          <w:lang w:val="hu-HU" w:eastAsia="en-GB"/>
        </w:rPr>
        <w:lastRenderedPageBreak/>
        <w:t xml:space="preserve">betegnél és 41, egyéb </w:t>
      </w:r>
      <w:proofErr w:type="spellStart"/>
      <w:r>
        <w:rPr>
          <w:lang w:val="hu-HU" w:eastAsia="en-GB"/>
        </w:rPr>
        <w:t>etiológiájú</w:t>
      </w:r>
      <w:proofErr w:type="spellEnd"/>
      <w:r>
        <w:rPr>
          <w:lang w:val="hu-HU" w:eastAsia="en-GB"/>
        </w:rPr>
        <w:t xml:space="preserve"> krónikus májbetegségben szenvedő betegnél. Nem állnak rendelkezésre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alkalmazására vonatkozó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adatok a 75 éves vagy idősebb korúak esetében. A modell becslések alapján az idősebb betegek (≥ 65 éves)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lang w:val="hu-HU"/>
        </w:rPr>
        <w:t>AUC</w:t>
      </w:r>
      <w:r>
        <w:rPr>
          <w:vertAlign w:val="subscript"/>
          <w:lang w:val="hu-HU"/>
        </w:rPr>
        <w:t>(0-</w:t>
      </w:r>
      <w:proofErr w:type="gramStart"/>
      <w:r>
        <w:rPr>
          <w:vertAlign w:val="subscript"/>
          <w:lang w:val="hu-HU"/>
        </w:rPr>
        <w:t>τ)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értékei közel 41%</w:t>
      </w:r>
      <w:r>
        <w:rPr>
          <w:lang w:val="hu-HU" w:eastAsia="en-GB"/>
        </w:rPr>
        <w:noBreakHyphen/>
        <w:t>kal magasabbak voltak, mint a fiatalabb betegeknél (lásd 4.2 pont).</w:t>
      </w:r>
    </w:p>
    <w:p w14:paraId="104CDCB2" w14:textId="77777777" w:rsidR="00342CEA" w:rsidRDefault="00342CEA">
      <w:pPr>
        <w:spacing w:line="240" w:lineRule="auto"/>
        <w:ind w:right="-2"/>
        <w:rPr>
          <w:lang w:val="hu-HU"/>
        </w:rPr>
      </w:pPr>
    </w:p>
    <w:p w14:paraId="6FBB555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i/>
          <w:u w:val="single"/>
          <w:lang w:val="hu-HU" w:eastAsia="en-GB"/>
        </w:rPr>
      </w:pPr>
      <w:r>
        <w:rPr>
          <w:i/>
          <w:u w:val="single"/>
          <w:lang w:val="hu-HU" w:eastAsia="en-GB"/>
        </w:rPr>
        <w:t>Gyermekek és serdülők (1 és betöltött 18. életév között)</w:t>
      </w:r>
    </w:p>
    <w:p w14:paraId="00C662D9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  <w:r>
        <w:rPr>
          <w:lang w:val="hu-HU" w:eastAsia="en-GB"/>
        </w:rPr>
        <w:t xml:space="preserve">A naponta egyszer adott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tulajdonságait 168 ITP</w:t>
      </w:r>
      <w:r>
        <w:rPr>
          <w:lang w:val="hu-HU" w:eastAsia="en-GB"/>
        </w:rPr>
        <w:noBreakHyphen/>
        <w:t>s gyermeknél és serdülőnél értékelték két vizsgálatban, a TRA108062/PETIT-ben és a TRA115450/PETIT</w:t>
      </w:r>
      <w:r>
        <w:rPr>
          <w:lang w:val="hu-HU" w:eastAsia="en-GB"/>
        </w:rPr>
        <w:noBreakHyphen/>
        <w:t>2</w:t>
      </w:r>
      <w:r>
        <w:rPr>
          <w:lang w:val="hu-HU" w:eastAsia="en-GB"/>
        </w:rPr>
        <w:noBreakHyphen/>
        <w:t xml:space="preserve">ben. Szájon át történő alkalmazást követően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látszólagos plazma-</w:t>
      </w:r>
      <w:proofErr w:type="spellStart"/>
      <w:r>
        <w:rPr>
          <w:lang w:val="hu-HU" w:eastAsia="en-GB"/>
        </w:rPr>
        <w:t>clearance</w:t>
      </w:r>
      <w:proofErr w:type="spellEnd"/>
      <w:r>
        <w:rPr>
          <w:lang w:val="hu-HU" w:eastAsia="en-GB"/>
        </w:rPr>
        <w:noBreakHyphen/>
        <w:t xml:space="preserve">e (CL/F) a testtömeg növekedésével együtt növekedett. A rassznak és a nemnek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látszólagos plazma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clearance</w:t>
      </w:r>
      <w:proofErr w:type="spellEnd"/>
      <w:r>
        <w:rPr>
          <w:lang w:val="hu-HU" w:eastAsia="en-GB"/>
        </w:rPr>
        <w:t xml:space="preserve"> számításokra gyakorolt hatása a gyermek és serdülőkorú, valamint a felnőtt betegeknél konzisztens volt. Az ITP</w:t>
      </w:r>
      <w:r>
        <w:rPr>
          <w:lang w:val="hu-HU" w:eastAsia="en-GB"/>
        </w:rPr>
        <w:noBreakHyphen/>
        <w:t>s kelet</w:t>
      </w:r>
      <w:r>
        <w:rPr>
          <w:lang w:val="hu-HU" w:eastAsia="en-GB"/>
        </w:rPr>
        <w:noBreakHyphen/>
        <w:t>/délkelet</w:t>
      </w:r>
      <w:r>
        <w:rPr>
          <w:lang w:val="hu-HU" w:eastAsia="en-GB"/>
        </w:rPr>
        <w:noBreakHyphen/>
        <w:t>ázsiai gyermekeknél és serdülőknél megközelítőleg 43%</w:t>
      </w:r>
      <w:r>
        <w:rPr>
          <w:lang w:val="hu-HU" w:eastAsia="en-GB"/>
        </w:rPr>
        <w:noBreakHyphen/>
        <w:t xml:space="preserve">kal magasabbak voltak a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lang w:val="hu-HU"/>
        </w:rPr>
        <w:t>AUC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értékek, mint a nem ázsiai betegeknél. Az ITP</w:t>
      </w:r>
      <w:r>
        <w:rPr>
          <w:lang w:val="hu-HU" w:eastAsia="en-GB"/>
        </w:rPr>
        <w:noBreakHyphen/>
        <w:t>s lánygyermekeknél és serdülőknél megközelítőleg 25%</w:t>
      </w:r>
      <w:r>
        <w:rPr>
          <w:lang w:val="hu-HU" w:eastAsia="en-GB"/>
        </w:rPr>
        <w:noBreakHyphen/>
        <w:t xml:space="preserve">kal magasabbak voltak a plazma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</w:r>
      <w:r>
        <w:rPr>
          <w:lang w:val="hu-HU"/>
        </w:rPr>
        <w:t>AUC</w:t>
      </w:r>
      <w:r>
        <w:rPr>
          <w:vertAlign w:val="subscript"/>
          <w:lang w:val="hu-HU"/>
        </w:rPr>
        <w:t>(0-</w:t>
      </w:r>
      <w:proofErr w:type="gramStart"/>
      <w:r>
        <w:rPr>
          <w:rFonts w:ascii="Segoe UI Symbol" w:eastAsia="Segoe UI Symbol" w:hAnsi="Segoe UI Symbol" w:cs="Segoe UI Symbol"/>
          <w:vertAlign w:val="subscript"/>
          <w:lang w:val="hu-HU"/>
        </w:rPr>
        <w:t>τ</w:t>
      </w:r>
      <w:r>
        <w:rPr>
          <w:vertAlign w:val="subscript"/>
          <w:lang w:val="hu-HU"/>
        </w:rPr>
        <w:t>)</w:t>
      </w:r>
      <w:r>
        <w:rPr>
          <w:lang w:val="hu-HU" w:eastAsia="en-GB"/>
        </w:rPr>
        <w:noBreakHyphen/>
      </w:r>
      <w:proofErr w:type="gramEnd"/>
      <w:r>
        <w:rPr>
          <w:lang w:val="hu-HU" w:eastAsia="en-GB"/>
        </w:rPr>
        <w:t>értékek, mint a fiú betegeknél.</w:t>
      </w:r>
    </w:p>
    <w:p w14:paraId="55CAC9C4" w14:textId="77777777" w:rsidR="00342CEA" w:rsidRDefault="00342CEA">
      <w:pPr>
        <w:tabs>
          <w:tab w:val="clear" w:pos="567"/>
        </w:tabs>
        <w:autoSpaceDE w:val="0"/>
        <w:autoSpaceDN w:val="0"/>
        <w:spacing w:line="240" w:lineRule="auto"/>
        <w:rPr>
          <w:lang w:val="hu-HU" w:eastAsia="en-GB"/>
        </w:rPr>
      </w:pPr>
    </w:p>
    <w:p w14:paraId="5FAB411D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ITP</w:t>
      </w:r>
      <w:r>
        <w:rPr>
          <w:lang w:val="hu-HU" w:eastAsia="en-GB"/>
        </w:rPr>
        <w:noBreakHyphen/>
        <w:t xml:space="preserve">s gyermekeknél és serdülőknél észlelt </w:t>
      </w:r>
      <w:proofErr w:type="spellStart"/>
      <w:r>
        <w:rPr>
          <w:lang w:val="hu-HU" w:eastAsia="en-GB"/>
        </w:rPr>
        <w:t>farmakokinetikai</w:t>
      </w:r>
      <w:proofErr w:type="spellEnd"/>
      <w:r>
        <w:rPr>
          <w:lang w:val="hu-HU" w:eastAsia="en-GB"/>
        </w:rPr>
        <w:t xml:space="preserve"> paramétereit a 11. táblázat mutatja.</w:t>
      </w:r>
    </w:p>
    <w:p w14:paraId="47EDE3D4" w14:textId="77777777" w:rsidR="00342CEA" w:rsidRDefault="00342CEA">
      <w:pPr>
        <w:tabs>
          <w:tab w:val="clear" w:pos="567"/>
        </w:tabs>
        <w:spacing w:line="240" w:lineRule="auto"/>
        <w:ind w:right="-2"/>
        <w:rPr>
          <w:u w:val="single"/>
          <w:lang w:val="hu-HU"/>
        </w:rPr>
      </w:pPr>
    </w:p>
    <w:p w14:paraId="0C4A243F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ind w:left="1134" w:hanging="1134"/>
        <w:rPr>
          <w:b/>
          <w:bCs/>
          <w:u w:val="single"/>
          <w:lang w:val="hu-HU"/>
        </w:rPr>
      </w:pPr>
      <w:r>
        <w:rPr>
          <w:b/>
          <w:bCs/>
          <w:lang w:val="hu-HU" w:eastAsia="en-GB"/>
        </w:rPr>
        <w:t>11. táblázat</w:t>
      </w:r>
      <w:r>
        <w:rPr>
          <w:b/>
          <w:bCs/>
          <w:lang w:val="hu-HU" w:eastAsia="en-GB"/>
        </w:rPr>
        <w:tab/>
        <w:t xml:space="preserve">A dinamikus egyensúlyi állapotú plazma </w:t>
      </w:r>
      <w:proofErr w:type="spellStart"/>
      <w:r>
        <w:rPr>
          <w:b/>
          <w:bCs/>
          <w:lang w:val="hu-HU" w:eastAsia="en-GB"/>
        </w:rPr>
        <w:t>eltrombopag</w:t>
      </w:r>
      <w:proofErr w:type="spellEnd"/>
      <w:r>
        <w:rPr>
          <w:b/>
          <w:bCs/>
          <w:lang w:val="hu-HU" w:eastAsia="en-GB"/>
        </w:rPr>
        <w:t xml:space="preserve"> </w:t>
      </w:r>
      <w:proofErr w:type="spellStart"/>
      <w:r>
        <w:rPr>
          <w:b/>
          <w:bCs/>
          <w:lang w:val="hu-HU" w:eastAsia="en-GB"/>
        </w:rPr>
        <w:t>farmakokinetikai</w:t>
      </w:r>
      <w:proofErr w:type="spellEnd"/>
      <w:r>
        <w:rPr>
          <w:b/>
          <w:bCs/>
          <w:lang w:val="hu-HU" w:eastAsia="en-GB"/>
        </w:rPr>
        <w:t xml:space="preserve"> paramétereinek mértani átlaga (95%</w:t>
      </w:r>
      <w:r>
        <w:rPr>
          <w:b/>
          <w:bCs/>
          <w:lang w:val="hu-HU" w:eastAsia="en-GB"/>
        </w:rPr>
        <w:noBreakHyphen/>
        <w:t>os CI) ITP</w:t>
      </w:r>
      <w:r>
        <w:rPr>
          <w:b/>
          <w:bCs/>
          <w:lang w:val="hu-HU" w:eastAsia="en-GB"/>
        </w:rPr>
        <w:noBreakHyphen/>
        <w:t xml:space="preserve">s gyermekeknél és </w:t>
      </w:r>
      <w:r>
        <w:rPr>
          <w:rFonts w:eastAsia="TimesNewRomanPS-BoldMT"/>
          <w:b/>
          <w:bCs/>
          <w:lang w:val="hu-HU" w:eastAsia="en-GB"/>
        </w:rPr>
        <w:t xml:space="preserve">serdülőknél </w:t>
      </w:r>
      <w:r>
        <w:rPr>
          <w:b/>
          <w:bCs/>
          <w:lang w:val="hu-HU" w:eastAsia="en-GB"/>
        </w:rPr>
        <w:t>(napi egyszeri 50 mg</w:t>
      </w:r>
      <w:r>
        <w:rPr>
          <w:b/>
          <w:bCs/>
          <w:lang w:val="hu-HU" w:eastAsia="en-GB"/>
        </w:rPr>
        <w:noBreakHyphen/>
        <w:t>os adagolási rend)</w:t>
      </w:r>
    </w:p>
    <w:tbl>
      <w:tblPr>
        <w:tblW w:w="8652" w:type="dxa"/>
        <w:tblInd w:w="113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3" w:type="dxa"/>
          <w:right w:w="115" w:type="dxa"/>
        </w:tblCellMar>
        <w:tblLook w:val="04A0" w:firstRow="1" w:lastRow="0" w:firstColumn="1" w:lastColumn="0" w:noHBand="0" w:noVBand="1"/>
      </w:tblPr>
      <w:tblGrid>
        <w:gridCol w:w="3132"/>
        <w:gridCol w:w="2760"/>
        <w:gridCol w:w="2760"/>
      </w:tblGrid>
      <w:tr w:rsidR="00342CEA" w14:paraId="3F28384A" w14:textId="77777777">
        <w:trPr>
          <w:trHeight w:val="532"/>
        </w:trPr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2B67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CFD4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proofErr w:type="spellStart"/>
            <w:r>
              <w:rPr>
                <w:b/>
                <w:bCs/>
                <w:lang w:val="hu-HU" w:eastAsia="en-US"/>
              </w:rPr>
              <w:t>C</w:t>
            </w:r>
            <w:r>
              <w:rPr>
                <w:b/>
                <w:bCs/>
                <w:vertAlign w:val="subscript"/>
                <w:lang w:val="hu-HU" w:eastAsia="en-US"/>
              </w:rPr>
              <w:t>max</w:t>
            </w:r>
            <w:proofErr w:type="spellEnd"/>
          </w:p>
          <w:p w14:paraId="356FE7CF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(</w:t>
            </w:r>
            <w:proofErr w:type="spellStart"/>
            <w:r>
              <w:rPr>
                <w:b/>
                <w:bCs/>
                <w:lang w:val="hu-HU" w:eastAsia="en-US"/>
              </w:rPr>
              <w:t>mikrogramm</w:t>
            </w:r>
            <w:proofErr w:type="spellEnd"/>
            <w:r>
              <w:rPr>
                <w:b/>
                <w:bCs/>
                <w:lang w:val="hu-HU" w:eastAsia="en-US"/>
              </w:rPr>
              <w:t>/ml)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CA57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AUC</w:t>
            </w:r>
            <w:r>
              <w:rPr>
                <w:b/>
                <w:bCs/>
                <w:vertAlign w:val="subscript"/>
                <w:lang w:val="hu-HU" w:eastAsia="en-US"/>
              </w:rPr>
              <w:t>(0-τ)</w:t>
            </w:r>
          </w:p>
          <w:p w14:paraId="688B32C9" w14:textId="77777777" w:rsidR="00342CEA" w:rsidRDefault="00837BAB">
            <w:pPr>
              <w:widowControl w:val="0"/>
              <w:jc w:val="center"/>
              <w:rPr>
                <w:b/>
                <w:bCs/>
                <w:lang w:val="hu-HU" w:eastAsia="en-US"/>
              </w:rPr>
            </w:pPr>
            <w:r>
              <w:rPr>
                <w:b/>
                <w:bCs/>
                <w:lang w:val="hu-HU" w:eastAsia="en-US"/>
              </w:rPr>
              <w:t>(</w:t>
            </w:r>
            <w:proofErr w:type="spellStart"/>
            <w:r>
              <w:rPr>
                <w:b/>
                <w:bCs/>
                <w:lang w:val="hu-HU" w:eastAsia="en-US"/>
              </w:rPr>
              <w:t>mikrogramm</w:t>
            </w:r>
            <w:r>
              <w:rPr>
                <w:color w:val="000000"/>
                <w:lang w:val="hu-HU"/>
              </w:rPr>
              <w:t>×</w:t>
            </w:r>
            <w:r>
              <w:rPr>
                <w:b/>
                <w:bCs/>
                <w:lang w:val="hu-HU" w:eastAsia="en-US"/>
              </w:rPr>
              <w:t>óra</w:t>
            </w:r>
            <w:proofErr w:type="spellEnd"/>
            <w:r>
              <w:rPr>
                <w:b/>
                <w:bCs/>
                <w:lang w:val="hu-HU" w:eastAsia="en-US"/>
              </w:rPr>
              <w:t>/ml)</w:t>
            </w:r>
          </w:p>
        </w:tc>
      </w:tr>
      <w:tr w:rsidR="00342CEA" w14:paraId="3EE489EB" w14:textId="77777777">
        <w:trPr>
          <w:trHeight w:val="516"/>
        </w:trPr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43E9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12-18 év (n = 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A45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6,80</w:t>
            </w:r>
          </w:p>
          <w:p w14:paraId="27C763E4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(6,17; 7,50)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FE3D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103 (91,1; 116)</w:t>
            </w:r>
          </w:p>
        </w:tc>
      </w:tr>
      <w:tr w:rsidR="00342CEA" w14:paraId="2B7A13A6" w14:textId="77777777">
        <w:trPr>
          <w:trHeight w:val="516"/>
        </w:trPr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DBE7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6-11 év (n = 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01D7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10,3</w:t>
            </w:r>
          </w:p>
          <w:p w14:paraId="7DF70AF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(9,42; 11,2)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6A25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153</w:t>
            </w:r>
          </w:p>
          <w:p w14:paraId="1F30BAC6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(137; 170)</w:t>
            </w:r>
          </w:p>
        </w:tc>
      </w:tr>
      <w:tr w:rsidR="00342CEA" w14:paraId="03FE4A75" w14:textId="77777777">
        <w:trPr>
          <w:trHeight w:val="517"/>
        </w:trPr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0995B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1-5 év (n = 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E791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11,6</w:t>
            </w:r>
          </w:p>
          <w:p w14:paraId="301B5F4C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(10,4; 12,9)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B43D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162</w:t>
            </w:r>
          </w:p>
          <w:p w14:paraId="65C6502A" w14:textId="77777777" w:rsidR="00342CEA" w:rsidRDefault="00837BAB">
            <w:pPr>
              <w:widowControl w:val="0"/>
              <w:jc w:val="center"/>
              <w:rPr>
                <w:lang w:val="hu-HU" w:eastAsia="en-US"/>
              </w:rPr>
            </w:pPr>
            <w:r>
              <w:rPr>
                <w:lang w:val="hu-HU" w:eastAsia="en-US"/>
              </w:rPr>
              <w:t>(139; 187)</w:t>
            </w:r>
          </w:p>
        </w:tc>
      </w:tr>
    </w:tbl>
    <w:p w14:paraId="4D7B0CE5" w14:textId="77777777" w:rsidR="00342CEA" w:rsidRDefault="00837BAB">
      <w:pPr>
        <w:spacing w:after="12" w:line="247" w:lineRule="auto"/>
        <w:ind w:left="-6" w:right="14" w:hanging="9"/>
        <w:rPr>
          <w:lang w:val="hu-HU"/>
        </w:rPr>
      </w:pPr>
      <w:r>
        <w:rPr>
          <w:lang w:val="hu-HU"/>
        </w:rPr>
        <w:t>Az adatok mértani átlagban (95%</w:t>
      </w:r>
      <w:r>
        <w:rPr>
          <w:lang w:val="hu-HU"/>
        </w:rPr>
        <w:noBreakHyphen/>
        <w:t>os CI) vannak megadva. Az AUC</w:t>
      </w:r>
      <w:r>
        <w:rPr>
          <w:vertAlign w:val="subscript"/>
          <w:lang w:val="hu-HU"/>
        </w:rPr>
        <w:t>(0-τ)</w:t>
      </w:r>
      <w:r>
        <w:rPr>
          <w:lang w:val="hu-HU"/>
        </w:rPr>
        <w:t xml:space="preserve"> és a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 populációs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</w:t>
      </w:r>
      <w:r>
        <w:rPr>
          <w:i/>
          <w:lang w:val="hu-HU"/>
        </w:rPr>
        <w:t>post hoc</w:t>
      </w:r>
      <w:r>
        <w:rPr>
          <w:lang w:val="hu-HU"/>
        </w:rPr>
        <w:t xml:space="preserve"> becsléseken alapul (95%</w:t>
      </w:r>
      <w:r>
        <w:rPr>
          <w:lang w:val="hu-HU"/>
        </w:rPr>
        <w:noBreakHyphen/>
        <w:t>os CI).</w:t>
      </w:r>
    </w:p>
    <w:p w14:paraId="04AA9558" w14:textId="77777777" w:rsidR="00342CEA" w:rsidRDefault="00342CEA">
      <w:pPr>
        <w:spacing w:line="240" w:lineRule="auto"/>
        <w:ind w:right="-2"/>
        <w:rPr>
          <w:u w:val="single"/>
          <w:lang w:val="hu-HU"/>
        </w:rPr>
      </w:pPr>
    </w:p>
    <w:p w14:paraId="1F3016E1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5.3</w:t>
      </w:r>
      <w:r>
        <w:rPr>
          <w:rFonts w:eastAsia="Times New Roman"/>
          <w:b/>
          <w:bCs/>
          <w:lang w:val="hu-HU" w:eastAsia="en-US"/>
        </w:rPr>
        <w:tab/>
        <w:t xml:space="preserve">A </w:t>
      </w:r>
      <w:proofErr w:type="spellStart"/>
      <w:r>
        <w:rPr>
          <w:rFonts w:eastAsia="Times New Roman"/>
          <w:b/>
          <w:bCs/>
          <w:lang w:val="hu-HU" w:eastAsia="en-US"/>
        </w:rPr>
        <w:t>preklinikai</w:t>
      </w:r>
      <w:proofErr w:type="spellEnd"/>
      <w:r>
        <w:rPr>
          <w:rFonts w:eastAsia="Times New Roman"/>
          <w:b/>
          <w:bCs/>
          <w:lang w:val="hu-HU" w:eastAsia="en-US"/>
        </w:rPr>
        <w:t xml:space="preserve"> biztonságossági vizsgálatok eredményei</w:t>
      </w:r>
    </w:p>
    <w:p w14:paraId="12EA7B46" w14:textId="77777777" w:rsidR="00342CEA" w:rsidRDefault="00342CEA">
      <w:pPr>
        <w:keepNext/>
        <w:spacing w:line="240" w:lineRule="auto"/>
        <w:ind w:left="567" w:hanging="567"/>
        <w:outlineLvl w:val="0"/>
        <w:rPr>
          <w:lang w:val="hu-HU"/>
        </w:rPr>
      </w:pPr>
    </w:p>
    <w:p w14:paraId="4887F57C" w14:textId="77777777" w:rsidR="00342CEA" w:rsidRDefault="00837BAB">
      <w:pPr>
        <w:keepNext/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 xml:space="preserve">Farmakológiai biztonságosság és ismétlődő </w:t>
      </w:r>
      <w:proofErr w:type="spellStart"/>
      <w:r>
        <w:rPr>
          <w:u w:val="single"/>
          <w:lang w:val="hu-HU" w:eastAsia="en-GB"/>
        </w:rPr>
        <w:t>adagolású</w:t>
      </w:r>
      <w:proofErr w:type="spellEnd"/>
      <w:r>
        <w:rPr>
          <w:u w:val="single"/>
          <w:lang w:val="hu-HU" w:eastAsia="en-GB"/>
        </w:rPr>
        <w:t xml:space="preserve"> dózistoxicitás</w:t>
      </w:r>
    </w:p>
    <w:p w14:paraId="22E173B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b/>
          <w:bCs/>
          <w:lang w:val="hu-HU"/>
        </w:rPr>
      </w:pPr>
      <w:r>
        <w:rPr>
          <w:lang w:val="hu-HU" w:eastAsia="en-GB"/>
        </w:rPr>
        <w:t>Egyedülálló TPO</w:t>
      </w:r>
      <w:r>
        <w:rPr>
          <w:lang w:val="hu-HU" w:eastAsia="en-GB"/>
        </w:rPr>
        <w:noBreakHyphen/>
      </w:r>
      <w:proofErr w:type="spellStart"/>
      <w:r>
        <w:rPr>
          <w:lang w:val="hu-HU" w:eastAsia="en-GB"/>
        </w:rPr>
        <w:t>receptorspecificitása</w:t>
      </w:r>
      <w:proofErr w:type="spellEnd"/>
      <w:r>
        <w:rPr>
          <w:lang w:val="hu-HU" w:eastAsia="en-GB"/>
        </w:rPr>
        <w:t xml:space="preserve"> miatt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egérnél, patkánynál vagy kutyánál nem fokozza a vérlemezke</w:t>
      </w:r>
      <w:r>
        <w:rPr>
          <w:lang w:val="hu-HU" w:eastAsia="en-GB"/>
        </w:rPr>
        <w:noBreakHyphen/>
        <w:t xml:space="preserve">termelést. Ezért az ilyen állatoktól származó adatok, beleértve a reprodukciós és </w:t>
      </w:r>
      <w:proofErr w:type="spellStart"/>
      <w:r>
        <w:rPr>
          <w:lang w:val="hu-HU" w:eastAsia="en-GB"/>
        </w:rPr>
        <w:t>karcinogenitási</w:t>
      </w:r>
      <w:proofErr w:type="spellEnd"/>
      <w:r>
        <w:rPr>
          <w:lang w:val="hu-HU" w:eastAsia="en-GB"/>
        </w:rPr>
        <w:t xml:space="preserve"> vizsgálatokat, nem teljesen modellezik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farmakológiájával kapcsolatos lehetséges mellékhatásokat embereknél.</w:t>
      </w:r>
    </w:p>
    <w:p w14:paraId="3E20C28B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09D4158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 kezeléssel összefüggésben lévő </w:t>
      </w:r>
      <w:proofErr w:type="spellStart"/>
      <w:r>
        <w:rPr>
          <w:lang w:val="hu-HU" w:eastAsia="en-GB"/>
        </w:rPr>
        <w:t>cataractát</w:t>
      </w:r>
      <w:proofErr w:type="spellEnd"/>
      <w:r>
        <w:rPr>
          <w:lang w:val="hu-HU" w:eastAsia="en-GB"/>
        </w:rPr>
        <w:t xml:space="preserve"> észleltek rágcsálóknál, mely dózis</w:t>
      </w:r>
      <w:r>
        <w:rPr>
          <w:lang w:val="hu-HU" w:eastAsia="en-GB"/>
        </w:rPr>
        <w:noBreakHyphen/>
        <w:t>és időfüggő volt. Az AUC alapján számított, 75 mg/nap adagot kapó, felnőtt ITP</w:t>
      </w:r>
      <w:r>
        <w:rPr>
          <w:lang w:val="hu-HU" w:eastAsia="en-GB"/>
        </w:rPr>
        <w:noBreakHyphen/>
        <w:t>s betegeken alapuló humán klinikai expozíció ≥ 6-szorosánál, illetve 100 mg/nap adagot kapó, felnőtt HCV</w:t>
      </w:r>
      <w:r>
        <w:rPr>
          <w:lang w:val="hu-HU" w:eastAsia="en-GB"/>
        </w:rPr>
        <w:noBreakHyphen/>
        <w:t>s betegeken alapuló humán klinikai expozíció 3</w:t>
      </w:r>
      <w:r>
        <w:rPr>
          <w:lang w:val="hu-HU" w:eastAsia="en-GB"/>
        </w:rPr>
        <w:noBreakHyphen/>
        <w:t>szorosánál egereknél 6 hét után, patkányoknál 28 hét után figyeltek meg szürkehályogot. Az AUC alapján számított, 75 mg/nap adagot kapó ITP</w:t>
      </w:r>
      <w:r>
        <w:rPr>
          <w:lang w:val="hu-HU" w:eastAsia="en-GB"/>
        </w:rPr>
        <w:noBreakHyphen/>
        <w:t xml:space="preserve">s betegeken alapuló humán klinikai expozíció </w:t>
      </w:r>
      <w:r>
        <w:rPr>
          <w:rFonts w:ascii="Segoe UI Symbol" w:eastAsia="Segoe UI Symbol" w:hAnsi="Segoe UI Symbol" w:cs="Segoe UI Symbol"/>
          <w:lang w:val="hu-HU"/>
        </w:rPr>
        <w:t>≥ </w:t>
      </w:r>
      <w:r>
        <w:rPr>
          <w:lang w:val="hu-HU" w:eastAsia="en-GB"/>
        </w:rPr>
        <w:t>4</w:t>
      </w:r>
      <w:r>
        <w:rPr>
          <w:lang w:val="hu-HU" w:eastAsia="en-GB"/>
        </w:rPr>
        <w:noBreakHyphen/>
        <w:t>szeresénél, illetve 100 mg/nap adagot kapó HCV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>szeresénél egereknél 13 hét után, patkányoknál 39 hét után figyeltek meg szürkehályogot. Az AUC alapján az ITP</w:t>
      </w:r>
      <w:r>
        <w:rPr>
          <w:lang w:val="hu-HU" w:eastAsia="en-GB"/>
        </w:rPr>
        <w:noBreakHyphen/>
        <w:t>s gyermekeknél és serdülőknél a napi 75 mg</w:t>
      </w:r>
      <w:r>
        <w:rPr>
          <w:lang w:val="hu-HU" w:eastAsia="en-GB"/>
        </w:rPr>
        <w:noBreakHyphen/>
        <w:t>os, maximális humán klinikai expozíció 9</w:t>
      </w:r>
      <w:r>
        <w:rPr>
          <w:lang w:val="hu-HU" w:eastAsia="en-GB"/>
        </w:rPr>
        <w:noBreakHyphen/>
        <w:t xml:space="preserve">szeresének megfelelő, nem tolerálható dózisokban a 4. és 32. nap között (az adagolási időszak végén megközelítőleg egy kétéves gyermeknek felel meg) adagolva, az elválasztás előtt álló fiatal patkányoknál </w:t>
      </w:r>
      <w:proofErr w:type="spellStart"/>
      <w:r>
        <w:rPr>
          <w:lang w:val="hu-HU" w:eastAsia="en-GB"/>
        </w:rPr>
        <w:t>ocularis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opacitást</w:t>
      </w:r>
      <w:proofErr w:type="spellEnd"/>
      <w:r>
        <w:rPr>
          <w:lang w:val="hu-HU" w:eastAsia="en-GB"/>
        </w:rPr>
        <w:t xml:space="preserve"> észleltek (szövettani vizsgálatot nem végeztek). Ugyanakkor az AUC alapján az ITP</w:t>
      </w:r>
      <w:r>
        <w:rPr>
          <w:lang w:val="hu-HU" w:eastAsia="en-GB"/>
        </w:rPr>
        <w:noBreakHyphen/>
        <w:t>s gyermekeknél és serdülőknél a humán klinikai expozíció 5</w:t>
      </w:r>
      <w:r>
        <w:rPr>
          <w:lang w:val="hu-HU" w:eastAsia="en-GB"/>
        </w:rPr>
        <w:noBreakHyphen/>
        <w:t xml:space="preserve">szörösének megfelelő, tolerálható dózisokban fiatal patkányoknak adva nem figyeltek meg </w:t>
      </w:r>
      <w:proofErr w:type="spellStart"/>
      <w:r>
        <w:rPr>
          <w:lang w:val="hu-HU" w:eastAsia="en-GB"/>
        </w:rPr>
        <w:t>cataractát</w:t>
      </w:r>
      <w:proofErr w:type="spellEnd"/>
      <w:r>
        <w:rPr>
          <w:lang w:val="hu-HU" w:eastAsia="en-GB"/>
        </w:rPr>
        <w:t xml:space="preserve">. Felnőtt kutyáknál 52 hét után nem észleltek szürkehályogot (az AUC alapján </w:t>
      </w:r>
      <w:r>
        <w:rPr>
          <w:lang w:val="hu-HU" w:eastAsia="en-GB"/>
        </w:rPr>
        <w:lastRenderedPageBreak/>
        <w:t>számított, 75 mg/nap adagot kapó felnőtt vagy gyermek és serdülőkorú ITP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>szeresénél, amely egyenértékű a 100 mg/nap adagot kapó HCV-s betegeken alapuló humán klinikai expozícióval).</w:t>
      </w:r>
    </w:p>
    <w:p w14:paraId="284ABD60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564FE3D7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b/>
          <w:bCs/>
          <w:lang w:val="hu-HU"/>
        </w:rPr>
      </w:pPr>
      <w:r>
        <w:rPr>
          <w:lang w:val="hu-HU" w:eastAsia="en-GB"/>
        </w:rPr>
        <w:t xml:space="preserve">Legfeljebb 14 napig tartó vizsgálatokban </w:t>
      </w:r>
      <w:proofErr w:type="spellStart"/>
      <w:r>
        <w:rPr>
          <w:lang w:val="hu-HU" w:eastAsia="en-GB"/>
        </w:rPr>
        <w:t>renalis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tubularis</w:t>
      </w:r>
      <w:proofErr w:type="spellEnd"/>
      <w:r>
        <w:rPr>
          <w:lang w:val="hu-HU" w:eastAsia="en-GB"/>
        </w:rPr>
        <w:t xml:space="preserve"> toxicitást figyeltek meg </w:t>
      </w:r>
      <w:proofErr w:type="spellStart"/>
      <w:r>
        <w:rPr>
          <w:lang w:val="hu-HU" w:eastAsia="en-GB"/>
        </w:rPr>
        <w:t>egéreknél</w:t>
      </w:r>
      <w:proofErr w:type="spellEnd"/>
      <w:r>
        <w:rPr>
          <w:lang w:val="hu-HU" w:eastAsia="en-GB"/>
        </w:rPr>
        <w:t xml:space="preserve"> és patkányoknál, rendszerint megbetegedést és halált okozó expozícióknál. </w:t>
      </w:r>
      <w:proofErr w:type="spellStart"/>
      <w:r>
        <w:rPr>
          <w:lang w:val="hu-HU" w:eastAsia="en-GB"/>
        </w:rPr>
        <w:t>Tubularis</w:t>
      </w:r>
      <w:proofErr w:type="spellEnd"/>
      <w:r>
        <w:rPr>
          <w:lang w:val="hu-HU" w:eastAsia="en-GB"/>
        </w:rPr>
        <w:t xml:space="preserve"> toxicitást egy 2 éves orális </w:t>
      </w:r>
      <w:proofErr w:type="spellStart"/>
      <w:r>
        <w:rPr>
          <w:lang w:val="hu-HU" w:eastAsia="en-GB"/>
        </w:rPr>
        <w:t>karcinogenitási</w:t>
      </w:r>
      <w:proofErr w:type="spellEnd"/>
      <w:r>
        <w:rPr>
          <w:lang w:val="hu-HU" w:eastAsia="en-GB"/>
        </w:rPr>
        <w:t xml:space="preserve"> vizsgálatban is megfigyeltek egérnél, napi 25, 75 és 150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t xml:space="preserve"> adagoknál. Alacsonyabb dózisoknál a hatások kevésbé voltak súlyosak, és azokat </w:t>
      </w:r>
      <w:proofErr w:type="spellStart"/>
      <w:r>
        <w:rPr>
          <w:lang w:val="hu-HU" w:eastAsia="en-GB"/>
        </w:rPr>
        <w:t>regerenatív</w:t>
      </w:r>
      <w:proofErr w:type="spellEnd"/>
      <w:r>
        <w:rPr>
          <w:lang w:val="hu-HU" w:eastAsia="en-GB"/>
        </w:rPr>
        <w:t xml:space="preserve"> elváltozások sora jellemezte. A legalacsonyabb dózisnál az expozíció az AUC alapján számított, 75 mg/nap adagot kapó felnőtt vagy gyermek és serdülőkorú ITP</w:t>
      </w:r>
      <w:r>
        <w:rPr>
          <w:lang w:val="hu-HU" w:eastAsia="en-GB"/>
        </w:rPr>
        <w:noBreakHyphen/>
        <w:t>s betegeken alapuló humán klinikai expozíció 1,2</w:t>
      </w:r>
      <w:r>
        <w:rPr>
          <w:lang w:val="hu-HU" w:eastAsia="en-GB"/>
        </w:rPr>
        <w:noBreakHyphen/>
        <w:t>szerese vagy 0,8</w:t>
      </w:r>
      <w:r>
        <w:rPr>
          <w:lang w:val="hu-HU" w:eastAsia="en-GB"/>
        </w:rPr>
        <w:noBreakHyphen/>
        <w:t xml:space="preserve">szerese, illetve 100 mg/nap adagot kapó HCV-s betegeken alapuló humán klinikai expozíció 0,6-szorosa volt. Nem tapasztaltak </w:t>
      </w:r>
      <w:proofErr w:type="spellStart"/>
      <w:r>
        <w:rPr>
          <w:lang w:val="hu-HU" w:eastAsia="en-GB"/>
        </w:rPr>
        <w:t>renalis</w:t>
      </w:r>
      <w:proofErr w:type="spellEnd"/>
      <w:r>
        <w:rPr>
          <w:lang w:val="hu-HU" w:eastAsia="en-GB"/>
        </w:rPr>
        <w:t xml:space="preserve"> hatásokat patkányoknál 28 hét után, kutyáknál 52 hét után, az AUC alapján számított 75 mg/nap adagot kapó felnőtt ITP</w:t>
      </w:r>
      <w:r>
        <w:rPr>
          <w:lang w:val="hu-HU" w:eastAsia="en-GB"/>
        </w:rPr>
        <w:noBreakHyphen/>
        <w:t>s betegeken alapuló humán klinikai expozíció 4</w:t>
      </w:r>
      <w:r>
        <w:rPr>
          <w:lang w:val="hu-HU" w:eastAsia="en-GB"/>
        </w:rPr>
        <w:noBreakHyphen/>
        <w:t xml:space="preserve"> illetve 2</w:t>
      </w:r>
      <w:r>
        <w:rPr>
          <w:lang w:val="hu-HU" w:eastAsia="en-GB"/>
        </w:rPr>
        <w:noBreakHyphen/>
        <w:t>szeresénél, valamint gyermek és serdülőkorú ITP</w:t>
      </w:r>
      <w:r>
        <w:rPr>
          <w:lang w:val="hu-HU" w:eastAsia="en-GB"/>
        </w:rPr>
        <w:noBreakHyphen/>
        <w:t>s betegeken alapuló humán klinikai expozíció 3- illetve 2-szeresénél, amely egyenértékű a 100 mg/nap adagot kapó HCV</w:t>
      </w:r>
      <w:r>
        <w:rPr>
          <w:lang w:val="hu-HU" w:eastAsia="en-GB"/>
        </w:rPr>
        <w:noBreakHyphen/>
        <w:t>betegeken alapuló humán klinikai expozícióval.</w:t>
      </w:r>
    </w:p>
    <w:p w14:paraId="51E49262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48D0AD4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proofErr w:type="spellStart"/>
      <w:r>
        <w:rPr>
          <w:lang w:val="hu-HU" w:eastAsia="en-GB"/>
        </w:rPr>
        <w:t>Hepatocyta</w:t>
      </w:r>
      <w:proofErr w:type="spellEnd"/>
      <w:r>
        <w:rPr>
          <w:lang w:val="hu-HU" w:eastAsia="en-GB"/>
        </w:rPr>
        <w:t xml:space="preserve"> degenerációt és/vagy nekrózist figyeltek meg </w:t>
      </w:r>
      <w:proofErr w:type="spellStart"/>
      <w:r>
        <w:rPr>
          <w:lang w:val="hu-HU" w:eastAsia="en-GB"/>
        </w:rPr>
        <w:t>egéreknél</w:t>
      </w:r>
      <w:proofErr w:type="spellEnd"/>
      <w:r>
        <w:rPr>
          <w:lang w:val="hu-HU" w:eastAsia="en-GB"/>
        </w:rPr>
        <w:t>, patkányoknál és kutyáknál, gyakran a szérum</w:t>
      </w:r>
      <w:r>
        <w:rPr>
          <w:lang w:val="hu-HU" w:eastAsia="en-GB"/>
        </w:rPr>
        <w:noBreakHyphen/>
        <w:t xml:space="preserve">májenzimszintek emelkedésével együtt, a megbetegedést vagy halált okozó, illetve rosszul tolerált dózisoknál. Hosszú távú kezelés során patkányoknál (28 hét) illetve kutyánál (52 hét) nem észleltek </w:t>
      </w:r>
      <w:proofErr w:type="spellStart"/>
      <w:r>
        <w:rPr>
          <w:lang w:val="hu-HU" w:eastAsia="en-GB"/>
        </w:rPr>
        <w:t>hepatikus</w:t>
      </w:r>
      <w:proofErr w:type="spellEnd"/>
      <w:r>
        <w:rPr>
          <w:lang w:val="hu-HU" w:eastAsia="en-GB"/>
        </w:rPr>
        <w:t xml:space="preserve"> hatásokat az AUC alapján számított, 75 mg/nap adagot kapó felnőtt ITP</w:t>
      </w:r>
      <w:r>
        <w:rPr>
          <w:lang w:val="hu-HU" w:eastAsia="en-GB"/>
        </w:rPr>
        <w:noBreakHyphen/>
        <w:t>s betegeken alapuló humán klinikai expozíció 4</w:t>
      </w:r>
      <w:r>
        <w:rPr>
          <w:lang w:val="hu-HU" w:eastAsia="en-GB"/>
        </w:rPr>
        <w:noBreakHyphen/>
        <w:t xml:space="preserve"> illetve 2</w:t>
      </w:r>
      <w:r>
        <w:rPr>
          <w:lang w:val="hu-HU" w:eastAsia="en-GB"/>
        </w:rPr>
        <w:noBreakHyphen/>
        <w:t>szeresénél, valamint gyermek és serdülő korú ITP</w:t>
      </w:r>
      <w:r>
        <w:rPr>
          <w:lang w:val="hu-HU" w:eastAsia="en-GB"/>
        </w:rPr>
        <w:noBreakHyphen/>
        <w:t>s betegeken alapuló humán klinikai expozíció 3</w:t>
      </w:r>
      <w:r>
        <w:rPr>
          <w:lang w:val="hu-HU" w:eastAsia="en-GB"/>
        </w:rPr>
        <w:noBreakHyphen/>
        <w:t xml:space="preserve"> vagy 2</w:t>
      </w:r>
      <w:r>
        <w:rPr>
          <w:lang w:val="hu-HU" w:eastAsia="en-GB"/>
        </w:rPr>
        <w:noBreakHyphen/>
        <w:t>szeresénél, amely egyenértékű a 100 mg/nap adagot kapó HCV</w:t>
      </w:r>
      <w:r>
        <w:rPr>
          <w:lang w:val="hu-HU" w:eastAsia="en-GB"/>
        </w:rPr>
        <w:noBreakHyphen/>
        <w:t>s betegeken alapuló humán klinikai expozícióval.</w:t>
      </w:r>
    </w:p>
    <w:p w14:paraId="0894DB1C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51A671E0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>Rövid távú vizsgálatokban, patkányoknál és kutyáknál, a rosszul tolerált dózisoknál (az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több mint 10</w:t>
      </w:r>
      <w:r>
        <w:rPr>
          <w:lang w:val="hu-HU" w:eastAsia="en-GB"/>
        </w:rPr>
        <w:noBreakHyphen/>
        <w:t>szerese vagy több mint 7</w:t>
      </w:r>
      <w:r>
        <w:rPr>
          <w:lang w:val="hu-HU" w:eastAsia="en-GB"/>
        </w:rPr>
        <w:noBreakHyphen/>
        <w:t>szerese, illetve 100 mg/nap adagot kapó HCV</w:t>
      </w:r>
      <w:r>
        <w:rPr>
          <w:lang w:val="hu-HU" w:eastAsia="en-GB"/>
        </w:rPr>
        <w:noBreakHyphen/>
        <w:t>s betegeken alapuló humán klinikai expozíció &gt; 4</w:t>
      </w:r>
      <w:r>
        <w:rPr>
          <w:lang w:val="hu-HU" w:eastAsia="en-GB"/>
        </w:rPr>
        <w:noBreakHyphen/>
        <w:t xml:space="preserve">szerese) a </w:t>
      </w:r>
      <w:proofErr w:type="spellStart"/>
      <w:r>
        <w:rPr>
          <w:lang w:val="hu-HU" w:eastAsia="en-GB"/>
        </w:rPr>
        <w:t>retikulocitaszám</w:t>
      </w:r>
      <w:proofErr w:type="spellEnd"/>
      <w:r>
        <w:rPr>
          <w:lang w:val="hu-HU" w:eastAsia="en-GB"/>
        </w:rPr>
        <w:t xml:space="preserve"> csökkenését és regeneratív csontvelő </w:t>
      </w:r>
      <w:proofErr w:type="spellStart"/>
      <w:r>
        <w:rPr>
          <w:lang w:val="hu-HU" w:eastAsia="en-GB"/>
        </w:rPr>
        <w:t>erythroid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hyperplasiát</w:t>
      </w:r>
      <w:proofErr w:type="spellEnd"/>
      <w:r>
        <w:rPr>
          <w:lang w:val="hu-HU" w:eastAsia="en-GB"/>
        </w:rPr>
        <w:t xml:space="preserve"> (csak patkányoknál) figyeltek meg. Nem voltak figyelemre méltó hatások a vörösvértest tömeget és a </w:t>
      </w:r>
      <w:proofErr w:type="spellStart"/>
      <w:r>
        <w:rPr>
          <w:lang w:val="hu-HU" w:eastAsia="en-GB"/>
        </w:rPr>
        <w:t>retikulocitaszámot</w:t>
      </w:r>
      <w:proofErr w:type="spellEnd"/>
      <w:r>
        <w:rPr>
          <w:lang w:val="hu-HU" w:eastAsia="en-GB"/>
        </w:rPr>
        <w:t xml:space="preserve"> illetően patkányoknál legfeljebb 28 hétig tartó, kutyánál legfeljebb 52 hétig tartó és egérnél legfeljebb 2 évig tartó kezelés során a legnagyobb tolerált adagoknál, melyek 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>4</w:t>
      </w:r>
      <w:r>
        <w:rPr>
          <w:lang w:val="hu-HU" w:eastAsia="en-GB"/>
        </w:rPr>
        <w:noBreakHyphen/>
        <w:t>szeresét, illetve 100 mg/nap adagot kapó HCV</w:t>
      </w:r>
      <w:r>
        <w:rPr>
          <w:lang w:val="hu-HU" w:eastAsia="en-GB"/>
        </w:rPr>
        <w:noBreakHyphen/>
        <w:t>s betegeken alapuló humán klinikai expozíció ≤ 2-szeresét tették ki.</w:t>
      </w:r>
    </w:p>
    <w:p w14:paraId="796B7AC2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2B51634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Egy 28 hetes toxicitási vizsgálatban </w:t>
      </w:r>
      <w:proofErr w:type="spellStart"/>
      <w:r>
        <w:rPr>
          <w:lang w:val="hu-HU" w:eastAsia="en-GB"/>
        </w:rPr>
        <w:t>endostealis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hyperostosist</w:t>
      </w:r>
      <w:proofErr w:type="spellEnd"/>
      <w:r>
        <w:rPr>
          <w:lang w:val="hu-HU" w:eastAsia="en-GB"/>
        </w:rPr>
        <w:t xml:space="preserve"> figyeltek meg patkányoknál napi 60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t xml:space="preserve"> nem tolerált dózisnál (az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6</w:t>
      </w:r>
      <w:r>
        <w:rPr>
          <w:lang w:val="hu-HU" w:eastAsia="en-GB"/>
        </w:rPr>
        <w:noBreakHyphen/>
        <w:t>szorosa vagy 4</w:t>
      </w:r>
      <w:r>
        <w:rPr>
          <w:lang w:val="hu-HU" w:eastAsia="en-GB"/>
        </w:rPr>
        <w:noBreakHyphen/>
        <w:t>szerese, illetve 100 mg/nap adagot kapó HCV</w:t>
      </w:r>
      <w:r>
        <w:rPr>
          <w:lang w:val="hu-HU" w:eastAsia="en-GB"/>
        </w:rPr>
        <w:noBreakHyphen/>
        <w:t>s betegeken alapuló humán klinikai expozíció 3</w:t>
      </w:r>
      <w:r>
        <w:rPr>
          <w:lang w:val="hu-HU" w:eastAsia="en-GB"/>
        </w:rPr>
        <w:noBreakHyphen/>
        <w:t xml:space="preserve">szorosa). Élethosszig tartó (2 éves) expozíciónál nem figyeltek meg csontelváltozásokat </w:t>
      </w:r>
      <w:proofErr w:type="spellStart"/>
      <w:r>
        <w:rPr>
          <w:lang w:val="hu-HU" w:eastAsia="en-GB"/>
        </w:rPr>
        <w:t>egérekben</w:t>
      </w:r>
      <w:proofErr w:type="spellEnd"/>
      <w:r>
        <w:rPr>
          <w:lang w:val="hu-HU" w:eastAsia="en-GB"/>
        </w:rPr>
        <w:t>, illetve patkányoknál 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4</w:t>
      </w:r>
      <w:r>
        <w:rPr>
          <w:lang w:val="hu-HU" w:eastAsia="en-GB"/>
        </w:rPr>
        <w:noBreakHyphen/>
        <w:t>szeresénél vagy 2</w:t>
      </w:r>
      <w:r>
        <w:rPr>
          <w:lang w:val="hu-HU" w:eastAsia="en-GB"/>
        </w:rPr>
        <w:noBreakHyphen/>
        <w:t>szeresénél, illetve 100 mg/nap adagot kapó HCV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>szeresénél.</w:t>
      </w:r>
    </w:p>
    <w:p w14:paraId="6C599B56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44A93392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proofErr w:type="spellStart"/>
      <w:r>
        <w:rPr>
          <w:u w:val="single"/>
          <w:lang w:val="hu-HU" w:eastAsia="en-GB"/>
        </w:rPr>
        <w:t>Karcinogenitás</w:t>
      </w:r>
      <w:proofErr w:type="spellEnd"/>
      <w:r>
        <w:rPr>
          <w:u w:val="single"/>
          <w:lang w:val="hu-HU" w:eastAsia="en-GB"/>
        </w:rPr>
        <w:t xml:space="preserve"> és </w:t>
      </w:r>
      <w:proofErr w:type="spellStart"/>
      <w:r>
        <w:rPr>
          <w:u w:val="single"/>
          <w:lang w:val="hu-HU" w:eastAsia="en-GB"/>
        </w:rPr>
        <w:t>mutagenitás</w:t>
      </w:r>
      <w:proofErr w:type="spellEnd"/>
    </w:p>
    <w:p w14:paraId="2A2C2F4C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volt karcinogén </w:t>
      </w:r>
      <w:proofErr w:type="spellStart"/>
      <w:r>
        <w:rPr>
          <w:lang w:val="hu-HU" w:eastAsia="en-GB"/>
        </w:rPr>
        <w:t>egéreknél</w:t>
      </w:r>
      <w:proofErr w:type="spellEnd"/>
      <w:r>
        <w:rPr>
          <w:lang w:val="hu-HU" w:eastAsia="en-GB"/>
        </w:rPr>
        <w:t xml:space="preserve"> legfeljebb napi 75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noBreakHyphen/>
        <w:t>os adagoknál és patkányoknál legfeljebb napi 40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noBreakHyphen/>
        <w:t>os adagoknál (az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expozíciók legfeljebb 4</w:t>
      </w:r>
      <w:r>
        <w:rPr>
          <w:lang w:val="hu-HU" w:eastAsia="en-GB"/>
        </w:rPr>
        <w:noBreakHyphen/>
        <w:t>szerese vagy 2</w:t>
      </w:r>
      <w:r>
        <w:rPr>
          <w:lang w:val="hu-HU" w:eastAsia="en-GB"/>
        </w:rPr>
        <w:noBreakHyphen/>
        <w:t>szerese, illetve 100 mg/nap adagot kapó HCV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 xml:space="preserve">szerese).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volt mutagén vagy </w:t>
      </w:r>
      <w:proofErr w:type="spellStart"/>
      <w:r>
        <w:rPr>
          <w:lang w:val="hu-HU" w:eastAsia="en-GB"/>
        </w:rPr>
        <w:t>klasztogén</w:t>
      </w:r>
      <w:proofErr w:type="spellEnd"/>
      <w:r>
        <w:rPr>
          <w:lang w:val="hu-HU" w:eastAsia="en-GB"/>
        </w:rPr>
        <w:t xml:space="preserve"> egy bakteriális mutációs kísérletsorozatban, illetve két </w:t>
      </w:r>
      <w:r>
        <w:rPr>
          <w:i/>
          <w:lang w:val="hu-HU" w:eastAsia="en-GB"/>
        </w:rPr>
        <w:t xml:space="preserve">in vivo </w:t>
      </w:r>
      <w:r>
        <w:rPr>
          <w:lang w:val="hu-HU" w:eastAsia="en-GB"/>
        </w:rPr>
        <w:t>kísérletsorozatban patkányoknál (</w:t>
      </w:r>
      <w:proofErr w:type="spellStart"/>
      <w:r>
        <w:rPr>
          <w:lang w:val="hu-HU" w:eastAsia="en-GB"/>
        </w:rPr>
        <w:t>mikronucleus</w:t>
      </w:r>
      <w:proofErr w:type="spellEnd"/>
      <w:r>
        <w:rPr>
          <w:lang w:val="hu-HU" w:eastAsia="en-GB"/>
        </w:rPr>
        <w:t xml:space="preserve"> és nem betervezett DNS szintézis, a </w:t>
      </w:r>
      <w:proofErr w:type="spellStart"/>
      <w:r>
        <w:rPr>
          <w:lang w:val="hu-HU" w:eastAsia="en-GB"/>
        </w:rPr>
        <w:t>C</w:t>
      </w:r>
      <w:r>
        <w:rPr>
          <w:vertAlign w:val="subscript"/>
          <w:lang w:val="hu-HU" w:eastAsia="en-GB"/>
        </w:rPr>
        <w:t>max</w:t>
      </w:r>
      <w:proofErr w:type="spellEnd"/>
      <w:r>
        <w:rPr>
          <w:lang w:val="hu-HU" w:eastAsia="en-GB"/>
        </w:rPr>
        <w:t xml:space="preserve">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10</w:t>
      </w:r>
      <w:r>
        <w:rPr>
          <w:lang w:val="hu-HU" w:eastAsia="en-GB"/>
        </w:rPr>
        <w:noBreakHyphen/>
        <w:t>szeresénél vagy 8</w:t>
      </w:r>
      <w:r>
        <w:rPr>
          <w:lang w:val="hu-HU" w:eastAsia="en-GB"/>
        </w:rPr>
        <w:noBreakHyphen/>
        <w:t>szorosánál, illetve 100 mg/nap adagot kapó HCV</w:t>
      </w:r>
      <w:r>
        <w:rPr>
          <w:lang w:val="hu-HU" w:eastAsia="en-GB"/>
        </w:rPr>
        <w:noBreakHyphen/>
        <w:t>s betegeken alapuló humán klinikai expozíció 7</w:t>
      </w:r>
      <w:r>
        <w:rPr>
          <w:lang w:val="hu-HU" w:eastAsia="en-GB"/>
        </w:rPr>
        <w:noBreakHyphen/>
        <w:t xml:space="preserve">szeresénél). Az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egér </w:t>
      </w:r>
      <w:proofErr w:type="spellStart"/>
      <w:r>
        <w:rPr>
          <w:lang w:val="hu-HU" w:eastAsia="en-GB"/>
        </w:rPr>
        <w:t>limfóma</w:t>
      </w:r>
      <w:proofErr w:type="spellEnd"/>
      <w:r>
        <w:rPr>
          <w:lang w:val="hu-HU" w:eastAsia="en-GB"/>
        </w:rPr>
        <w:t xml:space="preserve"> tesztsorozatban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marginálisan pozitív volt (a mutációk </w:t>
      </w:r>
      <w:r>
        <w:rPr>
          <w:lang w:val="hu-HU" w:eastAsia="en-GB"/>
        </w:rPr>
        <w:lastRenderedPageBreak/>
        <w:t>gyakoriságának kevesebb mint 3</w:t>
      </w:r>
      <w:r>
        <w:rPr>
          <w:lang w:val="hu-HU" w:eastAsia="en-GB"/>
        </w:rPr>
        <w:noBreakHyphen/>
        <w:t xml:space="preserve">szoros növekedése). Ezek az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és </w:t>
      </w:r>
      <w:r>
        <w:rPr>
          <w:i/>
          <w:lang w:val="hu-HU" w:eastAsia="en-GB"/>
        </w:rPr>
        <w:t xml:space="preserve">in vivo </w:t>
      </w:r>
      <w:r>
        <w:rPr>
          <w:lang w:val="hu-HU" w:eastAsia="en-GB"/>
        </w:rPr>
        <w:t xml:space="preserve">hatások arra utalnak,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jelent </w:t>
      </w:r>
      <w:proofErr w:type="spellStart"/>
      <w:r>
        <w:rPr>
          <w:lang w:val="hu-HU" w:eastAsia="en-GB"/>
        </w:rPr>
        <w:t>genotoxikus</w:t>
      </w:r>
      <w:proofErr w:type="spellEnd"/>
      <w:r>
        <w:rPr>
          <w:lang w:val="hu-HU" w:eastAsia="en-GB"/>
        </w:rPr>
        <w:t xml:space="preserve"> kockázatot az emberre.</w:t>
      </w:r>
    </w:p>
    <w:p w14:paraId="7C1F467B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56DFCEA6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Reprodukciós toxicitás</w:t>
      </w:r>
    </w:p>
    <w:p w14:paraId="63079AC8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befolyásolta a nőstények fertilitását, a korai embrionális fejlődést, vagy az </w:t>
      </w:r>
      <w:proofErr w:type="spellStart"/>
      <w:r>
        <w:rPr>
          <w:lang w:val="hu-HU" w:eastAsia="en-GB"/>
        </w:rPr>
        <w:t>embriofoetalis</w:t>
      </w:r>
      <w:proofErr w:type="spellEnd"/>
      <w:r>
        <w:rPr>
          <w:lang w:val="hu-HU" w:eastAsia="en-GB"/>
        </w:rPr>
        <w:t xml:space="preserve"> fejlődést patkányoknál, legfeljebb napi 20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noBreakHyphen/>
        <w:t>os adagoknál (az AUC alapján számított, 75 mg/nap adagot kapó felnőtt vagy serdülő (12</w:t>
      </w:r>
      <w:r>
        <w:rPr>
          <w:lang w:val="hu-HU" w:eastAsia="en-GB"/>
        </w:rPr>
        <w:noBreakHyphen/>
        <w:t>betöltött 18 éves korú) ITP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>szerese, amely egyenértékű a 100 mg/nap adagot kapó HCV</w:t>
      </w:r>
      <w:r>
        <w:rPr>
          <w:lang w:val="hu-HU" w:eastAsia="en-GB"/>
        </w:rPr>
        <w:noBreakHyphen/>
        <w:t xml:space="preserve">s betegeken alapuló humán klinikai expozícióval). Ugyancsak nem befolyásolta az </w:t>
      </w:r>
      <w:proofErr w:type="spellStart"/>
      <w:r>
        <w:rPr>
          <w:lang w:val="hu-HU" w:eastAsia="en-GB"/>
        </w:rPr>
        <w:t>embriofoetalis</w:t>
      </w:r>
      <w:proofErr w:type="spellEnd"/>
      <w:r>
        <w:rPr>
          <w:lang w:val="hu-HU" w:eastAsia="en-GB"/>
        </w:rPr>
        <w:t xml:space="preserve"> fejlődést nyulaknál legfeljebb napi 150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noBreakHyphen/>
        <w:t>os adagoknál, amely a legmagasabb vizsgált dózis volt (az AUC alapján számított, 75 mg/nap adagot kapó ITP</w:t>
      </w:r>
      <w:r>
        <w:rPr>
          <w:lang w:val="hu-HU" w:eastAsia="en-GB"/>
        </w:rPr>
        <w:noBreakHyphen/>
        <w:t>s és 100 mg/nap adagot kapó HCV</w:t>
      </w:r>
      <w:r>
        <w:rPr>
          <w:lang w:val="hu-HU" w:eastAsia="en-GB"/>
        </w:rPr>
        <w:noBreakHyphen/>
        <w:t>s betegeken alapuló humán klinikai expozíció 0,3</w:t>
      </w:r>
      <w:r>
        <w:rPr>
          <w:lang w:val="hu-HU" w:eastAsia="en-GB"/>
        </w:rPr>
        <w:noBreakHyphen/>
        <w:t>0,5</w:t>
      </w:r>
      <w:r>
        <w:rPr>
          <w:lang w:val="hu-HU" w:eastAsia="en-GB"/>
        </w:rPr>
        <w:noBreakHyphen/>
        <w:t>szöröse). Mindazonáltal, az anyára nézve toxikus, napi 60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t xml:space="preserve"> dózisoknál (az AUC alapján számított, 75 mg/nap adagot kapó ITP</w:t>
      </w:r>
      <w:r>
        <w:rPr>
          <w:lang w:val="hu-HU" w:eastAsia="en-GB"/>
        </w:rPr>
        <w:noBreakHyphen/>
        <w:t>s betegeken alapuló humán klinikai expozíció 6</w:t>
      </w:r>
      <w:r>
        <w:rPr>
          <w:lang w:val="hu-HU" w:eastAsia="en-GB"/>
        </w:rPr>
        <w:noBreakHyphen/>
        <w:t>szorosa, illetve 100 mg/nap adagot kapó HCV</w:t>
      </w:r>
      <w:r>
        <w:rPr>
          <w:lang w:val="hu-HU" w:eastAsia="en-GB"/>
        </w:rPr>
        <w:noBreakHyphen/>
        <w:t xml:space="preserve">s betegeken alapuló humán klinikai expozíció 3-szorosa)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noBreakHyphen/>
        <w:t xml:space="preserve">kezelés patkányoknál az embrió elhalálozásával (megnövekedett </w:t>
      </w:r>
      <w:proofErr w:type="spellStart"/>
      <w:r>
        <w:rPr>
          <w:lang w:val="hu-HU" w:eastAsia="en-GB"/>
        </w:rPr>
        <w:t>pre</w:t>
      </w:r>
      <w:proofErr w:type="spellEnd"/>
      <w:r>
        <w:rPr>
          <w:lang w:val="hu-HU" w:eastAsia="en-GB"/>
        </w:rPr>
        <w:noBreakHyphen/>
        <w:t xml:space="preserve"> és postimplantációs veszteség), csökkent magzati testtömeggel és a terhes méh tömegének csökkenésével járt együtt a nőstény fertilitás vizsgálatban, és a nyaki borda ritka előfordulásával, valamint csökkent magzati testtömeggel járt együtt az </w:t>
      </w:r>
      <w:proofErr w:type="spellStart"/>
      <w:r>
        <w:rPr>
          <w:lang w:val="hu-HU" w:eastAsia="en-GB"/>
        </w:rPr>
        <w:t>embriofoetalis</w:t>
      </w:r>
      <w:proofErr w:type="spellEnd"/>
      <w:r>
        <w:rPr>
          <w:lang w:val="hu-HU" w:eastAsia="en-GB"/>
        </w:rPr>
        <w:t xml:space="preserve"> fejlődési vizsgálatban.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csak akkor alkalmazható terhesség alatt, ha a kezelés várható előnye ellensúlyozza a magzatra vonatkozó lehetséges kockázatot (lásd 4.6 pont).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nem befolyásolta a hím fertilitást patkányoknál legfeljebb napi 40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noBreakHyphen/>
        <w:t>os adagoknál, amely a legmagasabb vizsgált dózis volt (az AUC alapján számított, 75 mg/nap adagot kapó ITP</w:t>
      </w:r>
      <w:r>
        <w:rPr>
          <w:lang w:val="hu-HU" w:eastAsia="en-GB"/>
        </w:rPr>
        <w:noBreakHyphen/>
        <w:t>s betegeken alapuló humán klinikai expozíció 3</w:t>
      </w:r>
      <w:r>
        <w:rPr>
          <w:lang w:val="hu-HU" w:eastAsia="en-GB"/>
        </w:rPr>
        <w:noBreakHyphen/>
        <w:t>szorosa, illetve 100 mg/nap adagot kapó HCV</w:t>
      </w:r>
      <w:r>
        <w:rPr>
          <w:lang w:val="hu-HU" w:eastAsia="en-GB"/>
        </w:rPr>
        <w:noBreakHyphen/>
        <w:t>s betegeken alapuló humán klinikai expozíció 2</w:t>
      </w:r>
      <w:r>
        <w:rPr>
          <w:lang w:val="hu-HU" w:eastAsia="en-GB"/>
        </w:rPr>
        <w:noBreakHyphen/>
        <w:t xml:space="preserve">szerese). Patkányokon végzett </w:t>
      </w:r>
      <w:proofErr w:type="spellStart"/>
      <w:r>
        <w:rPr>
          <w:lang w:val="hu-HU" w:eastAsia="en-GB"/>
        </w:rPr>
        <w:t>pre</w:t>
      </w:r>
      <w:proofErr w:type="spellEnd"/>
      <w:r>
        <w:rPr>
          <w:lang w:val="hu-HU" w:eastAsia="en-GB"/>
        </w:rPr>
        <w:noBreakHyphen/>
        <w:t xml:space="preserve"> és </w:t>
      </w:r>
      <w:proofErr w:type="spellStart"/>
      <w:r>
        <w:rPr>
          <w:lang w:val="hu-HU" w:eastAsia="en-GB"/>
        </w:rPr>
        <w:t>postnatalis</w:t>
      </w:r>
      <w:proofErr w:type="spellEnd"/>
      <w:r>
        <w:rPr>
          <w:lang w:val="hu-HU" w:eastAsia="en-GB"/>
        </w:rPr>
        <w:t xml:space="preserve"> fejlődési vizsgálatban nem toxikus anyai dózisoknál (napi 10 és 20 mg/</w:t>
      </w:r>
      <w:proofErr w:type="spellStart"/>
      <w:r>
        <w:rPr>
          <w:lang w:val="hu-HU" w:eastAsia="en-GB"/>
        </w:rPr>
        <w:t>ttkg</w:t>
      </w:r>
      <w:proofErr w:type="spellEnd"/>
      <w:r>
        <w:rPr>
          <w:lang w:val="hu-HU" w:eastAsia="en-GB"/>
        </w:rPr>
        <w:t>) nem találtak nemkívánatos hatást az F</w:t>
      </w:r>
      <w:r>
        <w:rPr>
          <w:vertAlign w:val="subscript"/>
          <w:lang w:val="hu-HU" w:eastAsia="en-GB"/>
        </w:rPr>
        <w:t>0</w:t>
      </w:r>
      <w:r>
        <w:rPr>
          <w:lang w:val="hu-HU" w:eastAsia="en-GB"/>
        </w:rPr>
        <w:t xml:space="preserve"> nőstény patkányok vemhességére, ellésére és szoptatására, valamint az utódok (F</w:t>
      </w:r>
      <w:r>
        <w:rPr>
          <w:vertAlign w:val="subscript"/>
          <w:lang w:val="hu-HU" w:eastAsia="en-GB"/>
        </w:rPr>
        <w:t>1</w:t>
      </w:r>
      <w:r>
        <w:rPr>
          <w:lang w:val="hu-HU" w:eastAsia="en-GB"/>
        </w:rPr>
        <w:t>) növekedésére, fejlődésére, idegi-viselkedési vagy reprodukciós funkcióira. Az F</w:t>
      </w:r>
      <w:r>
        <w:rPr>
          <w:vertAlign w:val="subscript"/>
          <w:lang w:val="hu-HU" w:eastAsia="en-GB"/>
        </w:rPr>
        <w:t>0</w:t>
      </w:r>
      <w:r>
        <w:rPr>
          <w:lang w:val="hu-HU" w:eastAsia="en-GB"/>
        </w:rPr>
        <w:t xml:space="preserve"> anyáknál történő gyógyszeralkalmazást követően az </w:t>
      </w:r>
      <w:proofErr w:type="spellStart"/>
      <w:r>
        <w:rPr>
          <w:lang w:val="hu-HU" w:eastAsia="en-GB"/>
        </w:rPr>
        <w:t>eltrombopagot</w:t>
      </w:r>
      <w:proofErr w:type="spellEnd"/>
      <w:r>
        <w:rPr>
          <w:lang w:val="hu-HU" w:eastAsia="en-GB"/>
        </w:rPr>
        <w:t xml:space="preserve"> az összes F</w:t>
      </w:r>
      <w:r>
        <w:rPr>
          <w:vertAlign w:val="subscript"/>
          <w:lang w:val="hu-HU" w:eastAsia="en-GB"/>
        </w:rPr>
        <w:t>1</w:t>
      </w:r>
      <w:r>
        <w:rPr>
          <w:lang w:val="hu-HU" w:eastAsia="en-GB"/>
        </w:rPr>
        <w:t xml:space="preserve"> patkánykölyök plazmájában kimutatták a teljes 22 órás mintavételi idő alatt, ami arra utal, hogy a patkánykölykök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expozícióját valószínűleg a szoptatás eredményezte.</w:t>
      </w:r>
    </w:p>
    <w:p w14:paraId="35C9DAC0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1BD9C767" w14:textId="77777777" w:rsidR="00342CEA" w:rsidRDefault="00837BAB">
      <w:pPr>
        <w:keepNext/>
        <w:keepLines/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proofErr w:type="spellStart"/>
      <w:r>
        <w:rPr>
          <w:u w:val="single"/>
          <w:lang w:val="hu-HU" w:eastAsia="en-GB"/>
        </w:rPr>
        <w:t>Fototoxicitás</w:t>
      </w:r>
      <w:proofErr w:type="spellEnd"/>
    </w:p>
    <w:p w14:paraId="0CC3711E" w14:textId="77777777" w:rsidR="00342CEA" w:rsidRDefault="00837BAB">
      <w:pPr>
        <w:keepNext/>
        <w:keepLines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 w:eastAsia="en-GB"/>
        </w:rPr>
        <w:t xml:space="preserve">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végzett </w:t>
      </w:r>
      <w:r>
        <w:rPr>
          <w:i/>
          <w:lang w:val="hu-HU" w:eastAsia="en-GB"/>
        </w:rPr>
        <w:t xml:space="preserve">in vitro </w:t>
      </w:r>
      <w:r>
        <w:rPr>
          <w:lang w:val="hu-HU" w:eastAsia="en-GB"/>
        </w:rPr>
        <w:t xml:space="preserve">vizsgálatok felvetik a </w:t>
      </w:r>
      <w:proofErr w:type="spellStart"/>
      <w:r>
        <w:rPr>
          <w:lang w:val="hu-HU" w:eastAsia="en-GB"/>
        </w:rPr>
        <w:t>fototoxicitás</w:t>
      </w:r>
      <w:proofErr w:type="spellEnd"/>
      <w:r>
        <w:rPr>
          <w:lang w:val="hu-HU" w:eastAsia="en-GB"/>
        </w:rPr>
        <w:t xml:space="preserve"> kockázatának lehetőségét; azonban rágcsálóknál nem volt látható jele bőr-</w:t>
      </w:r>
      <w:proofErr w:type="spellStart"/>
      <w:r>
        <w:rPr>
          <w:lang w:val="hu-HU" w:eastAsia="en-GB"/>
        </w:rPr>
        <w:t>fototoxicitásnak</w:t>
      </w:r>
      <w:proofErr w:type="spellEnd"/>
      <w:r>
        <w:rPr>
          <w:lang w:val="hu-HU" w:eastAsia="en-GB"/>
        </w:rPr>
        <w:t xml:space="preserve"> (az AUC alapján számított, 75 mg/nap adagot kapó felnőtt vagy gyermek- és serdülőkorú ITP</w:t>
      </w:r>
      <w:r>
        <w:rPr>
          <w:lang w:val="hu-HU" w:eastAsia="en-GB"/>
        </w:rPr>
        <w:noBreakHyphen/>
        <w:t>s betegeken alapuló humán klinikai expozíció 10</w:t>
      </w:r>
      <w:r>
        <w:rPr>
          <w:lang w:val="hu-HU" w:eastAsia="en-GB"/>
        </w:rPr>
        <w:noBreakHyphen/>
        <w:t>szerese vagy 7</w:t>
      </w:r>
      <w:r>
        <w:rPr>
          <w:lang w:val="hu-HU" w:eastAsia="en-GB"/>
        </w:rPr>
        <w:noBreakHyphen/>
        <w:t>szerese, illetve 100 mg/nap adagot kapó HCV</w:t>
      </w:r>
      <w:r>
        <w:rPr>
          <w:lang w:val="hu-HU" w:eastAsia="en-GB"/>
        </w:rPr>
        <w:noBreakHyphen/>
        <w:t>s betegeken alapuló humán klinikai expozíció 5</w:t>
      </w:r>
      <w:r>
        <w:rPr>
          <w:lang w:val="hu-HU" w:eastAsia="en-GB"/>
        </w:rPr>
        <w:noBreakHyphen/>
        <w:t>szöröse) vagy szem-</w:t>
      </w:r>
      <w:proofErr w:type="spellStart"/>
      <w:r>
        <w:rPr>
          <w:lang w:val="hu-HU" w:eastAsia="en-GB"/>
        </w:rPr>
        <w:t>fototoxicitásnak</w:t>
      </w:r>
      <w:proofErr w:type="spellEnd"/>
      <w:r>
        <w:rPr>
          <w:lang w:val="hu-HU" w:eastAsia="en-GB"/>
        </w:rPr>
        <w:t xml:space="preserve"> (az AUC alapján számított, 75 mg/nap adagot kapó felnőtt vagy gyermek- és serdülőkorú ITP</w:t>
      </w:r>
      <w:r>
        <w:rPr>
          <w:lang w:val="hu-HU" w:eastAsia="en-GB"/>
        </w:rPr>
        <w:noBreakHyphen/>
        <w:t xml:space="preserve">s betegeken alapuló humán klinikai expozíció </w:t>
      </w:r>
      <w:r>
        <w:rPr>
          <w:lang w:val="en-US"/>
        </w:rPr>
        <w:t>≥ </w:t>
      </w:r>
      <w:r>
        <w:rPr>
          <w:lang w:val="hu-HU" w:eastAsia="en-GB"/>
        </w:rPr>
        <w:t>4</w:t>
      </w:r>
      <w:r>
        <w:rPr>
          <w:lang w:val="hu-HU" w:eastAsia="en-GB"/>
        </w:rPr>
        <w:noBreakHyphen/>
        <w:t>szerese, illetve 100 mg/nap adagot kapó HCV-s betegeken alapuló humán klinikai expozíció 3</w:t>
      </w:r>
      <w:r>
        <w:rPr>
          <w:lang w:val="hu-HU" w:eastAsia="en-GB"/>
        </w:rPr>
        <w:noBreakHyphen/>
        <w:t xml:space="preserve">szorosa). Továbbá, egy klinikai farmakológiai vizsgálatban 36 személynél nem volt bizonyíték arra, hogy a fényérzékenység fokozódott volna 75 mg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 xml:space="preserve"> adagolása után. Ezt a késleltetett </w:t>
      </w:r>
      <w:proofErr w:type="spellStart"/>
      <w:r>
        <w:rPr>
          <w:lang w:val="hu-HU" w:eastAsia="en-GB"/>
        </w:rPr>
        <w:t>fototoxicitási</w:t>
      </w:r>
      <w:proofErr w:type="spellEnd"/>
      <w:r>
        <w:rPr>
          <w:lang w:val="hu-HU" w:eastAsia="en-GB"/>
        </w:rPr>
        <w:t xml:space="preserve"> index segítségével mérték. Mindazonáltal, a fényallergia potenciális kockázata nem zárható ki, mivel nem végezhető specifikus </w:t>
      </w:r>
      <w:proofErr w:type="spellStart"/>
      <w:r>
        <w:rPr>
          <w:lang w:val="hu-HU" w:eastAsia="en-GB"/>
        </w:rPr>
        <w:t>preklinikai</w:t>
      </w:r>
      <w:proofErr w:type="spellEnd"/>
      <w:r>
        <w:rPr>
          <w:lang w:val="hu-HU" w:eastAsia="en-GB"/>
        </w:rPr>
        <w:t xml:space="preserve"> vizsgálat.</w:t>
      </w:r>
    </w:p>
    <w:p w14:paraId="40D7564D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2016AFFA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u w:val="single"/>
          <w:lang w:val="hu-HU" w:eastAsia="en-GB"/>
        </w:rPr>
      </w:pPr>
      <w:r>
        <w:rPr>
          <w:u w:val="single"/>
          <w:lang w:val="hu-HU" w:eastAsia="en-GB"/>
        </w:rPr>
        <w:t>Fiatal állatokkal végzett vizsgálatok</w:t>
      </w:r>
    </w:p>
    <w:p w14:paraId="2169C1CB" w14:textId="77777777" w:rsidR="00342CEA" w:rsidRDefault="00837BAB">
      <w:p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u w:val="single"/>
          <w:lang w:val="hu-HU" w:eastAsia="en-US"/>
        </w:rPr>
      </w:pPr>
      <w:r>
        <w:rPr>
          <w:lang w:val="hu-HU" w:eastAsia="en-GB"/>
        </w:rPr>
        <w:t xml:space="preserve">Nem tolerálható dózisokban adagolva, az elválasztás előtt álló fiatal patkányoknál </w:t>
      </w:r>
      <w:proofErr w:type="spellStart"/>
      <w:r>
        <w:rPr>
          <w:lang w:val="hu-HU" w:eastAsia="en-GB"/>
        </w:rPr>
        <w:t>ocularis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opacitást</w:t>
      </w:r>
      <w:proofErr w:type="spellEnd"/>
      <w:r>
        <w:rPr>
          <w:lang w:val="hu-HU" w:eastAsia="en-GB"/>
        </w:rPr>
        <w:t xml:space="preserve"> észleltek. Tolerálható dózisoknál nem figyeltek meg </w:t>
      </w:r>
      <w:proofErr w:type="spellStart"/>
      <w:r>
        <w:rPr>
          <w:lang w:val="hu-HU" w:eastAsia="en-GB"/>
        </w:rPr>
        <w:t>ocularis</w:t>
      </w:r>
      <w:proofErr w:type="spellEnd"/>
      <w:r>
        <w:rPr>
          <w:lang w:val="hu-HU" w:eastAsia="en-GB"/>
        </w:rPr>
        <w:t xml:space="preserve"> </w:t>
      </w:r>
      <w:proofErr w:type="spellStart"/>
      <w:r>
        <w:rPr>
          <w:lang w:val="hu-HU" w:eastAsia="en-GB"/>
        </w:rPr>
        <w:t>opacitást</w:t>
      </w:r>
      <w:proofErr w:type="spellEnd"/>
      <w:r>
        <w:rPr>
          <w:lang w:val="hu-HU" w:eastAsia="en-GB"/>
        </w:rPr>
        <w:t xml:space="preserve"> (lásd fent a „Farmakológiai biztonságossági és ismételt </w:t>
      </w:r>
      <w:proofErr w:type="spellStart"/>
      <w:r>
        <w:rPr>
          <w:lang w:val="hu-HU" w:eastAsia="en-GB"/>
        </w:rPr>
        <w:t>adagolású</w:t>
      </w:r>
      <w:proofErr w:type="spellEnd"/>
      <w:r>
        <w:rPr>
          <w:lang w:val="hu-HU" w:eastAsia="en-GB"/>
        </w:rPr>
        <w:t xml:space="preserve"> dózistoxicitási jellemzők” c. alpontot). Következésképpen, az AUC alapján meghatározott expozíciós határokat figyelembe véve az </w:t>
      </w:r>
      <w:proofErr w:type="spellStart"/>
      <w:r>
        <w:rPr>
          <w:lang w:val="hu-HU" w:eastAsia="en-GB"/>
        </w:rPr>
        <w:t>eltrombopaggal</w:t>
      </w:r>
      <w:proofErr w:type="spellEnd"/>
      <w:r>
        <w:rPr>
          <w:lang w:val="hu-HU" w:eastAsia="en-GB"/>
        </w:rPr>
        <w:t xml:space="preserve"> összefüggő szürkehályog kialakulásának kockázatát gyermek és serdülőkorú betegeknél nem lehet kizárni. A fiatal patkányoknál nem észleltek arra utaló eredményeket, hogy az </w:t>
      </w:r>
      <w:proofErr w:type="spellStart"/>
      <w:r>
        <w:rPr>
          <w:lang w:val="hu-HU" w:eastAsia="en-GB"/>
        </w:rPr>
        <w:t>eltrombopag</w:t>
      </w:r>
      <w:proofErr w:type="spellEnd"/>
      <w:r>
        <w:rPr>
          <w:lang w:val="hu-HU" w:eastAsia="en-GB"/>
        </w:rPr>
        <w:t>-kezelés mellett nagyobb a toxicitás kockázata az ITP</w:t>
      </w:r>
      <w:r>
        <w:rPr>
          <w:lang w:val="hu-HU" w:eastAsia="en-GB"/>
        </w:rPr>
        <w:noBreakHyphen/>
        <w:t>s gyermek és serdülőkorú betegeknél, mint a felnőtteknél.</w:t>
      </w:r>
    </w:p>
    <w:p w14:paraId="713C5685" w14:textId="77777777" w:rsidR="00342CEA" w:rsidRDefault="00342CEA">
      <w:pPr>
        <w:spacing w:line="240" w:lineRule="auto"/>
        <w:rPr>
          <w:lang w:val="hu-HU"/>
        </w:rPr>
      </w:pPr>
    </w:p>
    <w:p w14:paraId="32D01AFD" w14:textId="77777777" w:rsidR="00342CEA" w:rsidRDefault="00342CEA">
      <w:pPr>
        <w:spacing w:line="240" w:lineRule="auto"/>
        <w:rPr>
          <w:lang w:val="hu-HU"/>
        </w:rPr>
      </w:pPr>
    </w:p>
    <w:p w14:paraId="74A81A53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</w:t>
      </w:r>
      <w:r>
        <w:rPr>
          <w:rFonts w:eastAsia="Times New Roman"/>
          <w:b/>
          <w:bCs/>
          <w:lang w:val="hu-HU" w:eastAsia="en-US"/>
        </w:rPr>
        <w:tab/>
        <w:t>GYÓGYSZERÉSZETI JELLEMZŐK</w:t>
      </w:r>
    </w:p>
    <w:p w14:paraId="7006C7C1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4F2A1CA4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lastRenderedPageBreak/>
        <w:t>6.1</w:t>
      </w:r>
      <w:r>
        <w:rPr>
          <w:rFonts w:eastAsia="Times New Roman"/>
          <w:b/>
          <w:bCs/>
          <w:lang w:val="hu-HU" w:eastAsia="en-US"/>
        </w:rPr>
        <w:tab/>
        <w:t>Segédanyagok felsorolása</w:t>
      </w:r>
    </w:p>
    <w:p w14:paraId="1D999E37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29576745" w14:textId="77777777" w:rsidR="00342CEA" w:rsidRDefault="00837BAB">
      <w:pPr>
        <w:ind w:left="1560" w:hanging="1560"/>
        <w:rPr>
          <w:u w:val="single"/>
          <w:lang w:val="hu-HU"/>
        </w:rPr>
      </w:pPr>
      <w:r>
        <w:rPr>
          <w:u w:val="single"/>
          <w:lang w:val="hu-HU"/>
        </w:rPr>
        <w:t>Tablettamag</w:t>
      </w:r>
    </w:p>
    <w:p w14:paraId="192179E4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mikrokristályos cellulóz</w:t>
      </w:r>
    </w:p>
    <w:p w14:paraId="344DDFAB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mannit</w:t>
      </w:r>
    </w:p>
    <w:p w14:paraId="2A8A73AC" w14:textId="77777777" w:rsidR="00342CEA" w:rsidRDefault="00837BAB">
      <w:pPr>
        <w:suppressAutoHyphens/>
        <w:ind w:right="-2"/>
        <w:rPr>
          <w:lang w:val="hu-HU"/>
        </w:rPr>
      </w:pPr>
      <w:proofErr w:type="spellStart"/>
      <w:r>
        <w:rPr>
          <w:lang w:val="hu-HU"/>
        </w:rPr>
        <w:t>povidon</w:t>
      </w:r>
      <w:proofErr w:type="spellEnd"/>
    </w:p>
    <w:p w14:paraId="1C844B14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izomalt (E 953)</w:t>
      </w:r>
    </w:p>
    <w:p w14:paraId="1A40FD95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kalcium</w:t>
      </w:r>
      <w:r>
        <w:rPr>
          <w:lang w:val="hu-HU"/>
        </w:rPr>
        <w:noBreakHyphen/>
        <w:t>szilikát</w:t>
      </w:r>
    </w:p>
    <w:p w14:paraId="4A4D0343" w14:textId="77777777" w:rsidR="00342CEA" w:rsidRDefault="00837BAB">
      <w:pPr>
        <w:suppressAutoHyphens/>
        <w:ind w:right="-2"/>
        <w:rPr>
          <w:lang w:val="hu-HU"/>
        </w:rPr>
      </w:pPr>
      <w:proofErr w:type="spellStart"/>
      <w:r>
        <w:rPr>
          <w:lang w:val="hu-HU"/>
        </w:rPr>
        <w:t>karboximetilkeményítő</w:t>
      </w:r>
      <w:proofErr w:type="spellEnd"/>
      <w:r>
        <w:rPr>
          <w:lang w:val="hu-HU"/>
        </w:rPr>
        <w:noBreakHyphen/>
        <w:t>nátrium</w:t>
      </w:r>
    </w:p>
    <w:p w14:paraId="0782FBC8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magnézium</w:t>
      </w:r>
      <w:r>
        <w:rPr>
          <w:lang w:val="hu-HU"/>
        </w:rPr>
        <w:noBreakHyphen/>
      </w:r>
      <w:proofErr w:type="spellStart"/>
      <w:r>
        <w:rPr>
          <w:lang w:val="hu-HU"/>
        </w:rPr>
        <w:t>sztearát</w:t>
      </w:r>
      <w:proofErr w:type="spellEnd"/>
    </w:p>
    <w:p w14:paraId="4701E459" w14:textId="77777777" w:rsidR="00342CEA" w:rsidRDefault="00342CEA">
      <w:pPr>
        <w:suppressAutoHyphens/>
        <w:ind w:right="-2"/>
        <w:rPr>
          <w:lang w:val="hu-HU"/>
        </w:rPr>
      </w:pPr>
    </w:p>
    <w:p w14:paraId="2EA2091E" w14:textId="77777777" w:rsidR="00342CEA" w:rsidRDefault="00837BAB">
      <w:pPr>
        <w:suppressAutoHyphens/>
        <w:ind w:right="-2"/>
        <w:rPr>
          <w:u w:val="single"/>
          <w:lang w:val="hu-HU"/>
        </w:rPr>
      </w:pPr>
      <w:r>
        <w:rPr>
          <w:u w:val="single"/>
          <w:lang w:val="hu-HU"/>
        </w:rPr>
        <w:t>Tabletta bevonat</w:t>
      </w:r>
    </w:p>
    <w:p w14:paraId="19449520" w14:textId="77777777" w:rsidR="00342CEA" w:rsidRDefault="00837BAB">
      <w:pPr>
        <w:widowControl w:val="0"/>
        <w:spacing w:line="240" w:lineRule="auto"/>
        <w:rPr>
          <w:rFonts w:eastAsia="Times New Roman"/>
          <w:i/>
          <w:u w:val="single"/>
          <w:lang w:val="hu-HU" w:eastAsia="en-US"/>
        </w:rPr>
      </w:pPr>
      <w:proofErr w:type="spellStart"/>
      <w:r>
        <w:rPr>
          <w:rFonts w:eastAsia="Times New Roman"/>
          <w:i/>
          <w:u w:val="single"/>
          <w:lang w:val="hu-HU" w:eastAsia="en-US"/>
        </w:rPr>
        <w:t>Eltrombopag</w:t>
      </w:r>
      <w:proofErr w:type="spellEnd"/>
      <w:r>
        <w:rPr>
          <w:rFonts w:eastAsia="Times New Roman"/>
          <w:i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i/>
          <w:u w:val="single"/>
          <w:lang w:val="hu-HU" w:eastAsia="en-US"/>
        </w:rPr>
        <w:t>Sandoz</w:t>
      </w:r>
      <w:proofErr w:type="spellEnd"/>
      <w:r>
        <w:rPr>
          <w:rFonts w:eastAsia="Times New Roman"/>
          <w:i/>
          <w:u w:val="single"/>
          <w:lang w:val="hu-HU" w:eastAsia="en-US"/>
        </w:rPr>
        <w:t xml:space="preserve"> 12,5 mg, 25 mg és 50 mg filmtabletta</w:t>
      </w:r>
    </w:p>
    <w:p w14:paraId="77199C34" w14:textId="77777777" w:rsidR="00342CEA" w:rsidRDefault="00837BAB">
      <w:pPr>
        <w:suppressAutoHyphens/>
        <w:ind w:right="-2"/>
        <w:rPr>
          <w:lang w:val="hu-HU"/>
        </w:rPr>
      </w:pPr>
      <w:proofErr w:type="spellStart"/>
      <w:r>
        <w:rPr>
          <w:lang w:val="hu-HU"/>
        </w:rPr>
        <w:t>hipromellóz</w:t>
      </w:r>
      <w:proofErr w:type="spellEnd"/>
    </w:p>
    <w:p w14:paraId="2C8A5DD8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titán</w:t>
      </w:r>
      <w:r>
        <w:rPr>
          <w:lang w:val="hu-HU"/>
        </w:rPr>
        <w:noBreakHyphen/>
        <w:t>dioxid (E171)</w:t>
      </w:r>
    </w:p>
    <w:p w14:paraId="533EF11F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vörös vas</w:t>
      </w:r>
      <w:r>
        <w:rPr>
          <w:lang w:val="hu-HU"/>
        </w:rPr>
        <w:noBreakHyphen/>
        <w:t>oxid (E172)</w:t>
      </w:r>
    </w:p>
    <w:p w14:paraId="30B5214F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sárga vas</w:t>
      </w:r>
      <w:r>
        <w:rPr>
          <w:lang w:val="hu-HU"/>
        </w:rPr>
        <w:noBreakHyphen/>
        <w:t>oxid (E172)</w:t>
      </w:r>
    </w:p>
    <w:p w14:paraId="2FCB8E85" w14:textId="77777777" w:rsidR="00342CEA" w:rsidRDefault="00837BAB">
      <w:pPr>
        <w:suppressAutoHyphens/>
        <w:ind w:right="-2"/>
        <w:rPr>
          <w:lang w:val="hu-HU"/>
        </w:rPr>
      </w:pPr>
      <w:proofErr w:type="spellStart"/>
      <w:r>
        <w:rPr>
          <w:lang w:val="hu-HU"/>
        </w:rPr>
        <w:t>triacetin</w:t>
      </w:r>
      <w:proofErr w:type="spellEnd"/>
    </w:p>
    <w:p w14:paraId="2F274E59" w14:textId="77777777" w:rsidR="00342CEA" w:rsidRDefault="00342CEA">
      <w:pPr>
        <w:widowControl w:val="0"/>
        <w:spacing w:line="240" w:lineRule="auto"/>
        <w:rPr>
          <w:rFonts w:eastAsia="Times New Roman"/>
          <w:lang w:val="hu-HU" w:eastAsia="en-US"/>
        </w:rPr>
      </w:pPr>
    </w:p>
    <w:p w14:paraId="11F5717E" w14:textId="77777777" w:rsidR="00342CEA" w:rsidRDefault="00837BAB">
      <w:pPr>
        <w:widowControl w:val="0"/>
        <w:spacing w:line="240" w:lineRule="auto"/>
        <w:rPr>
          <w:rFonts w:eastAsia="Times New Roman"/>
          <w:i/>
          <w:u w:val="single"/>
          <w:lang w:val="hu-HU" w:eastAsia="en-US"/>
        </w:rPr>
      </w:pPr>
      <w:proofErr w:type="spellStart"/>
      <w:r>
        <w:rPr>
          <w:rFonts w:eastAsia="Times New Roman"/>
          <w:i/>
          <w:u w:val="single"/>
          <w:lang w:val="hu-HU" w:eastAsia="en-US"/>
        </w:rPr>
        <w:t>Eltrombopag</w:t>
      </w:r>
      <w:proofErr w:type="spellEnd"/>
      <w:r>
        <w:rPr>
          <w:rFonts w:eastAsia="Times New Roman"/>
          <w:i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i/>
          <w:u w:val="single"/>
          <w:lang w:val="hu-HU" w:eastAsia="en-US"/>
        </w:rPr>
        <w:t>Sandoz</w:t>
      </w:r>
      <w:proofErr w:type="spellEnd"/>
      <w:r>
        <w:rPr>
          <w:rFonts w:eastAsia="Times New Roman"/>
          <w:i/>
          <w:u w:val="single"/>
          <w:lang w:val="hu-HU" w:eastAsia="en-US"/>
        </w:rPr>
        <w:t xml:space="preserve"> 75 mg filmtabletta</w:t>
      </w:r>
    </w:p>
    <w:p w14:paraId="100FBB5A" w14:textId="77777777" w:rsidR="00342CEA" w:rsidRDefault="00837BAB">
      <w:pPr>
        <w:suppressAutoHyphens/>
        <w:ind w:right="-2"/>
        <w:rPr>
          <w:lang w:val="hu-HU"/>
        </w:rPr>
      </w:pPr>
      <w:proofErr w:type="spellStart"/>
      <w:r>
        <w:rPr>
          <w:lang w:val="hu-HU"/>
        </w:rPr>
        <w:t>hipromellóz</w:t>
      </w:r>
      <w:proofErr w:type="spellEnd"/>
    </w:p>
    <w:p w14:paraId="46933799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titán</w:t>
      </w:r>
      <w:r>
        <w:rPr>
          <w:lang w:val="hu-HU"/>
        </w:rPr>
        <w:noBreakHyphen/>
        <w:t>dioxid (E171)</w:t>
      </w:r>
    </w:p>
    <w:p w14:paraId="18C8C280" w14:textId="77777777" w:rsidR="00342CEA" w:rsidRDefault="00837BAB">
      <w:pPr>
        <w:suppressAutoHyphens/>
        <w:ind w:right="-2"/>
        <w:rPr>
          <w:lang w:val="hu-HU"/>
        </w:rPr>
      </w:pPr>
      <w:r>
        <w:rPr>
          <w:lang w:val="hu-HU"/>
        </w:rPr>
        <w:t>vörös vas</w:t>
      </w:r>
      <w:r>
        <w:rPr>
          <w:lang w:val="hu-HU"/>
        </w:rPr>
        <w:noBreakHyphen/>
        <w:t>oxid (E172)</w:t>
      </w:r>
    </w:p>
    <w:p w14:paraId="68DA5AC6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lang w:val="hu-HU"/>
        </w:rPr>
        <w:t>triacetin</w:t>
      </w:r>
      <w:proofErr w:type="spellEnd"/>
    </w:p>
    <w:p w14:paraId="1BD95990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7C4DB7E9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6.2</w:t>
      </w:r>
      <w:r>
        <w:rPr>
          <w:rFonts w:eastAsia="Times New Roman"/>
          <w:b/>
          <w:bCs/>
          <w:lang w:val="hu-HU" w:eastAsia="en-US"/>
        </w:rPr>
        <w:tab/>
        <w:t>Inkompatibilitások</w:t>
      </w:r>
    </w:p>
    <w:p w14:paraId="4C95543D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17CD85E6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Nem értelmezhető.</w:t>
      </w:r>
    </w:p>
    <w:p w14:paraId="429684F2" w14:textId="77777777" w:rsidR="00342CEA" w:rsidRDefault="00342CEA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23772131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6.3</w:t>
      </w:r>
      <w:r>
        <w:rPr>
          <w:rFonts w:eastAsia="Times New Roman"/>
          <w:b/>
          <w:bCs/>
          <w:lang w:val="hu-HU" w:eastAsia="en-US"/>
        </w:rPr>
        <w:tab/>
        <w:t>Felhasználhatósági időtartam</w:t>
      </w:r>
    </w:p>
    <w:p w14:paraId="2C411025" w14:textId="77777777" w:rsidR="00342CEA" w:rsidRDefault="00342CEA">
      <w:pPr>
        <w:keepNext/>
        <w:spacing w:line="240" w:lineRule="auto"/>
        <w:rPr>
          <w:rFonts w:eastAsia="Times New Roman"/>
          <w:lang w:val="hu-HU" w:eastAsia="en-US"/>
        </w:rPr>
      </w:pPr>
    </w:p>
    <w:p w14:paraId="57152FE2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2 év</w:t>
      </w:r>
    </w:p>
    <w:p w14:paraId="62DAE623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02BBC248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6.4</w:t>
      </w:r>
      <w:r>
        <w:rPr>
          <w:rFonts w:eastAsia="Times New Roman"/>
          <w:b/>
          <w:bCs/>
          <w:lang w:val="hu-HU" w:eastAsia="en-US"/>
        </w:rPr>
        <w:tab/>
        <w:t>Különleges tárolási előírások</w:t>
      </w:r>
    </w:p>
    <w:p w14:paraId="7818F767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70D833E9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Ez a gyógyszer nem igényel különleges tárolást.</w:t>
      </w:r>
    </w:p>
    <w:p w14:paraId="314C6E67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5C342987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6.5</w:t>
      </w:r>
      <w:r>
        <w:rPr>
          <w:rFonts w:eastAsia="Times New Roman"/>
          <w:b/>
          <w:bCs/>
          <w:lang w:val="hu-HU" w:eastAsia="en-US"/>
        </w:rPr>
        <w:tab/>
        <w:t xml:space="preserve">Csomagolás típusa és kiszerelése </w:t>
      </w:r>
    </w:p>
    <w:p w14:paraId="5829FE27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5E07FD66" w14:textId="77777777" w:rsidR="00342CEA" w:rsidRDefault="00837BAB">
      <w:pPr>
        <w:spacing w:line="240" w:lineRule="auto"/>
        <w:rPr>
          <w:rFonts w:eastAsia="Times New Roman"/>
          <w:u w:val="single"/>
          <w:lang w:val="hu-HU" w:eastAsia="en-US"/>
        </w:rPr>
      </w:pPr>
      <w:bookmarkStart w:id="3" w:name="_Hlk186554589"/>
      <w:proofErr w:type="spellStart"/>
      <w:r>
        <w:rPr>
          <w:rFonts w:eastAsia="Times New Roman"/>
          <w:u w:val="single"/>
          <w:lang w:val="hu-HU" w:eastAsia="en-US"/>
        </w:rPr>
        <w:t>Eltrombopag</w:t>
      </w:r>
      <w:proofErr w:type="spellEnd"/>
      <w:r>
        <w:rPr>
          <w:rFonts w:eastAsia="Times New Roman"/>
          <w:u w:val="single"/>
          <w:lang w:val="hu-HU" w:eastAsia="en-US"/>
        </w:rPr>
        <w:t xml:space="preserve"> </w:t>
      </w:r>
      <w:proofErr w:type="spellStart"/>
      <w:r>
        <w:rPr>
          <w:rFonts w:eastAsia="Times New Roman"/>
          <w:u w:val="single"/>
          <w:lang w:val="hu-HU" w:eastAsia="en-US"/>
        </w:rPr>
        <w:t>Sandoz</w:t>
      </w:r>
      <w:proofErr w:type="spellEnd"/>
      <w:r>
        <w:rPr>
          <w:rFonts w:eastAsia="Times New Roman"/>
          <w:u w:val="single"/>
          <w:lang w:val="hu-HU" w:eastAsia="en-US"/>
        </w:rPr>
        <w:t xml:space="preserve"> 12,5 mg, 25 mg, 50 mg és 75 mg filmtabletta</w:t>
      </w:r>
    </w:p>
    <w:p w14:paraId="73912D16" w14:textId="77777777" w:rsidR="00342CEA" w:rsidRDefault="00837BAB">
      <w:pPr>
        <w:widowControl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10, 14, 28, 30 vagy 84 db filmtabletta </w:t>
      </w:r>
      <w:bookmarkStart w:id="4" w:name="_Hlk210990463"/>
      <w:r>
        <w:rPr>
          <w:rFonts w:eastAsia="Times New Roman"/>
          <w:lang w:val="hu-HU" w:eastAsia="en-US"/>
        </w:rPr>
        <w:t>OPA/</w:t>
      </w:r>
      <w:proofErr w:type="spellStart"/>
      <w:r>
        <w:rPr>
          <w:rFonts w:eastAsia="Times New Roman"/>
          <w:lang w:val="hu-HU" w:eastAsia="en-US"/>
        </w:rPr>
        <w:t>Al</w:t>
      </w:r>
      <w:proofErr w:type="spellEnd"/>
      <w:r>
        <w:rPr>
          <w:rFonts w:eastAsia="Times New Roman"/>
          <w:lang w:val="hu-HU" w:eastAsia="en-US"/>
        </w:rPr>
        <w:t>/PVC//</w:t>
      </w:r>
      <w:proofErr w:type="spellStart"/>
      <w:r>
        <w:rPr>
          <w:rFonts w:eastAsia="Times New Roman"/>
          <w:lang w:val="hu-HU" w:eastAsia="en-US"/>
        </w:rPr>
        <w:t>Al</w:t>
      </w:r>
      <w:proofErr w:type="spellEnd"/>
      <w:r>
        <w:rPr>
          <w:rFonts w:eastAsia="Times New Roman"/>
          <w:lang w:val="hu-HU" w:eastAsia="en-US"/>
        </w:rPr>
        <w:t xml:space="preserve"> </w:t>
      </w:r>
      <w:bookmarkEnd w:id="4"/>
      <w:r>
        <w:rPr>
          <w:rFonts w:eastAsia="Times New Roman"/>
          <w:lang w:val="hu-HU" w:eastAsia="en-US"/>
        </w:rPr>
        <w:t>buborékcsomagolásban és dobozban, 10</w:t>
      </w:r>
      <w:r>
        <w:t> × </w:t>
      </w:r>
      <w:r>
        <w:rPr>
          <w:rFonts w:eastAsia="Times New Roman"/>
          <w:lang w:val="hu-HU" w:eastAsia="en-US"/>
        </w:rPr>
        <w:t>1, 14</w:t>
      </w:r>
      <w:r>
        <w:t> × </w:t>
      </w:r>
      <w:r>
        <w:rPr>
          <w:rFonts w:eastAsia="Times New Roman"/>
          <w:lang w:val="hu-HU" w:eastAsia="en-US"/>
        </w:rPr>
        <w:t>1, 28</w:t>
      </w:r>
      <w:r>
        <w:t> × 1</w:t>
      </w:r>
      <w:r>
        <w:rPr>
          <w:rFonts w:eastAsia="Times New Roman"/>
          <w:lang w:val="hu-HU" w:eastAsia="en-US"/>
        </w:rPr>
        <w:t>, 30</w:t>
      </w:r>
      <w:r>
        <w:t> × 1</w:t>
      </w:r>
      <w:r>
        <w:rPr>
          <w:rFonts w:eastAsia="Times New Roman"/>
          <w:lang w:val="hu-HU" w:eastAsia="en-US"/>
        </w:rPr>
        <w:t xml:space="preserve"> vagy 84</w:t>
      </w:r>
      <w:r>
        <w:t> × 1</w:t>
      </w:r>
      <w:r>
        <w:rPr>
          <w:rFonts w:eastAsia="Times New Roman"/>
          <w:lang w:val="hu-HU" w:eastAsia="en-US"/>
        </w:rPr>
        <w:t xml:space="preserve"> db filmtabletta adagonként perforált </w:t>
      </w:r>
      <w:proofErr w:type="spellStart"/>
      <w:r>
        <w:rPr>
          <w:color w:val="000000"/>
        </w:rPr>
        <w:t>oPA</w:t>
      </w:r>
      <w:proofErr w:type="spellEnd"/>
      <w:r>
        <w:rPr>
          <w:color w:val="000000"/>
        </w:rPr>
        <w:t xml:space="preserve">/Al/PVC//Al </w:t>
      </w:r>
      <w:r>
        <w:rPr>
          <w:rFonts w:eastAsia="Times New Roman"/>
          <w:lang w:val="hu-HU" w:eastAsia="en-US"/>
        </w:rPr>
        <w:t xml:space="preserve">buborékcsomagolásban és dobozban. </w:t>
      </w:r>
    </w:p>
    <w:p w14:paraId="237B8893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84 db (3, egyenként 28 db</w:t>
      </w:r>
      <w:r>
        <w:rPr>
          <w:rFonts w:eastAsia="Times New Roman"/>
          <w:lang w:val="hu-HU" w:eastAsia="en-US"/>
        </w:rPr>
        <w:noBreakHyphen/>
        <w:t>os csomag) filmtablettát tartalmazó gyűjtőcsomagolás.</w:t>
      </w:r>
    </w:p>
    <w:p w14:paraId="55333250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bookmarkEnd w:id="3"/>
    <w:p w14:paraId="281E08C5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Nem feltétlenül mindegyik kiszerelés kerül kereskedelmi forgalomba.</w:t>
      </w:r>
    </w:p>
    <w:p w14:paraId="23434203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66483BC3" w14:textId="77777777" w:rsidR="00342CEA" w:rsidRDefault="00837BAB">
      <w:pPr>
        <w:keepNext/>
        <w:ind w:left="567" w:hanging="567"/>
        <w:rPr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6.6</w:t>
      </w:r>
      <w:r>
        <w:rPr>
          <w:rFonts w:eastAsia="Times New Roman"/>
          <w:b/>
          <w:bCs/>
          <w:lang w:val="hu-HU" w:eastAsia="en-US"/>
        </w:rPr>
        <w:tab/>
        <w:t>A megsemmisítésre vonatkozó különleges óvintézkedések</w:t>
      </w:r>
      <w:r>
        <w:rPr>
          <w:rFonts w:eastAsia="DengXian"/>
          <w:caps/>
          <w:lang w:val="hu-HU" w:eastAsia="el-GR"/>
        </w:rPr>
        <w:t xml:space="preserve"> </w:t>
      </w:r>
      <w:r>
        <w:rPr>
          <w:b/>
          <w:bCs/>
          <w:lang w:val="hu-HU" w:eastAsia="en-US"/>
        </w:rPr>
        <w:t>és egyéb, a készítmény kezelésével kapcsolatos információk</w:t>
      </w:r>
    </w:p>
    <w:p w14:paraId="7C299D66" w14:textId="77777777" w:rsidR="00342CEA" w:rsidRDefault="00342CEA">
      <w:pPr>
        <w:spacing w:line="240" w:lineRule="auto"/>
        <w:ind w:left="567" w:hanging="567"/>
        <w:outlineLvl w:val="0"/>
        <w:rPr>
          <w:rFonts w:eastAsia="Times New Roman"/>
          <w:lang w:val="hu-HU" w:eastAsia="en-US"/>
        </w:rPr>
      </w:pPr>
    </w:p>
    <w:p w14:paraId="63885208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7FBFE008" w14:textId="77777777" w:rsidR="00342CEA" w:rsidRDefault="00342CEA">
      <w:pPr>
        <w:pStyle w:val="Szvegtrzs"/>
        <w:spacing w:before="1"/>
        <w:rPr>
          <w:b w:val="0"/>
          <w:bCs w:val="0"/>
          <w:i w:val="0"/>
        </w:rPr>
      </w:pPr>
    </w:p>
    <w:p w14:paraId="7F029F05" w14:textId="77777777" w:rsidR="00342CEA" w:rsidRDefault="00837BAB">
      <w:pPr>
        <w:keepNext/>
        <w:suppressAutoHyphens/>
        <w:outlineLvl w:val="3"/>
        <w:rPr>
          <w:rFonts w:eastAsia="Times New Roman"/>
          <w:lang w:val="hu-HU" w:eastAsia="hu-HU"/>
        </w:rPr>
      </w:pPr>
      <w:r>
        <w:rPr>
          <w:rFonts w:eastAsia="Times New Roman"/>
          <w:b/>
          <w:bCs/>
          <w:lang w:val="hu-HU" w:eastAsia="hu-HU"/>
        </w:rPr>
        <w:t xml:space="preserve">Megjegyzés: </w:t>
      </w:r>
      <w:r>
        <w:rPr>
          <w:rFonts w:ascii="Wingdings" w:eastAsia="Wingdings" w:hAnsi="Wingdings" w:cs="Wingdings"/>
          <w:lang w:val="hu-HU" w:eastAsia="hu-HU"/>
        </w:rPr>
        <w:t></w:t>
      </w:r>
      <w:r>
        <w:rPr>
          <w:rFonts w:eastAsia="Times New Roman"/>
          <w:lang w:val="hu-HU" w:eastAsia="hu-HU"/>
        </w:rPr>
        <w:t xml:space="preserve"> (egy kereszt)</w:t>
      </w:r>
    </w:p>
    <w:p w14:paraId="229B766F" w14:textId="77777777" w:rsidR="00342CEA" w:rsidRDefault="00837BAB">
      <w:pPr>
        <w:suppressAutoHyphens/>
        <w:rPr>
          <w:rFonts w:eastAsia="Times New Roman"/>
          <w:b/>
          <w:bCs/>
          <w:lang w:val="hu-HU" w:eastAsia="hu-HU"/>
        </w:rPr>
      </w:pPr>
      <w:r>
        <w:rPr>
          <w:rFonts w:eastAsia="Times New Roman"/>
          <w:lang w:val="hu-HU" w:eastAsia="hu-HU"/>
        </w:rPr>
        <w:t>Osztályozás:</w:t>
      </w:r>
      <w:r>
        <w:rPr>
          <w:rFonts w:eastAsia="Times New Roman"/>
          <w:b/>
          <w:bCs/>
          <w:lang w:val="hu-HU" w:eastAsia="hu-HU"/>
        </w:rPr>
        <w:t xml:space="preserve"> </w:t>
      </w:r>
      <w:proofErr w:type="gramStart"/>
      <w:r>
        <w:rPr>
          <w:rFonts w:eastAsia="Times New Roman"/>
          <w:b/>
          <w:bCs/>
          <w:lang w:val="hu-HU" w:eastAsia="hu-HU"/>
        </w:rPr>
        <w:t>II./</w:t>
      </w:r>
      <w:proofErr w:type="gramEnd"/>
      <w:r>
        <w:rPr>
          <w:rFonts w:eastAsia="Times New Roman"/>
          <w:b/>
          <w:bCs/>
          <w:lang w:val="hu-HU" w:eastAsia="hu-HU"/>
        </w:rPr>
        <w:t>2 csoport</w:t>
      </w:r>
    </w:p>
    <w:p w14:paraId="411B3E4A" w14:textId="77777777" w:rsidR="00342CEA" w:rsidRDefault="00837BAB">
      <w:pPr>
        <w:rPr>
          <w:rFonts w:eastAsia="Times New Roman"/>
          <w:lang w:val="hu-HU" w:eastAsia="en-US"/>
        </w:rPr>
      </w:pPr>
      <w:r>
        <w:rPr>
          <w:rFonts w:eastAsia="Times New Roman"/>
          <w:lang w:val="hu-HU" w:eastAsia="hu-HU"/>
        </w:rPr>
        <w:lastRenderedPageBreak/>
        <w:t>Korlátozott érvényű orvosi rendelvényhez kötött, szakorvosi/kórházi diagnózist követően folyamatos szakorvosi ellenőrzés mellett alkalmazható gyógyszer (Sz).</w:t>
      </w:r>
    </w:p>
    <w:p w14:paraId="4D317F0A" w14:textId="77777777" w:rsidR="00342CEA" w:rsidRDefault="00342CEA">
      <w:pPr>
        <w:spacing w:line="240" w:lineRule="auto"/>
        <w:ind w:left="567" w:hanging="567"/>
        <w:outlineLvl w:val="0"/>
        <w:rPr>
          <w:rFonts w:eastAsia="Times New Roman"/>
          <w:lang w:val="hu-HU" w:eastAsia="en-US"/>
        </w:rPr>
      </w:pPr>
    </w:p>
    <w:p w14:paraId="7EE37A85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7.</w:t>
      </w:r>
      <w:r>
        <w:rPr>
          <w:rFonts w:eastAsia="Times New Roman"/>
          <w:b/>
          <w:bCs/>
          <w:lang w:val="hu-HU" w:eastAsia="en-US"/>
        </w:rPr>
        <w:tab/>
        <w:t>A FORGALOMBA HOZATALI ENGEDÉLY JOGOSULTJA</w:t>
      </w:r>
    </w:p>
    <w:p w14:paraId="77E042FD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7176DBB8" w14:textId="77777777" w:rsidR="00342CEA" w:rsidRDefault="00837BAB">
      <w:pPr>
        <w:keepNext/>
        <w:rPr>
          <w:noProof/>
        </w:rPr>
      </w:pPr>
      <w:r>
        <w:rPr>
          <w:noProof/>
        </w:rPr>
        <w:t>Sandoz Hungária Kft.</w:t>
      </w:r>
    </w:p>
    <w:p w14:paraId="77D80CC3" w14:textId="77777777" w:rsidR="00342CEA" w:rsidRDefault="00837BAB">
      <w:pPr>
        <w:keepNext/>
        <w:rPr>
          <w:noProof/>
        </w:rPr>
      </w:pPr>
      <w:r>
        <w:rPr>
          <w:noProof/>
        </w:rPr>
        <w:t>1114 Budapest</w:t>
      </w:r>
    </w:p>
    <w:p w14:paraId="366E9CD6" w14:textId="77777777" w:rsidR="00342CEA" w:rsidRDefault="00837BAB">
      <w:pPr>
        <w:rPr>
          <w:noProof/>
        </w:rPr>
      </w:pPr>
      <w:r>
        <w:rPr>
          <w:noProof/>
        </w:rPr>
        <w:t>Bartók Béla út 43-47</w:t>
      </w:r>
    </w:p>
    <w:p w14:paraId="4C838B4B" w14:textId="77777777" w:rsidR="00342CEA" w:rsidRDefault="00837BAB">
      <w:pPr>
        <w:rPr>
          <w:noProof/>
        </w:rPr>
      </w:pPr>
      <w:r>
        <w:rPr>
          <w:noProof/>
        </w:rPr>
        <w:t>Magyarország</w:t>
      </w:r>
    </w:p>
    <w:p w14:paraId="6D839602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6C1EBBCA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72173854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8.</w:t>
      </w:r>
      <w:r>
        <w:rPr>
          <w:rFonts w:eastAsia="Times New Roman"/>
          <w:b/>
          <w:bCs/>
          <w:lang w:val="hu-HU" w:eastAsia="en-US"/>
        </w:rPr>
        <w:tab/>
        <w:t>A FORGALOMBA HOZATALI ENGEDÉLY SZÁMA(I)</w:t>
      </w:r>
    </w:p>
    <w:p w14:paraId="7FD8E9C5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3F8D2320" w14:textId="77777777" w:rsidR="00342CEA" w:rsidRDefault="00837BAB">
      <w:pPr>
        <w:rPr>
          <w:b/>
          <w:bCs/>
          <w:lang w:eastAsia="en-US"/>
        </w:rPr>
      </w:pPr>
      <w:proofErr w:type="spellStart"/>
      <w:r>
        <w:rPr>
          <w:b/>
          <w:bCs/>
        </w:rPr>
        <w:t>Eltrombopag</w:t>
      </w:r>
      <w:proofErr w:type="spellEnd"/>
      <w:r>
        <w:rPr>
          <w:b/>
          <w:bCs/>
        </w:rPr>
        <w:t xml:space="preserve"> Sandoz 12,5 mg </w:t>
      </w:r>
      <w:proofErr w:type="spellStart"/>
      <w:r>
        <w:rPr>
          <w:b/>
          <w:bCs/>
        </w:rPr>
        <w:t>filmtabletta</w:t>
      </w:r>
      <w:proofErr w:type="spellEnd"/>
    </w:p>
    <w:p w14:paraId="24896682" w14:textId="77777777" w:rsidR="00342CEA" w:rsidRDefault="00837BAB">
      <w:pPr>
        <w:jc w:val="both"/>
        <w:rPr>
          <w:lang w:eastAsia="hu-HU"/>
        </w:rPr>
      </w:pPr>
      <w:r>
        <w:rPr>
          <w:lang w:eastAsia="hu-HU"/>
        </w:rPr>
        <w:t>OGYI-T-24570/01</w:t>
      </w:r>
      <w:r>
        <w:rPr>
          <w:lang w:eastAsia="hu-HU"/>
        </w:rPr>
        <w:tab/>
        <w:t>30×1</w:t>
      </w:r>
      <w:r>
        <w:rPr>
          <w:lang w:eastAsia="hu-HU"/>
        </w:rPr>
        <w:tab/>
      </w:r>
      <w:proofErr w:type="spellStart"/>
      <w:r>
        <w:rPr>
          <w:lang w:eastAsia="hu-HU"/>
        </w:rPr>
        <w:t>adagonként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perforált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p w14:paraId="462E4193" w14:textId="77777777" w:rsidR="00342CEA" w:rsidRDefault="00342CEA">
      <w:pPr>
        <w:jc w:val="both"/>
        <w:rPr>
          <w:lang w:eastAsia="hu-HU"/>
        </w:rPr>
      </w:pPr>
    </w:p>
    <w:p w14:paraId="77966EA7" w14:textId="77777777" w:rsidR="00342CEA" w:rsidRDefault="00837BAB">
      <w:pPr>
        <w:rPr>
          <w:rFonts w:ascii="Calibri" w:hAnsi="Calibri"/>
          <w:color w:val="1F497D"/>
          <w:lang w:eastAsia="en-US"/>
        </w:rPr>
      </w:pPr>
      <w:proofErr w:type="spellStart"/>
      <w:r>
        <w:rPr>
          <w:b/>
          <w:bCs/>
        </w:rPr>
        <w:t>Eltrombopag</w:t>
      </w:r>
      <w:proofErr w:type="spellEnd"/>
      <w:r>
        <w:rPr>
          <w:b/>
          <w:bCs/>
        </w:rPr>
        <w:t xml:space="preserve"> Sandoz 25 mg </w:t>
      </w:r>
      <w:proofErr w:type="spellStart"/>
      <w:r>
        <w:rPr>
          <w:b/>
          <w:bCs/>
        </w:rPr>
        <w:t>filmtabletta</w:t>
      </w:r>
      <w:proofErr w:type="spellEnd"/>
    </w:p>
    <w:p w14:paraId="611FFD18" w14:textId="77777777" w:rsidR="00342CEA" w:rsidRDefault="00837BAB">
      <w:pPr>
        <w:jc w:val="both"/>
        <w:rPr>
          <w:lang w:eastAsia="hu-HU"/>
        </w:rPr>
      </w:pPr>
      <w:r>
        <w:rPr>
          <w:lang w:eastAsia="hu-HU"/>
        </w:rPr>
        <w:t>OGYI-T-24570/02</w:t>
      </w:r>
      <w:r>
        <w:rPr>
          <w:lang w:eastAsia="hu-HU"/>
        </w:rPr>
        <w:tab/>
        <w:t>30×1</w:t>
      </w:r>
      <w:r>
        <w:rPr>
          <w:lang w:eastAsia="hu-HU"/>
        </w:rPr>
        <w:tab/>
      </w:r>
      <w:proofErr w:type="spellStart"/>
      <w:r>
        <w:rPr>
          <w:lang w:eastAsia="hu-HU"/>
        </w:rPr>
        <w:t>adagonként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perforált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p w14:paraId="233D6873" w14:textId="77777777" w:rsidR="00342CEA" w:rsidRDefault="00837BAB">
      <w:pPr>
        <w:jc w:val="both"/>
        <w:rPr>
          <w:lang w:eastAsia="hu-HU"/>
        </w:rPr>
      </w:pPr>
      <w:bookmarkStart w:id="5" w:name="_Hlk210991893"/>
      <w:r>
        <w:rPr>
          <w:lang w:eastAsia="hu-HU"/>
        </w:rPr>
        <w:t>OGYI-T-24570/05</w:t>
      </w:r>
      <w:r>
        <w:rPr>
          <w:lang w:eastAsia="hu-HU"/>
        </w:rPr>
        <w:tab/>
        <w:t>28×</w:t>
      </w:r>
      <w:r>
        <w:rPr>
          <w:lang w:eastAsia="hu-HU"/>
        </w:rPr>
        <w:tab/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bookmarkEnd w:id="5"/>
    <w:p w14:paraId="05DCB862" w14:textId="77777777" w:rsidR="00342CEA" w:rsidRDefault="00342CEA" w:rsidP="00F55E07">
      <w:pPr>
        <w:jc w:val="both"/>
        <w:rPr>
          <w:lang w:eastAsia="hu-HU"/>
        </w:rPr>
      </w:pPr>
    </w:p>
    <w:p w14:paraId="7F9A2857" w14:textId="77777777" w:rsidR="00342CEA" w:rsidRDefault="00837BAB">
      <w:pPr>
        <w:rPr>
          <w:color w:val="1F497D"/>
        </w:rPr>
      </w:pPr>
      <w:proofErr w:type="spellStart"/>
      <w:r>
        <w:rPr>
          <w:b/>
          <w:bCs/>
        </w:rPr>
        <w:t>Eltrombopag</w:t>
      </w:r>
      <w:proofErr w:type="spellEnd"/>
      <w:r>
        <w:rPr>
          <w:b/>
          <w:bCs/>
        </w:rPr>
        <w:t xml:space="preserve"> Sandoz 50 mg </w:t>
      </w:r>
      <w:proofErr w:type="spellStart"/>
      <w:r>
        <w:rPr>
          <w:b/>
          <w:bCs/>
        </w:rPr>
        <w:t>filmtabletta</w:t>
      </w:r>
      <w:proofErr w:type="spellEnd"/>
    </w:p>
    <w:p w14:paraId="580AA045" w14:textId="77777777" w:rsidR="00342CEA" w:rsidRDefault="00837BAB">
      <w:pPr>
        <w:jc w:val="both"/>
        <w:rPr>
          <w:lang w:eastAsia="hu-HU"/>
        </w:rPr>
      </w:pPr>
      <w:r>
        <w:rPr>
          <w:lang w:eastAsia="hu-HU"/>
        </w:rPr>
        <w:t>OGYI-T-24570/03</w:t>
      </w:r>
      <w:r>
        <w:rPr>
          <w:lang w:eastAsia="hu-HU"/>
        </w:rPr>
        <w:tab/>
        <w:t>30×1</w:t>
      </w:r>
      <w:r>
        <w:rPr>
          <w:lang w:eastAsia="hu-HU"/>
        </w:rPr>
        <w:tab/>
      </w:r>
      <w:proofErr w:type="spellStart"/>
      <w:r>
        <w:rPr>
          <w:lang w:eastAsia="hu-HU"/>
        </w:rPr>
        <w:t>adagonként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perforált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p w14:paraId="2AB34AEA" w14:textId="77777777" w:rsidR="00342CEA" w:rsidRDefault="00837BAB">
      <w:pPr>
        <w:jc w:val="both"/>
        <w:rPr>
          <w:lang w:eastAsia="hu-HU"/>
        </w:rPr>
      </w:pPr>
      <w:bookmarkStart w:id="6" w:name="_Hlk210991899"/>
      <w:r>
        <w:rPr>
          <w:lang w:eastAsia="hu-HU"/>
        </w:rPr>
        <w:t>OGYI-T-24570/06</w:t>
      </w:r>
      <w:r>
        <w:rPr>
          <w:lang w:eastAsia="hu-HU"/>
        </w:rPr>
        <w:tab/>
        <w:t>28×</w:t>
      </w:r>
      <w:r>
        <w:rPr>
          <w:lang w:eastAsia="hu-HU"/>
        </w:rPr>
        <w:tab/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bookmarkEnd w:id="6"/>
    <w:p w14:paraId="3B4DB04D" w14:textId="77777777" w:rsidR="00342CEA" w:rsidRDefault="00342CEA">
      <w:pPr>
        <w:rPr>
          <w:lang w:eastAsia="hu-HU"/>
        </w:rPr>
      </w:pPr>
    </w:p>
    <w:p w14:paraId="2E7143C7" w14:textId="77777777" w:rsidR="00342CEA" w:rsidRDefault="00837BAB">
      <w:pPr>
        <w:rPr>
          <w:color w:val="1F497D"/>
        </w:rPr>
      </w:pPr>
      <w:proofErr w:type="spellStart"/>
      <w:r>
        <w:rPr>
          <w:b/>
          <w:bCs/>
        </w:rPr>
        <w:t>Eltrombopag</w:t>
      </w:r>
      <w:proofErr w:type="spellEnd"/>
      <w:r>
        <w:rPr>
          <w:b/>
          <w:bCs/>
        </w:rPr>
        <w:t xml:space="preserve"> Sandoz 75 mg </w:t>
      </w:r>
      <w:proofErr w:type="spellStart"/>
      <w:r>
        <w:rPr>
          <w:b/>
          <w:bCs/>
        </w:rPr>
        <w:t>filmtabletta</w:t>
      </w:r>
      <w:proofErr w:type="spellEnd"/>
    </w:p>
    <w:p w14:paraId="4A41FFE9" w14:textId="77777777" w:rsidR="00342CEA" w:rsidRDefault="00837BAB">
      <w:pPr>
        <w:jc w:val="both"/>
        <w:rPr>
          <w:lang w:eastAsia="hu-HU"/>
        </w:rPr>
      </w:pPr>
      <w:r>
        <w:rPr>
          <w:lang w:eastAsia="hu-HU"/>
        </w:rPr>
        <w:t>OGYI-T-24570/04</w:t>
      </w:r>
      <w:r>
        <w:rPr>
          <w:lang w:eastAsia="hu-HU"/>
        </w:rPr>
        <w:tab/>
        <w:t>30×1</w:t>
      </w:r>
      <w:r>
        <w:rPr>
          <w:lang w:eastAsia="hu-HU"/>
        </w:rPr>
        <w:tab/>
      </w:r>
      <w:proofErr w:type="spellStart"/>
      <w:r>
        <w:rPr>
          <w:lang w:eastAsia="hu-HU"/>
        </w:rPr>
        <w:t>adagonként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perforált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p w14:paraId="61036695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5A835345" w14:textId="77777777" w:rsidR="00342CEA" w:rsidRDefault="00342CEA">
      <w:pPr>
        <w:spacing w:line="240" w:lineRule="auto"/>
        <w:ind w:left="567" w:hanging="567"/>
        <w:outlineLvl w:val="0"/>
        <w:rPr>
          <w:lang w:val="hu-HU"/>
        </w:rPr>
      </w:pPr>
    </w:p>
    <w:p w14:paraId="7B1E628B" w14:textId="77777777" w:rsidR="00342CEA" w:rsidRDefault="00837BAB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rFonts w:eastAsia="Times New Roman"/>
          <w:b/>
          <w:bCs/>
          <w:lang w:val="hu-HU" w:eastAsia="en-US"/>
        </w:rPr>
        <w:t>9.</w:t>
      </w:r>
      <w:r>
        <w:rPr>
          <w:rFonts w:eastAsia="Times New Roman"/>
          <w:b/>
          <w:bCs/>
          <w:lang w:val="hu-HU" w:eastAsia="en-US"/>
        </w:rPr>
        <w:tab/>
        <w:t>A FORGALOMBA HOZATALI ENGEDÉLY ELSŐ KIADÁSÁNAK/ MEGÚJÍTÁSÁNAK</w:t>
      </w:r>
      <w:r>
        <w:rPr>
          <w:b/>
          <w:bCs/>
          <w:lang w:val="hu-HU"/>
        </w:rPr>
        <w:t xml:space="preserve"> DÁTUMA</w:t>
      </w:r>
    </w:p>
    <w:p w14:paraId="57B75E96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30B49681" w14:textId="77777777" w:rsidR="00342CEA" w:rsidRDefault="00837BAB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A forgalomba hozatali engedély első kiadásának dátuma: 2025. május 15.</w:t>
      </w:r>
    </w:p>
    <w:p w14:paraId="1AFEAFED" w14:textId="77777777" w:rsidR="00342CEA" w:rsidRDefault="00342CEA">
      <w:pPr>
        <w:spacing w:line="240" w:lineRule="auto"/>
        <w:rPr>
          <w:rFonts w:eastAsia="Times New Roman"/>
          <w:lang w:val="hu-HU" w:eastAsia="en-US"/>
        </w:rPr>
      </w:pPr>
    </w:p>
    <w:p w14:paraId="37AFE181" w14:textId="77777777" w:rsidR="00342CEA" w:rsidRDefault="00837BAB">
      <w:pPr>
        <w:keepNext/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10.</w:t>
      </w:r>
      <w:r>
        <w:rPr>
          <w:rFonts w:eastAsia="Times New Roman"/>
          <w:b/>
          <w:bCs/>
          <w:lang w:val="hu-HU" w:eastAsia="en-US"/>
        </w:rPr>
        <w:tab/>
        <w:t>A SZÖVEG ELLENŐRZÉSÉNEK DÁTUMA</w:t>
      </w:r>
    </w:p>
    <w:p w14:paraId="716AD37F" w14:textId="77777777" w:rsidR="00342CEA" w:rsidRDefault="00342CEA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2A40B3D6" w14:textId="041A6A5F" w:rsidR="00342CEA" w:rsidRDefault="00F83F18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2025. október 14.</w:t>
      </w:r>
    </w:p>
    <w:sectPr w:rsidR="00342CE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9AD0D" w14:textId="77777777" w:rsidR="00837BAB" w:rsidRDefault="00837BAB">
      <w:pPr>
        <w:spacing w:line="240" w:lineRule="auto"/>
      </w:pPr>
      <w:r>
        <w:separator/>
      </w:r>
    </w:p>
  </w:endnote>
  <w:endnote w:type="continuationSeparator" w:id="0">
    <w:p w14:paraId="3B2EB453" w14:textId="77777777" w:rsidR="00837BAB" w:rsidRDefault="00837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Yu Gothic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90651" w14:textId="77777777" w:rsidR="00342CEA" w:rsidRDefault="00837BAB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2783E" w14:textId="41D0EFF4" w:rsidR="00C91162" w:rsidRPr="004647BC" w:rsidRDefault="00C91162">
    <w:pPr>
      <w:pStyle w:val="Nincstrkz"/>
      <w:rPr>
        <w:sz w:val="18"/>
        <w:szCs w:val="18"/>
      </w:rPr>
    </w:pPr>
    <w:r w:rsidRPr="004647BC">
      <w:rPr>
        <w:sz w:val="18"/>
        <w:szCs w:val="18"/>
      </w:rPr>
      <w:t>NNGYK/ETGY/17338/2025</w:t>
    </w:r>
  </w:p>
  <w:p w14:paraId="5D91F7B9" w14:textId="10F141FD" w:rsidR="00C91162" w:rsidRPr="004647BC" w:rsidRDefault="00C91162">
    <w:pPr>
      <w:pStyle w:val="Nincstrkz"/>
      <w:rPr>
        <w:sz w:val="18"/>
        <w:szCs w:val="18"/>
      </w:rPr>
    </w:pPr>
    <w:r w:rsidRPr="004647BC">
      <w:rPr>
        <w:sz w:val="18"/>
        <w:szCs w:val="18"/>
      </w:rPr>
      <w:t>NNGYK/ETGY/17341/2025</w:t>
    </w:r>
  </w:p>
  <w:p w14:paraId="5FB7D384" w14:textId="686F628F" w:rsidR="00C91162" w:rsidRPr="004647BC" w:rsidRDefault="00C91162">
    <w:pPr>
      <w:pStyle w:val="Nincstrkz"/>
      <w:rPr>
        <w:sz w:val="18"/>
        <w:szCs w:val="18"/>
      </w:rPr>
    </w:pPr>
    <w:r w:rsidRPr="004647BC">
      <w:rPr>
        <w:sz w:val="18"/>
        <w:szCs w:val="18"/>
      </w:rPr>
      <w:t>NNGYK/ETGY/17344/2025</w:t>
    </w:r>
  </w:p>
  <w:p w14:paraId="2B5EF3DC" w14:textId="1424F127" w:rsidR="00342CEA" w:rsidRPr="004647BC" w:rsidRDefault="00C91162">
    <w:pPr>
      <w:pStyle w:val="Nincstrkz"/>
      <w:rPr>
        <w:sz w:val="18"/>
        <w:szCs w:val="18"/>
      </w:rPr>
    </w:pPr>
    <w:r w:rsidRPr="004647BC">
      <w:rPr>
        <w:sz w:val="18"/>
        <w:szCs w:val="18"/>
      </w:rPr>
      <w:t>NNGYK/ETGY/17347/2025</w:t>
    </w:r>
  </w:p>
  <w:p w14:paraId="093584A2" w14:textId="7A3EE156" w:rsidR="00C91162" w:rsidRPr="00F55E07" w:rsidRDefault="00C91162">
    <w:pPr>
      <w:pStyle w:val="Nincstrkz"/>
      <w:rPr>
        <w:sz w:val="18"/>
        <w:szCs w:val="18"/>
      </w:rPr>
    </w:pPr>
    <w:r w:rsidRPr="00F55E07">
      <w:rPr>
        <w:sz w:val="18"/>
        <w:szCs w:val="18"/>
      </w:rPr>
      <w:t>NNGYK/ETGY/26835/2025</w:t>
    </w:r>
  </w:p>
  <w:p w14:paraId="0BCA21AF" w14:textId="6EB9D7D8" w:rsidR="00C91162" w:rsidRDefault="00C91162">
    <w:pPr>
      <w:pStyle w:val="Nincstrkz"/>
    </w:pPr>
    <w:r w:rsidRPr="00F55E07">
      <w:rPr>
        <w:sz w:val="18"/>
        <w:szCs w:val="18"/>
      </w:rPr>
      <w:t>NNGYK/ETGY/26837/2025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4F88F" w14:textId="77777777" w:rsidR="00837BAB" w:rsidRDefault="00837BAB">
      <w:pPr>
        <w:spacing w:line="240" w:lineRule="auto"/>
      </w:pPr>
      <w:r>
        <w:separator/>
      </w:r>
    </w:p>
  </w:footnote>
  <w:footnote w:type="continuationSeparator" w:id="0">
    <w:p w14:paraId="32E66FA3" w14:textId="77777777" w:rsidR="00837BAB" w:rsidRDefault="00837B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6995922"/>
      <w:docPartObj>
        <w:docPartGallery w:val="Page Numbers (Top of Page)"/>
        <w:docPartUnique/>
      </w:docPartObj>
    </w:sdtPr>
    <w:sdtEndPr/>
    <w:sdtContent>
      <w:p w14:paraId="73ECEDC0" w14:textId="77777777" w:rsidR="00342CEA" w:rsidRDefault="00837BAB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35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0C70E2"/>
    <w:multiLevelType w:val="hybridMultilevel"/>
    <w:tmpl w:val="386E3F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82C0E"/>
    <w:multiLevelType w:val="hybridMultilevel"/>
    <w:tmpl w:val="9B7452CE"/>
    <w:lvl w:ilvl="0" w:tplc="24426B70">
      <w:start w:val="1"/>
      <w:numFmt w:val="lowerLetter"/>
      <w:lvlText w:val="%1"/>
      <w:lvlJc w:val="left"/>
      <w:pPr>
        <w:ind w:left="56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457027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38C2C9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CCDA6F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9828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9B8CF3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312600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E174B4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134CC1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num w:numId="1" w16cid:durableId="2130660767">
    <w:abstractNumId w:val="1"/>
  </w:num>
  <w:num w:numId="2" w16cid:durableId="1522013405">
    <w:abstractNumId w:val="2"/>
  </w:num>
  <w:num w:numId="3" w16cid:durableId="81155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hu-HU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1B7"/>
    <w:rsid w:val="00000D62"/>
    <w:rsid w:val="00001587"/>
    <w:rsid w:val="00001B46"/>
    <w:rsid w:val="00002816"/>
    <w:rsid w:val="00002A29"/>
    <w:rsid w:val="0000362A"/>
    <w:rsid w:val="00005701"/>
    <w:rsid w:val="00006494"/>
    <w:rsid w:val="00007528"/>
    <w:rsid w:val="0001164F"/>
    <w:rsid w:val="000121D6"/>
    <w:rsid w:val="00014B7E"/>
    <w:rsid w:val="000150D3"/>
    <w:rsid w:val="00015AE0"/>
    <w:rsid w:val="000166C1"/>
    <w:rsid w:val="000177FF"/>
    <w:rsid w:val="000207AD"/>
    <w:rsid w:val="00020AE8"/>
    <w:rsid w:val="00023244"/>
    <w:rsid w:val="00023F29"/>
    <w:rsid w:val="00025EBE"/>
    <w:rsid w:val="000301C2"/>
    <w:rsid w:val="00030445"/>
    <w:rsid w:val="00030F29"/>
    <w:rsid w:val="000318C7"/>
    <w:rsid w:val="000322F3"/>
    <w:rsid w:val="00033FDB"/>
    <w:rsid w:val="00034204"/>
    <w:rsid w:val="000344F6"/>
    <w:rsid w:val="00035D52"/>
    <w:rsid w:val="00036493"/>
    <w:rsid w:val="000419C6"/>
    <w:rsid w:val="00042263"/>
    <w:rsid w:val="000422C9"/>
    <w:rsid w:val="000423EA"/>
    <w:rsid w:val="000438C6"/>
    <w:rsid w:val="00043DD2"/>
    <w:rsid w:val="00043F0F"/>
    <w:rsid w:val="00044042"/>
    <w:rsid w:val="000440AC"/>
    <w:rsid w:val="00044A6A"/>
    <w:rsid w:val="00044F37"/>
    <w:rsid w:val="00046336"/>
    <w:rsid w:val="000466DB"/>
    <w:rsid w:val="00046DCE"/>
    <w:rsid w:val="000474D2"/>
    <w:rsid w:val="00047617"/>
    <w:rsid w:val="000479C5"/>
    <w:rsid w:val="00047D3E"/>
    <w:rsid w:val="00050DFD"/>
    <w:rsid w:val="00053035"/>
    <w:rsid w:val="00053809"/>
    <w:rsid w:val="000538C2"/>
    <w:rsid w:val="00053914"/>
    <w:rsid w:val="00053EFA"/>
    <w:rsid w:val="00054756"/>
    <w:rsid w:val="000560C5"/>
    <w:rsid w:val="0005657F"/>
    <w:rsid w:val="00056833"/>
    <w:rsid w:val="00056C49"/>
    <w:rsid w:val="00056CCB"/>
    <w:rsid w:val="00056FE0"/>
    <w:rsid w:val="000603C8"/>
    <w:rsid w:val="000605EE"/>
    <w:rsid w:val="00060656"/>
    <w:rsid w:val="000608A4"/>
    <w:rsid w:val="00060AA1"/>
    <w:rsid w:val="0006247C"/>
    <w:rsid w:val="000631FD"/>
    <w:rsid w:val="00067D12"/>
    <w:rsid w:val="00070B1E"/>
    <w:rsid w:val="00070E1D"/>
    <w:rsid w:val="00071071"/>
    <w:rsid w:val="00071083"/>
    <w:rsid w:val="00071F8A"/>
    <w:rsid w:val="000726F5"/>
    <w:rsid w:val="00073E04"/>
    <w:rsid w:val="000740A1"/>
    <w:rsid w:val="0007462B"/>
    <w:rsid w:val="00075D3B"/>
    <w:rsid w:val="0007628D"/>
    <w:rsid w:val="00076DC7"/>
    <w:rsid w:val="00077267"/>
    <w:rsid w:val="0007752B"/>
    <w:rsid w:val="00080AB8"/>
    <w:rsid w:val="00081DAB"/>
    <w:rsid w:val="0008235E"/>
    <w:rsid w:val="00082A8E"/>
    <w:rsid w:val="000855CA"/>
    <w:rsid w:val="00085954"/>
    <w:rsid w:val="00085D3A"/>
    <w:rsid w:val="0009351E"/>
    <w:rsid w:val="000937AF"/>
    <w:rsid w:val="0009479A"/>
    <w:rsid w:val="0009489C"/>
    <w:rsid w:val="00095E44"/>
    <w:rsid w:val="0009755A"/>
    <w:rsid w:val="000A1232"/>
    <w:rsid w:val="000A13ED"/>
    <w:rsid w:val="000A1639"/>
    <w:rsid w:val="000A1FD6"/>
    <w:rsid w:val="000A5165"/>
    <w:rsid w:val="000A7C0D"/>
    <w:rsid w:val="000B0089"/>
    <w:rsid w:val="000B0097"/>
    <w:rsid w:val="000B019A"/>
    <w:rsid w:val="000B101F"/>
    <w:rsid w:val="000B1F4B"/>
    <w:rsid w:val="000B2C35"/>
    <w:rsid w:val="000B2F27"/>
    <w:rsid w:val="000B2F58"/>
    <w:rsid w:val="000B3762"/>
    <w:rsid w:val="000B37A8"/>
    <w:rsid w:val="000B3D5C"/>
    <w:rsid w:val="000B51D9"/>
    <w:rsid w:val="000B6240"/>
    <w:rsid w:val="000C1738"/>
    <w:rsid w:val="000C308F"/>
    <w:rsid w:val="000C5A4E"/>
    <w:rsid w:val="000C5F69"/>
    <w:rsid w:val="000C635D"/>
    <w:rsid w:val="000C700C"/>
    <w:rsid w:val="000C7F49"/>
    <w:rsid w:val="000D0E2A"/>
    <w:rsid w:val="000D1AEE"/>
    <w:rsid w:val="000D1F4F"/>
    <w:rsid w:val="000D26D5"/>
    <w:rsid w:val="000D4144"/>
    <w:rsid w:val="000D4B17"/>
    <w:rsid w:val="000D4D07"/>
    <w:rsid w:val="000D5A2C"/>
    <w:rsid w:val="000D6A8E"/>
    <w:rsid w:val="000D73BD"/>
    <w:rsid w:val="000D7535"/>
    <w:rsid w:val="000E0192"/>
    <w:rsid w:val="000E1378"/>
    <w:rsid w:val="000E163C"/>
    <w:rsid w:val="000E165D"/>
    <w:rsid w:val="000E1BAF"/>
    <w:rsid w:val="000E223E"/>
    <w:rsid w:val="000E2491"/>
    <w:rsid w:val="000E2EA9"/>
    <w:rsid w:val="000E3EF2"/>
    <w:rsid w:val="000E4192"/>
    <w:rsid w:val="000E46A3"/>
    <w:rsid w:val="000E5726"/>
    <w:rsid w:val="000E5A4E"/>
    <w:rsid w:val="000E6C94"/>
    <w:rsid w:val="000E7995"/>
    <w:rsid w:val="000F084D"/>
    <w:rsid w:val="000F1BB2"/>
    <w:rsid w:val="000F28E3"/>
    <w:rsid w:val="000F3F94"/>
    <w:rsid w:val="000F49E4"/>
    <w:rsid w:val="00101CAD"/>
    <w:rsid w:val="00101D9F"/>
    <w:rsid w:val="00103501"/>
    <w:rsid w:val="0010351C"/>
    <w:rsid w:val="00103B2D"/>
    <w:rsid w:val="00103BDB"/>
    <w:rsid w:val="00103CD2"/>
    <w:rsid w:val="00104061"/>
    <w:rsid w:val="00105F37"/>
    <w:rsid w:val="00107236"/>
    <w:rsid w:val="00107F96"/>
    <w:rsid w:val="001101A2"/>
    <w:rsid w:val="001106F7"/>
    <w:rsid w:val="00111AC4"/>
    <w:rsid w:val="00111F79"/>
    <w:rsid w:val="00112EDA"/>
    <w:rsid w:val="00114174"/>
    <w:rsid w:val="00114D23"/>
    <w:rsid w:val="00115E22"/>
    <w:rsid w:val="001174F6"/>
    <w:rsid w:val="00117C1D"/>
    <w:rsid w:val="00120ADF"/>
    <w:rsid w:val="00122151"/>
    <w:rsid w:val="00122AD8"/>
    <w:rsid w:val="00122D9F"/>
    <w:rsid w:val="00123688"/>
    <w:rsid w:val="00123816"/>
    <w:rsid w:val="00124CAB"/>
    <w:rsid w:val="00127562"/>
    <w:rsid w:val="00127C1D"/>
    <w:rsid w:val="00130037"/>
    <w:rsid w:val="001301C2"/>
    <w:rsid w:val="00131748"/>
    <w:rsid w:val="00133366"/>
    <w:rsid w:val="00133572"/>
    <w:rsid w:val="00133671"/>
    <w:rsid w:val="001354A7"/>
    <w:rsid w:val="00135814"/>
    <w:rsid w:val="00135E1D"/>
    <w:rsid w:val="0013601F"/>
    <w:rsid w:val="001366D5"/>
    <w:rsid w:val="00136D7A"/>
    <w:rsid w:val="00141470"/>
    <w:rsid w:val="00141540"/>
    <w:rsid w:val="00143139"/>
    <w:rsid w:val="00143A65"/>
    <w:rsid w:val="00143AD5"/>
    <w:rsid w:val="001445BE"/>
    <w:rsid w:val="001449DF"/>
    <w:rsid w:val="00144DE6"/>
    <w:rsid w:val="0014518A"/>
    <w:rsid w:val="0014569B"/>
    <w:rsid w:val="00150DD8"/>
    <w:rsid w:val="00151BA4"/>
    <w:rsid w:val="00151E9D"/>
    <w:rsid w:val="00152494"/>
    <w:rsid w:val="00152F3B"/>
    <w:rsid w:val="00153316"/>
    <w:rsid w:val="00156169"/>
    <w:rsid w:val="00156EEB"/>
    <w:rsid w:val="0015704C"/>
    <w:rsid w:val="001573AB"/>
    <w:rsid w:val="00157EFC"/>
    <w:rsid w:val="0016023C"/>
    <w:rsid w:val="001613E7"/>
    <w:rsid w:val="00161E59"/>
    <w:rsid w:val="00161E87"/>
    <w:rsid w:val="00162EDD"/>
    <w:rsid w:val="00163669"/>
    <w:rsid w:val="00163D6C"/>
    <w:rsid w:val="001641ED"/>
    <w:rsid w:val="0016566C"/>
    <w:rsid w:val="00166781"/>
    <w:rsid w:val="0017265B"/>
    <w:rsid w:val="001727F0"/>
    <w:rsid w:val="00172B06"/>
    <w:rsid w:val="001752D8"/>
    <w:rsid w:val="00175931"/>
    <w:rsid w:val="00176613"/>
    <w:rsid w:val="00176B25"/>
    <w:rsid w:val="00176D2E"/>
    <w:rsid w:val="00180C9E"/>
    <w:rsid w:val="0018224D"/>
    <w:rsid w:val="0018238B"/>
    <w:rsid w:val="00183333"/>
    <w:rsid w:val="00183419"/>
    <w:rsid w:val="0018383B"/>
    <w:rsid w:val="0018394A"/>
    <w:rsid w:val="00186A9D"/>
    <w:rsid w:val="001874A6"/>
    <w:rsid w:val="0018765B"/>
    <w:rsid w:val="001877BE"/>
    <w:rsid w:val="00190913"/>
    <w:rsid w:val="00195597"/>
    <w:rsid w:val="00195C10"/>
    <w:rsid w:val="00195F65"/>
    <w:rsid w:val="00196A2A"/>
    <w:rsid w:val="00197CBF"/>
    <w:rsid w:val="001A07E2"/>
    <w:rsid w:val="001A1EEE"/>
    <w:rsid w:val="001A2018"/>
    <w:rsid w:val="001A273A"/>
    <w:rsid w:val="001A48E8"/>
    <w:rsid w:val="001A4BE5"/>
    <w:rsid w:val="001A5472"/>
    <w:rsid w:val="001A757B"/>
    <w:rsid w:val="001A7DB2"/>
    <w:rsid w:val="001B01C8"/>
    <w:rsid w:val="001B08E9"/>
    <w:rsid w:val="001B0DDB"/>
    <w:rsid w:val="001B13F6"/>
    <w:rsid w:val="001B1747"/>
    <w:rsid w:val="001B1B4E"/>
    <w:rsid w:val="001B2D44"/>
    <w:rsid w:val="001B3338"/>
    <w:rsid w:val="001B41DA"/>
    <w:rsid w:val="001B5270"/>
    <w:rsid w:val="001B752A"/>
    <w:rsid w:val="001C12E0"/>
    <w:rsid w:val="001C285E"/>
    <w:rsid w:val="001C3347"/>
    <w:rsid w:val="001C35E9"/>
    <w:rsid w:val="001C36BD"/>
    <w:rsid w:val="001C3733"/>
    <w:rsid w:val="001C4025"/>
    <w:rsid w:val="001C4C82"/>
    <w:rsid w:val="001C5B30"/>
    <w:rsid w:val="001C6502"/>
    <w:rsid w:val="001C6E07"/>
    <w:rsid w:val="001C7764"/>
    <w:rsid w:val="001C7986"/>
    <w:rsid w:val="001D0636"/>
    <w:rsid w:val="001D3C05"/>
    <w:rsid w:val="001D47C1"/>
    <w:rsid w:val="001D4E92"/>
    <w:rsid w:val="001D52E3"/>
    <w:rsid w:val="001D5E19"/>
    <w:rsid w:val="001D618F"/>
    <w:rsid w:val="001D6A28"/>
    <w:rsid w:val="001D6AF4"/>
    <w:rsid w:val="001D7BD7"/>
    <w:rsid w:val="001E0CC1"/>
    <w:rsid w:val="001E1CD5"/>
    <w:rsid w:val="001E3CC0"/>
    <w:rsid w:val="001E4326"/>
    <w:rsid w:val="001E4858"/>
    <w:rsid w:val="001E5C61"/>
    <w:rsid w:val="001E5CEF"/>
    <w:rsid w:val="001E6351"/>
    <w:rsid w:val="001E64BD"/>
    <w:rsid w:val="001E64D1"/>
    <w:rsid w:val="001E77C3"/>
    <w:rsid w:val="001E77F1"/>
    <w:rsid w:val="001F090B"/>
    <w:rsid w:val="001F143F"/>
    <w:rsid w:val="001F180A"/>
    <w:rsid w:val="001F1A28"/>
    <w:rsid w:val="001F2A11"/>
    <w:rsid w:val="001F35E8"/>
    <w:rsid w:val="001F38F9"/>
    <w:rsid w:val="001F4014"/>
    <w:rsid w:val="001F417D"/>
    <w:rsid w:val="001F445E"/>
    <w:rsid w:val="001F4968"/>
    <w:rsid w:val="0020024D"/>
    <w:rsid w:val="00200A45"/>
    <w:rsid w:val="00201213"/>
    <w:rsid w:val="00201323"/>
    <w:rsid w:val="00201387"/>
    <w:rsid w:val="0020165E"/>
    <w:rsid w:val="00202E50"/>
    <w:rsid w:val="00205180"/>
    <w:rsid w:val="002059AF"/>
    <w:rsid w:val="002059B4"/>
    <w:rsid w:val="00207640"/>
    <w:rsid w:val="00207F81"/>
    <w:rsid w:val="002109F4"/>
    <w:rsid w:val="00211B2E"/>
    <w:rsid w:val="00211FDA"/>
    <w:rsid w:val="0021388A"/>
    <w:rsid w:val="0021594D"/>
    <w:rsid w:val="002160C2"/>
    <w:rsid w:val="00217D6E"/>
    <w:rsid w:val="00221E92"/>
    <w:rsid w:val="00222BB9"/>
    <w:rsid w:val="002237FE"/>
    <w:rsid w:val="00224A5A"/>
    <w:rsid w:val="002258D6"/>
    <w:rsid w:val="00226B92"/>
    <w:rsid w:val="00226DFC"/>
    <w:rsid w:val="002274FB"/>
    <w:rsid w:val="00230178"/>
    <w:rsid w:val="002309D2"/>
    <w:rsid w:val="0023315B"/>
    <w:rsid w:val="00233F62"/>
    <w:rsid w:val="0023456F"/>
    <w:rsid w:val="002347FE"/>
    <w:rsid w:val="00235621"/>
    <w:rsid w:val="00235D08"/>
    <w:rsid w:val="00235DA3"/>
    <w:rsid w:val="0024178D"/>
    <w:rsid w:val="002418B6"/>
    <w:rsid w:val="00241B76"/>
    <w:rsid w:val="002421D4"/>
    <w:rsid w:val="00242378"/>
    <w:rsid w:val="00245374"/>
    <w:rsid w:val="00245DCF"/>
    <w:rsid w:val="00246138"/>
    <w:rsid w:val="00246C65"/>
    <w:rsid w:val="0025261B"/>
    <w:rsid w:val="00252FFB"/>
    <w:rsid w:val="00253017"/>
    <w:rsid w:val="002542A8"/>
    <w:rsid w:val="002557FB"/>
    <w:rsid w:val="00260A11"/>
    <w:rsid w:val="00260EC2"/>
    <w:rsid w:val="0026169A"/>
    <w:rsid w:val="002617E5"/>
    <w:rsid w:val="00261FE8"/>
    <w:rsid w:val="00262342"/>
    <w:rsid w:val="00262763"/>
    <w:rsid w:val="00263771"/>
    <w:rsid w:val="00264BEA"/>
    <w:rsid w:val="00264EC2"/>
    <w:rsid w:val="00267406"/>
    <w:rsid w:val="00271032"/>
    <w:rsid w:val="00273C1C"/>
    <w:rsid w:val="00273E3E"/>
    <w:rsid w:val="00274147"/>
    <w:rsid w:val="00274580"/>
    <w:rsid w:val="00275189"/>
    <w:rsid w:val="002756DC"/>
    <w:rsid w:val="00276437"/>
    <w:rsid w:val="002767B5"/>
    <w:rsid w:val="0028063F"/>
    <w:rsid w:val="00280740"/>
    <w:rsid w:val="0028282C"/>
    <w:rsid w:val="00283B02"/>
    <w:rsid w:val="00283C18"/>
    <w:rsid w:val="00283C5D"/>
    <w:rsid w:val="00283CD8"/>
    <w:rsid w:val="00283D5A"/>
    <w:rsid w:val="00284233"/>
    <w:rsid w:val="002844B0"/>
    <w:rsid w:val="00285586"/>
    <w:rsid w:val="00285CDF"/>
    <w:rsid w:val="00286322"/>
    <w:rsid w:val="002864BF"/>
    <w:rsid w:val="002869D1"/>
    <w:rsid w:val="00286EA5"/>
    <w:rsid w:val="00290C3B"/>
    <w:rsid w:val="0029122E"/>
    <w:rsid w:val="00291607"/>
    <w:rsid w:val="0029347B"/>
    <w:rsid w:val="00296C1F"/>
    <w:rsid w:val="002A0C34"/>
    <w:rsid w:val="002A102F"/>
    <w:rsid w:val="002A1B59"/>
    <w:rsid w:val="002A30A4"/>
    <w:rsid w:val="002A41E6"/>
    <w:rsid w:val="002A4694"/>
    <w:rsid w:val="002A5250"/>
    <w:rsid w:val="002A7627"/>
    <w:rsid w:val="002A7C47"/>
    <w:rsid w:val="002A7CF3"/>
    <w:rsid w:val="002B0455"/>
    <w:rsid w:val="002B09DD"/>
    <w:rsid w:val="002B2BEE"/>
    <w:rsid w:val="002B2F76"/>
    <w:rsid w:val="002B31FB"/>
    <w:rsid w:val="002B35C5"/>
    <w:rsid w:val="002B3935"/>
    <w:rsid w:val="002B3A3F"/>
    <w:rsid w:val="002B406A"/>
    <w:rsid w:val="002B41D4"/>
    <w:rsid w:val="002B543F"/>
    <w:rsid w:val="002B586E"/>
    <w:rsid w:val="002B703E"/>
    <w:rsid w:val="002B7D73"/>
    <w:rsid w:val="002C06E3"/>
    <w:rsid w:val="002C0801"/>
    <w:rsid w:val="002C1466"/>
    <w:rsid w:val="002C1C6C"/>
    <w:rsid w:val="002C2794"/>
    <w:rsid w:val="002C33B3"/>
    <w:rsid w:val="002C3A9F"/>
    <w:rsid w:val="002C44B0"/>
    <w:rsid w:val="002C4E07"/>
    <w:rsid w:val="002C592D"/>
    <w:rsid w:val="002C676D"/>
    <w:rsid w:val="002C69DA"/>
    <w:rsid w:val="002C7331"/>
    <w:rsid w:val="002D043A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192"/>
    <w:rsid w:val="002D7E5E"/>
    <w:rsid w:val="002E07AC"/>
    <w:rsid w:val="002E07EF"/>
    <w:rsid w:val="002E0D06"/>
    <w:rsid w:val="002E396A"/>
    <w:rsid w:val="002E4E94"/>
    <w:rsid w:val="002F1F28"/>
    <w:rsid w:val="002F2A6F"/>
    <w:rsid w:val="002F43CA"/>
    <w:rsid w:val="002F4A97"/>
    <w:rsid w:val="002F57AA"/>
    <w:rsid w:val="002F714C"/>
    <w:rsid w:val="002F77BF"/>
    <w:rsid w:val="003004A2"/>
    <w:rsid w:val="00302993"/>
    <w:rsid w:val="00303DD5"/>
    <w:rsid w:val="003046D6"/>
    <w:rsid w:val="00305236"/>
    <w:rsid w:val="003062F8"/>
    <w:rsid w:val="00310764"/>
    <w:rsid w:val="003108DD"/>
    <w:rsid w:val="00310D54"/>
    <w:rsid w:val="003123B6"/>
    <w:rsid w:val="003126A5"/>
    <w:rsid w:val="00313C19"/>
    <w:rsid w:val="003142BF"/>
    <w:rsid w:val="003160BA"/>
    <w:rsid w:val="00320203"/>
    <w:rsid w:val="0032120D"/>
    <w:rsid w:val="00321C95"/>
    <w:rsid w:val="00322002"/>
    <w:rsid w:val="00322499"/>
    <w:rsid w:val="00323890"/>
    <w:rsid w:val="00324129"/>
    <w:rsid w:val="003244FF"/>
    <w:rsid w:val="003247B0"/>
    <w:rsid w:val="00325E81"/>
    <w:rsid w:val="003265D6"/>
    <w:rsid w:val="003300BF"/>
    <w:rsid w:val="003317A4"/>
    <w:rsid w:val="00331D5E"/>
    <w:rsid w:val="0033246C"/>
    <w:rsid w:val="00332E57"/>
    <w:rsid w:val="0033486D"/>
    <w:rsid w:val="00335FE7"/>
    <w:rsid w:val="003367C4"/>
    <w:rsid w:val="00336D8E"/>
    <w:rsid w:val="003376B3"/>
    <w:rsid w:val="00341F90"/>
    <w:rsid w:val="00342AD6"/>
    <w:rsid w:val="00342CEA"/>
    <w:rsid w:val="00344E6C"/>
    <w:rsid w:val="00345EDE"/>
    <w:rsid w:val="0034772C"/>
    <w:rsid w:val="00347776"/>
    <w:rsid w:val="00351453"/>
    <w:rsid w:val="00351A91"/>
    <w:rsid w:val="00351D1D"/>
    <w:rsid w:val="00352051"/>
    <w:rsid w:val="003520C4"/>
    <w:rsid w:val="003533AE"/>
    <w:rsid w:val="00355E14"/>
    <w:rsid w:val="003563B1"/>
    <w:rsid w:val="00361280"/>
    <w:rsid w:val="003615F1"/>
    <w:rsid w:val="00361A6E"/>
    <w:rsid w:val="00362983"/>
    <w:rsid w:val="00363BFC"/>
    <w:rsid w:val="00363D7F"/>
    <w:rsid w:val="00365C50"/>
    <w:rsid w:val="00365F2C"/>
    <w:rsid w:val="00367C66"/>
    <w:rsid w:val="00371773"/>
    <w:rsid w:val="0037233D"/>
    <w:rsid w:val="003728DD"/>
    <w:rsid w:val="003736EF"/>
    <w:rsid w:val="003737E3"/>
    <w:rsid w:val="00374F4A"/>
    <w:rsid w:val="00375E61"/>
    <w:rsid w:val="0038039C"/>
    <w:rsid w:val="00380D80"/>
    <w:rsid w:val="00381026"/>
    <w:rsid w:val="00381E38"/>
    <w:rsid w:val="00381E3D"/>
    <w:rsid w:val="00382C06"/>
    <w:rsid w:val="00385A7E"/>
    <w:rsid w:val="00386C66"/>
    <w:rsid w:val="003906F8"/>
    <w:rsid w:val="00390EE2"/>
    <w:rsid w:val="003935EE"/>
    <w:rsid w:val="0039408A"/>
    <w:rsid w:val="00395E54"/>
    <w:rsid w:val="0039673D"/>
    <w:rsid w:val="00397893"/>
    <w:rsid w:val="003A11A4"/>
    <w:rsid w:val="003A2CF0"/>
    <w:rsid w:val="003A31F0"/>
    <w:rsid w:val="003A3359"/>
    <w:rsid w:val="003A33C4"/>
    <w:rsid w:val="003A33D3"/>
    <w:rsid w:val="003A3719"/>
    <w:rsid w:val="003A3880"/>
    <w:rsid w:val="003A577F"/>
    <w:rsid w:val="003A5BC5"/>
    <w:rsid w:val="003A5D55"/>
    <w:rsid w:val="003A75E6"/>
    <w:rsid w:val="003B094B"/>
    <w:rsid w:val="003B2490"/>
    <w:rsid w:val="003B255B"/>
    <w:rsid w:val="003B3317"/>
    <w:rsid w:val="003B3FD7"/>
    <w:rsid w:val="003B52D4"/>
    <w:rsid w:val="003B5947"/>
    <w:rsid w:val="003B5AD5"/>
    <w:rsid w:val="003B774A"/>
    <w:rsid w:val="003C13DA"/>
    <w:rsid w:val="003C16E3"/>
    <w:rsid w:val="003C1CA5"/>
    <w:rsid w:val="003C1EC7"/>
    <w:rsid w:val="003C2E22"/>
    <w:rsid w:val="003C3BDE"/>
    <w:rsid w:val="003C64A0"/>
    <w:rsid w:val="003C6739"/>
    <w:rsid w:val="003C7BA3"/>
    <w:rsid w:val="003C7C94"/>
    <w:rsid w:val="003D01B8"/>
    <w:rsid w:val="003D21C8"/>
    <w:rsid w:val="003D2303"/>
    <w:rsid w:val="003D4015"/>
    <w:rsid w:val="003D4E43"/>
    <w:rsid w:val="003D4E9C"/>
    <w:rsid w:val="003D5012"/>
    <w:rsid w:val="003D7195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1CD9"/>
    <w:rsid w:val="004138DE"/>
    <w:rsid w:val="00414B2F"/>
    <w:rsid w:val="00415E58"/>
    <w:rsid w:val="00416231"/>
    <w:rsid w:val="004179C1"/>
    <w:rsid w:val="004208AB"/>
    <w:rsid w:val="004219EF"/>
    <w:rsid w:val="00426CD9"/>
    <w:rsid w:val="00430D85"/>
    <w:rsid w:val="00430FEB"/>
    <w:rsid w:val="004310EE"/>
    <w:rsid w:val="004312C1"/>
    <w:rsid w:val="00431982"/>
    <w:rsid w:val="00433677"/>
    <w:rsid w:val="00433DCE"/>
    <w:rsid w:val="004340D5"/>
    <w:rsid w:val="00434880"/>
    <w:rsid w:val="00434E23"/>
    <w:rsid w:val="004359A0"/>
    <w:rsid w:val="00435DDB"/>
    <w:rsid w:val="00436ACD"/>
    <w:rsid w:val="004406C1"/>
    <w:rsid w:val="004416A5"/>
    <w:rsid w:val="00442C1B"/>
    <w:rsid w:val="00443BB3"/>
    <w:rsid w:val="004446FD"/>
    <w:rsid w:val="004460E9"/>
    <w:rsid w:val="004468D8"/>
    <w:rsid w:val="00447B6F"/>
    <w:rsid w:val="00453638"/>
    <w:rsid w:val="00453991"/>
    <w:rsid w:val="00453C11"/>
    <w:rsid w:val="00454917"/>
    <w:rsid w:val="004557B0"/>
    <w:rsid w:val="00455E3F"/>
    <w:rsid w:val="00457946"/>
    <w:rsid w:val="00457BB9"/>
    <w:rsid w:val="00457D8B"/>
    <w:rsid w:val="00460A17"/>
    <w:rsid w:val="00460F01"/>
    <w:rsid w:val="00461712"/>
    <w:rsid w:val="004620A3"/>
    <w:rsid w:val="004647BC"/>
    <w:rsid w:val="004647F7"/>
    <w:rsid w:val="00464B3D"/>
    <w:rsid w:val="0046620C"/>
    <w:rsid w:val="00470CB5"/>
    <w:rsid w:val="0047137E"/>
    <w:rsid w:val="00471EAB"/>
    <w:rsid w:val="004723EE"/>
    <w:rsid w:val="00472BC0"/>
    <w:rsid w:val="0047451B"/>
    <w:rsid w:val="004747A4"/>
    <w:rsid w:val="00475A92"/>
    <w:rsid w:val="00477BB9"/>
    <w:rsid w:val="00477F97"/>
    <w:rsid w:val="00477FC7"/>
    <w:rsid w:val="0048284F"/>
    <w:rsid w:val="00483479"/>
    <w:rsid w:val="00484793"/>
    <w:rsid w:val="00485990"/>
    <w:rsid w:val="00486376"/>
    <w:rsid w:val="004867D5"/>
    <w:rsid w:val="00487366"/>
    <w:rsid w:val="004873E4"/>
    <w:rsid w:val="0049072C"/>
    <w:rsid w:val="00490FD1"/>
    <w:rsid w:val="0049122E"/>
    <w:rsid w:val="0049177A"/>
    <w:rsid w:val="00491AD2"/>
    <w:rsid w:val="004935C0"/>
    <w:rsid w:val="00493B43"/>
    <w:rsid w:val="00494576"/>
    <w:rsid w:val="00494DFA"/>
    <w:rsid w:val="00494EB1"/>
    <w:rsid w:val="00494F35"/>
    <w:rsid w:val="00496414"/>
    <w:rsid w:val="00497A38"/>
    <w:rsid w:val="00497F75"/>
    <w:rsid w:val="004A2056"/>
    <w:rsid w:val="004A2501"/>
    <w:rsid w:val="004A3815"/>
    <w:rsid w:val="004A45BD"/>
    <w:rsid w:val="004A4656"/>
    <w:rsid w:val="004A77B0"/>
    <w:rsid w:val="004B1CED"/>
    <w:rsid w:val="004B2119"/>
    <w:rsid w:val="004B2217"/>
    <w:rsid w:val="004B34A7"/>
    <w:rsid w:val="004B3B06"/>
    <w:rsid w:val="004B4643"/>
    <w:rsid w:val="004B4AD0"/>
    <w:rsid w:val="004B4AF6"/>
    <w:rsid w:val="004B7443"/>
    <w:rsid w:val="004B7F67"/>
    <w:rsid w:val="004C1783"/>
    <w:rsid w:val="004C1994"/>
    <w:rsid w:val="004C1ADF"/>
    <w:rsid w:val="004C21D8"/>
    <w:rsid w:val="004C742E"/>
    <w:rsid w:val="004D4080"/>
    <w:rsid w:val="004D41A2"/>
    <w:rsid w:val="004E05FD"/>
    <w:rsid w:val="004E1A0D"/>
    <w:rsid w:val="004E1A52"/>
    <w:rsid w:val="004E23F5"/>
    <w:rsid w:val="004E63E5"/>
    <w:rsid w:val="004E65DB"/>
    <w:rsid w:val="004E6B76"/>
    <w:rsid w:val="004E7BF4"/>
    <w:rsid w:val="004F1F20"/>
    <w:rsid w:val="004F2BE3"/>
    <w:rsid w:val="004F3540"/>
    <w:rsid w:val="004F3AB1"/>
    <w:rsid w:val="004F5624"/>
    <w:rsid w:val="004F5DA4"/>
    <w:rsid w:val="004F62B2"/>
    <w:rsid w:val="004F6424"/>
    <w:rsid w:val="004F6D13"/>
    <w:rsid w:val="004F75A4"/>
    <w:rsid w:val="00500B3E"/>
    <w:rsid w:val="0050138C"/>
    <w:rsid w:val="00502015"/>
    <w:rsid w:val="005040CD"/>
    <w:rsid w:val="00505146"/>
    <w:rsid w:val="00505229"/>
    <w:rsid w:val="00505C2D"/>
    <w:rsid w:val="00505EDB"/>
    <w:rsid w:val="00506D18"/>
    <w:rsid w:val="00507300"/>
    <w:rsid w:val="005075E9"/>
    <w:rsid w:val="00507F98"/>
    <w:rsid w:val="005108A3"/>
    <w:rsid w:val="0051091F"/>
    <w:rsid w:val="00510F6E"/>
    <w:rsid w:val="005118AE"/>
    <w:rsid w:val="005129CE"/>
    <w:rsid w:val="00513768"/>
    <w:rsid w:val="005151DA"/>
    <w:rsid w:val="0051587A"/>
    <w:rsid w:val="005158FA"/>
    <w:rsid w:val="005165AB"/>
    <w:rsid w:val="005169AD"/>
    <w:rsid w:val="005208B9"/>
    <w:rsid w:val="005221F0"/>
    <w:rsid w:val="00524262"/>
    <w:rsid w:val="005245F6"/>
    <w:rsid w:val="00524807"/>
    <w:rsid w:val="00525361"/>
    <w:rsid w:val="00525FF9"/>
    <w:rsid w:val="00531D11"/>
    <w:rsid w:val="005321B2"/>
    <w:rsid w:val="00532AFD"/>
    <w:rsid w:val="00532D3F"/>
    <w:rsid w:val="0053383B"/>
    <w:rsid w:val="0053386D"/>
    <w:rsid w:val="005359D6"/>
    <w:rsid w:val="0053791F"/>
    <w:rsid w:val="005428CC"/>
    <w:rsid w:val="00543CBA"/>
    <w:rsid w:val="00547538"/>
    <w:rsid w:val="00553BFA"/>
    <w:rsid w:val="00553D8D"/>
    <w:rsid w:val="00554078"/>
    <w:rsid w:val="0055608E"/>
    <w:rsid w:val="005563A5"/>
    <w:rsid w:val="00557755"/>
    <w:rsid w:val="0056077E"/>
    <w:rsid w:val="00561E41"/>
    <w:rsid w:val="005629EE"/>
    <w:rsid w:val="005648FA"/>
    <w:rsid w:val="00564D50"/>
    <w:rsid w:val="00564F9C"/>
    <w:rsid w:val="005655B6"/>
    <w:rsid w:val="005666B4"/>
    <w:rsid w:val="00567346"/>
    <w:rsid w:val="00567728"/>
    <w:rsid w:val="00570F9C"/>
    <w:rsid w:val="0057371B"/>
    <w:rsid w:val="005737A1"/>
    <w:rsid w:val="005737B4"/>
    <w:rsid w:val="00573D65"/>
    <w:rsid w:val="00574616"/>
    <w:rsid w:val="0057573A"/>
    <w:rsid w:val="00575EB8"/>
    <w:rsid w:val="00576163"/>
    <w:rsid w:val="005810C6"/>
    <w:rsid w:val="00582A9B"/>
    <w:rsid w:val="005832AB"/>
    <w:rsid w:val="005840B5"/>
    <w:rsid w:val="0058437C"/>
    <w:rsid w:val="0058606E"/>
    <w:rsid w:val="00587706"/>
    <w:rsid w:val="005903E4"/>
    <w:rsid w:val="00590D88"/>
    <w:rsid w:val="005935F4"/>
    <w:rsid w:val="005943E9"/>
    <w:rsid w:val="005A1CFB"/>
    <w:rsid w:val="005A2769"/>
    <w:rsid w:val="005A2BA8"/>
    <w:rsid w:val="005A307D"/>
    <w:rsid w:val="005A346E"/>
    <w:rsid w:val="005A3E09"/>
    <w:rsid w:val="005A4105"/>
    <w:rsid w:val="005A73CF"/>
    <w:rsid w:val="005A7E9F"/>
    <w:rsid w:val="005B14D5"/>
    <w:rsid w:val="005B1EB0"/>
    <w:rsid w:val="005B409C"/>
    <w:rsid w:val="005B5981"/>
    <w:rsid w:val="005B5E29"/>
    <w:rsid w:val="005B7576"/>
    <w:rsid w:val="005B78F5"/>
    <w:rsid w:val="005B798B"/>
    <w:rsid w:val="005C1FAE"/>
    <w:rsid w:val="005C2162"/>
    <w:rsid w:val="005C35DC"/>
    <w:rsid w:val="005C39E8"/>
    <w:rsid w:val="005C5660"/>
    <w:rsid w:val="005C75A1"/>
    <w:rsid w:val="005C7731"/>
    <w:rsid w:val="005C7BFC"/>
    <w:rsid w:val="005C7F63"/>
    <w:rsid w:val="005D042A"/>
    <w:rsid w:val="005D078B"/>
    <w:rsid w:val="005D4B68"/>
    <w:rsid w:val="005D4EB3"/>
    <w:rsid w:val="005D570C"/>
    <w:rsid w:val="005D6290"/>
    <w:rsid w:val="005D70AE"/>
    <w:rsid w:val="005E11C1"/>
    <w:rsid w:val="005E2563"/>
    <w:rsid w:val="005E29C4"/>
    <w:rsid w:val="005E394C"/>
    <w:rsid w:val="005E42BF"/>
    <w:rsid w:val="005E4341"/>
    <w:rsid w:val="005E4E70"/>
    <w:rsid w:val="005E65BB"/>
    <w:rsid w:val="005F0DA0"/>
    <w:rsid w:val="005F4247"/>
    <w:rsid w:val="005F4914"/>
    <w:rsid w:val="005F6103"/>
    <w:rsid w:val="005F62B7"/>
    <w:rsid w:val="005F6869"/>
    <w:rsid w:val="005F6BB9"/>
    <w:rsid w:val="005F7CAD"/>
    <w:rsid w:val="005F7E35"/>
    <w:rsid w:val="00602DAA"/>
    <w:rsid w:val="00603148"/>
    <w:rsid w:val="00605096"/>
    <w:rsid w:val="006057C8"/>
    <w:rsid w:val="006066C2"/>
    <w:rsid w:val="00606FC7"/>
    <w:rsid w:val="00610456"/>
    <w:rsid w:val="00610588"/>
    <w:rsid w:val="00611473"/>
    <w:rsid w:val="00611A4B"/>
    <w:rsid w:val="00611B36"/>
    <w:rsid w:val="00613A34"/>
    <w:rsid w:val="00614385"/>
    <w:rsid w:val="00615ADA"/>
    <w:rsid w:val="00615CC5"/>
    <w:rsid w:val="00617ACC"/>
    <w:rsid w:val="00620EF7"/>
    <w:rsid w:val="006221CD"/>
    <w:rsid w:val="006237D8"/>
    <w:rsid w:val="00625A7A"/>
    <w:rsid w:val="006266A9"/>
    <w:rsid w:val="00626B54"/>
    <w:rsid w:val="00627F3D"/>
    <w:rsid w:val="00630426"/>
    <w:rsid w:val="006316C1"/>
    <w:rsid w:val="00631ED4"/>
    <w:rsid w:val="00633BC7"/>
    <w:rsid w:val="00633E17"/>
    <w:rsid w:val="0063501F"/>
    <w:rsid w:val="00635E9C"/>
    <w:rsid w:val="00636A19"/>
    <w:rsid w:val="00637163"/>
    <w:rsid w:val="00637629"/>
    <w:rsid w:val="00637B41"/>
    <w:rsid w:val="006414EE"/>
    <w:rsid w:val="00641715"/>
    <w:rsid w:val="00641E9E"/>
    <w:rsid w:val="00642D0A"/>
    <w:rsid w:val="006433C4"/>
    <w:rsid w:val="006445C9"/>
    <w:rsid w:val="0064566B"/>
    <w:rsid w:val="00645BC8"/>
    <w:rsid w:val="00646130"/>
    <w:rsid w:val="00646DF5"/>
    <w:rsid w:val="00646FE1"/>
    <w:rsid w:val="006470ED"/>
    <w:rsid w:val="00647E20"/>
    <w:rsid w:val="00654B3C"/>
    <w:rsid w:val="00660727"/>
    <w:rsid w:val="00661140"/>
    <w:rsid w:val="006624D9"/>
    <w:rsid w:val="00664FB0"/>
    <w:rsid w:val="00667893"/>
    <w:rsid w:val="006710DD"/>
    <w:rsid w:val="006714D3"/>
    <w:rsid w:val="00672300"/>
    <w:rsid w:val="00673200"/>
    <w:rsid w:val="006732F9"/>
    <w:rsid w:val="006739D5"/>
    <w:rsid w:val="00674669"/>
    <w:rsid w:val="0067501E"/>
    <w:rsid w:val="00676EA9"/>
    <w:rsid w:val="006773D2"/>
    <w:rsid w:val="00677DEA"/>
    <w:rsid w:val="00681A41"/>
    <w:rsid w:val="006821B2"/>
    <w:rsid w:val="00682EC4"/>
    <w:rsid w:val="00683135"/>
    <w:rsid w:val="006838C0"/>
    <w:rsid w:val="00685901"/>
    <w:rsid w:val="00685BB9"/>
    <w:rsid w:val="00685D08"/>
    <w:rsid w:val="006867EF"/>
    <w:rsid w:val="00687766"/>
    <w:rsid w:val="00690127"/>
    <w:rsid w:val="0069051D"/>
    <w:rsid w:val="0069058F"/>
    <w:rsid w:val="00691BFF"/>
    <w:rsid w:val="0069268B"/>
    <w:rsid w:val="00695227"/>
    <w:rsid w:val="006953C1"/>
    <w:rsid w:val="006957A9"/>
    <w:rsid w:val="00695996"/>
    <w:rsid w:val="00696175"/>
    <w:rsid w:val="00696EB2"/>
    <w:rsid w:val="0069715A"/>
    <w:rsid w:val="006A16E9"/>
    <w:rsid w:val="006A18FE"/>
    <w:rsid w:val="006A2A26"/>
    <w:rsid w:val="006A37CE"/>
    <w:rsid w:val="006A5450"/>
    <w:rsid w:val="006A77A8"/>
    <w:rsid w:val="006B0199"/>
    <w:rsid w:val="006B0A32"/>
    <w:rsid w:val="006B0BD8"/>
    <w:rsid w:val="006B192B"/>
    <w:rsid w:val="006B1C14"/>
    <w:rsid w:val="006B22A3"/>
    <w:rsid w:val="006B285F"/>
    <w:rsid w:val="006B3279"/>
    <w:rsid w:val="006B43D2"/>
    <w:rsid w:val="006B4AAD"/>
    <w:rsid w:val="006B7CDB"/>
    <w:rsid w:val="006C0251"/>
    <w:rsid w:val="006C03E1"/>
    <w:rsid w:val="006C260B"/>
    <w:rsid w:val="006C2B9A"/>
    <w:rsid w:val="006C38EA"/>
    <w:rsid w:val="006C39BB"/>
    <w:rsid w:val="006C41AB"/>
    <w:rsid w:val="006C4502"/>
    <w:rsid w:val="006C528D"/>
    <w:rsid w:val="006D159F"/>
    <w:rsid w:val="006D2F02"/>
    <w:rsid w:val="006D380E"/>
    <w:rsid w:val="006D5C8A"/>
    <w:rsid w:val="006D5E91"/>
    <w:rsid w:val="006D75DA"/>
    <w:rsid w:val="006E0897"/>
    <w:rsid w:val="006E0D7B"/>
    <w:rsid w:val="006E14E6"/>
    <w:rsid w:val="006E1AEE"/>
    <w:rsid w:val="006E1F6F"/>
    <w:rsid w:val="006E21AF"/>
    <w:rsid w:val="006E23AC"/>
    <w:rsid w:val="006E3B9C"/>
    <w:rsid w:val="006E51A2"/>
    <w:rsid w:val="006F0DE2"/>
    <w:rsid w:val="006F3495"/>
    <w:rsid w:val="006F417D"/>
    <w:rsid w:val="006F44E9"/>
    <w:rsid w:val="006F5C83"/>
    <w:rsid w:val="006F67CC"/>
    <w:rsid w:val="00700AB6"/>
    <w:rsid w:val="00701C2D"/>
    <w:rsid w:val="00702162"/>
    <w:rsid w:val="00702286"/>
    <w:rsid w:val="0070228E"/>
    <w:rsid w:val="00702B4C"/>
    <w:rsid w:val="00703930"/>
    <w:rsid w:val="00703946"/>
    <w:rsid w:val="00704070"/>
    <w:rsid w:val="007048E0"/>
    <w:rsid w:val="00705744"/>
    <w:rsid w:val="0070610E"/>
    <w:rsid w:val="00706FEA"/>
    <w:rsid w:val="00707759"/>
    <w:rsid w:val="00710081"/>
    <w:rsid w:val="00710B0D"/>
    <w:rsid w:val="007116D2"/>
    <w:rsid w:val="00713CB5"/>
    <w:rsid w:val="0071436F"/>
    <w:rsid w:val="007153E5"/>
    <w:rsid w:val="0071558B"/>
    <w:rsid w:val="00720437"/>
    <w:rsid w:val="00721189"/>
    <w:rsid w:val="007221C3"/>
    <w:rsid w:val="00722F2C"/>
    <w:rsid w:val="007253A4"/>
    <w:rsid w:val="007254D1"/>
    <w:rsid w:val="007257C8"/>
    <w:rsid w:val="00725B32"/>
    <w:rsid w:val="00725B3C"/>
    <w:rsid w:val="00725BC8"/>
    <w:rsid w:val="007264B0"/>
    <w:rsid w:val="00727753"/>
    <w:rsid w:val="00727A5D"/>
    <w:rsid w:val="00727D54"/>
    <w:rsid w:val="007303CC"/>
    <w:rsid w:val="00733D54"/>
    <w:rsid w:val="00736789"/>
    <w:rsid w:val="00736A4F"/>
    <w:rsid w:val="00736E76"/>
    <w:rsid w:val="00737620"/>
    <w:rsid w:val="00737753"/>
    <w:rsid w:val="00740CE9"/>
    <w:rsid w:val="007428E3"/>
    <w:rsid w:val="00743511"/>
    <w:rsid w:val="0074394E"/>
    <w:rsid w:val="007469B5"/>
    <w:rsid w:val="00746F17"/>
    <w:rsid w:val="007471D2"/>
    <w:rsid w:val="0075001E"/>
    <w:rsid w:val="00750ABC"/>
    <w:rsid w:val="00750D0A"/>
    <w:rsid w:val="00751863"/>
    <w:rsid w:val="00751D93"/>
    <w:rsid w:val="007520C3"/>
    <w:rsid w:val="00752300"/>
    <w:rsid w:val="00754667"/>
    <w:rsid w:val="007546F8"/>
    <w:rsid w:val="00755962"/>
    <w:rsid w:val="00755BAB"/>
    <w:rsid w:val="00757BA2"/>
    <w:rsid w:val="0076080E"/>
    <w:rsid w:val="007615E5"/>
    <w:rsid w:val="00761C1F"/>
    <w:rsid w:val="00763859"/>
    <w:rsid w:val="007639D2"/>
    <w:rsid w:val="00763C6F"/>
    <w:rsid w:val="0076411D"/>
    <w:rsid w:val="007643FB"/>
    <w:rsid w:val="00764641"/>
    <w:rsid w:val="007650F8"/>
    <w:rsid w:val="007658DE"/>
    <w:rsid w:val="007670F8"/>
    <w:rsid w:val="007671D4"/>
    <w:rsid w:val="00770A85"/>
    <w:rsid w:val="00772565"/>
    <w:rsid w:val="00772F2D"/>
    <w:rsid w:val="00773DC9"/>
    <w:rsid w:val="0077572E"/>
    <w:rsid w:val="0078031B"/>
    <w:rsid w:val="007818B7"/>
    <w:rsid w:val="00781C2C"/>
    <w:rsid w:val="00781EBC"/>
    <w:rsid w:val="007829BA"/>
    <w:rsid w:val="00783C4E"/>
    <w:rsid w:val="00784F44"/>
    <w:rsid w:val="00785025"/>
    <w:rsid w:val="00786672"/>
    <w:rsid w:val="00786A03"/>
    <w:rsid w:val="00786E80"/>
    <w:rsid w:val="007872CF"/>
    <w:rsid w:val="00787671"/>
    <w:rsid w:val="0079060A"/>
    <w:rsid w:val="007907CB"/>
    <w:rsid w:val="0079201C"/>
    <w:rsid w:val="00792495"/>
    <w:rsid w:val="0079307F"/>
    <w:rsid w:val="00793AA2"/>
    <w:rsid w:val="00793FBC"/>
    <w:rsid w:val="007947C4"/>
    <w:rsid w:val="00795CE1"/>
    <w:rsid w:val="007966EE"/>
    <w:rsid w:val="007A06AC"/>
    <w:rsid w:val="007A275F"/>
    <w:rsid w:val="007A2762"/>
    <w:rsid w:val="007A3180"/>
    <w:rsid w:val="007B1014"/>
    <w:rsid w:val="007B103F"/>
    <w:rsid w:val="007B10E0"/>
    <w:rsid w:val="007B1484"/>
    <w:rsid w:val="007B1999"/>
    <w:rsid w:val="007B1A10"/>
    <w:rsid w:val="007B3428"/>
    <w:rsid w:val="007B492C"/>
    <w:rsid w:val="007B6659"/>
    <w:rsid w:val="007B76AB"/>
    <w:rsid w:val="007B7DBD"/>
    <w:rsid w:val="007C0513"/>
    <w:rsid w:val="007C2800"/>
    <w:rsid w:val="007C45D3"/>
    <w:rsid w:val="007C597B"/>
    <w:rsid w:val="007C61CB"/>
    <w:rsid w:val="007C760C"/>
    <w:rsid w:val="007C7A86"/>
    <w:rsid w:val="007D08FD"/>
    <w:rsid w:val="007D0AD2"/>
    <w:rsid w:val="007D1584"/>
    <w:rsid w:val="007D19C6"/>
    <w:rsid w:val="007D1D6E"/>
    <w:rsid w:val="007D2044"/>
    <w:rsid w:val="007D2217"/>
    <w:rsid w:val="007D2D55"/>
    <w:rsid w:val="007D2F86"/>
    <w:rsid w:val="007D310E"/>
    <w:rsid w:val="007D440E"/>
    <w:rsid w:val="007D4F33"/>
    <w:rsid w:val="007D5060"/>
    <w:rsid w:val="007D65C7"/>
    <w:rsid w:val="007D74D2"/>
    <w:rsid w:val="007D74FE"/>
    <w:rsid w:val="007D79B5"/>
    <w:rsid w:val="007E06AE"/>
    <w:rsid w:val="007E09F0"/>
    <w:rsid w:val="007E0B99"/>
    <w:rsid w:val="007E108E"/>
    <w:rsid w:val="007E119C"/>
    <w:rsid w:val="007E2334"/>
    <w:rsid w:val="007E23CE"/>
    <w:rsid w:val="007E2CE7"/>
    <w:rsid w:val="007E43D0"/>
    <w:rsid w:val="007E4791"/>
    <w:rsid w:val="007E4EA8"/>
    <w:rsid w:val="007E4FDA"/>
    <w:rsid w:val="007E54F8"/>
    <w:rsid w:val="007E567A"/>
    <w:rsid w:val="007E5987"/>
    <w:rsid w:val="007E5BD8"/>
    <w:rsid w:val="007E65C2"/>
    <w:rsid w:val="007E6601"/>
    <w:rsid w:val="007E7551"/>
    <w:rsid w:val="007E7BF9"/>
    <w:rsid w:val="007E7F0E"/>
    <w:rsid w:val="007F0212"/>
    <w:rsid w:val="007F02BC"/>
    <w:rsid w:val="007F18E6"/>
    <w:rsid w:val="007F1A40"/>
    <w:rsid w:val="007F1D17"/>
    <w:rsid w:val="007F235A"/>
    <w:rsid w:val="007F2E65"/>
    <w:rsid w:val="007F2F4B"/>
    <w:rsid w:val="007F3633"/>
    <w:rsid w:val="007F43BA"/>
    <w:rsid w:val="007F45D1"/>
    <w:rsid w:val="007F5752"/>
    <w:rsid w:val="007F6DC3"/>
    <w:rsid w:val="007F6FB9"/>
    <w:rsid w:val="008006B4"/>
    <w:rsid w:val="00801A3F"/>
    <w:rsid w:val="00803695"/>
    <w:rsid w:val="00803FD4"/>
    <w:rsid w:val="0080481C"/>
    <w:rsid w:val="0080494A"/>
    <w:rsid w:val="00804A38"/>
    <w:rsid w:val="00804C54"/>
    <w:rsid w:val="00804CDE"/>
    <w:rsid w:val="008056DD"/>
    <w:rsid w:val="0080656E"/>
    <w:rsid w:val="0081104C"/>
    <w:rsid w:val="008110EE"/>
    <w:rsid w:val="00811526"/>
    <w:rsid w:val="00811ADA"/>
    <w:rsid w:val="00811D2A"/>
    <w:rsid w:val="00812412"/>
    <w:rsid w:val="00812D16"/>
    <w:rsid w:val="00813417"/>
    <w:rsid w:val="00817A54"/>
    <w:rsid w:val="00817A6B"/>
    <w:rsid w:val="00817C04"/>
    <w:rsid w:val="00817DDC"/>
    <w:rsid w:val="0082073A"/>
    <w:rsid w:val="00821865"/>
    <w:rsid w:val="00821E22"/>
    <w:rsid w:val="0082327D"/>
    <w:rsid w:val="0082433D"/>
    <w:rsid w:val="00826509"/>
    <w:rsid w:val="00831A25"/>
    <w:rsid w:val="0083354D"/>
    <w:rsid w:val="008339BF"/>
    <w:rsid w:val="0083561B"/>
    <w:rsid w:val="00835F47"/>
    <w:rsid w:val="0083685F"/>
    <w:rsid w:val="00836C13"/>
    <w:rsid w:val="008371F6"/>
    <w:rsid w:val="00837BAB"/>
    <w:rsid w:val="00837D78"/>
    <w:rsid w:val="00840D79"/>
    <w:rsid w:val="008422FC"/>
    <w:rsid w:val="00842A21"/>
    <w:rsid w:val="008431CC"/>
    <w:rsid w:val="008439BF"/>
    <w:rsid w:val="008450A5"/>
    <w:rsid w:val="00845DAD"/>
    <w:rsid w:val="00846F6F"/>
    <w:rsid w:val="00852AF4"/>
    <w:rsid w:val="00853C1D"/>
    <w:rsid w:val="00854206"/>
    <w:rsid w:val="008548E7"/>
    <w:rsid w:val="00854B2F"/>
    <w:rsid w:val="00856354"/>
    <w:rsid w:val="008568E1"/>
    <w:rsid w:val="008568F2"/>
    <w:rsid w:val="00856BE9"/>
    <w:rsid w:val="008578F8"/>
    <w:rsid w:val="00860566"/>
    <w:rsid w:val="00860B25"/>
    <w:rsid w:val="0086165C"/>
    <w:rsid w:val="00861B26"/>
    <w:rsid w:val="00862EED"/>
    <w:rsid w:val="00864311"/>
    <w:rsid w:val="008643FC"/>
    <w:rsid w:val="00864529"/>
    <w:rsid w:val="008649B9"/>
    <w:rsid w:val="0086784F"/>
    <w:rsid w:val="00867A15"/>
    <w:rsid w:val="00870394"/>
    <w:rsid w:val="0087073B"/>
    <w:rsid w:val="00870DFA"/>
    <w:rsid w:val="00872C5B"/>
    <w:rsid w:val="0087438D"/>
    <w:rsid w:val="00877004"/>
    <w:rsid w:val="008770D4"/>
    <w:rsid w:val="008770F3"/>
    <w:rsid w:val="00877750"/>
    <w:rsid w:val="0088127F"/>
    <w:rsid w:val="008815EF"/>
    <w:rsid w:val="00882304"/>
    <w:rsid w:val="00882FBD"/>
    <w:rsid w:val="00883028"/>
    <w:rsid w:val="0088499F"/>
    <w:rsid w:val="00885273"/>
    <w:rsid w:val="00885F2C"/>
    <w:rsid w:val="00886386"/>
    <w:rsid w:val="0088701C"/>
    <w:rsid w:val="00887BA4"/>
    <w:rsid w:val="00890748"/>
    <w:rsid w:val="0089174C"/>
    <w:rsid w:val="00892EB4"/>
    <w:rsid w:val="00893F16"/>
    <w:rsid w:val="0089499B"/>
    <w:rsid w:val="00894ACA"/>
    <w:rsid w:val="00894E87"/>
    <w:rsid w:val="00894EC5"/>
    <w:rsid w:val="00895039"/>
    <w:rsid w:val="008957AC"/>
    <w:rsid w:val="008967B5"/>
    <w:rsid w:val="008A03AC"/>
    <w:rsid w:val="008A186D"/>
    <w:rsid w:val="008A20BE"/>
    <w:rsid w:val="008A2B4E"/>
    <w:rsid w:val="008A2FEA"/>
    <w:rsid w:val="008A345A"/>
    <w:rsid w:val="008A3B3A"/>
    <w:rsid w:val="008A3BF2"/>
    <w:rsid w:val="008A3DB9"/>
    <w:rsid w:val="008A53A7"/>
    <w:rsid w:val="008A6890"/>
    <w:rsid w:val="008A6A5C"/>
    <w:rsid w:val="008A7316"/>
    <w:rsid w:val="008A751B"/>
    <w:rsid w:val="008B1028"/>
    <w:rsid w:val="008B500A"/>
    <w:rsid w:val="008B5444"/>
    <w:rsid w:val="008B5588"/>
    <w:rsid w:val="008C1434"/>
    <w:rsid w:val="008C1610"/>
    <w:rsid w:val="008C2F1E"/>
    <w:rsid w:val="008C30E5"/>
    <w:rsid w:val="008C3B5B"/>
    <w:rsid w:val="008C409F"/>
    <w:rsid w:val="008C4327"/>
    <w:rsid w:val="008C602D"/>
    <w:rsid w:val="008C60CD"/>
    <w:rsid w:val="008C6BCC"/>
    <w:rsid w:val="008D0407"/>
    <w:rsid w:val="008D098D"/>
    <w:rsid w:val="008D0C10"/>
    <w:rsid w:val="008D0C19"/>
    <w:rsid w:val="008D135A"/>
    <w:rsid w:val="008D1CE0"/>
    <w:rsid w:val="008D1D4C"/>
    <w:rsid w:val="008D2205"/>
    <w:rsid w:val="008D2331"/>
    <w:rsid w:val="008D2E9B"/>
    <w:rsid w:val="008D36CD"/>
    <w:rsid w:val="008D4380"/>
    <w:rsid w:val="008D48D1"/>
    <w:rsid w:val="008D4D9D"/>
    <w:rsid w:val="008D5B7E"/>
    <w:rsid w:val="008D7A59"/>
    <w:rsid w:val="008E2B94"/>
    <w:rsid w:val="008E3EDF"/>
    <w:rsid w:val="008E5728"/>
    <w:rsid w:val="008E6855"/>
    <w:rsid w:val="008E707C"/>
    <w:rsid w:val="008F2C49"/>
    <w:rsid w:val="008F2DD9"/>
    <w:rsid w:val="008F4FB0"/>
    <w:rsid w:val="008F769E"/>
    <w:rsid w:val="008F7CFF"/>
    <w:rsid w:val="008F7ED1"/>
    <w:rsid w:val="00901130"/>
    <w:rsid w:val="00901C8D"/>
    <w:rsid w:val="009027BC"/>
    <w:rsid w:val="00904A4D"/>
    <w:rsid w:val="00905BFB"/>
    <w:rsid w:val="00905D16"/>
    <w:rsid w:val="00905EE9"/>
    <w:rsid w:val="00906096"/>
    <w:rsid w:val="009060A7"/>
    <w:rsid w:val="009065F4"/>
    <w:rsid w:val="009075A7"/>
    <w:rsid w:val="009076AF"/>
    <w:rsid w:val="00910FBA"/>
    <w:rsid w:val="00911D39"/>
    <w:rsid w:val="00912B9F"/>
    <w:rsid w:val="0091380F"/>
    <w:rsid w:val="00915BAA"/>
    <w:rsid w:val="009172E2"/>
    <w:rsid w:val="00917C0F"/>
    <w:rsid w:val="00917D2A"/>
    <w:rsid w:val="00920276"/>
    <w:rsid w:val="0092040E"/>
    <w:rsid w:val="00920C6C"/>
    <w:rsid w:val="009214B4"/>
    <w:rsid w:val="00921986"/>
    <w:rsid w:val="009227D9"/>
    <w:rsid w:val="00923F98"/>
    <w:rsid w:val="00924E09"/>
    <w:rsid w:val="00924E0B"/>
    <w:rsid w:val="009253FC"/>
    <w:rsid w:val="00925D9E"/>
    <w:rsid w:val="00926832"/>
    <w:rsid w:val="009273A8"/>
    <w:rsid w:val="00927791"/>
    <w:rsid w:val="00930607"/>
    <w:rsid w:val="00930D0A"/>
    <w:rsid w:val="00931B8F"/>
    <w:rsid w:val="00932669"/>
    <w:rsid w:val="009329BA"/>
    <w:rsid w:val="0093304D"/>
    <w:rsid w:val="009335F3"/>
    <w:rsid w:val="00934053"/>
    <w:rsid w:val="009356C6"/>
    <w:rsid w:val="009356D3"/>
    <w:rsid w:val="00936939"/>
    <w:rsid w:val="0094053B"/>
    <w:rsid w:val="00942040"/>
    <w:rsid w:val="00942C9F"/>
    <w:rsid w:val="00945631"/>
    <w:rsid w:val="0094677B"/>
    <w:rsid w:val="00947549"/>
    <w:rsid w:val="0094789F"/>
    <w:rsid w:val="00951BDD"/>
    <w:rsid w:val="00952520"/>
    <w:rsid w:val="00953C60"/>
    <w:rsid w:val="009549DA"/>
    <w:rsid w:val="00955DC8"/>
    <w:rsid w:val="00956EF5"/>
    <w:rsid w:val="009574A7"/>
    <w:rsid w:val="0095793C"/>
    <w:rsid w:val="0096111E"/>
    <w:rsid w:val="00961125"/>
    <w:rsid w:val="00961951"/>
    <w:rsid w:val="00961C09"/>
    <w:rsid w:val="00963BD1"/>
    <w:rsid w:val="00966B1F"/>
    <w:rsid w:val="0097092A"/>
    <w:rsid w:val="00970C06"/>
    <w:rsid w:val="00971362"/>
    <w:rsid w:val="00972803"/>
    <w:rsid w:val="00974518"/>
    <w:rsid w:val="00975B88"/>
    <w:rsid w:val="00980FE0"/>
    <w:rsid w:val="009810A1"/>
    <w:rsid w:val="00983A15"/>
    <w:rsid w:val="00983D7E"/>
    <w:rsid w:val="0099017F"/>
    <w:rsid w:val="009927BB"/>
    <w:rsid w:val="009928B7"/>
    <w:rsid w:val="00992E4E"/>
    <w:rsid w:val="0099321A"/>
    <w:rsid w:val="00995813"/>
    <w:rsid w:val="009960B7"/>
    <w:rsid w:val="00996381"/>
    <w:rsid w:val="00997986"/>
    <w:rsid w:val="009A09F6"/>
    <w:rsid w:val="009A1B3A"/>
    <w:rsid w:val="009A324E"/>
    <w:rsid w:val="009A3D53"/>
    <w:rsid w:val="009B39D3"/>
    <w:rsid w:val="009B4998"/>
    <w:rsid w:val="009B536C"/>
    <w:rsid w:val="009B58C6"/>
    <w:rsid w:val="009B6496"/>
    <w:rsid w:val="009B69D5"/>
    <w:rsid w:val="009C01DA"/>
    <w:rsid w:val="009C070E"/>
    <w:rsid w:val="009C141A"/>
    <w:rsid w:val="009C20CC"/>
    <w:rsid w:val="009C26BA"/>
    <w:rsid w:val="009C3558"/>
    <w:rsid w:val="009C562E"/>
    <w:rsid w:val="009C62DC"/>
    <w:rsid w:val="009C7531"/>
    <w:rsid w:val="009C7C59"/>
    <w:rsid w:val="009D0B4D"/>
    <w:rsid w:val="009D220C"/>
    <w:rsid w:val="009D221F"/>
    <w:rsid w:val="009D4436"/>
    <w:rsid w:val="009D53E0"/>
    <w:rsid w:val="009D59C3"/>
    <w:rsid w:val="009D5FB5"/>
    <w:rsid w:val="009E09F0"/>
    <w:rsid w:val="009E19E8"/>
    <w:rsid w:val="009E377C"/>
    <w:rsid w:val="009E41F1"/>
    <w:rsid w:val="009E458A"/>
    <w:rsid w:val="009E45D2"/>
    <w:rsid w:val="009E52A0"/>
    <w:rsid w:val="009E5DFC"/>
    <w:rsid w:val="009E7E60"/>
    <w:rsid w:val="009F1789"/>
    <w:rsid w:val="009F2BE9"/>
    <w:rsid w:val="009F326F"/>
    <w:rsid w:val="009F36D2"/>
    <w:rsid w:val="009F4123"/>
    <w:rsid w:val="009F4504"/>
    <w:rsid w:val="009F4E6D"/>
    <w:rsid w:val="009F502C"/>
    <w:rsid w:val="009F52E4"/>
    <w:rsid w:val="009F603B"/>
    <w:rsid w:val="009F6987"/>
    <w:rsid w:val="009F720F"/>
    <w:rsid w:val="009F7B49"/>
    <w:rsid w:val="009F7DE2"/>
    <w:rsid w:val="00A00CFB"/>
    <w:rsid w:val="00A010E7"/>
    <w:rsid w:val="00A01A17"/>
    <w:rsid w:val="00A01A60"/>
    <w:rsid w:val="00A01B08"/>
    <w:rsid w:val="00A029C1"/>
    <w:rsid w:val="00A02C07"/>
    <w:rsid w:val="00A0391D"/>
    <w:rsid w:val="00A04F67"/>
    <w:rsid w:val="00A0555F"/>
    <w:rsid w:val="00A058F3"/>
    <w:rsid w:val="00A05E2E"/>
    <w:rsid w:val="00A076F9"/>
    <w:rsid w:val="00A07997"/>
    <w:rsid w:val="00A07F87"/>
    <w:rsid w:val="00A10DE6"/>
    <w:rsid w:val="00A1164D"/>
    <w:rsid w:val="00A11B05"/>
    <w:rsid w:val="00A11DAB"/>
    <w:rsid w:val="00A12B81"/>
    <w:rsid w:val="00A15BFD"/>
    <w:rsid w:val="00A15F86"/>
    <w:rsid w:val="00A163F5"/>
    <w:rsid w:val="00A16FE5"/>
    <w:rsid w:val="00A17566"/>
    <w:rsid w:val="00A206ED"/>
    <w:rsid w:val="00A20806"/>
    <w:rsid w:val="00A20C7F"/>
    <w:rsid w:val="00A20C8D"/>
    <w:rsid w:val="00A212DF"/>
    <w:rsid w:val="00A21BD8"/>
    <w:rsid w:val="00A21FDA"/>
    <w:rsid w:val="00A22DBA"/>
    <w:rsid w:val="00A25347"/>
    <w:rsid w:val="00A25992"/>
    <w:rsid w:val="00A25BFF"/>
    <w:rsid w:val="00A25CF5"/>
    <w:rsid w:val="00A27508"/>
    <w:rsid w:val="00A27522"/>
    <w:rsid w:val="00A2796E"/>
    <w:rsid w:val="00A311B2"/>
    <w:rsid w:val="00A31398"/>
    <w:rsid w:val="00A330C5"/>
    <w:rsid w:val="00A34D76"/>
    <w:rsid w:val="00A35989"/>
    <w:rsid w:val="00A365D0"/>
    <w:rsid w:val="00A3722C"/>
    <w:rsid w:val="00A37428"/>
    <w:rsid w:val="00A402B8"/>
    <w:rsid w:val="00A40B3F"/>
    <w:rsid w:val="00A40E5E"/>
    <w:rsid w:val="00A40ED0"/>
    <w:rsid w:val="00A40F89"/>
    <w:rsid w:val="00A4360E"/>
    <w:rsid w:val="00A443A6"/>
    <w:rsid w:val="00A45A1A"/>
    <w:rsid w:val="00A46DDC"/>
    <w:rsid w:val="00A47633"/>
    <w:rsid w:val="00A47F32"/>
    <w:rsid w:val="00A53220"/>
    <w:rsid w:val="00A538E6"/>
    <w:rsid w:val="00A53D36"/>
    <w:rsid w:val="00A540C1"/>
    <w:rsid w:val="00A56800"/>
    <w:rsid w:val="00A56D7E"/>
    <w:rsid w:val="00A5729F"/>
    <w:rsid w:val="00A57404"/>
    <w:rsid w:val="00A575BD"/>
    <w:rsid w:val="00A57AB2"/>
    <w:rsid w:val="00A606BC"/>
    <w:rsid w:val="00A60EEC"/>
    <w:rsid w:val="00A65BD9"/>
    <w:rsid w:val="00A65C1E"/>
    <w:rsid w:val="00A66718"/>
    <w:rsid w:val="00A7062C"/>
    <w:rsid w:val="00A70750"/>
    <w:rsid w:val="00A70B31"/>
    <w:rsid w:val="00A71382"/>
    <w:rsid w:val="00A72A72"/>
    <w:rsid w:val="00A73B63"/>
    <w:rsid w:val="00A759FE"/>
    <w:rsid w:val="00A75F0E"/>
    <w:rsid w:val="00A76D67"/>
    <w:rsid w:val="00A776B8"/>
    <w:rsid w:val="00A80DD3"/>
    <w:rsid w:val="00A81208"/>
    <w:rsid w:val="00A827A3"/>
    <w:rsid w:val="00A828A8"/>
    <w:rsid w:val="00A83629"/>
    <w:rsid w:val="00A85357"/>
    <w:rsid w:val="00A85451"/>
    <w:rsid w:val="00A86DEB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C95"/>
    <w:rsid w:val="00AA0DD3"/>
    <w:rsid w:val="00AA144F"/>
    <w:rsid w:val="00AA17E6"/>
    <w:rsid w:val="00AA1C07"/>
    <w:rsid w:val="00AA3688"/>
    <w:rsid w:val="00AA560B"/>
    <w:rsid w:val="00AA5887"/>
    <w:rsid w:val="00AA665A"/>
    <w:rsid w:val="00AA7213"/>
    <w:rsid w:val="00AB19F8"/>
    <w:rsid w:val="00AB2A61"/>
    <w:rsid w:val="00AB2DEC"/>
    <w:rsid w:val="00AB3A12"/>
    <w:rsid w:val="00AB3C41"/>
    <w:rsid w:val="00AB45DF"/>
    <w:rsid w:val="00AB5A8D"/>
    <w:rsid w:val="00AB5C95"/>
    <w:rsid w:val="00AB5FA4"/>
    <w:rsid w:val="00AB6642"/>
    <w:rsid w:val="00AB783E"/>
    <w:rsid w:val="00AC1EFF"/>
    <w:rsid w:val="00AC2EFE"/>
    <w:rsid w:val="00AC3930"/>
    <w:rsid w:val="00AC3AB1"/>
    <w:rsid w:val="00AC53FC"/>
    <w:rsid w:val="00AC5741"/>
    <w:rsid w:val="00AC5B5D"/>
    <w:rsid w:val="00AC615D"/>
    <w:rsid w:val="00AC68C6"/>
    <w:rsid w:val="00AC73D8"/>
    <w:rsid w:val="00AC75AA"/>
    <w:rsid w:val="00AC78C0"/>
    <w:rsid w:val="00AC79C1"/>
    <w:rsid w:val="00AC7CA4"/>
    <w:rsid w:val="00AD010E"/>
    <w:rsid w:val="00AD3592"/>
    <w:rsid w:val="00AD387A"/>
    <w:rsid w:val="00AD3BD0"/>
    <w:rsid w:val="00AD3C6E"/>
    <w:rsid w:val="00AD48F5"/>
    <w:rsid w:val="00AD4A64"/>
    <w:rsid w:val="00AD598F"/>
    <w:rsid w:val="00AD6D09"/>
    <w:rsid w:val="00AD72A5"/>
    <w:rsid w:val="00AD7B84"/>
    <w:rsid w:val="00AD7CE1"/>
    <w:rsid w:val="00AE0909"/>
    <w:rsid w:val="00AE098E"/>
    <w:rsid w:val="00AE0BBA"/>
    <w:rsid w:val="00AE2291"/>
    <w:rsid w:val="00AE25C8"/>
    <w:rsid w:val="00AE2AF2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037"/>
    <w:rsid w:val="00AF5CEE"/>
    <w:rsid w:val="00AF719C"/>
    <w:rsid w:val="00AF7506"/>
    <w:rsid w:val="00B0024C"/>
    <w:rsid w:val="00B007DD"/>
    <w:rsid w:val="00B0098A"/>
    <w:rsid w:val="00B01016"/>
    <w:rsid w:val="00B0146E"/>
    <w:rsid w:val="00B027CB"/>
    <w:rsid w:val="00B0352B"/>
    <w:rsid w:val="00B03A73"/>
    <w:rsid w:val="00B04E48"/>
    <w:rsid w:val="00B06321"/>
    <w:rsid w:val="00B06E63"/>
    <w:rsid w:val="00B074F8"/>
    <w:rsid w:val="00B12594"/>
    <w:rsid w:val="00B13088"/>
    <w:rsid w:val="00B145CD"/>
    <w:rsid w:val="00B161A7"/>
    <w:rsid w:val="00B1670B"/>
    <w:rsid w:val="00B16E7A"/>
    <w:rsid w:val="00B17FAB"/>
    <w:rsid w:val="00B2099F"/>
    <w:rsid w:val="00B22BE6"/>
    <w:rsid w:val="00B22C5F"/>
    <w:rsid w:val="00B232CE"/>
    <w:rsid w:val="00B23687"/>
    <w:rsid w:val="00B25710"/>
    <w:rsid w:val="00B26617"/>
    <w:rsid w:val="00B26A16"/>
    <w:rsid w:val="00B2724E"/>
    <w:rsid w:val="00B27B03"/>
    <w:rsid w:val="00B301B0"/>
    <w:rsid w:val="00B30DCD"/>
    <w:rsid w:val="00B311B8"/>
    <w:rsid w:val="00B31B62"/>
    <w:rsid w:val="00B31BBA"/>
    <w:rsid w:val="00B33711"/>
    <w:rsid w:val="00B33DC3"/>
    <w:rsid w:val="00B3482A"/>
    <w:rsid w:val="00B34889"/>
    <w:rsid w:val="00B353AC"/>
    <w:rsid w:val="00B3652E"/>
    <w:rsid w:val="00B36588"/>
    <w:rsid w:val="00B3711B"/>
    <w:rsid w:val="00B37542"/>
    <w:rsid w:val="00B37550"/>
    <w:rsid w:val="00B402C6"/>
    <w:rsid w:val="00B4147F"/>
    <w:rsid w:val="00B41D90"/>
    <w:rsid w:val="00B41DC1"/>
    <w:rsid w:val="00B4243B"/>
    <w:rsid w:val="00B4262A"/>
    <w:rsid w:val="00B43058"/>
    <w:rsid w:val="00B46882"/>
    <w:rsid w:val="00B46EC7"/>
    <w:rsid w:val="00B47619"/>
    <w:rsid w:val="00B479E2"/>
    <w:rsid w:val="00B50A91"/>
    <w:rsid w:val="00B52022"/>
    <w:rsid w:val="00B52187"/>
    <w:rsid w:val="00B54691"/>
    <w:rsid w:val="00B56C32"/>
    <w:rsid w:val="00B5744E"/>
    <w:rsid w:val="00B60CCD"/>
    <w:rsid w:val="00B61C9B"/>
    <w:rsid w:val="00B6212D"/>
    <w:rsid w:val="00B62854"/>
    <w:rsid w:val="00B62EF1"/>
    <w:rsid w:val="00B640CC"/>
    <w:rsid w:val="00B645B6"/>
    <w:rsid w:val="00B64DAE"/>
    <w:rsid w:val="00B65A18"/>
    <w:rsid w:val="00B667BF"/>
    <w:rsid w:val="00B672C6"/>
    <w:rsid w:val="00B6797D"/>
    <w:rsid w:val="00B67D20"/>
    <w:rsid w:val="00B735B8"/>
    <w:rsid w:val="00B73B5A"/>
    <w:rsid w:val="00B74858"/>
    <w:rsid w:val="00B752EB"/>
    <w:rsid w:val="00B768C9"/>
    <w:rsid w:val="00B7782D"/>
    <w:rsid w:val="00B77BE4"/>
    <w:rsid w:val="00B812BE"/>
    <w:rsid w:val="00B8137B"/>
    <w:rsid w:val="00B816FE"/>
    <w:rsid w:val="00B81D87"/>
    <w:rsid w:val="00B8325F"/>
    <w:rsid w:val="00B8590F"/>
    <w:rsid w:val="00B86608"/>
    <w:rsid w:val="00B87847"/>
    <w:rsid w:val="00B9016E"/>
    <w:rsid w:val="00B90477"/>
    <w:rsid w:val="00B92AA5"/>
    <w:rsid w:val="00B96744"/>
    <w:rsid w:val="00B97C63"/>
    <w:rsid w:val="00BA0940"/>
    <w:rsid w:val="00BA6419"/>
    <w:rsid w:val="00BA6550"/>
    <w:rsid w:val="00BB0EDC"/>
    <w:rsid w:val="00BB1119"/>
    <w:rsid w:val="00BB2437"/>
    <w:rsid w:val="00BB2F21"/>
    <w:rsid w:val="00BB32A1"/>
    <w:rsid w:val="00BB3642"/>
    <w:rsid w:val="00BB3780"/>
    <w:rsid w:val="00BB4D1F"/>
    <w:rsid w:val="00BB66AB"/>
    <w:rsid w:val="00BC0AD6"/>
    <w:rsid w:val="00BC3584"/>
    <w:rsid w:val="00BC4673"/>
    <w:rsid w:val="00BC5479"/>
    <w:rsid w:val="00BC7844"/>
    <w:rsid w:val="00BD1484"/>
    <w:rsid w:val="00BD18E6"/>
    <w:rsid w:val="00BD20FF"/>
    <w:rsid w:val="00BD25F8"/>
    <w:rsid w:val="00BD5B0B"/>
    <w:rsid w:val="00BD7F92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1E4"/>
    <w:rsid w:val="00BF12DD"/>
    <w:rsid w:val="00BF2CD1"/>
    <w:rsid w:val="00BF4796"/>
    <w:rsid w:val="00BF4B6A"/>
    <w:rsid w:val="00BF5135"/>
    <w:rsid w:val="00BF5819"/>
    <w:rsid w:val="00BF5FA5"/>
    <w:rsid w:val="00BF63BE"/>
    <w:rsid w:val="00C009F5"/>
    <w:rsid w:val="00C01129"/>
    <w:rsid w:val="00C02239"/>
    <w:rsid w:val="00C022E1"/>
    <w:rsid w:val="00C0398D"/>
    <w:rsid w:val="00C0539F"/>
    <w:rsid w:val="00C07169"/>
    <w:rsid w:val="00C07B57"/>
    <w:rsid w:val="00C11E4C"/>
    <w:rsid w:val="00C123FB"/>
    <w:rsid w:val="00C14792"/>
    <w:rsid w:val="00C14954"/>
    <w:rsid w:val="00C16BEB"/>
    <w:rsid w:val="00C1743B"/>
    <w:rsid w:val="00C17D23"/>
    <w:rsid w:val="00C17DFC"/>
    <w:rsid w:val="00C20CA6"/>
    <w:rsid w:val="00C210E7"/>
    <w:rsid w:val="00C22337"/>
    <w:rsid w:val="00C23398"/>
    <w:rsid w:val="00C23786"/>
    <w:rsid w:val="00C23B23"/>
    <w:rsid w:val="00C26C22"/>
    <w:rsid w:val="00C27B03"/>
    <w:rsid w:val="00C27EB0"/>
    <w:rsid w:val="00C3089B"/>
    <w:rsid w:val="00C31CE6"/>
    <w:rsid w:val="00C336BA"/>
    <w:rsid w:val="00C337CB"/>
    <w:rsid w:val="00C34B40"/>
    <w:rsid w:val="00C35836"/>
    <w:rsid w:val="00C41CD3"/>
    <w:rsid w:val="00C41D29"/>
    <w:rsid w:val="00C42AB0"/>
    <w:rsid w:val="00C43438"/>
    <w:rsid w:val="00C43DF2"/>
    <w:rsid w:val="00C44264"/>
    <w:rsid w:val="00C451EC"/>
    <w:rsid w:val="00C45737"/>
    <w:rsid w:val="00C46251"/>
    <w:rsid w:val="00C4676C"/>
    <w:rsid w:val="00C4790F"/>
    <w:rsid w:val="00C47FC0"/>
    <w:rsid w:val="00C5072A"/>
    <w:rsid w:val="00C528CC"/>
    <w:rsid w:val="00C52CDD"/>
    <w:rsid w:val="00C53ABD"/>
    <w:rsid w:val="00C53AD3"/>
    <w:rsid w:val="00C53C94"/>
    <w:rsid w:val="00C544D5"/>
    <w:rsid w:val="00C54930"/>
    <w:rsid w:val="00C56E1B"/>
    <w:rsid w:val="00C57741"/>
    <w:rsid w:val="00C60B41"/>
    <w:rsid w:val="00C61DAA"/>
    <w:rsid w:val="00C6210E"/>
    <w:rsid w:val="00C62568"/>
    <w:rsid w:val="00C62A2F"/>
    <w:rsid w:val="00C64143"/>
    <w:rsid w:val="00C6434D"/>
    <w:rsid w:val="00C647FB"/>
    <w:rsid w:val="00C652E5"/>
    <w:rsid w:val="00C659F1"/>
    <w:rsid w:val="00C66261"/>
    <w:rsid w:val="00C67446"/>
    <w:rsid w:val="00C6773A"/>
    <w:rsid w:val="00C7356B"/>
    <w:rsid w:val="00C73F17"/>
    <w:rsid w:val="00C7697F"/>
    <w:rsid w:val="00C8136C"/>
    <w:rsid w:val="00C82FFA"/>
    <w:rsid w:val="00C85521"/>
    <w:rsid w:val="00C863EE"/>
    <w:rsid w:val="00C879CA"/>
    <w:rsid w:val="00C9074E"/>
    <w:rsid w:val="00C9083B"/>
    <w:rsid w:val="00C91162"/>
    <w:rsid w:val="00C92646"/>
    <w:rsid w:val="00C9316A"/>
    <w:rsid w:val="00C9380B"/>
    <w:rsid w:val="00C93B1A"/>
    <w:rsid w:val="00C93B5E"/>
    <w:rsid w:val="00C93C1F"/>
    <w:rsid w:val="00C93FF3"/>
    <w:rsid w:val="00C9524B"/>
    <w:rsid w:val="00C95C77"/>
    <w:rsid w:val="00C95D8D"/>
    <w:rsid w:val="00C976CC"/>
    <w:rsid w:val="00CA1175"/>
    <w:rsid w:val="00CA1664"/>
    <w:rsid w:val="00CA24F2"/>
    <w:rsid w:val="00CA2883"/>
    <w:rsid w:val="00CA2AEF"/>
    <w:rsid w:val="00CA3349"/>
    <w:rsid w:val="00CA3C64"/>
    <w:rsid w:val="00CA5808"/>
    <w:rsid w:val="00CA5E26"/>
    <w:rsid w:val="00CA6136"/>
    <w:rsid w:val="00CA6BCC"/>
    <w:rsid w:val="00CA71DA"/>
    <w:rsid w:val="00CB5032"/>
    <w:rsid w:val="00CB5C65"/>
    <w:rsid w:val="00CB62AC"/>
    <w:rsid w:val="00CB63B9"/>
    <w:rsid w:val="00CB6A19"/>
    <w:rsid w:val="00CB77EA"/>
    <w:rsid w:val="00CB7DF6"/>
    <w:rsid w:val="00CC07D8"/>
    <w:rsid w:val="00CC303F"/>
    <w:rsid w:val="00CC3C96"/>
    <w:rsid w:val="00CC53B6"/>
    <w:rsid w:val="00CD077C"/>
    <w:rsid w:val="00CD1ACE"/>
    <w:rsid w:val="00CD342A"/>
    <w:rsid w:val="00CD3940"/>
    <w:rsid w:val="00CD3B1F"/>
    <w:rsid w:val="00CD4441"/>
    <w:rsid w:val="00CD4E32"/>
    <w:rsid w:val="00CD5240"/>
    <w:rsid w:val="00CD7357"/>
    <w:rsid w:val="00CD7E60"/>
    <w:rsid w:val="00CE0D3D"/>
    <w:rsid w:val="00CE21C7"/>
    <w:rsid w:val="00CE3267"/>
    <w:rsid w:val="00CE38DF"/>
    <w:rsid w:val="00CE3AE5"/>
    <w:rsid w:val="00CE5429"/>
    <w:rsid w:val="00CE6A0B"/>
    <w:rsid w:val="00CE6ABD"/>
    <w:rsid w:val="00CF0950"/>
    <w:rsid w:val="00CF3B07"/>
    <w:rsid w:val="00CF4C13"/>
    <w:rsid w:val="00CF4DC9"/>
    <w:rsid w:val="00CF625A"/>
    <w:rsid w:val="00CF6384"/>
    <w:rsid w:val="00CF6902"/>
    <w:rsid w:val="00CF7440"/>
    <w:rsid w:val="00CF7924"/>
    <w:rsid w:val="00D02798"/>
    <w:rsid w:val="00D035E2"/>
    <w:rsid w:val="00D06E88"/>
    <w:rsid w:val="00D0750E"/>
    <w:rsid w:val="00D11234"/>
    <w:rsid w:val="00D11F90"/>
    <w:rsid w:val="00D13527"/>
    <w:rsid w:val="00D15845"/>
    <w:rsid w:val="00D15E4E"/>
    <w:rsid w:val="00D161AC"/>
    <w:rsid w:val="00D16873"/>
    <w:rsid w:val="00D174E6"/>
    <w:rsid w:val="00D17601"/>
    <w:rsid w:val="00D17DF2"/>
    <w:rsid w:val="00D2054F"/>
    <w:rsid w:val="00D20D6E"/>
    <w:rsid w:val="00D21300"/>
    <w:rsid w:val="00D230DC"/>
    <w:rsid w:val="00D258B1"/>
    <w:rsid w:val="00D271D7"/>
    <w:rsid w:val="00D303E8"/>
    <w:rsid w:val="00D30BEC"/>
    <w:rsid w:val="00D31BA6"/>
    <w:rsid w:val="00D31EB9"/>
    <w:rsid w:val="00D33267"/>
    <w:rsid w:val="00D335E1"/>
    <w:rsid w:val="00D35FEA"/>
    <w:rsid w:val="00D366E4"/>
    <w:rsid w:val="00D404BC"/>
    <w:rsid w:val="00D41369"/>
    <w:rsid w:val="00D419F2"/>
    <w:rsid w:val="00D423AC"/>
    <w:rsid w:val="00D44AEE"/>
    <w:rsid w:val="00D44BD0"/>
    <w:rsid w:val="00D44DC6"/>
    <w:rsid w:val="00D47AE8"/>
    <w:rsid w:val="00D514E5"/>
    <w:rsid w:val="00D53195"/>
    <w:rsid w:val="00D5398B"/>
    <w:rsid w:val="00D539D5"/>
    <w:rsid w:val="00D544D5"/>
    <w:rsid w:val="00D5508E"/>
    <w:rsid w:val="00D602DE"/>
    <w:rsid w:val="00D6096A"/>
    <w:rsid w:val="00D60ABE"/>
    <w:rsid w:val="00D60CE5"/>
    <w:rsid w:val="00D60F90"/>
    <w:rsid w:val="00D615D3"/>
    <w:rsid w:val="00D61811"/>
    <w:rsid w:val="00D62055"/>
    <w:rsid w:val="00D63F9F"/>
    <w:rsid w:val="00D644EC"/>
    <w:rsid w:val="00D646D3"/>
    <w:rsid w:val="00D66264"/>
    <w:rsid w:val="00D662F2"/>
    <w:rsid w:val="00D665F1"/>
    <w:rsid w:val="00D66798"/>
    <w:rsid w:val="00D66EAD"/>
    <w:rsid w:val="00D6711E"/>
    <w:rsid w:val="00D678F5"/>
    <w:rsid w:val="00D67EF6"/>
    <w:rsid w:val="00D70919"/>
    <w:rsid w:val="00D73B08"/>
    <w:rsid w:val="00D7490D"/>
    <w:rsid w:val="00D74BE7"/>
    <w:rsid w:val="00D76ADD"/>
    <w:rsid w:val="00D77185"/>
    <w:rsid w:val="00D80127"/>
    <w:rsid w:val="00D805D1"/>
    <w:rsid w:val="00D80F94"/>
    <w:rsid w:val="00D82B07"/>
    <w:rsid w:val="00D82FD7"/>
    <w:rsid w:val="00D84FA6"/>
    <w:rsid w:val="00D85ECC"/>
    <w:rsid w:val="00D864C7"/>
    <w:rsid w:val="00D86552"/>
    <w:rsid w:val="00D86EB7"/>
    <w:rsid w:val="00D87712"/>
    <w:rsid w:val="00D913BD"/>
    <w:rsid w:val="00D92B5E"/>
    <w:rsid w:val="00D93388"/>
    <w:rsid w:val="00D9391D"/>
    <w:rsid w:val="00D93EF1"/>
    <w:rsid w:val="00D95457"/>
    <w:rsid w:val="00D96DAB"/>
    <w:rsid w:val="00D976E4"/>
    <w:rsid w:val="00D97A7B"/>
    <w:rsid w:val="00DA0D4C"/>
    <w:rsid w:val="00DA1259"/>
    <w:rsid w:val="00DA1AAD"/>
    <w:rsid w:val="00DA1BE8"/>
    <w:rsid w:val="00DA1E08"/>
    <w:rsid w:val="00DA2173"/>
    <w:rsid w:val="00DA26F9"/>
    <w:rsid w:val="00DA3606"/>
    <w:rsid w:val="00DA4A52"/>
    <w:rsid w:val="00DA4DCF"/>
    <w:rsid w:val="00DA4FBC"/>
    <w:rsid w:val="00DA5E6C"/>
    <w:rsid w:val="00DA7457"/>
    <w:rsid w:val="00DB055B"/>
    <w:rsid w:val="00DB282A"/>
    <w:rsid w:val="00DB2995"/>
    <w:rsid w:val="00DB2ED0"/>
    <w:rsid w:val="00DB31B7"/>
    <w:rsid w:val="00DB38F0"/>
    <w:rsid w:val="00DB3EE8"/>
    <w:rsid w:val="00DB4701"/>
    <w:rsid w:val="00DB4BAA"/>
    <w:rsid w:val="00DB54DB"/>
    <w:rsid w:val="00DB59C0"/>
    <w:rsid w:val="00DB7E46"/>
    <w:rsid w:val="00DB7F22"/>
    <w:rsid w:val="00DC0146"/>
    <w:rsid w:val="00DC03EE"/>
    <w:rsid w:val="00DC0B8D"/>
    <w:rsid w:val="00DC1BA1"/>
    <w:rsid w:val="00DC1C00"/>
    <w:rsid w:val="00DC2CD1"/>
    <w:rsid w:val="00DC326F"/>
    <w:rsid w:val="00DC3380"/>
    <w:rsid w:val="00DC33F9"/>
    <w:rsid w:val="00DC36B8"/>
    <w:rsid w:val="00DC3C74"/>
    <w:rsid w:val="00DC4007"/>
    <w:rsid w:val="00DC4138"/>
    <w:rsid w:val="00DC49A0"/>
    <w:rsid w:val="00DC4CAB"/>
    <w:rsid w:val="00DC53F2"/>
    <w:rsid w:val="00DC6B01"/>
    <w:rsid w:val="00DC702C"/>
    <w:rsid w:val="00DC7797"/>
    <w:rsid w:val="00DD078A"/>
    <w:rsid w:val="00DD1737"/>
    <w:rsid w:val="00DD1B0E"/>
    <w:rsid w:val="00DD34E1"/>
    <w:rsid w:val="00DD453A"/>
    <w:rsid w:val="00DD7667"/>
    <w:rsid w:val="00DD777C"/>
    <w:rsid w:val="00DE0299"/>
    <w:rsid w:val="00DE0CF3"/>
    <w:rsid w:val="00DE0D6C"/>
    <w:rsid w:val="00DE0D75"/>
    <w:rsid w:val="00DE19EB"/>
    <w:rsid w:val="00DE1F40"/>
    <w:rsid w:val="00DE2A7D"/>
    <w:rsid w:val="00DE5B0F"/>
    <w:rsid w:val="00DE68D0"/>
    <w:rsid w:val="00DE71FD"/>
    <w:rsid w:val="00DF2CB1"/>
    <w:rsid w:val="00DF33CF"/>
    <w:rsid w:val="00DF34C1"/>
    <w:rsid w:val="00DF3888"/>
    <w:rsid w:val="00DF69D7"/>
    <w:rsid w:val="00DF69F9"/>
    <w:rsid w:val="00DF7BD5"/>
    <w:rsid w:val="00E00330"/>
    <w:rsid w:val="00E01662"/>
    <w:rsid w:val="00E01DA6"/>
    <w:rsid w:val="00E02B50"/>
    <w:rsid w:val="00E03CC9"/>
    <w:rsid w:val="00E04754"/>
    <w:rsid w:val="00E04B08"/>
    <w:rsid w:val="00E04B3F"/>
    <w:rsid w:val="00E04BB1"/>
    <w:rsid w:val="00E060C1"/>
    <w:rsid w:val="00E066E0"/>
    <w:rsid w:val="00E06B1E"/>
    <w:rsid w:val="00E07787"/>
    <w:rsid w:val="00E07C50"/>
    <w:rsid w:val="00E07F93"/>
    <w:rsid w:val="00E07FBC"/>
    <w:rsid w:val="00E10AAF"/>
    <w:rsid w:val="00E10CD0"/>
    <w:rsid w:val="00E115D0"/>
    <w:rsid w:val="00E1258C"/>
    <w:rsid w:val="00E136C4"/>
    <w:rsid w:val="00E147D5"/>
    <w:rsid w:val="00E14C0E"/>
    <w:rsid w:val="00E163E9"/>
    <w:rsid w:val="00E16642"/>
    <w:rsid w:val="00E16DEA"/>
    <w:rsid w:val="00E1787C"/>
    <w:rsid w:val="00E20624"/>
    <w:rsid w:val="00E21259"/>
    <w:rsid w:val="00E2249E"/>
    <w:rsid w:val="00E22B76"/>
    <w:rsid w:val="00E234F1"/>
    <w:rsid w:val="00E2423A"/>
    <w:rsid w:val="00E2431C"/>
    <w:rsid w:val="00E24762"/>
    <w:rsid w:val="00E259FB"/>
    <w:rsid w:val="00E25AF8"/>
    <w:rsid w:val="00E26C55"/>
    <w:rsid w:val="00E26F6C"/>
    <w:rsid w:val="00E27EC3"/>
    <w:rsid w:val="00E320A0"/>
    <w:rsid w:val="00E326EA"/>
    <w:rsid w:val="00E3366D"/>
    <w:rsid w:val="00E34244"/>
    <w:rsid w:val="00E34CA3"/>
    <w:rsid w:val="00E37701"/>
    <w:rsid w:val="00E37DA6"/>
    <w:rsid w:val="00E37FE3"/>
    <w:rsid w:val="00E421C1"/>
    <w:rsid w:val="00E42B69"/>
    <w:rsid w:val="00E43AAA"/>
    <w:rsid w:val="00E44C62"/>
    <w:rsid w:val="00E44DB2"/>
    <w:rsid w:val="00E451AA"/>
    <w:rsid w:val="00E50C2D"/>
    <w:rsid w:val="00E52DD0"/>
    <w:rsid w:val="00E54B79"/>
    <w:rsid w:val="00E54EF2"/>
    <w:rsid w:val="00E55FD9"/>
    <w:rsid w:val="00E56A23"/>
    <w:rsid w:val="00E60DC5"/>
    <w:rsid w:val="00E61A93"/>
    <w:rsid w:val="00E6231F"/>
    <w:rsid w:val="00E63559"/>
    <w:rsid w:val="00E6651B"/>
    <w:rsid w:val="00E67180"/>
    <w:rsid w:val="00E676E2"/>
    <w:rsid w:val="00E709E5"/>
    <w:rsid w:val="00E72C02"/>
    <w:rsid w:val="00E74FA5"/>
    <w:rsid w:val="00E756A8"/>
    <w:rsid w:val="00E76032"/>
    <w:rsid w:val="00E768F2"/>
    <w:rsid w:val="00E77E9E"/>
    <w:rsid w:val="00E806EF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4454"/>
    <w:rsid w:val="00E96EF7"/>
    <w:rsid w:val="00E97944"/>
    <w:rsid w:val="00EA05D9"/>
    <w:rsid w:val="00EA0C7F"/>
    <w:rsid w:val="00EA1104"/>
    <w:rsid w:val="00EA1846"/>
    <w:rsid w:val="00EA18E1"/>
    <w:rsid w:val="00EA19C6"/>
    <w:rsid w:val="00EA2070"/>
    <w:rsid w:val="00EA2A1C"/>
    <w:rsid w:val="00EA3B8C"/>
    <w:rsid w:val="00EA5172"/>
    <w:rsid w:val="00EA5257"/>
    <w:rsid w:val="00EA59B6"/>
    <w:rsid w:val="00EA6BFB"/>
    <w:rsid w:val="00EA7048"/>
    <w:rsid w:val="00EB0433"/>
    <w:rsid w:val="00EB0567"/>
    <w:rsid w:val="00EB1B8B"/>
    <w:rsid w:val="00EB28EE"/>
    <w:rsid w:val="00EB3C54"/>
    <w:rsid w:val="00EB406B"/>
    <w:rsid w:val="00EB45EF"/>
    <w:rsid w:val="00EB4951"/>
    <w:rsid w:val="00EB4A2B"/>
    <w:rsid w:val="00EC0204"/>
    <w:rsid w:val="00EC098E"/>
    <w:rsid w:val="00EC0BCB"/>
    <w:rsid w:val="00EC0BEC"/>
    <w:rsid w:val="00EC0E71"/>
    <w:rsid w:val="00EC221F"/>
    <w:rsid w:val="00EC27B6"/>
    <w:rsid w:val="00EC2F76"/>
    <w:rsid w:val="00EC3B7E"/>
    <w:rsid w:val="00EC636D"/>
    <w:rsid w:val="00EC68EE"/>
    <w:rsid w:val="00EC7624"/>
    <w:rsid w:val="00EC799E"/>
    <w:rsid w:val="00EC7EC8"/>
    <w:rsid w:val="00ED1123"/>
    <w:rsid w:val="00ED19F3"/>
    <w:rsid w:val="00ED281F"/>
    <w:rsid w:val="00ED3B04"/>
    <w:rsid w:val="00ED4000"/>
    <w:rsid w:val="00ED5047"/>
    <w:rsid w:val="00ED50F6"/>
    <w:rsid w:val="00ED613A"/>
    <w:rsid w:val="00ED6CFA"/>
    <w:rsid w:val="00ED6D53"/>
    <w:rsid w:val="00EE1855"/>
    <w:rsid w:val="00EE1B58"/>
    <w:rsid w:val="00EE2B68"/>
    <w:rsid w:val="00EE2D5E"/>
    <w:rsid w:val="00EE3F6C"/>
    <w:rsid w:val="00EE662F"/>
    <w:rsid w:val="00EE6D70"/>
    <w:rsid w:val="00EE74AE"/>
    <w:rsid w:val="00EF1386"/>
    <w:rsid w:val="00EF15C1"/>
    <w:rsid w:val="00EF2491"/>
    <w:rsid w:val="00EF256B"/>
    <w:rsid w:val="00EF360C"/>
    <w:rsid w:val="00EF4378"/>
    <w:rsid w:val="00EF5277"/>
    <w:rsid w:val="00EF52FB"/>
    <w:rsid w:val="00EF54CA"/>
    <w:rsid w:val="00EF5CAD"/>
    <w:rsid w:val="00EF611F"/>
    <w:rsid w:val="00EF6769"/>
    <w:rsid w:val="00EF67E8"/>
    <w:rsid w:val="00EF6886"/>
    <w:rsid w:val="00EF6A7E"/>
    <w:rsid w:val="00EF71DF"/>
    <w:rsid w:val="00F033C7"/>
    <w:rsid w:val="00F06234"/>
    <w:rsid w:val="00F10137"/>
    <w:rsid w:val="00F1030E"/>
    <w:rsid w:val="00F10925"/>
    <w:rsid w:val="00F12F6C"/>
    <w:rsid w:val="00F12F7D"/>
    <w:rsid w:val="00F13DAE"/>
    <w:rsid w:val="00F14D61"/>
    <w:rsid w:val="00F155BC"/>
    <w:rsid w:val="00F157D8"/>
    <w:rsid w:val="00F16A1A"/>
    <w:rsid w:val="00F16B3D"/>
    <w:rsid w:val="00F172C9"/>
    <w:rsid w:val="00F177D2"/>
    <w:rsid w:val="00F17B06"/>
    <w:rsid w:val="00F201AD"/>
    <w:rsid w:val="00F2089C"/>
    <w:rsid w:val="00F20C6F"/>
    <w:rsid w:val="00F21481"/>
    <w:rsid w:val="00F222BB"/>
    <w:rsid w:val="00F231B7"/>
    <w:rsid w:val="00F2491A"/>
    <w:rsid w:val="00F24C6C"/>
    <w:rsid w:val="00F24EF6"/>
    <w:rsid w:val="00F254E4"/>
    <w:rsid w:val="00F279CC"/>
    <w:rsid w:val="00F27AE8"/>
    <w:rsid w:val="00F30044"/>
    <w:rsid w:val="00F33A14"/>
    <w:rsid w:val="00F34DC1"/>
    <w:rsid w:val="00F35D19"/>
    <w:rsid w:val="00F37007"/>
    <w:rsid w:val="00F3760A"/>
    <w:rsid w:val="00F41269"/>
    <w:rsid w:val="00F41319"/>
    <w:rsid w:val="00F43899"/>
    <w:rsid w:val="00F43C1E"/>
    <w:rsid w:val="00F43D4C"/>
    <w:rsid w:val="00F4492E"/>
    <w:rsid w:val="00F44B13"/>
    <w:rsid w:val="00F44FAB"/>
    <w:rsid w:val="00F4533B"/>
    <w:rsid w:val="00F45BE7"/>
    <w:rsid w:val="00F45C51"/>
    <w:rsid w:val="00F463D7"/>
    <w:rsid w:val="00F47F66"/>
    <w:rsid w:val="00F50163"/>
    <w:rsid w:val="00F5089B"/>
    <w:rsid w:val="00F508B4"/>
    <w:rsid w:val="00F510E2"/>
    <w:rsid w:val="00F515F1"/>
    <w:rsid w:val="00F5194B"/>
    <w:rsid w:val="00F51EC8"/>
    <w:rsid w:val="00F52269"/>
    <w:rsid w:val="00F52608"/>
    <w:rsid w:val="00F5273A"/>
    <w:rsid w:val="00F52D6B"/>
    <w:rsid w:val="00F5338C"/>
    <w:rsid w:val="00F546FB"/>
    <w:rsid w:val="00F55335"/>
    <w:rsid w:val="00F55E07"/>
    <w:rsid w:val="00F57007"/>
    <w:rsid w:val="00F57D1C"/>
    <w:rsid w:val="00F6086A"/>
    <w:rsid w:val="00F62824"/>
    <w:rsid w:val="00F62D7C"/>
    <w:rsid w:val="00F634C8"/>
    <w:rsid w:val="00F63D63"/>
    <w:rsid w:val="00F6535D"/>
    <w:rsid w:val="00F661D0"/>
    <w:rsid w:val="00F66D39"/>
    <w:rsid w:val="00F67155"/>
    <w:rsid w:val="00F7058F"/>
    <w:rsid w:val="00F70D21"/>
    <w:rsid w:val="00F70FEF"/>
    <w:rsid w:val="00F72DFB"/>
    <w:rsid w:val="00F72EF8"/>
    <w:rsid w:val="00F7365E"/>
    <w:rsid w:val="00F73BCF"/>
    <w:rsid w:val="00F742C6"/>
    <w:rsid w:val="00F74F3A"/>
    <w:rsid w:val="00F75C02"/>
    <w:rsid w:val="00F775FA"/>
    <w:rsid w:val="00F77ECB"/>
    <w:rsid w:val="00F80184"/>
    <w:rsid w:val="00F8045C"/>
    <w:rsid w:val="00F81E47"/>
    <w:rsid w:val="00F824EF"/>
    <w:rsid w:val="00F83E91"/>
    <w:rsid w:val="00F83F18"/>
    <w:rsid w:val="00F858CB"/>
    <w:rsid w:val="00F85FED"/>
    <w:rsid w:val="00F86474"/>
    <w:rsid w:val="00F868B4"/>
    <w:rsid w:val="00F8730A"/>
    <w:rsid w:val="00F90601"/>
    <w:rsid w:val="00F961BB"/>
    <w:rsid w:val="00F96BC4"/>
    <w:rsid w:val="00F97406"/>
    <w:rsid w:val="00FA072C"/>
    <w:rsid w:val="00FA6479"/>
    <w:rsid w:val="00FA7F77"/>
    <w:rsid w:val="00FB0065"/>
    <w:rsid w:val="00FB08CE"/>
    <w:rsid w:val="00FB0B3C"/>
    <w:rsid w:val="00FB0FDA"/>
    <w:rsid w:val="00FB11BE"/>
    <w:rsid w:val="00FB120A"/>
    <w:rsid w:val="00FB1357"/>
    <w:rsid w:val="00FB13FA"/>
    <w:rsid w:val="00FB1B56"/>
    <w:rsid w:val="00FB4C6F"/>
    <w:rsid w:val="00FB5A5D"/>
    <w:rsid w:val="00FB6181"/>
    <w:rsid w:val="00FC04FC"/>
    <w:rsid w:val="00FC214D"/>
    <w:rsid w:val="00FC3AB0"/>
    <w:rsid w:val="00FC424A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4AAC"/>
    <w:rsid w:val="00FD59F1"/>
    <w:rsid w:val="00FD6FE2"/>
    <w:rsid w:val="00FD7383"/>
    <w:rsid w:val="00FD74CB"/>
    <w:rsid w:val="00FD7543"/>
    <w:rsid w:val="00FD7BF5"/>
    <w:rsid w:val="00FE0DC0"/>
    <w:rsid w:val="00FE127A"/>
    <w:rsid w:val="00FE185C"/>
    <w:rsid w:val="00FE1FA2"/>
    <w:rsid w:val="00FE3C5F"/>
    <w:rsid w:val="00FE4705"/>
    <w:rsid w:val="00FE557C"/>
    <w:rsid w:val="00FE6D45"/>
    <w:rsid w:val="00FF019D"/>
    <w:rsid w:val="00FF075F"/>
    <w:rsid w:val="00FF0AEC"/>
    <w:rsid w:val="00FF0E99"/>
    <w:rsid w:val="00FF105E"/>
    <w:rsid w:val="00FF1857"/>
    <w:rsid w:val="00FF47A7"/>
    <w:rsid w:val="00FF4C3A"/>
    <w:rsid w:val="00FF521E"/>
    <w:rsid w:val="00FF6168"/>
    <w:rsid w:val="00FF62F4"/>
    <w:rsid w:val="00FF6519"/>
    <w:rsid w:val="00FF6DB6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B702B0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bCs/>
      <w:i/>
      <w:sz w:val="24"/>
      <w:szCs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bCs/>
      <w:kern w:val="1"/>
      <w:sz w:val="24"/>
      <w:szCs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bCs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bCs/>
      <w:i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bCs/>
      <w:i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szCs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z w:val="16"/>
      <w:szCs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  <w:szCs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bCs/>
      <w:caps/>
      <w:sz w:val="26"/>
      <w:szCs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bCs/>
      <w:i/>
      <w:sz w:val="24"/>
      <w:szCs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bCs/>
      <w:kern w:val="1"/>
      <w:sz w:val="24"/>
      <w:szCs w:val="24"/>
    </w:rPr>
  </w:style>
  <w:style w:type="character" w:customStyle="1" w:styleId="Cmsor4Char">
    <w:name w:val="Címsor 4 Char"/>
    <w:link w:val="Cmsor4"/>
    <w:rPr>
      <w:rFonts w:eastAsia="Times New Roman"/>
      <w:b/>
      <w:bCs/>
      <w:sz w:val="22"/>
      <w:szCs w:val="22"/>
    </w:rPr>
  </w:style>
  <w:style w:type="character" w:customStyle="1" w:styleId="Cmsor5Char">
    <w:name w:val="Címsor 5 Char"/>
    <w:link w:val="Cmsor5"/>
    <w:rPr>
      <w:rFonts w:eastAsia="Times New Roman"/>
      <w:sz w:val="22"/>
      <w:szCs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szCs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szCs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bCs/>
      <w:i/>
      <w:sz w:val="22"/>
      <w:szCs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bCs/>
      <w:i/>
      <w:sz w:val="22"/>
      <w:szCs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bCs/>
      <w:i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bCs/>
      <w:i/>
      <w:sz w:val="22"/>
      <w:szCs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bCs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bCs/>
      <w:color w:val="808080"/>
      <w:sz w:val="22"/>
      <w:szCs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z w:val="28"/>
      <w:szCs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z w:val="20"/>
      <w:szCs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szCs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bCs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z w:val="16"/>
      <w:szCs w:val="16"/>
      <w:lang w:val="hu-HU"/>
    </w:rPr>
  </w:style>
  <w:style w:type="table" w:customStyle="1" w:styleId="TableGrid">
    <w:name w:val="TableGrid"/>
    <w:rPr>
      <w:rFonts w:ascii="Calibri" w:eastAsia="DengXian" w:hAnsi="Calibri"/>
      <w:sz w:val="22"/>
      <w:szCs w:val="22"/>
      <w:lang w:val="sl-SI" w:eastAsia="sl-S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table" w:customStyle="1" w:styleId="TableGrid1">
    <w:name w:val="TableGrid1"/>
    <w:rPr>
      <w:rFonts w:ascii="Calibri" w:eastAsia="DengXian" w:hAnsi="Calibri"/>
      <w:sz w:val="22"/>
      <w:szCs w:val="22"/>
      <w:lang w:val="en-US" w:eastAsia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fejChar">
    <w:name w:val="Élőfej Char"/>
    <w:basedOn w:val="Bekezdsalapbettpusa"/>
    <w:link w:val="lfej"/>
    <w:uiPriority w:val="99"/>
    <w:rPr>
      <w:sz w:val="22"/>
      <w:szCs w:val="22"/>
      <w:lang w:eastAsia="zh-CN"/>
    </w:rPr>
  </w:style>
  <w:style w:type="paragraph" w:styleId="Nincstrkz">
    <w:name w:val="No Spacing"/>
    <w:uiPriority w:val="1"/>
    <w:qFormat/>
    <w:rPr>
      <w:rFonts w:eastAsia="Calibri"/>
      <w:sz w:val="22"/>
      <w:szCs w:val="22"/>
      <w:lang w:val="hu-HU" w:eastAsia="en-US"/>
    </w:rPr>
  </w:style>
  <w:style w:type="paragraph" w:styleId="Vltozat">
    <w:name w:val="Revision"/>
    <w:uiPriority w:val="99"/>
    <w:semiHidden/>
    <w:rPr>
      <w:sz w:val="22"/>
      <w:szCs w:val="22"/>
      <w:lang w:eastAsia="zh-CN"/>
    </w:r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before="100" w:beforeAutospacing="1" w:after="100" w:afterAutospacing="1" w:line="240" w:lineRule="auto"/>
    </w:pPr>
    <w:rPr>
      <w:rFonts w:ascii="Calibri" w:eastAsia="Calibri" w:hAnsi="Calibri" w:cs="Calibri"/>
      <w:lang w:val="hu-HU" w:eastAsia="hu-HU"/>
    </w:rPr>
  </w:style>
  <w:style w:type="character" w:styleId="Kiemels2">
    <w:name w:val="Strong"/>
    <w:uiPriority w:val="22"/>
    <w:qFormat/>
    <w:rPr>
      <w:b/>
      <w:bCs/>
    </w:r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eastAsia="DengXian"/>
      <w:sz w:val="24"/>
      <w:szCs w:val="24"/>
      <w:lang w:val="el-GR" w:eastAsia="el-GR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1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0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97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06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6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6154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01334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86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90544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7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6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8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7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618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0715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37444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33</Pages>
  <Words>13672</Words>
  <Characters>95839</Characters>
  <Application>Microsoft Office Word</Application>
  <DocSecurity>0</DocSecurity>
  <Lines>798</Lines>
  <Paragraphs>218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109293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6</cp:revision>
  <dcterms:created xsi:type="dcterms:W3CDTF">2025-10-16T11:27:00Z</dcterms:created>
  <dcterms:modified xsi:type="dcterms:W3CDTF">2025-10-17T16:09:00Z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3c9bec58-8084-492e-8360-0e1cfe36408c_Enabled">
    <vt:lpwstr>true</vt:lpwstr>
  </property>
  <property fmtid="{D5CDD505-2E9C-101B-9397-08002B2CF9AE}" pid="62" name="MSIP_Label_3c9bec58-8084-492e-8360-0e1cfe36408c_SetDate">
    <vt:lpwstr>2025-01-03T12:46:05Z</vt:lpwstr>
  </property>
  <property fmtid="{D5CDD505-2E9C-101B-9397-08002B2CF9AE}" pid="63" name="MSIP_Label_3c9bec58-8084-492e-8360-0e1cfe36408c_Method">
    <vt:lpwstr>Standard</vt:lpwstr>
  </property>
  <property fmtid="{D5CDD505-2E9C-101B-9397-08002B2CF9AE}" pid="64" name="MSIP_Label_3c9bec58-8084-492e-8360-0e1cfe36408c_Name">
    <vt:lpwstr>Not Protected -Pilot</vt:lpwstr>
  </property>
  <property fmtid="{D5CDD505-2E9C-101B-9397-08002B2CF9AE}" pid="65" name="MSIP_Label_3c9bec58-8084-492e-8360-0e1cfe36408c_SiteId">
    <vt:lpwstr>f35a6974-607f-47d4-82d7-ff31d7dc53a5</vt:lpwstr>
  </property>
  <property fmtid="{D5CDD505-2E9C-101B-9397-08002B2CF9AE}" pid="66" name="MSIP_Label_3c9bec58-8084-492e-8360-0e1cfe36408c_ActionId">
    <vt:lpwstr>c91c0474-2892-4d14-86a2-8d0247e4e76c</vt:lpwstr>
  </property>
  <property fmtid="{D5CDD505-2E9C-101B-9397-08002B2CF9AE}" pid="67" name="MSIP_Label_3c9bec58-8084-492e-8360-0e1cfe36408c_ContentBits">
    <vt:lpwstr>0</vt:lpwstr>
  </property>
  <property fmtid="{D5CDD505-2E9C-101B-9397-08002B2CF9AE}" pid="68" name="DMS_Doc_ID">
    <vt:lpwstr>117183815</vt:lpwstr>
  </property>
</Properties>
</file>