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AE025" w14:textId="77777777" w:rsidR="00342CEA" w:rsidRDefault="00837BAB">
      <w:pPr>
        <w:keepNext/>
        <w:spacing w:line="240" w:lineRule="auto"/>
        <w:rPr>
          <w:lang w:val="hu-HU"/>
        </w:rPr>
      </w:pPr>
      <w:r>
        <w:rPr>
          <w:rFonts w:eastAsia="Times New Roman"/>
          <w:b/>
          <w:bCs/>
          <w:lang w:val="hu-HU" w:eastAsia="en-US"/>
        </w:rPr>
        <w:t>1.</w:t>
      </w:r>
      <w:r>
        <w:rPr>
          <w:rFonts w:eastAsia="Times New Roman"/>
          <w:b/>
          <w:bCs/>
          <w:lang w:val="hu-HU" w:eastAsia="en-US"/>
        </w:rPr>
        <w:tab/>
        <w:t>A GYÓGYSZER NEVE</w:t>
      </w:r>
    </w:p>
    <w:p w14:paraId="44D59F71" w14:textId="77777777" w:rsidR="00342CEA" w:rsidRDefault="00342CEA">
      <w:pPr>
        <w:widowControl w:val="0"/>
        <w:spacing w:line="240" w:lineRule="auto"/>
        <w:rPr>
          <w:rFonts w:eastAsia="Times New Roman"/>
          <w:lang w:val="hu-HU" w:eastAsia="en-US"/>
        </w:rPr>
      </w:pPr>
    </w:p>
    <w:p w14:paraId="52528E24" w14:textId="77777777" w:rsidR="00342CEA" w:rsidRDefault="00837BAB">
      <w:pPr>
        <w:widowControl w:val="0"/>
        <w:spacing w:line="240" w:lineRule="auto"/>
        <w:rPr>
          <w:rFonts w:eastAsia="Times New Roman"/>
          <w:lang w:val="hu-HU" w:eastAsia="en-US"/>
        </w:rPr>
      </w:pPr>
      <w:bookmarkStart w:id="0" w:name="_Hlk187059785"/>
      <w:r>
        <w:rPr>
          <w:rFonts w:eastAsia="Times New Roman"/>
          <w:lang w:val="hu-HU" w:eastAsia="en-US"/>
        </w:rPr>
        <w:t>Eltrombopag Sandoz 12,5 mg filmtabletta</w:t>
      </w:r>
    </w:p>
    <w:p w14:paraId="4423CEA0" w14:textId="77777777" w:rsidR="00342CEA" w:rsidRDefault="00837BAB">
      <w:pPr>
        <w:widowControl w:val="0"/>
        <w:spacing w:line="240" w:lineRule="auto"/>
        <w:rPr>
          <w:rFonts w:eastAsia="Times New Roman"/>
          <w:lang w:val="hu-HU" w:eastAsia="en-US"/>
        </w:rPr>
      </w:pPr>
      <w:r>
        <w:rPr>
          <w:rFonts w:eastAsia="Times New Roman"/>
          <w:lang w:val="hu-HU" w:eastAsia="en-US"/>
        </w:rPr>
        <w:t>Eltrombopag Sandoz 25 mg filmtabletta</w:t>
      </w:r>
    </w:p>
    <w:p w14:paraId="2CBA97E8" w14:textId="77777777" w:rsidR="00342CEA" w:rsidRDefault="00837BAB">
      <w:pPr>
        <w:widowControl w:val="0"/>
        <w:spacing w:line="240" w:lineRule="auto"/>
        <w:rPr>
          <w:rFonts w:eastAsia="Times New Roman"/>
          <w:lang w:val="hu-HU" w:eastAsia="en-US"/>
        </w:rPr>
      </w:pPr>
      <w:r>
        <w:rPr>
          <w:rFonts w:eastAsia="Times New Roman"/>
          <w:lang w:val="hu-HU" w:eastAsia="en-US"/>
        </w:rPr>
        <w:t>Eltrombopag Sandoz 50 mg filmtabletta</w:t>
      </w:r>
    </w:p>
    <w:p w14:paraId="0D627993" w14:textId="77777777" w:rsidR="00342CEA" w:rsidRDefault="00837BAB">
      <w:pPr>
        <w:widowControl w:val="0"/>
        <w:spacing w:line="240" w:lineRule="auto"/>
        <w:rPr>
          <w:rFonts w:eastAsia="Times New Roman"/>
          <w:lang w:val="hu-HU" w:eastAsia="en-US"/>
        </w:rPr>
      </w:pPr>
      <w:r>
        <w:rPr>
          <w:rFonts w:eastAsia="Times New Roman"/>
          <w:lang w:val="hu-HU" w:eastAsia="en-US"/>
        </w:rPr>
        <w:t>Eltrombopag Sandoz 75 mg filmtabletta</w:t>
      </w:r>
    </w:p>
    <w:bookmarkEnd w:id="0"/>
    <w:p w14:paraId="15DEAB29" w14:textId="77777777" w:rsidR="00342CEA" w:rsidRDefault="00342CEA">
      <w:pPr>
        <w:spacing w:line="240" w:lineRule="auto"/>
        <w:rPr>
          <w:lang w:val="hu-HU"/>
        </w:rPr>
      </w:pPr>
    </w:p>
    <w:p w14:paraId="1A59048F" w14:textId="77777777" w:rsidR="00342CEA" w:rsidRDefault="00342CEA">
      <w:pPr>
        <w:widowControl w:val="0"/>
        <w:spacing w:line="240" w:lineRule="auto"/>
        <w:rPr>
          <w:rFonts w:eastAsia="Times New Roman"/>
          <w:lang w:val="hu-HU" w:eastAsia="en-US"/>
        </w:rPr>
      </w:pPr>
    </w:p>
    <w:p w14:paraId="6410B26C" w14:textId="77777777" w:rsidR="00342CEA" w:rsidRDefault="00837BAB">
      <w:pPr>
        <w:keepNext/>
        <w:spacing w:line="240" w:lineRule="auto"/>
        <w:rPr>
          <w:b/>
          <w:bCs/>
          <w:lang w:val="hu-HU"/>
        </w:rPr>
      </w:pPr>
      <w:r>
        <w:rPr>
          <w:b/>
          <w:bCs/>
          <w:lang w:val="hu-HU"/>
        </w:rPr>
        <w:t>2.</w:t>
      </w:r>
      <w:r>
        <w:rPr>
          <w:b/>
          <w:bCs/>
          <w:lang w:val="hu-HU"/>
        </w:rPr>
        <w:tab/>
        <w:t>MINŐSÉGI ÉS MENNYISÉGI ÖSSZETÉTEL</w:t>
      </w:r>
    </w:p>
    <w:p w14:paraId="6F99B638" w14:textId="77777777" w:rsidR="00342CEA" w:rsidRDefault="00342CEA">
      <w:pPr>
        <w:widowControl w:val="0"/>
        <w:spacing w:line="240" w:lineRule="auto"/>
        <w:rPr>
          <w:rFonts w:eastAsia="Times New Roman"/>
          <w:lang w:val="hu-HU" w:eastAsia="en-US"/>
        </w:rPr>
      </w:pPr>
    </w:p>
    <w:p w14:paraId="76F06C24"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12,5 mg filmtabletta</w:t>
      </w:r>
    </w:p>
    <w:p w14:paraId="55C9164E" w14:textId="77777777" w:rsidR="00375A18" w:rsidRDefault="00375A18">
      <w:pPr>
        <w:widowControl w:val="0"/>
        <w:spacing w:line="240" w:lineRule="auto"/>
        <w:rPr>
          <w:rFonts w:eastAsia="Times New Roman"/>
          <w:u w:val="single"/>
          <w:lang w:val="hu-HU" w:eastAsia="en-US"/>
        </w:rPr>
      </w:pPr>
    </w:p>
    <w:p w14:paraId="00718D34" w14:textId="77777777" w:rsidR="00342CEA" w:rsidRDefault="00837BAB">
      <w:pPr>
        <w:widowControl w:val="0"/>
        <w:spacing w:line="240" w:lineRule="auto"/>
        <w:rPr>
          <w:rFonts w:eastAsia="Times New Roman"/>
          <w:lang w:val="hu-HU" w:eastAsia="en-US"/>
        </w:rPr>
      </w:pPr>
      <w:r>
        <w:rPr>
          <w:rFonts w:eastAsia="Times New Roman"/>
          <w:lang w:val="hu-HU" w:eastAsia="en-US"/>
        </w:rPr>
        <w:t>12,5 mg eltrombopagnak megfelelő eltrombopag</w:t>
      </w:r>
      <w:r>
        <w:rPr>
          <w:rFonts w:eastAsia="Times New Roman"/>
          <w:lang w:val="hu-HU" w:eastAsia="en-US"/>
        </w:rPr>
        <w:noBreakHyphen/>
        <w:t>olamint tartalmaz filmtablettánként.</w:t>
      </w:r>
    </w:p>
    <w:p w14:paraId="1F42BB91" w14:textId="77777777" w:rsidR="00342CEA" w:rsidRDefault="00342CEA">
      <w:pPr>
        <w:widowControl w:val="0"/>
        <w:spacing w:line="240" w:lineRule="auto"/>
        <w:rPr>
          <w:lang w:val="hu-HU"/>
        </w:rPr>
      </w:pPr>
    </w:p>
    <w:p w14:paraId="5E225B94"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25 mg filmtabletta</w:t>
      </w:r>
    </w:p>
    <w:p w14:paraId="0112AA40" w14:textId="77777777" w:rsidR="00375A18" w:rsidRDefault="00375A18">
      <w:pPr>
        <w:widowControl w:val="0"/>
        <w:spacing w:line="240" w:lineRule="auto"/>
        <w:rPr>
          <w:rFonts w:eastAsia="Times New Roman"/>
          <w:u w:val="single"/>
          <w:lang w:val="hu-HU" w:eastAsia="en-US"/>
        </w:rPr>
      </w:pPr>
    </w:p>
    <w:p w14:paraId="6720210E" w14:textId="77777777" w:rsidR="00342CEA" w:rsidRDefault="00837BAB">
      <w:pPr>
        <w:widowControl w:val="0"/>
        <w:spacing w:line="240" w:lineRule="auto"/>
        <w:rPr>
          <w:rFonts w:eastAsia="Times New Roman"/>
          <w:lang w:val="hu-HU" w:eastAsia="en-US"/>
        </w:rPr>
      </w:pPr>
      <w:r>
        <w:rPr>
          <w:rFonts w:eastAsia="Times New Roman"/>
          <w:lang w:val="hu-HU" w:eastAsia="en-US"/>
        </w:rPr>
        <w:t>25 mg eltrombopagnak megfelelő eltrombopag</w:t>
      </w:r>
      <w:r>
        <w:rPr>
          <w:rFonts w:eastAsia="Times New Roman"/>
          <w:lang w:val="hu-HU" w:eastAsia="en-US"/>
        </w:rPr>
        <w:noBreakHyphen/>
        <w:t>olamint tartalmaz filmtablettánként.</w:t>
      </w:r>
    </w:p>
    <w:p w14:paraId="56A107FA" w14:textId="77777777" w:rsidR="00342CEA" w:rsidRDefault="00342CEA">
      <w:pPr>
        <w:widowControl w:val="0"/>
        <w:spacing w:line="240" w:lineRule="auto"/>
        <w:rPr>
          <w:rFonts w:eastAsia="Times New Roman"/>
          <w:lang w:val="hu-HU" w:eastAsia="en-US"/>
        </w:rPr>
      </w:pPr>
    </w:p>
    <w:p w14:paraId="7ABBDF41"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50 mg filmtabletta</w:t>
      </w:r>
    </w:p>
    <w:p w14:paraId="4BA29E94" w14:textId="77777777" w:rsidR="00375A18" w:rsidRDefault="00375A18">
      <w:pPr>
        <w:widowControl w:val="0"/>
        <w:spacing w:line="240" w:lineRule="auto"/>
        <w:rPr>
          <w:rFonts w:eastAsia="Times New Roman"/>
          <w:u w:val="single"/>
          <w:lang w:val="hu-HU" w:eastAsia="en-US"/>
        </w:rPr>
      </w:pPr>
    </w:p>
    <w:p w14:paraId="1470ADDD" w14:textId="77777777" w:rsidR="00342CEA" w:rsidRDefault="00837BAB">
      <w:pPr>
        <w:widowControl w:val="0"/>
        <w:spacing w:line="240" w:lineRule="auto"/>
        <w:rPr>
          <w:rFonts w:eastAsia="Times New Roman"/>
          <w:lang w:val="hu-HU" w:eastAsia="en-US"/>
        </w:rPr>
      </w:pPr>
      <w:r>
        <w:rPr>
          <w:rFonts w:eastAsia="Times New Roman"/>
          <w:lang w:val="hu-HU" w:eastAsia="en-US"/>
        </w:rPr>
        <w:t>50 mg eltrombopagnak megfelelő eltrombopag</w:t>
      </w:r>
      <w:r>
        <w:rPr>
          <w:rFonts w:eastAsia="Times New Roman"/>
          <w:lang w:val="hu-HU" w:eastAsia="en-US"/>
        </w:rPr>
        <w:noBreakHyphen/>
        <w:t>olamint tartalmaz filmtablettánként.</w:t>
      </w:r>
    </w:p>
    <w:p w14:paraId="41CAA478" w14:textId="77777777" w:rsidR="00342CEA" w:rsidRDefault="00342CEA">
      <w:pPr>
        <w:widowControl w:val="0"/>
        <w:spacing w:line="240" w:lineRule="auto"/>
        <w:rPr>
          <w:rFonts w:eastAsia="Times New Roman"/>
          <w:lang w:val="hu-HU" w:eastAsia="en-US"/>
        </w:rPr>
      </w:pPr>
    </w:p>
    <w:p w14:paraId="16145761"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75 mg filmtabletta</w:t>
      </w:r>
    </w:p>
    <w:p w14:paraId="5EF93749" w14:textId="77777777" w:rsidR="00375A18" w:rsidRDefault="00375A18">
      <w:pPr>
        <w:widowControl w:val="0"/>
        <w:spacing w:line="240" w:lineRule="auto"/>
        <w:rPr>
          <w:rFonts w:eastAsia="Times New Roman"/>
          <w:u w:val="single"/>
          <w:lang w:val="hu-HU" w:eastAsia="en-US"/>
        </w:rPr>
      </w:pPr>
    </w:p>
    <w:p w14:paraId="2568D82A" w14:textId="77777777" w:rsidR="00342CEA" w:rsidRDefault="00837BAB">
      <w:pPr>
        <w:widowControl w:val="0"/>
        <w:spacing w:line="240" w:lineRule="auto"/>
        <w:rPr>
          <w:rFonts w:eastAsia="Times New Roman"/>
          <w:lang w:val="hu-HU" w:eastAsia="en-US"/>
        </w:rPr>
      </w:pPr>
      <w:r>
        <w:rPr>
          <w:rFonts w:eastAsia="Times New Roman"/>
          <w:lang w:val="hu-HU" w:eastAsia="en-US"/>
        </w:rPr>
        <w:t>75 mg eltrombopagnak megfelelő eltrombopag</w:t>
      </w:r>
      <w:r>
        <w:rPr>
          <w:rFonts w:eastAsia="Times New Roman"/>
          <w:lang w:val="hu-HU" w:eastAsia="en-US"/>
        </w:rPr>
        <w:noBreakHyphen/>
        <w:t>olamint tartalmaz filmtablettánként.</w:t>
      </w:r>
    </w:p>
    <w:p w14:paraId="42399860" w14:textId="77777777" w:rsidR="00342CEA" w:rsidRDefault="00342CEA">
      <w:pPr>
        <w:widowControl w:val="0"/>
        <w:spacing w:line="240" w:lineRule="auto"/>
        <w:rPr>
          <w:rFonts w:eastAsia="Times New Roman"/>
          <w:lang w:val="hu-HU" w:eastAsia="en-US"/>
        </w:rPr>
      </w:pPr>
    </w:p>
    <w:p w14:paraId="369781E7"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Ismert hatású segédanyagok</w:t>
      </w:r>
    </w:p>
    <w:p w14:paraId="6D5F4B63" w14:textId="77777777" w:rsidR="00342CEA" w:rsidRDefault="00342CEA">
      <w:pPr>
        <w:widowControl w:val="0"/>
        <w:spacing w:line="240" w:lineRule="auto"/>
        <w:rPr>
          <w:rFonts w:eastAsia="Times New Roman"/>
          <w:lang w:val="hu-HU" w:eastAsia="en-US"/>
        </w:rPr>
      </w:pPr>
    </w:p>
    <w:p w14:paraId="7BDC1850"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12,5 mg filmtabletta</w:t>
      </w:r>
    </w:p>
    <w:p w14:paraId="4917B5FB" w14:textId="77777777" w:rsidR="00375A18" w:rsidRDefault="00375A18">
      <w:pPr>
        <w:widowControl w:val="0"/>
        <w:spacing w:line="240" w:lineRule="auto"/>
        <w:rPr>
          <w:rFonts w:eastAsia="Times New Roman"/>
          <w:u w:val="single"/>
          <w:lang w:val="hu-HU" w:eastAsia="en-US"/>
        </w:rPr>
      </w:pPr>
    </w:p>
    <w:p w14:paraId="459D9EF0" w14:textId="77777777" w:rsidR="00342CEA" w:rsidRDefault="00837BAB">
      <w:pPr>
        <w:widowControl w:val="0"/>
        <w:spacing w:line="240" w:lineRule="auto"/>
        <w:rPr>
          <w:rFonts w:eastAsia="Times New Roman"/>
          <w:lang w:val="hu-HU" w:eastAsia="en-US"/>
        </w:rPr>
      </w:pPr>
      <w:r>
        <w:rPr>
          <w:rFonts w:eastAsia="Times New Roman"/>
          <w:lang w:val="hu-HU" w:eastAsia="en-US"/>
        </w:rPr>
        <w:t>29 mg izomaltot tartalmaz filmtablettánként.</w:t>
      </w:r>
    </w:p>
    <w:p w14:paraId="4AE729FD" w14:textId="77777777" w:rsidR="00342CEA" w:rsidRDefault="00342CEA">
      <w:pPr>
        <w:widowControl w:val="0"/>
        <w:spacing w:line="240" w:lineRule="auto"/>
        <w:rPr>
          <w:lang w:val="hu-HU"/>
        </w:rPr>
      </w:pPr>
    </w:p>
    <w:p w14:paraId="2142AFB8"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25 mg filmtabletta</w:t>
      </w:r>
    </w:p>
    <w:p w14:paraId="33519A05" w14:textId="77777777" w:rsidR="00375A18" w:rsidRDefault="00375A18">
      <w:pPr>
        <w:widowControl w:val="0"/>
        <w:spacing w:line="240" w:lineRule="auto"/>
        <w:rPr>
          <w:rFonts w:eastAsia="Times New Roman"/>
          <w:u w:val="single"/>
          <w:lang w:val="hu-HU" w:eastAsia="en-US"/>
        </w:rPr>
      </w:pPr>
    </w:p>
    <w:p w14:paraId="165BF366" w14:textId="77777777" w:rsidR="00342CEA" w:rsidRDefault="00837BAB">
      <w:pPr>
        <w:widowControl w:val="0"/>
        <w:spacing w:line="240" w:lineRule="auto"/>
        <w:rPr>
          <w:rFonts w:eastAsia="Times New Roman"/>
          <w:lang w:val="hu-HU" w:eastAsia="en-US"/>
        </w:rPr>
      </w:pPr>
      <w:r>
        <w:rPr>
          <w:rFonts w:eastAsia="Times New Roman"/>
          <w:lang w:val="hu-HU" w:eastAsia="en-US"/>
        </w:rPr>
        <w:t>58 mg izomaltot tartalmaz filmtablettánként.</w:t>
      </w:r>
    </w:p>
    <w:p w14:paraId="60954374" w14:textId="77777777" w:rsidR="00342CEA" w:rsidRDefault="00342CEA">
      <w:pPr>
        <w:widowControl w:val="0"/>
        <w:spacing w:line="240" w:lineRule="auto"/>
        <w:rPr>
          <w:rFonts w:eastAsia="Times New Roman"/>
          <w:lang w:val="hu-HU" w:eastAsia="en-US"/>
        </w:rPr>
      </w:pPr>
    </w:p>
    <w:p w14:paraId="5949AA35"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50 mg filmtabletta</w:t>
      </w:r>
    </w:p>
    <w:p w14:paraId="6BEBA816" w14:textId="77777777" w:rsidR="00375A18" w:rsidRDefault="00375A18">
      <w:pPr>
        <w:widowControl w:val="0"/>
        <w:spacing w:line="240" w:lineRule="auto"/>
        <w:rPr>
          <w:rFonts w:eastAsia="Times New Roman"/>
          <w:u w:val="single"/>
          <w:lang w:val="hu-HU" w:eastAsia="en-US"/>
        </w:rPr>
      </w:pPr>
    </w:p>
    <w:p w14:paraId="7A1390C3" w14:textId="77777777" w:rsidR="00342CEA" w:rsidRDefault="00837BAB">
      <w:pPr>
        <w:widowControl w:val="0"/>
        <w:spacing w:line="240" w:lineRule="auto"/>
        <w:rPr>
          <w:rFonts w:eastAsia="Times New Roman"/>
          <w:lang w:val="hu-HU" w:eastAsia="en-US"/>
        </w:rPr>
      </w:pPr>
      <w:r>
        <w:rPr>
          <w:rFonts w:eastAsia="Times New Roman"/>
          <w:lang w:val="hu-HU" w:eastAsia="en-US"/>
        </w:rPr>
        <w:t>117 mg izomaltot tartalmaz filmtablettánként.</w:t>
      </w:r>
    </w:p>
    <w:p w14:paraId="5BA57D0D" w14:textId="77777777" w:rsidR="00342CEA" w:rsidRDefault="00342CEA">
      <w:pPr>
        <w:widowControl w:val="0"/>
        <w:spacing w:line="240" w:lineRule="auto"/>
        <w:rPr>
          <w:rFonts w:eastAsia="Times New Roman"/>
          <w:lang w:val="hu-HU" w:eastAsia="en-US"/>
        </w:rPr>
      </w:pPr>
    </w:p>
    <w:p w14:paraId="76BB516F"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75 mg filmtabletta</w:t>
      </w:r>
    </w:p>
    <w:p w14:paraId="6F1E590A" w14:textId="77777777" w:rsidR="00375A18" w:rsidRDefault="00375A18">
      <w:pPr>
        <w:widowControl w:val="0"/>
        <w:spacing w:line="240" w:lineRule="auto"/>
        <w:rPr>
          <w:rFonts w:eastAsia="Times New Roman"/>
          <w:u w:val="single"/>
          <w:lang w:val="hu-HU" w:eastAsia="en-US"/>
        </w:rPr>
      </w:pPr>
    </w:p>
    <w:p w14:paraId="0B2FF6E1" w14:textId="77777777" w:rsidR="00342CEA" w:rsidRDefault="00837BAB">
      <w:pPr>
        <w:widowControl w:val="0"/>
        <w:spacing w:line="240" w:lineRule="auto"/>
        <w:rPr>
          <w:rFonts w:eastAsia="Times New Roman"/>
          <w:lang w:val="hu-HU" w:eastAsia="en-US"/>
        </w:rPr>
      </w:pPr>
      <w:r>
        <w:rPr>
          <w:rFonts w:eastAsia="Times New Roman"/>
          <w:lang w:val="hu-HU" w:eastAsia="en-US"/>
        </w:rPr>
        <w:t>175 mg eltrombopagnak megfelelő eltrombopag</w:t>
      </w:r>
      <w:r>
        <w:rPr>
          <w:rFonts w:eastAsia="Times New Roman"/>
          <w:lang w:val="hu-HU" w:eastAsia="en-US"/>
        </w:rPr>
        <w:noBreakHyphen/>
        <w:t>olamint tartalmaz filmtablettánként.</w:t>
      </w:r>
    </w:p>
    <w:p w14:paraId="4A1ECA6A" w14:textId="77777777" w:rsidR="00342CEA" w:rsidRDefault="00342CEA">
      <w:pPr>
        <w:pStyle w:val="EMEAEnBodyText"/>
        <w:autoSpaceDE w:val="0"/>
        <w:autoSpaceDN w:val="0"/>
        <w:spacing w:before="0" w:after="0"/>
        <w:rPr>
          <w:lang w:val="hu-HU"/>
        </w:rPr>
      </w:pPr>
    </w:p>
    <w:p w14:paraId="1A481296" w14:textId="77777777" w:rsidR="00342CEA" w:rsidRDefault="00837BAB">
      <w:pPr>
        <w:pStyle w:val="EMEAEnBodyText"/>
        <w:autoSpaceDE w:val="0"/>
        <w:autoSpaceDN w:val="0"/>
        <w:spacing w:before="0" w:after="0"/>
        <w:rPr>
          <w:lang w:val="hu-HU"/>
        </w:rPr>
      </w:pPr>
      <w:r>
        <w:rPr>
          <w:lang w:val="hu-HU"/>
        </w:rPr>
        <w:t>A segédanyagok teljes listáját lásd a 6.1 pontban.</w:t>
      </w:r>
    </w:p>
    <w:p w14:paraId="59FDC24F" w14:textId="77777777" w:rsidR="00342CEA" w:rsidRDefault="00342CEA">
      <w:pPr>
        <w:pStyle w:val="EMEAEnBodyText"/>
        <w:autoSpaceDE w:val="0"/>
        <w:autoSpaceDN w:val="0"/>
        <w:spacing w:before="0" w:after="0"/>
        <w:rPr>
          <w:lang w:val="hu-HU"/>
        </w:rPr>
      </w:pPr>
    </w:p>
    <w:p w14:paraId="771424EA" w14:textId="77777777" w:rsidR="00342CEA" w:rsidRDefault="00342CEA">
      <w:pPr>
        <w:widowControl w:val="0"/>
        <w:spacing w:line="240" w:lineRule="auto"/>
        <w:rPr>
          <w:lang w:val="hu-HU"/>
        </w:rPr>
      </w:pPr>
    </w:p>
    <w:p w14:paraId="5AD92B81" w14:textId="77777777" w:rsidR="00342CEA" w:rsidRDefault="00837BAB">
      <w:pPr>
        <w:keepNext/>
        <w:spacing w:line="240" w:lineRule="auto"/>
        <w:ind w:left="567" w:hanging="567"/>
        <w:rPr>
          <w:rFonts w:eastAsia="Times New Roman"/>
          <w:b/>
          <w:bCs/>
          <w:lang w:val="hu-HU" w:eastAsia="en-US"/>
        </w:rPr>
      </w:pPr>
      <w:r>
        <w:rPr>
          <w:rFonts w:eastAsia="Times New Roman"/>
          <w:b/>
          <w:bCs/>
          <w:lang w:val="hu-HU" w:eastAsia="en-US"/>
        </w:rPr>
        <w:t>3.</w:t>
      </w:r>
      <w:r>
        <w:rPr>
          <w:rFonts w:eastAsia="Times New Roman"/>
          <w:b/>
          <w:bCs/>
          <w:lang w:val="hu-HU" w:eastAsia="en-US"/>
        </w:rPr>
        <w:tab/>
        <w:t>GYÓGYSZERFORMA</w:t>
      </w:r>
    </w:p>
    <w:p w14:paraId="5866CF80" w14:textId="77777777" w:rsidR="00342CEA" w:rsidRDefault="00342CEA">
      <w:pPr>
        <w:spacing w:line="240" w:lineRule="auto"/>
        <w:ind w:left="567" w:hanging="567"/>
        <w:rPr>
          <w:lang w:val="hu-HU"/>
        </w:rPr>
      </w:pPr>
    </w:p>
    <w:p w14:paraId="7B3340F5" w14:textId="77777777" w:rsidR="00342CEA" w:rsidRDefault="00837BAB">
      <w:pPr>
        <w:spacing w:line="240" w:lineRule="auto"/>
        <w:ind w:left="567" w:hanging="567"/>
        <w:rPr>
          <w:lang w:val="hu-HU" w:eastAsia="en-US"/>
        </w:rPr>
      </w:pPr>
      <w:r>
        <w:rPr>
          <w:lang w:val="hu-HU" w:eastAsia="en-US"/>
        </w:rPr>
        <w:t>Filmtabletta (tabletta).</w:t>
      </w:r>
    </w:p>
    <w:p w14:paraId="784FE093" w14:textId="77777777" w:rsidR="00342CEA" w:rsidRDefault="00342CEA">
      <w:pPr>
        <w:spacing w:line="240" w:lineRule="auto"/>
        <w:ind w:left="567" w:hanging="567"/>
        <w:rPr>
          <w:lang w:val="hu-HU"/>
        </w:rPr>
      </w:pPr>
    </w:p>
    <w:p w14:paraId="2B67650F"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12,5 mg filmtabletta</w:t>
      </w:r>
    </w:p>
    <w:p w14:paraId="7C087AC0" w14:textId="77777777" w:rsidR="00C03FCD" w:rsidRDefault="00C03FCD">
      <w:pPr>
        <w:widowControl w:val="0"/>
        <w:spacing w:line="240" w:lineRule="auto"/>
        <w:rPr>
          <w:rFonts w:eastAsia="Times New Roman"/>
          <w:u w:val="single"/>
          <w:lang w:val="hu-HU" w:eastAsia="en-US"/>
        </w:rPr>
      </w:pPr>
    </w:p>
    <w:p w14:paraId="389CBB74" w14:textId="77777777" w:rsidR="00342CEA" w:rsidRDefault="00837BAB">
      <w:pPr>
        <w:widowControl w:val="0"/>
        <w:spacing w:line="240" w:lineRule="auto"/>
        <w:rPr>
          <w:rFonts w:eastAsia="Times New Roman"/>
          <w:lang w:val="hu-HU" w:eastAsia="en-US"/>
        </w:rPr>
      </w:pPr>
      <w:r>
        <w:rPr>
          <w:rFonts w:eastAsia="Times New Roman"/>
          <w:lang w:val="hu-HU" w:eastAsia="en-US"/>
        </w:rPr>
        <w:t>Narancssárga vagy barna színű, kerek, mindkét oldalán domború felületű, megközelítőleg 5,5 mm átmérőjű filmtabletta, egyik oldalán mélynyomású „I” jelöléssel.</w:t>
      </w:r>
    </w:p>
    <w:p w14:paraId="6FD02429" w14:textId="77777777" w:rsidR="00342CEA" w:rsidRDefault="00342CEA">
      <w:pPr>
        <w:spacing w:line="240" w:lineRule="auto"/>
        <w:ind w:left="567" w:hanging="567"/>
        <w:rPr>
          <w:lang w:val="hu-HU"/>
        </w:rPr>
      </w:pPr>
    </w:p>
    <w:p w14:paraId="1F081CA0"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25 mg filmtabletta</w:t>
      </w:r>
    </w:p>
    <w:p w14:paraId="05A7D40F" w14:textId="77777777" w:rsidR="00C03FCD" w:rsidRDefault="00C03FCD">
      <w:pPr>
        <w:widowControl w:val="0"/>
        <w:spacing w:line="240" w:lineRule="auto"/>
        <w:rPr>
          <w:rFonts w:eastAsia="Times New Roman"/>
          <w:u w:val="single"/>
          <w:lang w:val="hu-HU" w:eastAsia="en-US"/>
        </w:rPr>
      </w:pPr>
    </w:p>
    <w:p w14:paraId="153EF6FA" w14:textId="77777777" w:rsidR="00342CEA" w:rsidRDefault="00837BAB">
      <w:pPr>
        <w:widowControl w:val="0"/>
        <w:spacing w:line="240" w:lineRule="auto"/>
        <w:rPr>
          <w:rFonts w:eastAsia="Times New Roman"/>
          <w:lang w:val="hu-HU" w:eastAsia="en-US"/>
        </w:rPr>
      </w:pPr>
      <w:r>
        <w:rPr>
          <w:rFonts w:eastAsia="Times New Roman"/>
          <w:lang w:val="hu-HU" w:eastAsia="en-US"/>
        </w:rPr>
        <w:t>Sötét rózsaszínű, kerek, mindkét oldalán domború felületű, megközelítőleg 8 mm átmérőjű filmtabletta, egyik oldalán mélynyomású „II” jelöléssel.</w:t>
      </w:r>
    </w:p>
    <w:p w14:paraId="2B9587EC" w14:textId="77777777" w:rsidR="00342CEA" w:rsidRDefault="00342CEA">
      <w:pPr>
        <w:widowControl w:val="0"/>
        <w:spacing w:line="240" w:lineRule="auto"/>
        <w:rPr>
          <w:rFonts w:eastAsia="Times New Roman"/>
          <w:lang w:val="hu-HU" w:eastAsia="en-US"/>
        </w:rPr>
      </w:pPr>
    </w:p>
    <w:p w14:paraId="228C3DEE"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50 mg filmtabletta</w:t>
      </w:r>
    </w:p>
    <w:p w14:paraId="74DB6DFB" w14:textId="77777777" w:rsidR="00C03FCD" w:rsidRDefault="00C03FCD">
      <w:pPr>
        <w:widowControl w:val="0"/>
        <w:spacing w:line="240" w:lineRule="auto"/>
        <w:rPr>
          <w:rFonts w:eastAsia="Times New Roman"/>
          <w:u w:val="single"/>
          <w:lang w:val="hu-HU" w:eastAsia="en-US"/>
        </w:rPr>
      </w:pPr>
    </w:p>
    <w:p w14:paraId="79309B17" w14:textId="77777777" w:rsidR="00342CEA" w:rsidRDefault="00837BAB">
      <w:pPr>
        <w:rPr>
          <w:rFonts w:eastAsia="Times New Roman"/>
          <w:lang w:val="hu-HU" w:eastAsia="en-US"/>
        </w:rPr>
      </w:pPr>
      <w:r>
        <w:rPr>
          <w:rFonts w:eastAsia="Times New Roman"/>
          <w:lang w:val="hu-HU" w:eastAsia="en-US"/>
        </w:rPr>
        <w:t>Rózsaszínű, kerek, mindkét oldalán domború felületű, megközelítőleg 10 mm átmérőjű filmtabletta, egyik oldalán mélynyomású „III” jelöléssel.</w:t>
      </w:r>
    </w:p>
    <w:p w14:paraId="58BAB412" w14:textId="77777777" w:rsidR="00342CEA" w:rsidRDefault="00342CEA">
      <w:pPr>
        <w:widowControl w:val="0"/>
        <w:spacing w:line="240" w:lineRule="auto"/>
        <w:rPr>
          <w:rFonts w:eastAsia="Times New Roman"/>
          <w:u w:val="single"/>
          <w:lang w:val="hu-HU" w:eastAsia="en-US"/>
        </w:rPr>
      </w:pPr>
    </w:p>
    <w:p w14:paraId="0D9AF3FA" w14:textId="77777777" w:rsidR="00342CEA" w:rsidRDefault="00837BAB">
      <w:pPr>
        <w:widowControl w:val="0"/>
        <w:spacing w:line="240" w:lineRule="auto"/>
        <w:rPr>
          <w:rFonts w:eastAsia="Times New Roman"/>
          <w:u w:val="single"/>
          <w:lang w:val="hu-HU" w:eastAsia="en-US"/>
        </w:rPr>
      </w:pPr>
      <w:r>
        <w:rPr>
          <w:rFonts w:eastAsia="Times New Roman"/>
          <w:u w:val="single"/>
          <w:lang w:val="hu-HU" w:eastAsia="en-US"/>
        </w:rPr>
        <w:t>Eltrombopag Sandoz 75 mg filmtabletta</w:t>
      </w:r>
    </w:p>
    <w:p w14:paraId="47D5B7D4" w14:textId="77777777" w:rsidR="00C03FCD" w:rsidRDefault="00C03FCD">
      <w:pPr>
        <w:widowControl w:val="0"/>
        <w:spacing w:line="240" w:lineRule="auto"/>
        <w:rPr>
          <w:rFonts w:eastAsia="Times New Roman"/>
          <w:u w:val="single"/>
          <w:lang w:val="hu-HU" w:eastAsia="en-US"/>
        </w:rPr>
      </w:pPr>
    </w:p>
    <w:p w14:paraId="0C8E84B5" w14:textId="77777777" w:rsidR="00342CEA" w:rsidRDefault="00837BAB">
      <w:pPr>
        <w:widowControl w:val="0"/>
        <w:spacing w:line="240" w:lineRule="auto"/>
        <w:rPr>
          <w:rFonts w:eastAsia="Times New Roman"/>
          <w:lang w:val="hu-HU" w:eastAsia="en-US"/>
        </w:rPr>
      </w:pPr>
      <w:r>
        <w:rPr>
          <w:rFonts w:eastAsia="Times New Roman"/>
          <w:lang w:val="hu-HU" w:eastAsia="en-US"/>
        </w:rPr>
        <w:t>Vörös vagy barna színű, kerek, mindkét oldalán domború felületű, megközelítőleg 12 mm átmérőjű filmtabletta, egyik oldalán mélynyomású „IV” jelöléssel.</w:t>
      </w:r>
    </w:p>
    <w:p w14:paraId="5285C0C9" w14:textId="77777777" w:rsidR="00342CEA" w:rsidRDefault="00342CEA">
      <w:pPr>
        <w:autoSpaceDE w:val="0"/>
        <w:autoSpaceDN w:val="0"/>
        <w:spacing w:line="240" w:lineRule="auto"/>
        <w:jc w:val="both"/>
        <w:rPr>
          <w:lang w:val="hu-HU"/>
        </w:rPr>
      </w:pPr>
    </w:p>
    <w:p w14:paraId="7041BF3A" w14:textId="77777777" w:rsidR="00342CEA" w:rsidRDefault="00342CEA">
      <w:pPr>
        <w:spacing w:line="240" w:lineRule="auto"/>
        <w:rPr>
          <w:lang w:val="hu-HU"/>
        </w:rPr>
      </w:pPr>
    </w:p>
    <w:p w14:paraId="2551F69A" w14:textId="77777777" w:rsidR="00342CEA" w:rsidRDefault="00837BAB">
      <w:pPr>
        <w:keepNext/>
        <w:spacing w:line="240" w:lineRule="auto"/>
        <w:ind w:left="567" w:hanging="567"/>
        <w:outlineLvl w:val="0"/>
        <w:rPr>
          <w:b/>
          <w:bCs/>
          <w:lang w:val="hu-HU"/>
        </w:rPr>
      </w:pPr>
      <w:r>
        <w:rPr>
          <w:b/>
          <w:bCs/>
          <w:lang w:val="hu-HU"/>
        </w:rPr>
        <w:t>4.</w:t>
      </w:r>
      <w:r>
        <w:rPr>
          <w:b/>
          <w:bCs/>
          <w:lang w:val="hu-HU"/>
        </w:rPr>
        <w:tab/>
        <w:t>KLINIKAI JELLEMZŐK</w:t>
      </w:r>
    </w:p>
    <w:p w14:paraId="546E4663" w14:textId="77777777" w:rsidR="00342CEA" w:rsidRDefault="00342CEA">
      <w:pPr>
        <w:spacing w:line="240" w:lineRule="auto"/>
        <w:ind w:left="567" w:hanging="567"/>
        <w:outlineLvl w:val="0"/>
        <w:rPr>
          <w:lang w:val="hu-HU"/>
        </w:rPr>
      </w:pPr>
    </w:p>
    <w:p w14:paraId="258F3901" w14:textId="77777777" w:rsidR="00342CEA" w:rsidRDefault="00837BAB">
      <w:pPr>
        <w:spacing w:line="240" w:lineRule="auto"/>
        <w:ind w:left="567" w:hanging="567"/>
        <w:outlineLvl w:val="0"/>
        <w:rPr>
          <w:rFonts w:eastAsia="Times New Roman"/>
          <w:b/>
          <w:bCs/>
          <w:lang w:val="hu-HU" w:eastAsia="en-US"/>
        </w:rPr>
      </w:pPr>
      <w:r>
        <w:rPr>
          <w:rFonts w:eastAsia="Times New Roman"/>
          <w:b/>
          <w:bCs/>
          <w:lang w:val="hu-HU" w:eastAsia="en-US"/>
        </w:rPr>
        <w:t>4.1</w:t>
      </w:r>
      <w:r>
        <w:rPr>
          <w:rFonts w:eastAsia="Times New Roman"/>
          <w:b/>
          <w:bCs/>
          <w:lang w:val="hu-HU" w:eastAsia="en-US"/>
        </w:rPr>
        <w:tab/>
        <w:t>Terápiás javallatok</w:t>
      </w:r>
    </w:p>
    <w:p w14:paraId="028AAA91" w14:textId="77777777" w:rsidR="00342CEA" w:rsidRDefault="00342CEA">
      <w:pPr>
        <w:spacing w:line="240" w:lineRule="auto"/>
        <w:ind w:left="567" w:hanging="567"/>
        <w:outlineLvl w:val="0"/>
        <w:rPr>
          <w:lang w:val="hu-HU"/>
        </w:rPr>
      </w:pPr>
    </w:p>
    <w:p w14:paraId="1CBE2FEE" w14:textId="77777777" w:rsidR="00342CEA" w:rsidRDefault="00837BAB">
      <w:pPr>
        <w:spacing w:line="240" w:lineRule="auto"/>
        <w:rPr>
          <w:rFonts w:eastAsia="Times New Roman"/>
          <w:lang w:val="hu-HU" w:eastAsia="en-US"/>
        </w:rPr>
      </w:pPr>
      <w:r>
        <w:rPr>
          <w:rFonts w:eastAsia="Times New Roman"/>
          <w:lang w:val="hu-HU" w:eastAsia="en-US"/>
        </w:rPr>
        <w:t>Az Eltrombopag Sandoz primer immun thrombocytopenia (ITP) kezelésére javallott olyan felnőtt betegeknél, akik más kezelésekre (pl. kortikoszteroidok, immunglobulinok) nem reagálnak (lásd 4.2 és 5.1 pont).</w:t>
      </w:r>
    </w:p>
    <w:p w14:paraId="47417A3B" w14:textId="77777777" w:rsidR="00342CEA" w:rsidRDefault="00342CEA">
      <w:pPr>
        <w:spacing w:line="240" w:lineRule="auto"/>
        <w:rPr>
          <w:rFonts w:eastAsia="Times New Roman"/>
          <w:lang w:val="hu-HU" w:eastAsia="en-US"/>
        </w:rPr>
      </w:pPr>
    </w:p>
    <w:p w14:paraId="35FAFFD4" w14:textId="77777777" w:rsidR="00342CEA" w:rsidRDefault="00837BAB">
      <w:pPr>
        <w:spacing w:line="240" w:lineRule="auto"/>
        <w:rPr>
          <w:rFonts w:eastAsia="Times New Roman"/>
          <w:lang w:val="hu-HU" w:eastAsia="en-US"/>
        </w:rPr>
      </w:pPr>
      <w:r>
        <w:rPr>
          <w:rFonts w:eastAsia="Times New Roman"/>
          <w:lang w:val="hu-HU" w:eastAsia="en-US"/>
        </w:rPr>
        <w:t>Az Eltrombopag Sandoz 6 hónapja vagy annál hosszabb ideje fennálló primer immun thrombocytopenia (ITP) kezelésére javallott olyan, 1 évesnél idősebb gyermekeknél és serdülőknél, akik más kezelésekre (pl. kortikoszteroidok, immunglobulinok) nem reagálnak (lásd 4.2 és 5.1 pont).</w:t>
      </w:r>
    </w:p>
    <w:p w14:paraId="79352C0C" w14:textId="77777777" w:rsidR="00342CEA" w:rsidRDefault="00342CEA">
      <w:pPr>
        <w:spacing w:line="240" w:lineRule="auto"/>
        <w:rPr>
          <w:rFonts w:eastAsia="Times New Roman"/>
          <w:lang w:val="hu-HU" w:eastAsia="en-US"/>
        </w:rPr>
      </w:pPr>
    </w:p>
    <w:p w14:paraId="07E7C5DE" w14:textId="77777777" w:rsidR="00342CEA" w:rsidRDefault="00837BAB">
      <w:pPr>
        <w:spacing w:line="240" w:lineRule="auto"/>
        <w:rPr>
          <w:rFonts w:eastAsia="Times New Roman"/>
          <w:lang w:val="hu-HU" w:eastAsia="en-US"/>
        </w:rPr>
      </w:pPr>
      <w:r>
        <w:rPr>
          <w:rFonts w:eastAsia="Times New Roman"/>
          <w:lang w:val="hu-HU" w:eastAsia="en-US"/>
        </w:rPr>
        <w:t>Az Eltrombopag Sandoz felnőttkori thrombocytopenia kezelésére javallott olyan, krónikus hepatitis C vírus (HCV) fertőzésben szenvedő felnőtt betegeknél, akiknél a thrombocytopenia mértéke a legfontosabb gátló faktora az optimális interferon alapú terápia megkezdésének vagy fenntartásának (lásd 4.4 és 5.1 pont).</w:t>
      </w:r>
    </w:p>
    <w:p w14:paraId="1B6F51BF" w14:textId="77777777" w:rsidR="00342CEA" w:rsidRDefault="00342CEA">
      <w:pPr>
        <w:spacing w:line="240" w:lineRule="auto"/>
        <w:rPr>
          <w:rFonts w:eastAsia="Times New Roman"/>
          <w:lang w:val="hu-HU" w:eastAsia="en-US"/>
        </w:rPr>
      </w:pPr>
    </w:p>
    <w:p w14:paraId="189FC902"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4.2</w:t>
      </w:r>
      <w:r>
        <w:rPr>
          <w:rFonts w:eastAsia="Times New Roman"/>
          <w:b/>
          <w:bCs/>
          <w:lang w:val="hu-HU" w:eastAsia="en-US"/>
        </w:rPr>
        <w:tab/>
        <w:t>Adagolás és alkalmazás</w:t>
      </w:r>
    </w:p>
    <w:p w14:paraId="44EF032E" w14:textId="77777777" w:rsidR="00342CEA" w:rsidRDefault="00342CEA">
      <w:pPr>
        <w:spacing w:line="240" w:lineRule="auto"/>
        <w:ind w:left="567" w:hanging="567"/>
        <w:outlineLvl w:val="0"/>
        <w:rPr>
          <w:lang w:val="hu-HU"/>
        </w:rPr>
      </w:pPr>
    </w:p>
    <w:p w14:paraId="2059D10E"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w:t>
      </w:r>
      <w:r>
        <w:rPr>
          <w:rFonts w:eastAsia="Times New Roman"/>
          <w:lang w:val="hu-HU" w:eastAsia="en-US"/>
        </w:rPr>
        <w:noBreakHyphen/>
        <w:t>kezelést a hematológiai betegségek vagy a krónikus hepatitis C és szövődményeinek kezelésében jártas szakorvos felügyelete mellett kell elkezdeni és végezni.</w:t>
      </w:r>
    </w:p>
    <w:p w14:paraId="30B5DBA8" w14:textId="77777777" w:rsidR="00342CEA" w:rsidRDefault="00342CEA">
      <w:pPr>
        <w:spacing w:line="240" w:lineRule="auto"/>
        <w:ind w:left="567" w:hanging="567"/>
        <w:outlineLvl w:val="0"/>
        <w:rPr>
          <w:lang w:val="hu-HU"/>
        </w:rPr>
      </w:pPr>
    </w:p>
    <w:p w14:paraId="4BB88024" w14:textId="77777777" w:rsidR="00342CEA" w:rsidRDefault="00837BAB">
      <w:pPr>
        <w:spacing w:line="240" w:lineRule="auto"/>
        <w:rPr>
          <w:rFonts w:eastAsia="Times New Roman"/>
          <w:u w:val="single"/>
          <w:lang w:val="hu-HU" w:eastAsia="en-US"/>
        </w:rPr>
      </w:pPr>
      <w:r>
        <w:rPr>
          <w:rFonts w:eastAsia="Times New Roman"/>
          <w:u w:val="single"/>
          <w:lang w:val="hu-HU" w:eastAsia="en-US"/>
        </w:rPr>
        <w:t>Adagolás</w:t>
      </w:r>
    </w:p>
    <w:p w14:paraId="0018C331" w14:textId="77777777" w:rsidR="00342CEA" w:rsidRDefault="00342CEA">
      <w:pPr>
        <w:autoSpaceDE w:val="0"/>
        <w:autoSpaceDN w:val="0"/>
        <w:spacing w:line="240" w:lineRule="auto"/>
        <w:jc w:val="both"/>
        <w:rPr>
          <w:lang w:val="hu-HU"/>
        </w:rPr>
      </w:pPr>
    </w:p>
    <w:p w14:paraId="5104E7AC"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adagolását egyénenként kell meghatározni a beteg vérlemezkeszáma alapján. Az eltrombopag</w:t>
      </w:r>
      <w:r>
        <w:rPr>
          <w:rFonts w:eastAsia="Times New Roman"/>
          <w:lang w:val="hu-HU" w:eastAsia="en-US"/>
        </w:rPr>
        <w:noBreakHyphen/>
        <w:t>kezelés célja nem lehet a vérlemezkeszám normalizálása.</w:t>
      </w:r>
    </w:p>
    <w:p w14:paraId="44388628" w14:textId="77777777" w:rsidR="00342CEA" w:rsidRDefault="00342CEA">
      <w:pPr>
        <w:autoSpaceDE w:val="0"/>
        <w:autoSpaceDN w:val="0"/>
        <w:spacing w:line="240" w:lineRule="auto"/>
        <w:rPr>
          <w:rFonts w:eastAsia="Times New Roman"/>
          <w:lang w:val="hu-HU" w:eastAsia="en-US"/>
        </w:rPr>
      </w:pPr>
    </w:p>
    <w:p w14:paraId="477F7762"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por belsőleges szuszpenzióhoz gyógyszerformában is elérhető más márkaneveken. A por belsőleges szuszpenzióhoz magasabb eltrombopag</w:t>
      </w:r>
      <w:r>
        <w:rPr>
          <w:rFonts w:eastAsia="Times New Roman"/>
          <w:lang w:val="hu-HU" w:eastAsia="en-US"/>
        </w:rPr>
        <w:noBreakHyphen/>
        <w:t xml:space="preserve">expozíciót okozhat, mint a tabletta gyógyszerformájú készítmény (lásd 5.2 pont). A tabletta és a por belsőleges szuszpenzióhoz </w:t>
      </w:r>
      <w:r>
        <w:rPr>
          <w:lang w:val="hu-HU"/>
        </w:rPr>
        <w:t>gyógyszerformájú készítmények</w:t>
      </w:r>
      <w:r>
        <w:rPr>
          <w:rFonts w:eastAsia="Times New Roman"/>
          <w:lang w:val="hu-HU" w:eastAsia="en-US"/>
        </w:rPr>
        <w:t xml:space="preserve"> közötti váltáskor a thrombocytaszámot 2 hétig hetente monitorozni kell.</w:t>
      </w:r>
    </w:p>
    <w:p w14:paraId="0013D60E" w14:textId="77777777" w:rsidR="00342CEA" w:rsidRDefault="00342CEA">
      <w:pPr>
        <w:autoSpaceDE w:val="0"/>
        <w:autoSpaceDN w:val="0"/>
        <w:spacing w:line="240" w:lineRule="auto"/>
        <w:rPr>
          <w:rFonts w:eastAsia="Times New Roman"/>
          <w:lang w:val="hu-HU" w:eastAsia="en-US"/>
        </w:rPr>
      </w:pPr>
    </w:p>
    <w:p w14:paraId="14077656" w14:textId="77777777" w:rsidR="00342CEA" w:rsidRDefault="00837BAB">
      <w:pPr>
        <w:spacing w:line="240" w:lineRule="auto"/>
        <w:rPr>
          <w:rFonts w:eastAsia="Times New Roman"/>
          <w:i/>
          <w:u w:val="single"/>
          <w:lang w:val="hu-HU" w:eastAsia="en-US"/>
        </w:rPr>
      </w:pPr>
      <w:r>
        <w:rPr>
          <w:rFonts w:eastAsia="Times New Roman"/>
          <w:i/>
          <w:u w:val="single"/>
          <w:lang w:val="hu-HU" w:eastAsia="en-US"/>
        </w:rPr>
        <w:t>Immun (primer) thrombocytopenia</w:t>
      </w:r>
    </w:p>
    <w:p w14:paraId="7D536AE6"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 ≥ 50 000/µl-es vérlemezkeszám eléréséhez és fenntartásához szükséges legalacsonyabb eltrombopag adagot kell alkalmazni. A dózismódosításnak a vérlemezkeszám</w:t>
      </w:r>
      <w:r>
        <w:rPr>
          <w:rFonts w:eastAsia="Times New Roman"/>
          <w:lang w:val="hu-HU" w:eastAsia="en-US"/>
        </w:rPr>
        <w:noBreakHyphen/>
        <w:t>válaszon kell alapulnia. Az eltrombopagot tilos a vérlemezkeszám normalizálására alkalmazni. Klinikai vizsgálatokban a vérlemezkeszám az eltrombopag</w:t>
      </w:r>
      <w:r>
        <w:rPr>
          <w:rFonts w:eastAsia="Times New Roman"/>
          <w:lang w:val="hu-HU" w:eastAsia="en-US"/>
        </w:rPr>
        <w:noBreakHyphen/>
        <w:t>kezelés megkezdése után 1</w:t>
      </w:r>
      <w:r>
        <w:rPr>
          <w:rFonts w:eastAsia="Times New Roman"/>
          <w:lang w:val="hu-HU" w:eastAsia="en-US"/>
        </w:rPr>
        <w:noBreakHyphen/>
        <w:t>2 héten belül általában megemelkedett, majd a kezelés befejezése után 1</w:t>
      </w:r>
      <w:r>
        <w:rPr>
          <w:rFonts w:eastAsia="Times New Roman"/>
          <w:lang w:val="hu-HU" w:eastAsia="en-US"/>
        </w:rPr>
        <w:noBreakHyphen/>
        <w:t>2 héten belül csökkent.</w:t>
      </w:r>
    </w:p>
    <w:p w14:paraId="0439071E" w14:textId="77777777" w:rsidR="00342CEA" w:rsidRDefault="00342CEA">
      <w:pPr>
        <w:autoSpaceDE w:val="0"/>
        <w:autoSpaceDN w:val="0"/>
        <w:spacing w:line="240" w:lineRule="auto"/>
        <w:rPr>
          <w:rFonts w:eastAsia="Times New Roman"/>
          <w:lang w:val="hu-HU" w:eastAsia="en-US"/>
        </w:rPr>
      </w:pPr>
    </w:p>
    <w:p w14:paraId="1AD2BA3B" w14:textId="77777777" w:rsidR="00342CEA" w:rsidRDefault="00837BAB" w:rsidP="006C1619">
      <w:pPr>
        <w:keepNext/>
        <w:autoSpaceDE w:val="0"/>
        <w:autoSpaceDN w:val="0"/>
        <w:spacing w:line="240" w:lineRule="auto"/>
        <w:rPr>
          <w:rFonts w:eastAsia="Times New Roman"/>
          <w:lang w:val="hu-HU" w:eastAsia="en-US"/>
        </w:rPr>
      </w:pPr>
      <w:r>
        <w:rPr>
          <w:rFonts w:eastAsia="Times New Roman"/>
          <w:i/>
          <w:lang w:val="hu-HU" w:eastAsia="en-US"/>
        </w:rPr>
        <w:lastRenderedPageBreak/>
        <w:t>Felnőttek, valamint 6 és betöltött 18. életév közötti gyermekek és serdülők</w:t>
      </w:r>
    </w:p>
    <w:p w14:paraId="213F22FB"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javasolt kezdő dózisa naponta egyszer 50 mg. Kelet</w:t>
      </w:r>
      <w:r>
        <w:rPr>
          <w:rFonts w:eastAsia="Times New Roman"/>
          <w:lang w:val="hu-HU" w:eastAsia="en-US"/>
        </w:rPr>
        <w:noBreakHyphen/>
        <w:t>/délkelet</w:t>
      </w:r>
      <w:r>
        <w:rPr>
          <w:rFonts w:eastAsia="Times New Roman"/>
          <w:lang w:val="hu-HU" w:eastAsia="en-US"/>
        </w:rPr>
        <w:noBreakHyphen/>
        <w:t>ázsiai származású betegeknél a kezelést csökkentett dózissal, napi egyszeri 25 mg</w:t>
      </w:r>
      <w:r>
        <w:rPr>
          <w:rFonts w:eastAsia="Times New Roman"/>
          <w:lang w:val="hu-HU" w:eastAsia="en-US"/>
        </w:rPr>
        <w:noBreakHyphen/>
        <w:t>mal kell kezdeni (lásd 5.2 pont).</w:t>
      </w:r>
    </w:p>
    <w:p w14:paraId="0E2DBDD8" w14:textId="77777777" w:rsidR="00342CEA" w:rsidRDefault="00342CEA">
      <w:pPr>
        <w:autoSpaceDE w:val="0"/>
        <w:autoSpaceDN w:val="0"/>
        <w:spacing w:line="240" w:lineRule="auto"/>
        <w:rPr>
          <w:rFonts w:eastAsia="Times New Roman"/>
          <w:lang w:val="hu-HU" w:eastAsia="en-US"/>
        </w:rPr>
      </w:pPr>
    </w:p>
    <w:p w14:paraId="0BD8C5F6" w14:textId="77777777" w:rsidR="00342CEA" w:rsidRDefault="00837BAB">
      <w:pPr>
        <w:spacing w:line="240" w:lineRule="auto"/>
        <w:rPr>
          <w:rFonts w:eastAsia="Times New Roman"/>
          <w:i/>
          <w:lang w:val="hu-HU" w:eastAsia="en-US"/>
        </w:rPr>
      </w:pPr>
      <w:r>
        <w:rPr>
          <w:rFonts w:eastAsia="Times New Roman"/>
          <w:i/>
          <w:lang w:val="hu-HU" w:eastAsia="en-US"/>
        </w:rPr>
        <w:t>1–5 éves gyermekek</w:t>
      </w:r>
    </w:p>
    <w:p w14:paraId="162F3494"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javasolt kezdő dózisa naponta egyszer 25 mg.</w:t>
      </w:r>
    </w:p>
    <w:p w14:paraId="2C00CCD0" w14:textId="77777777" w:rsidR="00342CEA" w:rsidRDefault="00342CEA">
      <w:pPr>
        <w:autoSpaceDE w:val="0"/>
        <w:autoSpaceDN w:val="0"/>
        <w:spacing w:line="240" w:lineRule="auto"/>
        <w:rPr>
          <w:rFonts w:eastAsia="Times New Roman"/>
          <w:lang w:val="hu-HU" w:eastAsia="en-US"/>
        </w:rPr>
      </w:pPr>
    </w:p>
    <w:p w14:paraId="35BE0022" w14:textId="77777777" w:rsidR="00342CEA" w:rsidRDefault="00837BAB">
      <w:pPr>
        <w:spacing w:line="240" w:lineRule="auto"/>
        <w:rPr>
          <w:rFonts w:eastAsia="Times New Roman"/>
          <w:i/>
          <w:lang w:val="hu-HU" w:eastAsia="en-US"/>
        </w:rPr>
      </w:pPr>
      <w:r>
        <w:rPr>
          <w:rFonts w:eastAsia="Times New Roman"/>
          <w:i/>
          <w:lang w:val="hu-HU" w:eastAsia="en-US"/>
        </w:rPr>
        <w:t>Monitorozás és dózisbeállítás</w:t>
      </w:r>
    </w:p>
    <w:p w14:paraId="5517F782"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w:t>
      </w:r>
      <w:r>
        <w:rPr>
          <w:rFonts w:eastAsia="Times New Roman"/>
          <w:lang w:val="hu-HU" w:eastAsia="en-US"/>
        </w:rPr>
        <w:noBreakHyphen/>
        <w:t>kezelés megkezdése után az adagot úgy kell beállítani, hogy a vérlemezkeszám ≥ 50 000/µl legyen, ami a vérzés kockázatának csökkentéséhez szükséges érték. A napi dózis semmiképpen nem haladhatja meg a 75 mg</w:t>
      </w:r>
      <w:r>
        <w:rPr>
          <w:rFonts w:eastAsia="Times New Roman"/>
          <w:lang w:val="hu-HU" w:eastAsia="en-US"/>
        </w:rPr>
        <w:noBreakHyphen/>
        <w:t>ot.</w:t>
      </w:r>
    </w:p>
    <w:p w14:paraId="137F2A4B" w14:textId="77777777" w:rsidR="00342CEA" w:rsidRDefault="00342CEA">
      <w:pPr>
        <w:autoSpaceDE w:val="0"/>
        <w:autoSpaceDN w:val="0"/>
        <w:spacing w:line="240" w:lineRule="auto"/>
        <w:rPr>
          <w:rFonts w:eastAsia="Times New Roman"/>
          <w:lang w:val="hu-HU" w:eastAsia="en-US"/>
        </w:rPr>
      </w:pPr>
    </w:p>
    <w:p w14:paraId="10864096"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w:t>
      </w:r>
      <w:r>
        <w:rPr>
          <w:rFonts w:eastAsia="Times New Roman"/>
          <w:lang w:val="hu-HU" w:eastAsia="en-US"/>
        </w:rPr>
        <w:noBreakHyphen/>
        <w:t>kezelés alatt rendszeresen monitorozni kell a haematológiai és májfunkciós értékeket, és az eltrombopag adagolását a vérlemezkeszámnak megfelelően kell módosítani, az 1. táblázatban leírtak szerint. Az eltrombopag</w:t>
      </w:r>
      <w:r>
        <w:rPr>
          <w:rFonts w:eastAsia="Times New Roman"/>
          <w:lang w:val="hu-HU" w:eastAsia="en-US"/>
        </w:rPr>
        <w:noBreakHyphen/>
        <w:t>kezelés során hetente értékelni kell a teljes vérképet, beleértve a vérlemezkeszámot és a perifériás vérkenetet, a stabil vérlemezkeszám elérésig (≥ 50 000/µl legalább 4 hétig). Ezt követően havonta kell a teljes vérképet ellenőrizni, beleértve a vérlemezkeszámot és a perifériás vérkenetet.</w:t>
      </w:r>
    </w:p>
    <w:p w14:paraId="09687CF5" w14:textId="77777777" w:rsidR="00342CEA" w:rsidRDefault="00342CEA">
      <w:pPr>
        <w:spacing w:line="240" w:lineRule="auto"/>
        <w:rPr>
          <w:rFonts w:eastAsia="Times New Roman"/>
          <w:i/>
          <w:lang w:val="hu-HU" w:eastAsia="en-US"/>
        </w:rPr>
      </w:pPr>
    </w:p>
    <w:p w14:paraId="088E7AE7" w14:textId="77777777" w:rsidR="00342CEA" w:rsidRDefault="00837BAB">
      <w:pPr>
        <w:tabs>
          <w:tab w:val="clear" w:pos="567"/>
          <w:tab w:val="left" w:pos="1134"/>
        </w:tabs>
        <w:spacing w:after="12" w:line="247" w:lineRule="auto"/>
        <w:ind w:right="14" w:hanging="9"/>
        <w:rPr>
          <w:b/>
          <w:bCs/>
          <w:lang w:val="hu-HU" w:eastAsia="en-GB"/>
        </w:rPr>
      </w:pPr>
      <w:r>
        <w:rPr>
          <w:b/>
          <w:bCs/>
          <w:lang w:val="hu-HU"/>
        </w:rPr>
        <w:t>1. táblázat</w:t>
      </w:r>
      <w:r>
        <w:rPr>
          <w:b/>
          <w:bCs/>
          <w:lang w:val="hu-HU"/>
        </w:rPr>
        <w:tab/>
      </w:r>
      <w:r>
        <w:rPr>
          <w:b/>
          <w:bCs/>
          <w:lang w:val="hu-HU" w:eastAsia="en-GB"/>
        </w:rPr>
        <w:t>Az eltrombopag adagjának módosítása ITP</w:t>
      </w:r>
      <w:r>
        <w:rPr>
          <w:b/>
          <w:bCs/>
          <w:lang w:val="hu-HU" w:eastAsia="en-GB"/>
        </w:rPr>
        <w:noBreakHyphen/>
        <w:t>s betegeknél</w:t>
      </w:r>
    </w:p>
    <w:p w14:paraId="607DE433" w14:textId="77777777" w:rsidR="00C03FCD" w:rsidRDefault="00C03FCD">
      <w:pPr>
        <w:tabs>
          <w:tab w:val="clear" w:pos="567"/>
          <w:tab w:val="left" w:pos="1134"/>
        </w:tabs>
        <w:spacing w:after="12" w:line="247" w:lineRule="auto"/>
        <w:ind w:right="14" w:hanging="9"/>
        <w:rPr>
          <w:b/>
          <w:bCs/>
          <w:lang w:val="hu-HU" w:eastAsia="en-GB"/>
        </w:rPr>
      </w:pPr>
    </w:p>
    <w:tbl>
      <w:tblPr>
        <w:tblStyle w:val="TableGrid"/>
        <w:tblW w:w="9109" w:type="dxa"/>
        <w:tblInd w:w="5" w:type="dxa"/>
        <w:tblCellMar>
          <w:top w:w="13" w:type="dxa"/>
          <w:left w:w="108" w:type="dxa"/>
          <w:right w:w="81" w:type="dxa"/>
        </w:tblCellMar>
        <w:tblLook w:val="04A0" w:firstRow="1" w:lastRow="0" w:firstColumn="1" w:lastColumn="0" w:noHBand="0" w:noVBand="1"/>
      </w:tblPr>
      <w:tblGrid>
        <w:gridCol w:w="4076"/>
        <w:gridCol w:w="5033"/>
      </w:tblGrid>
      <w:tr w:rsidR="00342CEA" w14:paraId="7B7D1FF6" w14:textId="77777777">
        <w:trPr>
          <w:trHeight w:val="263"/>
        </w:trPr>
        <w:tc>
          <w:tcPr>
            <w:tcW w:w="4076" w:type="dxa"/>
            <w:tcBorders>
              <w:top w:val="single" w:sz="4" w:space="0" w:color="000000"/>
              <w:left w:val="single" w:sz="4" w:space="0" w:color="000000"/>
              <w:bottom w:val="single" w:sz="4" w:space="0" w:color="000000"/>
              <w:right w:val="single" w:sz="6" w:space="0" w:color="000000"/>
            </w:tcBorders>
          </w:tcPr>
          <w:p w14:paraId="5D0DB6B9" w14:textId="77777777" w:rsidR="00342CEA" w:rsidRDefault="00837BAB">
            <w:pPr>
              <w:spacing w:line="259" w:lineRule="auto"/>
              <w:ind w:right="29"/>
              <w:jc w:val="center"/>
              <w:rPr>
                <w:rFonts w:ascii="Times New Roman" w:hAnsi="Times New Roman"/>
                <w:b/>
                <w:bCs/>
                <w:lang w:val="hu-HU"/>
              </w:rPr>
            </w:pPr>
            <w:r>
              <w:rPr>
                <w:rFonts w:ascii="Times New Roman" w:hAnsi="Times New Roman"/>
                <w:b/>
                <w:bCs/>
                <w:lang w:val="hu-HU"/>
              </w:rPr>
              <w:t>Vérlemezkeszám</w:t>
            </w:r>
          </w:p>
        </w:tc>
        <w:tc>
          <w:tcPr>
            <w:tcW w:w="5033" w:type="dxa"/>
            <w:tcBorders>
              <w:top w:val="single" w:sz="4" w:space="0" w:color="000000"/>
              <w:left w:val="single" w:sz="6" w:space="0" w:color="000000"/>
              <w:bottom w:val="single" w:sz="4" w:space="0" w:color="000000"/>
              <w:right w:val="single" w:sz="4" w:space="0" w:color="000000"/>
            </w:tcBorders>
          </w:tcPr>
          <w:p w14:paraId="7227C9FF" w14:textId="77777777" w:rsidR="00342CEA" w:rsidRDefault="00837BAB">
            <w:pPr>
              <w:spacing w:line="259" w:lineRule="auto"/>
              <w:ind w:right="29"/>
              <w:jc w:val="center"/>
              <w:rPr>
                <w:rFonts w:ascii="Times New Roman" w:hAnsi="Times New Roman"/>
                <w:b/>
                <w:bCs/>
                <w:lang w:val="hu-HU"/>
              </w:rPr>
            </w:pPr>
            <w:r>
              <w:rPr>
                <w:rFonts w:ascii="Times New Roman" w:hAnsi="Times New Roman"/>
                <w:b/>
                <w:bCs/>
                <w:lang w:val="hu-HU"/>
              </w:rPr>
              <w:t>Dózismódosítás vagy válasz</w:t>
            </w:r>
          </w:p>
        </w:tc>
      </w:tr>
      <w:tr w:rsidR="00342CEA" w14:paraId="1FF91D22" w14:textId="77777777">
        <w:trPr>
          <w:trHeight w:val="516"/>
        </w:trPr>
        <w:tc>
          <w:tcPr>
            <w:tcW w:w="4076" w:type="dxa"/>
            <w:tcBorders>
              <w:top w:val="single" w:sz="4" w:space="0" w:color="000000"/>
              <w:left w:val="single" w:sz="4" w:space="0" w:color="000000"/>
              <w:bottom w:val="single" w:sz="4" w:space="0" w:color="000000"/>
              <w:right w:val="single" w:sz="6" w:space="0" w:color="000000"/>
            </w:tcBorders>
          </w:tcPr>
          <w:p w14:paraId="0A4028F7" w14:textId="77777777" w:rsidR="00342CEA" w:rsidRDefault="00837BAB">
            <w:pPr>
              <w:spacing w:line="259" w:lineRule="auto"/>
              <w:rPr>
                <w:rFonts w:ascii="Times New Roman" w:hAnsi="Times New Roman"/>
                <w:lang w:val="hu-HU"/>
              </w:rPr>
            </w:pPr>
            <w:r>
              <w:rPr>
                <w:rFonts w:ascii="Times New Roman" w:hAnsi="Times New Roman"/>
                <w:lang w:val="hu-HU"/>
              </w:rPr>
              <w:t>&lt; 50 000/µl legalább 2 hetes kezelés után</w:t>
            </w:r>
          </w:p>
        </w:tc>
        <w:tc>
          <w:tcPr>
            <w:tcW w:w="5033" w:type="dxa"/>
            <w:tcBorders>
              <w:top w:val="single" w:sz="4" w:space="0" w:color="000000"/>
              <w:left w:val="single" w:sz="6" w:space="0" w:color="000000"/>
              <w:bottom w:val="single" w:sz="4" w:space="0" w:color="000000"/>
              <w:right w:val="single" w:sz="4" w:space="0" w:color="000000"/>
            </w:tcBorders>
          </w:tcPr>
          <w:p w14:paraId="5A70444D" w14:textId="77777777" w:rsidR="00342CEA" w:rsidRDefault="00837BAB">
            <w:pPr>
              <w:spacing w:line="259" w:lineRule="auto"/>
              <w:rPr>
                <w:rFonts w:ascii="Times New Roman" w:hAnsi="Times New Roman"/>
                <w:lang w:val="hu-HU"/>
              </w:rPr>
            </w:pPr>
            <w:r>
              <w:rPr>
                <w:rFonts w:ascii="Times New Roman" w:hAnsi="Times New Roman"/>
                <w:lang w:val="hu-HU"/>
              </w:rPr>
              <w:t>A napi dózist 25 mg-mal kell emelni, legfeljebb napi 75 mg-ig*.</w:t>
            </w:r>
          </w:p>
        </w:tc>
      </w:tr>
      <w:tr w:rsidR="00342CEA" w14:paraId="5B3F710F" w14:textId="77777777">
        <w:trPr>
          <w:trHeight w:val="770"/>
        </w:trPr>
        <w:tc>
          <w:tcPr>
            <w:tcW w:w="4076" w:type="dxa"/>
            <w:tcBorders>
              <w:top w:val="single" w:sz="4" w:space="0" w:color="000000"/>
              <w:left w:val="single" w:sz="4" w:space="0" w:color="000000"/>
              <w:bottom w:val="single" w:sz="4" w:space="0" w:color="000000"/>
              <w:right w:val="single" w:sz="6" w:space="0" w:color="000000"/>
            </w:tcBorders>
          </w:tcPr>
          <w:p w14:paraId="32DF6F0E" w14:textId="77777777" w:rsidR="00342CEA" w:rsidRDefault="00837BAB">
            <w:pPr>
              <w:spacing w:line="259" w:lineRule="auto"/>
              <w:rPr>
                <w:rFonts w:ascii="Times New Roman" w:hAnsi="Times New Roman"/>
                <w:lang w:val="hu-HU"/>
              </w:rPr>
            </w:pPr>
            <w:r>
              <w:rPr>
                <w:rFonts w:ascii="Times New Roman" w:hAnsi="Times New Roman"/>
                <w:lang w:val="hu-HU"/>
              </w:rPr>
              <w:t>≥ 50 000/µl – ≤ 150 000/µl</w:t>
            </w:r>
          </w:p>
        </w:tc>
        <w:tc>
          <w:tcPr>
            <w:tcW w:w="5033" w:type="dxa"/>
            <w:tcBorders>
              <w:top w:val="single" w:sz="4" w:space="0" w:color="000000"/>
              <w:left w:val="single" w:sz="6" w:space="0" w:color="000000"/>
              <w:bottom w:val="single" w:sz="4" w:space="0" w:color="000000"/>
              <w:right w:val="single" w:sz="4" w:space="0" w:color="000000"/>
            </w:tcBorders>
          </w:tcPr>
          <w:p w14:paraId="40B42D6C" w14:textId="77777777" w:rsidR="00342CEA" w:rsidRDefault="00837BAB">
            <w:pPr>
              <w:spacing w:line="259" w:lineRule="auto"/>
              <w:rPr>
                <w:rFonts w:ascii="Times New Roman" w:hAnsi="Times New Roman"/>
                <w:lang w:val="hu-HU"/>
              </w:rPr>
            </w:pPr>
            <w:r>
              <w:rPr>
                <w:rFonts w:ascii="Times New Roman" w:hAnsi="Times New Roman"/>
                <w:lang w:val="hu-HU"/>
              </w:rPr>
              <w:t>Az eltrombopagnak és/vagy az ITP kezelésére együtt adott gyógyszereknek azt a legalacsonyabb dózisát kell alkalmazni, amellyel fenntartható a vérzés elkerüléséhez vagy csökkentéséhez szükséges vérlemezkeszám.</w:t>
            </w:r>
          </w:p>
        </w:tc>
      </w:tr>
      <w:tr w:rsidR="00342CEA" w14:paraId="7050A686" w14:textId="77777777">
        <w:trPr>
          <w:trHeight w:val="515"/>
        </w:trPr>
        <w:tc>
          <w:tcPr>
            <w:tcW w:w="4076" w:type="dxa"/>
            <w:tcBorders>
              <w:top w:val="single" w:sz="4" w:space="0" w:color="000000"/>
              <w:left w:val="single" w:sz="4" w:space="0" w:color="000000"/>
              <w:bottom w:val="single" w:sz="4" w:space="0" w:color="000000"/>
              <w:right w:val="single" w:sz="6" w:space="0" w:color="000000"/>
            </w:tcBorders>
          </w:tcPr>
          <w:p w14:paraId="2BE12AB6" w14:textId="77777777" w:rsidR="00342CEA" w:rsidRDefault="00837BAB">
            <w:pPr>
              <w:spacing w:line="259" w:lineRule="auto"/>
              <w:rPr>
                <w:rFonts w:ascii="Times New Roman" w:hAnsi="Times New Roman"/>
                <w:lang w:val="hu-HU"/>
              </w:rPr>
            </w:pPr>
            <w:r>
              <w:rPr>
                <w:rFonts w:ascii="Times New Roman" w:hAnsi="Times New Roman"/>
                <w:lang w:val="hu-HU"/>
              </w:rPr>
              <w:t>&gt; 150 000/µl – ≤ 250 000/µl</w:t>
            </w:r>
          </w:p>
        </w:tc>
        <w:tc>
          <w:tcPr>
            <w:tcW w:w="5033" w:type="dxa"/>
            <w:tcBorders>
              <w:top w:val="single" w:sz="4" w:space="0" w:color="000000"/>
              <w:left w:val="single" w:sz="6" w:space="0" w:color="000000"/>
              <w:bottom w:val="single" w:sz="4" w:space="0" w:color="000000"/>
              <w:right w:val="single" w:sz="4" w:space="0" w:color="000000"/>
            </w:tcBorders>
          </w:tcPr>
          <w:p w14:paraId="78304EEC" w14:textId="77777777" w:rsidR="00342CEA" w:rsidRDefault="00837BAB">
            <w:pPr>
              <w:spacing w:line="259" w:lineRule="auto"/>
              <w:rPr>
                <w:rFonts w:ascii="Times New Roman" w:hAnsi="Times New Roman"/>
                <w:lang w:val="hu-HU"/>
              </w:rPr>
            </w:pPr>
            <w:r>
              <w:rPr>
                <w:rFonts w:ascii="Times New Roman" w:hAnsi="Times New Roman"/>
                <w:lang w:val="hu-HU"/>
              </w:rPr>
              <w:t>25 mg</w:t>
            </w:r>
            <w:r>
              <w:rPr>
                <w:rFonts w:ascii="Times New Roman" w:hAnsi="Times New Roman"/>
                <w:lang w:val="hu-HU"/>
              </w:rPr>
              <w:noBreakHyphen/>
              <w:t>mal csökkenteni kell a napi dózist. A dóziscsökkentés, valamint a további dózismódosítások hatásának a megítéléséhez 2 hetet kell várni</w:t>
            </w:r>
            <w:r>
              <w:rPr>
                <w:rFonts w:ascii="DengXian" w:hAnsi="DengXian"/>
                <w:lang w:val="hu-HU"/>
              </w:rPr>
              <w:t>♦</w:t>
            </w:r>
            <w:r>
              <w:rPr>
                <w:rFonts w:ascii="Times New Roman" w:hAnsi="Times New Roman"/>
                <w:lang w:val="hu-HU"/>
              </w:rPr>
              <w:t>.</w:t>
            </w:r>
          </w:p>
        </w:tc>
      </w:tr>
      <w:tr w:rsidR="00342CEA" w14:paraId="3D2811E2" w14:textId="77777777">
        <w:trPr>
          <w:trHeight w:val="1276"/>
        </w:trPr>
        <w:tc>
          <w:tcPr>
            <w:tcW w:w="4076" w:type="dxa"/>
            <w:tcBorders>
              <w:top w:val="single" w:sz="4" w:space="0" w:color="000000"/>
              <w:left w:val="single" w:sz="4" w:space="0" w:color="000000"/>
              <w:bottom w:val="single" w:sz="4" w:space="0" w:color="000000"/>
              <w:right w:val="single" w:sz="6" w:space="0" w:color="000000"/>
            </w:tcBorders>
          </w:tcPr>
          <w:p w14:paraId="61114702" w14:textId="77777777" w:rsidR="00342CEA" w:rsidRDefault="00837BAB">
            <w:pPr>
              <w:spacing w:line="259" w:lineRule="auto"/>
              <w:rPr>
                <w:rFonts w:ascii="Times New Roman" w:hAnsi="Times New Roman"/>
                <w:lang w:val="hu-HU"/>
              </w:rPr>
            </w:pPr>
            <w:r>
              <w:rPr>
                <w:rFonts w:ascii="Times New Roman" w:hAnsi="Times New Roman"/>
                <w:lang w:val="hu-HU"/>
              </w:rPr>
              <w:t>&gt; 250 000/µl</w:t>
            </w:r>
          </w:p>
        </w:tc>
        <w:tc>
          <w:tcPr>
            <w:tcW w:w="5033" w:type="dxa"/>
            <w:tcBorders>
              <w:top w:val="single" w:sz="4" w:space="0" w:color="000000"/>
              <w:left w:val="single" w:sz="6" w:space="0" w:color="000000"/>
              <w:bottom w:val="single" w:sz="4" w:space="0" w:color="000000"/>
              <w:right w:val="single" w:sz="4" w:space="0" w:color="000000"/>
            </w:tcBorders>
          </w:tcPr>
          <w:p w14:paraId="6EDDF9F4" w14:textId="77777777" w:rsidR="00342CEA" w:rsidRDefault="00837BAB">
            <w:pPr>
              <w:spacing w:line="259" w:lineRule="auto"/>
              <w:rPr>
                <w:rFonts w:ascii="Times New Roman" w:hAnsi="Times New Roman"/>
                <w:lang w:val="hu-HU"/>
              </w:rPr>
            </w:pPr>
            <w:r>
              <w:rPr>
                <w:rFonts w:ascii="Times New Roman" w:hAnsi="Times New Roman"/>
                <w:lang w:val="hu-HU"/>
              </w:rPr>
              <w:t>Az eltrombopag adását le kell állítani; a vérlemezkeszámot gyakrabban, hetente kétszer kell monitorozni.</w:t>
            </w:r>
          </w:p>
          <w:p w14:paraId="54CB0ADD" w14:textId="77777777" w:rsidR="00342CEA" w:rsidRDefault="00342CEA">
            <w:pPr>
              <w:spacing w:line="259" w:lineRule="auto"/>
              <w:rPr>
                <w:rFonts w:ascii="Times New Roman" w:hAnsi="Times New Roman"/>
                <w:lang w:val="hu-HU"/>
              </w:rPr>
            </w:pPr>
          </w:p>
          <w:p w14:paraId="0C6C98A1" w14:textId="77777777" w:rsidR="00342CEA" w:rsidRDefault="00837BAB">
            <w:pPr>
              <w:spacing w:line="259" w:lineRule="auto"/>
              <w:rPr>
                <w:rFonts w:ascii="Times New Roman" w:hAnsi="Times New Roman"/>
                <w:lang w:val="hu-HU"/>
              </w:rPr>
            </w:pPr>
            <w:r>
              <w:rPr>
                <w:rFonts w:ascii="Times New Roman" w:hAnsi="Times New Roman"/>
                <w:lang w:val="hu-HU"/>
              </w:rPr>
              <w:t>Amint a vérlemezkeszám ≤ 100 000/µl, 25 mg</w:t>
            </w:r>
            <w:r>
              <w:rPr>
                <w:rFonts w:ascii="Times New Roman" w:hAnsi="Times New Roman"/>
                <w:lang w:val="hu-HU"/>
              </w:rPr>
              <w:noBreakHyphen/>
              <w:t>mal alacsonyabb napi adaggal kell újrakezdeni a kezelést.</w:t>
            </w:r>
          </w:p>
        </w:tc>
      </w:tr>
    </w:tbl>
    <w:p w14:paraId="4542EA30" w14:textId="77777777" w:rsidR="00342CEA" w:rsidRDefault="00837BAB">
      <w:pPr>
        <w:tabs>
          <w:tab w:val="right" w:pos="9071"/>
        </w:tabs>
        <w:spacing w:after="12" w:line="247" w:lineRule="auto"/>
        <w:ind w:left="567" w:hanging="582"/>
        <w:rPr>
          <w:lang w:val="hu-HU"/>
        </w:rPr>
      </w:pPr>
      <w:r>
        <w:rPr>
          <w:lang w:val="hu-HU"/>
        </w:rPr>
        <w:t>*</w:t>
      </w:r>
      <w:r>
        <w:rPr>
          <w:vertAlign w:val="superscript"/>
          <w:lang w:val="hu-HU"/>
        </w:rPr>
        <w:tab/>
      </w:r>
      <w:r>
        <w:rPr>
          <w:lang w:val="hu-HU"/>
        </w:rPr>
        <w:t>A minden második napon 25 mg eltrombopagot szedő betegeknél a dózist naponta egyszer 25 mg</w:t>
      </w:r>
      <w:r>
        <w:rPr>
          <w:lang w:val="hu-HU"/>
        </w:rPr>
        <w:noBreakHyphen/>
        <w:t>ra kell emelni.</w:t>
      </w:r>
    </w:p>
    <w:p w14:paraId="331EFA2C" w14:textId="77777777" w:rsidR="00342CEA" w:rsidRDefault="00837BAB">
      <w:pPr>
        <w:tabs>
          <w:tab w:val="clear" w:pos="567"/>
          <w:tab w:val="center" w:pos="4674"/>
        </w:tabs>
        <w:spacing w:after="12" w:line="247" w:lineRule="auto"/>
        <w:ind w:left="567" w:hanging="567"/>
        <w:rPr>
          <w:lang w:val="hu-HU"/>
        </w:rPr>
      </w:pPr>
      <w:r>
        <w:rPr>
          <w:lang w:val="hu-HU"/>
        </w:rPr>
        <w:t>♦</w:t>
      </w:r>
      <w:r>
        <w:rPr>
          <w:lang w:val="hu-HU"/>
        </w:rPr>
        <w:tab/>
        <w:t>A naponta egyszer 25 mg eltrombopagot szedő betegeknél mérlegelni kell a napi egyszeri 12,5 mg</w:t>
      </w:r>
      <w:r>
        <w:rPr>
          <w:lang w:val="hu-HU"/>
        </w:rPr>
        <w:noBreakHyphen/>
        <w:t>os dózis, vagy alternatív megoldásként a másnaponkénti 25 mg</w:t>
      </w:r>
      <w:r>
        <w:rPr>
          <w:lang w:val="hu-HU"/>
        </w:rPr>
        <w:noBreakHyphen/>
        <w:t>os dózis adását.</w:t>
      </w:r>
    </w:p>
    <w:p w14:paraId="46702F71" w14:textId="77777777" w:rsidR="00342CEA" w:rsidRDefault="00342CEA">
      <w:pPr>
        <w:spacing w:line="240" w:lineRule="auto"/>
        <w:rPr>
          <w:rFonts w:eastAsia="Times New Roman"/>
          <w:lang w:val="hu-HU" w:eastAsia="en-US"/>
        </w:rPr>
      </w:pPr>
    </w:p>
    <w:p w14:paraId="58D8EA80"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az ITP kezelésére alkalmazott más gyógyszerekkel együtt is adható. Az ITP</w:t>
      </w:r>
      <w:r>
        <w:rPr>
          <w:rFonts w:eastAsia="Times New Roman"/>
          <w:lang w:val="hu-HU" w:eastAsia="en-US"/>
        </w:rPr>
        <w:noBreakHyphen/>
        <w:t>re egyidejűleg alkalmazott gyógyszerek adagját úgy kell módosítani, ahogyan az orvosilag indokolt, hogy elkerülhető legyen a vérlemezkeszám túlzott emelkedése az eltrombopag</w:t>
      </w:r>
      <w:r>
        <w:rPr>
          <w:rFonts w:eastAsia="Times New Roman"/>
          <w:lang w:val="hu-HU" w:eastAsia="en-US"/>
        </w:rPr>
        <w:noBreakHyphen/>
        <w:t>kezelés alatt.</w:t>
      </w:r>
    </w:p>
    <w:p w14:paraId="14A91249" w14:textId="77777777" w:rsidR="00342CEA" w:rsidRDefault="00342CEA">
      <w:pPr>
        <w:autoSpaceDE w:val="0"/>
        <w:autoSpaceDN w:val="0"/>
        <w:spacing w:line="240" w:lineRule="auto"/>
        <w:rPr>
          <w:rFonts w:eastAsia="Times New Roman"/>
          <w:lang w:val="hu-HU" w:eastAsia="en-US"/>
        </w:rPr>
      </w:pPr>
    </w:p>
    <w:p w14:paraId="352F2F92"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Újabb dózismódosítás megfontolása előtt legalább 2 hetet kell várni, hogy megítélhető legyen a dózismódosítás hatása a beteg vérlemezkeválaszára.</w:t>
      </w:r>
    </w:p>
    <w:p w14:paraId="6E40BE97" w14:textId="77777777" w:rsidR="00342CEA" w:rsidRDefault="00342CEA">
      <w:pPr>
        <w:autoSpaceDE w:val="0"/>
        <w:autoSpaceDN w:val="0"/>
        <w:spacing w:line="240" w:lineRule="auto"/>
        <w:rPr>
          <w:rFonts w:eastAsia="Times New Roman"/>
          <w:lang w:val="hu-HU" w:eastAsia="en-US"/>
        </w:rPr>
      </w:pPr>
    </w:p>
    <w:p w14:paraId="44DC9CCB" w14:textId="6302DFBC" w:rsidR="00342CEA" w:rsidRDefault="00837BAB">
      <w:pPr>
        <w:autoSpaceDE w:val="0"/>
        <w:autoSpaceDN w:val="0"/>
        <w:spacing w:line="240" w:lineRule="auto"/>
        <w:rPr>
          <w:rFonts w:eastAsia="Times New Roman"/>
          <w:lang w:val="hu-HU" w:eastAsia="en-US"/>
        </w:rPr>
      </w:pPr>
      <w:r>
        <w:rPr>
          <w:rFonts w:eastAsia="Times New Roman"/>
          <w:lang w:val="hu-HU" w:eastAsia="en-US"/>
        </w:rPr>
        <w:t>A szo</w:t>
      </w:r>
      <w:r w:rsidR="007B415F">
        <w:rPr>
          <w:rFonts w:eastAsia="Times New Roman"/>
          <w:lang w:val="hu-HU" w:eastAsia="en-US"/>
        </w:rPr>
        <w:t>k</w:t>
      </w:r>
      <w:r>
        <w:rPr>
          <w:rFonts w:eastAsia="Times New Roman"/>
          <w:lang w:val="hu-HU" w:eastAsia="en-US"/>
        </w:rPr>
        <w:t>ásos eltrombopag dózismódosítás – növelés vagy csökkentés – mértéke naponta egyszer 25 mg.</w:t>
      </w:r>
    </w:p>
    <w:p w14:paraId="5E77EDFD" w14:textId="77777777" w:rsidR="00342CEA" w:rsidRDefault="00342CEA">
      <w:pPr>
        <w:autoSpaceDE w:val="0"/>
        <w:autoSpaceDN w:val="0"/>
        <w:spacing w:line="240" w:lineRule="auto"/>
        <w:rPr>
          <w:rFonts w:eastAsia="Times New Roman"/>
          <w:lang w:val="hu-HU" w:eastAsia="en-US"/>
        </w:rPr>
      </w:pPr>
    </w:p>
    <w:p w14:paraId="39F1DF5F"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A kezelés leállítása</w:t>
      </w:r>
    </w:p>
    <w:p w14:paraId="0F131EE6"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w:t>
      </w:r>
      <w:r>
        <w:rPr>
          <w:rFonts w:eastAsia="Times New Roman"/>
          <w:lang w:val="hu-HU" w:eastAsia="en-US"/>
        </w:rPr>
        <w:noBreakHyphen/>
        <w:t>kezelést le kell állítani, ha a vérlemezkeszám napi egyszeri 75 mg eltrombopag 4 hétig történő alkalmazása után sem éri el a klinikailag jelentős vérzés elkerüléséhez elegendő szintet.</w:t>
      </w:r>
    </w:p>
    <w:p w14:paraId="6B9519CB" w14:textId="77777777" w:rsidR="00342CEA" w:rsidRDefault="00342CEA">
      <w:pPr>
        <w:autoSpaceDE w:val="0"/>
        <w:autoSpaceDN w:val="0"/>
        <w:spacing w:line="240" w:lineRule="auto"/>
        <w:rPr>
          <w:rFonts w:eastAsia="Times New Roman"/>
          <w:lang w:val="hu-HU" w:eastAsia="en-US"/>
        </w:rPr>
      </w:pPr>
    </w:p>
    <w:p w14:paraId="520B8272"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 betegek állapotát rendszeres időközönként értékelni kell, és a kezelés folytatásáról a kezelőorvosnak egyénenként kell döntenie. Nem splenectomizált betegeknél ennek ki kell terjednie a lépeltávolítással történő összehasonlításra is. A kezelés leállítása után a thrombocytopenia kiújulhat (lásd 4.4 pont).</w:t>
      </w:r>
    </w:p>
    <w:p w14:paraId="1E983971" w14:textId="77777777" w:rsidR="00342CEA" w:rsidRDefault="00342CEA">
      <w:pPr>
        <w:autoSpaceDE w:val="0"/>
        <w:autoSpaceDN w:val="0"/>
        <w:spacing w:line="240" w:lineRule="auto"/>
        <w:rPr>
          <w:rFonts w:eastAsia="Times New Roman"/>
          <w:lang w:val="hu-HU" w:eastAsia="en-US"/>
        </w:rPr>
      </w:pPr>
    </w:p>
    <w:p w14:paraId="50E0585A" w14:textId="77777777" w:rsidR="00342CEA" w:rsidRDefault="00837BAB">
      <w:pPr>
        <w:autoSpaceDE w:val="0"/>
        <w:autoSpaceDN w:val="0"/>
        <w:spacing w:line="240" w:lineRule="auto"/>
        <w:rPr>
          <w:rFonts w:eastAsia="Times New Roman"/>
          <w:i/>
          <w:u w:val="single"/>
          <w:lang w:val="hu-HU" w:eastAsia="en-US"/>
        </w:rPr>
      </w:pPr>
      <w:r>
        <w:rPr>
          <w:rFonts w:eastAsia="Times New Roman"/>
          <w:i/>
          <w:u w:val="single"/>
          <w:lang w:val="hu-HU" w:eastAsia="en-US"/>
        </w:rPr>
        <w:t>Krónikus hepatitis C-hez (HCV) társuló thrombocytopenia</w:t>
      </w:r>
    </w:p>
    <w:p w14:paraId="49AA464B"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Amikor az eltrombopagot antivirális szerekkel kombinálva alkalmazzák, hivatkozásként figyelembe kell venni a szóban forgó együtt adott gyógyszerek teljes alkalmazási előírását, a vonatkozó biztonságossági információk vagy ellenjavallatok minden részletét is beleértve.</w:t>
      </w:r>
    </w:p>
    <w:p w14:paraId="24577DAB" w14:textId="77777777" w:rsidR="00342CEA" w:rsidRDefault="00342CEA">
      <w:pPr>
        <w:autoSpaceDE w:val="0"/>
        <w:autoSpaceDN w:val="0"/>
        <w:spacing w:line="240" w:lineRule="auto"/>
        <w:rPr>
          <w:rFonts w:eastAsia="Times New Roman"/>
          <w:lang w:val="hu-HU" w:eastAsia="en-US"/>
        </w:rPr>
      </w:pPr>
    </w:p>
    <w:p w14:paraId="4B7CDB78"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Klinikai vizsgálatokban a vérlemezkeszám az eltrombopag</w:t>
      </w:r>
      <w:r>
        <w:rPr>
          <w:rFonts w:eastAsia="Times New Roman"/>
          <w:lang w:val="hu-HU" w:eastAsia="en-US"/>
        </w:rPr>
        <w:noBreakHyphen/>
        <w:t>kezelés megkezdése után általában 1 héten belül emelkedett. Az eltrombopag</w:t>
      </w:r>
      <w:r>
        <w:rPr>
          <w:rFonts w:eastAsia="Times New Roman"/>
          <w:lang w:val="hu-HU" w:eastAsia="en-US"/>
        </w:rPr>
        <w:noBreakHyphen/>
        <w:t>kezelés célja az antivirális terápia megkezdéséhez szükséges minimális vérlemezkeszám elérése kell, hogy legyen, a klinikai gyakorlatban alkalmazott ajánlásokkal összhangban. Az antivirális terápia során a kezelés célja, hogy fenntartható legyen a vérzéses szövődmények kockázatának megelőzéséhez szükséges vérlemezkeszám, amely általában 50 000</w:t>
      </w:r>
      <w:r>
        <w:rPr>
          <w:rFonts w:eastAsia="Times New Roman"/>
          <w:lang w:val="hu-HU" w:eastAsia="en-US"/>
        </w:rPr>
        <w:noBreakHyphen/>
        <w:t>75 000/µl. A 75 000/µlnél magasabb vérlemezkeszám kerülendő. A terápiás célok eléréséhez szükséges legalacsonyabb eltrombopag-dózist kell alkalmazni. A dózismódosításnak a vérlemezkeszám-válaszon kell alapulnia.</w:t>
      </w:r>
    </w:p>
    <w:p w14:paraId="0FFC55FA" w14:textId="77777777" w:rsidR="00342CEA" w:rsidRDefault="00342CEA">
      <w:pPr>
        <w:autoSpaceDE w:val="0"/>
        <w:autoSpaceDN w:val="0"/>
        <w:spacing w:line="240" w:lineRule="auto"/>
        <w:rPr>
          <w:rFonts w:eastAsia="Times New Roman"/>
          <w:lang w:val="hu-HU" w:eastAsia="en-US"/>
        </w:rPr>
      </w:pPr>
    </w:p>
    <w:p w14:paraId="5E7B00F4"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Bevezető adagolási rend</w:t>
      </w:r>
    </w:p>
    <w:p w14:paraId="2FE08621"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kezdő dózisának napi egyszer 25 mg</w:t>
      </w:r>
      <w:r>
        <w:rPr>
          <w:rFonts w:eastAsia="Times New Roman"/>
          <w:lang w:val="hu-HU" w:eastAsia="en-US"/>
        </w:rPr>
        <w:noBreakHyphen/>
        <w:t>nak kell lennie. Nincs szükség dózismódosításra kelet</w:t>
      </w:r>
      <w:r>
        <w:rPr>
          <w:rFonts w:eastAsia="Times New Roman"/>
          <w:lang w:val="hu-HU" w:eastAsia="en-US"/>
        </w:rPr>
        <w:noBreakHyphen/>
        <w:t>/délkelet</w:t>
      </w:r>
      <w:r>
        <w:rPr>
          <w:rFonts w:eastAsia="Times New Roman"/>
          <w:lang w:val="hu-HU" w:eastAsia="en-US"/>
        </w:rPr>
        <w:noBreakHyphen/>
        <w:t>ázsiai származású HCV</w:t>
      </w:r>
      <w:r>
        <w:rPr>
          <w:rFonts w:eastAsia="Times New Roman"/>
          <w:lang w:val="hu-HU" w:eastAsia="en-US"/>
        </w:rPr>
        <w:noBreakHyphen/>
        <w:t>s betegeknél, illetve enyhe májkárosodásban szenvedő betegeknél (lásd 5.2 pont).</w:t>
      </w:r>
    </w:p>
    <w:p w14:paraId="538672A2" w14:textId="77777777" w:rsidR="00342CEA" w:rsidRDefault="00342CEA">
      <w:pPr>
        <w:autoSpaceDE w:val="0"/>
        <w:autoSpaceDN w:val="0"/>
        <w:spacing w:line="240" w:lineRule="auto"/>
        <w:rPr>
          <w:rFonts w:eastAsia="Times New Roman"/>
          <w:lang w:val="hu-HU" w:eastAsia="en-US"/>
        </w:rPr>
      </w:pPr>
    </w:p>
    <w:p w14:paraId="67E8981A"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Monitorozás és dózisbeállítás</w:t>
      </w:r>
    </w:p>
    <w:p w14:paraId="612002D2"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napi dózisát szükség szerint kéthetente, 25 mg</w:t>
      </w:r>
      <w:r>
        <w:rPr>
          <w:rFonts w:eastAsia="Times New Roman"/>
          <w:lang w:val="hu-HU" w:eastAsia="en-US"/>
        </w:rPr>
        <w:noBreakHyphen/>
        <w:t>mal kell emelni, az antivirális terápia megkezdéséhez szükséges vérlemezkeszám elérése érdekében. Az antivirális</w:t>
      </w:r>
      <w:r>
        <w:rPr>
          <w:rFonts w:eastAsia="Times New Roman"/>
          <w:lang w:val="hu-HU" w:eastAsia="en-US"/>
        </w:rPr>
        <w:noBreakHyphen/>
        <w:t>terápia megkezdése előtt hetente vizsgálni kell a vérlemezkeszámot. Az antivirális</w:t>
      </w:r>
      <w:r>
        <w:rPr>
          <w:rFonts w:eastAsia="Times New Roman"/>
          <w:lang w:val="hu-HU" w:eastAsia="en-US"/>
        </w:rPr>
        <w:noBreakHyphen/>
        <w:t>terápia megkezdésekor a vérlemezkeszám csökkenhet, ezért ekkor az eltrombopag azonnali dózismódosítását el kell kerülni (lásd 2. táblázat).</w:t>
      </w:r>
    </w:p>
    <w:p w14:paraId="24192947" w14:textId="77777777" w:rsidR="00342CEA" w:rsidRDefault="00342CEA">
      <w:pPr>
        <w:autoSpaceDE w:val="0"/>
        <w:autoSpaceDN w:val="0"/>
        <w:spacing w:line="240" w:lineRule="auto"/>
        <w:rPr>
          <w:rFonts w:eastAsia="Times New Roman"/>
          <w:lang w:val="hu-HU" w:eastAsia="en-US"/>
        </w:rPr>
      </w:pPr>
    </w:p>
    <w:p w14:paraId="74514D59"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antivirális</w:t>
      </w:r>
      <w:r>
        <w:rPr>
          <w:rFonts w:eastAsia="Times New Roman"/>
          <w:lang w:val="hu-HU" w:eastAsia="en-US"/>
        </w:rPr>
        <w:noBreakHyphen/>
        <w:t>terápia során az eltrombopag dózisát szükség szerint úgy kell módosítani, hogy elkerülhető legyen a vérlemezkeszám csökkenése miatti peginterferon dóziscsökkentés, amely növelheti a vérzés kockázatát a betegeknél (lásd 2. táblázat). Az antivirális terápia alatt a vérlemezkeszámot az általában 50 000</w:t>
      </w:r>
      <w:r>
        <w:rPr>
          <w:rFonts w:eastAsia="Times New Roman"/>
          <w:lang w:val="hu-HU" w:eastAsia="en-US"/>
        </w:rPr>
        <w:noBreakHyphen/>
        <w:t xml:space="preserve">70 000/µl körüli stabil vérlemezkeszám eléréséig hetente ellenőrizni kell. Ezt követően havonta kell a teljes vérképet ellenőrizni, beleértve a vérlemezkeszámot és a perifériás vérkenetet is. A napi adag </w:t>
      </w:r>
      <w:r>
        <w:rPr>
          <w:lang w:val="hu-HU" w:eastAsia="en-US"/>
        </w:rPr>
        <w:t>25</w:t>
      </w:r>
      <w:r>
        <w:rPr>
          <w:lang w:val="hu-HU"/>
        </w:rPr>
        <w:t> </w:t>
      </w:r>
      <w:r>
        <w:rPr>
          <w:lang w:val="hu-HU" w:eastAsia="en-US"/>
        </w:rPr>
        <w:t>mg</w:t>
      </w:r>
      <w:r>
        <w:rPr>
          <w:lang w:val="hu-HU" w:eastAsia="en-US"/>
        </w:rPr>
        <w:noBreakHyphen/>
      </w:r>
      <w:r>
        <w:rPr>
          <w:rFonts w:eastAsia="Times New Roman"/>
          <w:lang w:val="hu-HU" w:eastAsia="en-US"/>
        </w:rPr>
        <w:t>mal történő dóziscsökkentése megfontolandó, ha a vérlemezkeszám meghaladja a kitűzött célértéket. Javasolt 2 hétig várni, hogy ennek és valamennyi ezt követő dózismódosításnak a hatását értékelni lehessen.</w:t>
      </w:r>
    </w:p>
    <w:p w14:paraId="6E115740" w14:textId="77777777" w:rsidR="00342CEA" w:rsidRDefault="00342CEA">
      <w:pPr>
        <w:autoSpaceDE w:val="0"/>
        <w:autoSpaceDN w:val="0"/>
        <w:spacing w:line="240" w:lineRule="auto"/>
        <w:rPr>
          <w:rFonts w:eastAsia="Times New Roman"/>
          <w:lang w:val="hu-HU" w:eastAsia="en-US"/>
        </w:rPr>
      </w:pPr>
    </w:p>
    <w:p w14:paraId="2A4D1F46"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 naponta egyszeri 100 mg eltrombopag adagot nem szabad túllépni.</w:t>
      </w:r>
    </w:p>
    <w:p w14:paraId="6BB57EFE" w14:textId="77777777" w:rsidR="00342CEA" w:rsidRDefault="00342CEA">
      <w:pPr>
        <w:autoSpaceDE w:val="0"/>
        <w:autoSpaceDN w:val="0"/>
        <w:spacing w:line="240" w:lineRule="auto"/>
        <w:rPr>
          <w:rFonts w:eastAsia="Times New Roman"/>
          <w:lang w:val="hu-HU" w:eastAsia="en-US"/>
        </w:rPr>
      </w:pPr>
    </w:p>
    <w:p w14:paraId="2CD5C9D0" w14:textId="77777777" w:rsidR="00342CEA" w:rsidRDefault="00837BAB">
      <w:pPr>
        <w:tabs>
          <w:tab w:val="clear" w:pos="567"/>
          <w:tab w:val="left" w:pos="1134"/>
        </w:tabs>
        <w:ind w:left="1134" w:hanging="1134"/>
        <w:rPr>
          <w:b/>
          <w:bCs/>
          <w:lang w:val="hu-HU"/>
        </w:rPr>
      </w:pPr>
      <w:r>
        <w:rPr>
          <w:b/>
          <w:bCs/>
          <w:lang w:val="hu-HU"/>
        </w:rPr>
        <w:t>2. táblázat</w:t>
      </w:r>
      <w:r>
        <w:rPr>
          <w:b/>
          <w:bCs/>
          <w:lang w:val="hu-HU"/>
        </w:rPr>
        <w:tab/>
        <w:t>Az eltrombopag adagjának módosítása HCV</w:t>
      </w:r>
      <w:r>
        <w:rPr>
          <w:b/>
          <w:bCs/>
          <w:lang w:val="hu-HU"/>
        </w:rPr>
        <w:noBreakHyphen/>
        <w:t>s betegeknél antivirális terápia mellett</w:t>
      </w:r>
    </w:p>
    <w:p w14:paraId="50F0397A" w14:textId="77777777" w:rsidR="00C03FCD" w:rsidRDefault="00C03FCD">
      <w:pPr>
        <w:tabs>
          <w:tab w:val="clear" w:pos="567"/>
          <w:tab w:val="left" w:pos="1134"/>
        </w:tabs>
        <w:ind w:left="1134" w:hanging="1134"/>
        <w:rPr>
          <w:b/>
          <w:bCs/>
          <w:lang w:val="hu-HU"/>
        </w:rPr>
      </w:pPr>
    </w:p>
    <w:tbl>
      <w:tblPr>
        <w:tblW w:w="9109" w:type="dxa"/>
        <w:tblInd w:w="10" w:type="dxa"/>
        <w:tblBorders>
          <w:top w:val="nil"/>
          <w:left w:val="nil"/>
          <w:bottom w:val="nil"/>
          <w:right w:val="nil"/>
          <w:insideH w:val="nil"/>
          <w:insideV w:val="nil"/>
        </w:tblBorders>
        <w:tblCellMar>
          <w:top w:w="17" w:type="dxa"/>
          <w:left w:w="107" w:type="dxa"/>
          <w:right w:w="115" w:type="dxa"/>
        </w:tblCellMar>
        <w:tblLook w:val="04A0" w:firstRow="1" w:lastRow="0" w:firstColumn="1" w:lastColumn="0" w:noHBand="0" w:noVBand="1"/>
      </w:tblPr>
      <w:tblGrid>
        <w:gridCol w:w="3962"/>
        <w:gridCol w:w="5147"/>
      </w:tblGrid>
      <w:tr w:rsidR="00342CEA" w14:paraId="73A39D7E" w14:textId="77777777">
        <w:trPr>
          <w:trHeight w:val="272"/>
        </w:trPr>
        <w:tc>
          <w:tcPr>
            <w:tcW w:w="3962" w:type="dxa"/>
            <w:tcBorders>
              <w:top w:val="single" w:sz="8" w:space="0" w:color="000000"/>
              <w:left w:val="single" w:sz="8" w:space="0" w:color="000000"/>
              <w:bottom w:val="single" w:sz="8" w:space="0" w:color="000000"/>
              <w:right w:val="single" w:sz="8" w:space="0" w:color="000000"/>
            </w:tcBorders>
          </w:tcPr>
          <w:p w14:paraId="20AC0E00" w14:textId="77777777" w:rsidR="00342CEA" w:rsidRDefault="00837BAB">
            <w:pPr>
              <w:widowControl w:val="0"/>
              <w:jc w:val="center"/>
              <w:rPr>
                <w:b/>
                <w:bCs/>
                <w:lang w:val="hu-HU" w:eastAsia="en-US"/>
              </w:rPr>
            </w:pPr>
            <w:r>
              <w:rPr>
                <w:b/>
                <w:bCs/>
                <w:lang w:val="hu-HU" w:eastAsia="en-US"/>
              </w:rPr>
              <w:t>Vérlemezkeszám</w:t>
            </w:r>
          </w:p>
        </w:tc>
        <w:tc>
          <w:tcPr>
            <w:tcW w:w="5147" w:type="dxa"/>
            <w:tcBorders>
              <w:top w:val="single" w:sz="8" w:space="0" w:color="000000"/>
              <w:left w:val="single" w:sz="8" w:space="0" w:color="000000"/>
              <w:bottom w:val="single" w:sz="8" w:space="0" w:color="000000"/>
              <w:right w:val="single" w:sz="8" w:space="0" w:color="000000"/>
            </w:tcBorders>
          </w:tcPr>
          <w:p w14:paraId="03A1DCE3" w14:textId="77777777" w:rsidR="00342CEA" w:rsidRDefault="00837BAB">
            <w:pPr>
              <w:widowControl w:val="0"/>
              <w:jc w:val="center"/>
              <w:rPr>
                <w:b/>
                <w:bCs/>
                <w:lang w:val="hu-HU" w:eastAsia="en-US"/>
              </w:rPr>
            </w:pPr>
            <w:r>
              <w:rPr>
                <w:b/>
                <w:bCs/>
                <w:lang w:val="hu-HU" w:eastAsia="en-US"/>
              </w:rPr>
              <w:t>Dózismódosítás vagy válasz</w:t>
            </w:r>
          </w:p>
        </w:tc>
      </w:tr>
      <w:tr w:rsidR="00342CEA" w14:paraId="4073C5DF" w14:textId="77777777">
        <w:trPr>
          <w:trHeight w:val="526"/>
        </w:trPr>
        <w:tc>
          <w:tcPr>
            <w:tcW w:w="3962" w:type="dxa"/>
            <w:tcBorders>
              <w:top w:val="single" w:sz="8" w:space="0" w:color="000000"/>
              <w:left w:val="single" w:sz="8" w:space="0" w:color="000000"/>
              <w:bottom w:val="single" w:sz="8" w:space="0" w:color="000000"/>
              <w:right w:val="single" w:sz="8" w:space="0" w:color="000000"/>
            </w:tcBorders>
          </w:tcPr>
          <w:p w14:paraId="66DDF158" w14:textId="77777777" w:rsidR="00342CEA" w:rsidRDefault="00837BAB">
            <w:pPr>
              <w:widowControl w:val="0"/>
              <w:rPr>
                <w:lang w:val="hu-HU" w:eastAsia="en-US"/>
              </w:rPr>
            </w:pPr>
            <w:r>
              <w:rPr>
                <w:lang w:val="hu-HU" w:eastAsia="en-US"/>
              </w:rPr>
              <w:t>&lt; 50 000/µl legalább 2 hetes kezelés után</w:t>
            </w:r>
          </w:p>
        </w:tc>
        <w:tc>
          <w:tcPr>
            <w:tcW w:w="5147" w:type="dxa"/>
            <w:tcBorders>
              <w:top w:val="single" w:sz="8" w:space="0" w:color="000000"/>
              <w:left w:val="single" w:sz="8" w:space="0" w:color="000000"/>
              <w:bottom w:val="single" w:sz="8" w:space="0" w:color="000000"/>
              <w:right w:val="single" w:sz="8" w:space="0" w:color="000000"/>
            </w:tcBorders>
          </w:tcPr>
          <w:p w14:paraId="6B809F7F" w14:textId="77777777" w:rsidR="00342CEA" w:rsidRDefault="00837BAB">
            <w:pPr>
              <w:widowControl w:val="0"/>
              <w:rPr>
                <w:lang w:val="hu-HU" w:eastAsia="en-US"/>
              </w:rPr>
            </w:pPr>
            <w:r>
              <w:rPr>
                <w:lang w:val="hu-HU" w:eastAsia="en-US"/>
              </w:rPr>
              <w:t>A napi adagot 25 mg</w:t>
            </w:r>
            <w:r>
              <w:rPr>
                <w:lang w:val="hu-HU" w:eastAsia="en-US"/>
              </w:rPr>
              <w:noBreakHyphen/>
              <w:t>mal kell emelni, legfeljebb napi 100 mg</w:t>
            </w:r>
            <w:r>
              <w:rPr>
                <w:lang w:val="hu-HU" w:eastAsia="en-US"/>
              </w:rPr>
              <w:noBreakHyphen/>
              <w:t>ig.</w:t>
            </w:r>
          </w:p>
        </w:tc>
      </w:tr>
      <w:tr w:rsidR="00342CEA" w14:paraId="27CB2148" w14:textId="77777777">
        <w:trPr>
          <w:trHeight w:val="527"/>
        </w:trPr>
        <w:tc>
          <w:tcPr>
            <w:tcW w:w="3962" w:type="dxa"/>
            <w:tcBorders>
              <w:top w:val="single" w:sz="8" w:space="0" w:color="000000"/>
              <w:left w:val="single" w:sz="8" w:space="0" w:color="000000"/>
              <w:bottom w:val="single" w:sz="8" w:space="0" w:color="000000"/>
              <w:right w:val="single" w:sz="8" w:space="0" w:color="000000"/>
            </w:tcBorders>
          </w:tcPr>
          <w:p w14:paraId="347AC3DE" w14:textId="77777777" w:rsidR="00342CEA" w:rsidRDefault="00837BAB">
            <w:pPr>
              <w:widowControl w:val="0"/>
              <w:rPr>
                <w:lang w:val="hu-HU" w:eastAsia="en-US"/>
              </w:rPr>
            </w:pPr>
            <w:r>
              <w:rPr>
                <w:lang w:val="hu-HU" w:eastAsia="en-US"/>
              </w:rPr>
              <w:t>≥ 50 000/µl </w:t>
            </w:r>
            <w:r>
              <w:rPr>
                <w:lang w:val="hu-HU" w:eastAsia="en-US"/>
              </w:rPr>
              <w:noBreakHyphen/>
              <w:t> ≤ 100 000/µl</w:t>
            </w:r>
          </w:p>
        </w:tc>
        <w:tc>
          <w:tcPr>
            <w:tcW w:w="5147" w:type="dxa"/>
            <w:tcBorders>
              <w:top w:val="single" w:sz="8" w:space="0" w:color="000000"/>
              <w:left w:val="single" w:sz="8" w:space="0" w:color="000000"/>
              <w:bottom w:val="single" w:sz="8" w:space="0" w:color="000000"/>
              <w:right w:val="single" w:sz="8" w:space="0" w:color="000000"/>
            </w:tcBorders>
          </w:tcPr>
          <w:p w14:paraId="64B8FCE7" w14:textId="77777777" w:rsidR="00342CEA" w:rsidRDefault="00837BAB">
            <w:pPr>
              <w:widowControl w:val="0"/>
              <w:rPr>
                <w:lang w:val="hu-HU" w:eastAsia="en-US"/>
              </w:rPr>
            </w:pPr>
            <w:r>
              <w:rPr>
                <w:lang w:val="hu-HU" w:eastAsia="en-US"/>
              </w:rPr>
              <w:t>Az eltrombopag legalacsonyabb szükséges dózisát kell alkalmazni, hogy a peginterferon dóziscsökkentése elkerülhető legyen.</w:t>
            </w:r>
          </w:p>
        </w:tc>
      </w:tr>
      <w:tr w:rsidR="00342CEA" w14:paraId="7C6D4E47" w14:textId="77777777">
        <w:trPr>
          <w:trHeight w:val="526"/>
        </w:trPr>
        <w:tc>
          <w:tcPr>
            <w:tcW w:w="3962" w:type="dxa"/>
            <w:tcBorders>
              <w:top w:val="single" w:sz="8" w:space="0" w:color="000000"/>
              <w:left w:val="single" w:sz="8" w:space="0" w:color="000000"/>
              <w:bottom w:val="single" w:sz="8" w:space="0" w:color="000000"/>
              <w:right w:val="single" w:sz="8" w:space="0" w:color="000000"/>
            </w:tcBorders>
          </w:tcPr>
          <w:p w14:paraId="36C88832" w14:textId="77777777" w:rsidR="00342CEA" w:rsidRDefault="00837BAB">
            <w:pPr>
              <w:widowControl w:val="0"/>
              <w:rPr>
                <w:lang w:val="hu-HU" w:eastAsia="en-US"/>
              </w:rPr>
            </w:pPr>
            <w:r>
              <w:rPr>
                <w:lang w:val="hu-HU" w:eastAsia="en-US"/>
              </w:rPr>
              <w:t>&gt; 100 000/µl </w:t>
            </w:r>
            <w:r>
              <w:rPr>
                <w:lang w:val="hu-HU" w:eastAsia="en-US"/>
              </w:rPr>
              <w:noBreakHyphen/>
              <w:t> ≤ 150 000/µl</w:t>
            </w:r>
          </w:p>
        </w:tc>
        <w:tc>
          <w:tcPr>
            <w:tcW w:w="5147" w:type="dxa"/>
            <w:tcBorders>
              <w:top w:val="single" w:sz="8" w:space="0" w:color="000000"/>
              <w:left w:val="single" w:sz="8" w:space="0" w:color="000000"/>
              <w:bottom w:val="single" w:sz="8" w:space="0" w:color="000000"/>
              <w:right w:val="single" w:sz="8" w:space="0" w:color="000000"/>
            </w:tcBorders>
          </w:tcPr>
          <w:p w14:paraId="461DB31E" w14:textId="77777777" w:rsidR="00342CEA" w:rsidRDefault="00837BAB">
            <w:pPr>
              <w:widowControl w:val="0"/>
              <w:rPr>
                <w:lang w:val="hu-HU" w:eastAsia="en-US"/>
              </w:rPr>
            </w:pPr>
            <w:r>
              <w:rPr>
                <w:lang w:val="hu-HU" w:eastAsia="en-US"/>
              </w:rPr>
              <w:t>A napi adagot 25 mg</w:t>
            </w:r>
            <w:r>
              <w:rPr>
                <w:lang w:val="hu-HU" w:eastAsia="en-US"/>
              </w:rPr>
              <w:noBreakHyphen/>
              <w:t>mal kell csökkenteni. Várni kell 2 hétig, hogy ennek és valamennyi ezt követő dózismódosításnak a hatását értékelni lehessen♦.</w:t>
            </w:r>
          </w:p>
        </w:tc>
      </w:tr>
      <w:tr w:rsidR="00342CEA" w14:paraId="0E9BCE0F" w14:textId="77777777">
        <w:trPr>
          <w:trHeight w:val="1284"/>
        </w:trPr>
        <w:tc>
          <w:tcPr>
            <w:tcW w:w="3962" w:type="dxa"/>
            <w:tcBorders>
              <w:top w:val="single" w:sz="8" w:space="0" w:color="000000"/>
              <w:left w:val="single" w:sz="8" w:space="0" w:color="000000"/>
              <w:bottom w:val="single" w:sz="8" w:space="0" w:color="000000"/>
              <w:right w:val="single" w:sz="8" w:space="0" w:color="000000"/>
            </w:tcBorders>
          </w:tcPr>
          <w:p w14:paraId="0860E578" w14:textId="77777777" w:rsidR="00342CEA" w:rsidRDefault="00837BAB">
            <w:pPr>
              <w:widowControl w:val="0"/>
              <w:rPr>
                <w:lang w:val="hu-HU" w:eastAsia="en-US"/>
              </w:rPr>
            </w:pPr>
            <w:r>
              <w:rPr>
                <w:lang w:val="hu-HU" w:eastAsia="en-US"/>
              </w:rPr>
              <w:lastRenderedPageBreak/>
              <w:t>&gt; 150 000/µl</w:t>
            </w:r>
          </w:p>
        </w:tc>
        <w:tc>
          <w:tcPr>
            <w:tcW w:w="5147" w:type="dxa"/>
            <w:tcBorders>
              <w:top w:val="single" w:sz="8" w:space="0" w:color="000000"/>
              <w:left w:val="single" w:sz="8" w:space="0" w:color="000000"/>
              <w:bottom w:val="single" w:sz="8" w:space="0" w:color="000000"/>
              <w:right w:val="single" w:sz="8" w:space="0" w:color="000000"/>
            </w:tcBorders>
          </w:tcPr>
          <w:p w14:paraId="084FE0D3" w14:textId="77777777" w:rsidR="00342CEA" w:rsidRDefault="00837BAB">
            <w:pPr>
              <w:widowControl w:val="0"/>
              <w:rPr>
                <w:lang w:val="hu-HU" w:eastAsia="en-US"/>
              </w:rPr>
            </w:pPr>
            <w:r>
              <w:rPr>
                <w:lang w:val="hu-HU" w:eastAsia="en-US"/>
              </w:rPr>
              <w:t>Az eltrombopag adását le kell állítani; a vérlemezkeszámot gyakrabban, hetente kétszer kell monitorozni.</w:t>
            </w:r>
          </w:p>
          <w:p w14:paraId="7B70A2EA" w14:textId="77777777" w:rsidR="00342CEA" w:rsidRDefault="00342CEA">
            <w:pPr>
              <w:widowControl w:val="0"/>
              <w:rPr>
                <w:lang w:val="hu-HU" w:eastAsia="en-US"/>
              </w:rPr>
            </w:pPr>
          </w:p>
          <w:p w14:paraId="2B26E7EA" w14:textId="77777777" w:rsidR="00342CEA" w:rsidRDefault="00837BAB">
            <w:pPr>
              <w:widowControl w:val="0"/>
              <w:rPr>
                <w:lang w:val="hu-HU" w:eastAsia="en-US"/>
              </w:rPr>
            </w:pPr>
            <w:r>
              <w:rPr>
                <w:lang w:val="hu-HU" w:eastAsia="en-US"/>
              </w:rPr>
              <w:t>Ha a vérlemezkeszám ≤ 100 000/µl, 25 mg</w:t>
            </w:r>
            <w:r>
              <w:rPr>
                <w:lang w:val="hu-HU" w:eastAsia="en-US"/>
              </w:rPr>
              <w:noBreakHyphen/>
              <w:t>mal alacsonyabb napi adaggal újra kell kezdeni a kezelést*.</w:t>
            </w:r>
          </w:p>
        </w:tc>
      </w:tr>
    </w:tbl>
    <w:p w14:paraId="0A3CC4F5" w14:textId="77777777" w:rsidR="00342CEA" w:rsidRDefault="00837BAB">
      <w:pPr>
        <w:spacing w:after="12" w:line="247" w:lineRule="auto"/>
        <w:ind w:left="553" w:right="14" w:hanging="568"/>
        <w:rPr>
          <w:lang w:val="hu-HU"/>
        </w:rPr>
      </w:pPr>
      <w:r>
        <w:rPr>
          <w:lang w:val="hu-HU"/>
        </w:rPr>
        <w:t>*</w:t>
      </w:r>
      <w:r>
        <w:rPr>
          <w:sz w:val="20"/>
          <w:szCs w:val="20"/>
          <w:lang w:val="hu-HU"/>
        </w:rPr>
        <w:tab/>
      </w:r>
      <w:r>
        <w:rPr>
          <w:lang w:val="hu-HU"/>
        </w:rPr>
        <w:t>A naponta egyszer 25 mg</w:t>
      </w:r>
      <w:r>
        <w:rPr>
          <w:lang w:val="hu-HU"/>
        </w:rPr>
        <w:noBreakHyphen/>
        <w:t>ot szedő betegeknél megfontolandó a minden második nap szedett 25 mg adaggal történő újrakezdés.</w:t>
      </w:r>
    </w:p>
    <w:p w14:paraId="585CA49F" w14:textId="77777777" w:rsidR="00342CEA" w:rsidRDefault="00837BAB">
      <w:pPr>
        <w:spacing w:after="12" w:line="247" w:lineRule="auto"/>
        <w:ind w:left="553" w:right="14" w:hanging="568"/>
        <w:rPr>
          <w:lang w:val="hu-HU"/>
        </w:rPr>
      </w:pPr>
      <w:r>
        <w:rPr>
          <w:lang w:val="hu-HU"/>
        </w:rPr>
        <w:t xml:space="preserve">♦ </w:t>
      </w:r>
      <w:r>
        <w:rPr>
          <w:vertAlign w:val="superscript"/>
          <w:lang w:val="hu-HU"/>
        </w:rPr>
        <w:tab/>
      </w:r>
      <w:r>
        <w:rPr>
          <w:lang w:val="hu-HU"/>
        </w:rPr>
        <w:t>Az antivirális terápia megkezdésekor a vérlemezkeszám lecsökkenhet, ezért ekkor az eltrombopag azonnali dóziscsökkentését el kell kerülni.</w:t>
      </w:r>
    </w:p>
    <w:p w14:paraId="75245BBF" w14:textId="77777777" w:rsidR="00342CEA" w:rsidRDefault="00342CEA">
      <w:pPr>
        <w:autoSpaceDE w:val="0"/>
        <w:autoSpaceDN w:val="0"/>
        <w:spacing w:line="240" w:lineRule="auto"/>
        <w:rPr>
          <w:rFonts w:eastAsia="Times New Roman"/>
          <w:lang w:val="hu-HU" w:eastAsia="en-US"/>
        </w:rPr>
      </w:pPr>
    </w:p>
    <w:p w14:paraId="0EE0B57C"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A kezelés leállítása</w:t>
      </w:r>
    </w:p>
    <w:p w14:paraId="5D9F1CB4"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w:t>
      </w:r>
      <w:r>
        <w:rPr>
          <w:rFonts w:eastAsia="Times New Roman"/>
          <w:lang w:val="hu-HU" w:eastAsia="en-US"/>
        </w:rPr>
        <w:noBreakHyphen/>
        <w:t>kezelést le kell állítani, ha a vérlemezkeszám 100 mg eltrombopag 2 hétig történő alkalmazása után sem éri el az antivirális terápia megkezdéséhez szükséges szintet.</w:t>
      </w:r>
    </w:p>
    <w:p w14:paraId="3C1D0A3F" w14:textId="77777777" w:rsidR="00342CEA" w:rsidRDefault="00342CEA">
      <w:pPr>
        <w:autoSpaceDE w:val="0"/>
        <w:autoSpaceDN w:val="0"/>
        <w:spacing w:line="240" w:lineRule="auto"/>
        <w:rPr>
          <w:rFonts w:eastAsia="Times New Roman"/>
          <w:lang w:val="hu-HU" w:eastAsia="en-US"/>
        </w:rPr>
      </w:pPr>
    </w:p>
    <w:p w14:paraId="411ED918"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indokolt eseteket kivéve az eltrombopag</w:t>
      </w:r>
      <w:r>
        <w:rPr>
          <w:rFonts w:eastAsia="Times New Roman"/>
          <w:lang w:val="hu-HU" w:eastAsia="en-US"/>
        </w:rPr>
        <w:noBreakHyphen/>
        <w:t>kezelést be kell fejezni, amikor az antivirális terápia leállításra kerül. Túlzott vérlemezkeszám</w:t>
      </w:r>
      <w:r>
        <w:rPr>
          <w:rFonts w:eastAsia="Times New Roman"/>
          <w:lang w:val="hu-HU" w:eastAsia="en-US"/>
        </w:rPr>
        <w:noBreakHyphen/>
        <w:t>válasz vagy a májfunkciókban észlelt jelentős rendellenességek szintén szükségessé teszik a kezelés leállítását.</w:t>
      </w:r>
    </w:p>
    <w:p w14:paraId="376A003E" w14:textId="77777777" w:rsidR="007F18AF" w:rsidRDefault="007F18AF" w:rsidP="00E464A3">
      <w:pPr>
        <w:autoSpaceDE w:val="0"/>
        <w:autoSpaceDN w:val="0"/>
        <w:spacing w:line="240" w:lineRule="auto"/>
        <w:rPr>
          <w:rFonts w:eastAsia="Times New Roman"/>
          <w:lang w:val="hu-HU" w:eastAsia="en-US"/>
        </w:rPr>
      </w:pPr>
    </w:p>
    <w:p w14:paraId="30975D8F" w14:textId="77777777" w:rsidR="00342CEA" w:rsidRDefault="00837BAB">
      <w:pPr>
        <w:autoSpaceDE w:val="0"/>
        <w:autoSpaceDN w:val="0"/>
        <w:spacing w:line="240" w:lineRule="auto"/>
        <w:rPr>
          <w:rFonts w:eastAsia="Times New Roman"/>
          <w:i/>
          <w:u w:val="single"/>
          <w:lang w:val="hu-HU" w:eastAsia="en-US"/>
        </w:rPr>
      </w:pPr>
      <w:r>
        <w:rPr>
          <w:rFonts w:eastAsia="Times New Roman"/>
          <w:i/>
          <w:u w:val="single"/>
          <w:lang w:val="hu-HU" w:eastAsia="en-US"/>
        </w:rPr>
        <w:t>Különleges betegcsoportok</w:t>
      </w:r>
    </w:p>
    <w:p w14:paraId="39ED161C" w14:textId="77777777" w:rsidR="00342CEA" w:rsidRDefault="00342CEA">
      <w:pPr>
        <w:autoSpaceDE w:val="0"/>
        <w:autoSpaceDN w:val="0"/>
        <w:spacing w:line="240" w:lineRule="auto"/>
        <w:rPr>
          <w:rFonts w:eastAsia="Times New Roman"/>
          <w:lang w:val="hu-HU" w:eastAsia="en-US"/>
        </w:rPr>
      </w:pPr>
    </w:p>
    <w:p w14:paraId="5775FDDF"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Vesekárosodás</w:t>
      </w:r>
    </w:p>
    <w:p w14:paraId="64993BB6"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Vesekárosodásban szenvedő betegeknél nem szükséges dózismódosítás. Károsodott vesefunkciójú betegeknél az eltrombopag körültekintően alkalmazandó, a beteg gondos monitorozása mellett, pl. a szérum-kreatininszint mérésével és/vagy vizeletvizsgálattal (lásd 5.2 pont).</w:t>
      </w:r>
    </w:p>
    <w:p w14:paraId="65949DF1" w14:textId="77777777" w:rsidR="00342CEA" w:rsidRDefault="00342CEA">
      <w:pPr>
        <w:autoSpaceDE w:val="0"/>
        <w:autoSpaceDN w:val="0"/>
        <w:spacing w:line="240" w:lineRule="auto"/>
        <w:rPr>
          <w:rFonts w:eastAsia="Times New Roman"/>
          <w:lang w:val="hu-HU" w:eastAsia="en-US"/>
        </w:rPr>
      </w:pPr>
    </w:p>
    <w:p w14:paraId="117C04D0"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Májkárosodás</w:t>
      </w:r>
    </w:p>
    <w:p w14:paraId="5DD1665E"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 nem alkalmazható májkárosodásban szenvedő ITP</w:t>
      </w:r>
      <w:r>
        <w:rPr>
          <w:rFonts w:eastAsia="Times New Roman"/>
          <w:lang w:val="hu-HU" w:eastAsia="en-US"/>
        </w:rPr>
        <w:noBreakHyphen/>
        <w:t>s betegeknél (Child</w:t>
      </w:r>
      <w:r>
        <w:rPr>
          <w:rFonts w:eastAsia="Times New Roman"/>
          <w:lang w:val="hu-HU" w:eastAsia="en-US"/>
        </w:rPr>
        <w:noBreakHyphen/>
        <w:t>Pugh pontszám ≥ 5), kivéve, ha a várható előny nagyobb, mint a vena portae thrombosis kimutatott kockázata (lásd 4.4 pont).</w:t>
      </w:r>
    </w:p>
    <w:p w14:paraId="455116F0" w14:textId="77777777" w:rsidR="00342CEA" w:rsidRDefault="00342CEA">
      <w:pPr>
        <w:autoSpaceDE w:val="0"/>
        <w:autoSpaceDN w:val="0"/>
        <w:spacing w:line="240" w:lineRule="auto"/>
        <w:rPr>
          <w:rFonts w:eastAsia="Times New Roman"/>
          <w:lang w:val="hu-HU" w:eastAsia="en-US"/>
        </w:rPr>
      </w:pPr>
    </w:p>
    <w:p w14:paraId="52E9D984"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Amennyiben májkárosodásban szenvedő ITP</w:t>
      </w:r>
      <w:r>
        <w:rPr>
          <w:rFonts w:eastAsia="Times New Roman"/>
          <w:lang w:val="hu-HU" w:eastAsia="en-US"/>
        </w:rPr>
        <w:noBreakHyphen/>
        <w:t>s betegeknél az eltrombopag alkalmazását szükségesnek ítélik, a kezdő dózis naponta egyszer 25 mg kell, hogy legyen. A májkárosodásban szenvedő betegeket az eltrombopag adagolásának megkezdését követően a dózis emelése előtt.</w:t>
      </w:r>
    </w:p>
    <w:p w14:paraId="704A7F1B"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három hétig megfigyelés alatt kell tartani.</w:t>
      </w:r>
    </w:p>
    <w:p w14:paraId="74FB2D0F" w14:textId="77777777" w:rsidR="00342CEA" w:rsidRDefault="00342CEA">
      <w:pPr>
        <w:autoSpaceDE w:val="0"/>
        <w:autoSpaceDN w:val="0"/>
        <w:spacing w:line="240" w:lineRule="auto"/>
        <w:rPr>
          <w:rFonts w:eastAsia="Times New Roman"/>
          <w:lang w:val="hu-HU" w:eastAsia="en-US"/>
        </w:rPr>
      </w:pPr>
    </w:p>
    <w:p w14:paraId="62FC9B33"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Nem szükséges dózismódosítás a krónikus HCV</w:t>
      </w:r>
      <w:r>
        <w:rPr>
          <w:rFonts w:eastAsia="Times New Roman"/>
          <w:lang w:val="hu-HU" w:eastAsia="en-US"/>
        </w:rPr>
        <w:noBreakHyphen/>
        <w:t>ben és enyhe májkárosodásban (Child</w:t>
      </w:r>
      <w:r>
        <w:rPr>
          <w:rFonts w:eastAsia="Times New Roman"/>
          <w:lang w:val="hu-HU" w:eastAsia="en-US"/>
        </w:rPr>
        <w:noBreakHyphen/>
        <w:t>Pugh pontszám ≤ 6) szenvedő betegeknél. A krónikus HCV</w:t>
      </w:r>
      <w:r>
        <w:rPr>
          <w:rFonts w:eastAsia="Times New Roman"/>
          <w:lang w:val="hu-HU" w:eastAsia="en-US"/>
        </w:rPr>
        <w:noBreakHyphen/>
      </w:r>
      <w:r>
        <w:t xml:space="preserve"> </w:t>
      </w:r>
      <w:r>
        <w:rPr>
          <w:rFonts w:eastAsia="Times New Roman"/>
          <w:lang w:val="hu-HU" w:eastAsia="en-US"/>
        </w:rPr>
        <w:t>sbetegeknél, akiknek májkárosodása is van, az eltrombopag</w:t>
      </w:r>
      <w:r>
        <w:rPr>
          <w:rFonts w:eastAsia="Times New Roman"/>
          <w:lang w:val="hu-HU" w:eastAsia="en-US"/>
        </w:rPr>
        <w:noBreakHyphen/>
        <w:t>kezelést naponta egyszer 25 mg dózissal kell kezdeni (lásd 5.2 pont). A májkárosodásban szenvedő betegeknél az eltrombopag</w:t>
      </w:r>
      <w:r>
        <w:rPr>
          <w:rFonts w:eastAsia="Times New Roman"/>
          <w:lang w:val="hu-HU" w:eastAsia="en-US"/>
        </w:rPr>
        <w:noBreakHyphen/>
        <w:t>kezelés megkezdését követően a dózis emelése előtt 2 hétig megfigyelés alatt kell tartani.</w:t>
      </w:r>
    </w:p>
    <w:p w14:paraId="0FDACC05" w14:textId="77777777" w:rsidR="00342CEA" w:rsidRDefault="00342CEA">
      <w:pPr>
        <w:autoSpaceDE w:val="0"/>
        <w:autoSpaceDN w:val="0"/>
        <w:spacing w:line="240" w:lineRule="auto"/>
        <w:rPr>
          <w:rFonts w:eastAsia="Times New Roman"/>
          <w:lang w:val="hu-HU" w:eastAsia="en-US"/>
        </w:rPr>
      </w:pPr>
    </w:p>
    <w:p w14:paraId="57D1A326"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Az eltrombopaggal kezelt, előrehaladott krónikus májbetegségben szenvedő, thrombocytopeniás betegek esetében fokozott a nemkívánatos események kockázata, beleértve a hepaticus dekompenzációt és thromboemboliás eseményeket (TEE</w:t>
      </w:r>
      <w:r>
        <w:rPr>
          <w:rFonts w:eastAsia="Times New Roman"/>
          <w:lang w:val="hu-HU" w:eastAsia="en-US"/>
        </w:rPr>
        <w:noBreakHyphen/>
        <w:t>k), az invazív beavatkozások előkészítése során, illetve az antivirális terápiában részesülő, HCV</w:t>
      </w:r>
      <w:r>
        <w:rPr>
          <w:rFonts w:eastAsia="Times New Roman"/>
          <w:lang w:val="hu-HU" w:eastAsia="en-US"/>
        </w:rPr>
        <w:noBreakHyphen/>
        <w:t>s betegeknél is (lásd 4.4 és 4.8 pont).</w:t>
      </w:r>
    </w:p>
    <w:p w14:paraId="206CBFA6" w14:textId="77777777" w:rsidR="00342CEA" w:rsidRDefault="00342CEA">
      <w:pPr>
        <w:autoSpaceDE w:val="0"/>
        <w:autoSpaceDN w:val="0"/>
        <w:spacing w:line="240" w:lineRule="auto"/>
        <w:rPr>
          <w:rFonts w:eastAsia="Times New Roman"/>
          <w:lang w:val="hu-HU" w:eastAsia="en-US"/>
        </w:rPr>
      </w:pPr>
    </w:p>
    <w:p w14:paraId="07010ACA"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Idősek</w:t>
      </w:r>
    </w:p>
    <w:p w14:paraId="4E07A5CC"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65 éves és idősebb ITP</w:t>
      </w:r>
      <w:r>
        <w:rPr>
          <w:rFonts w:eastAsia="Times New Roman"/>
          <w:lang w:val="hu-HU" w:eastAsia="en-US"/>
        </w:rPr>
        <w:noBreakHyphen/>
        <w:t>s betegek esetében korlátozott mennyiségű adat áll rendelkezésre az eltrombopag alkalmazásával kapcsolatban, illetve 85 évesnél idősebbek esetén nincs klinikai tapasztalat. Az eltrombopaggal végzett klinikai vizsgálatokban összességében nem tapasztaltak klinikailag jelentős eltéréseket az eltrombopag biztonságosságát illetően a legalább 65 éves betegek és a fiatalabb betegek között. Más klinikai beszámolók szerint nem volt különbség a válaszadás terén az idősebb és a fiatalabb betegek között, de nem zárható ki egyes idősebb betegek fokozott érzékenysége (lásd 5.2 pont).</w:t>
      </w:r>
    </w:p>
    <w:p w14:paraId="167068B7" w14:textId="77777777" w:rsidR="00342CEA" w:rsidRDefault="00342CEA">
      <w:pPr>
        <w:autoSpaceDE w:val="0"/>
        <w:autoSpaceDN w:val="0"/>
        <w:spacing w:line="240" w:lineRule="auto"/>
        <w:rPr>
          <w:rFonts w:eastAsia="Times New Roman"/>
          <w:lang w:val="hu-HU" w:eastAsia="en-US"/>
        </w:rPr>
      </w:pPr>
    </w:p>
    <w:p w14:paraId="716DF3A4"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lastRenderedPageBreak/>
        <w:t>75 évesnél idősebb, HCV</w:t>
      </w:r>
      <w:r>
        <w:rPr>
          <w:rFonts w:eastAsia="Times New Roman"/>
          <w:lang w:val="hu-HU" w:eastAsia="en-US"/>
        </w:rPr>
        <w:noBreakHyphen/>
        <w:t>s</w:t>
      </w:r>
      <w:r>
        <w:rPr>
          <w:lang w:val="hu-HU"/>
        </w:rPr>
        <w:t xml:space="preserve"> </w:t>
      </w:r>
      <w:r>
        <w:rPr>
          <w:rFonts w:eastAsia="Times New Roman"/>
          <w:lang w:val="hu-HU" w:eastAsia="en-US"/>
        </w:rPr>
        <w:t>betegek esetében korlátozott mennyiségű adat áll rendelkezésre az eltrombopag alkalmazásával kapcsolatban. Ezeknél a betegeknél elővigyázatosság szükséges (lásd 4.4 pont).</w:t>
      </w:r>
    </w:p>
    <w:p w14:paraId="2228DF81" w14:textId="77777777" w:rsidR="00342CEA" w:rsidRDefault="00342CEA">
      <w:pPr>
        <w:autoSpaceDE w:val="0"/>
        <w:autoSpaceDN w:val="0"/>
        <w:spacing w:line="240" w:lineRule="auto"/>
        <w:rPr>
          <w:rFonts w:eastAsia="Times New Roman"/>
          <w:lang w:val="hu-HU" w:eastAsia="en-US"/>
        </w:rPr>
      </w:pPr>
    </w:p>
    <w:p w14:paraId="15131455" w14:textId="77777777" w:rsidR="00342CEA" w:rsidRDefault="00837BAB">
      <w:pPr>
        <w:autoSpaceDE w:val="0"/>
        <w:autoSpaceDN w:val="0"/>
        <w:spacing w:line="240" w:lineRule="auto"/>
        <w:rPr>
          <w:rFonts w:eastAsia="Times New Roman"/>
          <w:i/>
          <w:lang w:val="hu-HU" w:eastAsia="en-US"/>
        </w:rPr>
      </w:pPr>
      <w:r>
        <w:rPr>
          <w:rFonts w:eastAsia="Times New Roman"/>
          <w:i/>
          <w:lang w:val="hu-HU" w:eastAsia="en-US"/>
        </w:rPr>
        <w:t>Kelet</w:t>
      </w:r>
      <w:r>
        <w:rPr>
          <w:rFonts w:eastAsia="Times New Roman"/>
          <w:i/>
          <w:lang w:val="hu-HU" w:eastAsia="en-US"/>
        </w:rPr>
        <w:noBreakHyphen/>
        <w:t>/délkelet</w:t>
      </w:r>
      <w:r>
        <w:rPr>
          <w:rFonts w:eastAsia="Times New Roman"/>
          <w:i/>
          <w:lang w:val="hu-HU" w:eastAsia="en-US"/>
        </w:rPr>
        <w:noBreakHyphen/>
        <w:t>ázsiai betegek</w:t>
      </w:r>
    </w:p>
    <w:p w14:paraId="17FFCAC3"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Kelet</w:t>
      </w:r>
      <w:r>
        <w:rPr>
          <w:rFonts w:eastAsia="Times New Roman"/>
          <w:lang w:val="hu-HU" w:eastAsia="en-US"/>
        </w:rPr>
        <w:noBreakHyphen/>
        <w:t>/délkelet</w:t>
      </w:r>
      <w:r>
        <w:rPr>
          <w:rFonts w:eastAsia="Times New Roman"/>
          <w:lang w:val="hu-HU" w:eastAsia="en-US"/>
        </w:rPr>
        <w:noBreakHyphen/>
        <w:t>ázsiai származású felnőtt, valamint gyermek- és serdülőkorú betegeknél – a májkárosodásban szenvedőket is beleértve – az eltrombopag-kezelést naponta egyszer 25 mg</w:t>
      </w:r>
      <w:r>
        <w:rPr>
          <w:rFonts w:eastAsia="Times New Roman"/>
          <w:lang w:val="hu-HU" w:eastAsia="en-US"/>
        </w:rPr>
        <w:noBreakHyphen/>
        <w:t>os dózissal kell elkezdeni (lásd 5.2 pont).</w:t>
      </w:r>
    </w:p>
    <w:p w14:paraId="4B125210" w14:textId="77777777" w:rsidR="00342CEA" w:rsidRDefault="00342CEA">
      <w:pPr>
        <w:autoSpaceDE w:val="0"/>
        <w:autoSpaceDN w:val="0"/>
        <w:spacing w:line="240" w:lineRule="auto"/>
        <w:rPr>
          <w:rFonts w:eastAsia="Times New Roman"/>
          <w:lang w:val="hu-HU" w:eastAsia="en-US"/>
        </w:rPr>
      </w:pPr>
    </w:p>
    <w:p w14:paraId="18E304A2" w14:textId="77777777" w:rsidR="00342CEA" w:rsidRDefault="00837BAB">
      <w:pPr>
        <w:autoSpaceDE w:val="0"/>
        <w:autoSpaceDN w:val="0"/>
        <w:spacing w:line="240" w:lineRule="auto"/>
        <w:rPr>
          <w:rFonts w:eastAsia="Times New Roman"/>
          <w:lang w:val="hu-HU" w:eastAsia="en-US"/>
        </w:rPr>
      </w:pPr>
      <w:r>
        <w:rPr>
          <w:rFonts w:eastAsia="Times New Roman"/>
          <w:lang w:val="hu-HU" w:eastAsia="en-US"/>
        </w:rPr>
        <w:t>A betegek vérlemezkeszámát folyamatosan monitorozni kell, és a további dózismódosítások esetén a vonatkozó standard előírásokat kell követni.</w:t>
      </w:r>
    </w:p>
    <w:p w14:paraId="58358601" w14:textId="77777777" w:rsidR="00342CEA" w:rsidRDefault="00342CEA">
      <w:pPr>
        <w:autoSpaceDE w:val="0"/>
        <w:autoSpaceDN w:val="0"/>
        <w:spacing w:line="240" w:lineRule="auto"/>
        <w:rPr>
          <w:rFonts w:eastAsia="Times New Roman"/>
          <w:lang w:val="hu-HU" w:eastAsia="en-US"/>
        </w:rPr>
      </w:pPr>
    </w:p>
    <w:p w14:paraId="1862B553" w14:textId="77777777" w:rsidR="00342CEA" w:rsidRDefault="00837BAB">
      <w:pPr>
        <w:widowControl w:val="0"/>
        <w:autoSpaceDE w:val="0"/>
        <w:autoSpaceDN w:val="0"/>
        <w:spacing w:line="240" w:lineRule="auto"/>
        <w:rPr>
          <w:rFonts w:eastAsia="Times New Roman"/>
          <w:i/>
          <w:lang w:val="hu-HU" w:eastAsia="en-US"/>
        </w:rPr>
      </w:pPr>
      <w:r>
        <w:rPr>
          <w:rFonts w:eastAsia="Times New Roman"/>
          <w:i/>
          <w:lang w:val="hu-HU" w:eastAsia="en-US"/>
        </w:rPr>
        <w:t>Gyermekek és serdülők</w:t>
      </w:r>
    </w:p>
    <w:p w14:paraId="3D934A5C" w14:textId="77777777" w:rsidR="00F1168F" w:rsidRDefault="00837BAB">
      <w:pPr>
        <w:widowControl w:val="0"/>
        <w:autoSpaceDE w:val="0"/>
        <w:autoSpaceDN w:val="0"/>
        <w:spacing w:line="240" w:lineRule="auto"/>
        <w:rPr>
          <w:rFonts w:eastAsia="Times New Roman"/>
          <w:lang w:val="hu-HU" w:eastAsia="en-US"/>
        </w:rPr>
      </w:pPr>
      <w:r>
        <w:rPr>
          <w:rFonts w:eastAsia="Times New Roman"/>
          <w:lang w:val="hu-HU" w:eastAsia="en-US"/>
        </w:rPr>
        <w:t>Az eltrombopag alkalmazása nem javasolt egy éves kor alatti, ITP</w:t>
      </w:r>
      <w:r>
        <w:rPr>
          <w:rFonts w:eastAsia="Times New Roman"/>
          <w:lang w:val="hu-HU" w:eastAsia="en-US"/>
        </w:rPr>
        <w:noBreakHyphen/>
        <w:t xml:space="preserve">s gyermekeknél, mivel nincs elegendő adat a biztonságosságra és a hatásosságra vonatkozóan. </w:t>
      </w:r>
    </w:p>
    <w:p w14:paraId="4390B995" w14:textId="77777777" w:rsidR="00F1168F" w:rsidRDefault="00F1168F">
      <w:pPr>
        <w:widowControl w:val="0"/>
        <w:autoSpaceDE w:val="0"/>
        <w:autoSpaceDN w:val="0"/>
        <w:spacing w:line="240" w:lineRule="auto"/>
        <w:rPr>
          <w:rFonts w:eastAsia="Times New Roman"/>
          <w:lang w:val="hu-HU" w:eastAsia="en-US"/>
        </w:rPr>
      </w:pPr>
    </w:p>
    <w:p w14:paraId="1DD2E647" w14:textId="232452FF" w:rsidR="00342CEA" w:rsidRDefault="00837BAB">
      <w:pPr>
        <w:widowControl w:val="0"/>
        <w:autoSpaceDE w:val="0"/>
        <w:autoSpaceDN w:val="0"/>
        <w:spacing w:line="240" w:lineRule="auto"/>
        <w:rPr>
          <w:rFonts w:eastAsia="Times New Roman"/>
          <w:lang w:val="hu-HU" w:eastAsia="en-US"/>
        </w:rPr>
      </w:pPr>
      <w:r>
        <w:rPr>
          <w:rFonts w:eastAsia="Times New Roman"/>
          <w:lang w:val="hu-HU" w:eastAsia="en-US"/>
        </w:rPr>
        <w:t>Az eltrombopag biztonságosságát és hatásosságát gyermekek és (18 év alatti) serdülők esetében, krónikus HCV</w:t>
      </w:r>
      <w:r>
        <w:rPr>
          <w:rFonts w:eastAsia="Times New Roman"/>
          <w:lang w:val="hu-HU" w:eastAsia="en-US"/>
        </w:rPr>
        <w:noBreakHyphen/>
        <w:t>vel összefüggő thrombocytopeniában nem igazolták. Nincsenek rendelkezésre álló adatok.</w:t>
      </w:r>
    </w:p>
    <w:p w14:paraId="6264B32D" w14:textId="77777777" w:rsidR="00F72BA1" w:rsidRDefault="00F72BA1">
      <w:pPr>
        <w:autoSpaceDE w:val="0"/>
        <w:autoSpaceDN w:val="0"/>
        <w:spacing w:line="240" w:lineRule="auto"/>
        <w:rPr>
          <w:rFonts w:eastAsia="Times New Roman"/>
          <w:lang w:val="hu-HU" w:eastAsia="en-US"/>
        </w:rPr>
      </w:pPr>
    </w:p>
    <w:p w14:paraId="266105E1" w14:textId="77777777" w:rsidR="00342CEA" w:rsidRDefault="00837BAB">
      <w:pPr>
        <w:keepNext/>
        <w:spacing w:line="240" w:lineRule="auto"/>
        <w:rPr>
          <w:rFonts w:eastAsia="Times New Roman"/>
          <w:u w:val="single"/>
          <w:lang w:val="hu-HU" w:eastAsia="en-US"/>
        </w:rPr>
      </w:pPr>
      <w:r>
        <w:rPr>
          <w:rFonts w:eastAsia="Times New Roman"/>
          <w:u w:val="single"/>
          <w:lang w:val="hu-HU" w:eastAsia="en-US"/>
        </w:rPr>
        <w:t>Az alkalmazás módja</w:t>
      </w:r>
    </w:p>
    <w:p w14:paraId="732B5F34" w14:textId="77777777" w:rsidR="00342CEA" w:rsidRDefault="00837BAB">
      <w:pPr>
        <w:keepNext/>
        <w:autoSpaceDE w:val="0"/>
        <w:autoSpaceDN w:val="0"/>
        <w:spacing w:line="240" w:lineRule="auto"/>
        <w:rPr>
          <w:rFonts w:eastAsia="Times New Roman"/>
          <w:lang w:val="hu-HU" w:eastAsia="en-US"/>
        </w:rPr>
      </w:pPr>
      <w:r>
        <w:rPr>
          <w:rFonts w:eastAsia="Times New Roman"/>
          <w:lang w:val="hu-HU" w:eastAsia="en-US"/>
        </w:rPr>
        <w:t>Szájon át történő alkalmazásra.</w:t>
      </w:r>
    </w:p>
    <w:p w14:paraId="61F03F41" w14:textId="77777777" w:rsidR="00342CEA" w:rsidRDefault="00837BAB">
      <w:pPr>
        <w:widowControl w:val="0"/>
        <w:autoSpaceDE w:val="0"/>
        <w:autoSpaceDN w:val="0"/>
        <w:spacing w:line="240" w:lineRule="auto"/>
        <w:rPr>
          <w:rFonts w:eastAsia="Times New Roman"/>
          <w:lang w:val="hu-HU" w:eastAsia="en-US"/>
        </w:rPr>
      </w:pPr>
      <w:r>
        <w:rPr>
          <w:rFonts w:eastAsia="Times New Roman"/>
          <w:lang w:val="hu-HU" w:eastAsia="en-US"/>
        </w:rPr>
        <w:t>A tablettát egyéb készítmények, például antacidok, tejtermékek (vagy egyéb, kalciumot tartalmazó élelmiszerek) vagy polivalens kationokat (pl. vas, kalcium, magnézium, alumínium, szelén és cink) tartalmazó ásványianyag</w:t>
      </w:r>
      <w:r>
        <w:rPr>
          <w:rFonts w:eastAsia="Times New Roman"/>
          <w:lang w:val="hu-HU" w:eastAsia="en-US"/>
        </w:rPr>
        <w:noBreakHyphen/>
        <w:t>pótló készítmények bevétele előtt legalább két órával vagy ezek után legalább négy órával kell bevenni (lásd 4.5 és 5.2 pont).</w:t>
      </w:r>
    </w:p>
    <w:p w14:paraId="58B79A12" w14:textId="77777777" w:rsidR="00342CEA" w:rsidRDefault="00342CEA">
      <w:pPr>
        <w:autoSpaceDE w:val="0"/>
        <w:autoSpaceDN w:val="0"/>
        <w:spacing w:line="240" w:lineRule="auto"/>
        <w:rPr>
          <w:rFonts w:eastAsia="Times New Roman"/>
          <w:lang w:val="hu-HU" w:eastAsia="en-US"/>
        </w:rPr>
      </w:pPr>
    </w:p>
    <w:p w14:paraId="169E8F3D"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4.3</w:t>
      </w:r>
      <w:r>
        <w:rPr>
          <w:rFonts w:eastAsia="Times New Roman"/>
          <w:b/>
          <w:bCs/>
          <w:lang w:val="hu-HU" w:eastAsia="en-US"/>
        </w:rPr>
        <w:tab/>
        <w:t>Ellenjavallatok</w:t>
      </w:r>
    </w:p>
    <w:p w14:paraId="5BE9E3CF" w14:textId="77777777" w:rsidR="00342CEA" w:rsidRDefault="00342CEA">
      <w:pPr>
        <w:spacing w:line="240" w:lineRule="auto"/>
        <w:rPr>
          <w:rFonts w:eastAsia="Times New Roman"/>
          <w:lang w:val="hu-HU" w:eastAsia="en-US"/>
        </w:rPr>
      </w:pPr>
    </w:p>
    <w:p w14:paraId="36D5756F" w14:textId="77777777" w:rsidR="00342CEA" w:rsidRDefault="00837BAB">
      <w:pPr>
        <w:spacing w:line="240" w:lineRule="auto"/>
        <w:rPr>
          <w:rFonts w:eastAsia="Times New Roman"/>
          <w:lang w:val="hu-HU" w:eastAsia="en-US"/>
        </w:rPr>
      </w:pPr>
      <w:r>
        <w:rPr>
          <w:rFonts w:eastAsia="Times New Roman"/>
          <w:lang w:val="hu-HU" w:eastAsia="en-US"/>
        </w:rPr>
        <w:t>Az eltrombopaggal vagy a 6.1 pontban felsorolt bármely segédanyaggal szembeni túlérzékenység.</w:t>
      </w:r>
    </w:p>
    <w:p w14:paraId="3606F91E" w14:textId="77777777" w:rsidR="00342CEA" w:rsidRDefault="00342CEA">
      <w:pPr>
        <w:spacing w:line="240" w:lineRule="auto"/>
        <w:rPr>
          <w:rFonts w:eastAsia="Times New Roman"/>
          <w:lang w:val="hu-HU" w:eastAsia="en-US"/>
        </w:rPr>
      </w:pPr>
    </w:p>
    <w:p w14:paraId="448FCCEA"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4.4</w:t>
      </w:r>
      <w:r>
        <w:rPr>
          <w:rFonts w:eastAsia="Times New Roman"/>
          <w:b/>
          <w:bCs/>
          <w:lang w:val="hu-HU" w:eastAsia="en-US"/>
        </w:rPr>
        <w:tab/>
        <w:t>Különleges figyelmeztetések és az alkalmazással kapcsolatos óvintézkedések</w:t>
      </w:r>
    </w:p>
    <w:p w14:paraId="5BB4FEC1" w14:textId="77777777" w:rsidR="00342CEA" w:rsidRDefault="00342CEA">
      <w:pPr>
        <w:spacing w:line="240" w:lineRule="auto"/>
        <w:rPr>
          <w:lang w:val="hu-HU"/>
        </w:rPr>
      </w:pPr>
    </w:p>
    <w:p w14:paraId="499E1279" w14:textId="77777777" w:rsidR="00342CEA" w:rsidRDefault="00837BAB">
      <w:pPr>
        <w:pBdr>
          <w:top w:val="single" w:sz="4" w:space="1" w:color="auto"/>
          <w:left w:val="single" w:sz="4" w:space="4" w:color="auto"/>
          <w:bottom w:val="single" w:sz="4" w:space="1" w:color="auto"/>
          <w:right w:val="single" w:sz="4" w:space="4" w:color="auto"/>
        </w:pBdr>
        <w:spacing w:line="240" w:lineRule="auto"/>
        <w:rPr>
          <w:rFonts w:eastAsia="Times New Roman"/>
          <w:lang w:val="hu-HU" w:eastAsia="en-US"/>
        </w:rPr>
      </w:pPr>
      <w:r>
        <w:rPr>
          <w:rFonts w:eastAsia="Times New Roman"/>
          <w:lang w:val="hu-HU" w:eastAsia="en-US"/>
        </w:rPr>
        <w:t>Azoknál, az előrehaladott krónikus májbetegségben is szenvedő, thrombocytopeniás HCV</w:t>
      </w:r>
      <w:r>
        <w:rPr>
          <w:rFonts w:eastAsia="Times New Roman"/>
          <w:lang w:val="hu-HU" w:eastAsia="en-US"/>
        </w:rPr>
        <w:noBreakHyphen/>
        <w:t>s betegeknél (definíciója: ≤ 35 g/l</w:t>
      </w:r>
      <w:r>
        <w:rPr>
          <w:rFonts w:eastAsia="Times New Roman"/>
          <w:lang w:val="hu-HU" w:eastAsia="en-US"/>
        </w:rPr>
        <w:noBreakHyphen/>
        <w:t>nél alacsonyabb albuminszint vagy ≥ 10 MELD</w:t>
      </w:r>
      <w:r>
        <w:rPr>
          <w:rFonts w:eastAsia="Times New Roman"/>
          <w:lang w:val="hu-HU" w:eastAsia="en-US"/>
        </w:rPr>
        <w:noBreakHyphen/>
        <w:t xml:space="preserve"> [Model for End Stage Liver Disease) pontszám]), akik interferon alapú terápiával kombinációban részesülnek eltrombopag</w:t>
      </w:r>
      <w:r>
        <w:rPr>
          <w:rFonts w:eastAsia="Times New Roman"/>
          <w:lang w:val="hu-HU" w:eastAsia="en-US"/>
        </w:rPr>
        <w:noBreakHyphen/>
        <w:t>kezelésben, fokozott a mellékhatások kockázata, beleértve a potenciálisan halálos hepaticus dekompenzációt és thromboemboliás eseményeket is. Emellett ezeknél a betegeknél a kezelés előnyei mérsékeltének bizonyultak a tartós virológiai választ (</w:t>
      </w:r>
      <w:r>
        <w:rPr>
          <w:spacing w:val="-2"/>
        </w:rPr>
        <w:t>sustained</w:t>
      </w:r>
      <w:r>
        <w:rPr>
          <w:spacing w:val="5"/>
        </w:rPr>
        <w:t xml:space="preserve"> </w:t>
      </w:r>
      <w:r>
        <w:rPr>
          <w:spacing w:val="-2"/>
        </w:rPr>
        <w:t>virological</w:t>
      </w:r>
      <w:r>
        <w:rPr>
          <w:spacing w:val="3"/>
        </w:rPr>
        <w:t xml:space="preserve"> </w:t>
      </w:r>
      <w:r>
        <w:rPr>
          <w:spacing w:val="-3"/>
        </w:rPr>
        <w:t>response</w:t>
      </w:r>
      <w:r>
        <w:rPr>
          <w:spacing w:val="10"/>
        </w:rPr>
        <w:t xml:space="preserve">, </w:t>
      </w:r>
      <w:r>
        <w:rPr>
          <w:rFonts w:eastAsia="Times New Roman"/>
          <w:lang w:val="hu-HU" w:eastAsia="en-US"/>
        </w:rPr>
        <w:t>SVR) elérők placebóhoz viszonyított arányának tekintetében (különösen, akiknél a kiindulási albuminszint ≤ 35 g/l), a teljes vizsgálati csoporttal összehasonlítva. Ezeknél a betegeknél az eltrombopag</w:t>
      </w:r>
      <w:r>
        <w:rPr>
          <w:rFonts w:eastAsia="Times New Roman"/>
          <w:lang w:val="hu-HU" w:eastAsia="en-US"/>
        </w:rPr>
        <w:noBreakHyphen/>
        <w:t>kezelést csak az előrehaladott HCV kezelésében tapasztalt szakorvosnak szabad elkezdenie, és csak abban az esetben, ha a thrombocytopenia kockázatai vagy az antivirális terápia felfüggesztése elkerülhetetlenné teszi a beavatkozást. Ha a kezelést klinikailag indokoltnak tartják, akkor ezeknek a betegeknek a szoros monitorozása szükséges.</w:t>
      </w:r>
    </w:p>
    <w:p w14:paraId="5037760F" w14:textId="77777777" w:rsidR="00342CEA" w:rsidRDefault="00342CEA">
      <w:pPr>
        <w:spacing w:line="240" w:lineRule="auto"/>
        <w:rPr>
          <w:lang w:val="hu-HU"/>
        </w:rPr>
      </w:pPr>
    </w:p>
    <w:p w14:paraId="7AB90FF0" w14:textId="77777777" w:rsidR="00342CEA" w:rsidRDefault="00837BAB">
      <w:pPr>
        <w:spacing w:line="240" w:lineRule="auto"/>
        <w:rPr>
          <w:u w:val="single"/>
          <w:lang w:val="hu-HU"/>
        </w:rPr>
      </w:pPr>
      <w:r>
        <w:rPr>
          <w:u w:val="single"/>
          <w:lang w:val="hu-HU"/>
        </w:rPr>
        <w:t>Kombináció direkt hatású antivirális szerekkel</w:t>
      </w:r>
    </w:p>
    <w:p w14:paraId="28A55902" w14:textId="77777777" w:rsidR="00342CEA" w:rsidRDefault="00837BAB">
      <w:pPr>
        <w:spacing w:line="240" w:lineRule="auto"/>
        <w:rPr>
          <w:lang w:val="hu-HU"/>
        </w:rPr>
      </w:pPr>
      <w:r>
        <w:rPr>
          <w:lang w:val="hu-HU"/>
        </w:rPr>
        <w:t>A krónikus hepatitis C</w:t>
      </w:r>
      <w:r>
        <w:rPr>
          <w:lang w:val="hu-HU"/>
        </w:rPr>
        <w:noBreakHyphen/>
        <w:t>fertőzés kezelésére engedélyezett direkt hatású antivirális szerekkel történő kombinációk biztonságosságát és hatásosságát nem vizsgálták.</w:t>
      </w:r>
    </w:p>
    <w:p w14:paraId="6A546E14" w14:textId="77777777" w:rsidR="00342CEA" w:rsidRDefault="00342CEA">
      <w:pPr>
        <w:spacing w:line="240" w:lineRule="auto"/>
        <w:rPr>
          <w:lang w:val="hu-HU"/>
        </w:rPr>
      </w:pPr>
    </w:p>
    <w:p w14:paraId="440FD2A0" w14:textId="77777777" w:rsidR="00342CEA" w:rsidRDefault="00837BAB">
      <w:pPr>
        <w:spacing w:line="240" w:lineRule="auto"/>
        <w:rPr>
          <w:u w:val="single"/>
          <w:lang w:val="hu-HU"/>
        </w:rPr>
      </w:pPr>
      <w:r>
        <w:rPr>
          <w:u w:val="single"/>
          <w:lang w:val="hu-HU"/>
        </w:rPr>
        <w:t>A hepatotoxicitás kockázata</w:t>
      </w:r>
    </w:p>
    <w:p w14:paraId="2E102A67" w14:textId="77777777" w:rsidR="00342CEA" w:rsidRDefault="00837BAB">
      <w:pPr>
        <w:spacing w:line="240" w:lineRule="auto"/>
        <w:rPr>
          <w:lang w:val="hu-HU"/>
        </w:rPr>
      </w:pPr>
      <w:r>
        <w:rPr>
          <w:lang w:val="hu-HU"/>
        </w:rPr>
        <w:t>Az eltrombopag adása májfunkciós zavart és súlyos hepatotoxicitást okozhat, amely akár életveszélyes is lehet (lásd 4.8 pont).</w:t>
      </w:r>
    </w:p>
    <w:p w14:paraId="3D3788EF" w14:textId="77777777" w:rsidR="00342CEA" w:rsidRDefault="00342CEA">
      <w:pPr>
        <w:spacing w:line="240" w:lineRule="auto"/>
        <w:rPr>
          <w:lang w:val="hu-HU"/>
        </w:rPr>
      </w:pPr>
    </w:p>
    <w:p w14:paraId="168D18A9" w14:textId="77777777" w:rsidR="00342CEA" w:rsidRDefault="00837BAB">
      <w:pPr>
        <w:spacing w:line="240" w:lineRule="auto"/>
        <w:rPr>
          <w:lang w:val="hu-HU"/>
        </w:rPr>
      </w:pPr>
      <w:r>
        <w:rPr>
          <w:lang w:val="hu-HU"/>
        </w:rPr>
        <w:t>Ellenőrizni kell a szérum glutamát</w:t>
      </w:r>
      <w:r>
        <w:rPr>
          <w:lang w:val="hu-HU"/>
        </w:rPr>
        <w:noBreakHyphen/>
        <w:t>piruvát-transzamináz (GPT), glutamát</w:t>
      </w:r>
      <w:r>
        <w:rPr>
          <w:lang w:val="hu-HU"/>
        </w:rPr>
        <w:noBreakHyphen/>
        <w:t>oxálacetát</w:t>
      </w:r>
      <w:r>
        <w:rPr>
          <w:lang w:val="hu-HU"/>
        </w:rPr>
        <w:noBreakHyphen/>
        <w:t>transzamináz (GOT) és a bilirubin szintjét az eltrombopag</w:t>
      </w:r>
      <w:r>
        <w:rPr>
          <w:lang w:val="hu-HU"/>
        </w:rPr>
        <w:noBreakHyphen/>
        <w:t xml:space="preserve">kezelés megkezdése előtt, majd a dózisbeállítás időszakában 2 hetente, ezt követően pedig a stabil dózis megállapítása után havonta. Az eltrombopag </w:t>
      </w:r>
      <w:r>
        <w:rPr>
          <w:lang w:val="hu-HU"/>
        </w:rPr>
        <w:lastRenderedPageBreak/>
        <w:t>gátolja az UGT1A1 és OATP1B1</w:t>
      </w:r>
      <w:r>
        <w:rPr>
          <w:lang w:val="hu-HU"/>
        </w:rPr>
        <w:noBreakHyphen/>
        <w:t>et, ami indirekt hyperbilirubinaemiát eredményezhet. Emelkedett bilirubinszint esetén frakcionálást kell végezni. Az eltérést mutató májfunkciós teszteket 3</w:t>
      </w:r>
      <w:r>
        <w:rPr>
          <w:lang w:val="hu-HU"/>
        </w:rPr>
        <w:noBreakHyphen/>
        <w:t>5 naponta megismételt vizsgálat alapján kell értékelni. Ha a kóros értékeket megerősítették, a májfunkciós értékeket mindaddig monitorozni kell, ameddig a rendellenesség megszűnik, az értékek stabilizálódnak vagy visszatérnek a kiindulási szintre. Abba kell hagyni az eltrombopag alkalmazását, ha az GPT</w:t>
      </w:r>
      <w:r>
        <w:rPr>
          <w:lang w:val="hu-HU"/>
        </w:rPr>
        <w:noBreakHyphen/>
        <w:t>szint megemelkedik (a normálérték felső határának 3</w:t>
      </w:r>
      <w:r>
        <w:rPr>
          <w:lang w:val="hu-HU"/>
        </w:rPr>
        <w:noBreakHyphen/>
        <w:t>szorosára vagy annál magasabbra a normális májfunkciójú betegeknél, vagy a kiindulási szint legalább 3</w:t>
      </w:r>
      <w:r>
        <w:rPr>
          <w:lang w:val="hu-HU"/>
        </w:rPr>
        <w:noBreakHyphen/>
        <w:t>szorosára, vagy a normálérték felső határának 5</w:t>
      </w:r>
      <w:r>
        <w:rPr>
          <w:lang w:val="hu-HU"/>
        </w:rPr>
        <w:noBreakHyphen/>
        <w:t>szörösére - a kettő közül az alacsonyabbat figyelembe véve - olyan betegeknél, akiknél a kezelés előtt emelkedett transzaminázszintek állnak fenn), és ha az emelkedés:</w:t>
      </w:r>
    </w:p>
    <w:p w14:paraId="3DF7CB16" w14:textId="77777777" w:rsidR="00342CEA" w:rsidRDefault="00837BAB">
      <w:pPr>
        <w:pStyle w:val="Listaszerbekezds"/>
        <w:numPr>
          <w:ilvl w:val="0"/>
          <w:numId w:val="1"/>
        </w:numPr>
        <w:tabs>
          <w:tab w:val="clear" w:pos="567"/>
        </w:tabs>
        <w:spacing w:line="240" w:lineRule="auto"/>
        <w:ind w:left="567" w:hanging="567"/>
        <w:rPr>
          <w:lang w:val="hu-HU"/>
        </w:rPr>
      </w:pPr>
      <w:r>
        <w:rPr>
          <w:lang w:val="hu-HU"/>
        </w:rPr>
        <w:t>progresszív, vagy</w:t>
      </w:r>
    </w:p>
    <w:p w14:paraId="6636CD9A" w14:textId="77777777" w:rsidR="00342CEA" w:rsidRDefault="00837BAB">
      <w:pPr>
        <w:pStyle w:val="Listaszerbekezds"/>
        <w:numPr>
          <w:ilvl w:val="0"/>
          <w:numId w:val="1"/>
        </w:numPr>
        <w:tabs>
          <w:tab w:val="clear" w:pos="567"/>
        </w:tabs>
        <w:spacing w:line="240" w:lineRule="auto"/>
        <w:ind w:left="567" w:hanging="567"/>
        <w:rPr>
          <w:lang w:val="hu-HU"/>
        </w:rPr>
      </w:pPr>
      <w:r>
        <w:rPr>
          <w:lang w:val="hu-HU"/>
        </w:rPr>
        <w:t>4 hétig vagy tovább fennáll, vagy</w:t>
      </w:r>
    </w:p>
    <w:p w14:paraId="5F7A7924" w14:textId="77777777" w:rsidR="00342CEA" w:rsidRDefault="00837BAB">
      <w:pPr>
        <w:pStyle w:val="Listaszerbekezds"/>
        <w:numPr>
          <w:ilvl w:val="0"/>
          <w:numId w:val="1"/>
        </w:numPr>
        <w:tabs>
          <w:tab w:val="clear" w:pos="567"/>
        </w:tabs>
        <w:spacing w:line="240" w:lineRule="auto"/>
        <w:ind w:left="567" w:hanging="567"/>
        <w:rPr>
          <w:lang w:val="hu-HU"/>
        </w:rPr>
      </w:pPr>
      <w:r>
        <w:rPr>
          <w:lang w:val="hu-HU"/>
        </w:rPr>
        <w:t>a direkt bilirubin emelkedésével jár együtt, vagy</w:t>
      </w:r>
    </w:p>
    <w:p w14:paraId="78863F01" w14:textId="77777777" w:rsidR="00342CEA" w:rsidRDefault="00837BAB">
      <w:pPr>
        <w:pStyle w:val="Listaszerbekezds"/>
        <w:numPr>
          <w:ilvl w:val="0"/>
          <w:numId w:val="1"/>
        </w:numPr>
        <w:tabs>
          <w:tab w:val="clear" w:pos="567"/>
        </w:tabs>
        <w:spacing w:line="240" w:lineRule="auto"/>
        <w:ind w:left="567" w:hanging="567"/>
        <w:rPr>
          <w:lang w:val="hu-HU"/>
        </w:rPr>
      </w:pPr>
      <w:r>
        <w:rPr>
          <w:lang w:val="hu-HU"/>
        </w:rPr>
        <w:t>a májkárosodás klinikai tünetei vagy a hepaticus</w:t>
      </w:r>
      <w:r>
        <w:rPr>
          <w:lang w:val="hu-HU"/>
        </w:rPr>
        <w:noBreakHyphen/>
        <w:t>dekompenzáció nyilvánvaló jelei kísérik.</w:t>
      </w:r>
    </w:p>
    <w:p w14:paraId="512BFCE7" w14:textId="77777777" w:rsidR="00342CEA" w:rsidRDefault="00342CEA">
      <w:pPr>
        <w:spacing w:line="240" w:lineRule="auto"/>
        <w:rPr>
          <w:lang w:val="hu-HU"/>
        </w:rPr>
      </w:pPr>
    </w:p>
    <w:p w14:paraId="1F92075B" w14:textId="378CB416" w:rsidR="00342CEA" w:rsidRDefault="00837BAB">
      <w:pPr>
        <w:spacing w:line="240" w:lineRule="auto"/>
        <w:rPr>
          <w:lang w:val="hu-HU"/>
        </w:rPr>
      </w:pPr>
      <w:r>
        <w:rPr>
          <w:lang w:val="hu-HU"/>
        </w:rPr>
        <w:t>Elővigyázatosan kell eljárni, ha az eltrombopagot májbetegeknél alkalmazzák. Májkárosodásban szenvedő ITP</w:t>
      </w:r>
      <w:r>
        <w:rPr>
          <w:lang w:val="hu-HU"/>
        </w:rPr>
        <w:noBreakHyphen/>
        <w:t>s betegeknél eltrombopag alkalmazásakor alacsonyabb kezdő dózis alkalmazandó. Az eltrombopag alkalmazásakor a májkárosodásban szenvedő betegek szoros monitorozása szükséges (lásd 4.2 pont).</w:t>
      </w:r>
    </w:p>
    <w:p w14:paraId="4030F4F1" w14:textId="77777777" w:rsidR="00342CEA" w:rsidRDefault="00342CEA">
      <w:pPr>
        <w:spacing w:line="240" w:lineRule="auto"/>
        <w:rPr>
          <w:lang w:val="hu-HU"/>
        </w:rPr>
      </w:pPr>
    </w:p>
    <w:p w14:paraId="313194F2" w14:textId="77777777" w:rsidR="00342CEA" w:rsidRDefault="00837BAB">
      <w:pPr>
        <w:keepNext/>
        <w:spacing w:line="240" w:lineRule="auto"/>
        <w:rPr>
          <w:u w:val="single"/>
          <w:lang w:val="hu-HU"/>
        </w:rPr>
      </w:pPr>
      <w:r>
        <w:rPr>
          <w:u w:val="single"/>
          <w:lang w:val="hu-HU"/>
        </w:rPr>
        <w:t>Hepaticus dekompenzáció (interferonnal történő alkalmazás)</w:t>
      </w:r>
    </w:p>
    <w:p w14:paraId="1F9AE6D9" w14:textId="77777777" w:rsidR="00F1168F" w:rsidRDefault="00F1168F">
      <w:pPr>
        <w:keepNext/>
        <w:spacing w:line="240" w:lineRule="auto"/>
        <w:rPr>
          <w:u w:val="single"/>
          <w:lang w:val="hu-HU"/>
        </w:rPr>
      </w:pPr>
    </w:p>
    <w:p w14:paraId="562BE81F" w14:textId="77777777" w:rsidR="00342CEA" w:rsidRDefault="00837BAB">
      <w:pPr>
        <w:keepNext/>
        <w:tabs>
          <w:tab w:val="clear" w:pos="567"/>
        </w:tabs>
        <w:autoSpaceDE w:val="0"/>
        <w:autoSpaceDN w:val="0"/>
        <w:spacing w:line="240" w:lineRule="auto"/>
        <w:rPr>
          <w:lang w:val="hu-HU"/>
        </w:rPr>
      </w:pPr>
      <w:r>
        <w:rPr>
          <w:lang w:val="hu-HU"/>
        </w:rPr>
        <w:t>Hepaticus dekompenzáció krónikus hepatitis C</w:t>
      </w:r>
      <w:r>
        <w:rPr>
          <w:lang w:val="hu-HU"/>
        </w:rPr>
        <w:noBreakHyphen/>
        <w:t>ben szenvedő betegeknél: monitorozni kell</w:t>
      </w:r>
      <w:r>
        <w:rPr>
          <w:rFonts w:eastAsia="TimesNewRomanPSMT"/>
          <w:lang w:val="hu-HU" w:eastAsia="en-GB"/>
        </w:rPr>
        <w:t xml:space="preserve"> azokat a betegeket, akiknél alacsony albuminszint (≤ </w:t>
      </w:r>
      <w:r>
        <w:rPr>
          <w:lang w:val="hu-HU" w:eastAsia="en-GB"/>
        </w:rPr>
        <w:t>35 </w:t>
      </w:r>
      <w:r>
        <w:rPr>
          <w:rFonts w:eastAsia="TimesNewRomanPSMT"/>
          <w:lang w:val="hu-HU" w:eastAsia="en-GB"/>
        </w:rPr>
        <w:t>g/l) vagy ≥ </w:t>
      </w:r>
      <w:r>
        <w:rPr>
          <w:lang w:val="hu-HU" w:eastAsia="en-GB"/>
        </w:rPr>
        <w:t>10 kiindulási MELD</w:t>
      </w:r>
      <w:r>
        <w:rPr>
          <w:lang w:val="hu-HU" w:eastAsia="en-GB"/>
        </w:rPr>
        <w:noBreakHyphen/>
        <w:t>pontszám áll fenn.</w:t>
      </w:r>
    </w:p>
    <w:p w14:paraId="6D74CFCA" w14:textId="77777777" w:rsidR="00342CEA" w:rsidRDefault="00342CEA">
      <w:pPr>
        <w:spacing w:line="240" w:lineRule="auto"/>
        <w:rPr>
          <w:lang w:val="hu-HU"/>
        </w:rPr>
      </w:pPr>
    </w:p>
    <w:p w14:paraId="3554731E" w14:textId="77777777" w:rsidR="00342CEA" w:rsidRDefault="00837BAB">
      <w:pPr>
        <w:tabs>
          <w:tab w:val="clear" w:pos="567"/>
        </w:tabs>
        <w:autoSpaceDE w:val="0"/>
        <w:autoSpaceDN w:val="0"/>
        <w:spacing w:line="240" w:lineRule="auto"/>
        <w:rPr>
          <w:rFonts w:eastAsia="TimesNewRomanPSMT"/>
          <w:lang w:val="hu-HU" w:eastAsia="en-GB"/>
        </w:rPr>
      </w:pPr>
      <w:r>
        <w:rPr>
          <w:lang w:val="hu-HU" w:eastAsia="en-GB"/>
        </w:rPr>
        <w:t>A máj</w:t>
      </w:r>
      <w:r>
        <w:rPr>
          <w:rFonts w:eastAsia="TimesNewRomanPSMT"/>
          <w:lang w:val="hu-HU" w:eastAsia="en-GB"/>
        </w:rPr>
        <w:t xml:space="preserve">cirrhosisban szenvedő, </w:t>
      </w:r>
      <w:r>
        <w:rPr>
          <w:lang w:val="hu-HU" w:eastAsia="en-GB"/>
        </w:rPr>
        <w:t>krónikus HCV</w:t>
      </w:r>
      <w:r>
        <w:rPr>
          <w:lang w:val="hu-HU" w:eastAsia="en-GB"/>
        </w:rPr>
        <w:noBreakHyphen/>
        <w:t>ben szenvedő betegek alfa interferon</w:t>
      </w:r>
      <w:r>
        <w:rPr>
          <w:lang w:val="hu-HU" w:eastAsia="en-GB"/>
        </w:rPr>
        <w:noBreakHyphen/>
        <w:t>kezelése a hepaticus dekompenzáció kialakulásának kockázatával járhat. Két, thrombocytopeniás HCV</w:t>
      </w:r>
      <w:r>
        <w:rPr>
          <w:lang w:val="hu-HU" w:eastAsia="en-GB"/>
        </w:rPr>
        <w:noBreakHyphen/>
        <w:t xml:space="preserve">betegek bevonásával végzett klinikai vizsgálatban nagyobb gyakorisággal </w:t>
      </w:r>
      <w:r>
        <w:rPr>
          <w:rFonts w:eastAsia="TimesNewRomanPSMT"/>
          <w:lang w:val="hu-HU" w:eastAsia="en-GB"/>
        </w:rPr>
        <w:t xml:space="preserve">fordult elő </w:t>
      </w:r>
      <w:r>
        <w:rPr>
          <w:lang w:val="hu-HU" w:eastAsia="en-GB"/>
        </w:rPr>
        <w:t>hepaticus dekompenzáció (ascites, hepaticus encephalopathia, varix vérzés, spontán bakteriális peritonitis) az eltrombopag</w:t>
      </w:r>
      <w:r>
        <w:rPr>
          <w:lang w:val="hu-HU" w:eastAsia="en-GB"/>
        </w:rPr>
        <w:noBreakHyphen/>
        <w:t>karon (11%), mint a pl</w:t>
      </w:r>
      <w:r>
        <w:rPr>
          <w:rFonts w:eastAsia="TimesNewRomanPSMT"/>
          <w:lang w:val="hu-HU" w:eastAsia="en-GB"/>
        </w:rPr>
        <w:t>acebo</w:t>
      </w:r>
      <w:r>
        <w:rPr>
          <w:rFonts w:eastAsia="TimesNewRomanPSMT"/>
          <w:lang w:val="hu-HU" w:eastAsia="en-GB"/>
        </w:rPr>
        <w:noBreakHyphen/>
        <w:t>karon (6%). Azoknál a betegeknél, akiknél alacsony albuminszint (≤ </w:t>
      </w:r>
      <w:r>
        <w:rPr>
          <w:lang w:val="hu-HU" w:eastAsia="en-GB"/>
        </w:rPr>
        <w:t xml:space="preserve">35 g/l) vagy </w:t>
      </w:r>
      <w:r>
        <w:rPr>
          <w:rFonts w:eastAsia="TimesNewRomanPSMT"/>
          <w:lang w:val="hu-HU" w:eastAsia="en-GB"/>
        </w:rPr>
        <w:t>≥ </w:t>
      </w:r>
      <w:r>
        <w:rPr>
          <w:lang w:val="hu-HU" w:eastAsia="en-GB"/>
        </w:rPr>
        <w:t>10 kiindulási MELD</w:t>
      </w:r>
      <w:r>
        <w:rPr>
          <w:lang w:val="hu-HU" w:eastAsia="en-GB"/>
        </w:rPr>
        <w:noBreakHyphen/>
        <w:t xml:space="preserve"> (Model for End Stage Liver Disease) pontszám állt fenn, 3</w:t>
      </w:r>
      <w:r>
        <w:rPr>
          <w:lang w:val="hu-HU" w:eastAsia="en-GB"/>
        </w:rPr>
        <w:noBreakHyphen/>
        <w:t xml:space="preserve">szor nagyobb volt a hepaticus </w:t>
      </w:r>
      <w:r>
        <w:rPr>
          <w:rFonts w:eastAsia="TimesNewRomanPSMT"/>
          <w:lang w:val="hu-HU" w:eastAsia="en-GB"/>
        </w:rPr>
        <w:t xml:space="preserve">dekompenzáció rizikója, és emelkedett a halálos kimenetelű nemkívánatos események kockázata a kevésbé előrehaladott májbetegségben szenvedő betegekhez viszonyítva. </w:t>
      </w:r>
      <w:r>
        <w:rPr>
          <w:lang w:val="hu-HU" w:eastAsia="en-GB"/>
        </w:rPr>
        <w:t>Emellett, ezeknél a betegeknél a kezelés el</w:t>
      </w:r>
      <w:r>
        <w:rPr>
          <w:rFonts w:eastAsia="TimesNewRomanPSMT"/>
          <w:lang w:val="hu-HU" w:eastAsia="en-GB"/>
        </w:rPr>
        <w:t xml:space="preserve">őnyei </w:t>
      </w:r>
      <w:r>
        <w:rPr>
          <w:lang w:val="hu-HU" w:eastAsia="en-GB"/>
        </w:rPr>
        <w:t>mérsékeltnek bizonyultak</w:t>
      </w:r>
      <w:r>
        <w:rPr>
          <w:rFonts w:eastAsia="TimesNewRomanPSMT"/>
          <w:lang w:val="hu-HU" w:eastAsia="en-GB"/>
        </w:rPr>
        <w:t xml:space="preserve"> a tartós virológiai választ (SVR) elérők placebóhoz viszonyított aránya tekintetében (különösen, akiknél a kiindulási albuminszint ≤ </w:t>
      </w:r>
      <w:r>
        <w:rPr>
          <w:lang w:val="hu-HU" w:eastAsia="en-GB"/>
        </w:rPr>
        <w:t xml:space="preserve">35g/l), a teljes csoporttal összehasonlítva. Ezeknél a betegeknél az eltrombopag csak a várható </w:t>
      </w:r>
      <w:r>
        <w:rPr>
          <w:rFonts w:eastAsia="TimesNewRomanPSMT"/>
          <w:lang w:val="hu-HU" w:eastAsia="en-GB"/>
        </w:rPr>
        <w:t xml:space="preserve">előnyök és kockázatok körültekintő mérlegelése után alkalmazható. </w:t>
      </w:r>
    </w:p>
    <w:p w14:paraId="03D10DC2" w14:textId="77777777" w:rsidR="00342CEA" w:rsidRDefault="00837BAB">
      <w:pPr>
        <w:tabs>
          <w:tab w:val="clear" w:pos="567"/>
        </w:tabs>
        <w:autoSpaceDE w:val="0"/>
        <w:autoSpaceDN w:val="0"/>
        <w:spacing w:line="240" w:lineRule="auto"/>
        <w:rPr>
          <w:lang w:val="hu-HU"/>
        </w:rPr>
      </w:pPr>
      <w:r>
        <w:rPr>
          <w:rFonts w:eastAsia="TimesNewRomanPSMT"/>
          <w:lang w:val="hu-HU" w:eastAsia="en-GB"/>
        </w:rPr>
        <w:t xml:space="preserve">Az ezekkel a jellemzőkkel bíró </w:t>
      </w:r>
      <w:r>
        <w:rPr>
          <w:lang w:val="hu-HU" w:eastAsia="en-GB"/>
        </w:rPr>
        <w:t xml:space="preserve">betegeknél gondosan vizsgálni kell a hepaticus dekompenzációra utaló jeleket és tüneteket. </w:t>
      </w:r>
      <w:r>
        <w:rPr>
          <w:rFonts w:eastAsia="TimesNewRomanPSMT"/>
          <w:lang w:val="hu-HU" w:eastAsia="en-GB"/>
        </w:rPr>
        <w:t xml:space="preserve">Figyelembe kell venni az adott interferon alkalmazási előírásában szereplő, a kezelés leállítására </w:t>
      </w:r>
      <w:r>
        <w:rPr>
          <w:lang w:val="hu-HU" w:eastAsia="en-GB"/>
        </w:rPr>
        <w:t>vonatkozó kritériumokat. Az eltrombopag</w:t>
      </w:r>
      <w:r>
        <w:rPr>
          <w:lang w:val="hu-HU" w:eastAsia="en-GB"/>
        </w:rPr>
        <w:noBreakHyphen/>
        <w:t>kezelést be kell fejezni, amennyiben hepaticus dekompenzáció miatt az antivirális</w:t>
      </w:r>
      <w:r>
        <w:rPr>
          <w:lang w:val="hu-HU" w:eastAsia="en-GB"/>
        </w:rPr>
        <w:noBreakHyphen/>
        <w:t>terápia leállításra kerül.</w:t>
      </w:r>
    </w:p>
    <w:p w14:paraId="06098660" w14:textId="77777777" w:rsidR="00342CEA" w:rsidRDefault="00342CEA">
      <w:pPr>
        <w:spacing w:line="240" w:lineRule="auto"/>
        <w:rPr>
          <w:lang w:val="hu-HU"/>
        </w:rPr>
      </w:pPr>
    </w:p>
    <w:p w14:paraId="3674BB83" w14:textId="77777777" w:rsidR="00342CEA" w:rsidRDefault="00837BAB">
      <w:pPr>
        <w:tabs>
          <w:tab w:val="clear" w:pos="567"/>
        </w:tabs>
        <w:autoSpaceDE w:val="0"/>
        <w:autoSpaceDN w:val="0"/>
        <w:spacing w:line="240" w:lineRule="auto"/>
        <w:rPr>
          <w:rFonts w:eastAsia="TimesNewRomanPSMT"/>
          <w:u w:val="single"/>
          <w:lang w:val="hu-HU" w:eastAsia="en-GB"/>
        </w:rPr>
      </w:pPr>
      <w:r>
        <w:rPr>
          <w:u w:val="single"/>
          <w:lang w:val="hu-HU" w:eastAsia="en-GB"/>
        </w:rPr>
        <w:t>Thrombotic</w:t>
      </w:r>
      <w:r>
        <w:rPr>
          <w:rFonts w:eastAsia="TimesNewRomanPSMT"/>
          <w:u w:val="single"/>
          <w:lang w:val="hu-HU" w:eastAsia="en-GB"/>
        </w:rPr>
        <w:t>us/thromboemboliás szövődmények</w:t>
      </w:r>
    </w:p>
    <w:p w14:paraId="0F882A52" w14:textId="77777777" w:rsidR="00F1168F" w:rsidRDefault="00F1168F">
      <w:pPr>
        <w:tabs>
          <w:tab w:val="clear" w:pos="567"/>
        </w:tabs>
        <w:autoSpaceDE w:val="0"/>
        <w:autoSpaceDN w:val="0"/>
        <w:spacing w:line="240" w:lineRule="auto"/>
        <w:rPr>
          <w:rFonts w:eastAsia="TimesNewRomanPSMT"/>
          <w:u w:val="single"/>
          <w:lang w:val="hu-HU" w:eastAsia="en-GB"/>
        </w:rPr>
      </w:pPr>
    </w:p>
    <w:p w14:paraId="374A51A1" w14:textId="77777777" w:rsidR="00342CEA" w:rsidRDefault="00837BAB">
      <w:pPr>
        <w:tabs>
          <w:tab w:val="clear" w:pos="567"/>
        </w:tabs>
        <w:autoSpaceDE w:val="0"/>
        <w:autoSpaceDN w:val="0"/>
        <w:spacing w:line="240" w:lineRule="auto"/>
        <w:rPr>
          <w:lang w:val="hu-HU"/>
        </w:rPr>
      </w:pPr>
      <w:r>
        <w:rPr>
          <w:lang w:val="hu-HU" w:eastAsia="en-GB"/>
        </w:rPr>
        <w:t xml:space="preserve">Interferon alapú </w:t>
      </w:r>
      <w:r>
        <w:rPr>
          <w:rFonts w:eastAsia="TimesNewRomanPSMT"/>
          <w:lang w:val="hu-HU" w:eastAsia="en-GB"/>
        </w:rPr>
        <w:t>kezelésben részesülő, thrombocytopeniás HCV</w:t>
      </w:r>
      <w:r>
        <w:rPr>
          <w:rFonts w:eastAsia="TimesNewRomanPSMT"/>
          <w:lang w:val="hu-HU" w:eastAsia="en-GB"/>
        </w:rPr>
        <w:noBreakHyphen/>
      </w:r>
      <w:r>
        <w:rPr>
          <w:lang w:val="hu-HU" w:eastAsia="en-GB"/>
        </w:rPr>
        <w:t>betegekkel végzett kontrollos vizsgálatokban (n = 1439), 955, eltrombopaggal kezelt beteg közül 38</w:t>
      </w:r>
      <w:r>
        <w:rPr>
          <w:lang w:val="hu-HU" w:eastAsia="en-GB"/>
        </w:rPr>
        <w:noBreakHyphen/>
        <w:t>nál (4%), illetve 484, placebóval kezelt beteg közül 6</w:t>
      </w:r>
      <w:r>
        <w:rPr>
          <w:lang w:val="hu-HU" w:eastAsia="en-GB"/>
        </w:rPr>
        <w:noBreakHyphen/>
      </w:r>
      <w:r>
        <w:rPr>
          <w:rFonts w:eastAsia="TimesNewRomanPSMT"/>
          <w:lang w:val="hu-HU" w:eastAsia="en-GB"/>
        </w:rPr>
        <w:t>nál (1%) fordult elő TEE. A jelentett thromboticus/thrombo</w:t>
      </w:r>
      <w:r>
        <w:rPr>
          <w:lang w:val="hu-HU" w:eastAsia="en-GB"/>
        </w:rPr>
        <w:t xml:space="preserve">emboliás </w:t>
      </w:r>
      <w:r>
        <w:rPr>
          <w:rFonts w:eastAsia="TimesNewRomanPSMT"/>
          <w:lang w:val="hu-HU" w:eastAsia="en-GB"/>
        </w:rPr>
        <w:t>szövődmények között vénás és artériás események egyaránt voltak. A thromboemboliás események többsége nem volt súlyos, ezek a vizsgálat végére rendeződtek. Mindkét kezelési csoportban a v</w:t>
      </w:r>
      <w:r>
        <w:rPr>
          <w:lang w:val="hu-HU" w:eastAsia="en-GB"/>
        </w:rPr>
        <w:t xml:space="preserve">ena portae thrombosisa volt a leggyakoribb TEE (2% az eltrombopaggal kezelt csoportban versus &lt; 1% a </w:t>
      </w:r>
      <w:r>
        <w:rPr>
          <w:rFonts w:eastAsia="TimesNewRomanPSMT"/>
          <w:lang w:val="hu-HU" w:eastAsia="en-GB"/>
        </w:rPr>
        <w:t xml:space="preserve">placebocsoportban). Nem figyeltek meg specifikus időbeli összefüggést a kezelés kezdete és a thromboemboliás </w:t>
      </w:r>
      <w:r>
        <w:rPr>
          <w:lang w:val="hu-HU" w:eastAsia="en-GB"/>
        </w:rPr>
        <w:t>esemény között. Az alacsony albuminszinttel (</w:t>
      </w:r>
      <w:r>
        <w:rPr>
          <w:rFonts w:eastAsia="TimesNewRomanPSMT"/>
          <w:lang w:val="hu-HU" w:eastAsia="en-GB"/>
        </w:rPr>
        <w:t>≤ </w:t>
      </w:r>
      <w:r>
        <w:rPr>
          <w:lang w:val="hu-HU" w:eastAsia="en-GB"/>
        </w:rPr>
        <w:t xml:space="preserve">35 g/l) vagy </w:t>
      </w:r>
      <w:r>
        <w:rPr>
          <w:rFonts w:eastAsia="TimesNewRomanPSMT"/>
          <w:lang w:val="hu-HU" w:eastAsia="en-GB"/>
        </w:rPr>
        <w:t>≥ </w:t>
      </w:r>
      <w:r>
        <w:rPr>
          <w:lang w:val="hu-HU" w:eastAsia="en-GB"/>
        </w:rPr>
        <w:t>10 MELD</w:t>
      </w:r>
      <w:r>
        <w:rPr>
          <w:lang w:val="hu-HU" w:eastAsia="en-GB"/>
        </w:rPr>
        <w:noBreakHyphen/>
        <w:t>pontszám</w:t>
      </w:r>
      <w:r>
        <w:rPr>
          <w:rFonts w:eastAsia="TimesNewRomanPSMT"/>
          <w:lang w:val="hu-HU" w:eastAsia="en-GB"/>
        </w:rPr>
        <w:t xml:space="preserve">mal rendelkező </w:t>
      </w:r>
      <w:r>
        <w:rPr>
          <w:lang w:val="hu-HU" w:eastAsia="en-GB"/>
        </w:rPr>
        <w:t>betegeknél 2</w:t>
      </w:r>
      <w:r>
        <w:rPr>
          <w:lang w:val="hu-HU" w:eastAsia="en-GB"/>
        </w:rPr>
        <w:noBreakHyphen/>
      </w:r>
      <w:r>
        <w:rPr>
          <w:rFonts w:eastAsia="TimesNewRomanPSMT"/>
          <w:lang w:val="hu-HU" w:eastAsia="en-GB"/>
        </w:rPr>
        <w:t xml:space="preserve">szeres mértékű volt a TEE kockázata a magasabb albmuniszinttel rendelkezőkhöz </w:t>
      </w:r>
      <w:r>
        <w:rPr>
          <w:lang w:val="hu-HU" w:eastAsia="en-GB"/>
        </w:rPr>
        <w:t>viszonyítva, illetve a 60 </w:t>
      </w:r>
      <w:r>
        <w:rPr>
          <w:rFonts w:eastAsia="TimesNewRomanPSMT"/>
          <w:lang w:val="hu-HU" w:eastAsia="en-GB"/>
        </w:rPr>
        <w:t>éves vagy annál idősebbeknél kétszeres volt a TEE</w:t>
      </w:r>
      <w:r>
        <w:rPr>
          <w:lang w:val="hu-HU" w:eastAsia="en-GB"/>
        </w:rPr>
        <w:noBreakHyphen/>
        <w:t xml:space="preserve">k kockázata, mint a </w:t>
      </w:r>
      <w:r>
        <w:rPr>
          <w:rFonts w:eastAsia="TimesNewRomanPSMT"/>
          <w:lang w:val="hu-HU" w:eastAsia="en-GB"/>
        </w:rPr>
        <w:t xml:space="preserve">fiatalabb betegeknél. Ezeknél a betegeknél az eltrombopag csak a várható előnyök és kockázatok </w:t>
      </w:r>
      <w:r>
        <w:rPr>
          <w:lang w:val="hu-HU" w:eastAsia="en-GB"/>
        </w:rPr>
        <w:t>k</w:t>
      </w:r>
      <w:r>
        <w:rPr>
          <w:rFonts w:eastAsia="TimesNewRomanPSMT"/>
          <w:lang w:val="hu-HU" w:eastAsia="en-GB"/>
        </w:rPr>
        <w:t>örültekintő mérlegelése után alkalmazható A betegeknél gondosan monitorozni kell a TEE</w:t>
      </w:r>
      <w:r>
        <w:rPr>
          <w:rFonts w:eastAsia="TimesNewRomanPSMT"/>
          <w:lang w:val="hu-HU" w:eastAsia="en-GB"/>
        </w:rPr>
        <w:noBreakHyphen/>
      </w:r>
      <w:r>
        <w:rPr>
          <w:lang w:val="hu-HU" w:eastAsia="en-GB"/>
        </w:rPr>
        <w:t>re utaló jeleket és tüneteket.</w:t>
      </w:r>
    </w:p>
    <w:p w14:paraId="392A5A71" w14:textId="77777777" w:rsidR="00342CEA" w:rsidRDefault="00342CEA">
      <w:pPr>
        <w:spacing w:line="240" w:lineRule="auto"/>
        <w:rPr>
          <w:lang w:val="hu-HU"/>
        </w:rPr>
      </w:pPr>
    </w:p>
    <w:p w14:paraId="28DC696F" w14:textId="77777777" w:rsidR="00342CEA" w:rsidRDefault="00837BAB">
      <w:pPr>
        <w:tabs>
          <w:tab w:val="clear" w:pos="567"/>
        </w:tabs>
        <w:autoSpaceDE w:val="0"/>
        <w:autoSpaceDN w:val="0"/>
        <w:spacing w:line="240" w:lineRule="auto"/>
        <w:rPr>
          <w:lang w:val="hu-HU"/>
        </w:rPr>
      </w:pPr>
      <w:r>
        <w:rPr>
          <w:lang w:val="hu-HU" w:eastAsia="en-GB"/>
        </w:rPr>
        <w:lastRenderedPageBreak/>
        <w:t xml:space="preserve">A thromboemboliás események kockázatának fokozódását észlelték azoknál a krónikus </w:t>
      </w:r>
      <w:r>
        <w:rPr>
          <w:rFonts w:eastAsia="TimesNewRomanPSMT"/>
          <w:lang w:val="hu-HU" w:eastAsia="en-GB"/>
        </w:rPr>
        <w:t>májbetegségben szenvedő betegeknél</w:t>
      </w:r>
      <w:r>
        <w:rPr>
          <w:lang w:val="hu-HU" w:eastAsia="en-GB"/>
        </w:rPr>
        <w:t>, akiket invazív bea</w:t>
      </w:r>
      <w:r>
        <w:rPr>
          <w:rFonts w:eastAsia="TimesNewRomanPSMT"/>
          <w:lang w:val="hu-HU" w:eastAsia="en-GB"/>
        </w:rPr>
        <w:t xml:space="preserve">vatkozás előkészítése során </w:t>
      </w:r>
      <w:r>
        <w:rPr>
          <w:lang w:val="hu-HU" w:eastAsia="en-GB"/>
        </w:rPr>
        <w:t xml:space="preserve">2 hétig napi egyszeri 75 mg </w:t>
      </w:r>
      <w:r>
        <w:rPr>
          <w:rFonts w:eastAsia="TimesNewRomanPSMT"/>
          <w:lang w:val="hu-HU" w:eastAsia="en-GB"/>
        </w:rPr>
        <w:t xml:space="preserve">eltrombopaggal kezeltek. A krónikus májbetegségben szenvedő, eltrombopaggal </w:t>
      </w:r>
      <w:r>
        <w:rPr>
          <w:lang w:val="hu-HU" w:eastAsia="en-GB"/>
        </w:rPr>
        <w:t>kezelt 143 </w:t>
      </w:r>
      <w:r>
        <w:rPr>
          <w:rFonts w:eastAsia="TimesNewRomanPSMT"/>
          <w:lang w:val="hu-HU" w:eastAsia="en-GB"/>
        </w:rPr>
        <w:t xml:space="preserve">felnőtt beteg közül hatnál (4%) tapasztaltak </w:t>
      </w:r>
      <w:r>
        <w:rPr>
          <w:lang w:val="hu-HU" w:eastAsia="en-GB"/>
        </w:rPr>
        <w:t xml:space="preserve">thromboemboliás eseményt (valamennyi a portalis rendszert érintette), míg a placebocsoportban a 145 beteg közül </w:t>
      </w:r>
      <w:r>
        <w:rPr>
          <w:rFonts w:eastAsia="TimesNewRomanPSMT"/>
          <w:lang w:val="hu-HU" w:eastAsia="en-GB"/>
        </w:rPr>
        <w:t>kettő</w:t>
      </w:r>
      <w:r>
        <w:rPr>
          <w:lang w:val="hu-HU" w:eastAsia="en-GB"/>
        </w:rPr>
        <w:t xml:space="preserve">nél (1%) tapasztaltak thromboemboliás eseményt (egynél a portalis vénás rendszerben egynél pedig myocardialis infarctust okozott). Az eltrombopaggal kezelt 6 beteg közül ötnél alakult ki thromboticus </w:t>
      </w:r>
      <w:r>
        <w:rPr>
          <w:rFonts w:eastAsia="TimesNewRomanPSMT"/>
          <w:lang w:val="hu-HU" w:eastAsia="en-GB"/>
        </w:rPr>
        <w:t>szövődmény &gt; </w:t>
      </w:r>
      <w:r>
        <w:rPr>
          <w:lang w:val="hu-HU" w:eastAsia="en-GB"/>
        </w:rPr>
        <w:t xml:space="preserve">200 000/µl vérlemezkeszámnál és az eltrombopag utolsó adagjától számított 30 napon belül. Az eltrombopag nem javasolt </w:t>
      </w:r>
      <w:r>
        <w:rPr>
          <w:rFonts w:eastAsia="TimesNewRomanPSMT"/>
          <w:lang w:val="hu-HU" w:eastAsia="en-GB"/>
        </w:rPr>
        <w:t>krónikus májbetegségben szenvedő betegek thrombocytopeniájának kezelésére, invazív beavatkozások előkészítése során.</w:t>
      </w:r>
    </w:p>
    <w:p w14:paraId="2AC58CA2" w14:textId="77777777" w:rsidR="00342CEA" w:rsidRDefault="00342CEA">
      <w:pPr>
        <w:spacing w:line="240" w:lineRule="auto"/>
        <w:rPr>
          <w:lang w:val="hu-HU"/>
        </w:rPr>
      </w:pPr>
    </w:p>
    <w:p w14:paraId="77B0FD5D" w14:textId="77777777" w:rsidR="00342CEA" w:rsidRDefault="00837BAB">
      <w:pPr>
        <w:tabs>
          <w:tab w:val="clear" w:pos="567"/>
        </w:tabs>
        <w:autoSpaceDE w:val="0"/>
        <w:autoSpaceDN w:val="0"/>
        <w:spacing w:line="240" w:lineRule="auto"/>
        <w:rPr>
          <w:lang w:val="hu-HU"/>
        </w:rPr>
      </w:pPr>
      <w:r>
        <w:rPr>
          <w:lang w:val="hu-HU" w:eastAsia="en-GB"/>
        </w:rPr>
        <w:t>ITP</w:t>
      </w:r>
      <w:r>
        <w:rPr>
          <w:lang w:val="hu-HU" w:eastAsia="en-GB"/>
        </w:rPr>
        <w:noBreakHyphen/>
        <w:t xml:space="preserve">s betegek bevonásával eltrombopaggal végzett klinikai vizsgálatokban thromboemboliás </w:t>
      </w:r>
      <w:r>
        <w:rPr>
          <w:rFonts w:eastAsia="TimesNewRomanPSMT"/>
          <w:lang w:val="hu-HU" w:eastAsia="en-GB"/>
        </w:rPr>
        <w:t xml:space="preserve">eseményeket figyeltek meg alacsony és normál vérlemezkeszám mellett. Elővigyázatosság szükséges, amikor az eltrombopagot olyan betegeknél alkalmazzák, akiknél ismerten jelen vannak a thromboembolára hajlamosító kockázati tényezők, beleértve, de nem kizárólagosan, az öröklött (pl. </w:t>
      </w:r>
      <w:r>
        <w:rPr>
          <w:lang w:val="hu-HU" w:eastAsia="en-GB"/>
        </w:rPr>
        <w:t>V. vagy Leiden faktor) vagy szerzett (pl. ATIII</w:t>
      </w:r>
      <w:r>
        <w:rPr>
          <w:lang w:val="hu-HU" w:eastAsia="en-GB"/>
        </w:rPr>
        <w:noBreakHyphen/>
      </w:r>
      <w:r>
        <w:rPr>
          <w:rFonts w:eastAsia="TimesNewRomanPSMT"/>
          <w:lang w:val="hu-HU" w:eastAsia="en-GB"/>
        </w:rPr>
        <w:t>hiány, antifoszfolipid szindróma), előrehaladott életkor, hosszabb időszakokon át mozgásukban korlátozott bete</w:t>
      </w:r>
      <w:r>
        <w:rPr>
          <w:lang w:val="hu-HU" w:eastAsia="en-GB"/>
        </w:rPr>
        <w:t xml:space="preserve">gek, malignitások, fogamzásgátlók és </w:t>
      </w:r>
      <w:r>
        <w:rPr>
          <w:rFonts w:eastAsia="TimesNewRomanPSMT"/>
          <w:lang w:val="hu-HU" w:eastAsia="en-GB"/>
        </w:rPr>
        <w:t>hormonpótló</w:t>
      </w:r>
      <w:r>
        <w:rPr>
          <w:rFonts w:eastAsia="TimesNewRomanPSMT"/>
          <w:lang w:val="hu-HU" w:eastAsia="en-GB"/>
        </w:rPr>
        <w:noBreakHyphen/>
        <w:t xml:space="preserve">kezelések, műtét/trauma, elhízás és dohányzás. A vérlemezkeszámot gondosan monitorozni kell, és amennyiben a vérlemezkeszám meghaladja a kitűzött célértéket, fontolóra kell </w:t>
      </w:r>
      <w:r>
        <w:rPr>
          <w:lang w:val="hu-HU" w:eastAsia="en-GB"/>
        </w:rPr>
        <w:t>venni az eltrombopag dózisának csökkentését vagy az eltrombopag</w:t>
      </w:r>
      <w:r>
        <w:rPr>
          <w:lang w:val="hu-HU" w:eastAsia="en-GB"/>
        </w:rPr>
        <w:noBreakHyphen/>
        <w:t xml:space="preserve">kezelés leállítását (lásd 4.2 pont). </w:t>
      </w:r>
      <w:r>
        <w:rPr>
          <w:rFonts w:eastAsia="TimesNewRomanPSMT"/>
          <w:lang w:val="hu-HU" w:eastAsia="en-GB"/>
        </w:rPr>
        <w:t>Az előny/kockázat</w:t>
      </w:r>
      <w:r>
        <w:rPr>
          <w:lang w:val="hu-HU" w:eastAsia="en-GB"/>
        </w:rPr>
        <w:t>-</w:t>
      </w:r>
      <w:r>
        <w:rPr>
          <w:rFonts w:eastAsia="TimesNewRomanPSMT"/>
          <w:lang w:val="hu-HU" w:eastAsia="en-GB"/>
        </w:rPr>
        <w:t xml:space="preserve">arányt mérlegelni kell azoknál a betegeknél, akiknél </w:t>
      </w:r>
      <w:r>
        <w:rPr>
          <w:lang w:val="hu-HU" w:eastAsia="en-GB"/>
        </w:rPr>
        <w:t>fennáll</w:t>
      </w:r>
      <w:r>
        <w:rPr>
          <w:rFonts w:eastAsia="TimesNewRomanPSMT"/>
          <w:lang w:val="hu-HU" w:eastAsia="en-GB"/>
        </w:rPr>
        <w:t xml:space="preserve"> bármilyen eredetű </w:t>
      </w:r>
      <w:r>
        <w:rPr>
          <w:lang w:val="hu-HU" w:eastAsia="en-GB"/>
        </w:rPr>
        <w:t>TEE kockázata.</w:t>
      </w:r>
    </w:p>
    <w:p w14:paraId="583A9365" w14:textId="27B3933C" w:rsidR="00C8324A" w:rsidRDefault="00C8324A" w:rsidP="00C8324A">
      <w:pPr>
        <w:spacing w:line="240" w:lineRule="auto"/>
        <w:rPr>
          <w:lang w:val="hu-HU"/>
        </w:rPr>
      </w:pPr>
    </w:p>
    <w:p w14:paraId="57E259F0" w14:textId="77777777" w:rsidR="00342CEA" w:rsidRDefault="00342CEA">
      <w:pPr>
        <w:spacing w:line="240" w:lineRule="auto"/>
        <w:rPr>
          <w:lang w:val="hu-HU"/>
        </w:rPr>
      </w:pPr>
    </w:p>
    <w:p w14:paraId="21A124C1" w14:textId="77777777" w:rsidR="00342CEA" w:rsidRDefault="00837BAB">
      <w:pPr>
        <w:tabs>
          <w:tab w:val="clear" w:pos="567"/>
        </w:tabs>
        <w:autoSpaceDE w:val="0"/>
        <w:autoSpaceDN w:val="0"/>
        <w:spacing w:line="240" w:lineRule="auto"/>
        <w:rPr>
          <w:lang w:val="hu-HU"/>
        </w:rPr>
      </w:pPr>
      <w:r>
        <w:rPr>
          <w:rFonts w:eastAsia="TimesNewRomanPSMT"/>
          <w:lang w:val="hu-HU" w:eastAsia="en-GB"/>
        </w:rPr>
        <w:t>Az eltrombopag nem alkalmazható májkárosodásban szenvedő (Child</w:t>
      </w:r>
      <w:r>
        <w:rPr>
          <w:rFonts w:eastAsia="TimesNewRomanPSMT"/>
          <w:lang w:val="hu-HU" w:eastAsia="en-GB"/>
        </w:rPr>
        <w:noBreakHyphen/>
        <w:t>Pugh pontszám ≥ 5) ITP</w:t>
      </w:r>
      <w:r>
        <w:rPr>
          <w:rFonts w:eastAsia="TimesNewRomanPSMT"/>
          <w:lang w:val="hu-HU" w:eastAsia="en-GB"/>
        </w:rPr>
        <w:noBreakHyphen/>
        <w:t>s betegeknél, kivéve, ha a várható előny meghaladja a vena portae thrombosis ismert kockázatát. Ha a kezelést előnyösnek értékelik, májkárosodásban szenvedő betegeknél az eltrombopag adásakor elővigyázatosság szükséges (lásd 4.2 és 4.8 pont).</w:t>
      </w:r>
    </w:p>
    <w:p w14:paraId="3E0BCE6A" w14:textId="77777777" w:rsidR="00342CEA" w:rsidRDefault="00342CEA">
      <w:pPr>
        <w:spacing w:line="240" w:lineRule="auto"/>
        <w:rPr>
          <w:lang w:val="hu-HU"/>
        </w:rPr>
      </w:pPr>
    </w:p>
    <w:p w14:paraId="65FA8B3A"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Vérzés az eltrombopag-kezelés leállítása után</w:t>
      </w:r>
    </w:p>
    <w:p w14:paraId="59E4010E" w14:textId="77777777" w:rsidR="00F1168F" w:rsidRDefault="00F1168F">
      <w:pPr>
        <w:tabs>
          <w:tab w:val="clear" w:pos="567"/>
        </w:tabs>
        <w:autoSpaceDE w:val="0"/>
        <w:autoSpaceDN w:val="0"/>
        <w:spacing w:line="240" w:lineRule="auto"/>
        <w:rPr>
          <w:u w:val="single"/>
          <w:lang w:val="hu-HU" w:eastAsia="en-GB"/>
        </w:rPr>
      </w:pPr>
    </w:p>
    <w:p w14:paraId="57BC1E4A" w14:textId="77777777" w:rsidR="00342CEA" w:rsidRDefault="00837BAB">
      <w:pPr>
        <w:tabs>
          <w:tab w:val="clear" w:pos="567"/>
        </w:tabs>
        <w:autoSpaceDE w:val="0"/>
        <w:autoSpaceDN w:val="0"/>
        <w:spacing w:line="240" w:lineRule="auto"/>
        <w:rPr>
          <w:lang w:val="hu-HU" w:eastAsia="en-GB"/>
        </w:rPr>
      </w:pPr>
      <w:r>
        <w:rPr>
          <w:lang w:val="hu-HU" w:eastAsia="en-GB"/>
        </w:rPr>
        <w:t>Az eltrombopag</w:t>
      </w:r>
      <w:r>
        <w:rPr>
          <w:lang w:val="hu-HU" w:eastAsia="en-GB"/>
        </w:rPr>
        <w:noBreakHyphen/>
      </w:r>
      <w:r>
        <w:rPr>
          <w:rFonts w:eastAsia="TimesNewRomanPSMT"/>
          <w:lang w:val="hu-HU" w:eastAsia="en-GB"/>
        </w:rPr>
        <w:t>kezelés befejezése után az ITP</w:t>
      </w:r>
      <w:r>
        <w:rPr>
          <w:rFonts w:eastAsia="TimesNewRomanPSMT"/>
          <w:lang w:val="hu-HU" w:eastAsia="en-GB"/>
        </w:rPr>
        <w:noBreakHyphen/>
        <w:t xml:space="preserve">s betegeknél várható a </w:t>
      </w:r>
      <w:r>
        <w:rPr>
          <w:lang w:val="hu-HU" w:eastAsia="en-GB"/>
        </w:rPr>
        <w:t xml:space="preserve">thrombocytopenia kiújulása. Az eltrombopag </w:t>
      </w:r>
      <w:r>
        <w:rPr>
          <w:rFonts w:eastAsia="TimesNewRomanPSMT"/>
          <w:lang w:val="hu-HU" w:eastAsia="en-GB"/>
        </w:rPr>
        <w:t>leállítását követően a vérlemezkeszám a betegek többségénél 2 </w:t>
      </w:r>
      <w:r>
        <w:rPr>
          <w:lang w:val="hu-HU" w:eastAsia="en-GB"/>
        </w:rPr>
        <w:t xml:space="preserve">hét alatt visszatér a kiindulási szintre, </w:t>
      </w:r>
      <w:r>
        <w:rPr>
          <w:rFonts w:eastAsia="TimesNewRomanPSMT"/>
          <w:lang w:val="hu-HU" w:eastAsia="en-GB"/>
        </w:rPr>
        <w:t xml:space="preserve">ami növeli a vérzés kockázatát, sőt bizonyos esetekben vérzést okozhat. </w:t>
      </w:r>
      <w:r>
        <w:rPr>
          <w:lang w:val="hu-HU" w:eastAsia="en-GB"/>
        </w:rPr>
        <w:t>Ez a kockázat fokozódik, ha az eltrombopag</w:t>
      </w:r>
      <w:r>
        <w:rPr>
          <w:lang w:val="hu-HU" w:eastAsia="en-GB"/>
        </w:rPr>
        <w:noBreakHyphen/>
        <w:t>kezelést véralvadásgátlók vagy thrombocyta</w:t>
      </w:r>
      <w:r>
        <w:rPr>
          <w:lang w:val="hu-HU" w:eastAsia="en-GB"/>
        </w:rPr>
        <w:noBreakHyphen/>
        <w:t>aggregációt gátló szerek adása mellett hagyják abba. Az eltrombopag</w:t>
      </w:r>
      <w:r>
        <w:rPr>
          <w:lang w:val="hu-HU" w:eastAsia="en-GB"/>
        </w:rPr>
        <w:noBreakHyphen/>
      </w:r>
      <w:r>
        <w:rPr>
          <w:rFonts w:eastAsia="TimesNewRomanPSMT"/>
          <w:lang w:val="hu-HU" w:eastAsia="en-GB"/>
        </w:rPr>
        <w:t xml:space="preserve">kezelés leállítása esetén javasolt az ITP kezelésének az érvényben lévő </w:t>
      </w:r>
      <w:r>
        <w:rPr>
          <w:lang w:val="hu-HU" w:eastAsia="en-GB"/>
        </w:rPr>
        <w:t>terápiás protokollok szerinti újraindítása. További kezelésként szükséges lehet még az antikoaguláns és/vagy a thrombocytagátló szerek leállítása, a véralvadásgátlás felfüggesztése vagy a thrombocyta pótlás. Az eltrombopag-kezelés leállítása után a vérlemezkeszámot 4 hétig hetente monitorozni kell.</w:t>
      </w:r>
    </w:p>
    <w:p w14:paraId="66E2DE23" w14:textId="77777777" w:rsidR="00342CEA" w:rsidRDefault="00342CEA">
      <w:pPr>
        <w:tabs>
          <w:tab w:val="clear" w:pos="567"/>
        </w:tabs>
        <w:autoSpaceDE w:val="0"/>
        <w:autoSpaceDN w:val="0"/>
        <w:spacing w:line="240" w:lineRule="auto"/>
        <w:rPr>
          <w:lang w:val="hu-HU" w:eastAsia="en-GB"/>
        </w:rPr>
      </w:pPr>
    </w:p>
    <w:p w14:paraId="2870DC14" w14:textId="77777777" w:rsidR="00342CEA" w:rsidRDefault="00837BAB">
      <w:pPr>
        <w:tabs>
          <w:tab w:val="clear" w:pos="567"/>
        </w:tabs>
        <w:autoSpaceDE w:val="0"/>
        <w:autoSpaceDN w:val="0"/>
        <w:spacing w:line="240" w:lineRule="auto"/>
        <w:rPr>
          <w:lang w:val="hu-HU"/>
        </w:rPr>
      </w:pPr>
      <w:r>
        <w:rPr>
          <w:lang w:val="hu-HU" w:eastAsia="en-GB"/>
        </w:rPr>
        <w:t>HCV klinikai vizsgálatokban a peginterferon, ribavirin és eltrombopag alkalmazásának leállítása után nagyobb gyakorisággal jelentettek gastrointestinalis vérzést, beleértve a súlyos és halálos eseteket is. A kezelés leállítása után, a betegeknél gondosan monitoroznié kell a gastrointestinalis vérzésre utaló jeleket és tüneteket.</w:t>
      </w:r>
    </w:p>
    <w:p w14:paraId="0CB7AC4F" w14:textId="77777777" w:rsidR="00342CEA" w:rsidRDefault="00342CEA">
      <w:pPr>
        <w:spacing w:line="240" w:lineRule="auto"/>
        <w:rPr>
          <w:lang w:val="hu-HU"/>
        </w:rPr>
      </w:pPr>
    </w:p>
    <w:p w14:paraId="7D59F949" w14:textId="77777777" w:rsidR="00342CEA" w:rsidRDefault="00837BAB">
      <w:pPr>
        <w:tabs>
          <w:tab w:val="clear" w:pos="567"/>
        </w:tabs>
        <w:autoSpaceDE w:val="0"/>
        <w:autoSpaceDN w:val="0"/>
        <w:spacing w:line="240" w:lineRule="auto"/>
        <w:rPr>
          <w:rFonts w:eastAsia="TimesNewRomanPSMT"/>
          <w:u w:val="single"/>
          <w:lang w:val="hu-HU" w:eastAsia="en-GB"/>
        </w:rPr>
      </w:pPr>
      <w:r>
        <w:rPr>
          <w:rFonts w:eastAsia="TimesNewRomanPSMT"/>
          <w:u w:val="single"/>
          <w:lang w:val="hu-HU" w:eastAsia="en-GB"/>
        </w:rPr>
        <w:t>Retikulinképződés a csontvelőben és a csontvelőfibrózis kockázata</w:t>
      </w:r>
    </w:p>
    <w:p w14:paraId="41097109" w14:textId="77777777" w:rsidR="00F1168F" w:rsidRDefault="00F1168F">
      <w:pPr>
        <w:tabs>
          <w:tab w:val="clear" w:pos="567"/>
        </w:tabs>
        <w:autoSpaceDE w:val="0"/>
        <w:autoSpaceDN w:val="0"/>
        <w:spacing w:line="240" w:lineRule="auto"/>
        <w:rPr>
          <w:rFonts w:eastAsia="TimesNewRomanPSMT"/>
          <w:u w:val="single"/>
          <w:lang w:val="hu-HU" w:eastAsia="en-GB"/>
        </w:rPr>
      </w:pPr>
    </w:p>
    <w:p w14:paraId="7FBD5443" w14:textId="77777777" w:rsidR="00342CEA" w:rsidRDefault="00837BAB">
      <w:pPr>
        <w:tabs>
          <w:tab w:val="clear" w:pos="567"/>
        </w:tabs>
        <w:autoSpaceDE w:val="0"/>
        <w:autoSpaceDN w:val="0"/>
        <w:spacing w:line="240" w:lineRule="auto"/>
        <w:rPr>
          <w:rFonts w:eastAsia="TimesNewRomanPSMT"/>
          <w:lang w:val="hu-HU" w:eastAsia="en-GB"/>
        </w:rPr>
      </w:pPr>
      <w:r>
        <w:rPr>
          <w:rFonts w:eastAsia="TimesNewRomanPSMT"/>
          <w:lang w:val="hu-HU" w:eastAsia="en-GB"/>
        </w:rPr>
        <w:t>Az eltrombopag fokozhatja a csontvelőben a retikulinrostok képződésének vagy azok progressziójának a kockázatát. Ennek jelentőségét, más thrombopoietin</w:t>
      </w:r>
      <w:r>
        <w:rPr>
          <w:rFonts w:eastAsia="TimesNewRomanPSMT"/>
          <w:lang w:val="hu-HU" w:eastAsia="en-GB"/>
        </w:rPr>
        <w:noBreakHyphen/>
        <w:t>receptor</w:t>
      </w:r>
      <w:r>
        <w:rPr>
          <w:rFonts w:eastAsia="TimesNewRomanPSMT"/>
          <w:lang w:val="hu-HU" w:eastAsia="en-GB"/>
        </w:rPr>
        <w:noBreakHyphen/>
        <w:t xml:space="preserve"> (TPO</w:t>
      </w:r>
      <w:r>
        <w:rPr>
          <w:rFonts w:eastAsia="TimesNewRomanPSMT"/>
          <w:lang w:val="hu-HU" w:eastAsia="en-GB"/>
        </w:rPr>
        <w:noBreakHyphen/>
        <w:t>R) agonistákhoz hasonlóan, még nem határozták meg.</w:t>
      </w:r>
    </w:p>
    <w:p w14:paraId="1D567A2A" w14:textId="77777777" w:rsidR="00342CEA" w:rsidRDefault="00342CEA">
      <w:pPr>
        <w:tabs>
          <w:tab w:val="clear" w:pos="567"/>
        </w:tabs>
        <w:autoSpaceDE w:val="0"/>
        <w:autoSpaceDN w:val="0"/>
        <w:spacing w:line="240" w:lineRule="auto"/>
        <w:rPr>
          <w:rFonts w:eastAsia="TimesNewRomanPSMT"/>
          <w:lang w:val="hu-HU" w:eastAsia="en-GB"/>
        </w:rPr>
      </w:pPr>
    </w:p>
    <w:p w14:paraId="19995F6C" w14:textId="77777777" w:rsidR="00342CEA" w:rsidRDefault="00837BAB">
      <w:pPr>
        <w:tabs>
          <w:tab w:val="clear" w:pos="567"/>
        </w:tabs>
        <w:autoSpaceDE w:val="0"/>
        <w:autoSpaceDN w:val="0"/>
        <w:spacing w:line="240" w:lineRule="auto"/>
        <w:rPr>
          <w:lang w:val="hu-HU"/>
        </w:rPr>
      </w:pPr>
      <w:r>
        <w:rPr>
          <w:rFonts w:eastAsia="TimesNewRomanPSMT"/>
          <w:lang w:val="hu-HU" w:eastAsia="en-GB"/>
        </w:rPr>
        <w:t>Az eltrombopag</w:t>
      </w:r>
      <w:r>
        <w:rPr>
          <w:rFonts w:eastAsia="TimesNewRomanPSMT"/>
          <w:lang w:val="hu-HU" w:eastAsia="en-GB"/>
        </w:rPr>
        <w:noBreakHyphen/>
        <w:t xml:space="preserve">kezelés elkezdése előtt a kóros sejtmorfológiai eltérések ellenőrzése érdekében figyelmesen meg kell vizsgálni a perifériás vérkenetet. A stabil eltrombopag dózis elérése után havonta el kell végezni a teljes vérkép vizsgálatot, a fehérvérsejtszám minőségi összetételének meghatározásával. Ha éretlen vagy dysplasiás sejtek láthatók, meg kell vizsgálni a perifériás vérkenetet az új vagy súlyosbodó kóros morfológiai eltérések (pl. könnycsepp alakú és magot </w:t>
      </w:r>
      <w:r>
        <w:rPr>
          <w:rFonts w:eastAsia="TimesNewRomanPSMT"/>
          <w:lang w:val="hu-HU" w:eastAsia="en-GB"/>
        </w:rPr>
        <w:lastRenderedPageBreak/>
        <w:t>tartalmazó vörösvérsejtek, éretlen fehérvérsejtek), vagy a cytopenia/cytopeniák szempontjából. Ha a betegnél új, vagy súlyosbodó kóros morfológiai eltérések, vagy cytopenia/cytopeniák alakulnak ki, le kell állítani az eltrombopag</w:t>
      </w:r>
      <w:r>
        <w:rPr>
          <w:rFonts w:eastAsia="TimesNewRomanPSMT"/>
          <w:lang w:val="hu-HU" w:eastAsia="en-GB"/>
        </w:rPr>
        <w:noBreakHyphen/>
        <w:t>kezelést, és meg kell fontolni a csontvelő biopsziát csontvelőfestéssel a fibrosis kimutatására.</w:t>
      </w:r>
    </w:p>
    <w:p w14:paraId="2BEE749F" w14:textId="77777777" w:rsidR="00342CEA" w:rsidRDefault="00342CEA">
      <w:pPr>
        <w:spacing w:line="240" w:lineRule="auto"/>
        <w:rPr>
          <w:lang w:val="hu-HU"/>
        </w:rPr>
      </w:pPr>
    </w:p>
    <w:p w14:paraId="75FCCF0D"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Fennálló myelodysplasiás szindróma (MDS) progressziója</w:t>
      </w:r>
    </w:p>
    <w:p w14:paraId="58DBCCC7" w14:textId="77777777" w:rsidR="00F1168F" w:rsidRDefault="00F1168F">
      <w:pPr>
        <w:tabs>
          <w:tab w:val="clear" w:pos="567"/>
        </w:tabs>
        <w:autoSpaceDE w:val="0"/>
        <w:autoSpaceDN w:val="0"/>
        <w:spacing w:line="240" w:lineRule="auto"/>
        <w:rPr>
          <w:u w:val="single"/>
          <w:lang w:val="hu-HU" w:eastAsia="en-GB"/>
        </w:rPr>
      </w:pPr>
    </w:p>
    <w:p w14:paraId="7EA01703" w14:textId="77777777" w:rsidR="00342CEA" w:rsidRDefault="00837BAB">
      <w:pPr>
        <w:tabs>
          <w:tab w:val="clear" w:pos="567"/>
        </w:tabs>
        <w:autoSpaceDE w:val="0"/>
        <w:autoSpaceDN w:val="0"/>
        <w:spacing w:line="240" w:lineRule="auto"/>
        <w:rPr>
          <w:lang w:val="hu-HU"/>
        </w:rPr>
      </w:pPr>
      <w:r>
        <w:rPr>
          <w:lang w:val="hu-HU" w:eastAsia="en-GB"/>
        </w:rPr>
        <w:t>Elméleti megfontolások alapján a TPO</w:t>
      </w:r>
      <w:r>
        <w:rPr>
          <w:lang w:val="hu-HU" w:eastAsia="en-GB"/>
        </w:rPr>
        <w:noBreakHyphen/>
        <w:t>R</w:t>
      </w:r>
      <w:r>
        <w:rPr>
          <w:lang w:val="hu-HU" w:eastAsia="en-GB"/>
        </w:rPr>
        <w:noBreakHyphen/>
        <w:t>agonisták fokozhatják a már fennálló, rosszindulatú hematológiai betegségek, pl. az MDS progresszióját. A TPO</w:t>
      </w:r>
      <w:r>
        <w:rPr>
          <w:lang w:val="hu-HU" w:eastAsia="en-GB"/>
        </w:rPr>
        <w:noBreakHyphen/>
        <w:t>R</w:t>
      </w:r>
      <w:r>
        <w:rPr>
          <w:lang w:val="hu-HU" w:eastAsia="en-GB"/>
        </w:rPr>
        <w:noBreakHyphen/>
        <w:t xml:space="preserve">agonisták növekedési faktorok, melyek a thrombopoietikus progenitor sejtek expanziójához, differenciálódásához és vérlemezke </w:t>
      </w:r>
      <w:r>
        <w:rPr>
          <w:rFonts w:eastAsia="TimesNewRomanPSMT"/>
          <w:lang w:val="hu-HU" w:eastAsia="en-GB"/>
        </w:rPr>
        <w:t>termelődéséhez vezetnek. A TPO</w:t>
      </w:r>
      <w:r>
        <w:rPr>
          <w:rFonts w:eastAsia="TimesNewRomanPSMT"/>
          <w:lang w:val="hu-HU" w:eastAsia="en-GB"/>
        </w:rPr>
        <w:noBreakHyphen/>
        <w:t>R főként a myeloid sejtvonal sejtjeinek felszínén expresszálódik.</w:t>
      </w:r>
    </w:p>
    <w:p w14:paraId="5E9FC081" w14:textId="77777777" w:rsidR="00342CEA" w:rsidRDefault="00342CEA">
      <w:pPr>
        <w:spacing w:line="240" w:lineRule="auto"/>
        <w:rPr>
          <w:lang w:val="hu-HU"/>
        </w:rPr>
      </w:pPr>
    </w:p>
    <w:p w14:paraId="31A8FCCA" w14:textId="77777777" w:rsidR="00342CEA" w:rsidRDefault="00837BAB">
      <w:pPr>
        <w:tabs>
          <w:tab w:val="clear" w:pos="567"/>
        </w:tabs>
        <w:autoSpaceDE w:val="0"/>
        <w:autoSpaceDN w:val="0"/>
        <w:spacing w:line="240" w:lineRule="auto"/>
        <w:rPr>
          <w:rFonts w:eastAsia="TimesNewRomanPSMT"/>
          <w:lang w:val="hu-HU" w:eastAsia="en-GB"/>
        </w:rPr>
      </w:pPr>
      <w:r>
        <w:rPr>
          <w:lang w:val="hu-HU" w:eastAsia="en-GB"/>
        </w:rPr>
        <w:t>TPO</w:t>
      </w:r>
      <w:r>
        <w:rPr>
          <w:lang w:val="hu-HU" w:eastAsia="en-GB"/>
        </w:rPr>
        <w:noBreakHyphen/>
        <w:t>R</w:t>
      </w:r>
      <w:r>
        <w:rPr>
          <w:lang w:val="hu-HU" w:eastAsia="en-GB"/>
        </w:rPr>
        <w:noBreakHyphen/>
        <w:t>agonistákkal MDS</w:t>
      </w:r>
      <w:r>
        <w:rPr>
          <w:lang w:val="hu-HU" w:eastAsia="en-GB"/>
        </w:rPr>
        <w:noBreakHyphen/>
      </w:r>
      <w:r>
        <w:rPr>
          <w:rFonts w:eastAsia="TimesNewRomanPSMT"/>
          <w:lang w:val="hu-HU" w:eastAsia="en-GB"/>
        </w:rPr>
        <w:t xml:space="preserve">ben szenvedő betegekkel végzett klinikai </w:t>
      </w:r>
      <w:r>
        <w:rPr>
          <w:lang w:val="hu-HU" w:eastAsia="en-GB"/>
        </w:rPr>
        <w:t>vizsgálatokban a blaszt</w:t>
      </w:r>
      <w:r>
        <w:rPr>
          <w:lang w:val="hu-HU" w:eastAsia="en-GB"/>
        </w:rPr>
        <w:noBreakHyphen/>
        <w:t xml:space="preserve">sejtek számának átmeneti emelkedését figyelték meg, és az MDS betegség akut myeloid leukaemiává (AML) </w:t>
      </w:r>
      <w:r>
        <w:rPr>
          <w:rFonts w:eastAsia="TimesNewRomanPSMT"/>
          <w:lang w:val="hu-HU" w:eastAsia="en-GB"/>
        </w:rPr>
        <w:t>történő progressziójával járó eseteket is jelentettek.</w:t>
      </w:r>
    </w:p>
    <w:p w14:paraId="3AF6A8C0" w14:textId="77777777" w:rsidR="00342CEA" w:rsidRDefault="00342CEA">
      <w:pPr>
        <w:tabs>
          <w:tab w:val="clear" w:pos="567"/>
        </w:tabs>
        <w:autoSpaceDE w:val="0"/>
        <w:autoSpaceDN w:val="0"/>
        <w:spacing w:line="240" w:lineRule="auto"/>
        <w:rPr>
          <w:rFonts w:eastAsia="TimesNewRomanPSMT"/>
          <w:lang w:val="hu-HU" w:eastAsia="en-GB"/>
        </w:rPr>
      </w:pPr>
    </w:p>
    <w:p w14:paraId="23B49FA6" w14:textId="6B6E4ABA" w:rsidR="00342CEA" w:rsidRDefault="00837BAB">
      <w:pPr>
        <w:tabs>
          <w:tab w:val="clear" w:pos="567"/>
        </w:tabs>
        <w:autoSpaceDE w:val="0"/>
        <w:autoSpaceDN w:val="0"/>
        <w:spacing w:line="240" w:lineRule="auto"/>
        <w:rPr>
          <w:lang w:val="hu-HU" w:eastAsia="en-GB"/>
        </w:rPr>
      </w:pPr>
      <w:r>
        <w:rPr>
          <w:rFonts w:eastAsia="TimesNewRomanPSMT"/>
          <w:lang w:val="hu-HU" w:eastAsia="en-GB"/>
        </w:rPr>
        <w:t xml:space="preserve">Az ITP diagnózisát felnőtt és idős </w:t>
      </w:r>
      <w:r>
        <w:rPr>
          <w:lang w:val="hu-HU" w:eastAsia="en-GB"/>
        </w:rPr>
        <w:t xml:space="preserve">korú betegeknél a thrombocytopeniával járó egyéb </w:t>
      </w:r>
      <w:r>
        <w:rPr>
          <w:rFonts w:eastAsia="TimesNewRomanPSMT"/>
          <w:lang w:val="hu-HU" w:eastAsia="en-GB"/>
        </w:rPr>
        <w:t xml:space="preserve">klinikai kórképek kizárásával kell megerősíteni, különösen az MDS diagnózisát kell kizárni. A betegség lefolyása és a kezelés során mérlegelni kell a csontvelő aspiráció és a biopszia elvégzését, </w:t>
      </w:r>
      <w:r>
        <w:rPr>
          <w:lang w:val="hu-HU" w:eastAsia="en-GB"/>
        </w:rPr>
        <w:t>különösen 60 év feletti betegeknél, azoknál, akiknél szisztémás tünetek, illetve kóros jelek állnak fenn, pl. a perifériás blasztok számának emelkedése.</w:t>
      </w:r>
    </w:p>
    <w:p w14:paraId="635D6B3C" w14:textId="77777777" w:rsidR="00342CEA" w:rsidRDefault="00342CEA">
      <w:pPr>
        <w:tabs>
          <w:tab w:val="clear" w:pos="567"/>
        </w:tabs>
        <w:autoSpaceDE w:val="0"/>
        <w:autoSpaceDN w:val="0"/>
        <w:spacing w:line="240" w:lineRule="auto"/>
        <w:rPr>
          <w:lang w:val="hu-HU" w:eastAsia="en-GB"/>
        </w:rPr>
      </w:pPr>
    </w:p>
    <w:p w14:paraId="11E7C506" w14:textId="77777777" w:rsidR="00342CEA" w:rsidRDefault="00837BAB">
      <w:pPr>
        <w:tabs>
          <w:tab w:val="clear" w:pos="567"/>
        </w:tabs>
        <w:autoSpaceDE w:val="0"/>
        <w:autoSpaceDN w:val="0"/>
        <w:spacing w:line="240" w:lineRule="auto"/>
        <w:rPr>
          <w:lang w:val="hu-HU"/>
        </w:rPr>
      </w:pPr>
      <w:r>
        <w:rPr>
          <w:lang w:val="hu-HU" w:eastAsia="en-GB"/>
        </w:rPr>
        <w:t xml:space="preserve">Az eltrombopag hatásosságát és biztonságosságát az MDS miatt kialakult thrombocytopenia kezelésében nem igazolták. </w:t>
      </w:r>
      <w:r>
        <w:rPr>
          <w:rFonts w:eastAsia="Times New Roman"/>
          <w:lang w:val="hu-HU" w:eastAsia="en-US"/>
        </w:rPr>
        <w:t>Az Eltrombopag</w:t>
      </w:r>
      <w:r>
        <w:rPr>
          <w:lang w:val="hu-HU" w:eastAsia="en-GB"/>
        </w:rPr>
        <w:t xml:space="preserve"> </w:t>
      </w:r>
      <w:r>
        <w:rPr>
          <w:rFonts w:eastAsia="Times New Roman"/>
          <w:lang w:val="hu-HU" w:eastAsia="en-US"/>
        </w:rPr>
        <w:t xml:space="preserve">Sandoz </w:t>
      </w:r>
      <w:r>
        <w:rPr>
          <w:lang w:val="hu-HU" w:eastAsia="en-GB"/>
        </w:rPr>
        <w:t>a klinikai vizsgálatokon kívül nem alkalmazható az MDS miatt kialakuló thrombocytopeniában.</w:t>
      </w:r>
    </w:p>
    <w:p w14:paraId="1F47D2A6" w14:textId="77777777" w:rsidR="0038278E" w:rsidRDefault="0038278E" w:rsidP="0038278E">
      <w:pPr>
        <w:spacing w:line="240" w:lineRule="auto"/>
        <w:rPr>
          <w:lang w:val="hu-HU"/>
        </w:rPr>
      </w:pPr>
    </w:p>
    <w:p w14:paraId="5BF84BB7"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Szemészeti elváltozások</w:t>
      </w:r>
    </w:p>
    <w:p w14:paraId="6AD6C5D4" w14:textId="77777777" w:rsidR="0038278E" w:rsidRDefault="0038278E">
      <w:pPr>
        <w:tabs>
          <w:tab w:val="clear" w:pos="567"/>
        </w:tabs>
        <w:autoSpaceDE w:val="0"/>
        <w:autoSpaceDN w:val="0"/>
        <w:spacing w:line="240" w:lineRule="auto"/>
        <w:rPr>
          <w:u w:val="single"/>
          <w:lang w:val="hu-HU" w:eastAsia="en-GB"/>
        </w:rPr>
      </w:pPr>
    </w:p>
    <w:p w14:paraId="5F7D859E" w14:textId="77777777" w:rsidR="00342CEA" w:rsidRDefault="00837BAB">
      <w:pPr>
        <w:tabs>
          <w:tab w:val="clear" w:pos="567"/>
        </w:tabs>
        <w:autoSpaceDE w:val="0"/>
        <w:autoSpaceDN w:val="0"/>
        <w:spacing w:line="240" w:lineRule="auto"/>
        <w:rPr>
          <w:lang w:val="hu-HU"/>
        </w:rPr>
      </w:pPr>
      <w:r>
        <w:rPr>
          <w:lang w:val="hu-HU" w:eastAsia="en-GB"/>
        </w:rPr>
        <w:t xml:space="preserve">Toxikológiai vizsgálatokban az eltrombopag rágcsálóknál szürkehályogot okozott (lásd 5.3 pont). </w:t>
      </w:r>
      <w:r>
        <w:rPr>
          <w:rFonts w:eastAsia="TimesNewRomanPSMT"/>
          <w:lang w:val="hu-HU" w:eastAsia="en-GB"/>
        </w:rPr>
        <w:t xml:space="preserve">Interferon alapú kezelésben részesülő, </w:t>
      </w:r>
      <w:r>
        <w:rPr>
          <w:lang w:val="hu-HU" w:eastAsia="en-GB"/>
        </w:rPr>
        <w:t>thrombocytopeniás HCV</w:t>
      </w:r>
      <w:r>
        <w:rPr>
          <w:lang w:val="hu-HU" w:eastAsia="en-GB"/>
        </w:rPr>
        <w:noBreakHyphen/>
        <w:t>s betegekkel végzett kontrollos vizsgálatokban (n = 1439), az eltrombopaggal kezelt csoportba tartozók 8%</w:t>
      </w:r>
      <w:r>
        <w:rPr>
          <w:lang w:val="hu-HU" w:eastAsia="en-GB"/>
        </w:rPr>
        <w:noBreakHyphen/>
        <w:t>ánál, illetve a placebóval kezelt csoportba tartozók 5%</w:t>
      </w:r>
      <w:r>
        <w:rPr>
          <w:lang w:val="hu-HU" w:eastAsia="en-GB"/>
        </w:rPr>
        <w:noBreakHyphen/>
      </w:r>
      <w:r>
        <w:rPr>
          <w:rFonts w:eastAsia="TimesNewRomanPSMT"/>
          <w:lang w:val="hu-HU" w:eastAsia="en-GB"/>
        </w:rPr>
        <w:t xml:space="preserve">ánál jelentették a meglévő szürkehályog progresszióját vagy </w:t>
      </w:r>
      <w:r>
        <w:rPr>
          <w:lang w:val="hu-HU" w:eastAsia="en-GB"/>
        </w:rPr>
        <w:t>következményes szürkehályogot. Többségében 1</w:t>
      </w:r>
      <w:r>
        <w:rPr>
          <w:lang w:val="hu-HU" w:eastAsia="en-GB"/>
        </w:rPr>
        <w:noBreakHyphen/>
        <w:t>es vagy 2</w:t>
      </w:r>
      <w:r>
        <w:rPr>
          <w:lang w:val="hu-HU" w:eastAsia="en-GB"/>
        </w:rPr>
        <w:noBreakHyphen/>
        <w:t>es fokozatú retina bevérzéseket jelentettek az interferont, ribavirint és eltrombopagot kapó HCV</w:t>
      </w:r>
      <w:r>
        <w:rPr>
          <w:lang w:val="hu-HU" w:eastAsia="en-GB"/>
        </w:rPr>
        <w:noBreakHyphen/>
        <w:t>betegeknél (2% az eltrombopag</w:t>
      </w:r>
      <w:r>
        <w:rPr>
          <w:lang w:val="hu-HU" w:eastAsia="en-GB"/>
        </w:rPr>
        <w:noBreakHyphen/>
        <w:t>csoportban és 2% a placebo</w:t>
      </w:r>
      <w:r>
        <w:rPr>
          <w:rFonts w:eastAsia="TimesNewRomanPSMT"/>
          <w:lang w:val="hu-HU" w:eastAsia="en-GB"/>
        </w:rPr>
        <w:t xml:space="preserve">csoportban). Vérzések előfordultak a retina felületén </w:t>
      </w:r>
      <w:r>
        <w:rPr>
          <w:lang w:val="hu-HU" w:eastAsia="en-GB"/>
        </w:rPr>
        <w:t xml:space="preserve">(preretinálisan), a retina alatt (subretinalisan) vagy a retina szövetén belül. Ajánlott a betegek </w:t>
      </w:r>
      <w:r>
        <w:rPr>
          <w:rFonts w:eastAsia="TimesNewRomanPSMT"/>
          <w:lang w:val="hu-HU" w:eastAsia="en-GB"/>
        </w:rPr>
        <w:t xml:space="preserve">rutinszerű </w:t>
      </w:r>
      <w:r>
        <w:rPr>
          <w:lang w:val="hu-HU" w:eastAsia="en-GB"/>
        </w:rPr>
        <w:t xml:space="preserve">szemészeti </w:t>
      </w:r>
      <w:r>
        <w:rPr>
          <w:rFonts w:eastAsia="TimesNewRomanPSMT"/>
          <w:lang w:val="hu-HU" w:eastAsia="en-GB"/>
        </w:rPr>
        <w:t>szű</w:t>
      </w:r>
      <w:r>
        <w:rPr>
          <w:lang w:val="hu-HU" w:eastAsia="en-GB"/>
        </w:rPr>
        <w:t>rése.</w:t>
      </w:r>
    </w:p>
    <w:p w14:paraId="6D7BEBF1" w14:textId="77777777" w:rsidR="00342CEA" w:rsidRDefault="00342CEA">
      <w:pPr>
        <w:spacing w:line="240" w:lineRule="auto"/>
        <w:rPr>
          <w:lang w:val="hu-HU"/>
        </w:rPr>
      </w:pPr>
    </w:p>
    <w:p w14:paraId="46176BD2" w14:textId="77777777" w:rsidR="00342CEA" w:rsidRDefault="00837BAB">
      <w:pPr>
        <w:widowControl w:val="0"/>
        <w:tabs>
          <w:tab w:val="clear" w:pos="567"/>
        </w:tabs>
        <w:autoSpaceDE w:val="0"/>
        <w:autoSpaceDN w:val="0"/>
        <w:spacing w:line="240" w:lineRule="auto"/>
        <w:rPr>
          <w:u w:val="single"/>
          <w:lang w:val="hu-HU" w:eastAsia="en-GB"/>
        </w:rPr>
      </w:pPr>
      <w:r>
        <w:rPr>
          <w:u w:val="single"/>
          <w:lang w:val="hu-HU" w:eastAsia="en-GB"/>
        </w:rPr>
        <w:t>QT/QTc</w:t>
      </w:r>
      <w:r>
        <w:rPr>
          <w:u w:val="single"/>
          <w:lang w:val="hu-HU" w:eastAsia="en-GB"/>
        </w:rPr>
        <w:noBreakHyphen/>
        <w:t>megnyúlás</w:t>
      </w:r>
    </w:p>
    <w:p w14:paraId="303F9C19" w14:textId="77777777" w:rsidR="0038278E" w:rsidRDefault="0038278E">
      <w:pPr>
        <w:widowControl w:val="0"/>
        <w:tabs>
          <w:tab w:val="clear" w:pos="567"/>
        </w:tabs>
        <w:autoSpaceDE w:val="0"/>
        <w:autoSpaceDN w:val="0"/>
        <w:spacing w:line="240" w:lineRule="auto"/>
        <w:rPr>
          <w:u w:val="single"/>
          <w:lang w:val="hu-HU" w:eastAsia="en-GB"/>
        </w:rPr>
      </w:pPr>
    </w:p>
    <w:p w14:paraId="0B902717" w14:textId="77777777" w:rsidR="00342CEA" w:rsidRDefault="00837BAB">
      <w:pPr>
        <w:widowControl w:val="0"/>
        <w:tabs>
          <w:tab w:val="clear" w:pos="567"/>
        </w:tabs>
        <w:autoSpaceDE w:val="0"/>
        <w:autoSpaceDN w:val="0"/>
        <w:spacing w:line="240" w:lineRule="auto"/>
        <w:rPr>
          <w:lang w:val="hu-HU"/>
        </w:rPr>
      </w:pPr>
      <w:r>
        <w:rPr>
          <w:lang w:val="hu-HU" w:eastAsia="en-GB"/>
        </w:rPr>
        <w:t>Egy, egészséges önkéntesekkel végzett QTc</w:t>
      </w:r>
      <w:r>
        <w:rPr>
          <w:lang w:val="hu-HU" w:eastAsia="en-GB"/>
        </w:rPr>
        <w:noBreakHyphen/>
        <w:t xml:space="preserve">vizsgálat, amelyben napi 150 mg eltrombopagot adagoltak, </w:t>
      </w:r>
      <w:r>
        <w:rPr>
          <w:rFonts w:eastAsia="TimesNewRomanPSMT"/>
          <w:lang w:val="hu-HU" w:eastAsia="en-GB"/>
        </w:rPr>
        <w:t>nem mutatott a cardialis repolarisatióra gyakorolt, klinikailag számottevő hatást. A QT</w:t>
      </w:r>
      <w:r>
        <w:rPr>
          <w:lang w:val="hu-HU" w:eastAsia="en-GB"/>
        </w:rPr>
        <w:t>c</w:t>
      </w:r>
      <w:r>
        <w:rPr>
          <w:lang w:val="hu-HU" w:eastAsia="en-GB"/>
        </w:rPr>
        <w:noBreakHyphen/>
        <w:t>menyúlásáról számoltak be ITP</w:t>
      </w:r>
      <w:r>
        <w:rPr>
          <w:lang w:val="hu-HU" w:eastAsia="en-GB"/>
        </w:rPr>
        <w:noBreakHyphen/>
        <w:t>s és thrombocytopeniás HCV</w:t>
      </w:r>
      <w:r>
        <w:rPr>
          <w:lang w:val="hu-HU" w:eastAsia="en-GB"/>
        </w:rPr>
        <w:noBreakHyphen/>
        <w:t>betegekkel végzett klinikai vizsgálatok során. Ezen QTc</w:t>
      </w:r>
      <w:r>
        <w:rPr>
          <w:lang w:val="hu-HU" w:eastAsia="en-GB"/>
        </w:rPr>
        <w:noBreakHyphen/>
        <w:t xml:space="preserve">megnyúlások </w:t>
      </w:r>
      <w:r>
        <w:rPr>
          <w:rFonts w:eastAsia="TimesNewRomanPSMT"/>
          <w:lang w:val="hu-HU" w:eastAsia="en-GB"/>
        </w:rPr>
        <w:t>klinikai jelentősége nem ismert.</w:t>
      </w:r>
    </w:p>
    <w:p w14:paraId="343861FE" w14:textId="77777777" w:rsidR="00342CEA" w:rsidRDefault="00342CEA">
      <w:pPr>
        <w:spacing w:line="240" w:lineRule="auto"/>
        <w:rPr>
          <w:lang w:val="hu-HU"/>
        </w:rPr>
      </w:pPr>
    </w:p>
    <w:p w14:paraId="72140F6F" w14:textId="77777777" w:rsidR="00342CEA" w:rsidRDefault="00837BAB">
      <w:pPr>
        <w:tabs>
          <w:tab w:val="clear" w:pos="567"/>
        </w:tabs>
        <w:autoSpaceDE w:val="0"/>
        <w:autoSpaceDN w:val="0"/>
        <w:spacing w:line="240" w:lineRule="auto"/>
        <w:rPr>
          <w:rFonts w:eastAsia="TimesNewRomanPSMT"/>
          <w:u w:val="single"/>
          <w:lang w:val="hu-HU" w:eastAsia="en-GB"/>
        </w:rPr>
      </w:pPr>
      <w:r>
        <w:rPr>
          <w:u w:val="single"/>
          <w:lang w:val="hu-HU" w:eastAsia="en-GB"/>
        </w:rPr>
        <w:t xml:space="preserve">Az eltrombopagra adott terápiás válasz </w:t>
      </w:r>
      <w:r>
        <w:rPr>
          <w:rFonts w:eastAsia="TimesNewRomanPSMT"/>
          <w:u w:val="single"/>
          <w:lang w:val="hu-HU" w:eastAsia="en-GB"/>
        </w:rPr>
        <w:t>megszűnése</w:t>
      </w:r>
    </w:p>
    <w:p w14:paraId="2FD781D9" w14:textId="77777777" w:rsidR="0038278E" w:rsidRDefault="0038278E">
      <w:pPr>
        <w:tabs>
          <w:tab w:val="clear" w:pos="567"/>
        </w:tabs>
        <w:autoSpaceDE w:val="0"/>
        <w:autoSpaceDN w:val="0"/>
        <w:spacing w:line="240" w:lineRule="auto"/>
        <w:rPr>
          <w:rFonts w:eastAsia="TimesNewRomanPSMT"/>
          <w:u w:val="single"/>
          <w:lang w:val="hu-HU" w:eastAsia="en-GB"/>
        </w:rPr>
      </w:pPr>
    </w:p>
    <w:p w14:paraId="06A0FE14" w14:textId="77777777" w:rsidR="00342CEA" w:rsidRDefault="00837BAB">
      <w:pPr>
        <w:tabs>
          <w:tab w:val="clear" w:pos="567"/>
        </w:tabs>
        <w:autoSpaceDE w:val="0"/>
        <w:autoSpaceDN w:val="0"/>
        <w:spacing w:line="240" w:lineRule="auto"/>
        <w:rPr>
          <w:lang w:val="hu-HU"/>
        </w:rPr>
      </w:pPr>
      <w:r>
        <w:rPr>
          <w:lang w:val="hu-HU" w:eastAsia="en-GB"/>
        </w:rPr>
        <w:t xml:space="preserve">Ha </w:t>
      </w:r>
      <w:r>
        <w:rPr>
          <w:rFonts w:eastAsia="TimesNewRomanPSMT"/>
          <w:lang w:val="hu-HU" w:eastAsia="en-GB"/>
        </w:rPr>
        <w:t xml:space="preserve">megszűnik a </w:t>
      </w:r>
      <w:r>
        <w:rPr>
          <w:lang w:val="hu-HU" w:eastAsia="en-GB"/>
        </w:rPr>
        <w:t>terápiás válasz, vagy nem sikerül a vérlemezkeszámot az eltrombopag</w:t>
      </w:r>
      <w:r>
        <w:rPr>
          <w:lang w:val="hu-HU" w:eastAsia="en-GB"/>
        </w:rPr>
        <w:noBreakHyphen/>
        <w:t xml:space="preserve">kezeléssel az ajánlott dózistartományban tartani, </w:t>
      </w:r>
      <w:r>
        <w:rPr>
          <w:rFonts w:eastAsia="TimesNewRomanPSMT"/>
          <w:lang w:val="hu-HU" w:eastAsia="en-GB"/>
        </w:rPr>
        <w:t xml:space="preserve">mielőbb </w:t>
      </w:r>
      <w:r>
        <w:rPr>
          <w:lang w:val="hu-HU" w:eastAsia="en-GB"/>
        </w:rPr>
        <w:t xml:space="preserve">meg kell keresni a </w:t>
      </w:r>
      <w:r>
        <w:rPr>
          <w:rFonts w:eastAsia="TimesNewRomanPSMT"/>
          <w:lang w:val="hu-HU" w:eastAsia="en-GB"/>
        </w:rPr>
        <w:t xml:space="preserve">kiváltó tényezőket, beleértve </w:t>
      </w:r>
      <w:r>
        <w:rPr>
          <w:lang w:val="hu-HU" w:eastAsia="en-GB"/>
        </w:rPr>
        <w:t xml:space="preserve">a retikulin </w:t>
      </w:r>
      <w:r>
        <w:rPr>
          <w:rFonts w:eastAsia="TimesNewRomanPSMT"/>
          <w:lang w:val="hu-HU" w:eastAsia="en-GB"/>
        </w:rPr>
        <w:t>felszaporodását a csontvelőben</w:t>
      </w:r>
      <w:r>
        <w:rPr>
          <w:lang w:val="hu-HU" w:eastAsia="en-GB"/>
        </w:rPr>
        <w:t>.</w:t>
      </w:r>
    </w:p>
    <w:p w14:paraId="693FF657" w14:textId="77777777" w:rsidR="00342CEA" w:rsidRDefault="00342CEA">
      <w:pPr>
        <w:spacing w:line="240" w:lineRule="auto"/>
        <w:rPr>
          <w:lang w:val="hu-HU"/>
        </w:rPr>
      </w:pPr>
    </w:p>
    <w:p w14:paraId="55DA66D5" w14:textId="77777777" w:rsidR="00342CEA" w:rsidRDefault="00837BAB">
      <w:pPr>
        <w:keepNext/>
        <w:spacing w:line="240" w:lineRule="auto"/>
        <w:rPr>
          <w:u w:val="single"/>
          <w:lang w:val="hu-HU"/>
        </w:rPr>
      </w:pPr>
      <w:r>
        <w:rPr>
          <w:u w:val="single"/>
          <w:lang w:val="hu-HU"/>
        </w:rPr>
        <w:t>Gyermekek és serdülők</w:t>
      </w:r>
    </w:p>
    <w:p w14:paraId="1BF470FE" w14:textId="77777777" w:rsidR="0038278E" w:rsidRDefault="0038278E">
      <w:pPr>
        <w:keepNext/>
        <w:spacing w:line="240" w:lineRule="auto"/>
        <w:rPr>
          <w:u w:val="single"/>
          <w:lang w:val="hu-HU"/>
        </w:rPr>
      </w:pPr>
    </w:p>
    <w:p w14:paraId="36A7E38E" w14:textId="77777777" w:rsidR="00342CEA" w:rsidRDefault="00837BAB">
      <w:pPr>
        <w:keepNext/>
        <w:spacing w:line="240" w:lineRule="auto"/>
        <w:rPr>
          <w:lang w:val="hu-HU" w:eastAsia="en-GB"/>
        </w:rPr>
      </w:pPr>
      <w:r>
        <w:rPr>
          <w:lang w:val="hu-HU" w:eastAsia="en-GB"/>
        </w:rPr>
        <w:t>Az ITP</w:t>
      </w:r>
      <w:r>
        <w:rPr>
          <w:lang w:val="hu-HU" w:eastAsia="en-GB"/>
        </w:rPr>
        <w:noBreakHyphen/>
        <w:t>vel kapcsolatos fenti figyelmeztetések és óvintézkedések érvényesek gyermekek esetében is.</w:t>
      </w:r>
    </w:p>
    <w:p w14:paraId="61D180D2" w14:textId="77777777" w:rsidR="00342CEA" w:rsidRDefault="00342CEA">
      <w:pPr>
        <w:spacing w:line="240" w:lineRule="auto"/>
        <w:rPr>
          <w:lang w:val="hu-HU" w:eastAsia="en-GB"/>
        </w:rPr>
      </w:pPr>
    </w:p>
    <w:p w14:paraId="3D47E802" w14:textId="77777777" w:rsidR="00342CEA" w:rsidRDefault="00837BAB" w:rsidP="006C1619">
      <w:pPr>
        <w:keepNext/>
        <w:tabs>
          <w:tab w:val="clear" w:pos="567"/>
        </w:tabs>
        <w:autoSpaceDE w:val="0"/>
        <w:autoSpaceDN w:val="0"/>
        <w:spacing w:line="240" w:lineRule="auto"/>
        <w:rPr>
          <w:u w:val="single"/>
          <w:lang w:val="hu-HU" w:eastAsia="en-GB"/>
        </w:rPr>
      </w:pPr>
      <w:r>
        <w:rPr>
          <w:u w:val="single"/>
          <w:lang w:val="hu-HU" w:eastAsia="en-GB"/>
        </w:rPr>
        <w:lastRenderedPageBreak/>
        <w:t>Laboratóriumi vizsgálatokra gyakorolt hatás</w:t>
      </w:r>
    </w:p>
    <w:p w14:paraId="1F773473" w14:textId="77777777" w:rsidR="0038278E" w:rsidRDefault="0038278E" w:rsidP="006C1619">
      <w:pPr>
        <w:keepNext/>
        <w:tabs>
          <w:tab w:val="clear" w:pos="567"/>
        </w:tabs>
        <w:autoSpaceDE w:val="0"/>
        <w:autoSpaceDN w:val="0"/>
        <w:spacing w:line="240" w:lineRule="auto"/>
        <w:rPr>
          <w:u w:val="single"/>
          <w:lang w:val="hu-HU" w:eastAsia="en-GB"/>
        </w:rPr>
      </w:pPr>
    </w:p>
    <w:p w14:paraId="0A9C67E7" w14:textId="77777777" w:rsidR="00342CEA" w:rsidRDefault="00837BAB">
      <w:pPr>
        <w:tabs>
          <w:tab w:val="clear" w:pos="567"/>
        </w:tabs>
        <w:autoSpaceDE w:val="0"/>
        <w:autoSpaceDN w:val="0"/>
        <w:spacing w:line="240" w:lineRule="auto"/>
        <w:rPr>
          <w:lang w:val="hu-HU" w:eastAsia="en-GB"/>
        </w:rPr>
      </w:pPr>
      <w:r>
        <w:rPr>
          <w:rFonts w:eastAsia="TimesNewRomanPSMT"/>
          <w:lang w:val="hu-HU" w:eastAsia="en-GB"/>
        </w:rPr>
        <w:t>Az eltrombopag erőteljes</w:t>
      </w:r>
      <w:r>
        <w:rPr>
          <w:lang w:val="hu-HU" w:eastAsia="en-GB"/>
        </w:rPr>
        <w:t>en színezett, így várható, hogy bizonyos laboratóriumi vizsgálatokra hatással lehet. Eltrombopagot</w:t>
      </w:r>
      <w:r>
        <w:rPr>
          <w:rFonts w:eastAsia="TimesNewRomanPSMT"/>
          <w:lang w:val="hu-HU" w:eastAsia="en-GB"/>
        </w:rPr>
        <w:t xml:space="preserve"> szedő betegeknél </w:t>
      </w:r>
      <w:r>
        <w:rPr>
          <w:lang w:val="hu-HU" w:eastAsia="en-GB"/>
        </w:rPr>
        <w:t xml:space="preserve">arról számoltak be, hogy a </w:t>
      </w:r>
      <w:r>
        <w:rPr>
          <w:rFonts w:eastAsia="TimesNewRomanPSMT"/>
          <w:lang w:val="hu-HU" w:eastAsia="en-GB"/>
        </w:rPr>
        <w:t xml:space="preserve">gyógyszer a szérum elszíneződését </w:t>
      </w:r>
      <w:r>
        <w:rPr>
          <w:lang w:val="hu-HU" w:eastAsia="en-GB"/>
        </w:rPr>
        <w:t xml:space="preserve">okozhatja, és zavarhatja az összbilirubin, illetve a szérumkreatininszint- vizsgálatokat. Amennyiben a laboratóriumi eredmények és a klinikai megfigyelések inkonzisztensek, egy ismételt vizsgálat más </w:t>
      </w:r>
      <w:r>
        <w:rPr>
          <w:rFonts w:eastAsia="TimesNewRomanPSMT"/>
          <w:lang w:val="hu-HU" w:eastAsia="en-GB"/>
        </w:rPr>
        <w:t xml:space="preserve">módszerrel történő </w:t>
      </w:r>
      <w:r>
        <w:rPr>
          <w:lang w:val="hu-HU" w:eastAsia="en-GB"/>
        </w:rPr>
        <w:t>elvégzése segíthet meghatározni az eredmény validitását.</w:t>
      </w:r>
    </w:p>
    <w:p w14:paraId="2D4AADDC" w14:textId="77777777" w:rsidR="00342CEA" w:rsidRDefault="00342CEA">
      <w:pPr>
        <w:spacing w:line="240" w:lineRule="auto"/>
        <w:rPr>
          <w:lang w:val="hu-HU"/>
        </w:rPr>
      </w:pPr>
    </w:p>
    <w:p w14:paraId="24FC9974" w14:textId="77777777" w:rsidR="00342CEA" w:rsidRDefault="00837BAB">
      <w:pPr>
        <w:spacing w:line="240" w:lineRule="auto"/>
        <w:rPr>
          <w:u w:val="single"/>
          <w:lang w:val="hu-HU"/>
        </w:rPr>
      </w:pPr>
      <w:r>
        <w:rPr>
          <w:u w:val="single"/>
          <w:lang w:val="hu-HU"/>
        </w:rPr>
        <w:t>Segédanyagok</w:t>
      </w:r>
    </w:p>
    <w:p w14:paraId="300F8789" w14:textId="77777777" w:rsidR="0038278E" w:rsidRDefault="0038278E">
      <w:pPr>
        <w:spacing w:line="240" w:lineRule="auto"/>
        <w:rPr>
          <w:u w:val="single"/>
          <w:lang w:val="hu-HU"/>
        </w:rPr>
      </w:pPr>
    </w:p>
    <w:p w14:paraId="0997CA64" w14:textId="77777777" w:rsidR="00342CEA" w:rsidRDefault="00837BAB">
      <w:pPr>
        <w:spacing w:line="240" w:lineRule="auto"/>
        <w:rPr>
          <w:i/>
          <w:u w:val="single"/>
          <w:lang w:val="hu-HU"/>
        </w:rPr>
      </w:pPr>
      <w:r>
        <w:rPr>
          <w:i/>
          <w:u w:val="single"/>
          <w:lang w:val="hu-HU"/>
        </w:rPr>
        <w:t>Izomalt</w:t>
      </w:r>
    </w:p>
    <w:p w14:paraId="1F3C0A3D" w14:textId="77777777" w:rsidR="00342CEA" w:rsidRDefault="00837BAB">
      <w:pPr>
        <w:spacing w:line="240" w:lineRule="auto"/>
        <w:rPr>
          <w:lang w:val="hu-HU"/>
        </w:rPr>
      </w:pPr>
      <w:r>
        <w:rPr>
          <w:lang w:val="hu-HU"/>
        </w:rPr>
        <w:t>Ritkán előforduló, örökletes fruktóz</w:t>
      </w:r>
      <w:r>
        <w:rPr>
          <w:lang w:val="hu-HU"/>
        </w:rPr>
        <w:noBreakHyphen/>
        <w:t>intoleranciában a készítmény nem szedhető.</w:t>
      </w:r>
    </w:p>
    <w:p w14:paraId="5D618A91" w14:textId="77777777" w:rsidR="00342CEA" w:rsidRDefault="00342CEA">
      <w:pPr>
        <w:spacing w:line="240" w:lineRule="auto"/>
        <w:rPr>
          <w:lang w:val="hu-HU"/>
        </w:rPr>
      </w:pPr>
    </w:p>
    <w:p w14:paraId="020DD6AA"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Nátrium</w:t>
      </w:r>
    </w:p>
    <w:p w14:paraId="67F0E024" w14:textId="77777777" w:rsidR="00342CEA" w:rsidRDefault="00837BAB">
      <w:pPr>
        <w:tabs>
          <w:tab w:val="clear" w:pos="567"/>
        </w:tabs>
        <w:autoSpaceDE w:val="0"/>
        <w:autoSpaceDN w:val="0"/>
        <w:spacing w:line="240" w:lineRule="auto"/>
        <w:rPr>
          <w:lang w:val="hu-HU"/>
        </w:rPr>
      </w:pPr>
      <w:r>
        <w:rPr>
          <w:lang w:val="hu-HU" w:eastAsia="en-GB"/>
        </w:rPr>
        <w:t xml:space="preserve">A készítmény kevesebb mint 1 mmol (23 mg) nátriumot tartalmaz filmtablettánként, azaz </w:t>
      </w:r>
      <w:r>
        <w:rPr>
          <w:rFonts w:eastAsia="TimesNewRomanPSMT"/>
          <w:lang w:val="hu-HU" w:eastAsia="en-GB"/>
        </w:rPr>
        <w:t>gyakorlatilag „nátriummentes”.</w:t>
      </w:r>
    </w:p>
    <w:p w14:paraId="1ED3C19D" w14:textId="77777777" w:rsidR="00342CEA" w:rsidRDefault="00342CEA">
      <w:pPr>
        <w:spacing w:line="240" w:lineRule="auto"/>
        <w:rPr>
          <w:lang w:val="hu-HU"/>
        </w:rPr>
      </w:pPr>
    </w:p>
    <w:p w14:paraId="3CB76A2B"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4.5</w:t>
      </w:r>
      <w:r>
        <w:rPr>
          <w:rFonts w:eastAsia="Times New Roman"/>
          <w:b/>
          <w:bCs/>
          <w:lang w:val="hu-HU" w:eastAsia="en-US"/>
        </w:rPr>
        <w:tab/>
        <w:t>Gyógyszerkölcsönhatások és egyéb interakciók</w:t>
      </w:r>
    </w:p>
    <w:p w14:paraId="6370CE0F" w14:textId="77777777" w:rsidR="00342CEA" w:rsidRDefault="00342CEA">
      <w:pPr>
        <w:spacing w:line="240" w:lineRule="auto"/>
        <w:rPr>
          <w:rFonts w:eastAsia="Times New Roman"/>
          <w:lang w:val="hu-HU" w:eastAsia="en-US"/>
        </w:rPr>
      </w:pPr>
    </w:p>
    <w:p w14:paraId="799DF880"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Az eltrombopag hatása más gyógyszerekre</w:t>
      </w:r>
    </w:p>
    <w:p w14:paraId="3C534BA6" w14:textId="77777777" w:rsidR="00342CEA" w:rsidRDefault="00342CEA">
      <w:pPr>
        <w:tabs>
          <w:tab w:val="clear" w:pos="567"/>
        </w:tabs>
        <w:autoSpaceDE w:val="0"/>
        <w:autoSpaceDN w:val="0"/>
        <w:spacing w:line="240" w:lineRule="auto"/>
        <w:rPr>
          <w:i/>
          <w:lang w:val="hu-HU" w:eastAsia="en-GB"/>
        </w:rPr>
      </w:pPr>
    </w:p>
    <w:p w14:paraId="6289F09A"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HMG</w:t>
      </w:r>
      <w:r>
        <w:rPr>
          <w:i/>
          <w:u w:val="single"/>
          <w:lang w:val="hu-HU" w:eastAsia="en-GB"/>
        </w:rPr>
        <w:noBreakHyphen/>
        <w:t>CoA</w:t>
      </w:r>
      <w:r>
        <w:rPr>
          <w:i/>
          <w:u w:val="single"/>
          <w:lang w:val="hu-HU" w:eastAsia="en-GB"/>
        </w:rPr>
        <w:noBreakHyphen/>
        <w:t>reduktáz</w:t>
      </w:r>
      <w:r>
        <w:rPr>
          <w:i/>
          <w:u w:val="single"/>
          <w:lang w:val="hu-HU" w:eastAsia="en-GB"/>
        </w:rPr>
        <w:noBreakHyphen/>
        <w:t>gátlók</w:t>
      </w:r>
    </w:p>
    <w:p w14:paraId="2C4E55FE" w14:textId="77777777" w:rsidR="0038278E" w:rsidRDefault="0038278E">
      <w:pPr>
        <w:tabs>
          <w:tab w:val="clear" w:pos="567"/>
        </w:tabs>
        <w:autoSpaceDE w:val="0"/>
        <w:autoSpaceDN w:val="0"/>
        <w:spacing w:line="240" w:lineRule="auto"/>
        <w:rPr>
          <w:i/>
          <w:u w:val="single"/>
          <w:lang w:val="hu-HU" w:eastAsia="en-GB"/>
        </w:rPr>
      </w:pPr>
    </w:p>
    <w:p w14:paraId="60E020DB" w14:textId="77777777" w:rsidR="00342CEA" w:rsidRDefault="00837BAB">
      <w:pPr>
        <w:tabs>
          <w:tab w:val="clear" w:pos="567"/>
        </w:tabs>
        <w:autoSpaceDE w:val="0"/>
        <w:autoSpaceDN w:val="0"/>
        <w:spacing w:line="240" w:lineRule="auto"/>
        <w:rPr>
          <w:lang w:val="hu-HU" w:eastAsia="en-GB"/>
        </w:rPr>
      </w:pPr>
      <w:r>
        <w:rPr>
          <w:lang w:val="hu-HU" w:eastAsia="en-GB"/>
        </w:rPr>
        <w:t xml:space="preserve">39 egészséges </w:t>
      </w:r>
      <w:r>
        <w:rPr>
          <w:rFonts w:eastAsia="TimesNewRomanPSMT"/>
          <w:lang w:val="hu-HU" w:eastAsia="en-GB"/>
        </w:rPr>
        <w:t>felnőttnél az</w:t>
      </w:r>
      <w:r>
        <w:rPr>
          <w:lang w:val="hu-HU" w:eastAsia="en-GB"/>
        </w:rPr>
        <w:t xml:space="preserve"> 5 napon át adott napi egyszeri 75 mg eltrombopag és az OATP1B1</w:t>
      </w:r>
      <w:r>
        <w:rPr>
          <w:lang w:val="hu-HU" w:eastAsia="en-GB"/>
        </w:rPr>
        <w:noBreakHyphen/>
        <w:t xml:space="preserve"> és BCRP</w:t>
      </w:r>
      <w:r>
        <w:rPr>
          <w:lang w:val="hu-HU" w:eastAsia="en-GB"/>
        </w:rPr>
        <w:noBreakHyphen/>
        <w:t>szubsztrát rozuvasztatin egyszeri 10 mg</w:t>
      </w:r>
      <w:r>
        <w:rPr>
          <w:lang w:val="hu-HU" w:eastAsia="en-GB"/>
        </w:rPr>
        <w:noBreakHyphen/>
        <w:t>os adagjának együttes alkalmazása</w:t>
      </w:r>
      <w:r>
        <w:rPr>
          <w:rFonts w:eastAsia="TimesNewRomanPSMT"/>
          <w:lang w:val="hu-HU" w:eastAsia="en-GB"/>
        </w:rPr>
        <w:t xml:space="preserve"> </w:t>
      </w:r>
      <w:r>
        <w:rPr>
          <w:lang w:val="hu-HU" w:eastAsia="en-GB"/>
        </w:rPr>
        <w:t>103%</w:t>
      </w:r>
      <w:r>
        <w:rPr>
          <w:lang w:val="hu-HU" w:eastAsia="en-GB"/>
        </w:rPr>
        <w:noBreakHyphen/>
        <w:t>kal növelte a plazma rozuvasztatin C</w:t>
      </w:r>
      <w:r>
        <w:rPr>
          <w:sz w:val="18"/>
          <w:szCs w:val="18"/>
          <w:vertAlign w:val="subscript"/>
          <w:lang w:val="hu-HU" w:eastAsia="en-GB"/>
        </w:rPr>
        <w:t>max</w:t>
      </w:r>
      <w:r>
        <w:rPr>
          <w:sz w:val="14"/>
          <w:szCs w:val="14"/>
          <w:lang w:val="hu-HU" w:eastAsia="en-GB"/>
        </w:rPr>
        <w:noBreakHyphen/>
      </w:r>
      <w:r>
        <w:rPr>
          <w:lang w:val="hu-HU" w:eastAsia="en-GB"/>
        </w:rPr>
        <w:t>értékét (90%</w:t>
      </w:r>
      <w:r>
        <w:rPr>
          <w:lang w:val="hu-HU" w:eastAsia="en-GB"/>
        </w:rPr>
        <w:noBreakHyphen/>
        <w:t>os CI: 82%, 126%) és 55%</w:t>
      </w:r>
      <w:r>
        <w:rPr>
          <w:lang w:val="hu-HU" w:eastAsia="en-GB"/>
        </w:rPr>
        <w:noBreakHyphen/>
        <w:t>kal az AUC</w:t>
      </w:r>
      <w:r>
        <w:rPr>
          <w:sz w:val="14"/>
          <w:szCs w:val="14"/>
          <w:lang w:val="hu-HU" w:eastAsia="en-GB"/>
        </w:rPr>
        <w:t>0-∞</w:t>
      </w:r>
      <w:r>
        <w:rPr>
          <w:lang w:val="hu-HU" w:eastAsia="en-GB"/>
        </w:rPr>
        <w:noBreakHyphen/>
        <w:t>értékét (90%</w:t>
      </w:r>
      <w:r>
        <w:rPr>
          <w:lang w:val="hu-HU" w:eastAsia="en-GB"/>
        </w:rPr>
        <w:noBreakHyphen/>
        <w:t>os konfidencia intervallum [CI]: 42%, 69%). Kölcsönhatásokra számítani lehet más HMG</w:t>
      </w:r>
      <w:r>
        <w:rPr>
          <w:lang w:val="hu-HU" w:eastAsia="en-GB"/>
        </w:rPr>
        <w:noBreakHyphen/>
        <w:t>CoA</w:t>
      </w:r>
      <w:r>
        <w:rPr>
          <w:lang w:val="hu-HU" w:eastAsia="en-GB"/>
        </w:rPr>
        <w:noBreakHyphen/>
        <w:t>reduktáz</w:t>
      </w:r>
      <w:r>
        <w:rPr>
          <w:lang w:val="hu-HU" w:eastAsia="en-GB"/>
        </w:rPr>
        <w:noBreakHyphen/>
        <w:t xml:space="preserve">gátlókkal is, beleértve az atorvasztatint, fluvasztatint, lovasztatint, pravasztatint és a szimvasztatint. Eltrombopaggal </w:t>
      </w:r>
      <w:r>
        <w:rPr>
          <w:rFonts w:eastAsia="TimesNewRomanPSMT"/>
          <w:lang w:val="hu-HU" w:eastAsia="en-GB"/>
        </w:rPr>
        <w:t xml:space="preserve">történő egyidejű </w:t>
      </w:r>
      <w:r>
        <w:rPr>
          <w:lang w:val="hu-HU" w:eastAsia="en-GB"/>
        </w:rPr>
        <w:t>alkalmazás esetén mérlegelni kell a sztatinok dózisának csökkentését, és gondosan monotorozni kell azok mellékhatásait (lásd 5.2 pont).</w:t>
      </w:r>
    </w:p>
    <w:p w14:paraId="11595464" w14:textId="77777777" w:rsidR="00342CEA" w:rsidRDefault="00342CEA">
      <w:pPr>
        <w:tabs>
          <w:tab w:val="clear" w:pos="567"/>
        </w:tabs>
        <w:autoSpaceDE w:val="0"/>
        <w:autoSpaceDN w:val="0"/>
        <w:spacing w:line="240" w:lineRule="auto"/>
        <w:rPr>
          <w:rFonts w:eastAsia="Times New Roman"/>
          <w:lang w:val="hu-HU" w:eastAsia="en-US"/>
        </w:rPr>
      </w:pPr>
    </w:p>
    <w:p w14:paraId="2B074A36"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OATP1B1</w:t>
      </w:r>
      <w:r>
        <w:rPr>
          <w:i/>
          <w:u w:val="single"/>
          <w:lang w:val="hu-HU" w:eastAsia="en-GB"/>
        </w:rPr>
        <w:noBreakHyphen/>
        <w:t xml:space="preserve"> és BCRP-szubsztrátok</w:t>
      </w:r>
    </w:p>
    <w:p w14:paraId="28A5E401" w14:textId="77777777" w:rsidR="0038278E" w:rsidRDefault="0038278E">
      <w:pPr>
        <w:tabs>
          <w:tab w:val="clear" w:pos="567"/>
        </w:tabs>
        <w:autoSpaceDE w:val="0"/>
        <w:autoSpaceDN w:val="0"/>
        <w:spacing w:line="240" w:lineRule="auto"/>
        <w:rPr>
          <w:i/>
          <w:u w:val="single"/>
          <w:lang w:val="hu-HU" w:eastAsia="en-GB"/>
        </w:rPr>
      </w:pPr>
    </w:p>
    <w:p w14:paraId="51B6B0D7"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Eltrombopag és OATP1B1</w:t>
      </w:r>
      <w:r>
        <w:rPr>
          <w:lang w:val="hu-HU" w:eastAsia="en-GB"/>
        </w:rPr>
        <w:noBreakHyphen/>
        <w:t xml:space="preserve"> (pl. metotrexát), valamint BCRP</w:t>
      </w:r>
      <w:r>
        <w:rPr>
          <w:lang w:val="hu-HU" w:eastAsia="en-GB"/>
        </w:rPr>
        <w:noBreakHyphen/>
        <w:t xml:space="preserve"> (pl. topotekán és metotrexát) szubsztrát</w:t>
      </w:r>
      <w:r>
        <w:rPr>
          <w:rFonts w:eastAsia="TimesNewRomanPSMT"/>
          <w:lang w:val="hu-HU" w:eastAsia="en-GB"/>
        </w:rPr>
        <w:t xml:space="preserve">ok együttes alkalmazásakor körültekintően kell eljárni </w:t>
      </w:r>
      <w:r>
        <w:rPr>
          <w:lang w:val="hu-HU" w:eastAsia="en-GB"/>
        </w:rPr>
        <w:t>(lásd 5.2 pont).</w:t>
      </w:r>
    </w:p>
    <w:p w14:paraId="68AAFCEC" w14:textId="77777777" w:rsidR="00342CEA" w:rsidRDefault="00342CEA">
      <w:pPr>
        <w:tabs>
          <w:tab w:val="clear" w:pos="567"/>
        </w:tabs>
        <w:autoSpaceDE w:val="0"/>
        <w:autoSpaceDN w:val="0"/>
        <w:spacing w:line="240" w:lineRule="auto"/>
        <w:rPr>
          <w:rFonts w:eastAsia="Times New Roman"/>
          <w:lang w:val="hu-HU" w:eastAsia="en-US"/>
        </w:rPr>
      </w:pPr>
    </w:p>
    <w:p w14:paraId="02B5DB41"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Citokróm P450</w:t>
      </w:r>
      <w:r>
        <w:rPr>
          <w:i/>
          <w:u w:val="single"/>
          <w:lang w:val="hu-HU" w:eastAsia="en-GB"/>
        </w:rPr>
        <w:noBreakHyphen/>
        <w:t>szubsztrátok</w:t>
      </w:r>
    </w:p>
    <w:p w14:paraId="68C76ADB" w14:textId="77777777" w:rsidR="0038278E" w:rsidRDefault="0038278E">
      <w:pPr>
        <w:tabs>
          <w:tab w:val="clear" w:pos="567"/>
        </w:tabs>
        <w:autoSpaceDE w:val="0"/>
        <w:autoSpaceDN w:val="0"/>
        <w:spacing w:line="240" w:lineRule="auto"/>
        <w:rPr>
          <w:i/>
          <w:u w:val="single"/>
          <w:lang w:val="hu-HU" w:eastAsia="en-GB"/>
        </w:rPr>
      </w:pPr>
    </w:p>
    <w:p w14:paraId="15A90736"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Emberi májmikroszómákkal végzett vizsgálatokban az eltrombopag (100 </w:t>
      </w:r>
      <w:r>
        <w:rPr>
          <w:lang w:val="hu-HU" w:eastAsia="en-US"/>
        </w:rPr>
        <w:t>µ</w:t>
      </w:r>
      <w:r>
        <w:rPr>
          <w:lang w:val="hu-HU" w:eastAsia="en-GB"/>
        </w:rPr>
        <w:t>M</w:t>
      </w:r>
      <w:r>
        <w:rPr>
          <w:lang w:val="hu-HU" w:eastAsia="en-GB"/>
        </w:rPr>
        <w:noBreakHyphen/>
        <w:t xml:space="preserve">ig) </w:t>
      </w:r>
      <w:r>
        <w:rPr>
          <w:i/>
          <w:lang w:val="hu-HU" w:eastAsia="en-GB"/>
        </w:rPr>
        <w:t xml:space="preserve">in vitro </w:t>
      </w:r>
      <w:r>
        <w:rPr>
          <w:lang w:val="hu-HU" w:eastAsia="en-GB"/>
        </w:rPr>
        <w:t>nem gátolta az 1A2, 2A6, 2C19, 2D6, 2E1, 3A4/5, és 4A9/11 CYP450 enzimeket, továbbá paklitaxel és diklofenak teszt szubsztrátumok használata esetén a CYP2C8 és CYP2C9 inhibitora volt. 24 egészséges férfi önkéntesnél a 7 napon át, naponta egyszeri 75 mg eltrombopag nem gátolta és nem is indukálta az 1A2 (koffein), a 2C19 (omeprazol), a 2C9 (flurbiprofen) vagy a 3A4 (midazolam) próbaszubtrátjainak metabolizmusát embereknél. Az eltrombopag és a CYP450</w:t>
      </w:r>
      <w:r>
        <w:rPr>
          <w:lang w:val="hu-HU" w:eastAsia="en-GB"/>
        </w:rPr>
        <w:noBreakHyphen/>
        <w:t xml:space="preserve">szubsztrátjainak </w:t>
      </w:r>
      <w:r>
        <w:rPr>
          <w:rFonts w:eastAsia="TimesNewRomanPSMT"/>
          <w:lang w:val="hu-HU" w:eastAsia="en-GB"/>
        </w:rPr>
        <w:t xml:space="preserve">egyidejű alkalmazása esetén nem várható klinikailag jelentős kölcsönhatás </w:t>
      </w:r>
      <w:r>
        <w:rPr>
          <w:lang w:val="hu-HU" w:eastAsia="en-GB"/>
        </w:rPr>
        <w:t>(lásd 5.2 pont).</w:t>
      </w:r>
    </w:p>
    <w:p w14:paraId="108657BF" w14:textId="77777777" w:rsidR="00342CEA" w:rsidRDefault="00342CEA">
      <w:pPr>
        <w:tabs>
          <w:tab w:val="clear" w:pos="567"/>
        </w:tabs>
        <w:autoSpaceDE w:val="0"/>
        <w:autoSpaceDN w:val="0"/>
        <w:spacing w:line="240" w:lineRule="auto"/>
        <w:rPr>
          <w:rFonts w:eastAsia="Times New Roman"/>
          <w:lang w:val="hu-HU" w:eastAsia="en-US"/>
        </w:rPr>
      </w:pPr>
    </w:p>
    <w:p w14:paraId="0CE0FC8D" w14:textId="77777777" w:rsidR="00342CEA" w:rsidRDefault="00837BAB">
      <w:pPr>
        <w:widowControl w:val="0"/>
        <w:tabs>
          <w:tab w:val="clear" w:pos="567"/>
        </w:tabs>
        <w:autoSpaceDE w:val="0"/>
        <w:autoSpaceDN w:val="0"/>
        <w:spacing w:line="240" w:lineRule="auto"/>
        <w:rPr>
          <w:i/>
          <w:u w:val="single"/>
          <w:lang w:val="hu-HU" w:eastAsia="en-GB"/>
        </w:rPr>
      </w:pPr>
      <w:r>
        <w:rPr>
          <w:i/>
          <w:u w:val="single"/>
          <w:lang w:val="hu-HU" w:eastAsia="en-GB"/>
        </w:rPr>
        <w:t>HCV</w:t>
      </w:r>
      <w:r>
        <w:rPr>
          <w:i/>
          <w:u w:val="single"/>
          <w:lang w:val="hu-HU" w:eastAsia="en-GB"/>
        </w:rPr>
        <w:noBreakHyphen/>
        <w:t>proteáz</w:t>
      </w:r>
      <w:r>
        <w:rPr>
          <w:i/>
          <w:u w:val="single"/>
          <w:lang w:val="hu-HU" w:eastAsia="en-GB"/>
        </w:rPr>
        <w:noBreakHyphen/>
        <w:t>gátlók</w:t>
      </w:r>
    </w:p>
    <w:p w14:paraId="2BC35AFA" w14:textId="77777777" w:rsidR="0038278E" w:rsidRDefault="0038278E">
      <w:pPr>
        <w:widowControl w:val="0"/>
        <w:tabs>
          <w:tab w:val="clear" w:pos="567"/>
        </w:tabs>
        <w:autoSpaceDE w:val="0"/>
        <w:autoSpaceDN w:val="0"/>
        <w:spacing w:line="240" w:lineRule="auto"/>
        <w:rPr>
          <w:i/>
          <w:u w:val="single"/>
          <w:lang w:val="hu-HU" w:eastAsia="en-GB"/>
        </w:rPr>
      </w:pPr>
    </w:p>
    <w:p w14:paraId="2E456F9C" w14:textId="77777777" w:rsidR="00342CEA" w:rsidRDefault="00837BAB">
      <w:pPr>
        <w:widowControl w:val="0"/>
        <w:tabs>
          <w:tab w:val="clear" w:pos="567"/>
        </w:tabs>
        <w:autoSpaceDE w:val="0"/>
        <w:autoSpaceDN w:val="0"/>
        <w:spacing w:line="240" w:lineRule="auto"/>
        <w:rPr>
          <w:lang w:val="hu-HU" w:eastAsia="en-GB"/>
        </w:rPr>
      </w:pPr>
      <w:r>
        <w:rPr>
          <w:lang w:val="hu-HU" w:eastAsia="en-GB"/>
        </w:rPr>
        <w:t>Nincs szükség dózismódosításra, ha az eltrombopagot telaprevirrel vagy boceprevirrel adják együtt. Egyszeri 200 mg eltrombopag 8 óránként ismételt 750 mg telapre</w:t>
      </w:r>
      <w:r>
        <w:rPr>
          <w:rFonts w:eastAsia="TimesNewRomanPSMT"/>
          <w:lang w:val="hu-HU" w:eastAsia="en-GB"/>
        </w:rPr>
        <w:t xml:space="preserve">virrel való egyidejű alkalmazása nem </w:t>
      </w:r>
      <w:r>
        <w:rPr>
          <w:lang w:val="hu-HU" w:eastAsia="en-GB"/>
        </w:rPr>
        <w:t>változtatta meg a telaprevir plazmaexpozícióját.</w:t>
      </w:r>
    </w:p>
    <w:p w14:paraId="38D78AF7" w14:textId="77777777" w:rsidR="00342CEA" w:rsidRDefault="00342CEA">
      <w:pPr>
        <w:tabs>
          <w:tab w:val="clear" w:pos="567"/>
        </w:tabs>
        <w:autoSpaceDE w:val="0"/>
        <w:autoSpaceDN w:val="0"/>
        <w:spacing w:line="240" w:lineRule="auto"/>
        <w:rPr>
          <w:lang w:val="hu-HU" w:eastAsia="en-GB"/>
        </w:rPr>
      </w:pPr>
    </w:p>
    <w:p w14:paraId="3FFAF0A9"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Egyszeri 200 mg eltrombopag 8 óránként ismételt 800 </w:t>
      </w:r>
      <w:r>
        <w:rPr>
          <w:rFonts w:eastAsia="TimesNewRomanPSMT"/>
          <w:lang w:val="hu-HU" w:eastAsia="en-GB"/>
        </w:rPr>
        <w:t xml:space="preserve">mg boceprevirrel való egyidejű alkalmazása </w:t>
      </w:r>
      <w:r>
        <w:rPr>
          <w:lang w:val="hu-HU" w:eastAsia="en-GB"/>
        </w:rPr>
        <w:t>nem változtatta meg a boceprevir AUC</w:t>
      </w:r>
      <w:r>
        <w:rPr>
          <w:sz w:val="14"/>
          <w:szCs w:val="14"/>
          <w:lang w:val="hu-HU" w:eastAsia="en-GB"/>
        </w:rPr>
        <w:t>(0-τ)</w:t>
      </w:r>
      <w:r>
        <w:rPr>
          <w:lang w:val="hu-HU" w:eastAsia="en-GB"/>
        </w:rPr>
        <w:t>-értékét, azonban a C</w:t>
      </w:r>
      <w:r>
        <w:rPr>
          <w:sz w:val="18"/>
          <w:szCs w:val="18"/>
          <w:vertAlign w:val="subscript"/>
          <w:lang w:val="hu-HU" w:eastAsia="en-GB"/>
        </w:rPr>
        <w:t>max</w:t>
      </w:r>
      <w:r>
        <w:rPr>
          <w:lang w:val="hu-HU" w:eastAsia="en-GB"/>
        </w:rPr>
        <w:noBreakHyphen/>
        <w:t>ot 20%</w:t>
      </w:r>
      <w:r>
        <w:rPr>
          <w:lang w:val="hu-HU" w:eastAsia="en-GB"/>
        </w:rPr>
        <w:noBreakHyphen/>
        <w:t>kal növelte, míg a C</w:t>
      </w:r>
      <w:r>
        <w:rPr>
          <w:sz w:val="18"/>
          <w:szCs w:val="18"/>
          <w:vertAlign w:val="subscript"/>
          <w:lang w:val="hu-HU" w:eastAsia="en-GB"/>
        </w:rPr>
        <w:t>min</w:t>
      </w:r>
      <w:r>
        <w:rPr>
          <w:lang w:val="hu-HU" w:eastAsia="en-GB"/>
        </w:rPr>
        <w:noBreakHyphen/>
        <w:t>t 32%</w:t>
      </w:r>
      <w:r>
        <w:rPr>
          <w:lang w:val="hu-HU" w:eastAsia="en-GB"/>
        </w:rPr>
        <w:noBreakHyphen/>
        <w:t>kal csökkentette. A C</w:t>
      </w:r>
      <w:r>
        <w:rPr>
          <w:sz w:val="18"/>
          <w:szCs w:val="18"/>
          <w:vertAlign w:val="subscript"/>
          <w:lang w:val="hu-HU" w:eastAsia="en-GB"/>
        </w:rPr>
        <w:t>min</w:t>
      </w:r>
      <w:r>
        <w:rPr>
          <w:sz w:val="14"/>
          <w:szCs w:val="14"/>
          <w:lang w:val="hu-HU" w:eastAsia="en-GB"/>
        </w:rPr>
        <w:t xml:space="preserve"> </w:t>
      </w:r>
      <w:r>
        <w:rPr>
          <w:rFonts w:eastAsia="TimesNewRomanPSMT"/>
          <w:lang w:val="hu-HU" w:eastAsia="en-GB"/>
        </w:rPr>
        <w:t xml:space="preserve">csökkenésének klinikai jelentőségét nem igazolták. A </w:t>
      </w:r>
      <w:r>
        <w:rPr>
          <w:lang w:val="hu-HU" w:eastAsia="en-GB"/>
        </w:rPr>
        <w:t>HCV</w:t>
      </w:r>
      <w:r>
        <w:rPr>
          <w:lang w:val="hu-HU" w:eastAsia="en-GB"/>
        </w:rPr>
        <w:noBreakHyphen/>
      </w:r>
      <w:r>
        <w:rPr>
          <w:rFonts w:eastAsia="TimesNewRomanPSMT"/>
          <w:lang w:val="hu-HU" w:eastAsia="en-GB"/>
        </w:rPr>
        <w:t>szuppresszió fokozott klinikai és laboratóriumi ellenőrzése javasolt.</w:t>
      </w:r>
    </w:p>
    <w:p w14:paraId="18EF4F73" w14:textId="77777777" w:rsidR="00342CEA" w:rsidRDefault="00342CEA">
      <w:pPr>
        <w:tabs>
          <w:tab w:val="clear" w:pos="567"/>
        </w:tabs>
        <w:autoSpaceDE w:val="0"/>
        <w:autoSpaceDN w:val="0"/>
        <w:spacing w:line="240" w:lineRule="auto"/>
        <w:rPr>
          <w:rFonts w:eastAsia="Times New Roman"/>
          <w:lang w:val="hu-HU" w:eastAsia="en-US"/>
        </w:rPr>
      </w:pPr>
    </w:p>
    <w:p w14:paraId="2FC7B044" w14:textId="77777777" w:rsidR="00342CEA" w:rsidRDefault="00837BAB">
      <w:pPr>
        <w:keepNext/>
        <w:tabs>
          <w:tab w:val="clear" w:pos="567"/>
        </w:tabs>
        <w:autoSpaceDE w:val="0"/>
        <w:autoSpaceDN w:val="0"/>
        <w:spacing w:line="240" w:lineRule="auto"/>
        <w:rPr>
          <w:u w:val="single"/>
          <w:lang w:val="hu-HU" w:eastAsia="en-GB"/>
        </w:rPr>
      </w:pPr>
      <w:r>
        <w:rPr>
          <w:u w:val="single"/>
          <w:lang w:val="hu-HU" w:eastAsia="en-GB"/>
        </w:rPr>
        <w:lastRenderedPageBreak/>
        <w:t>Egyéb gyógyszerek hatása az eltrombopagra</w:t>
      </w:r>
    </w:p>
    <w:p w14:paraId="1AC1F11B" w14:textId="77777777" w:rsidR="00342CEA" w:rsidRDefault="00342CEA">
      <w:pPr>
        <w:keepNext/>
        <w:tabs>
          <w:tab w:val="clear" w:pos="567"/>
        </w:tabs>
        <w:autoSpaceDE w:val="0"/>
        <w:autoSpaceDN w:val="0"/>
        <w:spacing w:line="240" w:lineRule="auto"/>
        <w:rPr>
          <w:i/>
          <w:lang w:val="hu-HU" w:eastAsia="en-GB"/>
        </w:rPr>
      </w:pPr>
    </w:p>
    <w:p w14:paraId="1D4B4877" w14:textId="77777777" w:rsidR="00342CEA" w:rsidRDefault="00837BAB">
      <w:pPr>
        <w:keepNext/>
        <w:tabs>
          <w:tab w:val="clear" w:pos="567"/>
        </w:tabs>
        <w:autoSpaceDE w:val="0"/>
        <w:autoSpaceDN w:val="0"/>
        <w:spacing w:line="240" w:lineRule="auto"/>
        <w:rPr>
          <w:i/>
          <w:u w:val="single"/>
          <w:lang w:val="hu-HU" w:eastAsia="en-GB"/>
        </w:rPr>
      </w:pPr>
      <w:r>
        <w:rPr>
          <w:i/>
          <w:u w:val="single"/>
          <w:lang w:val="hu-HU" w:eastAsia="en-GB"/>
        </w:rPr>
        <w:t>Ciklosporin</w:t>
      </w:r>
    </w:p>
    <w:p w14:paraId="65904C07" w14:textId="77777777" w:rsidR="0038278E" w:rsidRDefault="0038278E">
      <w:pPr>
        <w:keepNext/>
        <w:tabs>
          <w:tab w:val="clear" w:pos="567"/>
        </w:tabs>
        <w:autoSpaceDE w:val="0"/>
        <w:autoSpaceDN w:val="0"/>
        <w:spacing w:line="240" w:lineRule="auto"/>
        <w:rPr>
          <w:i/>
          <w:u w:val="single"/>
          <w:lang w:val="hu-HU" w:eastAsia="en-GB"/>
        </w:rPr>
      </w:pPr>
    </w:p>
    <w:p w14:paraId="6C27C4C9"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200 mg és 600 mg ciklosporin (BCRP</w:t>
      </w:r>
      <w:r>
        <w:rPr>
          <w:lang w:val="hu-HU" w:eastAsia="en-GB"/>
        </w:rPr>
        <w:noBreakHyphen/>
        <w:t>inhibitor), illetve eltrombopag együttes adása során az eltrombopag expozíciójának csökkenését észlelték. 200 mg ciklosporin együttes alkalmazása 25%</w:t>
      </w:r>
      <w:r>
        <w:rPr>
          <w:lang w:val="hu-HU" w:eastAsia="en-GB"/>
        </w:rPr>
        <w:noBreakHyphen/>
        <w:t>kal csökkentette az eltrombopag C</w:t>
      </w:r>
      <w:r>
        <w:rPr>
          <w:sz w:val="18"/>
          <w:szCs w:val="18"/>
          <w:vertAlign w:val="subscript"/>
          <w:lang w:val="hu-HU" w:eastAsia="en-GB"/>
        </w:rPr>
        <w:t>max</w:t>
      </w:r>
      <w:r>
        <w:rPr>
          <w:lang w:val="hu-HU" w:eastAsia="en-GB"/>
        </w:rPr>
        <w:noBreakHyphen/>
        <w:t xml:space="preserve"> és 18%</w:t>
      </w:r>
      <w:r>
        <w:rPr>
          <w:lang w:val="hu-HU" w:eastAsia="en-GB"/>
        </w:rPr>
        <w:noBreakHyphen/>
        <w:t>kal az AUC</w:t>
      </w:r>
      <w:r>
        <w:rPr>
          <w:sz w:val="14"/>
          <w:szCs w:val="14"/>
          <w:lang w:val="hu-HU" w:eastAsia="en-GB"/>
        </w:rPr>
        <w:t>0-∞</w:t>
      </w:r>
      <w:r>
        <w:rPr>
          <w:lang w:val="hu-HU" w:eastAsia="en-GB"/>
        </w:rPr>
        <w:noBreakHyphen/>
        <w:t>értékét. 600 mg ciklosporin együttes alkalmazása 39%</w:t>
      </w:r>
      <w:r>
        <w:rPr>
          <w:lang w:val="hu-HU" w:eastAsia="en-GB"/>
        </w:rPr>
        <w:noBreakHyphen/>
        <w:t>kal csökkentette az eltrombopag C</w:t>
      </w:r>
      <w:r>
        <w:rPr>
          <w:sz w:val="18"/>
          <w:szCs w:val="18"/>
          <w:vertAlign w:val="subscript"/>
          <w:lang w:val="hu-HU" w:eastAsia="en-GB"/>
        </w:rPr>
        <w:t>max</w:t>
      </w:r>
      <w:r>
        <w:rPr>
          <w:lang w:val="hu-HU" w:eastAsia="en-GB"/>
        </w:rPr>
        <w:noBreakHyphen/>
        <w:t xml:space="preserve"> és 24%</w:t>
      </w:r>
      <w:r>
        <w:rPr>
          <w:lang w:val="hu-HU" w:eastAsia="en-GB"/>
        </w:rPr>
        <w:noBreakHyphen/>
        <w:t>kal az AUC</w:t>
      </w:r>
      <w:r>
        <w:rPr>
          <w:sz w:val="14"/>
          <w:szCs w:val="14"/>
          <w:lang w:val="hu-HU" w:eastAsia="en-GB"/>
        </w:rPr>
        <w:t>0-∞</w:t>
      </w:r>
      <w:r>
        <w:rPr>
          <w:lang w:val="hu-HU" w:eastAsia="en-GB"/>
        </w:rPr>
        <w:noBreakHyphen/>
        <w:t>értékét. A kezelés során az eltrombopag dózismódosítása a beteg vérlemezkeszáma alapján engedélyezett (lásd 4.2 pont). Ha az eltrombopagot ciklsoporinnal együttesen alkalmazzák, a vérlemezkeszámot 2</w:t>
      </w:r>
      <w:r>
        <w:rPr>
          <w:lang w:val="hu-HU" w:eastAsia="en-GB"/>
        </w:rPr>
        <w:noBreakHyphen/>
        <w:t xml:space="preserve">3 héten </w:t>
      </w:r>
      <w:r>
        <w:rPr>
          <w:rFonts w:eastAsia="TimesNewRomanPSMT"/>
          <w:lang w:val="hu-HU" w:eastAsia="en-GB"/>
        </w:rPr>
        <w:t xml:space="preserve">keresztül legalább hetente kell ellenőrizni. A vérlemezkeszám alapján szükségessé válhat az </w:t>
      </w:r>
      <w:r>
        <w:rPr>
          <w:lang w:val="hu-HU" w:eastAsia="en-GB"/>
        </w:rPr>
        <w:t>eltrombopag dózisának növelése.</w:t>
      </w:r>
    </w:p>
    <w:p w14:paraId="4CB53EC4" w14:textId="77777777" w:rsidR="00342CEA" w:rsidRDefault="00342CEA">
      <w:pPr>
        <w:tabs>
          <w:tab w:val="clear" w:pos="567"/>
        </w:tabs>
        <w:autoSpaceDE w:val="0"/>
        <w:autoSpaceDN w:val="0"/>
        <w:spacing w:line="240" w:lineRule="auto"/>
        <w:rPr>
          <w:rFonts w:eastAsia="Times New Roman"/>
          <w:lang w:val="hu-HU" w:eastAsia="en-US"/>
        </w:rPr>
      </w:pPr>
    </w:p>
    <w:p w14:paraId="6035C6D5"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Polivalens kationok (kelátképzés)</w:t>
      </w:r>
    </w:p>
    <w:p w14:paraId="2626AF03" w14:textId="77777777" w:rsidR="0038278E" w:rsidRDefault="0038278E">
      <w:pPr>
        <w:tabs>
          <w:tab w:val="clear" w:pos="567"/>
        </w:tabs>
        <w:autoSpaceDE w:val="0"/>
        <w:autoSpaceDN w:val="0"/>
        <w:spacing w:line="240" w:lineRule="auto"/>
        <w:rPr>
          <w:i/>
          <w:u w:val="single"/>
          <w:lang w:val="hu-HU" w:eastAsia="en-GB"/>
        </w:rPr>
      </w:pPr>
    </w:p>
    <w:p w14:paraId="0A19CD39"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Az eltrombopag kelátot képez a polivalens kationokkal, így a vassal, a kalciummal, a magnéziummal, az alumíniummal, a szelénnel és a cinkkel. Egyetlen 75 m</w:t>
      </w:r>
      <w:r>
        <w:rPr>
          <w:lang w:val="hu-HU" w:eastAsia="en-GB"/>
        </w:rPr>
        <w:noBreakHyphen/>
        <w:t>-os eltrombopag adag és egy polivalens kationt tartalmazó antacid (1524 mg alumínium</w:t>
      </w:r>
      <w:r>
        <w:rPr>
          <w:lang w:val="hu-HU" w:eastAsia="en-GB"/>
        </w:rPr>
        <w:noBreakHyphen/>
        <w:t>hidroxid és 1425 mg magnézium</w:t>
      </w:r>
      <w:r>
        <w:rPr>
          <w:lang w:val="hu-HU" w:eastAsia="en-GB"/>
        </w:rPr>
        <w:noBreakHyphen/>
        <w:t>karbonát) együttes adásakor 70%</w:t>
      </w:r>
      <w:r>
        <w:rPr>
          <w:lang w:val="hu-HU" w:eastAsia="en-GB"/>
        </w:rPr>
        <w:noBreakHyphen/>
        <w:t>kal csökkent a plazma eltrombopag AUC</w:t>
      </w:r>
      <w:r>
        <w:rPr>
          <w:sz w:val="14"/>
          <w:szCs w:val="14"/>
          <w:lang w:val="hu-HU" w:eastAsia="en-GB"/>
        </w:rPr>
        <w:t>0-∞</w:t>
      </w:r>
      <w:r>
        <w:rPr>
          <w:lang w:val="hu-HU" w:eastAsia="en-GB"/>
        </w:rPr>
        <w:noBreakHyphen/>
        <w:t>értéke (90%</w:t>
      </w:r>
      <w:r>
        <w:rPr>
          <w:lang w:val="hu-HU" w:eastAsia="en-GB"/>
        </w:rPr>
        <w:noBreakHyphen/>
        <w:t>os CI: 64%, 76%), és 70%</w:t>
      </w:r>
      <w:r>
        <w:rPr>
          <w:lang w:val="hu-HU" w:eastAsia="en-GB"/>
        </w:rPr>
        <w:noBreakHyphen/>
        <w:t>kal a C</w:t>
      </w:r>
      <w:r>
        <w:rPr>
          <w:sz w:val="18"/>
          <w:szCs w:val="18"/>
          <w:vertAlign w:val="subscript"/>
          <w:lang w:val="hu-HU" w:eastAsia="en-GB"/>
        </w:rPr>
        <w:t>max</w:t>
      </w:r>
      <w:r>
        <w:rPr>
          <w:lang w:val="hu-HU" w:eastAsia="en-GB"/>
        </w:rPr>
        <w:noBreakHyphen/>
        <w:t>értéke (90%</w:t>
      </w:r>
      <w:r>
        <w:rPr>
          <w:lang w:val="hu-HU" w:eastAsia="en-GB"/>
        </w:rPr>
        <w:noBreakHyphen/>
        <w:t xml:space="preserve">os CI: 62%, 76%). </w:t>
      </w:r>
      <w:r>
        <w:rPr>
          <w:rFonts w:eastAsia="TimesNewRomanPSMT"/>
          <w:lang w:val="hu-HU" w:eastAsia="en-GB"/>
        </w:rPr>
        <w:t xml:space="preserve">Az eltrombopagot legalább két órával előbb vagy négy órával később kell bevenni, mint bármilyen más készítményt, mint például </w:t>
      </w:r>
      <w:r>
        <w:rPr>
          <w:lang w:val="hu-HU" w:eastAsia="en-GB"/>
        </w:rPr>
        <w:t>az antacidákat, a tejtermékeket vagy polivalens kationokat tartalmazó sópótlókat, hogy az eltrombopag felszívódása ne csökkenjen j</w:t>
      </w:r>
      <w:r>
        <w:rPr>
          <w:rFonts w:eastAsia="TimesNewRomanPSMT"/>
          <w:lang w:val="hu-HU" w:eastAsia="en-GB"/>
        </w:rPr>
        <w:t>elentős mértékben a kelátképzés miatt (lásd 4.2 és 5.2 </w:t>
      </w:r>
      <w:r>
        <w:rPr>
          <w:lang w:val="hu-HU" w:eastAsia="en-GB"/>
        </w:rPr>
        <w:t>pont).</w:t>
      </w:r>
    </w:p>
    <w:p w14:paraId="1AE2B024" w14:textId="77777777" w:rsidR="00342CEA" w:rsidRDefault="00342CEA">
      <w:pPr>
        <w:tabs>
          <w:tab w:val="clear" w:pos="567"/>
        </w:tabs>
        <w:autoSpaceDE w:val="0"/>
        <w:autoSpaceDN w:val="0"/>
        <w:spacing w:line="240" w:lineRule="auto"/>
        <w:rPr>
          <w:rFonts w:eastAsia="Times New Roman"/>
          <w:lang w:val="hu-HU" w:eastAsia="en-US"/>
        </w:rPr>
      </w:pPr>
    </w:p>
    <w:p w14:paraId="058C23E8"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Lopinavir/ritonavir</w:t>
      </w:r>
    </w:p>
    <w:p w14:paraId="3EB8EFEF" w14:textId="77777777" w:rsidR="0038278E" w:rsidRDefault="0038278E">
      <w:pPr>
        <w:tabs>
          <w:tab w:val="clear" w:pos="567"/>
        </w:tabs>
        <w:autoSpaceDE w:val="0"/>
        <w:autoSpaceDN w:val="0"/>
        <w:spacing w:line="240" w:lineRule="auto"/>
        <w:rPr>
          <w:i/>
          <w:u w:val="single"/>
          <w:lang w:val="hu-HU" w:eastAsia="en-GB"/>
        </w:rPr>
      </w:pPr>
    </w:p>
    <w:p w14:paraId="6C4A320D"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Eltrombopag és lopinavir/ritonavir együttadásakor csökkenhet az eltrombopag koncentrációja. Egy, 40 egészséges önkéntes bevonásával végzett vizsgálat azt mutatta, hogy egyszeri 100 mg</w:t>
      </w:r>
      <w:r>
        <w:rPr>
          <w:lang w:val="hu-HU" w:eastAsia="en-GB"/>
        </w:rPr>
        <w:noBreakHyphen/>
        <w:t>os eltrombopag dózis együttadása ismételten adott lopinavirral/ritonavirral (naponta kétszer 400/100 mg) az eltrombopag plazma AUC</w:t>
      </w:r>
      <w:r>
        <w:rPr>
          <w:sz w:val="14"/>
          <w:szCs w:val="14"/>
          <w:lang w:val="hu-HU" w:eastAsia="en-GB"/>
        </w:rPr>
        <w:t>0-∞</w:t>
      </w:r>
      <w:r>
        <w:rPr>
          <w:lang w:val="hu-HU" w:eastAsia="en-GB"/>
        </w:rPr>
        <w:noBreakHyphen/>
        <w:t>értékének 17%</w:t>
      </w:r>
      <w:r>
        <w:rPr>
          <w:lang w:val="hu-HU" w:eastAsia="en-GB"/>
        </w:rPr>
        <w:noBreakHyphen/>
        <w:t>os csökkenését eredményezte (90%</w:t>
      </w:r>
      <w:r>
        <w:rPr>
          <w:lang w:val="hu-HU" w:eastAsia="en-GB"/>
        </w:rPr>
        <w:noBreakHyphen/>
        <w:t xml:space="preserve">os CI: 6,6%, 26,6%). Ezért eltrombopag és lopinavir/ritonavir </w:t>
      </w:r>
      <w:r>
        <w:rPr>
          <w:rFonts w:eastAsia="TimesNewRomanPSMT"/>
          <w:lang w:val="hu-HU" w:eastAsia="en-GB"/>
        </w:rPr>
        <w:t>együttadása esetén elővigyázatosság szükséges. A vérlemezkeszámot gondosan monitorozni kell a lopinavir</w:t>
      </w:r>
      <w:r>
        <w:rPr>
          <w:rFonts w:eastAsia="TimesNewRomanPSMT"/>
          <w:lang w:val="hu-HU" w:eastAsia="en-GB"/>
        </w:rPr>
        <w:noBreakHyphen/>
        <w:t>/ritonavir</w:t>
      </w:r>
      <w:r>
        <w:rPr>
          <w:lang w:val="hu-HU" w:eastAsia="en-GB"/>
        </w:rPr>
        <w:noBreakHyphen/>
        <w:t>kezelés megkezdése, vagy abbahagyása esetén, hogy az orvos helyesen tudja meghatározni az eltrombopag adagját.</w:t>
      </w:r>
    </w:p>
    <w:p w14:paraId="756F1475" w14:textId="77777777" w:rsidR="00342CEA" w:rsidRDefault="00342CEA">
      <w:pPr>
        <w:tabs>
          <w:tab w:val="clear" w:pos="567"/>
        </w:tabs>
        <w:autoSpaceDE w:val="0"/>
        <w:autoSpaceDN w:val="0"/>
        <w:spacing w:line="240" w:lineRule="auto"/>
        <w:rPr>
          <w:rFonts w:eastAsia="Times New Roman"/>
          <w:lang w:val="hu-HU" w:eastAsia="en-US"/>
        </w:rPr>
      </w:pPr>
    </w:p>
    <w:p w14:paraId="4170B089"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CYP1A2</w:t>
      </w:r>
      <w:r>
        <w:rPr>
          <w:i/>
          <w:u w:val="single"/>
          <w:lang w:val="hu-HU" w:eastAsia="en-GB"/>
        </w:rPr>
        <w:noBreakHyphen/>
        <w:t xml:space="preserve"> és CYP2C8</w:t>
      </w:r>
      <w:r>
        <w:rPr>
          <w:i/>
          <w:u w:val="single"/>
          <w:lang w:val="hu-HU" w:eastAsia="en-GB"/>
        </w:rPr>
        <w:noBreakHyphen/>
        <w:t xml:space="preserve">gátlók és </w:t>
      </w:r>
      <w:r>
        <w:rPr>
          <w:i/>
          <w:u w:val="single"/>
          <w:lang w:val="hu-HU" w:eastAsia="en-GB"/>
        </w:rPr>
        <w:noBreakHyphen/>
        <w:t>induktorok</w:t>
      </w:r>
    </w:p>
    <w:p w14:paraId="43708A87" w14:textId="77777777" w:rsidR="0038278E" w:rsidRDefault="0038278E">
      <w:pPr>
        <w:tabs>
          <w:tab w:val="clear" w:pos="567"/>
        </w:tabs>
        <w:autoSpaceDE w:val="0"/>
        <w:autoSpaceDN w:val="0"/>
        <w:spacing w:line="240" w:lineRule="auto"/>
        <w:rPr>
          <w:i/>
          <w:u w:val="single"/>
          <w:lang w:val="hu-HU" w:eastAsia="en-GB"/>
        </w:rPr>
      </w:pPr>
    </w:p>
    <w:p w14:paraId="1B313E21"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 xml:space="preserve">Az eltrombopag többféle úton metabolizálódik, beleértve a CYP1A2, CYP2C8, UGT1A1 és UGT1A3 enzimeket (lásd 5.2 pont). Azok a gyógyszerek, amelyek egyetlen enzimet gátolnak vagy indukálnak, </w:t>
      </w:r>
      <w:r>
        <w:rPr>
          <w:rFonts w:eastAsia="TimesNewRomanPSMT"/>
          <w:lang w:val="hu-HU" w:eastAsia="en-GB"/>
        </w:rPr>
        <w:t>nem valószínű, hogy szignifikáns mértékben befolyásolják az eltrombopag plazmakoncentrációját</w:t>
      </w:r>
      <w:r>
        <w:rPr>
          <w:lang w:val="hu-HU" w:eastAsia="en-GB"/>
        </w:rPr>
        <w:t>; míg azok a gyógyszerek, amelyek több enzimet is gátolnak vagy indukálnak, képesek az eltrombopag koncentrációját növelni (pl. fluvoxamin) vagy csökkenteni (pl. rifampicin).</w:t>
      </w:r>
    </w:p>
    <w:p w14:paraId="4B2940F8" w14:textId="77777777" w:rsidR="00342CEA" w:rsidRDefault="00342CEA">
      <w:pPr>
        <w:tabs>
          <w:tab w:val="clear" w:pos="567"/>
        </w:tabs>
        <w:autoSpaceDE w:val="0"/>
        <w:autoSpaceDN w:val="0"/>
        <w:spacing w:line="240" w:lineRule="auto"/>
        <w:rPr>
          <w:rFonts w:eastAsia="Times New Roman"/>
          <w:lang w:val="hu-HU" w:eastAsia="en-US"/>
        </w:rPr>
      </w:pPr>
    </w:p>
    <w:p w14:paraId="08AE40CA" w14:textId="77777777" w:rsidR="00342CEA" w:rsidRDefault="00837BAB">
      <w:pPr>
        <w:widowControl w:val="0"/>
        <w:tabs>
          <w:tab w:val="clear" w:pos="567"/>
        </w:tabs>
        <w:autoSpaceDE w:val="0"/>
        <w:autoSpaceDN w:val="0"/>
        <w:spacing w:line="240" w:lineRule="auto"/>
        <w:rPr>
          <w:i/>
          <w:u w:val="single"/>
          <w:lang w:val="hu-HU" w:eastAsia="en-GB"/>
        </w:rPr>
      </w:pPr>
      <w:r>
        <w:rPr>
          <w:i/>
          <w:u w:val="single"/>
          <w:lang w:val="hu-HU" w:eastAsia="en-GB"/>
        </w:rPr>
        <w:t>HCV-proteáz</w:t>
      </w:r>
      <w:r>
        <w:rPr>
          <w:i/>
          <w:u w:val="single"/>
          <w:lang w:val="hu-HU" w:eastAsia="en-GB"/>
        </w:rPr>
        <w:noBreakHyphen/>
        <w:t>gátlók</w:t>
      </w:r>
    </w:p>
    <w:p w14:paraId="0A4509D9" w14:textId="77777777" w:rsidR="0038278E" w:rsidRDefault="0038278E">
      <w:pPr>
        <w:widowControl w:val="0"/>
        <w:tabs>
          <w:tab w:val="clear" w:pos="567"/>
        </w:tabs>
        <w:autoSpaceDE w:val="0"/>
        <w:autoSpaceDN w:val="0"/>
        <w:spacing w:line="240" w:lineRule="auto"/>
        <w:rPr>
          <w:i/>
          <w:u w:val="single"/>
          <w:lang w:val="hu-HU" w:eastAsia="en-GB"/>
        </w:rPr>
      </w:pPr>
    </w:p>
    <w:p w14:paraId="1FF83EEE" w14:textId="77777777" w:rsidR="00342CEA" w:rsidRDefault="00837BAB">
      <w:pPr>
        <w:widowControl w:val="0"/>
        <w:tabs>
          <w:tab w:val="clear" w:pos="567"/>
        </w:tabs>
        <w:autoSpaceDE w:val="0"/>
        <w:autoSpaceDN w:val="0"/>
        <w:spacing w:line="240" w:lineRule="auto"/>
        <w:rPr>
          <w:rFonts w:eastAsia="Times New Roman"/>
          <w:lang w:val="hu-HU" w:eastAsia="en-US"/>
        </w:rPr>
      </w:pPr>
      <w:r>
        <w:rPr>
          <w:lang w:val="hu-HU" w:eastAsia="en-GB"/>
        </w:rPr>
        <w:t xml:space="preserve">Egy gyógyszer-gyógyszer farmakokinetikai interakció vizsgálat eredményei alapján a 8 óránként ismételten adagolt 800 mg boceprevir vagy 8 óránként ismételten adagolt 750 mg telaprevir 200 mg </w:t>
      </w:r>
      <w:r>
        <w:rPr>
          <w:rFonts w:eastAsia="TimesNewRomanPSMT"/>
          <w:lang w:val="hu-HU" w:eastAsia="en-GB"/>
        </w:rPr>
        <w:t xml:space="preserve">egyszeri dózisú eltrombopaggal történő együttadása nem befolyásolta jelentős mértékben az </w:t>
      </w:r>
      <w:r>
        <w:rPr>
          <w:lang w:val="hu-HU" w:eastAsia="en-GB"/>
        </w:rPr>
        <w:t>eltrombopag plazmaexpozícióját.</w:t>
      </w:r>
    </w:p>
    <w:p w14:paraId="1192F71F" w14:textId="77777777" w:rsidR="00342CEA" w:rsidRDefault="00342CEA">
      <w:pPr>
        <w:tabs>
          <w:tab w:val="clear" w:pos="567"/>
        </w:tabs>
        <w:autoSpaceDE w:val="0"/>
        <w:autoSpaceDN w:val="0"/>
        <w:spacing w:line="240" w:lineRule="auto"/>
        <w:rPr>
          <w:rFonts w:eastAsia="Times New Roman"/>
          <w:lang w:val="hu-HU" w:eastAsia="en-US"/>
        </w:rPr>
      </w:pPr>
    </w:p>
    <w:p w14:paraId="4E1F1EC0" w14:textId="77777777" w:rsidR="00342CEA" w:rsidRPr="006C1619" w:rsidRDefault="00837BAB">
      <w:pPr>
        <w:tabs>
          <w:tab w:val="clear" w:pos="567"/>
        </w:tabs>
        <w:autoSpaceDE w:val="0"/>
        <w:autoSpaceDN w:val="0"/>
        <w:spacing w:line="240" w:lineRule="auto"/>
        <w:rPr>
          <w:i/>
          <w:iCs/>
          <w:u w:val="single"/>
          <w:lang w:val="hu-HU" w:eastAsia="en-GB"/>
        </w:rPr>
      </w:pPr>
      <w:r w:rsidRPr="006C1619">
        <w:rPr>
          <w:i/>
          <w:iCs/>
          <w:u w:val="single"/>
          <w:lang w:val="hu-HU" w:eastAsia="en-GB"/>
        </w:rPr>
        <w:t>ITP kezelésére használt gyógyszerek</w:t>
      </w:r>
    </w:p>
    <w:p w14:paraId="04B00246" w14:textId="77777777" w:rsidR="0038278E" w:rsidRDefault="0038278E">
      <w:pPr>
        <w:tabs>
          <w:tab w:val="clear" w:pos="567"/>
        </w:tabs>
        <w:autoSpaceDE w:val="0"/>
        <w:autoSpaceDN w:val="0"/>
        <w:spacing w:line="240" w:lineRule="auto"/>
        <w:rPr>
          <w:u w:val="single"/>
          <w:lang w:val="hu-HU" w:eastAsia="en-GB"/>
        </w:rPr>
      </w:pPr>
    </w:p>
    <w:p w14:paraId="1AEB9853"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 xml:space="preserve">Klinikai vizsgálatokban az eltrombopagot az ITP </w:t>
      </w:r>
      <w:r>
        <w:rPr>
          <w:rFonts w:eastAsia="TimesNewRomanPSMT"/>
          <w:lang w:val="hu-HU" w:eastAsia="en-GB"/>
        </w:rPr>
        <w:t xml:space="preserve">kezelésére alkalmazott következő </w:t>
      </w:r>
      <w:r>
        <w:rPr>
          <w:lang w:val="hu-HU" w:eastAsia="en-GB"/>
        </w:rPr>
        <w:t>gyógyszerekkel adták együtt: kortikoszteroidok, danazol és/vagy azatioprin, intravénás immunglobulin (IVIG), és anti</w:t>
      </w:r>
      <w:r>
        <w:rPr>
          <w:lang w:val="hu-HU" w:eastAsia="en-GB"/>
        </w:rPr>
        <w:noBreakHyphen/>
        <w:t>D immunglobulin. Az eltrombopag és az ITP</w:t>
      </w:r>
      <w:r>
        <w:rPr>
          <w:lang w:val="hu-HU" w:eastAsia="en-GB"/>
        </w:rPr>
        <w:noBreakHyphen/>
        <w:t xml:space="preserve">re adott más gyógyszerek </w:t>
      </w:r>
      <w:r>
        <w:rPr>
          <w:rFonts w:eastAsia="TimesNewRomanPSMT"/>
          <w:lang w:val="hu-HU" w:eastAsia="en-GB"/>
        </w:rPr>
        <w:t xml:space="preserve">kombinációban történő </w:t>
      </w:r>
      <w:r>
        <w:rPr>
          <w:lang w:val="hu-HU" w:eastAsia="en-GB"/>
        </w:rPr>
        <w:t>alkalmazása esetén a vérlemezkeszám monitorozása szükséges, a javasolt vérlemezkeszám határértékek túllépésének elkerülése céljából (lásd 4.2 pont).</w:t>
      </w:r>
    </w:p>
    <w:p w14:paraId="5B3F6332" w14:textId="77777777" w:rsidR="00342CEA" w:rsidRDefault="00342CEA">
      <w:pPr>
        <w:tabs>
          <w:tab w:val="clear" w:pos="567"/>
        </w:tabs>
        <w:autoSpaceDE w:val="0"/>
        <w:autoSpaceDN w:val="0"/>
        <w:spacing w:line="240" w:lineRule="auto"/>
        <w:rPr>
          <w:rFonts w:eastAsia="Times New Roman"/>
          <w:lang w:val="hu-HU" w:eastAsia="en-US"/>
        </w:rPr>
      </w:pPr>
    </w:p>
    <w:p w14:paraId="29CD541A"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lastRenderedPageBreak/>
        <w:t>Kölcsönhatás élelmiszerekkel</w:t>
      </w:r>
    </w:p>
    <w:p w14:paraId="5D277EAF" w14:textId="77777777" w:rsidR="0038278E" w:rsidRDefault="0038278E">
      <w:pPr>
        <w:tabs>
          <w:tab w:val="clear" w:pos="567"/>
        </w:tabs>
        <w:autoSpaceDE w:val="0"/>
        <w:autoSpaceDN w:val="0"/>
        <w:spacing w:line="240" w:lineRule="auto"/>
        <w:rPr>
          <w:u w:val="single"/>
          <w:lang w:val="hu-HU" w:eastAsia="en-GB"/>
        </w:rPr>
      </w:pPr>
    </w:p>
    <w:p w14:paraId="4520223E" w14:textId="77777777" w:rsidR="00342CEA" w:rsidRDefault="00837BAB">
      <w:pPr>
        <w:tabs>
          <w:tab w:val="clear" w:pos="567"/>
        </w:tabs>
        <w:autoSpaceDE w:val="0"/>
        <w:autoSpaceDN w:val="0"/>
        <w:spacing w:line="240" w:lineRule="auto"/>
        <w:rPr>
          <w:lang w:val="hu-HU" w:eastAsia="en-GB"/>
        </w:rPr>
      </w:pPr>
      <w:r>
        <w:rPr>
          <w:rFonts w:eastAsia="TimesNewRomanPSMT"/>
          <w:lang w:val="hu-HU" w:eastAsia="en-GB"/>
        </w:rPr>
        <w:t>Az eltrombopag tabletta vagy por belsőleges szuszpenzióhoz magas kalciumtartalmú étellel (pl. tejtermékeket tartalmazó étkezés) történő adása jelentősen csökkent</w:t>
      </w:r>
      <w:r>
        <w:rPr>
          <w:lang w:val="hu-HU" w:eastAsia="en-GB"/>
        </w:rPr>
        <w:t>ette az eltrombopag AUC</w:t>
      </w:r>
      <w:r>
        <w:rPr>
          <w:vertAlign w:val="subscript"/>
          <w:lang w:val="hu-HU" w:eastAsia="en-GB"/>
        </w:rPr>
        <w:t>0-</w:t>
      </w:r>
      <w:r>
        <w:rPr>
          <w:rFonts w:eastAsia="TimesNewRomanPSMT"/>
          <w:vertAlign w:val="subscript"/>
          <w:lang w:val="hu-HU" w:eastAsia="en-GB"/>
        </w:rPr>
        <w:t>∞</w:t>
      </w:r>
      <w:r>
        <w:rPr>
          <w:lang w:val="hu-HU" w:eastAsia="en-GB"/>
        </w:rPr>
        <w:noBreakHyphen/>
        <w:t>t és C</w:t>
      </w:r>
      <w:r>
        <w:rPr>
          <w:vertAlign w:val="subscript"/>
          <w:lang w:val="hu-HU" w:eastAsia="en-GB"/>
        </w:rPr>
        <w:t>max</w:t>
      </w:r>
      <w:r>
        <w:rPr>
          <w:lang w:val="hu-HU" w:eastAsia="en-GB"/>
        </w:rPr>
        <w:noBreakHyphen/>
        <w:t>ot. Ezzel szemben az eltrombopagnak 2 </w:t>
      </w:r>
      <w:r>
        <w:rPr>
          <w:rFonts w:eastAsia="TimesNewRomanPSMT"/>
          <w:lang w:val="hu-HU" w:eastAsia="en-GB"/>
        </w:rPr>
        <w:t>órával a magas kalciumtartalmú étel előtt vagy 4 </w:t>
      </w:r>
      <w:r>
        <w:rPr>
          <w:lang w:val="hu-HU" w:eastAsia="en-GB"/>
        </w:rPr>
        <w:t xml:space="preserve">órával </w:t>
      </w:r>
      <w:r>
        <w:rPr>
          <w:rFonts w:eastAsia="TimesNewRomanPSMT"/>
          <w:lang w:val="hu-HU" w:eastAsia="en-GB"/>
        </w:rPr>
        <w:t>azután történő, vagy alacsony kalciumtartalmú étellel [&lt; </w:t>
      </w:r>
      <w:r>
        <w:rPr>
          <w:lang w:val="hu-HU" w:eastAsia="en-GB"/>
        </w:rPr>
        <w:t>50 </w:t>
      </w:r>
      <w:r>
        <w:rPr>
          <w:rFonts w:eastAsia="TimesNewRomanPSMT"/>
          <w:lang w:val="hu-HU" w:eastAsia="en-GB"/>
        </w:rPr>
        <w:t xml:space="preserve">mg kalcium] történő együtt adása nem </w:t>
      </w:r>
      <w:r>
        <w:rPr>
          <w:lang w:val="hu-HU" w:eastAsia="en-GB"/>
        </w:rPr>
        <w:t xml:space="preserve">változtatta meg klinikailag </w:t>
      </w:r>
      <w:r>
        <w:rPr>
          <w:rFonts w:eastAsia="TimesNewRomanPSMT"/>
          <w:lang w:val="hu-HU" w:eastAsia="en-GB"/>
        </w:rPr>
        <w:t>jelentős mértékben a plazma eltrombopag</w:t>
      </w:r>
      <w:r>
        <w:rPr>
          <w:rFonts w:eastAsia="TimesNewRomanPSMT"/>
          <w:lang w:val="hu-HU" w:eastAsia="en-GB"/>
        </w:rPr>
        <w:noBreakHyphen/>
      </w:r>
      <w:r>
        <w:rPr>
          <w:lang w:val="hu-HU" w:eastAsia="en-GB"/>
        </w:rPr>
        <w:t>expozíciót (lásd 4.2 pont).</w:t>
      </w:r>
    </w:p>
    <w:p w14:paraId="7CCE7238" w14:textId="77777777" w:rsidR="00342CEA" w:rsidRDefault="00342CEA">
      <w:pPr>
        <w:tabs>
          <w:tab w:val="clear" w:pos="567"/>
        </w:tabs>
        <w:autoSpaceDE w:val="0"/>
        <w:autoSpaceDN w:val="0"/>
        <w:spacing w:line="240" w:lineRule="auto"/>
        <w:rPr>
          <w:lang w:val="hu-HU" w:eastAsia="en-GB"/>
        </w:rPr>
      </w:pPr>
    </w:p>
    <w:p w14:paraId="1700DC69" w14:textId="77777777" w:rsidR="00342CEA" w:rsidRDefault="00837BAB">
      <w:pPr>
        <w:tabs>
          <w:tab w:val="clear" w:pos="567"/>
        </w:tabs>
        <w:autoSpaceDE w:val="0"/>
        <w:autoSpaceDN w:val="0"/>
        <w:spacing w:line="240" w:lineRule="auto"/>
        <w:rPr>
          <w:lang w:val="hu-HU" w:eastAsia="en-GB"/>
        </w:rPr>
      </w:pPr>
      <w:r>
        <w:rPr>
          <w:lang w:val="hu-HU" w:eastAsia="en-GB"/>
        </w:rPr>
        <w:t>Standard, magas kalóriájú, magas zsírtartalmú, tejtermékeket is tartalmazó reggeli mellett a tabletta formájában adott egyetlen 50 mg</w:t>
      </w:r>
      <w:r>
        <w:rPr>
          <w:lang w:val="hu-HU" w:eastAsia="en-GB"/>
        </w:rPr>
        <w:noBreakHyphen/>
        <w:t>os eltrombopag dózis az átlagos plazma eltrombopag AUC</w:t>
      </w:r>
      <w:r>
        <w:rPr>
          <w:vertAlign w:val="subscript"/>
          <w:lang w:val="hu-HU" w:eastAsia="en-GB"/>
        </w:rPr>
        <w:t>0-</w:t>
      </w:r>
      <w:r>
        <w:rPr>
          <w:rFonts w:eastAsia="TimesNewRomanPSMT"/>
          <w:vertAlign w:val="subscript"/>
          <w:lang w:val="hu-HU" w:eastAsia="en-GB"/>
        </w:rPr>
        <w:t>∞</w:t>
      </w:r>
      <w:r>
        <w:rPr>
          <w:lang w:val="hu-HU" w:eastAsia="en-GB"/>
        </w:rPr>
        <w:noBreakHyphen/>
        <w:t>t 59%</w:t>
      </w:r>
      <w:r>
        <w:rPr>
          <w:lang w:val="hu-HU" w:eastAsia="en-GB"/>
        </w:rPr>
        <w:noBreakHyphen/>
        <w:t>kal, az átlagos C</w:t>
      </w:r>
      <w:r>
        <w:rPr>
          <w:vertAlign w:val="subscript"/>
          <w:lang w:val="hu-HU" w:eastAsia="en-GB"/>
        </w:rPr>
        <w:t>max</w:t>
      </w:r>
      <w:r>
        <w:rPr>
          <w:lang w:val="hu-HU" w:eastAsia="en-GB"/>
        </w:rPr>
        <w:noBreakHyphen/>
        <w:t>ot pedig 65%</w:t>
      </w:r>
      <w:r>
        <w:rPr>
          <w:lang w:val="hu-HU" w:eastAsia="en-GB"/>
        </w:rPr>
        <w:noBreakHyphen/>
        <w:t>kal csökkentette.</w:t>
      </w:r>
    </w:p>
    <w:p w14:paraId="17146A9C" w14:textId="77777777" w:rsidR="00342CEA" w:rsidRDefault="00342CEA">
      <w:pPr>
        <w:tabs>
          <w:tab w:val="clear" w:pos="567"/>
        </w:tabs>
        <w:autoSpaceDE w:val="0"/>
        <w:autoSpaceDN w:val="0"/>
        <w:spacing w:line="240" w:lineRule="auto"/>
        <w:rPr>
          <w:lang w:val="hu-HU" w:eastAsia="en-GB"/>
        </w:rPr>
      </w:pPr>
    </w:p>
    <w:p w14:paraId="054A9A93" w14:textId="77777777" w:rsidR="00342CEA" w:rsidRDefault="00837BAB">
      <w:pPr>
        <w:tabs>
          <w:tab w:val="clear" w:pos="567"/>
        </w:tabs>
        <w:autoSpaceDE w:val="0"/>
        <w:autoSpaceDN w:val="0"/>
        <w:spacing w:line="240" w:lineRule="auto"/>
        <w:rPr>
          <w:lang w:val="hu-HU" w:eastAsia="en-GB"/>
        </w:rPr>
      </w:pPr>
      <w:r>
        <w:rPr>
          <w:lang w:val="hu-HU" w:eastAsia="en-GB"/>
        </w:rPr>
        <w:t>Egyszeri 25 mg</w:t>
      </w:r>
      <w:r>
        <w:rPr>
          <w:lang w:val="hu-HU" w:eastAsia="en-GB"/>
        </w:rPr>
        <w:noBreakHyphen/>
      </w:r>
      <w:r>
        <w:rPr>
          <w:rFonts w:eastAsia="TimesNewRomanPSMT"/>
          <w:lang w:val="hu-HU" w:eastAsia="en-GB"/>
        </w:rPr>
        <w:t xml:space="preserve">os dózis eltrombopag por belsőleges szuszpenzióhoz alkalmazása magas </w:t>
      </w:r>
      <w:r>
        <w:rPr>
          <w:lang w:val="hu-HU" w:eastAsia="en-GB"/>
        </w:rPr>
        <w:t>kalciumtartalmú, mérsékelt zsír</w:t>
      </w:r>
      <w:r>
        <w:rPr>
          <w:lang w:val="hu-HU" w:eastAsia="en-GB"/>
        </w:rPr>
        <w:noBreakHyphen/>
        <w:t xml:space="preserve"> és mérsékelt kalóriatartalmú étel fogyasztása mellett az átlagos AUC</w:t>
      </w:r>
      <w:r>
        <w:rPr>
          <w:vertAlign w:val="subscript"/>
          <w:lang w:val="hu-HU" w:eastAsia="en-GB"/>
        </w:rPr>
        <w:t>0-</w:t>
      </w:r>
      <w:r>
        <w:rPr>
          <w:rFonts w:eastAsia="TimesNewRomanPSMT"/>
          <w:vertAlign w:val="subscript"/>
          <w:lang w:val="hu-HU" w:eastAsia="en-GB"/>
        </w:rPr>
        <w:t>∞</w:t>
      </w:r>
      <w:r>
        <w:rPr>
          <w:rFonts w:eastAsia="TimesNewRomanPSMT"/>
          <w:lang w:val="hu-HU" w:eastAsia="en-GB"/>
        </w:rPr>
        <w:t xml:space="preserve"> </w:t>
      </w:r>
      <w:r>
        <w:rPr>
          <w:lang w:val="hu-HU" w:eastAsia="en-GB"/>
        </w:rPr>
        <w:t>75%</w:t>
      </w:r>
      <w:r>
        <w:rPr>
          <w:lang w:val="hu-HU" w:eastAsia="en-GB"/>
        </w:rPr>
        <w:noBreakHyphen/>
        <w:t>kal, míg az átlagos C</w:t>
      </w:r>
      <w:r>
        <w:rPr>
          <w:vertAlign w:val="subscript"/>
          <w:lang w:val="hu-HU" w:eastAsia="en-GB"/>
        </w:rPr>
        <w:t>max</w:t>
      </w:r>
      <w:r>
        <w:rPr>
          <w:lang w:val="hu-HU" w:eastAsia="en-GB"/>
        </w:rPr>
        <w:t xml:space="preserve"> 79%</w:t>
      </w:r>
      <w:r>
        <w:rPr>
          <w:lang w:val="hu-HU" w:eastAsia="en-GB"/>
        </w:rPr>
        <w:noBreakHyphen/>
        <w:t xml:space="preserve">kal csökkent. </w:t>
      </w:r>
      <w:r>
        <w:rPr>
          <w:rFonts w:eastAsia="TimesNewRomanPSMT"/>
          <w:lang w:val="hu-HU" w:eastAsia="en-GB"/>
        </w:rPr>
        <w:t xml:space="preserve">Ez a csökkenés azonban mérséklődött, ha az </w:t>
      </w:r>
      <w:r>
        <w:rPr>
          <w:lang w:val="hu-HU" w:eastAsia="en-GB"/>
        </w:rPr>
        <w:t>egyszeri, 25 mg</w:t>
      </w:r>
      <w:r>
        <w:rPr>
          <w:lang w:val="hu-HU" w:eastAsia="en-GB"/>
        </w:rPr>
        <w:noBreakHyphen/>
      </w:r>
      <w:r>
        <w:rPr>
          <w:rFonts w:eastAsia="TimesNewRomanPSMT"/>
          <w:lang w:val="hu-HU" w:eastAsia="en-GB"/>
        </w:rPr>
        <w:t>os adag eltrombopag por belsőleges szuszpenzióhoz bevétele 2 </w:t>
      </w:r>
      <w:r>
        <w:rPr>
          <w:lang w:val="hu-HU" w:eastAsia="en-GB"/>
        </w:rPr>
        <w:t xml:space="preserve">órával a magas </w:t>
      </w:r>
      <w:r>
        <w:rPr>
          <w:rFonts w:eastAsia="TimesNewRomanPSMT"/>
          <w:lang w:val="hu-HU" w:eastAsia="en-GB"/>
        </w:rPr>
        <w:t>kalciumtartalmú étel fogyasztása előtt történt (az átlagos AUC</w:t>
      </w:r>
      <w:r>
        <w:rPr>
          <w:vertAlign w:val="subscript"/>
          <w:lang w:val="hu-HU" w:eastAsia="en-GB"/>
        </w:rPr>
        <w:t>0-</w:t>
      </w:r>
      <w:r>
        <w:rPr>
          <w:rFonts w:eastAsia="TimesNewRomanPSMT"/>
          <w:vertAlign w:val="subscript"/>
          <w:lang w:val="hu-HU" w:eastAsia="en-GB"/>
        </w:rPr>
        <w:t>∞</w:t>
      </w:r>
      <w:r>
        <w:rPr>
          <w:rFonts w:eastAsia="TimesNewRomanPSMT"/>
          <w:lang w:val="hu-HU" w:eastAsia="en-GB"/>
        </w:rPr>
        <w:t xml:space="preserve"> </w:t>
      </w:r>
      <w:r>
        <w:rPr>
          <w:lang w:val="hu-HU" w:eastAsia="en-GB"/>
        </w:rPr>
        <w:t>20%</w:t>
      </w:r>
      <w:r>
        <w:rPr>
          <w:lang w:val="hu-HU" w:eastAsia="en-GB"/>
        </w:rPr>
        <w:noBreakHyphen/>
        <w:t>kal és az átlagos C</w:t>
      </w:r>
      <w:r>
        <w:rPr>
          <w:vertAlign w:val="subscript"/>
          <w:lang w:val="hu-HU" w:eastAsia="en-GB"/>
        </w:rPr>
        <w:t>max</w:t>
      </w:r>
      <w:r>
        <w:rPr>
          <w:lang w:val="hu-HU" w:eastAsia="en-GB"/>
        </w:rPr>
        <w:t xml:space="preserve"> 14%</w:t>
      </w:r>
      <w:r>
        <w:rPr>
          <w:lang w:val="hu-HU" w:eastAsia="en-GB"/>
        </w:rPr>
        <w:noBreakHyphen/>
        <w:t>kal csökkent).</w:t>
      </w:r>
    </w:p>
    <w:p w14:paraId="1A1899D9" w14:textId="77777777" w:rsidR="00342CEA" w:rsidRDefault="00342CEA">
      <w:pPr>
        <w:tabs>
          <w:tab w:val="clear" w:pos="567"/>
        </w:tabs>
        <w:autoSpaceDE w:val="0"/>
        <w:autoSpaceDN w:val="0"/>
        <w:spacing w:line="240" w:lineRule="auto"/>
        <w:rPr>
          <w:lang w:val="hu-HU" w:eastAsia="en-GB"/>
        </w:rPr>
      </w:pPr>
    </w:p>
    <w:p w14:paraId="3CD2E642"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Kalória</w:t>
      </w:r>
      <w:r>
        <w:rPr>
          <w:lang w:val="hu-HU" w:eastAsia="en-GB"/>
        </w:rPr>
        <w:noBreakHyphen/>
        <w:t xml:space="preserve"> és zsírtartalmától függetlenül az alacsony kalciumtartalmú étel (&lt; 50 mg kalcium), beleértve a gyümölcsöt, sovány sonkát, marhahúst és természetes (hozzáadott kalciumot, magnéziumot vagy vasat nem tartalmazó) gyümölcslevet, természetes szójatejet és természetes gabonát, nem befolyásolta </w:t>
      </w:r>
      <w:r>
        <w:rPr>
          <w:rFonts w:eastAsia="TimesNewRomanPSMT"/>
          <w:lang w:val="hu-HU" w:eastAsia="en-GB"/>
        </w:rPr>
        <w:t>jelentősen a plazma eltrombopag</w:t>
      </w:r>
      <w:r>
        <w:rPr>
          <w:lang w:val="hu-HU" w:eastAsia="en-GB"/>
        </w:rPr>
        <w:t>-expozíciót (lásd 4.2 és 4.5 pont).</w:t>
      </w:r>
    </w:p>
    <w:p w14:paraId="01D8564F" w14:textId="77777777" w:rsidR="00342CEA" w:rsidRDefault="00342CEA">
      <w:pPr>
        <w:spacing w:line="240" w:lineRule="auto"/>
        <w:ind w:left="567" w:hanging="567"/>
        <w:outlineLvl w:val="0"/>
        <w:rPr>
          <w:rFonts w:eastAsia="Times New Roman"/>
          <w:lang w:val="hu-HU" w:eastAsia="en-US"/>
        </w:rPr>
      </w:pPr>
    </w:p>
    <w:p w14:paraId="6373D07D"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4.6</w:t>
      </w:r>
      <w:r>
        <w:rPr>
          <w:rFonts w:eastAsia="Times New Roman"/>
          <w:b/>
          <w:bCs/>
          <w:lang w:val="hu-HU" w:eastAsia="en-US"/>
        </w:rPr>
        <w:tab/>
        <w:t>Termékenység, terhesség és szoptatás</w:t>
      </w:r>
    </w:p>
    <w:p w14:paraId="6D1249AA" w14:textId="77777777" w:rsidR="00342CEA" w:rsidRDefault="00342CEA">
      <w:pPr>
        <w:spacing w:line="240" w:lineRule="auto"/>
        <w:rPr>
          <w:i/>
          <w:lang w:val="hu-HU"/>
        </w:rPr>
      </w:pPr>
    </w:p>
    <w:p w14:paraId="71A0F212" w14:textId="77777777" w:rsidR="00342CEA" w:rsidRDefault="00837BAB">
      <w:pPr>
        <w:spacing w:line="240" w:lineRule="auto"/>
        <w:rPr>
          <w:u w:val="single"/>
          <w:lang w:val="hu-HU"/>
        </w:rPr>
      </w:pPr>
      <w:r>
        <w:rPr>
          <w:u w:val="single"/>
          <w:lang w:val="hu-HU"/>
        </w:rPr>
        <w:t>Terhesség</w:t>
      </w:r>
    </w:p>
    <w:p w14:paraId="40310204" w14:textId="77777777" w:rsidR="0038278E" w:rsidRDefault="0038278E">
      <w:pPr>
        <w:spacing w:line="240" w:lineRule="auto"/>
        <w:rPr>
          <w:u w:val="single"/>
          <w:lang w:val="hu-HU"/>
        </w:rPr>
      </w:pPr>
    </w:p>
    <w:p w14:paraId="46738B5C" w14:textId="77777777" w:rsidR="00342CEA" w:rsidRDefault="00837BAB">
      <w:pPr>
        <w:tabs>
          <w:tab w:val="clear" w:pos="567"/>
        </w:tabs>
        <w:autoSpaceDE w:val="0"/>
        <w:autoSpaceDN w:val="0"/>
        <w:spacing w:line="240" w:lineRule="auto"/>
        <w:rPr>
          <w:lang w:val="hu-HU" w:eastAsia="en-GB"/>
        </w:rPr>
      </w:pPr>
      <w:r>
        <w:rPr>
          <w:lang w:val="hu-HU" w:eastAsia="en-GB"/>
        </w:rPr>
        <w:t>Az eltrombopag terhes nőknél történő alkalmazásáról nincsenek adatok, vagy korlátozott mennyiségű adat áll rendelkezésre. Az állatokkal végzett vizsgálatok reprodukciós toxicitást igazoltak (lásd 5.3 pont). Embereknél a lehetséges kockázat mértéke nem ismert.</w:t>
      </w:r>
    </w:p>
    <w:p w14:paraId="59B614C6" w14:textId="77777777" w:rsidR="00342CEA" w:rsidRDefault="00342CEA">
      <w:pPr>
        <w:tabs>
          <w:tab w:val="clear" w:pos="567"/>
        </w:tabs>
        <w:autoSpaceDE w:val="0"/>
        <w:autoSpaceDN w:val="0"/>
        <w:spacing w:line="240" w:lineRule="auto"/>
        <w:rPr>
          <w:lang w:val="hu-HU" w:eastAsia="en-GB"/>
        </w:rPr>
      </w:pPr>
    </w:p>
    <w:p w14:paraId="3947CD4B" w14:textId="77777777" w:rsidR="00342CEA" w:rsidRDefault="00837BAB">
      <w:pPr>
        <w:spacing w:line="240" w:lineRule="auto"/>
        <w:rPr>
          <w:u w:val="single"/>
          <w:lang w:val="hu-HU"/>
        </w:rPr>
      </w:pPr>
      <w:r>
        <w:rPr>
          <w:rFonts w:eastAsia="Times New Roman"/>
          <w:lang w:val="hu-HU" w:eastAsia="en-US"/>
        </w:rPr>
        <w:t>Az Eltrombopag</w:t>
      </w:r>
      <w:r>
        <w:rPr>
          <w:lang w:val="hu-HU" w:eastAsia="en-GB"/>
        </w:rPr>
        <w:t xml:space="preserve"> </w:t>
      </w:r>
      <w:r>
        <w:rPr>
          <w:rFonts w:eastAsia="Times New Roman"/>
          <w:lang w:val="hu-HU" w:eastAsia="en-US"/>
        </w:rPr>
        <w:t xml:space="preserve">Sandoz alkalmazása </w:t>
      </w:r>
      <w:r>
        <w:rPr>
          <w:lang w:val="hu-HU" w:eastAsia="en-GB"/>
        </w:rPr>
        <w:t>nem javasolt terhesség alatt.</w:t>
      </w:r>
    </w:p>
    <w:p w14:paraId="129B762A" w14:textId="77777777" w:rsidR="00342CEA" w:rsidRDefault="00342CEA">
      <w:pPr>
        <w:spacing w:line="240" w:lineRule="auto"/>
        <w:rPr>
          <w:u w:val="single"/>
          <w:lang w:val="hu-HU"/>
        </w:rPr>
      </w:pPr>
    </w:p>
    <w:p w14:paraId="7110DA68"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Fogamzóképes nők/fogamzásgátlás férfiaknál és nőknél</w:t>
      </w:r>
    </w:p>
    <w:p w14:paraId="47E7E244" w14:textId="77777777" w:rsidR="0038278E" w:rsidRDefault="0038278E">
      <w:pPr>
        <w:tabs>
          <w:tab w:val="clear" w:pos="567"/>
        </w:tabs>
        <w:autoSpaceDE w:val="0"/>
        <w:autoSpaceDN w:val="0"/>
        <w:spacing w:line="240" w:lineRule="auto"/>
        <w:rPr>
          <w:u w:val="single"/>
          <w:lang w:val="hu-HU" w:eastAsia="en-GB"/>
        </w:rPr>
      </w:pPr>
    </w:p>
    <w:p w14:paraId="2E97CDFB" w14:textId="77777777" w:rsidR="00342CEA" w:rsidRDefault="00837BAB">
      <w:pPr>
        <w:spacing w:line="240" w:lineRule="auto"/>
        <w:rPr>
          <w:u w:val="single"/>
          <w:lang w:val="hu-HU"/>
        </w:rPr>
      </w:pPr>
      <w:r>
        <w:rPr>
          <w:rFonts w:eastAsia="Times New Roman"/>
          <w:lang w:val="hu-HU" w:eastAsia="en-US"/>
        </w:rPr>
        <w:t>Az Eltrombopag</w:t>
      </w:r>
      <w:r>
        <w:rPr>
          <w:lang w:val="hu-HU" w:eastAsia="en-GB"/>
        </w:rPr>
        <w:t xml:space="preserve"> </w:t>
      </w:r>
      <w:r>
        <w:rPr>
          <w:rFonts w:eastAsia="Times New Roman"/>
          <w:lang w:val="hu-HU" w:eastAsia="en-US"/>
        </w:rPr>
        <w:t xml:space="preserve">Sandoz </w:t>
      </w:r>
      <w:r>
        <w:rPr>
          <w:lang w:val="hu-HU" w:eastAsia="en-GB"/>
        </w:rPr>
        <w:t xml:space="preserve">nem javasolt fogamzásgátlást nem alkalmazó, </w:t>
      </w:r>
      <w:r>
        <w:rPr>
          <w:rFonts w:eastAsia="TimesNewRomanPSMT"/>
          <w:lang w:val="hu-HU" w:eastAsia="en-GB"/>
        </w:rPr>
        <w:t>fogamzóképes nőknek.</w:t>
      </w:r>
    </w:p>
    <w:p w14:paraId="10C5D5F3" w14:textId="77777777" w:rsidR="00342CEA" w:rsidRDefault="00342CEA">
      <w:pPr>
        <w:spacing w:line="240" w:lineRule="auto"/>
        <w:rPr>
          <w:u w:val="single"/>
          <w:lang w:val="hu-HU"/>
        </w:rPr>
      </w:pPr>
    </w:p>
    <w:p w14:paraId="10AD94DC" w14:textId="77777777" w:rsidR="00342CEA" w:rsidRDefault="00837BAB">
      <w:pPr>
        <w:spacing w:line="240" w:lineRule="auto"/>
        <w:rPr>
          <w:u w:val="single"/>
          <w:lang w:val="hu-HU"/>
        </w:rPr>
      </w:pPr>
      <w:r>
        <w:rPr>
          <w:u w:val="single"/>
          <w:lang w:val="hu-HU"/>
        </w:rPr>
        <w:t>Szoptatás</w:t>
      </w:r>
    </w:p>
    <w:p w14:paraId="28F3FD91" w14:textId="77777777" w:rsidR="0038278E" w:rsidRDefault="0038278E">
      <w:pPr>
        <w:spacing w:line="240" w:lineRule="auto"/>
        <w:rPr>
          <w:u w:val="single"/>
          <w:lang w:val="hu-HU"/>
        </w:rPr>
      </w:pPr>
    </w:p>
    <w:p w14:paraId="6E347DA2" w14:textId="77777777" w:rsidR="00342CEA" w:rsidRDefault="00837BAB">
      <w:pPr>
        <w:rPr>
          <w:rFonts w:eastAsia="Times New Roman"/>
          <w:lang w:val="hu-HU" w:eastAsia="el-GR"/>
        </w:rPr>
      </w:pPr>
      <w:r>
        <w:rPr>
          <w:lang w:val="hu-HU" w:eastAsia="en-GB"/>
        </w:rPr>
        <w:t>Nem ismert, hogy az eltrombopag ill. metabolitjai kiválasztódnak</w:t>
      </w:r>
      <w:r>
        <w:rPr>
          <w:lang w:val="hu-HU" w:eastAsia="en-GB"/>
        </w:rPr>
        <w:noBreakHyphen/>
        <w:t xml:space="preserve">e a humán anyatejbe. Az állatokkal végzett kísérletek arra utalnak, hogy az eltrombopag </w:t>
      </w:r>
      <w:r>
        <w:rPr>
          <w:rFonts w:eastAsia="TimesNewRomanPSMT"/>
          <w:lang w:val="hu-HU" w:eastAsia="en-GB"/>
        </w:rPr>
        <w:t xml:space="preserve">valószínűleg kiválasztódik </w:t>
      </w:r>
      <w:r>
        <w:rPr>
          <w:lang w:val="hu-HU" w:eastAsia="en-GB"/>
        </w:rPr>
        <w:t xml:space="preserve">az anyatejbe (lásd 5.3 pont); ezért a szoptatott </w:t>
      </w:r>
      <w:r>
        <w:rPr>
          <w:rFonts w:eastAsia="TimesNewRomanPSMT"/>
          <w:lang w:val="hu-HU" w:eastAsia="en-GB"/>
        </w:rPr>
        <w:t>csecsemőt érintő</w:t>
      </w:r>
      <w:r>
        <w:rPr>
          <w:lang w:val="hu-HU" w:eastAsia="en-GB"/>
        </w:rPr>
        <w:t xml:space="preserve"> kockázat nem zárható ki. </w:t>
      </w:r>
      <w:r>
        <w:rPr>
          <w:rFonts w:eastAsia="Times New Roman"/>
          <w:lang w:val="hu-HU" w:eastAsia="el-GR"/>
        </w:rPr>
        <w:t>Az Eltrombopag Sandoz alkalmazása előtt el kell dönteni, hogy a szoptatást függesztik fel, vagy a kezelést szakítják meg /halasztják el – figyelembe véve a szoptatás előnyét a gyermek, illetve a kezelés előnyét az anya szempontjából.</w:t>
      </w:r>
    </w:p>
    <w:p w14:paraId="6EC49527" w14:textId="77777777" w:rsidR="00342CEA" w:rsidRDefault="00342CEA">
      <w:pPr>
        <w:tabs>
          <w:tab w:val="clear" w:pos="567"/>
        </w:tabs>
        <w:autoSpaceDE w:val="0"/>
        <w:autoSpaceDN w:val="0"/>
        <w:spacing w:line="240" w:lineRule="auto"/>
        <w:rPr>
          <w:u w:val="single"/>
          <w:lang w:val="hu-HU"/>
        </w:rPr>
      </w:pPr>
    </w:p>
    <w:p w14:paraId="069AE931" w14:textId="77777777" w:rsidR="00342CEA" w:rsidRDefault="00837BAB">
      <w:pPr>
        <w:spacing w:line="240" w:lineRule="auto"/>
        <w:rPr>
          <w:u w:val="single"/>
          <w:lang w:val="hu-HU"/>
        </w:rPr>
      </w:pPr>
      <w:r>
        <w:rPr>
          <w:u w:val="single"/>
          <w:lang w:val="hu-HU"/>
        </w:rPr>
        <w:t>Termékenység</w:t>
      </w:r>
    </w:p>
    <w:p w14:paraId="270571F3" w14:textId="77777777" w:rsidR="0038278E" w:rsidRDefault="0038278E">
      <w:pPr>
        <w:spacing w:line="240" w:lineRule="auto"/>
        <w:rPr>
          <w:u w:val="single"/>
          <w:lang w:val="hu-HU"/>
        </w:rPr>
      </w:pPr>
    </w:p>
    <w:p w14:paraId="7FF09F30" w14:textId="77777777" w:rsidR="00342CEA" w:rsidRDefault="00837BAB">
      <w:pPr>
        <w:tabs>
          <w:tab w:val="clear" w:pos="567"/>
        </w:tabs>
        <w:autoSpaceDE w:val="0"/>
        <w:autoSpaceDN w:val="0"/>
        <w:spacing w:line="240" w:lineRule="auto"/>
        <w:rPr>
          <w:lang w:val="hu-HU"/>
        </w:rPr>
      </w:pPr>
      <w:r>
        <w:rPr>
          <w:rFonts w:eastAsia="TimesNewRomanPSMT"/>
          <w:lang w:val="hu-HU" w:eastAsia="en-GB"/>
        </w:rPr>
        <w:t>A humán alkalmazással összevethető mértékű expozíciók mellett nem tapasztaltak a hím vagy nőstény patkányok termékenységére gyakorolt hatást. Mindamellett az emberekre gyakorolt kockázat nem zárható ki (lásd 5.3 pont).</w:t>
      </w:r>
    </w:p>
    <w:p w14:paraId="4D1802F3" w14:textId="77777777" w:rsidR="00342CEA" w:rsidRDefault="00342CEA">
      <w:pPr>
        <w:spacing w:line="240" w:lineRule="auto"/>
        <w:rPr>
          <w:lang w:val="hu-HU"/>
        </w:rPr>
      </w:pPr>
    </w:p>
    <w:p w14:paraId="2D3610B3"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4.7</w:t>
      </w:r>
      <w:r>
        <w:rPr>
          <w:rFonts w:eastAsia="Times New Roman"/>
          <w:b/>
          <w:bCs/>
          <w:lang w:val="hu-HU" w:eastAsia="en-US"/>
        </w:rPr>
        <w:tab/>
        <w:t>A készítmény hatásai a gépjárművezetéshez és a gépek kezeléséhez szükséges képességekre</w:t>
      </w:r>
    </w:p>
    <w:p w14:paraId="0E2B7680" w14:textId="77777777" w:rsidR="00342CEA" w:rsidRDefault="00342CEA">
      <w:pPr>
        <w:spacing w:line="240" w:lineRule="auto"/>
        <w:ind w:left="567" w:hanging="567"/>
        <w:outlineLvl w:val="0"/>
        <w:rPr>
          <w:lang w:val="hu-HU"/>
        </w:rPr>
      </w:pPr>
    </w:p>
    <w:p w14:paraId="346DCD50" w14:textId="77777777" w:rsidR="00342CEA" w:rsidRDefault="00837BAB">
      <w:pPr>
        <w:tabs>
          <w:tab w:val="clear" w:pos="567"/>
        </w:tabs>
        <w:autoSpaceDE w:val="0"/>
        <w:autoSpaceDN w:val="0"/>
        <w:spacing w:line="240" w:lineRule="auto"/>
        <w:rPr>
          <w:rFonts w:eastAsia="Times New Roman"/>
          <w:lang w:val="hu-HU" w:eastAsia="en-US"/>
        </w:rPr>
      </w:pPr>
      <w:r>
        <w:rPr>
          <w:rFonts w:eastAsia="Times New Roman"/>
          <w:lang w:val="hu-HU" w:eastAsia="en-US"/>
        </w:rPr>
        <w:t>Az eltrombopag elhanyagolható mértékben befolyásolja a gépjárművezetéshez és a gépek kezeléséhez szükséges képességeket.</w:t>
      </w:r>
      <w:r>
        <w:rPr>
          <w:rFonts w:eastAsia="TimesNewRomanPSMT"/>
          <w:lang w:val="hu-HU" w:eastAsia="en-GB"/>
        </w:rPr>
        <w:t xml:space="preserve"> A beteg klinikai állapotát és az eltrombopag mellékhatás</w:t>
      </w:r>
      <w:r>
        <w:rPr>
          <w:rFonts w:eastAsia="TimesNewRomanPSMT"/>
          <w:lang w:val="hu-HU" w:eastAsia="en-GB"/>
        </w:rPr>
        <w:noBreakHyphen/>
        <w:t xml:space="preserve">profilját, beleértve a </w:t>
      </w:r>
      <w:r>
        <w:rPr>
          <w:rFonts w:eastAsia="TimesNewRomanPSMT"/>
          <w:lang w:val="hu-HU" w:eastAsia="en-GB"/>
        </w:rPr>
        <w:lastRenderedPageBreak/>
        <w:t>szédülést és a figyelem hiányát szem előtt kell tartani, amikor azt mérlegelik, hogy a beteg képes</w:t>
      </w:r>
      <w:r>
        <w:rPr>
          <w:rFonts w:eastAsia="TimesNewRomanPSMT"/>
          <w:lang w:val="hu-HU" w:eastAsia="en-GB"/>
        </w:rPr>
        <w:noBreakHyphen/>
        <w:t>e ítélőképességet, motorikus és kognitív képességeket igénylő tevékenységek elvégzésére.</w:t>
      </w:r>
    </w:p>
    <w:p w14:paraId="736A5478" w14:textId="77777777" w:rsidR="00342CEA" w:rsidRDefault="00342CEA">
      <w:pPr>
        <w:spacing w:line="240" w:lineRule="auto"/>
        <w:ind w:left="567" w:hanging="567"/>
        <w:outlineLvl w:val="0"/>
        <w:rPr>
          <w:rFonts w:eastAsia="Times New Roman"/>
          <w:lang w:val="hu-HU" w:eastAsia="en-US"/>
        </w:rPr>
      </w:pPr>
    </w:p>
    <w:p w14:paraId="51377AB3"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4.8</w:t>
      </w:r>
      <w:r>
        <w:rPr>
          <w:rFonts w:eastAsia="Times New Roman"/>
          <w:b/>
          <w:bCs/>
          <w:lang w:val="hu-HU" w:eastAsia="en-US"/>
        </w:rPr>
        <w:tab/>
        <w:t>Nemkívánatos hatások, mellékhatások</w:t>
      </w:r>
    </w:p>
    <w:p w14:paraId="586B0FA6" w14:textId="77777777" w:rsidR="00342CEA" w:rsidRDefault="00342CEA">
      <w:pPr>
        <w:spacing w:line="240" w:lineRule="auto"/>
        <w:rPr>
          <w:i/>
          <w:lang w:val="hu-HU"/>
        </w:rPr>
      </w:pPr>
    </w:p>
    <w:p w14:paraId="1E443F5B" w14:textId="77777777" w:rsidR="00342CEA" w:rsidRDefault="00837BAB">
      <w:pPr>
        <w:tabs>
          <w:tab w:val="clear" w:pos="567"/>
        </w:tabs>
        <w:autoSpaceDE w:val="0"/>
        <w:autoSpaceDN w:val="0"/>
        <w:spacing w:line="240" w:lineRule="auto"/>
        <w:rPr>
          <w:rFonts w:eastAsia="TimesNewRomanPSMT"/>
          <w:u w:val="single"/>
          <w:lang w:val="hu-HU" w:eastAsia="en-GB"/>
        </w:rPr>
      </w:pPr>
      <w:r>
        <w:rPr>
          <w:rFonts w:eastAsia="TimesNewRomanPSMT"/>
          <w:u w:val="single"/>
          <w:lang w:val="hu-HU" w:eastAsia="en-GB"/>
        </w:rPr>
        <w:t>A biztonságossági profil összefoglalása</w:t>
      </w:r>
    </w:p>
    <w:p w14:paraId="3B3F36B0" w14:textId="77777777" w:rsidR="00342CEA" w:rsidRDefault="00342CEA">
      <w:pPr>
        <w:tabs>
          <w:tab w:val="clear" w:pos="567"/>
        </w:tabs>
        <w:autoSpaceDE w:val="0"/>
        <w:autoSpaceDN w:val="0"/>
        <w:spacing w:line="240" w:lineRule="auto"/>
        <w:rPr>
          <w:rFonts w:eastAsia="TimesNewRomanPSMT"/>
          <w:lang w:val="hu-HU" w:eastAsia="en-GB"/>
        </w:rPr>
      </w:pPr>
    </w:p>
    <w:p w14:paraId="0321D35C" w14:textId="77777777" w:rsidR="00342CEA" w:rsidRDefault="00837BAB">
      <w:pPr>
        <w:tabs>
          <w:tab w:val="clear" w:pos="567"/>
        </w:tabs>
        <w:autoSpaceDE w:val="0"/>
        <w:autoSpaceDN w:val="0"/>
        <w:spacing w:line="240" w:lineRule="auto"/>
        <w:rPr>
          <w:rFonts w:eastAsia="TimesNewRomanPSMT"/>
          <w:i/>
          <w:u w:val="single"/>
          <w:lang w:val="hu-HU" w:eastAsia="en-GB"/>
        </w:rPr>
      </w:pPr>
      <w:r>
        <w:rPr>
          <w:rFonts w:eastAsia="TimesNewRomanPSMT"/>
          <w:i/>
          <w:u w:val="single"/>
          <w:lang w:val="hu-HU" w:eastAsia="en-GB"/>
        </w:rPr>
        <w:t>Immunológiai eredetű thrombocytopenia felnőtteknél, illetve gyermekeknél és serdülőknél</w:t>
      </w:r>
    </w:p>
    <w:p w14:paraId="323EE24E" w14:textId="77777777" w:rsidR="00753AF5" w:rsidRDefault="00753AF5">
      <w:pPr>
        <w:tabs>
          <w:tab w:val="clear" w:pos="567"/>
        </w:tabs>
        <w:autoSpaceDE w:val="0"/>
        <w:autoSpaceDN w:val="0"/>
        <w:spacing w:line="240" w:lineRule="auto"/>
        <w:rPr>
          <w:rFonts w:eastAsia="TimesNewRomanPSMT"/>
          <w:i/>
          <w:u w:val="single"/>
          <w:lang w:val="hu-HU" w:eastAsia="en-GB"/>
        </w:rPr>
      </w:pPr>
    </w:p>
    <w:p w14:paraId="43B62698" w14:textId="77777777" w:rsidR="00342CEA" w:rsidRDefault="00837BAB">
      <w:pPr>
        <w:tabs>
          <w:tab w:val="clear" w:pos="567"/>
        </w:tabs>
        <w:autoSpaceDE w:val="0"/>
        <w:autoSpaceDN w:val="0"/>
        <w:spacing w:line="240" w:lineRule="auto"/>
        <w:rPr>
          <w:rFonts w:eastAsia="TimesNewRomanPSMT"/>
          <w:lang w:val="hu-HU" w:eastAsia="en-GB"/>
        </w:rPr>
      </w:pPr>
      <w:r>
        <w:rPr>
          <w:rFonts w:eastAsia="TimesNewRomanPSMT"/>
          <w:lang w:val="hu-HU" w:eastAsia="en-GB"/>
        </w:rPr>
        <w:t xml:space="preserve">A nyílt elrendezésű, befejezett TRA108057 (REPEAT), TRA105325 (EXTEND) és TRA112940 vizsgálatokból (n = 360) származó adatok mellett, az </w:t>
      </w:r>
      <w:r>
        <w:rPr>
          <w:rFonts w:eastAsia="Times New Roman"/>
          <w:lang w:val="hu-HU" w:eastAsia="en-US"/>
        </w:rPr>
        <w:t xml:space="preserve">eltrombopag </w:t>
      </w:r>
      <w:r>
        <w:rPr>
          <w:rFonts w:eastAsia="TimesNewRomanPSMT"/>
          <w:lang w:val="hu-HU" w:eastAsia="en-GB"/>
        </w:rPr>
        <w:t>biztonságosságát felnőtt betegeknél (n = 763) az összesített, kettős</w:t>
      </w:r>
      <w:r>
        <w:rPr>
          <w:rFonts w:eastAsia="TimesNewRomanPSMT"/>
          <w:lang w:val="hu-HU" w:eastAsia="en-GB"/>
        </w:rPr>
        <w:noBreakHyphen/>
        <w:t xml:space="preserve">vak, placebokontrollos TRA100773A és B, TRA102537 (RAISE) és TRA113765 vizsgálatok alapján értékelték, amelyekben 403 beteg kapott </w:t>
      </w:r>
      <w:r>
        <w:rPr>
          <w:rFonts w:eastAsia="Times New Roman"/>
          <w:lang w:val="hu-HU" w:eastAsia="en-US"/>
        </w:rPr>
        <w:t>eltrombopag</w:t>
      </w:r>
      <w:r>
        <w:rPr>
          <w:rFonts w:eastAsia="TimesNewRomanPSMT"/>
          <w:lang w:val="hu-HU" w:eastAsia="en-GB"/>
        </w:rPr>
        <w:t>ot, 179 pedig placebót (lásd 5.1 pont). A betegek legtovább 8 évig kapták a vizsgálati készítményt (az EXTEND vizsgálatban). A legjelentősebb súlyos mellékhatások a hepatotoxicitás, illetve a thromboticus/thromboemboliás események voltak. A leggyakoribb (a betegek legalább 10%</w:t>
      </w:r>
      <w:r>
        <w:rPr>
          <w:rFonts w:eastAsia="TimesNewRomanPSMT"/>
          <w:lang w:val="hu-HU" w:eastAsia="en-GB"/>
        </w:rPr>
        <w:noBreakHyphen/>
        <w:t>ánál előforduló) mellékhatások a hányinger, hasmenés, emelkedett glutamát</w:t>
      </w:r>
      <w:r>
        <w:rPr>
          <w:rFonts w:eastAsia="TimesNewRomanPSMT"/>
          <w:lang w:val="hu-HU" w:eastAsia="en-GB"/>
        </w:rPr>
        <w:noBreakHyphen/>
        <w:t>piruvát</w:t>
      </w:r>
      <w:r>
        <w:rPr>
          <w:rFonts w:eastAsia="TimesNewRomanPSMT"/>
          <w:lang w:val="hu-HU" w:eastAsia="en-GB"/>
        </w:rPr>
        <w:noBreakHyphen/>
        <w:t>transzamináz</w:t>
      </w:r>
      <w:r>
        <w:rPr>
          <w:rFonts w:eastAsia="TimesNewRomanPSMT"/>
          <w:lang w:val="hu-HU" w:eastAsia="en-GB"/>
        </w:rPr>
        <w:noBreakHyphen/>
        <w:t xml:space="preserve"> (GPT) (más néven alanin</w:t>
      </w:r>
      <w:r>
        <w:rPr>
          <w:rFonts w:eastAsia="TimesNewRomanPSMT"/>
          <w:lang w:val="hu-HU" w:eastAsia="en-GB"/>
        </w:rPr>
        <w:noBreakHyphen/>
        <w:t>aminotranszferáz) szint és hátfájás voltak.</w:t>
      </w:r>
    </w:p>
    <w:p w14:paraId="3DF37B93" w14:textId="77777777" w:rsidR="00342CEA" w:rsidRDefault="00342CEA">
      <w:pPr>
        <w:tabs>
          <w:tab w:val="clear" w:pos="567"/>
        </w:tabs>
        <w:autoSpaceDE w:val="0"/>
        <w:autoSpaceDN w:val="0"/>
        <w:spacing w:line="240" w:lineRule="auto"/>
        <w:rPr>
          <w:rFonts w:eastAsia="TimesNewRomanPSMT"/>
          <w:lang w:val="hu-HU" w:eastAsia="en-GB"/>
        </w:rPr>
      </w:pPr>
    </w:p>
    <w:p w14:paraId="40D88587" w14:textId="77777777" w:rsidR="00342CEA" w:rsidRDefault="00837BAB">
      <w:pPr>
        <w:tabs>
          <w:tab w:val="clear" w:pos="567"/>
        </w:tabs>
        <w:autoSpaceDE w:val="0"/>
        <w:autoSpaceDN w:val="0"/>
        <w:spacing w:line="240" w:lineRule="auto"/>
        <w:rPr>
          <w:rFonts w:eastAsia="TimesNewRomanPSMT"/>
          <w:lang w:val="hu-HU" w:eastAsia="en-GB"/>
        </w:rPr>
      </w:pPr>
      <w:r>
        <w:rPr>
          <w:rFonts w:eastAsia="Times New Roman"/>
          <w:lang w:val="hu-HU" w:eastAsia="en-US"/>
        </w:rPr>
        <w:t>Az eltrombopag</w:t>
      </w:r>
      <w:r>
        <w:rPr>
          <w:rFonts w:eastAsia="TimesNewRomanPSMT"/>
          <w:lang w:val="hu-HU" w:eastAsia="en-GB"/>
        </w:rPr>
        <w:t xml:space="preserve"> biztonságosságát előzőleg ITP miatt már kezelt gyermekeknél és serdülőknél (1 – betöltött 18 éves kor) két vizsgálatban igazolták (n = 171) (lásd 5.1 pont). A PETIT2 (TRA115450) egy kétrészes, kettős</w:t>
      </w:r>
      <w:r>
        <w:rPr>
          <w:rFonts w:eastAsia="TimesNewRomanPSMT"/>
          <w:lang w:val="hu-HU" w:eastAsia="en-GB"/>
        </w:rPr>
        <w:noBreakHyphen/>
        <w:t>vak és nyílt rendezésű, randomizált, placebokontrollos vizsgálat volt. A betegeket 2:1 arányban randomizálták e</w:t>
      </w:r>
      <w:r>
        <w:rPr>
          <w:rFonts w:eastAsia="Times New Roman"/>
          <w:lang w:val="hu-HU" w:eastAsia="en-US"/>
        </w:rPr>
        <w:t>ltrombopag</w:t>
      </w:r>
      <w:r>
        <w:rPr>
          <w:rFonts w:eastAsia="TimesNewRomanPSMT"/>
          <w:lang w:val="hu-HU" w:eastAsia="en-GB"/>
        </w:rPr>
        <w:t xml:space="preserve"> (n = 63) vagy placebo (n = 29) készítménnyel történő 13 hetes kezelésre a vizsgálat randomizált időszakában. A PETIT (TRA108062) egy háromrészes, többszakaszos, nyílt és kettős</w:t>
      </w:r>
      <w:r>
        <w:rPr>
          <w:rFonts w:eastAsia="TimesNewRomanPSMT"/>
          <w:lang w:val="hu-HU" w:eastAsia="en-GB"/>
        </w:rPr>
        <w:noBreakHyphen/>
        <w:t>vak elrendezésű, randomizált, placebokontrollos vizsgálat volt. A betegeket 2:1 arányban randomizálták e</w:t>
      </w:r>
      <w:r>
        <w:rPr>
          <w:rFonts w:eastAsia="Times New Roman"/>
          <w:lang w:val="hu-HU" w:eastAsia="en-US"/>
        </w:rPr>
        <w:t>ltrombopag</w:t>
      </w:r>
      <w:r>
        <w:rPr>
          <w:rFonts w:eastAsia="TimesNewRomanPSMT"/>
          <w:lang w:val="hu-HU" w:eastAsia="en-GB"/>
        </w:rPr>
        <w:t xml:space="preserve"> (n = 44) vagy placebo- (n = 21) készítménnyel történő 7 hetes kezelésre. A mellékhatások jellege a felnőtteknél tapasztaltakkal összevethető volt, néhány további mellékhatással kiegészülve, amelyek az alábbi táblázatban ♦ jelzéssel szerepelnek. Az 1 éves vagy annál idősebb, ITP</w:t>
      </w:r>
      <w:r>
        <w:rPr>
          <w:rFonts w:eastAsia="TimesNewRomanPSMT"/>
          <w:lang w:val="hu-HU" w:eastAsia="en-GB"/>
        </w:rPr>
        <w:noBreakHyphen/>
        <w:t>s gyermekgyógyászati betegek körében a leggyakoribb mellékhatások (legalább 3%, és magasabb, mint a placebo esetén) a felső légúti fertőzés, nasopharyngitis, köhögés, láz, hasi fájdalom, a száj</w:t>
      </w:r>
      <w:r>
        <w:rPr>
          <w:rFonts w:eastAsia="TimesNewRomanPSMT"/>
          <w:lang w:val="hu-HU" w:eastAsia="en-GB"/>
        </w:rPr>
        <w:noBreakHyphen/>
        <w:t>garat fájdalma, fogfájás, illetve orrfolyás voltak.</w:t>
      </w:r>
    </w:p>
    <w:p w14:paraId="4D875EB0" w14:textId="77777777" w:rsidR="00342CEA" w:rsidRDefault="00342CEA">
      <w:pPr>
        <w:tabs>
          <w:tab w:val="clear" w:pos="567"/>
        </w:tabs>
        <w:autoSpaceDE w:val="0"/>
        <w:autoSpaceDN w:val="0"/>
        <w:spacing w:line="240" w:lineRule="auto"/>
        <w:rPr>
          <w:rFonts w:eastAsia="TimesNewRomanPSMT"/>
          <w:lang w:val="hu-HU" w:eastAsia="en-GB"/>
        </w:rPr>
      </w:pPr>
    </w:p>
    <w:p w14:paraId="5D486D30"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Thrombocytopenia HCV</w:t>
      </w:r>
      <w:r>
        <w:rPr>
          <w:i/>
          <w:u w:val="single"/>
          <w:lang w:val="hu-HU" w:eastAsia="en-GB"/>
        </w:rPr>
        <w:noBreakHyphen/>
        <w:t>fertőzéssel felnőtt betegeknél</w:t>
      </w:r>
    </w:p>
    <w:p w14:paraId="18069A5D" w14:textId="77777777" w:rsidR="00753AF5" w:rsidRDefault="00753AF5">
      <w:pPr>
        <w:tabs>
          <w:tab w:val="clear" w:pos="567"/>
        </w:tabs>
        <w:autoSpaceDE w:val="0"/>
        <w:autoSpaceDN w:val="0"/>
        <w:spacing w:line="240" w:lineRule="auto"/>
        <w:rPr>
          <w:i/>
          <w:u w:val="single"/>
          <w:lang w:val="hu-HU" w:eastAsia="en-GB"/>
        </w:rPr>
      </w:pPr>
    </w:p>
    <w:p w14:paraId="3E91AFD1" w14:textId="77777777" w:rsidR="00342CEA" w:rsidRDefault="00837BAB">
      <w:pPr>
        <w:tabs>
          <w:tab w:val="clear" w:pos="567"/>
        </w:tabs>
        <w:autoSpaceDE w:val="0"/>
        <w:autoSpaceDN w:val="0"/>
        <w:spacing w:line="240" w:lineRule="auto"/>
        <w:rPr>
          <w:rFonts w:eastAsia="TimesNewRomanPSMT"/>
          <w:lang w:val="hu-HU" w:eastAsia="en-GB"/>
        </w:rPr>
      </w:pPr>
      <w:r>
        <w:rPr>
          <w:lang w:val="hu-HU" w:eastAsia="en-GB"/>
        </w:rPr>
        <w:t>Az ENABLE 1 (TPL103922 n = 716, 715 </w:t>
      </w:r>
      <w:r>
        <w:rPr>
          <w:rFonts w:eastAsia="TimesNewRomanPSMT"/>
          <w:lang w:val="hu-HU" w:eastAsia="en-GB"/>
        </w:rPr>
        <w:t>főt kezeltek eltrombopaggal</w:t>
      </w:r>
      <w:r>
        <w:rPr>
          <w:lang w:val="hu-HU" w:eastAsia="en-GB"/>
        </w:rPr>
        <w:t>) és az ENABLE 2 (TPL108390 n = </w:t>
      </w:r>
      <w:r>
        <w:rPr>
          <w:rFonts w:eastAsia="TimesNewRomanPSMT"/>
          <w:lang w:val="hu-HU" w:eastAsia="en-GB"/>
        </w:rPr>
        <w:t>805) randomizált, kettős</w:t>
      </w:r>
      <w:r>
        <w:rPr>
          <w:rFonts w:eastAsia="TimesNewRomanPSMT"/>
          <w:lang w:val="hu-HU" w:eastAsia="en-GB"/>
        </w:rPr>
        <w:noBreakHyphen/>
        <w:t>vak, placebokontrollos, multicentrikus vizsgálatok voltak, az e</w:t>
      </w:r>
      <w:r>
        <w:rPr>
          <w:rFonts w:eastAsia="Times New Roman"/>
          <w:lang w:val="hu-HU" w:eastAsia="en-US"/>
        </w:rPr>
        <w:t>ltrombopag</w:t>
      </w:r>
      <w:r>
        <w:rPr>
          <w:rFonts w:eastAsia="TimesNewRomanPSMT"/>
          <w:lang w:val="hu-HU" w:eastAsia="en-GB"/>
        </w:rPr>
        <w:t xml:space="preserve"> </w:t>
      </w:r>
      <w:r>
        <w:rPr>
          <w:lang w:val="hu-HU" w:eastAsia="en-GB"/>
        </w:rPr>
        <w:t>hatásosságának és biztonságosságának értékelésére, HCV</w:t>
      </w:r>
      <w:r>
        <w:rPr>
          <w:lang w:val="hu-HU" w:eastAsia="en-GB"/>
        </w:rPr>
        <w:noBreakHyphen/>
      </w:r>
      <w:r>
        <w:rPr>
          <w:rFonts w:eastAsia="TimesNewRomanPSMT"/>
          <w:lang w:val="hu-HU" w:eastAsia="en-GB"/>
        </w:rPr>
        <w:t xml:space="preserve">fertőzésben szenvedő thrombocytopeniás </w:t>
      </w:r>
      <w:r>
        <w:rPr>
          <w:lang w:val="hu-HU" w:eastAsia="en-GB"/>
        </w:rPr>
        <w:t>betegeknél, akik egyébként alkalmasak voltak az antivirális terápia megkezdésére. A HCV</w:t>
      </w:r>
      <w:r>
        <w:rPr>
          <w:lang w:val="hu-HU" w:eastAsia="en-GB"/>
        </w:rPr>
        <w:noBreakHyphen/>
        <w:t>vizsgálatokban a biztonságossági populáció magában foglalt minden olyan beteget, aki az ENABLE 1 vizsgálat 2. részében (</w:t>
      </w:r>
      <w:r>
        <w:rPr>
          <w:rFonts w:eastAsia="Times New Roman"/>
          <w:lang w:val="hu-HU" w:eastAsia="en-US"/>
        </w:rPr>
        <w:t>eltrombopag</w:t>
      </w:r>
      <w:r>
        <w:rPr>
          <w:rFonts w:eastAsia="Times New Roman"/>
          <w:lang w:val="hu-HU" w:eastAsia="en-US"/>
        </w:rPr>
        <w:noBreakHyphen/>
      </w:r>
      <w:r>
        <w:rPr>
          <w:lang w:val="hu-HU" w:eastAsia="en-GB"/>
        </w:rPr>
        <w:t>kezelés n = 450, placebo</w:t>
      </w:r>
      <w:r>
        <w:rPr>
          <w:lang w:val="hu-HU" w:eastAsia="en-GB"/>
        </w:rPr>
        <w:noBreakHyphen/>
        <w:t>kezelés n = 232) és az ENABLE 2 (</w:t>
      </w:r>
      <w:r>
        <w:rPr>
          <w:rFonts w:eastAsia="Times New Roman"/>
          <w:lang w:val="hu-HU" w:eastAsia="en-US"/>
        </w:rPr>
        <w:t>eltrombopag</w:t>
      </w:r>
      <w:r>
        <w:rPr>
          <w:lang w:val="hu-HU" w:eastAsia="en-GB"/>
        </w:rPr>
        <w:noBreakHyphen/>
        <w:t>kezelés n = 506, placebo</w:t>
      </w:r>
      <w:r>
        <w:rPr>
          <w:lang w:val="hu-HU" w:eastAsia="en-GB"/>
        </w:rPr>
        <w:noBreakHyphen/>
        <w:t>kezelés n = 252</w:t>
      </w:r>
      <w:r>
        <w:rPr>
          <w:rFonts w:eastAsia="TimesNewRomanPSMT"/>
          <w:lang w:val="hu-HU" w:eastAsia="en-GB"/>
        </w:rPr>
        <w:t>) vizsgálat során kettős</w:t>
      </w:r>
      <w:r>
        <w:rPr>
          <w:rFonts w:eastAsia="TimesNewRomanPSMT"/>
          <w:lang w:val="hu-HU" w:eastAsia="en-GB"/>
        </w:rPr>
        <w:noBreakHyphen/>
        <w:t xml:space="preserve">vak elrendezésben vizsgálati készítményt </w:t>
      </w:r>
      <w:r>
        <w:rPr>
          <w:lang w:val="hu-HU" w:eastAsia="en-GB"/>
        </w:rPr>
        <w:t xml:space="preserve">kaptak. A betegeket a kapott kezelés szerint elemezték </w:t>
      </w:r>
      <w:r>
        <w:rPr>
          <w:rFonts w:eastAsia="TimesNewRomanPSMT"/>
          <w:lang w:val="hu-HU" w:eastAsia="en-GB"/>
        </w:rPr>
        <w:t>(teljes biztonságossági kettős</w:t>
      </w:r>
      <w:r>
        <w:rPr>
          <w:rFonts w:eastAsia="TimesNewRomanPSMT"/>
          <w:lang w:val="hu-HU" w:eastAsia="en-GB"/>
        </w:rPr>
        <w:noBreakHyphen/>
        <w:t xml:space="preserve">vak populáció, </w:t>
      </w:r>
      <w:r>
        <w:rPr>
          <w:rFonts w:eastAsia="Times New Roman"/>
          <w:lang w:val="hu-HU" w:eastAsia="en-US"/>
        </w:rPr>
        <w:t>eltrombopag</w:t>
      </w:r>
      <w:r>
        <w:rPr>
          <w:lang w:val="hu-HU" w:eastAsia="en-GB"/>
        </w:rPr>
        <w:t xml:space="preserve"> n = 955 és placebo n = 484). </w:t>
      </w:r>
      <w:r>
        <w:rPr>
          <w:rFonts w:eastAsia="TimesNewRomanPSMT"/>
          <w:lang w:val="hu-HU" w:eastAsia="en-GB"/>
        </w:rPr>
        <w:t xml:space="preserve">A legjelentősebb súlyos </w:t>
      </w:r>
      <w:r>
        <w:rPr>
          <w:lang w:val="hu-HU" w:eastAsia="en-GB"/>
        </w:rPr>
        <w:t>mellékhatások a hepatotoxicitás, illetve a thromboticus/thromboemboliás események voltak. A leggyakoribb (a betegek legalább 10%</w:t>
      </w:r>
      <w:r>
        <w:rPr>
          <w:lang w:val="hu-HU" w:eastAsia="en-GB"/>
        </w:rPr>
        <w:noBreakHyphen/>
      </w:r>
      <w:r>
        <w:rPr>
          <w:rFonts w:eastAsia="TimesNewRomanPSMT"/>
          <w:lang w:val="hu-HU" w:eastAsia="en-GB"/>
        </w:rPr>
        <w:t>ánál előforduló</w:t>
      </w:r>
      <w:r>
        <w:rPr>
          <w:lang w:val="hu-HU" w:eastAsia="en-GB"/>
        </w:rPr>
        <w:t xml:space="preserve">) mellékhatások a fejfájás, anaemia, étvágycsökkenés, köhögés, hányinger, hasmenés, hyperbilirubinaemia, </w:t>
      </w:r>
      <w:r>
        <w:rPr>
          <w:rFonts w:eastAsia="TimesNewRomanPSMT"/>
          <w:lang w:val="hu-HU" w:eastAsia="en-GB"/>
        </w:rPr>
        <w:t xml:space="preserve">alopecia, pruritus, izomfájdalom, láz, fáradtság, influenzaszerű </w:t>
      </w:r>
      <w:r>
        <w:rPr>
          <w:lang w:val="hu-HU" w:eastAsia="en-GB"/>
        </w:rPr>
        <w:t>megbetegedés, gyengeség, hidegrázás és oedema voltak.</w:t>
      </w:r>
    </w:p>
    <w:p w14:paraId="17D97A50" w14:textId="77777777" w:rsidR="00A42E4A" w:rsidRDefault="00A42E4A" w:rsidP="00A42E4A">
      <w:pPr>
        <w:tabs>
          <w:tab w:val="clear" w:pos="567"/>
        </w:tabs>
        <w:autoSpaceDE w:val="0"/>
        <w:autoSpaceDN w:val="0"/>
        <w:spacing w:line="240" w:lineRule="auto"/>
        <w:rPr>
          <w:rFonts w:eastAsia="TimesNewRomanPSMT"/>
          <w:lang w:val="hu-HU" w:eastAsia="en-GB"/>
        </w:rPr>
      </w:pPr>
    </w:p>
    <w:p w14:paraId="46CBA6C8"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A mellékhatások felsorolása</w:t>
      </w:r>
    </w:p>
    <w:p w14:paraId="0DCA284B" w14:textId="30DBECBB" w:rsidR="00342CEA" w:rsidRDefault="00837BAB" w:rsidP="00632221">
      <w:pPr>
        <w:tabs>
          <w:tab w:val="clear" w:pos="567"/>
        </w:tabs>
        <w:autoSpaceDE w:val="0"/>
        <w:autoSpaceDN w:val="0"/>
        <w:spacing w:line="240" w:lineRule="auto"/>
        <w:rPr>
          <w:lang w:val="hu-HU" w:eastAsia="en-GB"/>
        </w:rPr>
      </w:pPr>
      <w:r>
        <w:rPr>
          <w:lang w:val="hu-HU" w:eastAsia="en-GB"/>
        </w:rPr>
        <w:t>Az ITP</w:t>
      </w:r>
      <w:r>
        <w:rPr>
          <w:lang w:val="hu-HU" w:eastAsia="en-GB"/>
        </w:rPr>
        <w:noBreakHyphen/>
        <w:t>s felnőttekkel végzett (n = 763), az ITP</w:t>
      </w:r>
      <w:r>
        <w:rPr>
          <w:lang w:val="hu-HU" w:eastAsia="en-GB"/>
        </w:rPr>
        <w:noBreakHyphen/>
        <w:t>s gyermekekkel és serdülőkkel végzett (n = 171), valamint a HCV</w:t>
      </w:r>
      <w:r>
        <w:rPr>
          <w:lang w:val="hu-HU" w:eastAsia="en-GB"/>
        </w:rPr>
        <w:noBreakHyphen/>
        <w:t xml:space="preserve"> (n = 1520) során, továbbá a forgalomba hozatalt követő jelentésekben előforduló mellékhatások az alábbiakban a MedDRA szervrendszer szerinti osztályozásban és gyakoriság szerint kerülnek felsorolásra. Az egyes szervrendszeri kategóriákban a mellékhatások gyakoriság szerinti sorrendben szerepelnek úgy, hogy a leggyakoribb mellékhatás szerepel először. Az egyes mellékhatások megfelelő gyakorisági kategóriája a következő megegyezésen alapul (CIOMS III): nagyon gyakori (≥ 1/10); gyakori (≥ 1/100 – &lt; 1/10); nem gyakori (≥ 1/1000 – &lt; 1/100); ritka </w:t>
      </w:r>
      <w:r>
        <w:rPr>
          <w:lang w:val="hu-HU" w:eastAsia="en-GB"/>
        </w:rPr>
        <w:lastRenderedPageBreak/>
        <w:t>(≥ 1/10 000 – &lt; 1/1000); nem ismert (a gyakoriság a rendelkezésre álló adatokból nem állapítható meg).</w:t>
      </w:r>
    </w:p>
    <w:p w14:paraId="1F786C5C" w14:textId="77777777" w:rsidR="00342CEA" w:rsidRDefault="00342CEA">
      <w:pPr>
        <w:tabs>
          <w:tab w:val="clear" w:pos="567"/>
        </w:tabs>
        <w:autoSpaceDE w:val="0"/>
        <w:autoSpaceDN w:val="0"/>
        <w:spacing w:line="240" w:lineRule="auto"/>
        <w:rPr>
          <w:lang w:val="hu-HU" w:eastAsia="en-GB"/>
        </w:rPr>
      </w:pPr>
    </w:p>
    <w:p w14:paraId="69E1D837" w14:textId="77777777" w:rsidR="00342CEA" w:rsidRDefault="00837BAB">
      <w:pPr>
        <w:keepNext/>
        <w:tabs>
          <w:tab w:val="clear" w:pos="567"/>
        </w:tabs>
        <w:autoSpaceDE w:val="0"/>
        <w:autoSpaceDN w:val="0"/>
        <w:spacing w:line="240" w:lineRule="auto"/>
        <w:rPr>
          <w:rFonts w:eastAsia="TimesNewRomanPSMT"/>
          <w:b/>
          <w:bCs/>
          <w:i/>
          <w:u w:val="single"/>
          <w:lang w:val="hu-HU" w:eastAsia="en-GB"/>
        </w:rPr>
      </w:pPr>
      <w:r>
        <w:rPr>
          <w:b/>
          <w:bCs/>
          <w:i/>
          <w:u w:val="single"/>
          <w:lang w:val="hu-HU" w:eastAsia="en-GB"/>
        </w:rPr>
        <w:t>ITP vizsgálati csoport</w:t>
      </w:r>
    </w:p>
    <w:p w14:paraId="1830AB2C" w14:textId="77777777" w:rsidR="00342CEA" w:rsidRDefault="00342CEA">
      <w:pPr>
        <w:keepNext/>
        <w:tabs>
          <w:tab w:val="clear" w:pos="567"/>
        </w:tabs>
        <w:autoSpaceDE w:val="0"/>
        <w:autoSpaceDN w:val="0"/>
        <w:spacing w:line="240" w:lineRule="auto"/>
        <w:rPr>
          <w:rFonts w:eastAsia="TimesNewRomanPSMT"/>
          <w:lang w:val="hu-HU" w:eastAsia="en-GB"/>
        </w:rPr>
      </w:pPr>
    </w:p>
    <w:tbl>
      <w:tblPr>
        <w:tblW w:w="9210" w:type="dxa"/>
        <w:tblInd w:w="5" w:type="dxa"/>
        <w:tblBorders>
          <w:top w:val="nil"/>
          <w:left w:val="nil"/>
          <w:bottom w:val="nil"/>
          <w:right w:val="nil"/>
          <w:insideH w:val="nil"/>
          <w:insideV w:val="nil"/>
        </w:tblBorders>
        <w:tblCellMar>
          <w:top w:w="13" w:type="dxa"/>
          <w:left w:w="107" w:type="dxa"/>
          <w:right w:w="53" w:type="dxa"/>
        </w:tblCellMar>
        <w:tblLook w:val="04A0" w:firstRow="1" w:lastRow="0" w:firstColumn="1" w:lastColumn="0" w:noHBand="0" w:noVBand="1"/>
      </w:tblPr>
      <w:tblGrid>
        <w:gridCol w:w="2810"/>
        <w:gridCol w:w="1255"/>
        <w:gridCol w:w="5145"/>
      </w:tblGrid>
      <w:tr w:rsidR="00342CEA" w14:paraId="706A48D3" w14:textId="77777777">
        <w:trPr>
          <w:trHeight w:val="264"/>
        </w:trPr>
        <w:tc>
          <w:tcPr>
            <w:tcW w:w="2810" w:type="dxa"/>
            <w:tcBorders>
              <w:top w:val="single" w:sz="4" w:space="0" w:color="000000"/>
              <w:left w:val="single" w:sz="4" w:space="0" w:color="000000"/>
              <w:bottom w:val="single" w:sz="4" w:space="0" w:color="000000"/>
              <w:right w:val="single" w:sz="4" w:space="0" w:color="000000"/>
            </w:tcBorders>
          </w:tcPr>
          <w:p w14:paraId="1E236DC2" w14:textId="77777777" w:rsidR="00342CEA" w:rsidRDefault="00837BAB">
            <w:pPr>
              <w:keepNext/>
              <w:tabs>
                <w:tab w:val="clear" w:pos="567"/>
              </w:tabs>
              <w:autoSpaceDE w:val="0"/>
              <w:autoSpaceDN w:val="0"/>
              <w:spacing w:line="240" w:lineRule="auto"/>
              <w:rPr>
                <w:lang w:val="hu-HU" w:eastAsia="en-US"/>
              </w:rPr>
            </w:pPr>
            <w:r>
              <w:rPr>
                <w:b/>
                <w:bCs/>
                <w:lang w:val="hu-HU" w:eastAsia="en-GB"/>
              </w:rPr>
              <w:t>Szervrendszeri kategória</w:t>
            </w:r>
          </w:p>
        </w:tc>
        <w:tc>
          <w:tcPr>
            <w:tcW w:w="1255" w:type="dxa"/>
            <w:tcBorders>
              <w:top w:val="single" w:sz="4" w:space="0" w:color="000000"/>
              <w:left w:val="single" w:sz="4" w:space="0" w:color="000000"/>
              <w:bottom w:val="single" w:sz="4" w:space="0" w:color="000000"/>
              <w:right w:val="single" w:sz="4" w:space="0" w:color="000000"/>
            </w:tcBorders>
          </w:tcPr>
          <w:p w14:paraId="50367CD9" w14:textId="77777777" w:rsidR="00342CEA" w:rsidRDefault="00837BAB">
            <w:pPr>
              <w:keepNext/>
              <w:rPr>
                <w:lang w:val="hu-HU" w:eastAsia="en-US"/>
              </w:rPr>
            </w:pPr>
            <w:r>
              <w:rPr>
                <w:b/>
                <w:bCs/>
                <w:lang w:val="hu-HU" w:eastAsia="en-GB"/>
              </w:rPr>
              <w:t>Gyakoriság</w:t>
            </w:r>
          </w:p>
        </w:tc>
        <w:tc>
          <w:tcPr>
            <w:tcW w:w="5145" w:type="dxa"/>
            <w:tcBorders>
              <w:top w:val="single" w:sz="4" w:space="0" w:color="000000"/>
              <w:left w:val="single" w:sz="4" w:space="0" w:color="000000"/>
              <w:bottom w:val="single" w:sz="4" w:space="0" w:color="000000"/>
              <w:right w:val="single" w:sz="4" w:space="0" w:color="000000"/>
            </w:tcBorders>
          </w:tcPr>
          <w:p w14:paraId="556074B6" w14:textId="77777777" w:rsidR="00342CEA" w:rsidRDefault="00837BAB">
            <w:pPr>
              <w:keepNext/>
              <w:rPr>
                <w:lang w:val="hu-HU" w:eastAsia="en-US"/>
              </w:rPr>
            </w:pPr>
            <w:r>
              <w:rPr>
                <w:b/>
                <w:bCs/>
                <w:lang w:val="hu-HU" w:eastAsia="en-GB"/>
              </w:rPr>
              <w:t>Mellékhatás</w:t>
            </w:r>
          </w:p>
        </w:tc>
      </w:tr>
      <w:tr w:rsidR="00342CEA" w14:paraId="36AA7598" w14:textId="77777777">
        <w:trPr>
          <w:trHeight w:val="521"/>
        </w:trPr>
        <w:tc>
          <w:tcPr>
            <w:tcW w:w="2810" w:type="dxa"/>
            <w:vMerge w:val="restart"/>
            <w:tcBorders>
              <w:top w:val="single" w:sz="4" w:space="0" w:color="000000"/>
              <w:left w:val="single" w:sz="4" w:space="0" w:color="000000"/>
              <w:bottom w:val="single" w:sz="4" w:space="0" w:color="000000"/>
              <w:right w:val="single" w:sz="4" w:space="0" w:color="000000"/>
            </w:tcBorders>
          </w:tcPr>
          <w:p w14:paraId="3878B745" w14:textId="77777777" w:rsidR="00342CEA" w:rsidRDefault="00837BAB">
            <w:pPr>
              <w:keepNext/>
              <w:rPr>
                <w:lang w:val="hu-HU" w:eastAsia="en-US"/>
              </w:rPr>
            </w:pPr>
            <w:r>
              <w:rPr>
                <w:lang w:val="hu-HU" w:eastAsia="en-US"/>
              </w:rPr>
              <w:t>Fertőző betegségek és parazitafertőzések</w:t>
            </w:r>
          </w:p>
        </w:tc>
        <w:tc>
          <w:tcPr>
            <w:tcW w:w="1255" w:type="dxa"/>
            <w:tcBorders>
              <w:top w:val="single" w:sz="4" w:space="0" w:color="000000"/>
              <w:left w:val="single" w:sz="4" w:space="0" w:color="000000"/>
              <w:bottom w:val="single" w:sz="4" w:space="0" w:color="000000"/>
              <w:right w:val="single" w:sz="4" w:space="0" w:color="000000"/>
            </w:tcBorders>
          </w:tcPr>
          <w:p w14:paraId="0A1BAC35" w14:textId="77777777" w:rsidR="00342CEA" w:rsidRDefault="00837BAB">
            <w:pPr>
              <w:keepNext/>
              <w:tabs>
                <w:tab w:val="clear" w:pos="567"/>
              </w:tabs>
              <w:autoSpaceDE w:val="0"/>
              <w:autoSpaceDN w:val="0"/>
              <w:spacing w:line="240" w:lineRule="auto"/>
              <w:rPr>
                <w:lang w:val="hu-HU" w:eastAsia="en-US"/>
              </w:rPr>
            </w:pPr>
            <w:r>
              <w:rPr>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62AA346F" w14:textId="77777777" w:rsidR="00342CEA" w:rsidRDefault="00837BAB">
            <w:pPr>
              <w:keepNext/>
              <w:tabs>
                <w:tab w:val="clear" w:pos="567"/>
              </w:tabs>
              <w:autoSpaceDE w:val="0"/>
              <w:autoSpaceDN w:val="0"/>
              <w:spacing w:line="240" w:lineRule="auto"/>
              <w:rPr>
                <w:lang w:val="hu-HU" w:eastAsia="en-GB"/>
              </w:rPr>
            </w:pPr>
            <w:r>
              <w:rPr>
                <w:lang w:val="hu-HU" w:eastAsia="en-GB"/>
              </w:rPr>
              <w:t>Nasopharyngitis</w:t>
            </w:r>
            <w:r>
              <w:rPr>
                <w:vertAlign w:val="superscript"/>
                <w:lang w:val="hu-HU" w:eastAsia="en-GB"/>
              </w:rPr>
              <w:t>♦</w:t>
            </w:r>
            <w:r>
              <w:rPr>
                <w:lang w:val="hu-HU" w:eastAsia="en-GB"/>
              </w:rPr>
              <w:t>, felső légúti fertőzés</w:t>
            </w:r>
            <w:r>
              <w:rPr>
                <w:vertAlign w:val="superscript"/>
                <w:lang w:val="hu-HU" w:eastAsia="en-GB"/>
              </w:rPr>
              <w:t>♦</w:t>
            </w:r>
          </w:p>
        </w:tc>
      </w:tr>
      <w:tr w:rsidR="00342CEA" w14:paraId="400E5285" w14:textId="77777777">
        <w:trPr>
          <w:trHeight w:val="632"/>
        </w:trPr>
        <w:tc>
          <w:tcPr>
            <w:tcW w:w="0" w:type="auto"/>
            <w:vMerge/>
            <w:tcBorders>
              <w:top w:val="single" w:sz="4" w:space="0" w:color="000000"/>
              <w:left w:val="single" w:sz="4" w:space="0" w:color="000000"/>
              <w:bottom w:val="single" w:sz="4" w:space="0" w:color="000000"/>
              <w:right w:val="single" w:sz="4" w:space="0" w:color="000000"/>
            </w:tcBorders>
          </w:tcPr>
          <w:p w14:paraId="446E17F1" w14:textId="77777777" w:rsidR="00342CEA" w:rsidRDefault="00342CEA">
            <w:pPr>
              <w:keepNext/>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4E995C94"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6C818669" w14:textId="77777777" w:rsidR="00342CEA" w:rsidRDefault="00837BAB">
            <w:pPr>
              <w:tabs>
                <w:tab w:val="clear" w:pos="567"/>
              </w:tabs>
              <w:autoSpaceDE w:val="0"/>
              <w:autoSpaceDN w:val="0"/>
              <w:spacing w:line="240" w:lineRule="auto"/>
              <w:rPr>
                <w:lang w:val="hu-HU" w:eastAsia="en-GB"/>
              </w:rPr>
            </w:pPr>
            <w:r>
              <w:rPr>
                <w:lang w:val="hu-HU" w:eastAsia="en-GB"/>
              </w:rPr>
              <w:t>Pharyngitis, influenza, oralis herpes, pneumonia, sinusitis, tonsillitis, légúti fertőzések, gingivitis</w:t>
            </w:r>
          </w:p>
        </w:tc>
      </w:tr>
      <w:tr w:rsidR="00342CEA" w14:paraId="5003C4AF" w14:textId="77777777">
        <w:trPr>
          <w:trHeight w:val="280"/>
        </w:trPr>
        <w:tc>
          <w:tcPr>
            <w:tcW w:w="0" w:type="auto"/>
            <w:vMerge/>
            <w:tcBorders>
              <w:top w:val="single" w:sz="4" w:space="0" w:color="000000"/>
              <w:left w:val="single" w:sz="4" w:space="0" w:color="000000"/>
              <w:bottom w:val="single" w:sz="4" w:space="0" w:color="000000"/>
              <w:right w:val="single" w:sz="4" w:space="0" w:color="000000"/>
            </w:tcBorders>
          </w:tcPr>
          <w:p w14:paraId="00809335" w14:textId="77777777" w:rsidR="00342CEA" w:rsidRDefault="00342CEA">
            <w:pPr>
              <w:keepNext/>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5F9C1864" w14:textId="77777777" w:rsidR="00342CEA" w:rsidRDefault="00837BAB">
            <w:pPr>
              <w:tabs>
                <w:tab w:val="clear" w:pos="567"/>
              </w:tabs>
              <w:autoSpaceDE w:val="0"/>
              <w:autoSpaceDN w:val="0"/>
              <w:spacing w:line="240" w:lineRule="auto"/>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0260A0C1" w14:textId="77777777" w:rsidR="00342CEA" w:rsidRDefault="00837BAB">
            <w:pPr>
              <w:tabs>
                <w:tab w:val="clear" w:pos="567"/>
              </w:tabs>
              <w:autoSpaceDE w:val="0"/>
              <w:autoSpaceDN w:val="0"/>
              <w:spacing w:line="240" w:lineRule="auto"/>
              <w:rPr>
                <w:lang w:val="hu-HU" w:eastAsia="en-GB"/>
              </w:rPr>
            </w:pPr>
            <w:r>
              <w:rPr>
                <w:lang w:val="hu-HU" w:eastAsia="en-GB"/>
              </w:rPr>
              <w:t>Bőrfertőzés</w:t>
            </w:r>
          </w:p>
        </w:tc>
      </w:tr>
      <w:tr w:rsidR="00342CEA" w14:paraId="5D03AB80" w14:textId="77777777">
        <w:trPr>
          <w:trHeight w:val="790"/>
        </w:trPr>
        <w:tc>
          <w:tcPr>
            <w:tcW w:w="2810" w:type="dxa"/>
            <w:tcBorders>
              <w:top w:val="single" w:sz="4" w:space="0" w:color="000000"/>
              <w:left w:val="single" w:sz="4" w:space="0" w:color="000000"/>
              <w:bottom w:val="single" w:sz="4" w:space="0" w:color="000000"/>
              <w:right w:val="single" w:sz="4" w:space="0" w:color="000000"/>
            </w:tcBorders>
          </w:tcPr>
          <w:p w14:paraId="3B9D4CBC" w14:textId="77777777" w:rsidR="00342CEA" w:rsidRDefault="00837BAB">
            <w:pPr>
              <w:tabs>
                <w:tab w:val="clear" w:pos="567"/>
              </w:tabs>
              <w:autoSpaceDE w:val="0"/>
              <w:autoSpaceDN w:val="0"/>
              <w:spacing w:line="240" w:lineRule="auto"/>
              <w:rPr>
                <w:lang w:val="hu-HU" w:eastAsia="en-US"/>
              </w:rPr>
            </w:pPr>
            <w:r>
              <w:rPr>
                <w:lang w:val="hu-HU" w:eastAsia="en-GB"/>
              </w:rPr>
              <w:t>Jó-, rosszindulatú és nem meghatározott daganatok (beleértve a cisztákat és polipokat is)</w:t>
            </w:r>
          </w:p>
        </w:tc>
        <w:tc>
          <w:tcPr>
            <w:tcW w:w="1255" w:type="dxa"/>
            <w:tcBorders>
              <w:top w:val="single" w:sz="4" w:space="0" w:color="000000"/>
              <w:left w:val="single" w:sz="4" w:space="0" w:color="000000"/>
              <w:bottom w:val="single" w:sz="4" w:space="0" w:color="000000"/>
              <w:right w:val="single" w:sz="4" w:space="0" w:color="000000"/>
            </w:tcBorders>
          </w:tcPr>
          <w:p w14:paraId="1C95AD01"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351AB7A3" w14:textId="77777777" w:rsidR="00342CEA" w:rsidRDefault="00837BAB">
            <w:pPr>
              <w:widowControl w:val="0"/>
              <w:rPr>
                <w:lang w:val="hu-HU" w:eastAsia="en-US"/>
              </w:rPr>
            </w:pPr>
            <w:r>
              <w:rPr>
                <w:lang w:val="hu-HU" w:eastAsia="en-GB"/>
              </w:rPr>
              <w:t>Rectosigmoidealis carcinoma</w:t>
            </w:r>
          </w:p>
        </w:tc>
      </w:tr>
      <w:tr w:rsidR="00342CEA" w14:paraId="611C240F" w14:textId="77777777">
        <w:trPr>
          <w:trHeight w:val="678"/>
        </w:trPr>
        <w:tc>
          <w:tcPr>
            <w:tcW w:w="2810" w:type="dxa"/>
            <w:vMerge w:val="restart"/>
            <w:tcBorders>
              <w:top w:val="single" w:sz="4" w:space="0" w:color="000000"/>
              <w:left w:val="single" w:sz="4" w:space="0" w:color="000000"/>
              <w:bottom w:val="single" w:sz="4" w:space="0" w:color="000000"/>
              <w:right w:val="single" w:sz="4" w:space="0" w:color="000000"/>
            </w:tcBorders>
          </w:tcPr>
          <w:p w14:paraId="70D72BAF" w14:textId="77777777" w:rsidR="00342CEA" w:rsidRDefault="00837BAB">
            <w:pPr>
              <w:tabs>
                <w:tab w:val="clear" w:pos="567"/>
              </w:tabs>
              <w:autoSpaceDE w:val="0"/>
              <w:autoSpaceDN w:val="0"/>
              <w:spacing w:line="240" w:lineRule="auto"/>
              <w:rPr>
                <w:lang w:val="hu-HU" w:eastAsia="en-GB"/>
              </w:rPr>
            </w:pPr>
            <w:r>
              <w:rPr>
                <w:lang w:val="hu-HU" w:eastAsia="en-GB"/>
              </w:rPr>
              <w:t>Vérképzőszervi és nyirokrendszeri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09B3BEC8"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4FAAA8D7" w14:textId="77777777" w:rsidR="00342CEA" w:rsidRDefault="00837BAB">
            <w:pPr>
              <w:widowControl w:val="0"/>
              <w:rPr>
                <w:lang w:val="hu-HU" w:eastAsia="en-GB"/>
              </w:rPr>
            </w:pPr>
            <w:r>
              <w:rPr>
                <w:lang w:val="hu-HU" w:eastAsia="en-GB"/>
              </w:rPr>
              <w:t>Anaemia, eosinophilia, leukocytosis, thrombocytopenia, csökkent hemoglobinszint, csökkent fehérvérsejtszám</w:t>
            </w:r>
          </w:p>
        </w:tc>
      </w:tr>
      <w:tr w:rsidR="00342CEA" w14:paraId="1CC76E16" w14:textId="77777777">
        <w:trPr>
          <w:trHeight w:val="770"/>
        </w:trPr>
        <w:tc>
          <w:tcPr>
            <w:tcW w:w="0" w:type="auto"/>
            <w:vMerge/>
            <w:tcBorders>
              <w:top w:val="single" w:sz="4" w:space="0" w:color="000000"/>
              <w:left w:val="single" w:sz="4" w:space="0" w:color="000000"/>
              <w:bottom w:val="single" w:sz="4" w:space="0" w:color="000000"/>
              <w:right w:val="single" w:sz="4" w:space="0" w:color="000000"/>
            </w:tcBorders>
          </w:tcPr>
          <w:p w14:paraId="0FA03921"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10BC6D20"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7B318B4" w14:textId="77777777" w:rsidR="00342CEA" w:rsidRDefault="00837BAB">
            <w:pPr>
              <w:widowControl w:val="0"/>
              <w:rPr>
                <w:lang w:val="hu-HU" w:eastAsia="en-GB"/>
              </w:rPr>
            </w:pPr>
            <w:r>
              <w:rPr>
                <w:lang w:val="hu-HU" w:eastAsia="en-GB"/>
              </w:rPr>
              <w:t>Anisocytosis, haemolyticus anaemia, myelocytosis, emelkedett stab neutrophilszám, myelocyták jelenléte, emelkedett vérlemezkeszám, emelkedett hemoglobinszint</w:t>
            </w:r>
          </w:p>
        </w:tc>
      </w:tr>
      <w:tr w:rsidR="00342CEA" w14:paraId="62BA7453" w14:textId="77777777">
        <w:trPr>
          <w:trHeight w:val="265"/>
        </w:trPr>
        <w:tc>
          <w:tcPr>
            <w:tcW w:w="2810" w:type="dxa"/>
            <w:tcBorders>
              <w:top w:val="single" w:sz="4" w:space="0" w:color="000000"/>
              <w:left w:val="single" w:sz="4" w:space="0" w:color="000000"/>
              <w:bottom w:val="single" w:sz="4" w:space="0" w:color="000000"/>
              <w:right w:val="single" w:sz="4" w:space="0" w:color="000000"/>
            </w:tcBorders>
          </w:tcPr>
          <w:p w14:paraId="29D6FA6A" w14:textId="77777777" w:rsidR="00342CEA" w:rsidRDefault="00837BAB">
            <w:pPr>
              <w:tabs>
                <w:tab w:val="clear" w:pos="567"/>
              </w:tabs>
              <w:autoSpaceDE w:val="0"/>
              <w:autoSpaceDN w:val="0"/>
              <w:spacing w:line="240" w:lineRule="auto"/>
              <w:rPr>
                <w:lang w:val="hu-HU" w:eastAsia="en-US"/>
              </w:rPr>
            </w:pPr>
            <w:r>
              <w:rPr>
                <w:lang w:val="hu-HU" w:eastAsia="en-GB"/>
              </w:rPr>
              <w:t>Immunrendszeri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375185BB"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D842CE0" w14:textId="77777777" w:rsidR="00342CEA" w:rsidRDefault="00837BAB">
            <w:pPr>
              <w:widowControl w:val="0"/>
              <w:rPr>
                <w:lang w:val="hu-HU" w:eastAsia="en-GB"/>
              </w:rPr>
            </w:pPr>
            <w:r>
              <w:rPr>
                <w:lang w:val="hu-HU" w:eastAsia="en-GB"/>
              </w:rPr>
              <w:t>Túlérzékenység</w:t>
            </w:r>
          </w:p>
        </w:tc>
      </w:tr>
      <w:tr w:rsidR="00342CEA" w14:paraId="6C5CED3F"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260D8406" w14:textId="77777777" w:rsidR="00342CEA" w:rsidRDefault="00837BAB">
            <w:pPr>
              <w:tabs>
                <w:tab w:val="clear" w:pos="567"/>
              </w:tabs>
              <w:autoSpaceDE w:val="0"/>
              <w:autoSpaceDN w:val="0"/>
              <w:spacing w:line="240" w:lineRule="auto"/>
              <w:rPr>
                <w:lang w:val="hu-HU" w:eastAsia="en-US"/>
              </w:rPr>
            </w:pPr>
            <w:r>
              <w:rPr>
                <w:lang w:val="hu-HU" w:eastAsia="en-GB"/>
              </w:rPr>
              <w:t>Anyagcsere és táplálkozási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6F8E94EC"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4BF40B28" w14:textId="77777777" w:rsidR="00342CEA" w:rsidRDefault="00837BAB">
            <w:pPr>
              <w:widowControl w:val="0"/>
              <w:rPr>
                <w:lang w:val="hu-HU" w:eastAsia="en-GB"/>
              </w:rPr>
            </w:pPr>
            <w:r>
              <w:rPr>
                <w:lang w:val="hu-HU" w:eastAsia="en-GB"/>
              </w:rPr>
              <w:t>Hypokalaemia, étvágycsökkenés, a húgysavszint emelkedése a vérben</w:t>
            </w:r>
          </w:p>
        </w:tc>
      </w:tr>
      <w:tr w:rsidR="00342CEA" w14:paraId="6229D7C8" w14:textId="77777777">
        <w:trPr>
          <w:trHeight w:val="280"/>
        </w:trPr>
        <w:tc>
          <w:tcPr>
            <w:tcW w:w="0" w:type="auto"/>
            <w:vMerge/>
            <w:tcBorders>
              <w:top w:val="single" w:sz="4" w:space="0" w:color="000000"/>
              <w:left w:val="single" w:sz="4" w:space="0" w:color="000000"/>
              <w:bottom w:val="single" w:sz="4" w:space="0" w:color="000000"/>
              <w:right w:val="single" w:sz="4" w:space="0" w:color="000000"/>
            </w:tcBorders>
          </w:tcPr>
          <w:p w14:paraId="4406836C" w14:textId="77777777" w:rsidR="00342CEA" w:rsidRDefault="00342CEA">
            <w:pPr>
              <w:tabs>
                <w:tab w:val="clear" w:pos="567"/>
              </w:tabs>
              <w:autoSpaceDE w:val="0"/>
              <w:autoSpaceDN w:val="0"/>
              <w:spacing w:line="240" w:lineRule="auto"/>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48EC91B0"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369DE368" w14:textId="77777777" w:rsidR="00342CEA" w:rsidRDefault="00837BAB">
            <w:pPr>
              <w:widowControl w:val="0"/>
              <w:rPr>
                <w:lang w:val="hu-HU" w:eastAsia="en-GB"/>
              </w:rPr>
            </w:pPr>
            <w:r>
              <w:rPr>
                <w:lang w:val="hu-HU" w:eastAsia="en-GB"/>
              </w:rPr>
              <w:t>Anorexia, köszvény, hypocalcaemia</w:t>
            </w:r>
          </w:p>
        </w:tc>
      </w:tr>
      <w:tr w:rsidR="00342CEA" w14:paraId="0B4FDC52"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7A480D09" w14:textId="77777777" w:rsidR="00342CEA" w:rsidRDefault="00837BAB">
            <w:pPr>
              <w:tabs>
                <w:tab w:val="clear" w:pos="567"/>
              </w:tabs>
              <w:autoSpaceDE w:val="0"/>
              <w:autoSpaceDN w:val="0"/>
              <w:spacing w:line="240" w:lineRule="auto"/>
              <w:rPr>
                <w:lang w:val="hu-HU" w:eastAsia="en-GB"/>
              </w:rPr>
            </w:pPr>
            <w:r>
              <w:rPr>
                <w:lang w:val="hu-HU" w:eastAsia="en-GB"/>
              </w:rPr>
              <w:t>Pszichiátriai kórképek</w:t>
            </w:r>
          </w:p>
        </w:tc>
        <w:tc>
          <w:tcPr>
            <w:tcW w:w="1255" w:type="dxa"/>
            <w:tcBorders>
              <w:top w:val="single" w:sz="4" w:space="0" w:color="000000"/>
              <w:left w:val="single" w:sz="4" w:space="0" w:color="000000"/>
              <w:bottom w:val="single" w:sz="4" w:space="0" w:color="000000"/>
              <w:right w:val="single" w:sz="4" w:space="0" w:color="000000"/>
            </w:tcBorders>
          </w:tcPr>
          <w:p w14:paraId="39291C5D"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7931ECA1" w14:textId="77777777" w:rsidR="00342CEA" w:rsidRDefault="00837BAB">
            <w:pPr>
              <w:widowControl w:val="0"/>
              <w:rPr>
                <w:lang w:val="hu-HU" w:eastAsia="en-GB"/>
              </w:rPr>
            </w:pPr>
            <w:r>
              <w:rPr>
                <w:lang w:val="hu-HU" w:eastAsia="en-GB"/>
              </w:rPr>
              <w:t>Alvászavar, depresszió</w:t>
            </w:r>
          </w:p>
        </w:tc>
      </w:tr>
      <w:tr w:rsidR="00342CEA" w14:paraId="6A671DC3" w14:textId="77777777">
        <w:trPr>
          <w:trHeight w:val="265"/>
        </w:trPr>
        <w:tc>
          <w:tcPr>
            <w:tcW w:w="0" w:type="auto"/>
            <w:vMerge/>
            <w:tcBorders>
              <w:top w:val="single" w:sz="4" w:space="0" w:color="000000"/>
              <w:left w:val="single" w:sz="4" w:space="0" w:color="000000"/>
              <w:bottom w:val="single" w:sz="4" w:space="0" w:color="000000"/>
              <w:right w:val="single" w:sz="4" w:space="0" w:color="000000"/>
            </w:tcBorders>
          </w:tcPr>
          <w:p w14:paraId="11C3E4C6"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232C2F23"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11915D2" w14:textId="77777777" w:rsidR="00342CEA" w:rsidRDefault="00837BAB">
            <w:pPr>
              <w:widowControl w:val="0"/>
              <w:rPr>
                <w:lang w:val="hu-HU" w:eastAsia="en-GB"/>
              </w:rPr>
            </w:pPr>
            <w:r>
              <w:rPr>
                <w:lang w:val="hu-HU" w:eastAsia="en-GB"/>
              </w:rPr>
              <w:t>Apátia, hangulatváltozás, könnyezés</w:t>
            </w:r>
          </w:p>
        </w:tc>
      </w:tr>
      <w:tr w:rsidR="00342CEA" w14:paraId="3251C499" w14:textId="77777777">
        <w:trPr>
          <w:trHeight w:val="264"/>
        </w:trPr>
        <w:tc>
          <w:tcPr>
            <w:tcW w:w="2810" w:type="dxa"/>
            <w:vMerge w:val="restart"/>
            <w:tcBorders>
              <w:top w:val="single" w:sz="4" w:space="0" w:color="000000"/>
              <w:left w:val="single" w:sz="4" w:space="0" w:color="000000"/>
              <w:bottom w:val="single" w:sz="4" w:space="0" w:color="000000"/>
              <w:right w:val="single" w:sz="4" w:space="0" w:color="000000"/>
            </w:tcBorders>
          </w:tcPr>
          <w:p w14:paraId="10EDA114" w14:textId="77777777" w:rsidR="00342CEA" w:rsidRDefault="00837BAB">
            <w:pPr>
              <w:tabs>
                <w:tab w:val="clear" w:pos="567"/>
              </w:tabs>
              <w:autoSpaceDE w:val="0"/>
              <w:autoSpaceDN w:val="0"/>
              <w:spacing w:line="240" w:lineRule="auto"/>
              <w:rPr>
                <w:lang w:val="hu-HU" w:eastAsia="en-US"/>
              </w:rPr>
            </w:pPr>
            <w:r>
              <w:rPr>
                <w:lang w:val="hu-HU" w:eastAsia="en-GB"/>
              </w:rPr>
              <w:t>Idegrendszeri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07492A93"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1CF3069F" w14:textId="77777777" w:rsidR="00342CEA" w:rsidRDefault="00837BAB">
            <w:pPr>
              <w:widowControl w:val="0"/>
              <w:rPr>
                <w:lang w:val="hu-HU" w:eastAsia="en-US"/>
              </w:rPr>
            </w:pPr>
            <w:r>
              <w:rPr>
                <w:lang w:val="hu-HU" w:eastAsia="en-GB"/>
              </w:rPr>
              <w:t>Paraesthesia, hypaesthesia, aluszékonyság, migrén</w:t>
            </w:r>
          </w:p>
        </w:tc>
      </w:tr>
      <w:tr w:rsidR="00342CEA" w14:paraId="61E14724" w14:textId="77777777">
        <w:trPr>
          <w:trHeight w:val="1022"/>
        </w:trPr>
        <w:tc>
          <w:tcPr>
            <w:tcW w:w="0" w:type="auto"/>
            <w:vMerge/>
            <w:tcBorders>
              <w:top w:val="single" w:sz="4" w:space="0" w:color="000000"/>
              <w:left w:val="single" w:sz="4" w:space="0" w:color="000000"/>
              <w:bottom w:val="single" w:sz="4" w:space="0" w:color="000000"/>
              <w:right w:val="single" w:sz="4" w:space="0" w:color="000000"/>
            </w:tcBorders>
          </w:tcPr>
          <w:p w14:paraId="05EFFC53" w14:textId="77777777" w:rsidR="00342CEA" w:rsidRDefault="00342CEA">
            <w:pPr>
              <w:tabs>
                <w:tab w:val="clear" w:pos="567"/>
              </w:tabs>
              <w:autoSpaceDE w:val="0"/>
              <w:autoSpaceDN w:val="0"/>
              <w:spacing w:line="240" w:lineRule="auto"/>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62AFAE5A"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08C0A75D" w14:textId="77777777" w:rsidR="00342CEA" w:rsidRDefault="00837BAB">
            <w:pPr>
              <w:tabs>
                <w:tab w:val="clear" w:pos="567"/>
              </w:tabs>
              <w:autoSpaceDE w:val="0"/>
              <w:autoSpaceDN w:val="0"/>
              <w:spacing w:line="240" w:lineRule="auto"/>
              <w:rPr>
                <w:lang w:val="hu-HU" w:eastAsia="en-US"/>
              </w:rPr>
            </w:pPr>
            <w:r>
              <w:rPr>
                <w:lang w:val="hu-HU" w:eastAsia="en-GB"/>
              </w:rPr>
              <w:t>Tremor, egyensúlyzavar, dysaesthesia, hemiparesis, aurával járó migrén, perifériás neuropathia, perifériás szenzoros neuropathia, beszédzavar, toxikus neuropathia, vascularis fejfájás</w:t>
            </w:r>
          </w:p>
        </w:tc>
      </w:tr>
      <w:tr w:rsidR="00342CEA" w14:paraId="6BF23C57"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1A731E4D" w14:textId="77777777" w:rsidR="00342CEA" w:rsidRDefault="00837BAB">
            <w:pPr>
              <w:tabs>
                <w:tab w:val="clear" w:pos="567"/>
              </w:tabs>
              <w:autoSpaceDE w:val="0"/>
              <w:autoSpaceDN w:val="0"/>
              <w:spacing w:line="240" w:lineRule="auto"/>
              <w:rPr>
                <w:lang w:val="hu-HU" w:eastAsia="en-GB"/>
              </w:rPr>
            </w:pPr>
            <w:r>
              <w:rPr>
                <w:lang w:val="hu-HU" w:eastAsia="en-GB"/>
              </w:rPr>
              <w:t>Szembetegségek és szemészeti tünetek</w:t>
            </w:r>
          </w:p>
        </w:tc>
        <w:tc>
          <w:tcPr>
            <w:tcW w:w="1255" w:type="dxa"/>
            <w:tcBorders>
              <w:top w:val="single" w:sz="4" w:space="0" w:color="000000"/>
              <w:left w:val="single" w:sz="4" w:space="0" w:color="000000"/>
              <w:bottom w:val="single" w:sz="4" w:space="0" w:color="000000"/>
              <w:right w:val="single" w:sz="4" w:space="0" w:color="000000"/>
            </w:tcBorders>
          </w:tcPr>
          <w:p w14:paraId="4D5E2ADE"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309F57A6" w14:textId="77777777" w:rsidR="00342CEA" w:rsidRDefault="00837BAB">
            <w:pPr>
              <w:tabs>
                <w:tab w:val="clear" w:pos="567"/>
              </w:tabs>
              <w:autoSpaceDE w:val="0"/>
              <w:autoSpaceDN w:val="0"/>
              <w:spacing w:line="240" w:lineRule="auto"/>
              <w:rPr>
                <w:lang w:val="hu-HU" w:eastAsia="en-US"/>
              </w:rPr>
            </w:pPr>
            <w:r>
              <w:rPr>
                <w:lang w:val="hu-HU" w:eastAsia="en-GB"/>
              </w:rPr>
              <w:t>Száraz szem, homályos látás, fájdalom a szemben, csökkent látásélesség</w:t>
            </w:r>
          </w:p>
        </w:tc>
      </w:tr>
      <w:tr w:rsidR="00342CEA" w14:paraId="4CDDA7A8" w14:textId="77777777">
        <w:trPr>
          <w:trHeight w:val="1274"/>
        </w:trPr>
        <w:tc>
          <w:tcPr>
            <w:tcW w:w="0" w:type="auto"/>
            <w:vMerge/>
            <w:tcBorders>
              <w:top w:val="single" w:sz="4" w:space="0" w:color="000000"/>
              <w:left w:val="single" w:sz="4" w:space="0" w:color="000000"/>
              <w:bottom w:val="single" w:sz="4" w:space="0" w:color="000000"/>
              <w:right w:val="single" w:sz="4" w:space="0" w:color="000000"/>
            </w:tcBorders>
          </w:tcPr>
          <w:p w14:paraId="4701C8EC"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2A85CE31"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A43FA13" w14:textId="77777777" w:rsidR="00342CEA" w:rsidRDefault="00837BAB">
            <w:pPr>
              <w:tabs>
                <w:tab w:val="clear" w:pos="567"/>
              </w:tabs>
              <w:autoSpaceDE w:val="0"/>
              <w:autoSpaceDN w:val="0"/>
              <w:spacing w:line="240" w:lineRule="auto"/>
              <w:rPr>
                <w:lang w:val="hu-HU" w:eastAsia="en-US"/>
              </w:rPr>
            </w:pPr>
            <w:r>
              <w:rPr>
                <w:lang w:val="hu-HU" w:eastAsia="en-GB"/>
              </w:rPr>
              <w:t>Szemlencse homály, astigmatismus, cataracta corticalis, fokozott könnyezés, retinavérzés, retina pigment epitheliopathia, látásromlás, kóros látásélességi vizsgálati eredmények, blepharitis, keratoconjunctivitis sicca</w:t>
            </w:r>
          </w:p>
        </w:tc>
      </w:tr>
      <w:tr w:rsidR="00342CEA" w14:paraId="592109A3" w14:textId="77777777">
        <w:trPr>
          <w:trHeight w:val="265"/>
        </w:trPr>
        <w:tc>
          <w:tcPr>
            <w:tcW w:w="2810" w:type="dxa"/>
            <w:tcBorders>
              <w:top w:val="single" w:sz="4" w:space="0" w:color="000000"/>
              <w:left w:val="single" w:sz="4" w:space="0" w:color="000000"/>
              <w:bottom w:val="single" w:sz="4" w:space="0" w:color="000000"/>
              <w:right w:val="single" w:sz="4" w:space="0" w:color="000000"/>
            </w:tcBorders>
          </w:tcPr>
          <w:p w14:paraId="6E75C26D" w14:textId="77777777" w:rsidR="00342CEA" w:rsidRDefault="00837BAB">
            <w:pPr>
              <w:tabs>
                <w:tab w:val="clear" w:pos="567"/>
              </w:tabs>
              <w:autoSpaceDE w:val="0"/>
              <w:autoSpaceDN w:val="0"/>
              <w:spacing w:line="240" w:lineRule="auto"/>
              <w:rPr>
                <w:lang w:val="hu-HU" w:eastAsia="en-GB"/>
              </w:rPr>
            </w:pPr>
            <w:r>
              <w:rPr>
                <w:lang w:val="hu-HU" w:eastAsia="en-GB"/>
              </w:rPr>
              <w:t>A fül és az egyensúlyérzékelő szerv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36B0CD1A"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37B941E0" w14:textId="77777777" w:rsidR="00342CEA" w:rsidRDefault="00837BAB">
            <w:pPr>
              <w:widowControl w:val="0"/>
              <w:rPr>
                <w:lang w:val="hu-HU" w:eastAsia="en-US"/>
              </w:rPr>
            </w:pPr>
            <w:r>
              <w:rPr>
                <w:lang w:val="hu-HU" w:eastAsia="en-GB"/>
              </w:rPr>
              <w:t>Fülfájás, vertigo</w:t>
            </w:r>
          </w:p>
        </w:tc>
      </w:tr>
      <w:tr w:rsidR="00342CEA" w14:paraId="76EA209C" w14:textId="77777777">
        <w:trPr>
          <w:trHeight w:val="770"/>
        </w:trPr>
        <w:tc>
          <w:tcPr>
            <w:tcW w:w="2810" w:type="dxa"/>
            <w:tcBorders>
              <w:top w:val="single" w:sz="4" w:space="0" w:color="000000"/>
              <w:left w:val="single" w:sz="4" w:space="0" w:color="000000"/>
              <w:bottom w:val="single" w:sz="4" w:space="0" w:color="000000"/>
              <w:right w:val="single" w:sz="4" w:space="0" w:color="000000"/>
            </w:tcBorders>
          </w:tcPr>
          <w:p w14:paraId="637B9531" w14:textId="77777777" w:rsidR="00342CEA" w:rsidRDefault="00837BAB">
            <w:pPr>
              <w:tabs>
                <w:tab w:val="clear" w:pos="567"/>
              </w:tabs>
              <w:autoSpaceDE w:val="0"/>
              <w:autoSpaceDN w:val="0"/>
              <w:spacing w:line="240" w:lineRule="auto"/>
              <w:rPr>
                <w:lang w:val="hu-HU" w:eastAsia="en-US"/>
              </w:rPr>
            </w:pPr>
            <w:r>
              <w:rPr>
                <w:lang w:val="hu-HU" w:eastAsia="en-GB"/>
              </w:rPr>
              <w:t>Szívbetegségek és a szívvel kapcsolatos tünetek</w:t>
            </w:r>
          </w:p>
        </w:tc>
        <w:tc>
          <w:tcPr>
            <w:tcW w:w="1255" w:type="dxa"/>
            <w:tcBorders>
              <w:top w:val="single" w:sz="4" w:space="0" w:color="000000"/>
              <w:left w:val="single" w:sz="4" w:space="0" w:color="000000"/>
              <w:bottom w:val="single" w:sz="4" w:space="0" w:color="000000"/>
              <w:right w:val="single" w:sz="4" w:space="0" w:color="000000"/>
            </w:tcBorders>
          </w:tcPr>
          <w:p w14:paraId="171776FC"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A3C5086" w14:textId="77777777" w:rsidR="00342CEA" w:rsidRDefault="00837BAB">
            <w:pPr>
              <w:tabs>
                <w:tab w:val="clear" w:pos="567"/>
              </w:tabs>
              <w:autoSpaceDE w:val="0"/>
              <w:autoSpaceDN w:val="0"/>
              <w:spacing w:line="240" w:lineRule="auto"/>
              <w:rPr>
                <w:lang w:val="hu-HU" w:eastAsia="en-US"/>
              </w:rPr>
            </w:pPr>
            <w:r>
              <w:rPr>
                <w:lang w:val="hu-HU" w:eastAsia="en-GB"/>
              </w:rPr>
              <w:t>Tachycardia, akut myocardialis infarctus, cardiovascularis betegségek, cyanosis, sinus tachycardia, elektrokardiagramon QT-megnyúlás</w:t>
            </w:r>
          </w:p>
        </w:tc>
      </w:tr>
      <w:tr w:rsidR="00342CEA" w14:paraId="22A26F9F"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0EF1EB4C" w14:textId="77777777" w:rsidR="00342CEA" w:rsidRDefault="00837BAB">
            <w:pPr>
              <w:widowControl w:val="0"/>
              <w:rPr>
                <w:lang w:val="hu-HU" w:eastAsia="en-US"/>
              </w:rPr>
            </w:pPr>
            <w:r>
              <w:rPr>
                <w:lang w:val="hu-HU" w:eastAsia="en-GB"/>
              </w:rPr>
              <w:t>Érbetegségek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71DC885D"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34685C1C" w14:textId="77777777" w:rsidR="00342CEA" w:rsidRDefault="00837BAB">
            <w:pPr>
              <w:tabs>
                <w:tab w:val="clear" w:pos="567"/>
              </w:tabs>
              <w:autoSpaceDE w:val="0"/>
              <w:autoSpaceDN w:val="0"/>
              <w:spacing w:line="240" w:lineRule="auto"/>
              <w:rPr>
                <w:lang w:val="hu-HU" w:eastAsia="en-GB"/>
              </w:rPr>
            </w:pPr>
            <w:r>
              <w:rPr>
                <w:lang w:val="hu-HU" w:eastAsia="en-GB"/>
              </w:rPr>
              <w:t>Mélyvénás thrombosis, haematoma, hőhullámok</w:t>
            </w:r>
          </w:p>
        </w:tc>
      </w:tr>
      <w:tr w:rsidR="00342CEA" w14:paraId="28C344D2" w14:textId="77777777">
        <w:trPr>
          <w:trHeight w:val="280"/>
        </w:trPr>
        <w:tc>
          <w:tcPr>
            <w:tcW w:w="0" w:type="auto"/>
            <w:vMerge/>
            <w:tcBorders>
              <w:top w:val="single" w:sz="4" w:space="0" w:color="000000"/>
              <w:left w:val="single" w:sz="4" w:space="0" w:color="000000"/>
              <w:bottom w:val="single" w:sz="4" w:space="0" w:color="000000"/>
              <w:right w:val="single" w:sz="4" w:space="0" w:color="000000"/>
            </w:tcBorders>
          </w:tcPr>
          <w:p w14:paraId="4CA0EB3F" w14:textId="77777777" w:rsidR="00342CEA" w:rsidRDefault="00342CEA">
            <w:pPr>
              <w:widowControl w:val="0"/>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546DAA79"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0E31D4F4" w14:textId="77777777" w:rsidR="00342CEA" w:rsidRDefault="00837BAB">
            <w:pPr>
              <w:widowControl w:val="0"/>
              <w:rPr>
                <w:lang w:val="hu-HU" w:eastAsia="en-US"/>
              </w:rPr>
            </w:pPr>
            <w:r>
              <w:rPr>
                <w:lang w:val="hu-HU" w:eastAsia="en-GB"/>
              </w:rPr>
              <w:t>Embolia, felületes thrombophlebitis, kipirulás</w:t>
            </w:r>
          </w:p>
        </w:tc>
      </w:tr>
      <w:tr w:rsidR="00342CEA" w14:paraId="38E13CF4"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6633FE42" w14:textId="77777777" w:rsidR="00342CEA" w:rsidRDefault="00837BAB">
            <w:pPr>
              <w:tabs>
                <w:tab w:val="clear" w:pos="567"/>
              </w:tabs>
              <w:autoSpaceDE w:val="0"/>
              <w:autoSpaceDN w:val="0"/>
              <w:spacing w:line="240" w:lineRule="auto"/>
              <w:rPr>
                <w:lang w:val="hu-HU" w:eastAsia="en-GB"/>
              </w:rPr>
            </w:pPr>
            <w:r>
              <w:rPr>
                <w:lang w:val="hu-HU" w:eastAsia="en-GB"/>
              </w:rPr>
              <w:t>Légzőrendszeri, mellkasi és mediastinalis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73AE1F3D" w14:textId="77777777" w:rsidR="00342CEA" w:rsidRDefault="00837BAB">
            <w:pPr>
              <w:tabs>
                <w:tab w:val="clear" w:pos="567"/>
              </w:tabs>
              <w:autoSpaceDE w:val="0"/>
              <w:autoSpaceDN w:val="0"/>
              <w:spacing w:line="240" w:lineRule="auto"/>
              <w:rPr>
                <w:lang w:val="hu-HU" w:eastAsia="en-US"/>
              </w:rPr>
            </w:pPr>
            <w:r>
              <w:rPr>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79F14B43" w14:textId="77777777" w:rsidR="00342CEA" w:rsidRDefault="00837BAB">
            <w:pPr>
              <w:widowControl w:val="0"/>
              <w:rPr>
                <w:lang w:val="hu-HU" w:eastAsia="en-US"/>
              </w:rPr>
            </w:pPr>
            <w:r>
              <w:rPr>
                <w:lang w:val="hu-HU" w:eastAsia="en-GB"/>
              </w:rPr>
              <w:t>Köhögés</w:t>
            </w:r>
            <w:r>
              <w:rPr>
                <w:vertAlign w:val="superscript"/>
                <w:lang w:val="hu-HU" w:eastAsia="en-US"/>
              </w:rPr>
              <w:t>♦</w:t>
            </w:r>
          </w:p>
        </w:tc>
      </w:tr>
      <w:tr w:rsidR="00342CEA" w14:paraId="5D774063" w14:textId="77777777">
        <w:trPr>
          <w:trHeight w:val="281"/>
        </w:trPr>
        <w:tc>
          <w:tcPr>
            <w:tcW w:w="0" w:type="auto"/>
            <w:vMerge/>
            <w:tcBorders>
              <w:top w:val="single" w:sz="4" w:space="0" w:color="000000"/>
              <w:left w:val="single" w:sz="4" w:space="0" w:color="000000"/>
              <w:bottom w:val="single" w:sz="4" w:space="0" w:color="000000"/>
              <w:right w:val="single" w:sz="4" w:space="0" w:color="000000"/>
            </w:tcBorders>
          </w:tcPr>
          <w:p w14:paraId="33EC40F8"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09854C41"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59CB0B24" w14:textId="77777777" w:rsidR="00342CEA" w:rsidRDefault="00837BAB">
            <w:pPr>
              <w:widowControl w:val="0"/>
              <w:rPr>
                <w:lang w:val="hu-HU" w:eastAsia="en-US"/>
              </w:rPr>
            </w:pPr>
            <w:r>
              <w:rPr>
                <w:lang w:val="hu-HU" w:eastAsia="en-GB"/>
              </w:rPr>
              <w:t>Oropharyngealis fájdalom</w:t>
            </w:r>
            <w:r>
              <w:rPr>
                <w:vertAlign w:val="superscript"/>
                <w:lang w:val="hu-HU" w:eastAsia="en-US"/>
              </w:rPr>
              <w:t>♦</w:t>
            </w:r>
            <w:r>
              <w:rPr>
                <w:lang w:val="hu-HU" w:eastAsia="en-US"/>
              </w:rPr>
              <w:t>, rhinorrhoea</w:t>
            </w:r>
            <w:r>
              <w:rPr>
                <w:vertAlign w:val="superscript"/>
                <w:lang w:val="hu-HU" w:eastAsia="en-US"/>
              </w:rPr>
              <w:t xml:space="preserve">♦ </w:t>
            </w:r>
          </w:p>
        </w:tc>
      </w:tr>
      <w:tr w:rsidR="00342CEA" w14:paraId="7E332BBA" w14:textId="77777777">
        <w:trPr>
          <w:trHeight w:val="770"/>
        </w:trPr>
        <w:tc>
          <w:tcPr>
            <w:tcW w:w="0" w:type="auto"/>
            <w:vMerge/>
            <w:tcBorders>
              <w:top w:val="single" w:sz="4" w:space="0" w:color="000000"/>
              <w:left w:val="single" w:sz="4" w:space="0" w:color="000000"/>
              <w:bottom w:val="single" w:sz="4" w:space="0" w:color="000000"/>
              <w:right w:val="single" w:sz="4" w:space="0" w:color="000000"/>
            </w:tcBorders>
          </w:tcPr>
          <w:p w14:paraId="42EE0DC6"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41934FC7"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B685FE2" w14:textId="77777777" w:rsidR="00342CEA" w:rsidRDefault="00837BAB">
            <w:pPr>
              <w:tabs>
                <w:tab w:val="clear" w:pos="567"/>
              </w:tabs>
              <w:autoSpaceDE w:val="0"/>
              <w:autoSpaceDN w:val="0"/>
              <w:spacing w:line="240" w:lineRule="auto"/>
              <w:rPr>
                <w:lang w:val="hu-HU" w:eastAsia="en-GB"/>
              </w:rPr>
            </w:pPr>
            <w:r>
              <w:rPr>
                <w:lang w:val="hu-HU" w:eastAsia="en-GB"/>
              </w:rPr>
              <w:t>Tüdőembolia, pulmonalis infarctus, kellemetlen érzés az orrban, oropharyngealis hólyagképződés, sinus betegség, alvási apnoe szindróma</w:t>
            </w:r>
          </w:p>
        </w:tc>
      </w:tr>
      <w:tr w:rsidR="00342CEA" w14:paraId="603A0696" w14:textId="77777777">
        <w:trPr>
          <w:trHeight w:val="534"/>
        </w:trPr>
        <w:tc>
          <w:tcPr>
            <w:tcW w:w="2810" w:type="dxa"/>
            <w:vMerge w:val="restart"/>
            <w:tcBorders>
              <w:top w:val="single" w:sz="4" w:space="0" w:color="000000"/>
              <w:left w:val="single" w:sz="4" w:space="0" w:color="000000"/>
              <w:bottom w:val="single" w:sz="4" w:space="0" w:color="000000"/>
              <w:right w:val="single" w:sz="4" w:space="0" w:color="000000"/>
            </w:tcBorders>
          </w:tcPr>
          <w:p w14:paraId="0C217B7B" w14:textId="77777777" w:rsidR="00342CEA" w:rsidRDefault="00837BAB">
            <w:pPr>
              <w:widowControl w:val="0"/>
              <w:rPr>
                <w:lang w:val="hu-HU" w:eastAsia="en-US"/>
              </w:rPr>
            </w:pPr>
            <w:r>
              <w:rPr>
                <w:lang w:val="hu-HU" w:eastAsia="en-US"/>
              </w:rPr>
              <w:t>Emésztőrendszeri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7B8AC95D" w14:textId="77777777" w:rsidR="00342CEA" w:rsidRDefault="00837BAB">
            <w:pPr>
              <w:widowControl w:val="0"/>
              <w:rPr>
                <w:lang w:val="hu-HU" w:eastAsia="en-US"/>
              </w:rPr>
            </w:pPr>
            <w:r>
              <w:rPr>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165BF105" w14:textId="77777777" w:rsidR="00342CEA" w:rsidRDefault="00837BAB">
            <w:pPr>
              <w:widowControl w:val="0"/>
              <w:rPr>
                <w:lang w:val="hu-HU" w:eastAsia="en-US"/>
              </w:rPr>
            </w:pPr>
            <w:r>
              <w:rPr>
                <w:lang w:val="hu-HU" w:eastAsia="en-GB"/>
              </w:rPr>
              <w:t>Hányinger, hasmenés</w:t>
            </w:r>
          </w:p>
        </w:tc>
      </w:tr>
      <w:tr w:rsidR="00342CEA" w14:paraId="0ACD4295" w14:textId="77777777">
        <w:trPr>
          <w:trHeight w:val="791"/>
        </w:trPr>
        <w:tc>
          <w:tcPr>
            <w:tcW w:w="0" w:type="auto"/>
            <w:vMerge/>
            <w:tcBorders>
              <w:top w:val="single" w:sz="4" w:space="0" w:color="000000"/>
              <w:left w:val="single" w:sz="4" w:space="0" w:color="000000"/>
              <w:bottom w:val="single" w:sz="4" w:space="0" w:color="000000"/>
              <w:right w:val="single" w:sz="4" w:space="0" w:color="000000"/>
            </w:tcBorders>
          </w:tcPr>
          <w:p w14:paraId="2D1B840E" w14:textId="77777777" w:rsidR="00342CEA" w:rsidRDefault="00342CEA">
            <w:pPr>
              <w:widowControl w:val="0"/>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13A5E594"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5E652619" w14:textId="77777777" w:rsidR="00342CEA" w:rsidRDefault="00837BAB">
            <w:pPr>
              <w:tabs>
                <w:tab w:val="clear" w:pos="567"/>
              </w:tabs>
              <w:autoSpaceDE w:val="0"/>
              <w:autoSpaceDN w:val="0"/>
              <w:spacing w:line="240" w:lineRule="auto"/>
              <w:rPr>
                <w:lang w:val="hu-HU" w:eastAsia="en-GB"/>
              </w:rPr>
            </w:pPr>
            <w:r>
              <w:rPr>
                <w:lang w:val="hu-HU" w:eastAsia="en-GB"/>
              </w:rPr>
              <w:t>Szájnyálkahártya fekély, fogfájás</w:t>
            </w:r>
            <w:r>
              <w:rPr>
                <w:vertAlign w:val="superscript"/>
                <w:lang w:val="hu-HU" w:eastAsia="en-US"/>
              </w:rPr>
              <w:t>♦</w:t>
            </w:r>
            <w:r>
              <w:rPr>
                <w:lang w:val="hu-HU" w:eastAsia="en-US"/>
              </w:rPr>
              <w:t xml:space="preserve">, </w:t>
            </w:r>
            <w:r>
              <w:rPr>
                <w:lang w:val="hu-HU" w:eastAsia="en-GB"/>
              </w:rPr>
              <w:t>hányás, hasi fájdalom</w:t>
            </w:r>
            <w:r>
              <w:rPr>
                <w:lang w:val="hu-HU" w:eastAsia="en-US"/>
              </w:rPr>
              <w:t xml:space="preserve">*, </w:t>
            </w:r>
            <w:r>
              <w:rPr>
                <w:lang w:val="hu-HU" w:eastAsia="en-GB"/>
              </w:rPr>
              <w:t>a szájnyálkahártya vérzése, flatulentia</w:t>
            </w:r>
          </w:p>
          <w:p w14:paraId="697363EC" w14:textId="77777777" w:rsidR="00342CEA" w:rsidRDefault="00837BAB">
            <w:pPr>
              <w:tabs>
                <w:tab w:val="clear" w:pos="567"/>
              </w:tabs>
              <w:autoSpaceDE w:val="0"/>
              <w:autoSpaceDN w:val="0"/>
              <w:spacing w:line="240" w:lineRule="auto"/>
              <w:rPr>
                <w:lang w:val="hu-HU" w:eastAsia="en-GB"/>
              </w:rPr>
            </w:pPr>
            <w:r>
              <w:rPr>
                <w:lang w:val="hu-HU" w:eastAsia="en-GB"/>
              </w:rPr>
              <w:t>*-nagyon gyakori ITP</w:t>
            </w:r>
            <w:r>
              <w:rPr>
                <w:lang w:val="hu-HU" w:eastAsia="en-GB"/>
              </w:rPr>
              <w:noBreakHyphen/>
              <w:t>s gyermekeknél</w:t>
            </w:r>
          </w:p>
        </w:tc>
      </w:tr>
      <w:tr w:rsidR="00342CEA" w14:paraId="4D35194E" w14:textId="77777777">
        <w:trPr>
          <w:trHeight w:val="805"/>
        </w:trPr>
        <w:tc>
          <w:tcPr>
            <w:tcW w:w="0" w:type="auto"/>
            <w:vMerge/>
            <w:tcBorders>
              <w:top w:val="single" w:sz="4" w:space="0" w:color="000000"/>
              <w:left w:val="single" w:sz="4" w:space="0" w:color="000000"/>
              <w:bottom w:val="single" w:sz="4" w:space="0" w:color="000000"/>
              <w:right w:val="single" w:sz="4" w:space="0" w:color="000000"/>
            </w:tcBorders>
          </w:tcPr>
          <w:p w14:paraId="7F800C8A" w14:textId="77777777" w:rsidR="00342CEA" w:rsidRDefault="00342CEA">
            <w:pPr>
              <w:widowControl w:val="0"/>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6E6E1619"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1052A29D" w14:textId="77777777" w:rsidR="00342CEA" w:rsidRDefault="00837BAB">
            <w:pPr>
              <w:tabs>
                <w:tab w:val="clear" w:pos="567"/>
              </w:tabs>
              <w:autoSpaceDE w:val="0"/>
              <w:autoSpaceDN w:val="0"/>
              <w:spacing w:line="240" w:lineRule="auto"/>
              <w:rPr>
                <w:lang w:val="hu-HU" w:eastAsia="en-GB"/>
              </w:rPr>
            </w:pPr>
            <w:r>
              <w:rPr>
                <w:lang w:val="hu-HU" w:eastAsia="en-GB"/>
              </w:rPr>
              <w:t>Szájszárazság, a nyelv fájdalma, a has nyomásérzékenysége, a széklet elszíneződése, ételmérgezés, gyakori székletürítés, haematemesis, orális diszkomfort</w:t>
            </w:r>
          </w:p>
        </w:tc>
      </w:tr>
      <w:tr w:rsidR="00342CEA" w14:paraId="46009A43"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0918AEFD" w14:textId="77777777" w:rsidR="00342CEA" w:rsidRDefault="00837BAB">
            <w:pPr>
              <w:tabs>
                <w:tab w:val="clear" w:pos="567"/>
              </w:tabs>
              <w:autoSpaceDE w:val="0"/>
              <w:autoSpaceDN w:val="0"/>
              <w:spacing w:line="240" w:lineRule="auto"/>
              <w:rPr>
                <w:lang w:val="hu-HU" w:eastAsia="en-US"/>
              </w:rPr>
            </w:pPr>
            <w:r>
              <w:rPr>
                <w:lang w:val="hu-HU" w:eastAsia="en-GB"/>
              </w:rPr>
              <w:t>Máj- és epebetegségek, illetve tünetek</w:t>
            </w:r>
          </w:p>
        </w:tc>
        <w:tc>
          <w:tcPr>
            <w:tcW w:w="1255" w:type="dxa"/>
            <w:tcBorders>
              <w:top w:val="single" w:sz="4" w:space="0" w:color="000000"/>
              <w:left w:val="single" w:sz="4" w:space="0" w:color="000000"/>
              <w:bottom w:val="single" w:sz="4" w:space="0" w:color="000000"/>
              <w:right w:val="single" w:sz="4" w:space="0" w:color="000000"/>
            </w:tcBorders>
          </w:tcPr>
          <w:p w14:paraId="12FDD7BC" w14:textId="77777777" w:rsidR="00342CEA" w:rsidRDefault="00837BAB">
            <w:pPr>
              <w:widowControl w:val="0"/>
              <w:rPr>
                <w:lang w:val="hu-HU" w:eastAsia="en-US"/>
              </w:rPr>
            </w:pPr>
            <w:r>
              <w:rPr>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2F4A0723" w14:textId="77777777" w:rsidR="00342CEA" w:rsidRDefault="00837BAB">
            <w:pPr>
              <w:widowControl w:val="0"/>
              <w:rPr>
                <w:lang w:val="hu-HU" w:eastAsia="en-US"/>
              </w:rPr>
            </w:pPr>
            <w:r>
              <w:rPr>
                <w:lang w:val="hu-HU" w:eastAsia="en-GB"/>
              </w:rPr>
              <w:t>Emelkedett glutamát</w:t>
            </w:r>
            <w:r>
              <w:rPr>
                <w:lang w:val="hu-HU" w:eastAsia="en-GB"/>
              </w:rPr>
              <w:noBreakHyphen/>
              <w:t>piruvát</w:t>
            </w:r>
            <w:r>
              <w:rPr>
                <w:lang w:val="hu-HU" w:eastAsia="en-GB"/>
              </w:rPr>
              <w:noBreakHyphen/>
              <w:t>transzamináz</w:t>
            </w:r>
            <w:r>
              <w:rPr>
                <w:lang w:val="hu-HU" w:eastAsia="en-GB"/>
              </w:rPr>
              <w:noBreakHyphen/>
              <w:t xml:space="preserve"> (GPT) (más néven alanin</w:t>
            </w:r>
            <w:r>
              <w:rPr>
                <w:lang w:val="hu-HU" w:eastAsia="en-GB"/>
              </w:rPr>
              <w:noBreakHyphen/>
              <w:t>aminotranszferáz) szint</w:t>
            </w:r>
            <w:r>
              <w:rPr>
                <w:vertAlign w:val="superscript"/>
                <w:lang w:val="hu-HU" w:eastAsia="en-US"/>
              </w:rPr>
              <w:t>†</w:t>
            </w:r>
          </w:p>
        </w:tc>
      </w:tr>
      <w:tr w:rsidR="00342CEA" w14:paraId="5B7FA5DF" w14:textId="77777777">
        <w:trPr>
          <w:trHeight w:val="535"/>
        </w:trPr>
        <w:tc>
          <w:tcPr>
            <w:tcW w:w="0" w:type="auto"/>
            <w:vMerge/>
            <w:tcBorders>
              <w:top w:val="single" w:sz="4" w:space="0" w:color="000000"/>
              <w:left w:val="single" w:sz="4" w:space="0" w:color="000000"/>
              <w:bottom w:val="single" w:sz="4" w:space="0" w:color="000000"/>
              <w:right w:val="single" w:sz="4" w:space="0" w:color="000000"/>
            </w:tcBorders>
          </w:tcPr>
          <w:p w14:paraId="202AE04C" w14:textId="77777777" w:rsidR="00342CEA" w:rsidRDefault="00342CEA">
            <w:pPr>
              <w:tabs>
                <w:tab w:val="clear" w:pos="567"/>
              </w:tabs>
              <w:autoSpaceDE w:val="0"/>
              <w:autoSpaceDN w:val="0"/>
              <w:spacing w:line="240" w:lineRule="auto"/>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27EB82ED"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110A843C" w14:textId="77777777" w:rsidR="00342CEA" w:rsidRDefault="00837BAB">
            <w:pPr>
              <w:widowControl w:val="0"/>
              <w:rPr>
                <w:lang w:val="hu-HU" w:eastAsia="en-US"/>
              </w:rPr>
            </w:pPr>
            <w:r>
              <w:rPr>
                <w:lang w:val="hu-HU" w:eastAsia="en-GB"/>
              </w:rPr>
              <w:t>Emelkedett glutamát</w:t>
            </w:r>
            <w:r>
              <w:rPr>
                <w:lang w:val="hu-HU" w:eastAsia="en-GB"/>
              </w:rPr>
              <w:noBreakHyphen/>
              <w:t>oxálacetát</w:t>
            </w:r>
            <w:r>
              <w:rPr>
                <w:lang w:val="hu-HU" w:eastAsia="en-GB"/>
              </w:rPr>
              <w:noBreakHyphen/>
              <w:t>transzamináz</w:t>
            </w:r>
            <w:r>
              <w:rPr>
                <w:lang w:val="hu-HU" w:eastAsia="en-GB"/>
              </w:rPr>
              <w:noBreakHyphen/>
              <w:t xml:space="preserve"> (GOT) (más néven aszpartát-aminotranszferáz) szint</w:t>
            </w:r>
            <w:r>
              <w:rPr>
                <w:vertAlign w:val="superscript"/>
                <w:lang w:val="hu-HU" w:eastAsia="en-US"/>
              </w:rPr>
              <w:t>†</w:t>
            </w:r>
            <w:r>
              <w:rPr>
                <w:lang w:val="hu-HU" w:eastAsia="en-US"/>
              </w:rPr>
              <w:t xml:space="preserve">, </w:t>
            </w:r>
            <w:r>
              <w:rPr>
                <w:lang w:val="hu-HU" w:eastAsia="en-GB"/>
              </w:rPr>
              <w:t>hyperbilirubinaemia, kóros májfunkció</w:t>
            </w:r>
          </w:p>
        </w:tc>
      </w:tr>
      <w:tr w:rsidR="00342CEA" w14:paraId="3FD021CC"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4B0B3F11" w14:textId="77777777" w:rsidR="00342CEA" w:rsidRDefault="00342CEA">
            <w:pPr>
              <w:tabs>
                <w:tab w:val="clear" w:pos="567"/>
              </w:tabs>
              <w:autoSpaceDE w:val="0"/>
              <w:autoSpaceDN w:val="0"/>
              <w:spacing w:line="240" w:lineRule="auto"/>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097F4DF7"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3DEA796" w14:textId="77777777" w:rsidR="00342CEA" w:rsidRDefault="00837BAB">
            <w:pPr>
              <w:tabs>
                <w:tab w:val="clear" w:pos="567"/>
              </w:tabs>
              <w:autoSpaceDE w:val="0"/>
              <w:autoSpaceDN w:val="0"/>
              <w:spacing w:line="240" w:lineRule="auto"/>
              <w:rPr>
                <w:lang w:val="hu-HU" w:eastAsia="en-US"/>
              </w:rPr>
            </w:pPr>
            <w:r>
              <w:rPr>
                <w:lang w:val="hu-HU" w:eastAsia="en-GB"/>
              </w:rPr>
              <w:t>Cholestasis, hepaticus laesio, hepatitis, gyógyszer okozta májkárosodás</w:t>
            </w:r>
          </w:p>
        </w:tc>
      </w:tr>
      <w:tr w:rsidR="00342CEA" w14:paraId="624E4408"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2EAD7623" w14:textId="77777777" w:rsidR="00342CEA" w:rsidRDefault="00837BAB">
            <w:pPr>
              <w:tabs>
                <w:tab w:val="clear" w:pos="567"/>
              </w:tabs>
              <w:autoSpaceDE w:val="0"/>
              <w:autoSpaceDN w:val="0"/>
              <w:spacing w:line="240" w:lineRule="auto"/>
              <w:rPr>
                <w:lang w:val="hu-HU" w:eastAsia="en-GB"/>
              </w:rPr>
            </w:pPr>
            <w:r>
              <w:rPr>
                <w:lang w:val="hu-HU" w:eastAsia="en-GB"/>
              </w:rPr>
              <w:t>A bőr és a bőr alatti szövet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4F99ED30"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5F2D276C" w14:textId="77777777" w:rsidR="00342CEA" w:rsidRDefault="00837BAB">
            <w:pPr>
              <w:tabs>
                <w:tab w:val="clear" w:pos="567"/>
              </w:tabs>
              <w:autoSpaceDE w:val="0"/>
              <w:autoSpaceDN w:val="0"/>
              <w:spacing w:line="240" w:lineRule="auto"/>
              <w:rPr>
                <w:lang w:val="hu-HU" w:eastAsia="en-GB"/>
              </w:rPr>
            </w:pPr>
            <w:r>
              <w:rPr>
                <w:lang w:val="hu-HU" w:eastAsia="en-GB"/>
              </w:rPr>
              <w:t>Bőrkiütés, alopecia, hyperhydrosis, generalizált pruritus, petechiák</w:t>
            </w:r>
          </w:p>
        </w:tc>
      </w:tr>
      <w:tr w:rsidR="00342CEA" w14:paraId="30D9688C" w14:textId="77777777">
        <w:trPr>
          <w:trHeight w:val="768"/>
        </w:trPr>
        <w:tc>
          <w:tcPr>
            <w:tcW w:w="0" w:type="auto"/>
            <w:vMerge/>
            <w:tcBorders>
              <w:top w:val="single" w:sz="4" w:space="0" w:color="000000"/>
              <w:left w:val="single" w:sz="4" w:space="0" w:color="000000"/>
              <w:bottom w:val="single" w:sz="4" w:space="0" w:color="000000"/>
              <w:right w:val="single" w:sz="4" w:space="0" w:color="000000"/>
            </w:tcBorders>
          </w:tcPr>
          <w:p w14:paraId="6F94D306"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3B709181"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88AD34F" w14:textId="77777777" w:rsidR="00342CEA" w:rsidRDefault="00837BAB">
            <w:pPr>
              <w:tabs>
                <w:tab w:val="clear" w:pos="567"/>
              </w:tabs>
              <w:autoSpaceDE w:val="0"/>
              <w:autoSpaceDN w:val="0"/>
              <w:spacing w:line="240" w:lineRule="auto"/>
              <w:rPr>
                <w:lang w:val="hu-HU" w:eastAsia="en-GB"/>
              </w:rPr>
            </w:pPr>
            <w:r>
              <w:rPr>
                <w:lang w:val="hu-HU" w:eastAsia="en-GB"/>
              </w:rPr>
              <w:t>Urticaria, dermatosis, hideg verejték, erythema, melanosis, pigmentációs zavarok, a bőr elszíneződése, bőrhámlás</w:t>
            </w:r>
          </w:p>
        </w:tc>
      </w:tr>
      <w:tr w:rsidR="00342CEA" w14:paraId="7ADC4532" w14:textId="77777777">
        <w:trPr>
          <w:trHeight w:val="516"/>
        </w:trPr>
        <w:tc>
          <w:tcPr>
            <w:tcW w:w="2810" w:type="dxa"/>
            <w:vMerge w:val="restart"/>
            <w:tcBorders>
              <w:top w:val="single" w:sz="4" w:space="0" w:color="000000"/>
              <w:left w:val="single" w:sz="4" w:space="0" w:color="000000"/>
              <w:bottom w:val="single" w:sz="4" w:space="0" w:color="000000"/>
              <w:right w:val="single" w:sz="4" w:space="0" w:color="000000"/>
            </w:tcBorders>
          </w:tcPr>
          <w:p w14:paraId="1F8C9D73" w14:textId="77777777" w:rsidR="00342CEA" w:rsidRDefault="00837BAB">
            <w:pPr>
              <w:tabs>
                <w:tab w:val="clear" w:pos="567"/>
              </w:tabs>
              <w:autoSpaceDE w:val="0"/>
              <w:autoSpaceDN w:val="0"/>
              <w:spacing w:line="240" w:lineRule="auto"/>
              <w:rPr>
                <w:lang w:val="hu-HU" w:eastAsia="en-GB"/>
              </w:rPr>
            </w:pPr>
            <w:r>
              <w:rPr>
                <w:lang w:val="hu-HU" w:eastAsia="en-GB"/>
              </w:rPr>
              <w:t>A csont- és izomrendszer, valamint a kötőszövet betegségei és tünetei</w:t>
            </w:r>
          </w:p>
        </w:tc>
        <w:tc>
          <w:tcPr>
            <w:tcW w:w="1255" w:type="dxa"/>
            <w:tcBorders>
              <w:top w:val="single" w:sz="4" w:space="0" w:color="000000"/>
              <w:left w:val="single" w:sz="4" w:space="0" w:color="000000"/>
              <w:bottom w:val="single" w:sz="4" w:space="0" w:color="000000"/>
              <w:right w:val="single" w:sz="4" w:space="0" w:color="000000"/>
            </w:tcBorders>
          </w:tcPr>
          <w:p w14:paraId="70810F67" w14:textId="77777777" w:rsidR="00342CEA" w:rsidRDefault="00837BAB">
            <w:pPr>
              <w:widowControl w:val="0"/>
              <w:rPr>
                <w:lang w:val="hu-HU" w:eastAsia="en-US"/>
              </w:rPr>
            </w:pPr>
            <w:r>
              <w:rPr>
                <w:lang w:val="hu-HU" w:eastAsia="en-GB"/>
              </w:rPr>
              <w:t>Nagyon gyakori</w:t>
            </w:r>
          </w:p>
        </w:tc>
        <w:tc>
          <w:tcPr>
            <w:tcW w:w="5145" w:type="dxa"/>
            <w:tcBorders>
              <w:top w:val="single" w:sz="4" w:space="0" w:color="000000"/>
              <w:left w:val="single" w:sz="4" w:space="0" w:color="000000"/>
              <w:bottom w:val="single" w:sz="4" w:space="0" w:color="000000"/>
              <w:right w:val="single" w:sz="4" w:space="0" w:color="000000"/>
            </w:tcBorders>
          </w:tcPr>
          <w:p w14:paraId="2238DF53" w14:textId="77777777" w:rsidR="00342CEA" w:rsidRDefault="00837BAB">
            <w:pPr>
              <w:widowControl w:val="0"/>
              <w:rPr>
                <w:lang w:val="hu-HU" w:eastAsia="en-US"/>
              </w:rPr>
            </w:pPr>
            <w:r>
              <w:rPr>
                <w:lang w:val="hu-HU" w:eastAsia="en-GB"/>
              </w:rPr>
              <w:t>Hátfájás</w:t>
            </w:r>
          </w:p>
        </w:tc>
      </w:tr>
      <w:tr w:rsidR="00342CEA" w14:paraId="2B219158"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6F578B65"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0C8B81D4"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5F00574A" w14:textId="77777777" w:rsidR="00342CEA" w:rsidRDefault="00837BAB">
            <w:pPr>
              <w:widowControl w:val="0"/>
              <w:rPr>
                <w:lang w:val="hu-HU" w:eastAsia="en-US"/>
              </w:rPr>
            </w:pPr>
            <w:r>
              <w:rPr>
                <w:lang w:val="hu-HU" w:eastAsia="en-GB"/>
              </w:rPr>
              <w:t>Myalgia, izomgörcs, musculoskeletalis fájdalmak, csontfájdalom</w:t>
            </w:r>
          </w:p>
        </w:tc>
      </w:tr>
      <w:tr w:rsidR="00342CEA" w14:paraId="72ADE868" w14:textId="77777777">
        <w:trPr>
          <w:trHeight w:val="281"/>
        </w:trPr>
        <w:tc>
          <w:tcPr>
            <w:tcW w:w="0" w:type="auto"/>
            <w:vMerge/>
            <w:tcBorders>
              <w:top w:val="single" w:sz="4" w:space="0" w:color="000000"/>
              <w:left w:val="single" w:sz="4" w:space="0" w:color="000000"/>
              <w:bottom w:val="single" w:sz="4" w:space="0" w:color="000000"/>
              <w:right w:val="single" w:sz="4" w:space="0" w:color="000000"/>
            </w:tcBorders>
          </w:tcPr>
          <w:p w14:paraId="41D1A02E"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21FADBEE"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2FD3FD6C" w14:textId="77777777" w:rsidR="00342CEA" w:rsidRDefault="00837BAB">
            <w:pPr>
              <w:widowControl w:val="0"/>
              <w:rPr>
                <w:lang w:val="hu-HU" w:eastAsia="en-US"/>
              </w:rPr>
            </w:pPr>
            <w:r>
              <w:rPr>
                <w:lang w:val="hu-HU" w:eastAsia="en-GB"/>
              </w:rPr>
              <w:t>Izomgyengeség</w:t>
            </w:r>
          </w:p>
        </w:tc>
      </w:tr>
      <w:tr w:rsidR="00342CEA" w14:paraId="67D6787F"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14B9C543" w14:textId="77777777" w:rsidR="00342CEA" w:rsidRDefault="00837BAB">
            <w:pPr>
              <w:tabs>
                <w:tab w:val="clear" w:pos="567"/>
              </w:tabs>
              <w:autoSpaceDE w:val="0"/>
              <w:autoSpaceDN w:val="0"/>
              <w:spacing w:line="240" w:lineRule="auto"/>
              <w:rPr>
                <w:lang w:val="hu-HU" w:eastAsia="en-US"/>
              </w:rPr>
            </w:pPr>
            <w:r>
              <w:rPr>
                <w:lang w:val="hu-HU" w:eastAsia="en-GB"/>
              </w:rPr>
              <w:t>Vese- és húgyúti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35D148F9"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38E943B0" w14:textId="77777777" w:rsidR="00342CEA" w:rsidRDefault="00837BAB">
            <w:pPr>
              <w:tabs>
                <w:tab w:val="clear" w:pos="567"/>
              </w:tabs>
              <w:autoSpaceDE w:val="0"/>
              <w:autoSpaceDN w:val="0"/>
              <w:spacing w:line="240" w:lineRule="auto"/>
              <w:rPr>
                <w:lang w:val="hu-HU" w:eastAsia="en-US"/>
              </w:rPr>
            </w:pPr>
            <w:r>
              <w:rPr>
                <w:lang w:val="hu-HU" w:eastAsia="en-GB"/>
              </w:rPr>
              <w:t>Proteinuria, a kreatininszint emelkedése a vérben, thromboticus microangiopathia veseelégtelenséggel</w:t>
            </w:r>
            <w:r>
              <w:rPr>
                <w:vertAlign w:val="superscript"/>
                <w:lang w:val="hu-HU" w:eastAsia="en-US"/>
              </w:rPr>
              <w:t>‡</w:t>
            </w:r>
          </w:p>
        </w:tc>
      </w:tr>
      <w:tr w:rsidR="00342CEA" w14:paraId="7B8FFE9B" w14:textId="77777777">
        <w:trPr>
          <w:trHeight w:val="769"/>
        </w:trPr>
        <w:tc>
          <w:tcPr>
            <w:tcW w:w="0" w:type="auto"/>
            <w:vMerge/>
            <w:tcBorders>
              <w:top w:val="single" w:sz="4" w:space="0" w:color="000000"/>
              <w:left w:val="single" w:sz="4" w:space="0" w:color="000000"/>
              <w:bottom w:val="single" w:sz="4" w:space="0" w:color="000000"/>
              <w:right w:val="single" w:sz="4" w:space="0" w:color="000000"/>
            </w:tcBorders>
          </w:tcPr>
          <w:p w14:paraId="29D99DDE" w14:textId="77777777" w:rsidR="00342CEA" w:rsidRDefault="00342CEA">
            <w:pPr>
              <w:tabs>
                <w:tab w:val="clear" w:pos="567"/>
              </w:tabs>
              <w:autoSpaceDE w:val="0"/>
              <w:autoSpaceDN w:val="0"/>
              <w:spacing w:line="240" w:lineRule="auto"/>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1C8A1F8C"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79E905CA" w14:textId="77777777" w:rsidR="00342CEA" w:rsidRDefault="00837BAB">
            <w:pPr>
              <w:tabs>
                <w:tab w:val="clear" w:pos="567"/>
              </w:tabs>
              <w:autoSpaceDE w:val="0"/>
              <w:autoSpaceDN w:val="0"/>
              <w:spacing w:line="240" w:lineRule="auto"/>
              <w:rPr>
                <w:lang w:val="hu-HU" w:eastAsia="en-US"/>
              </w:rPr>
            </w:pPr>
            <w:r>
              <w:rPr>
                <w:lang w:val="hu-HU" w:eastAsia="en-GB"/>
              </w:rPr>
              <w:t>Veseelégtelenség, leukocyturia, lupus nephritis, éjszakai vizelés, a karbamidszint emelkedése a vérben, a protein/kreatinin arány emelkedése a vizeletben</w:t>
            </w:r>
          </w:p>
        </w:tc>
      </w:tr>
      <w:tr w:rsidR="00342CEA" w14:paraId="50529D2C" w14:textId="77777777">
        <w:trPr>
          <w:trHeight w:val="535"/>
        </w:trPr>
        <w:tc>
          <w:tcPr>
            <w:tcW w:w="2810" w:type="dxa"/>
            <w:tcBorders>
              <w:top w:val="single" w:sz="4" w:space="0" w:color="000000"/>
              <w:left w:val="single" w:sz="4" w:space="0" w:color="000000"/>
              <w:bottom w:val="single" w:sz="4" w:space="0" w:color="000000"/>
              <w:right w:val="single" w:sz="4" w:space="0" w:color="000000"/>
            </w:tcBorders>
          </w:tcPr>
          <w:p w14:paraId="5E27739F" w14:textId="77777777" w:rsidR="00342CEA" w:rsidRDefault="00837BAB">
            <w:pPr>
              <w:tabs>
                <w:tab w:val="clear" w:pos="567"/>
              </w:tabs>
              <w:autoSpaceDE w:val="0"/>
              <w:autoSpaceDN w:val="0"/>
              <w:spacing w:line="240" w:lineRule="auto"/>
              <w:rPr>
                <w:lang w:val="hu-HU" w:eastAsia="en-GB"/>
              </w:rPr>
            </w:pPr>
            <w:r>
              <w:rPr>
                <w:lang w:val="hu-HU" w:eastAsia="en-GB"/>
              </w:rPr>
              <w:t>A nemi szervekkel és az emlőkkel kapcsolatos betegségek és tünetek</w:t>
            </w:r>
          </w:p>
        </w:tc>
        <w:tc>
          <w:tcPr>
            <w:tcW w:w="1255" w:type="dxa"/>
            <w:tcBorders>
              <w:top w:val="single" w:sz="4" w:space="0" w:color="000000"/>
              <w:left w:val="single" w:sz="4" w:space="0" w:color="000000"/>
              <w:bottom w:val="single" w:sz="4" w:space="0" w:color="000000"/>
              <w:right w:val="single" w:sz="4" w:space="0" w:color="000000"/>
            </w:tcBorders>
          </w:tcPr>
          <w:p w14:paraId="2A8B8995"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4629E568" w14:textId="77777777" w:rsidR="00342CEA" w:rsidRDefault="00837BAB">
            <w:pPr>
              <w:widowControl w:val="0"/>
              <w:rPr>
                <w:lang w:val="hu-HU" w:eastAsia="en-US"/>
              </w:rPr>
            </w:pPr>
            <w:r>
              <w:rPr>
                <w:lang w:val="hu-HU" w:eastAsia="en-GB"/>
              </w:rPr>
              <w:t>Menorrhagia</w:t>
            </w:r>
          </w:p>
        </w:tc>
      </w:tr>
      <w:tr w:rsidR="00342CEA" w14:paraId="70816681" w14:textId="77777777">
        <w:trPr>
          <w:trHeight w:val="520"/>
        </w:trPr>
        <w:tc>
          <w:tcPr>
            <w:tcW w:w="2810" w:type="dxa"/>
            <w:vMerge w:val="restart"/>
            <w:tcBorders>
              <w:top w:val="single" w:sz="4" w:space="0" w:color="000000"/>
              <w:left w:val="single" w:sz="4" w:space="0" w:color="000000"/>
              <w:bottom w:val="single" w:sz="4" w:space="0" w:color="000000"/>
              <w:right w:val="single" w:sz="4" w:space="0" w:color="000000"/>
            </w:tcBorders>
          </w:tcPr>
          <w:p w14:paraId="0C648B63" w14:textId="77777777" w:rsidR="00342CEA" w:rsidRDefault="00837BAB">
            <w:pPr>
              <w:tabs>
                <w:tab w:val="clear" w:pos="567"/>
              </w:tabs>
              <w:autoSpaceDE w:val="0"/>
              <w:autoSpaceDN w:val="0"/>
              <w:spacing w:line="240" w:lineRule="auto"/>
              <w:rPr>
                <w:lang w:val="hu-HU" w:eastAsia="en-GB"/>
              </w:rPr>
            </w:pPr>
            <w:r>
              <w:rPr>
                <w:lang w:val="hu-HU" w:eastAsia="en-GB"/>
              </w:rPr>
              <w:t>Általános tünetek, az alkalmazás helyén fellépő reakciók</w:t>
            </w:r>
          </w:p>
        </w:tc>
        <w:tc>
          <w:tcPr>
            <w:tcW w:w="1255" w:type="dxa"/>
            <w:tcBorders>
              <w:top w:val="single" w:sz="4" w:space="0" w:color="000000"/>
              <w:left w:val="single" w:sz="4" w:space="0" w:color="000000"/>
              <w:bottom w:val="single" w:sz="4" w:space="0" w:color="000000"/>
              <w:right w:val="single" w:sz="4" w:space="0" w:color="000000"/>
            </w:tcBorders>
          </w:tcPr>
          <w:p w14:paraId="084405BF"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349D2D61" w14:textId="77777777" w:rsidR="00342CEA" w:rsidRDefault="00837BAB">
            <w:pPr>
              <w:widowControl w:val="0"/>
              <w:rPr>
                <w:lang w:val="hu-HU" w:eastAsia="en-US"/>
              </w:rPr>
            </w:pPr>
            <w:r>
              <w:rPr>
                <w:lang w:val="hu-HU" w:eastAsia="en-GB"/>
              </w:rPr>
              <w:t>Láz</w:t>
            </w:r>
            <w:r>
              <w:rPr>
                <w:lang w:val="hu-HU" w:eastAsia="en-US"/>
              </w:rPr>
              <w:t xml:space="preserve">*, </w:t>
            </w:r>
            <w:r>
              <w:rPr>
                <w:lang w:val="hu-HU" w:eastAsia="en-GB"/>
              </w:rPr>
              <w:t>mellkasi fájdalom, asthenia</w:t>
            </w:r>
          </w:p>
          <w:p w14:paraId="0CE2B689" w14:textId="77777777" w:rsidR="00342CEA" w:rsidRDefault="00837BAB">
            <w:pPr>
              <w:widowControl w:val="0"/>
              <w:rPr>
                <w:lang w:val="hu-HU" w:eastAsia="en-US"/>
              </w:rPr>
            </w:pPr>
            <w:r>
              <w:rPr>
                <w:lang w:val="hu-HU" w:eastAsia="en-US"/>
              </w:rPr>
              <w:t>*</w:t>
            </w:r>
            <w:r>
              <w:rPr>
                <w:lang w:val="hu-HU" w:eastAsia="en-GB"/>
              </w:rPr>
              <w:t>Nagyon gyakori ITP-s gyermekeknél</w:t>
            </w:r>
          </w:p>
        </w:tc>
      </w:tr>
      <w:tr w:rsidR="00342CEA" w14:paraId="37B1D656" w14:textId="77777777">
        <w:trPr>
          <w:trHeight w:val="623"/>
        </w:trPr>
        <w:tc>
          <w:tcPr>
            <w:tcW w:w="0" w:type="auto"/>
            <w:vMerge/>
            <w:tcBorders>
              <w:top w:val="single" w:sz="4" w:space="0" w:color="000000"/>
              <w:left w:val="single" w:sz="4" w:space="0" w:color="000000"/>
              <w:bottom w:val="single" w:sz="4" w:space="0" w:color="000000"/>
              <w:right w:val="single" w:sz="4" w:space="0" w:color="000000"/>
            </w:tcBorders>
          </w:tcPr>
          <w:p w14:paraId="2F4660AB" w14:textId="77777777" w:rsidR="00342CEA" w:rsidRDefault="00342CEA">
            <w:pPr>
              <w:tabs>
                <w:tab w:val="clear" w:pos="567"/>
              </w:tabs>
              <w:autoSpaceDE w:val="0"/>
              <w:autoSpaceDN w:val="0"/>
              <w:spacing w:line="240" w:lineRule="auto"/>
              <w:rPr>
                <w:lang w:val="hu-HU" w:eastAsia="en-GB"/>
              </w:rPr>
            </w:pPr>
          </w:p>
        </w:tc>
        <w:tc>
          <w:tcPr>
            <w:tcW w:w="1255" w:type="dxa"/>
            <w:tcBorders>
              <w:top w:val="single" w:sz="4" w:space="0" w:color="000000"/>
              <w:left w:val="single" w:sz="4" w:space="0" w:color="000000"/>
              <w:bottom w:val="single" w:sz="4" w:space="0" w:color="000000"/>
              <w:right w:val="single" w:sz="4" w:space="0" w:color="000000"/>
            </w:tcBorders>
          </w:tcPr>
          <w:p w14:paraId="39F75910"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61208597" w14:textId="77777777" w:rsidR="00342CEA" w:rsidRDefault="00837BAB">
            <w:pPr>
              <w:widowControl w:val="0"/>
              <w:rPr>
                <w:lang w:val="hu-HU" w:eastAsia="en-GB"/>
              </w:rPr>
            </w:pPr>
            <w:r>
              <w:rPr>
                <w:lang w:val="hu-HU" w:eastAsia="en-GB"/>
              </w:rPr>
              <w:t>Forróságérzés, vérzés az érfalszúrás helyén, idegesség, sebgyulladás, rossz közérzet, idegentest érzés</w:t>
            </w:r>
          </w:p>
        </w:tc>
      </w:tr>
      <w:tr w:rsidR="00342CEA" w14:paraId="4DE7AF91" w14:textId="77777777">
        <w:trPr>
          <w:trHeight w:val="265"/>
        </w:trPr>
        <w:tc>
          <w:tcPr>
            <w:tcW w:w="2810" w:type="dxa"/>
            <w:vMerge w:val="restart"/>
            <w:tcBorders>
              <w:top w:val="single" w:sz="4" w:space="0" w:color="000000"/>
              <w:left w:val="single" w:sz="4" w:space="0" w:color="000000"/>
              <w:bottom w:val="single" w:sz="4" w:space="0" w:color="000000"/>
              <w:right w:val="single" w:sz="4" w:space="0" w:color="000000"/>
            </w:tcBorders>
          </w:tcPr>
          <w:p w14:paraId="3C786AF9" w14:textId="77777777" w:rsidR="00342CEA" w:rsidRDefault="00837BAB">
            <w:pPr>
              <w:tabs>
                <w:tab w:val="clear" w:pos="567"/>
              </w:tabs>
              <w:autoSpaceDE w:val="0"/>
              <w:autoSpaceDN w:val="0"/>
              <w:spacing w:line="240" w:lineRule="auto"/>
              <w:rPr>
                <w:lang w:val="hu-HU" w:eastAsia="en-US"/>
              </w:rPr>
            </w:pPr>
            <w:r>
              <w:rPr>
                <w:lang w:val="hu-HU" w:eastAsia="en-GB"/>
              </w:rPr>
              <w:t>Laboratóriumi és egyéb vizsgálatok eredményei</w:t>
            </w:r>
          </w:p>
        </w:tc>
        <w:tc>
          <w:tcPr>
            <w:tcW w:w="1255" w:type="dxa"/>
            <w:tcBorders>
              <w:top w:val="single" w:sz="4" w:space="0" w:color="000000"/>
              <w:left w:val="single" w:sz="4" w:space="0" w:color="000000"/>
              <w:bottom w:val="single" w:sz="4" w:space="0" w:color="000000"/>
              <w:right w:val="single" w:sz="4" w:space="0" w:color="000000"/>
            </w:tcBorders>
          </w:tcPr>
          <w:p w14:paraId="72ACA21A" w14:textId="77777777" w:rsidR="00342CEA" w:rsidRDefault="00837BAB">
            <w:pPr>
              <w:widowControl w:val="0"/>
              <w:rPr>
                <w:lang w:val="hu-HU" w:eastAsia="en-US"/>
              </w:rPr>
            </w:pPr>
            <w:r>
              <w:rPr>
                <w:lang w:val="hu-HU" w:eastAsia="en-GB"/>
              </w:rPr>
              <w:t>Gyakori</w:t>
            </w:r>
          </w:p>
        </w:tc>
        <w:tc>
          <w:tcPr>
            <w:tcW w:w="5145" w:type="dxa"/>
            <w:tcBorders>
              <w:top w:val="single" w:sz="4" w:space="0" w:color="000000"/>
              <w:left w:val="single" w:sz="4" w:space="0" w:color="000000"/>
              <w:bottom w:val="single" w:sz="4" w:space="0" w:color="000000"/>
              <w:right w:val="single" w:sz="4" w:space="0" w:color="000000"/>
            </w:tcBorders>
          </w:tcPr>
          <w:p w14:paraId="63D3C2DE" w14:textId="77777777" w:rsidR="00342CEA" w:rsidRDefault="00837BAB">
            <w:pPr>
              <w:widowControl w:val="0"/>
              <w:rPr>
                <w:lang w:val="hu-HU" w:eastAsia="en-US"/>
              </w:rPr>
            </w:pPr>
            <w:r>
              <w:rPr>
                <w:lang w:val="hu-HU" w:eastAsia="en-GB"/>
              </w:rPr>
              <w:t>Emelkedett szérum alkalikus-foszfatázszint</w:t>
            </w:r>
          </w:p>
        </w:tc>
      </w:tr>
      <w:tr w:rsidR="00342CEA" w14:paraId="68653566" w14:textId="77777777">
        <w:trPr>
          <w:trHeight w:val="534"/>
        </w:trPr>
        <w:tc>
          <w:tcPr>
            <w:tcW w:w="0" w:type="auto"/>
            <w:vMerge/>
            <w:tcBorders>
              <w:top w:val="single" w:sz="4" w:space="0" w:color="000000"/>
              <w:left w:val="single" w:sz="4" w:space="0" w:color="000000"/>
              <w:bottom w:val="single" w:sz="4" w:space="0" w:color="000000"/>
              <w:right w:val="single" w:sz="4" w:space="0" w:color="000000"/>
            </w:tcBorders>
          </w:tcPr>
          <w:p w14:paraId="4C471D40" w14:textId="77777777" w:rsidR="00342CEA" w:rsidRDefault="00342CEA">
            <w:pPr>
              <w:tabs>
                <w:tab w:val="clear" w:pos="567"/>
              </w:tabs>
              <w:autoSpaceDE w:val="0"/>
              <w:autoSpaceDN w:val="0"/>
              <w:spacing w:line="240" w:lineRule="auto"/>
              <w:rPr>
                <w:lang w:val="hu-HU" w:eastAsia="en-US"/>
              </w:rPr>
            </w:pPr>
          </w:p>
        </w:tc>
        <w:tc>
          <w:tcPr>
            <w:tcW w:w="1255" w:type="dxa"/>
            <w:tcBorders>
              <w:top w:val="single" w:sz="4" w:space="0" w:color="000000"/>
              <w:left w:val="single" w:sz="4" w:space="0" w:color="000000"/>
              <w:bottom w:val="single" w:sz="4" w:space="0" w:color="000000"/>
              <w:right w:val="single" w:sz="4" w:space="0" w:color="000000"/>
            </w:tcBorders>
          </w:tcPr>
          <w:p w14:paraId="5F39F657"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DAC5C7E" w14:textId="77777777" w:rsidR="00342CEA" w:rsidRDefault="00837BAB">
            <w:pPr>
              <w:tabs>
                <w:tab w:val="clear" w:pos="567"/>
              </w:tabs>
              <w:autoSpaceDE w:val="0"/>
              <w:autoSpaceDN w:val="0"/>
              <w:spacing w:line="240" w:lineRule="auto"/>
              <w:rPr>
                <w:lang w:val="hu-HU" w:eastAsia="en-US"/>
              </w:rPr>
            </w:pPr>
            <w:r>
              <w:rPr>
                <w:lang w:val="hu-HU" w:eastAsia="en-GB"/>
              </w:rPr>
              <w:t>Emelkedett szérum albuminszint, emelkedett összproteinszint, csökkent szérumalbuminszint, emelkedett vizelet pH</w:t>
            </w:r>
          </w:p>
        </w:tc>
      </w:tr>
      <w:tr w:rsidR="00342CEA" w14:paraId="4B949CC5" w14:textId="77777777">
        <w:trPr>
          <w:trHeight w:val="521"/>
        </w:trPr>
        <w:tc>
          <w:tcPr>
            <w:tcW w:w="2810" w:type="dxa"/>
            <w:tcBorders>
              <w:top w:val="single" w:sz="4" w:space="0" w:color="000000"/>
              <w:left w:val="single" w:sz="4" w:space="0" w:color="000000"/>
              <w:bottom w:val="single" w:sz="4" w:space="0" w:color="000000"/>
              <w:right w:val="single" w:sz="4" w:space="0" w:color="000000"/>
            </w:tcBorders>
          </w:tcPr>
          <w:p w14:paraId="0DBE6BEA" w14:textId="77777777" w:rsidR="00342CEA" w:rsidRDefault="00837BAB">
            <w:pPr>
              <w:tabs>
                <w:tab w:val="clear" w:pos="567"/>
              </w:tabs>
              <w:autoSpaceDE w:val="0"/>
              <w:autoSpaceDN w:val="0"/>
              <w:spacing w:line="240" w:lineRule="auto"/>
              <w:rPr>
                <w:lang w:val="hu-HU" w:eastAsia="en-GB"/>
              </w:rPr>
            </w:pPr>
            <w:r>
              <w:rPr>
                <w:lang w:val="hu-HU" w:eastAsia="en-GB"/>
              </w:rPr>
              <w:t>Sérülés, mérgezés és a beavatkozással kapcsolatos szövődmények</w:t>
            </w:r>
          </w:p>
        </w:tc>
        <w:tc>
          <w:tcPr>
            <w:tcW w:w="1255" w:type="dxa"/>
            <w:tcBorders>
              <w:top w:val="single" w:sz="4" w:space="0" w:color="000000"/>
              <w:left w:val="single" w:sz="4" w:space="0" w:color="000000"/>
              <w:bottom w:val="single" w:sz="4" w:space="0" w:color="000000"/>
              <w:right w:val="single" w:sz="4" w:space="0" w:color="000000"/>
            </w:tcBorders>
          </w:tcPr>
          <w:p w14:paraId="5D3EAC06" w14:textId="77777777" w:rsidR="00342CEA" w:rsidRDefault="00837BAB">
            <w:pPr>
              <w:widowControl w:val="0"/>
              <w:rPr>
                <w:lang w:val="hu-HU" w:eastAsia="en-US"/>
              </w:rPr>
            </w:pPr>
            <w:r>
              <w:rPr>
                <w:lang w:val="hu-HU" w:eastAsia="en-GB"/>
              </w:rPr>
              <w:t>Nem gyakori</w:t>
            </w:r>
          </w:p>
        </w:tc>
        <w:tc>
          <w:tcPr>
            <w:tcW w:w="5145" w:type="dxa"/>
            <w:tcBorders>
              <w:top w:val="single" w:sz="4" w:space="0" w:color="000000"/>
              <w:left w:val="single" w:sz="4" w:space="0" w:color="000000"/>
              <w:bottom w:val="single" w:sz="4" w:space="0" w:color="000000"/>
              <w:right w:val="single" w:sz="4" w:space="0" w:color="000000"/>
            </w:tcBorders>
          </w:tcPr>
          <w:p w14:paraId="485A4EFA" w14:textId="77777777" w:rsidR="00342CEA" w:rsidRDefault="00837BAB">
            <w:pPr>
              <w:widowControl w:val="0"/>
              <w:rPr>
                <w:lang w:val="hu-HU" w:eastAsia="en-US"/>
              </w:rPr>
            </w:pPr>
            <w:r>
              <w:rPr>
                <w:lang w:val="hu-HU" w:eastAsia="en-GB"/>
              </w:rPr>
              <w:t>Napégés</w:t>
            </w:r>
          </w:p>
        </w:tc>
      </w:tr>
    </w:tbl>
    <w:p w14:paraId="1F4F0424" w14:textId="77777777" w:rsidR="00342CEA" w:rsidRDefault="00837BAB">
      <w:pPr>
        <w:autoSpaceDE w:val="0"/>
        <w:autoSpaceDN w:val="0"/>
        <w:spacing w:line="240" w:lineRule="auto"/>
        <w:ind w:left="567" w:hanging="567"/>
        <w:rPr>
          <w:lang w:val="hu-HU" w:eastAsia="en-GB"/>
        </w:rPr>
      </w:pPr>
      <w:r>
        <w:rPr>
          <w:vertAlign w:val="superscript"/>
          <w:lang w:val="hu-HU" w:eastAsia="en-GB"/>
        </w:rPr>
        <w:t>♦</w:t>
      </w:r>
      <w:r>
        <w:rPr>
          <w:lang w:val="hu-HU" w:eastAsia="en-GB"/>
        </w:rPr>
        <w:tab/>
        <w:t>A gyermek és serdülőkorú betegek vizsgálataiban megfigyelt további mellékhatások (1 – betöltött 18 éves korig).</w:t>
      </w:r>
    </w:p>
    <w:p w14:paraId="355E9300" w14:textId="77777777" w:rsidR="00342CEA" w:rsidRDefault="00837BAB">
      <w:pPr>
        <w:autoSpaceDE w:val="0"/>
        <w:autoSpaceDN w:val="0"/>
        <w:spacing w:line="240" w:lineRule="auto"/>
        <w:ind w:left="567" w:hanging="567"/>
        <w:rPr>
          <w:lang w:val="hu-HU" w:eastAsia="en-GB"/>
        </w:rPr>
      </w:pPr>
      <w:r>
        <w:rPr>
          <w:vertAlign w:val="superscript"/>
          <w:lang w:val="hu-HU" w:eastAsia="en-GB"/>
        </w:rPr>
        <w:t>†</w:t>
      </w:r>
      <w:r>
        <w:rPr>
          <w:lang w:val="hu-HU" w:eastAsia="en-GB"/>
        </w:rPr>
        <w:tab/>
        <w:t>A glutamát</w:t>
      </w:r>
      <w:r>
        <w:rPr>
          <w:lang w:val="hu-HU" w:eastAsia="en-GB"/>
        </w:rPr>
        <w:noBreakHyphen/>
        <w:t>piruvát</w:t>
      </w:r>
      <w:r>
        <w:rPr>
          <w:lang w:val="hu-HU" w:eastAsia="en-GB"/>
        </w:rPr>
        <w:noBreakHyphen/>
        <w:t>transzamináz szintjének és a glutamát</w:t>
      </w:r>
      <w:r>
        <w:rPr>
          <w:lang w:val="hu-HU" w:eastAsia="en-GB"/>
        </w:rPr>
        <w:noBreakHyphen/>
        <w:t>oxálacetát</w:t>
      </w:r>
      <w:r>
        <w:rPr>
          <w:lang w:val="hu-HU" w:eastAsia="en-GB"/>
        </w:rPr>
        <w:noBreakHyphen/>
        <w:t>transzamináz szintjének emelkedése előfordulhat párhuzamosan, habár kisebb gyakorisággal.</w:t>
      </w:r>
    </w:p>
    <w:p w14:paraId="083A2A24" w14:textId="77777777" w:rsidR="00342CEA" w:rsidRDefault="00837BAB">
      <w:pPr>
        <w:autoSpaceDE w:val="0"/>
        <w:autoSpaceDN w:val="0"/>
        <w:spacing w:line="240" w:lineRule="auto"/>
        <w:ind w:left="567" w:hanging="567"/>
        <w:rPr>
          <w:lang w:val="hu-HU" w:eastAsia="en-GB"/>
        </w:rPr>
      </w:pPr>
      <w:r>
        <w:rPr>
          <w:vertAlign w:val="superscript"/>
          <w:lang w:val="hu-HU" w:eastAsia="en-GB"/>
        </w:rPr>
        <w:lastRenderedPageBreak/>
        <w:t>‡</w:t>
      </w:r>
      <w:r>
        <w:rPr>
          <w:lang w:val="hu-HU" w:eastAsia="en-GB"/>
        </w:rPr>
        <w:tab/>
        <w:t>Csoportosított kifejezés az akut vesekárosodás és a veseelégtelenség preferált kifejezések alapján</w:t>
      </w:r>
    </w:p>
    <w:p w14:paraId="3A6F50F7" w14:textId="77777777" w:rsidR="00342CEA" w:rsidRDefault="00342CEA">
      <w:pPr>
        <w:tabs>
          <w:tab w:val="clear" w:pos="567"/>
        </w:tabs>
        <w:autoSpaceDE w:val="0"/>
        <w:autoSpaceDN w:val="0"/>
        <w:spacing w:line="240" w:lineRule="auto"/>
        <w:rPr>
          <w:rFonts w:eastAsia="TimesNewRomanPSMT"/>
          <w:lang w:val="hu-HU" w:eastAsia="en-GB"/>
        </w:rPr>
      </w:pPr>
    </w:p>
    <w:p w14:paraId="5B81DBCF" w14:textId="77777777" w:rsidR="00342CEA" w:rsidRDefault="00837BAB">
      <w:pPr>
        <w:tabs>
          <w:tab w:val="clear" w:pos="567"/>
        </w:tabs>
        <w:autoSpaceDE w:val="0"/>
        <w:autoSpaceDN w:val="0"/>
        <w:spacing w:line="240" w:lineRule="auto"/>
        <w:rPr>
          <w:rFonts w:eastAsia="TimesNewRomanPSMT"/>
          <w:b/>
          <w:bCs/>
          <w:i/>
          <w:u w:val="single"/>
          <w:lang w:val="hu-HU" w:eastAsia="en-GB"/>
        </w:rPr>
      </w:pPr>
      <w:r>
        <w:rPr>
          <w:b/>
          <w:bCs/>
          <w:i/>
          <w:u w:val="single"/>
          <w:lang w:val="hu-HU" w:eastAsia="en-GB"/>
        </w:rPr>
        <w:t>HCV vizsgálati csoport (antivirális interferonnal és ribavirin-kezeléssel kombinációban)</w:t>
      </w:r>
    </w:p>
    <w:p w14:paraId="1FDA8A5D" w14:textId="77777777" w:rsidR="00342CEA" w:rsidRDefault="00342CEA">
      <w:pPr>
        <w:tabs>
          <w:tab w:val="clear" w:pos="567"/>
        </w:tabs>
        <w:autoSpaceDE w:val="0"/>
        <w:autoSpaceDN w:val="0"/>
        <w:spacing w:line="240" w:lineRule="auto"/>
        <w:rPr>
          <w:rFonts w:eastAsia="TimesNewRomanPSMT"/>
          <w:b/>
          <w:bCs/>
          <w:lang w:val="hu-HU" w:eastAsia="en-GB"/>
        </w:rPr>
      </w:pPr>
    </w:p>
    <w:tbl>
      <w:tblPr>
        <w:tblW w:w="9210" w:type="dxa"/>
        <w:tblInd w:w="5" w:type="dxa"/>
        <w:tblBorders>
          <w:top w:val="nil"/>
          <w:left w:val="nil"/>
          <w:bottom w:val="nil"/>
          <w:right w:val="nil"/>
          <w:insideH w:val="nil"/>
          <w:insideV w:val="nil"/>
        </w:tblBorders>
        <w:tblCellMar>
          <w:top w:w="13" w:type="dxa"/>
          <w:left w:w="107" w:type="dxa"/>
          <w:right w:w="68" w:type="dxa"/>
        </w:tblCellMar>
        <w:tblLook w:val="04A0" w:firstRow="1" w:lastRow="0" w:firstColumn="1" w:lastColumn="0" w:noHBand="0" w:noVBand="1"/>
      </w:tblPr>
      <w:tblGrid>
        <w:gridCol w:w="2944"/>
        <w:gridCol w:w="1276"/>
        <w:gridCol w:w="4990"/>
      </w:tblGrid>
      <w:tr w:rsidR="00342CEA" w14:paraId="03AC2C59"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1DFAD66C" w14:textId="77777777" w:rsidR="00342CEA" w:rsidRDefault="00837BAB">
            <w:pPr>
              <w:tabs>
                <w:tab w:val="clear" w:pos="567"/>
              </w:tabs>
              <w:autoSpaceDE w:val="0"/>
              <w:autoSpaceDN w:val="0"/>
              <w:spacing w:line="240" w:lineRule="auto"/>
              <w:rPr>
                <w:lang w:val="hu-HU" w:eastAsia="en-US"/>
              </w:rPr>
            </w:pPr>
            <w:r>
              <w:rPr>
                <w:b/>
                <w:bCs/>
                <w:lang w:val="hu-HU" w:eastAsia="en-GB"/>
              </w:rPr>
              <w:t>Szervrendszeri kategória</w:t>
            </w:r>
          </w:p>
        </w:tc>
        <w:tc>
          <w:tcPr>
            <w:tcW w:w="1276" w:type="dxa"/>
            <w:tcBorders>
              <w:top w:val="single" w:sz="4" w:space="0" w:color="000000"/>
              <w:left w:val="single" w:sz="4" w:space="0" w:color="000000"/>
              <w:bottom w:val="single" w:sz="4" w:space="0" w:color="000000"/>
              <w:right w:val="single" w:sz="4" w:space="0" w:color="000000"/>
            </w:tcBorders>
          </w:tcPr>
          <w:p w14:paraId="3B00AF66" w14:textId="77777777" w:rsidR="00342CEA" w:rsidRDefault="00837BAB">
            <w:pPr>
              <w:widowControl w:val="0"/>
              <w:rPr>
                <w:lang w:val="hu-HU" w:eastAsia="en-US"/>
              </w:rPr>
            </w:pPr>
            <w:r>
              <w:rPr>
                <w:b/>
                <w:bCs/>
                <w:lang w:val="hu-HU" w:eastAsia="en-GB"/>
              </w:rPr>
              <w:t>Gyakoriság</w:t>
            </w:r>
          </w:p>
        </w:tc>
        <w:tc>
          <w:tcPr>
            <w:tcW w:w="4990" w:type="dxa"/>
            <w:tcBorders>
              <w:top w:val="single" w:sz="4" w:space="0" w:color="000000"/>
              <w:left w:val="single" w:sz="4" w:space="0" w:color="000000"/>
              <w:bottom w:val="single" w:sz="4" w:space="0" w:color="000000"/>
              <w:right w:val="single" w:sz="4" w:space="0" w:color="000000"/>
            </w:tcBorders>
          </w:tcPr>
          <w:p w14:paraId="24559E71" w14:textId="77777777" w:rsidR="00342CEA" w:rsidRDefault="00837BAB">
            <w:pPr>
              <w:widowControl w:val="0"/>
              <w:rPr>
                <w:lang w:val="hu-HU" w:eastAsia="en-US"/>
              </w:rPr>
            </w:pPr>
            <w:r>
              <w:rPr>
                <w:b/>
                <w:bCs/>
                <w:lang w:val="hu-HU" w:eastAsia="en-GB"/>
              </w:rPr>
              <w:t>Mellékhatás</w:t>
            </w:r>
          </w:p>
        </w:tc>
      </w:tr>
      <w:tr w:rsidR="00342CEA" w14:paraId="33EA982A" w14:textId="77777777">
        <w:trPr>
          <w:trHeight w:val="692"/>
        </w:trPr>
        <w:tc>
          <w:tcPr>
            <w:tcW w:w="2944" w:type="dxa"/>
            <w:vMerge w:val="restart"/>
            <w:tcBorders>
              <w:top w:val="single" w:sz="4" w:space="0" w:color="000000"/>
              <w:left w:val="single" w:sz="4" w:space="0" w:color="000000"/>
              <w:bottom w:val="single" w:sz="4" w:space="0" w:color="000000"/>
              <w:right w:val="single" w:sz="4" w:space="0" w:color="000000"/>
            </w:tcBorders>
          </w:tcPr>
          <w:p w14:paraId="7F2DF6E5" w14:textId="77777777" w:rsidR="00342CEA" w:rsidRDefault="00837BAB">
            <w:pPr>
              <w:tabs>
                <w:tab w:val="clear" w:pos="567"/>
              </w:tabs>
              <w:autoSpaceDE w:val="0"/>
              <w:autoSpaceDN w:val="0"/>
              <w:spacing w:line="240" w:lineRule="auto"/>
              <w:rPr>
                <w:lang w:val="hu-HU" w:eastAsia="en-GB"/>
              </w:rPr>
            </w:pPr>
            <w:r>
              <w:rPr>
                <w:lang w:val="hu-HU" w:eastAsia="en-GB"/>
              </w:rPr>
              <w:t>Fertőző betegségek és parazitafertőzések</w:t>
            </w:r>
          </w:p>
        </w:tc>
        <w:tc>
          <w:tcPr>
            <w:tcW w:w="1276" w:type="dxa"/>
            <w:tcBorders>
              <w:top w:val="single" w:sz="4" w:space="0" w:color="000000"/>
              <w:left w:val="single" w:sz="4" w:space="0" w:color="000000"/>
              <w:bottom w:val="single" w:sz="4" w:space="0" w:color="000000"/>
              <w:right w:val="single" w:sz="4" w:space="0" w:color="000000"/>
            </w:tcBorders>
          </w:tcPr>
          <w:p w14:paraId="2165A19C"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52F59F3C" w14:textId="77777777" w:rsidR="00342CEA" w:rsidRDefault="00837BAB">
            <w:pPr>
              <w:tabs>
                <w:tab w:val="clear" w:pos="567"/>
              </w:tabs>
              <w:autoSpaceDE w:val="0"/>
              <w:autoSpaceDN w:val="0"/>
              <w:spacing w:line="240" w:lineRule="auto"/>
              <w:rPr>
                <w:lang w:val="hu-HU" w:eastAsia="en-GB"/>
              </w:rPr>
            </w:pPr>
            <w:r>
              <w:rPr>
                <w:lang w:val="hu-HU" w:eastAsia="en-GB"/>
              </w:rPr>
              <w:t>Húgyúti fertőzés, felsőlégúti fertőzések, bronchitis, nasopharyngitis, influenza, ajakherpesz</w:t>
            </w:r>
          </w:p>
        </w:tc>
      </w:tr>
      <w:tr w:rsidR="00342CEA" w14:paraId="7A385F98" w14:textId="77777777">
        <w:trPr>
          <w:trHeight w:val="263"/>
        </w:trPr>
        <w:tc>
          <w:tcPr>
            <w:tcW w:w="0" w:type="auto"/>
            <w:vMerge/>
            <w:tcBorders>
              <w:top w:val="single" w:sz="4" w:space="0" w:color="000000"/>
              <w:left w:val="single" w:sz="4" w:space="0" w:color="000000"/>
              <w:bottom w:val="single" w:sz="4" w:space="0" w:color="000000"/>
              <w:right w:val="single" w:sz="4" w:space="0" w:color="000000"/>
            </w:tcBorders>
          </w:tcPr>
          <w:p w14:paraId="49DC5527"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24BBA777"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4E144218" w14:textId="77777777" w:rsidR="00342CEA" w:rsidRDefault="00837BAB">
            <w:pPr>
              <w:widowControl w:val="0"/>
              <w:rPr>
                <w:lang w:val="hu-HU" w:eastAsia="en-US"/>
              </w:rPr>
            </w:pPr>
            <w:r>
              <w:rPr>
                <w:lang w:val="hu-HU" w:eastAsia="en-GB"/>
              </w:rPr>
              <w:t>Gastroenteritis, pharyngitis</w:t>
            </w:r>
          </w:p>
        </w:tc>
      </w:tr>
      <w:tr w:rsidR="00342CEA" w14:paraId="5107577F" w14:textId="77777777">
        <w:trPr>
          <w:trHeight w:val="768"/>
        </w:trPr>
        <w:tc>
          <w:tcPr>
            <w:tcW w:w="2944" w:type="dxa"/>
            <w:tcBorders>
              <w:top w:val="single" w:sz="4" w:space="0" w:color="000000"/>
              <w:left w:val="single" w:sz="4" w:space="0" w:color="000000"/>
              <w:bottom w:val="single" w:sz="4" w:space="0" w:color="000000"/>
              <w:right w:val="single" w:sz="4" w:space="0" w:color="000000"/>
            </w:tcBorders>
          </w:tcPr>
          <w:p w14:paraId="5FB831FE" w14:textId="77777777" w:rsidR="00342CEA" w:rsidRDefault="00837BAB">
            <w:pPr>
              <w:tabs>
                <w:tab w:val="clear" w:pos="567"/>
              </w:tabs>
              <w:autoSpaceDE w:val="0"/>
              <w:autoSpaceDN w:val="0"/>
              <w:spacing w:line="240" w:lineRule="auto"/>
              <w:rPr>
                <w:lang w:val="hu-HU" w:eastAsia="en-GB"/>
              </w:rPr>
            </w:pPr>
            <w:r>
              <w:rPr>
                <w:lang w:val="hu-HU" w:eastAsia="en-GB"/>
              </w:rPr>
              <w:t>Jó-, rosszindulatú és nem meghatározott daganatok (beleértve a cisztákat és polipokat is)</w:t>
            </w:r>
          </w:p>
        </w:tc>
        <w:tc>
          <w:tcPr>
            <w:tcW w:w="1276" w:type="dxa"/>
            <w:tcBorders>
              <w:top w:val="single" w:sz="4" w:space="0" w:color="000000"/>
              <w:left w:val="single" w:sz="4" w:space="0" w:color="000000"/>
              <w:bottom w:val="single" w:sz="4" w:space="0" w:color="000000"/>
              <w:right w:val="single" w:sz="4" w:space="0" w:color="000000"/>
            </w:tcBorders>
          </w:tcPr>
          <w:p w14:paraId="3862CD24"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164BF2F" w14:textId="77777777" w:rsidR="00342CEA" w:rsidRDefault="00837BAB">
            <w:pPr>
              <w:widowControl w:val="0"/>
              <w:rPr>
                <w:lang w:val="hu-HU" w:eastAsia="en-US"/>
              </w:rPr>
            </w:pPr>
            <w:r>
              <w:rPr>
                <w:lang w:val="hu-HU" w:eastAsia="en-GB"/>
              </w:rPr>
              <w:t>A máj malignus daganata</w:t>
            </w:r>
          </w:p>
        </w:tc>
      </w:tr>
      <w:tr w:rsidR="00342CEA" w14:paraId="7A24277C"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21B492C8" w14:textId="77777777" w:rsidR="00342CEA" w:rsidRDefault="00837BAB">
            <w:pPr>
              <w:tabs>
                <w:tab w:val="clear" w:pos="567"/>
              </w:tabs>
              <w:autoSpaceDE w:val="0"/>
              <w:autoSpaceDN w:val="0"/>
              <w:spacing w:line="240" w:lineRule="auto"/>
              <w:rPr>
                <w:lang w:val="hu-HU" w:eastAsia="en-GB"/>
              </w:rPr>
            </w:pPr>
            <w:r>
              <w:rPr>
                <w:lang w:val="hu-HU" w:eastAsia="en-GB"/>
              </w:rPr>
              <w:t>Vérképzőszervi és nyirokrendszeri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276FCEDC"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075F9D5A" w14:textId="77777777" w:rsidR="00342CEA" w:rsidRDefault="00837BAB">
            <w:pPr>
              <w:widowControl w:val="0"/>
              <w:rPr>
                <w:lang w:val="hu-HU" w:eastAsia="en-US"/>
              </w:rPr>
            </w:pPr>
            <w:r>
              <w:rPr>
                <w:lang w:val="hu-HU" w:eastAsia="en-US"/>
              </w:rPr>
              <w:t>Anaemia</w:t>
            </w:r>
          </w:p>
        </w:tc>
      </w:tr>
      <w:tr w:rsidR="00342CEA" w14:paraId="06ADF852" w14:textId="77777777">
        <w:trPr>
          <w:trHeight w:val="264"/>
        </w:trPr>
        <w:tc>
          <w:tcPr>
            <w:tcW w:w="0" w:type="auto"/>
            <w:vMerge/>
            <w:tcBorders>
              <w:top w:val="single" w:sz="4" w:space="0" w:color="000000"/>
              <w:left w:val="single" w:sz="4" w:space="0" w:color="000000"/>
              <w:bottom w:val="single" w:sz="4" w:space="0" w:color="000000"/>
              <w:right w:val="single" w:sz="4" w:space="0" w:color="000000"/>
            </w:tcBorders>
          </w:tcPr>
          <w:p w14:paraId="580BBD2D"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55654E60"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A7C895A" w14:textId="77777777" w:rsidR="00342CEA" w:rsidRDefault="00837BAB">
            <w:pPr>
              <w:widowControl w:val="0"/>
              <w:rPr>
                <w:lang w:val="hu-HU" w:eastAsia="en-US"/>
              </w:rPr>
            </w:pPr>
            <w:r>
              <w:rPr>
                <w:lang w:val="hu-HU" w:eastAsia="en-US"/>
              </w:rPr>
              <w:t>Lymphopenia</w:t>
            </w:r>
          </w:p>
        </w:tc>
      </w:tr>
      <w:tr w:rsidR="00342CEA" w14:paraId="03E1811F" w14:textId="77777777">
        <w:trPr>
          <w:trHeight w:val="263"/>
        </w:trPr>
        <w:tc>
          <w:tcPr>
            <w:tcW w:w="0" w:type="auto"/>
            <w:vMerge/>
            <w:tcBorders>
              <w:top w:val="single" w:sz="4" w:space="0" w:color="000000"/>
              <w:left w:val="single" w:sz="4" w:space="0" w:color="000000"/>
              <w:bottom w:val="single" w:sz="4" w:space="0" w:color="000000"/>
              <w:right w:val="single" w:sz="4" w:space="0" w:color="000000"/>
            </w:tcBorders>
          </w:tcPr>
          <w:p w14:paraId="5B1C2539"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61CCE7D4"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0CE68DFB" w14:textId="77777777" w:rsidR="00342CEA" w:rsidRDefault="00837BAB">
            <w:pPr>
              <w:widowControl w:val="0"/>
              <w:rPr>
                <w:lang w:val="hu-HU" w:eastAsia="en-US"/>
              </w:rPr>
            </w:pPr>
            <w:r>
              <w:rPr>
                <w:lang w:val="hu-HU" w:eastAsia="en-US"/>
              </w:rPr>
              <w:t>Haemolyticus anaemia</w:t>
            </w:r>
          </w:p>
        </w:tc>
      </w:tr>
      <w:tr w:rsidR="00342CEA" w14:paraId="77DBA879"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7D2338CE" w14:textId="77777777" w:rsidR="00342CEA" w:rsidRDefault="00837BAB">
            <w:pPr>
              <w:tabs>
                <w:tab w:val="clear" w:pos="567"/>
              </w:tabs>
              <w:autoSpaceDE w:val="0"/>
              <w:autoSpaceDN w:val="0"/>
              <w:spacing w:line="240" w:lineRule="auto"/>
              <w:rPr>
                <w:lang w:val="hu-HU" w:eastAsia="en-GB"/>
              </w:rPr>
            </w:pPr>
            <w:r>
              <w:rPr>
                <w:lang w:val="hu-HU" w:eastAsia="en-GB"/>
              </w:rPr>
              <w:t>Anyagcsere és táplálkozási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4B474007"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07703CDD" w14:textId="77777777" w:rsidR="00342CEA" w:rsidRDefault="00837BAB">
            <w:pPr>
              <w:widowControl w:val="0"/>
              <w:rPr>
                <w:lang w:val="hu-HU" w:eastAsia="en-US"/>
              </w:rPr>
            </w:pPr>
            <w:r>
              <w:rPr>
                <w:lang w:val="hu-HU" w:eastAsia="en-GB"/>
              </w:rPr>
              <w:t>Csökkent étvágy</w:t>
            </w:r>
          </w:p>
        </w:tc>
      </w:tr>
      <w:tr w:rsidR="00342CEA" w14:paraId="5B18478E" w14:textId="77777777">
        <w:trPr>
          <w:trHeight w:val="263"/>
        </w:trPr>
        <w:tc>
          <w:tcPr>
            <w:tcW w:w="0" w:type="auto"/>
            <w:vMerge/>
            <w:tcBorders>
              <w:top w:val="single" w:sz="4" w:space="0" w:color="000000"/>
              <w:left w:val="single" w:sz="4" w:space="0" w:color="000000"/>
              <w:bottom w:val="single" w:sz="4" w:space="0" w:color="000000"/>
              <w:right w:val="single" w:sz="4" w:space="0" w:color="000000"/>
            </w:tcBorders>
          </w:tcPr>
          <w:p w14:paraId="40DB2105"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318E886C"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4145546" w14:textId="77777777" w:rsidR="00342CEA" w:rsidRDefault="00837BAB">
            <w:pPr>
              <w:widowControl w:val="0"/>
              <w:rPr>
                <w:lang w:val="hu-HU" w:eastAsia="en-US"/>
              </w:rPr>
            </w:pPr>
            <w:r>
              <w:rPr>
                <w:lang w:val="hu-HU" w:eastAsia="en-US"/>
              </w:rPr>
              <w:t xml:space="preserve">Hyperglykaemia, </w:t>
            </w:r>
            <w:r>
              <w:rPr>
                <w:lang w:val="hu-HU" w:eastAsia="en-GB"/>
              </w:rPr>
              <w:t>kóros testtömegcsökkenés</w:t>
            </w:r>
          </w:p>
        </w:tc>
      </w:tr>
      <w:tr w:rsidR="00342CEA" w14:paraId="2909A14F" w14:textId="77777777">
        <w:trPr>
          <w:trHeight w:val="263"/>
        </w:trPr>
        <w:tc>
          <w:tcPr>
            <w:tcW w:w="2944" w:type="dxa"/>
            <w:vMerge w:val="restart"/>
            <w:tcBorders>
              <w:top w:val="single" w:sz="4" w:space="0" w:color="000000"/>
              <w:left w:val="single" w:sz="4" w:space="0" w:color="000000"/>
              <w:bottom w:val="single" w:sz="4" w:space="0" w:color="000000"/>
              <w:right w:val="single" w:sz="4" w:space="0" w:color="000000"/>
            </w:tcBorders>
          </w:tcPr>
          <w:p w14:paraId="4D7DE65B" w14:textId="77777777" w:rsidR="00342CEA" w:rsidRDefault="00837BAB">
            <w:pPr>
              <w:widowControl w:val="0"/>
              <w:rPr>
                <w:lang w:val="hu-HU" w:eastAsia="en-US"/>
              </w:rPr>
            </w:pPr>
            <w:r>
              <w:rPr>
                <w:lang w:val="hu-HU" w:eastAsia="en-GB"/>
              </w:rPr>
              <w:t>Pszichiátriai kórképek</w:t>
            </w:r>
          </w:p>
        </w:tc>
        <w:tc>
          <w:tcPr>
            <w:tcW w:w="1276" w:type="dxa"/>
            <w:tcBorders>
              <w:top w:val="single" w:sz="4" w:space="0" w:color="000000"/>
              <w:left w:val="single" w:sz="4" w:space="0" w:color="000000"/>
              <w:bottom w:val="single" w:sz="4" w:space="0" w:color="000000"/>
              <w:right w:val="single" w:sz="4" w:space="0" w:color="000000"/>
            </w:tcBorders>
          </w:tcPr>
          <w:p w14:paraId="71FB0DBE"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74B2650" w14:textId="77777777" w:rsidR="00342CEA" w:rsidRDefault="00837BAB">
            <w:pPr>
              <w:widowControl w:val="0"/>
              <w:rPr>
                <w:lang w:val="hu-HU" w:eastAsia="en-US"/>
              </w:rPr>
            </w:pPr>
            <w:r>
              <w:rPr>
                <w:lang w:val="hu-HU" w:eastAsia="en-GB"/>
              </w:rPr>
              <w:t>Depresszió, szorongás, alvászavar</w:t>
            </w:r>
          </w:p>
        </w:tc>
      </w:tr>
      <w:tr w:rsidR="00342CEA" w14:paraId="7CC75E71" w14:textId="77777777">
        <w:trPr>
          <w:trHeight w:val="263"/>
        </w:trPr>
        <w:tc>
          <w:tcPr>
            <w:tcW w:w="0" w:type="auto"/>
            <w:vMerge/>
            <w:tcBorders>
              <w:top w:val="single" w:sz="4" w:space="0" w:color="000000"/>
              <w:left w:val="single" w:sz="4" w:space="0" w:color="000000"/>
              <w:bottom w:val="single" w:sz="4" w:space="0" w:color="000000"/>
              <w:right w:val="single" w:sz="4" w:space="0" w:color="000000"/>
            </w:tcBorders>
          </w:tcPr>
          <w:p w14:paraId="717E09CB" w14:textId="77777777" w:rsidR="00342CEA" w:rsidRDefault="00342CEA">
            <w:pPr>
              <w:widowControl w:val="0"/>
              <w:rPr>
                <w:lang w:val="hu-HU" w:eastAsia="en-US"/>
              </w:rPr>
            </w:pPr>
          </w:p>
        </w:tc>
        <w:tc>
          <w:tcPr>
            <w:tcW w:w="1276" w:type="dxa"/>
            <w:tcBorders>
              <w:top w:val="single" w:sz="4" w:space="0" w:color="000000"/>
              <w:left w:val="single" w:sz="4" w:space="0" w:color="000000"/>
              <w:bottom w:val="single" w:sz="4" w:space="0" w:color="000000"/>
              <w:right w:val="single" w:sz="4" w:space="0" w:color="000000"/>
            </w:tcBorders>
          </w:tcPr>
          <w:p w14:paraId="0B4AB67F"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4C47E274" w14:textId="77777777" w:rsidR="00342CEA" w:rsidRDefault="00837BAB">
            <w:pPr>
              <w:widowControl w:val="0"/>
              <w:rPr>
                <w:lang w:val="hu-HU" w:eastAsia="en-US"/>
              </w:rPr>
            </w:pPr>
            <w:r>
              <w:rPr>
                <w:lang w:val="hu-HU" w:eastAsia="en-GB"/>
              </w:rPr>
              <w:t>Zavartság, agitáció</w:t>
            </w:r>
          </w:p>
        </w:tc>
      </w:tr>
      <w:tr w:rsidR="00342CEA" w14:paraId="52CEF834"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077F213F" w14:textId="77777777" w:rsidR="00342CEA" w:rsidRDefault="00837BAB">
            <w:pPr>
              <w:tabs>
                <w:tab w:val="clear" w:pos="567"/>
              </w:tabs>
              <w:autoSpaceDE w:val="0"/>
              <w:autoSpaceDN w:val="0"/>
              <w:spacing w:line="240" w:lineRule="auto"/>
              <w:rPr>
                <w:lang w:val="hu-HU" w:eastAsia="en-US"/>
              </w:rPr>
            </w:pPr>
            <w:r>
              <w:rPr>
                <w:lang w:val="hu-HU" w:eastAsia="en-GB"/>
              </w:rPr>
              <w:t>Idegrendszeri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332B1BAB"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17D1484A" w14:textId="77777777" w:rsidR="00342CEA" w:rsidRDefault="00837BAB">
            <w:pPr>
              <w:widowControl w:val="0"/>
              <w:rPr>
                <w:lang w:val="hu-HU" w:eastAsia="en-US"/>
              </w:rPr>
            </w:pPr>
            <w:r>
              <w:rPr>
                <w:lang w:val="hu-HU" w:eastAsia="en-GB"/>
              </w:rPr>
              <w:t>Fejfájás</w:t>
            </w:r>
          </w:p>
        </w:tc>
      </w:tr>
      <w:tr w:rsidR="00342CEA" w14:paraId="1D4CCE97" w14:textId="77777777">
        <w:trPr>
          <w:trHeight w:val="769"/>
        </w:trPr>
        <w:tc>
          <w:tcPr>
            <w:tcW w:w="0" w:type="auto"/>
            <w:vMerge/>
            <w:tcBorders>
              <w:top w:val="single" w:sz="4" w:space="0" w:color="000000"/>
              <w:left w:val="single" w:sz="4" w:space="0" w:color="000000"/>
              <w:bottom w:val="single" w:sz="4" w:space="0" w:color="000000"/>
              <w:right w:val="single" w:sz="4" w:space="0" w:color="000000"/>
            </w:tcBorders>
          </w:tcPr>
          <w:p w14:paraId="6914BB01" w14:textId="77777777" w:rsidR="00342CEA" w:rsidRDefault="00342CEA">
            <w:pPr>
              <w:tabs>
                <w:tab w:val="clear" w:pos="567"/>
              </w:tabs>
              <w:autoSpaceDE w:val="0"/>
              <w:autoSpaceDN w:val="0"/>
              <w:spacing w:line="240" w:lineRule="auto"/>
              <w:rPr>
                <w:lang w:val="hu-HU" w:eastAsia="en-US"/>
              </w:rPr>
            </w:pPr>
          </w:p>
        </w:tc>
        <w:tc>
          <w:tcPr>
            <w:tcW w:w="1276" w:type="dxa"/>
            <w:tcBorders>
              <w:top w:val="single" w:sz="4" w:space="0" w:color="000000"/>
              <w:left w:val="single" w:sz="4" w:space="0" w:color="000000"/>
              <w:bottom w:val="single" w:sz="4" w:space="0" w:color="000000"/>
              <w:right w:val="single" w:sz="4" w:space="0" w:color="000000"/>
            </w:tcBorders>
          </w:tcPr>
          <w:p w14:paraId="5B570694"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34A44737" w14:textId="77777777" w:rsidR="00342CEA" w:rsidRDefault="00837BAB">
            <w:pPr>
              <w:tabs>
                <w:tab w:val="clear" w:pos="567"/>
              </w:tabs>
              <w:autoSpaceDE w:val="0"/>
              <w:autoSpaceDN w:val="0"/>
              <w:spacing w:line="240" w:lineRule="auto"/>
              <w:rPr>
                <w:lang w:val="hu-HU" w:eastAsia="en-US"/>
              </w:rPr>
            </w:pPr>
            <w:r>
              <w:rPr>
                <w:lang w:val="hu-HU" w:eastAsia="en-GB"/>
              </w:rPr>
              <w:t>Szédülés, figyelemzavar, ízérzékelési zavar, hepaticus encephalopathia, levertség, memóriazavar, paraesthesia</w:t>
            </w:r>
          </w:p>
        </w:tc>
      </w:tr>
      <w:tr w:rsidR="00342CEA" w14:paraId="70F8D483"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269E46E1" w14:textId="77777777" w:rsidR="00342CEA" w:rsidRDefault="00837BAB">
            <w:pPr>
              <w:widowControl w:val="0"/>
              <w:rPr>
                <w:lang w:val="hu-HU" w:eastAsia="en-US"/>
              </w:rPr>
            </w:pPr>
            <w:r>
              <w:rPr>
                <w:lang w:val="hu-HU" w:eastAsia="en-GB"/>
              </w:rPr>
              <w:t>Szembetegségek és szemészeti tünetek</w:t>
            </w:r>
          </w:p>
        </w:tc>
        <w:tc>
          <w:tcPr>
            <w:tcW w:w="1276" w:type="dxa"/>
            <w:tcBorders>
              <w:top w:val="single" w:sz="4" w:space="0" w:color="000000"/>
              <w:left w:val="single" w:sz="4" w:space="0" w:color="000000"/>
              <w:bottom w:val="single" w:sz="4" w:space="0" w:color="000000"/>
              <w:right w:val="single" w:sz="4" w:space="0" w:color="000000"/>
            </w:tcBorders>
          </w:tcPr>
          <w:p w14:paraId="2111FF48"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A7B22F4" w14:textId="77777777" w:rsidR="00342CEA" w:rsidRDefault="00837BAB">
            <w:pPr>
              <w:tabs>
                <w:tab w:val="clear" w:pos="567"/>
              </w:tabs>
              <w:autoSpaceDE w:val="0"/>
              <w:autoSpaceDN w:val="0"/>
              <w:spacing w:line="240" w:lineRule="auto"/>
              <w:rPr>
                <w:lang w:val="hu-HU" w:eastAsia="en-US"/>
              </w:rPr>
            </w:pPr>
            <w:r>
              <w:rPr>
                <w:lang w:val="hu-HU" w:eastAsia="en-GB"/>
              </w:rPr>
              <w:t>Cataracta, retinalis exsudatio, száraz szem, ocularis icterus, retina vérzés</w:t>
            </w:r>
          </w:p>
        </w:tc>
      </w:tr>
      <w:tr w:rsidR="00342CEA" w14:paraId="51CE3D15"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14FD98AF" w14:textId="77777777" w:rsidR="00342CEA" w:rsidRDefault="00837BAB">
            <w:pPr>
              <w:widowControl w:val="0"/>
              <w:rPr>
                <w:lang w:val="hu-HU" w:eastAsia="en-GB"/>
              </w:rPr>
            </w:pPr>
            <w:r>
              <w:rPr>
                <w:lang w:val="hu-HU" w:eastAsia="en-GB"/>
              </w:rPr>
              <w:t>A fül és az egyensúlyérzékelő szerv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5FD7250C"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5BB53565" w14:textId="77777777" w:rsidR="00342CEA" w:rsidRDefault="00837BAB">
            <w:pPr>
              <w:widowControl w:val="0"/>
              <w:rPr>
                <w:lang w:val="hu-HU" w:eastAsia="en-US"/>
              </w:rPr>
            </w:pPr>
            <w:r>
              <w:rPr>
                <w:lang w:val="hu-HU" w:eastAsia="en-US"/>
              </w:rPr>
              <w:t>Vertigo</w:t>
            </w:r>
          </w:p>
        </w:tc>
      </w:tr>
      <w:tr w:rsidR="00342CEA" w14:paraId="71B41662" w14:textId="77777777">
        <w:trPr>
          <w:trHeight w:val="263"/>
        </w:trPr>
        <w:tc>
          <w:tcPr>
            <w:tcW w:w="2944" w:type="dxa"/>
            <w:tcBorders>
              <w:top w:val="single" w:sz="4" w:space="0" w:color="000000"/>
              <w:left w:val="single" w:sz="4" w:space="0" w:color="000000"/>
              <w:bottom w:val="single" w:sz="4" w:space="0" w:color="000000"/>
              <w:right w:val="single" w:sz="4" w:space="0" w:color="000000"/>
            </w:tcBorders>
          </w:tcPr>
          <w:p w14:paraId="700A1CDA" w14:textId="77777777" w:rsidR="00342CEA" w:rsidRDefault="00837BAB">
            <w:pPr>
              <w:tabs>
                <w:tab w:val="clear" w:pos="567"/>
              </w:tabs>
              <w:autoSpaceDE w:val="0"/>
              <w:autoSpaceDN w:val="0"/>
              <w:spacing w:line="240" w:lineRule="auto"/>
              <w:rPr>
                <w:lang w:val="hu-HU" w:eastAsia="en-US"/>
              </w:rPr>
            </w:pPr>
            <w:r>
              <w:rPr>
                <w:lang w:val="hu-HU" w:eastAsia="en-GB"/>
              </w:rPr>
              <w:t>Szívbetegségek és a szívvel kapcsolatos tünetek</w:t>
            </w:r>
          </w:p>
        </w:tc>
        <w:tc>
          <w:tcPr>
            <w:tcW w:w="1276" w:type="dxa"/>
            <w:tcBorders>
              <w:top w:val="single" w:sz="4" w:space="0" w:color="000000"/>
              <w:left w:val="single" w:sz="4" w:space="0" w:color="000000"/>
              <w:bottom w:val="single" w:sz="4" w:space="0" w:color="000000"/>
              <w:right w:val="single" w:sz="4" w:space="0" w:color="000000"/>
            </w:tcBorders>
          </w:tcPr>
          <w:p w14:paraId="4F01C94F"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1294CE1E" w14:textId="77777777" w:rsidR="00342CEA" w:rsidRDefault="00837BAB">
            <w:pPr>
              <w:widowControl w:val="0"/>
              <w:rPr>
                <w:lang w:val="hu-HU" w:eastAsia="en-US"/>
              </w:rPr>
            </w:pPr>
            <w:r>
              <w:rPr>
                <w:lang w:val="hu-HU" w:eastAsia="en-US"/>
              </w:rPr>
              <w:t>Palpitatiók</w:t>
            </w:r>
          </w:p>
        </w:tc>
      </w:tr>
      <w:tr w:rsidR="00342CEA" w14:paraId="657180F7"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24CBA45D" w14:textId="77777777" w:rsidR="00342CEA" w:rsidRDefault="00837BAB">
            <w:pPr>
              <w:tabs>
                <w:tab w:val="clear" w:pos="567"/>
              </w:tabs>
              <w:autoSpaceDE w:val="0"/>
              <w:autoSpaceDN w:val="0"/>
              <w:spacing w:line="240" w:lineRule="auto"/>
              <w:rPr>
                <w:lang w:val="hu-HU" w:eastAsia="en-GB"/>
              </w:rPr>
            </w:pPr>
            <w:r>
              <w:rPr>
                <w:lang w:val="hu-HU" w:eastAsia="en-GB"/>
              </w:rPr>
              <w:t>Légzőrendszeri, mellkasi és mediastinalis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336D59E1"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051DDB44" w14:textId="77777777" w:rsidR="00342CEA" w:rsidRDefault="00837BAB">
            <w:pPr>
              <w:widowControl w:val="0"/>
              <w:rPr>
                <w:lang w:val="hu-HU" w:eastAsia="en-US"/>
              </w:rPr>
            </w:pPr>
            <w:r>
              <w:rPr>
                <w:lang w:val="hu-HU" w:eastAsia="en-GB"/>
              </w:rPr>
              <w:t>Köhögés</w:t>
            </w:r>
          </w:p>
        </w:tc>
      </w:tr>
      <w:tr w:rsidR="00342CEA" w14:paraId="27A5A526"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4E6D6596"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55DF0DDF"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692410CE" w14:textId="77777777" w:rsidR="00342CEA" w:rsidRDefault="00837BAB">
            <w:pPr>
              <w:tabs>
                <w:tab w:val="clear" w:pos="567"/>
              </w:tabs>
              <w:autoSpaceDE w:val="0"/>
              <w:autoSpaceDN w:val="0"/>
              <w:spacing w:line="240" w:lineRule="auto"/>
              <w:rPr>
                <w:lang w:val="hu-HU" w:eastAsia="en-GB"/>
              </w:rPr>
            </w:pPr>
            <w:r>
              <w:rPr>
                <w:lang w:val="hu-HU" w:eastAsia="en-GB"/>
              </w:rPr>
              <w:t>Dyspnoe, oropharyngealis fájdalom, terhelésre jelentkező dyspnoe, produktív köhögés</w:t>
            </w:r>
          </w:p>
        </w:tc>
      </w:tr>
      <w:tr w:rsidR="00342CEA" w14:paraId="13562F28"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18BD7561" w14:textId="77777777" w:rsidR="00342CEA" w:rsidRDefault="00837BAB">
            <w:pPr>
              <w:tabs>
                <w:tab w:val="clear" w:pos="567"/>
              </w:tabs>
              <w:autoSpaceDE w:val="0"/>
              <w:autoSpaceDN w:val="0"/>
              <w:spacing w:line="240" w:lineRule="auto"/>
              <w:rPr>
                <w:lang w:val="hu-HU" w:eastAsia="en-GB"/>
              </w:rPr>
            </w:pPr>
            <w:r>
              <w:rPr>
                <w:lang w:val="hu-HU" w:eastAsia="en-GB"/>
              </w:rPr>
              <w:t>Emésztőrendszeri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374CC429"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170E1C08" w14:textId="77777777" w:rsidR="00342CEA" w:rsidRDefault="00837BAB">
            <w:pPr>
              <w:widowControl w:val="0"/>
              <w:rPr>
                <w:lang w:val="hu-HU" w:eastAsia="en-US"/>
              </w:rPr>
            </w:pPr>
            <w:r>
              <w:rPr>
                <w:lang w:val="hu-HU" w:eastAsia="en-GB"/>
              </w:rPr>
              <w:t>Hányinger, hasmenés</w:t>
            </w:r>
          </w:p>
        </w:tc>
      </w:tr>
      <w:tr w:rsidR="00342CEA" w14:paraId="2984AC46" w14:textId="77777777">
        <w:trPr>
          <w:trHeight w:val="1274"/>
        </w:trPr>
        <w:tc>
          <w:tcPr>
            <w:tcW w:w="0" w:type="auto"/>
            <w:vMerge/>
            <w:tcBorders>
              <w:top w:val="single" w:sz="4" w:space="0" w:color="000000"/>
              <w:left w:val="single" w:sz="4" w:space="0" w:color="000000"/>
              <w:bottom w:val="single" w:sz="4" w:space="0" w:color="000000"/>
              <w:right w:val="single" w:sz="4" w:space="0" w:color="000000"/>
            </w:tcBorders>
          </w:tcPr>
          <w:p w14:paraId="6C5BD99C"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1AB82BD6"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6767574" w14:textId="77777777" w:rsidR="00342CEA" w:rsidRDefault="00837BAB">
            <w:pPr>
              <w:tabs>
                <w:tab w:val="clear" w:pos="567"/>
              </w:tabs>
              <w:autoSpaceDE w:val="0"/>
              <w:autoSpaceDN w:val="0"/>
              <w:spacing w:line="240" w:lineRule="auto"/>
              <w:rPr>
                <w:lang w:val="hu-HU" w:eastAsia="en-US"/>
              </w:rPr>
            </w:pPr>
            <w:r>
              <w:rPr>
                <w:lang w:val="hu-HU" w:eastAsia="en-GB"/>
              </w:rPr>
              <w:t>Hányás, ascites, hasi fájdalom, gyomortáji fájdalom, dyspepsia, szájszárazság, obstipatio, haspuffadás, fogfájás, stomatitis, gastrooesophagealis reflux betegség, aranyér, hasi diszkomfort, oesophagus varixok</w:t>
            </w:r>
          </w:p>
        </w:tc>
      </w:tr>
      <w:tr w:rsidR="00342CEA" w14:paraId="4C7FF954"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61D1B7B2"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4580FF55"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00D0274A" w14:textId="77777777" w:rsidR="00342CEA" w:rsidRDefault="00837BAB">
            <w:pPr>
              <w:widowControl w:val="0"/>
              <w:rPr>
                <w:lang w:val="hu-HU" w:eastAsia="en-US"/>
              </w:rPr>
            </w:pPr>
            <w:r>
              <w:rPr>
                <w:lang w:val="hu-HU" w:eastAsia="en-GB"/>
              </w:rPr>
              <w:t>Oesophagus varix</w:t>
            </w:r>
            <w:r>
              <w:rPr>
                <w:lang w:val="hu-HU" w:eastAsia="en-GB"/>
              </w:rPr>
              <w:noBreakHyphen/>
              <w:t>vérzés, gastritis, stomatitis aphthosa</w:t>
            </w:r>
          </w:p>
        </w:tc>
      </w:tr>
      <w:tr w:rsidR="00342CEA" w14:paraId="516582A2"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48CF53D" w14:textId="77777777" w:rsidR="00342CEA" w:rsidRDefault="00837BAB">
            <w:pPr>
              <w:tabs>
                <w:tab w:val="clear" w:pos="567"/>
              </w:tabs>
              <w:autoSpaceDE w:val="0"/>
              <w:autoSpaceDN w:val="0"/>
              <w:spacing w:line="240" w:lineRule="auto"/>
              <w:rPr>
                <w:lang w:val="hu-HU" w:eastAsia="en-US"/>
              </w:rPr>
            </w:pPr>
            <w:r>
              <w:rPr>
                <w:lang w:val="hu-HU" w:eastAsia="en-GB"/>
              </w:rPr>
              <w:t>Máj- és epebetegségek, illetve tünetek</w:t>
            </w:r>
          </w:p>
        </w:tc>
        <w:tc>
          <w:tcPr>
            <w:tcW w:w="1276" w:type="dxa"/>
            <w:tcBorders>
              <w:top w:val="single" w:sz="4" w:space="0" w:color="000000"/>
              <w:left w:val="single" w:sz="4" w:space="0" w:color="000000"/>
              <w:bottom w:val="single" w:sz="4" w:space="0" w:color="000000"/>
              <w:right w:val="single" w:sz="4" w:space="0" w:color="000000"/>
            </w:tcBorders>
          </w:tcPr>
          <w:p w14:paraId="0EA915C8"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07B54D5C" w14:textId="77777777" w:rsidR="00342CEA" w:rsidRDefault="00837BAB">
            <w:pPr>
              <w:tabs>
                <w:tab w:val="clear" w:pos="567"/>
              </w:tabs>
              <w:autoSpaceDE w:val="0"/>
              <w:autoSpaceDN w:val="0"/>
              <w:spacing w:line="240" w:lineRule="auto"/>
              <w:rPr>
                <w:lang w:val="hu-HU" w:eastAsia="en-US"/>
              </w:rPr>
            </w:pPr>
            <w:r>
              <w:rPr>
                <w:lang w:val="hu-HU" w:eastAsia="en-GB"/>
              </w:rPr>
              <w:t>Hyperbilirubinaemia, icterus, gyógyszer okozta májkárosodás</w:t>
            </w:r>
          </w:p>
        </w:tc>
      </w:tr>
      <w:tr w:rsidR="00342CEA" w14:paraId="0D281E34" w14:textId="77777777">
        <w:trPr>
          <w:trHeight w:val="264"/>
        </w:trPr>
        <w:tc>
          <w:tcPr>
            <w:tcW w:w="0" w:type="auto"/>
            <w:vMerge/>
            <w:tcBorders>
              <w:top w:val="single" w:sz="4" w:space="0" w:color="000000"/>
              <w:left w:val="single" w:sz="4" w:space="0" w:color="000000"/>
              <w:bottom w:val="single" w:sz="4" w:space="0" w:color="000000"/>
              <w:right w:val="single" w:sz="4" w:space="0" w:color="000000"/>
            </w:tcBorders>
          </w:tcPr>
          <w:p w14:paraId="3E51743E" w14:textId="77777777" w:rsidR="00342CEA" w:rsidRDefault="00342CEA">
            <w:pPr>
              <w:tabs>
                <w:tab w:val="clear" w:pos="567"/>
              </w:tabs>
              <w:autoSpaceDE w:val="0"/>
              <w:autoSpaceDN w:val="0"/>
              <w:spacing w:line="240" w:lineRule="auto"/>
              <w:rPr>
                <w:lang w:val="hu-HU" w:eastAsia="en-US"/>
              </w:rPr>
            </w:pPr>
          </w:p>
        </w:tc>
        <w:tc>
          <w:tcPr>
            <w:tcW w:w="1276" w:type="dxa"/>
            <w:tcBorders>
              <w:top w:val="single" w:sz="4" w:space="0" w:color="000000"/>
              <w:left w:val="single" w:sz="4" w:space="0" w:color="000000"/>
              <w:bottom w:val="single" w:sz="4" w:space="0" w:color="000000"/>
              <w:right w:val="single" w:sz="4" w:space="0" w:color="000000"/>
            </w:tcBorders>
          </w:tcPr>
          <w:p w14:paraId="55E53DDF"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6837B90" w14:textId="77777777" w:rsidR="00342CEA" w:rsidRDefault="00837BAB">
            <w:pPr>
              <w:widowControl w:val="0"/>
              <w:rPr>
                <w:lang w:val="hu-HU" w:eastAsia="en-US"/>
              </w:rPr>
            </w:pPr>
            <w:r>
              <w:rPr>
                <w:lang w:val="hu-HU" w:eastAsia="en-GB"/>
              </w:rPr>
              <w:t>Vena portae thrombosis, májelégtelenség</w:t>
            </w:r>
          </w:p>
        </w:tc>
      </w:tr>
      <w:tr w:rsidR="00342CEA" w14:paraId="3EFA93B4"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571B7107" w14:textId="77777777" w:rsidR="00342CEA" w:rsidRDefault="00837BAB">
            <w:pPr>
              <w:tabs>
                <w:tab w:val="clear" w:pos="567"/>
              </w:tabs>
              <w:autoSpaceDE w:val="0"/>
              <w:autoSpaceDN w:val="0"/>
              <w:spacing w:line="240" w:lineRule="auto"/>
              <w:rPr>
                <w:lang w:val="hu-HU" w:eastAsia="en-GB"/>
              </w:rPr>
            </w:pPr>
            <w:r>
              <w:rPr>
                <w:lang w:val="hu-HU" w:eastAsia="en-GB"/>
              </w:rPr>
              <w:lastRenderedPageBreak/>
              <w:t>A bőr és a bőr alatti szövet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52CC05F7"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780DA833" w14:textId="77777777" w:rsidR="00342CEA" w:rsidRDefault="00837BAB">
            <w:pPr>
              <w:widowControl w:val="0"/>
              <w:rPr>
                <w:lang w:val="hu-HU" w:eastAsia="en-US"/>
              </w:rPr>
            </w:pPr>
            <w:r>
              <w:rPr>
                <w:lang w:val="hu-HU" w:eastAsia="en-US"/>
              </w:rPr>
              <w:t>Pruritus</w:t>
            </w:r>
          </w:p>
        </w:tc>
      </w:tr>
      <w:tr w:rsidR="00342CEA" w14:paraId="40CDE353"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2E013EE0"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00D5F317"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ADB796C" w14:textId="77777777" w:rsidR="00342CEA" w:rsidRDefault="00837BAB">
            <w:pPr>
              <w:widowControl w:val="0"/>
              <w:rPr>
                <w:lang w:val="hu-HU" w:eastAsia="en-GB"/>
              </w:rPr>
            </w:pPr>
            <w:r>
              <w:rPr>
                <w:lang w:val="hu-HU" w:eastAsia="en-GB"/>
              </w:rPr>
              <w:t>Bőrkiütés, bőrszárazság, ekcéma, viszkető bőrkiütés, erythema, hyperhidrosis, generalizált pruritus, alopecia</w:t>
            </w:r>
          </w:p>
        </w:tc>
      </w:tr>
      <w:tr w:rsidR="00342CEA" w14:paraId="30B356A0"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3596CA3F"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74D9A202"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C291FBC" w14:textId="77777777" w:rsidR="00342CEA" w:rsidRDefault="00837BAB">
            <w:pPr>
              <w:widowControl w:val="0"/>
              <w:rPr>
                <w:lang w:val="hu-HU" w:eastAsia="en-GB"/>
              </w:rPr>
            </w:pPr>
            <w:r>
              <w:rPr>
                <w:lang w:val="hu-HU" w:eastAsia="en-GB"/>
              </w:rPr>
              <w:t>Bőrelváltozás, bőrelszíneződés, bőr hyperpigmentatio, éjszakai izzadás</w:t>
            </w:r>
          </w:p>
        </w:tc>
      </w:tr>
      <w:tr w:rsidR="00342CEA" w14:paraId="2C1A679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6B0EFE1B" w14:textId="77777777" w:rsidR="00342CEA" w:rsidRDefault="00837BAB">
            <w:pPr>
              <w:tabs>
                <w:tab w:val="clear" w:pos="567"/>
              </w:tabs>
              <w:autoSpaceDE w:val="0"/>
              <w:autoSpaceDN w:val="0"/>
              <w:spacing w:line="240" w:lineRule="auto"/>
              <w:rPr>
                <w:lang w:val="hu-HU" w:eastAsia="en-GB"/>
              </w:rPr>
            </w:pPr>
            <w:r>
              <w:rPr>
                <w:lang w:val="hu-HU" w:eastAsia="en-GB"/>
              </w:rPr>
              <w:t>A csont- és izomrendszer, valamint a kötőszövet betegségei és tünetei</w:t>
            </w:r>
          </w:p>
        </w:tc>
        <w:tc>
          <w:tcPr>
            <w:tcW w:w="1276" w:type="dxa"/>
            <w:tcBorders>
              <w:top w:val="single" w:sz="4" w:space="0" w:color="000000"/>
              <w:left w:val="single" w:sz="4" w:space="0" w:color="000000"/>
              <w:bottom w:val="single" w:sz="4" w:space="0" w:color="000000"/>
              <w:right w:val="single" w:sz="4" w:space="0" w:color="000000"/>
            </w:tcBorders>
          </w:tcPr>
          <w:p w14:paraId="393744AD"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185265DC" w14:textId="77777777" w:rsidR="00342CEA" w:rsidRDefault="00837BAB">
            <w:pPr>
              <w:widowControl w:val="0"/>
              <w:rPr>
                <w:lang w:val="hu-HU" w:eastAsia="en-US"/>
              </w:rPr>
            </w:pPr>
            <w:r>
              <w:rPr>
                <w:lang w:val="hu-HU" w:eastAsia="en-US"/>
              </w:rPr>
              <w:t>Myalgia</w:t>
            </w:r>
          </w:p>
        </w:tc>
      </w:tr>
      <w:tr w:rsidR="00342CEA" w14:paraId="686421F3"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0C03D376"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09D408AC"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65D67CE" w14:textId="77777777" w:rsidR="00342CEA" w:rsidRDefault="00837BAB">
            <w:pPr>
              <w:tabs>
                <w:tab w:val="clear" w:pos="567"/>
              </w:tabs>
              <w:autoSpaceDE w:val="0"/>
              <w:autoSpaceDN w:val="0"/>
              <w:spacing w:line="240" w:lineRule="auto"/>
              <w:rPr>
                <w:lang w:val="hu-HU" w:eastAsia="en-US"/>
              </w:rPr>
            </w:pPr>
            <w:r>
              <w:rPr>
                <w:lang w:val="hu-HU" w:eastAsia="en-GB"/>
              </w:rPr>
              <w:t>Arthralgia, izomgörcs, hátfájás, végtagfájdalom, musculoskeletalis fájdalom, csontfájdalom</w:t>
            </w:r>
          </w:p>
        </w:tc>
      </w:tr>
      <w:tr w:rsidR="00342CEA" w14:paraId="101CB074" w14:textId="77777777">
        <w:trPr>
          <w:trHeight w:val="516"/>
        </w:trPr>
        <w:tc>
          <w:tcPr>
            <w:tcW w:w="2944" w:type="dxa"/>
            <w:tcBorders>
              <w:top w:val="single" w:sz="4" w:space="0" w:color="000000"/>
              <w:left w:val="single" w:sz="4" w:space="0" w:color="000000"/>
              <w:bottom w:val="single" w:sz="4" w:space="0" w:color="000000"/>
              <w:right w:val="single" w:sz="4" w:space="0" w:color="000000"/>
            </w:tcBorders>
          </w:tcPr>
          <w:p w14:paraId="6477587E" w14:textId="77777777" w:rsidR="00342CEA" w:rsidRDefault="00837BAB">
            <w:pPr>
              <w:tabs>
                <w:tab w:val="clear" w:pos="567"/>
              </w:tabs>
              <w:autoSpaceDE w:val="0"/>
              <w:autoSpaceDN w:val="0"/>
              <w:spacing w:line="240" w:lineRule="auto"/>
              <w:rPr>
                <w:lang w:val="hu-HU" w:eastAsia="en-US"/>
              </w:rPr>
            </w:pPr>
            <w:r>
              <w:rPr>
                <w:lang w:val="hu-HU" w:eastAsia="en-GB"/>
              </w:rPr>
              <w:t>Vese- és húgyúti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518AC538"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3BCE151" w14:textId="77777777" w:rsidR="00342CEA" w:rsidRDefault="00837BAB">
            <w:pPr>
              <w:widowControl w:val="0"/>
              <w:rPr>
                <w:lang w:val="hu-HU" w:eastAsia="en-US"/>
              </w:rPr>
            </w:pPr>
            <w:r>
              <w:rPr>
                <w:lang w:val="hu-HU" w:eastAsia="en-GB"/>
              </w:rPr>
              <w:t>Thromboticus microangiopathia akut veseelégtelenséggel</w:t>
            </w:r>
            <w:r>
              <w:rPr>
                <w:vertAlign w:val="superscript"/>
                <w:lang w:val="hu-HU" w:eastAsia="en-US"/>
              </w:rPr>
              <w:t>†</w:t>
            </w:r>
            <w:r>
              <w:rPr>
                <w:lang w:val="hu-HU" w:eastAsia="en-US"/>
              </w:rPr>
              <w:t>, dysuria</w:t>
            </w:r>
            <w:r>
              <w:rPr>
                <w:vertAlign w:val="superscript"/>
                <w:lang w:val="hu-HU" w:eastAsia="en-US"/>
              </w:rPr>
              <w:t xml:space="preserve"> </w:t>
            </w:r>
          </w:p>
        </w:tc>
      </w:tr>
      <w:tr w:rsidR="00342CEA" w14:paraId="3CEB86E0" w14:textId="77777777">
        <w:trPr>
          <w:trHeight w:val="516"/>
        </w:trPr>
        <w:tc>
          <w:tcPr>
            <w:tcW w:w="2944" w:type="dxa"/>
            <w:vMerge w:val="restart"/>
            <w:tcBorders>
              <w:top w:val="single" w:sz="4" w:space="0" w:color="000000"/>
              <w:left w:val="single" w:sz="4" w:space="0" w:color="000000"/>
              <w:bottom w:val="single" w:sz="4" w:space="0" w:color="000000"/>
              <w:right w:val="single" w:sz="4" w:space="0" w:color="000000"/>
            </w:tcBorders>
          </w:tcPr>
          <w:p w14:paraId="37AA0551" w14:textId="77777777" w:rsidR="00342CEA" w:rsidRDefault="00837BAB">
            <w:pPr>
              <w:tabs>
                <w:tab w:val="clear" w:pos="567"/>
              </w:tabs>
              <w:autoSpaceDE w:val="0"/>
              <w:autoSpaceDN w:val="0"/>
              <w:spacing w:line="240" w:lineRule="auto"/>
              <w:rPr>
                <w:lang w:val="hu-HU" w:eastAsia="en-GB"/>
              </w:rPr>
            </w:pPr>
            <w:r>
              <w:rPr>
                <w:lang w:val="hu-HU" w:eastAsia="en-GB"/>
              </w:rPr>
              <w:t>Általános tünetek, az alkalmazás helyén fellépő reakciók</w:t>
            </w:r>
          </w:p>
        </w:tc>
        <w:tc>
          <w:tcPr>
            <w:tcW w:w="1276" w:type="dxa"/>
            <w:tcBorders>
              <w:top w:val="single" w:sz="4" w:space="0" w:color="000000"/>
              <w:left w:val="single" w:sz="4" w:space="0" w:color="000000"/>
              <w:bottom w:val="single" w:sz="4" w:space="0" w:color="000000"/>
              <w:right w:val="single" w:sz="4" w:space="0" w:color="000000"/>
            </w:tcBorders>
          </w:tcPr>
          <w:p w14:paraId="109AD097" w14:textId="77777777" w:rsidR="00342CEA" w:rsidRDefault="00837BAB">
            <w:pPr>
              <w:widowControl w:val="0"/>
              <w:rPr>
                <w:lang w:val="hu-HU" w:eastAsia="en-US"/>
              </w:rPr>
            </w:pPr>
            <w:r>
              <w:rPr>
                <w:lang w:val="hu-HU" w:eastAsia="en-GB"/>
              </w:rPr>
              <w:t>Nagyon gyakori</w:t>
            </w:r>
          </w:p>
        </w:tc>
        <w:tc>
          <w:tcPr>
            <w:tcW w:w="4990" w:type="dxa"/>
            <w:tcBorders>
              <w:top w:val="single" w:sz="4" w:space="0" w:color="000000"/>
              <w:left w:val="single" w:sz="4" w:space="0" w:color="000000"/>
              <w:bottom w:val="single" w:sz="4" w:space="0" w:color="000000"/>
              <w:right w:val="single" w:sz="4" w:space="0" w:color="000000"/>
            </w:tcBorders>
          </w:tcPr>
          <w:p w14:paraId="1E40F45E" w14:textId="77777777" w:rsidR="00342CEA" w:rsidRDefault="00837BAB">
            <w:pPr>
              <w:widowControl w:val="0"/>
              <w:rPr>
                <w:lang w:val="hu-HU" w:eastAsia="en-GB"/>
              </w:rPr>
            </w:pPr>
            <w:r>
              <w:rPr>
                <w:lang w:val="hu-HU" w:eastAsia="en-GB"/>
              </w:rPr>
              <w:t>Láz, fáradtság, influenzaszerű megbetegedés, asthenia, hidegrázás</w:t>
            </w:r>
          </w:p>
        </w:tc>
      </w:tr>
      <w:tr w:rsidR="00342CEA" w14:paraId="535FB1AC"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32A21937"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0FAE24A8"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26C0F40F" w14:textId="77777777" w:rsidR="00342CEA" w:rsidRDefault="00837BAB">
            <w:pPr>
              <w:widowControl w:val="0"/>
              <w:rPr>
                <w:lang w:val="hu-HU" w:eastAsia="en-GB"/>
              </w:rPr>
            </w:pPr>
            <w:r>
              <w:rPr>
                <w:lang w:val="hu-HU" w:eastAsia="en-GB"/>
              </w:rPr>
              <w:t>Ingerlékenység, fájdalom, rossz közérzet, az injekció beadási helyén fellépő reakció, nem szíveredetű mellkasi fájdalom, oedema, perifériás oedema</w:t>
            </w:r>
          </w:p>
        </w:tc>
      </w:tr>
      <w:tr w:rsidR="00342CEA" w14:paraId="718437EA" w14:textId="77777777">
        <w:trPr>
          <w:trHeight w:val="516"/>
        </w:trPr>
        <w:tc>
          <w:tcPr>
            <w:tcW w:w="0" w:type="auto"/>
            <w:vMerge/>
            <w:tcBorders>
              <w:top w:val="single" w:sz="4" w:space="0" w:color="000000"/>
              <w:left w:val="single" w:sz="4" w:space="0" w:color="000000"/>
              <w:bottom w:val="single" w:sz="4" w:space="0" w:color="000000"/>
              <w:right w:val="single" w:sz="4" w:space="0" w:color="000000"/>
            </w:tcBorders>
          </w:tcPr>
          <w:p w14:paraId="1930059A" w14:textId="77777777" w:rsidR="00342CEA" w:rsidRDefault="00342CEA">
            <w:pPr>
              <w:tabs>
                <w:tab w:val="clear" w:pos="567"/>
              </w:tabs>
              <w:autoSpaceDE w:val="0"/>
              <w:autoSpaceDN w:val="0"/>
              <w:spacing w:line="240" w:lineRule="auto"/>
              <w:rPr>
                <w:lang w:val="hu-HU" w:eastAsia="en-GB"/>
              </w:rPr>
            </w:pPr>
          </w:p>
        </w:tc>
        <w:tc>
          <w:tcPr>
            <w:tcW w:w="1276" w:type="dxa"/>
            <w:tcBorders>
              <w:top w:val="single" w:sz="4" w:space="0" w:color="000000"/>
              <w:left w:val="single" w:sz="4" w:space="0" w:color="000000"/>
              <w:bottom w:val="single" w:sz="4" w:space="0" w:color="000000"/>
              <w:right w:val="single" w:sz="4" w:space="0" w:color="000000"/>
            </w:tcBorders>
          </w:tcPr>
          <w:p w14:paraId="6253B0EC"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3FB72E9E" w14:textId="77777777" w:rsidR="00342CEA" w:rsidRDefault="00837BAB">
            <w:pPr>
              <w:widowControl w:val="0"/>
              <w:rPr>
                <w:lang w:val="hu-HU" w:eastAsia="en-GB"/>
              </w:rPr>
            </w:pPr>
            <w:r>
              <w:rPr>
                <w:lang w:val="hu-HU" w:eastAsia="en-GB"/>
              </w:rPr>
              <w:t>Az injekció beadási helyén fellépő pruritus és kiütések, mellkasi diszkomfortérzés</w:t>
            </w:r>
          </w:p>
        </w:tc>
      </w:tr>
      <w:tr w:rsidR="00342CEA" w14:paraId="17BB6710" w14:textId="77777777">
        <w:trPr>
          <w:trHeight w:val="1528"/>
        </w:trPr>
        <w:tc>
          <w:tcPr>
            <w:tcW w:w="2944" w:type="dxa"/>
            <w:vMerge w:val="restart"/>
            <w:tcBorders>
              <w:top w:val="single" w:sz="4" w:space="0" w:color="000000"/>
              <w:left w:val="single" w:sz="4" w:space="0" w:color="000000"/>
              <w:bottom w:val="single" w:sz="4" w:space="0" w:color="000000"/>
              <w:right w:val="single" w:sz="4" w:space="0" w:color="000000"/>
            </w:tcBorders>
          </w:tcPr>
          <w:p w14:paraId="78620803" w14:textId="77777777" w:rsidR="00342CEA" w:rsidRDefault="00837BAB">
            <w:pPr>
              <w:tabs>
                <w:tab w:val="clear" w:pos="567"/>
              </w:tabs>
              <w:autoSpaceDE w:val="0"/>
              <w:autoSpaceDN w:val="0"/>
              <w:spacing w:line="240" w:lineRule="auto"/>
              <w:rPr>
                <w:lang w:val="hu-HU" w:eastAsia="en-US"/>
              </w:rPr>
            </w:pPr>
            <w:r>
              <w:rPr>
                <w:lang w:val="hu-HU" w:eastAsia="en-GB"/>
              </w:rPr>
              <w:t>Laboratóriumi és egyéb vizsgálatok eredményei</w:t>
            </w:r>
          </w:p>
        </w:tc>
        <w:tc>
          <w:tcPr>
            <w:tcW w:w="1276" w:type="dxa"/>
            <w:tcBorders>
              <w:top w:val="single" w:sz="4" w:space="0" w:color="000000"/>
              <w:left w:val="single" w:sz="4" w:space="0" w:color="000000"/>
              <w:bottom w:val="single" w:sz="4" w:space="0" w:color="000000"/>
              <w:right w:val="single" w:sz="4" w:space="0" w:color="000000"/>
            </w:tcBorders>
          </w:tcPr>
          <w:p w14:paraId="63DA4C9B" w14:textId="77777777" w:rsidR="00342CEA" w:rsidRDefault="00837BAB">
            <w:pPr>
              <w:widowControl w:val="0"/>
              <w:rPr>
                <w:lang w:val="hu-HU" w:eastAsia="en-US"/>
              </w:rPr>
            </w:pPr>
            <w:r>
              <w:rPr>
                <w:lang w:val="hu-HU" w:eastAsia="en-GB"/>
              </w:rPr>
              <w:t>Gyakori</w:t>
            </w:r>
          </w:p>
        </w:tc>
        <w:tc>
          <w:tcPr>
            <w:tcW w:w="4990" w:type="dxa"/>
            <w:tcBorders>
              <w:top w:val="single" w:sz="4" w:space="0" w:color="000000"/>
              <w:left w:val="single" w:sz="4" w:space="0" w:color="000000"/>
              <w:bottom w:val="single" w:sz="4" w:space="0" w:color="000000"/>
              <w:right w:val="single" w:sz="4" w:space="0" w:color="000000"/>
            </w:tcBorders>
          </w:tcPr>
          <w:p w14:paraId="48B9B757" w14:textId="77777777" w:rsidR="00342CEA" w:rsidRDefault="00837BAB">
            <w:pPr>
              <w:widowControl w:val="0"/>
              <w:rPr>
                <w:lang w:val="hu-HU" w:eastAsia="en-GB"/>
              </w:rPr>
            </w:pPr>
            <w:r>
              <w:rPr>
                <w:lang w:val="hu-HU" w:eastAsia="en-GB"/>
              </w:rPr>
              <w:t>Emelkedett bilirubinszint a vérben, testtömeg</w:t>
            </w:r>
            <w:r>
              <w:rPr>
                <w:lang w:val="hu-HU" w:eastAsia="en-GB"/>
              </w:rPr>
              <w:noBreakHyphen/>
              <w:t>csökkenés, csökkent fehérvérsejtszám, csökkent hemoglobinszint, csökkent neutrofilszám, megnyúlt INR (international normalised ratio), megnyúlt aktivált parciális thromboplastinidő, vércukorszint emelkedés, csökkent albuminszint a vérben</w:t>
            </w:r>
          </w:p>
        </w:tc>
      </w:tr>
      <w:tr w:rsidR="00342CEA" w14:paraId="14CD0735" w14:textId="77777777">
        <w:trPr>
          <w:trHeight w:val="263"/>
        </w:trPr>
        <w:tc>
          <w:tcPr>
            <w:tcW w:w="0" w:type="auto"/>
            <w:vMerge/>
            <w:tcBorders>
              <w:top w:val="single" w:sz="4" w:space="0" w:color="000000"/>
              <w:left w:val="single" w:sz="4" w:space="0" w:color="000000"/>
              <w:bottom w:val="single" w:sz="4" w:space="0" w:color="000000"/>
              <w:right w:val="single" w:sz="4" w:space="0" w:color="000000"/>
            </w:tcBorders>
          </w:tcPr>
          <w:p w14:paraId="0B6D9E38" w14:textId="77777777" w:rsidR="00342CEA" w:rsidRDefault="00342CEA">
            <w:pPr>
              <w:tabs>
                <w:tab w:val="clear" w:pos="567"/>
              </w:tabs>
              <w:autoSpaceDE w:val="0"/>
              <w:autoSpaceDN w:val="0"/>
              <w:spacing w:line="240" w:lineRule="auto"/>
              <w:rPr>
                <w:lang w:val="hu-HU" w:eastAsia="en-US"/>
              </w:rPr>
            </w:pPr>
          </w:p>
        </w:tc>
        <w:tc>
          <w:tcPr>
            <w:tcW w:w="1276" w:type="dxa"/>
            <w:tcBorders>
              <w:top w:val="single" w:sz="4" w:space="0" w:color="000000"/>
              <w:left w:val="single" w:sz="4" w:space="0" w:color="000000"/>
              <w:bottom w:val="single" w:sz="4" w:space="0" w:color="000000"/>
              <w:right w:val="single" w:sz="4" w:space="0" w:color="000000"/>
            </w:tcBorders>
          </w:tcPr>
          <w:p w14:paraId="075B6FD0" w14:textId="77777777" w:rsidR="00342CEA" w:rsidRDefault="00837BAB">
            <w:pPr>
              <w:widowControl w:val="0"/>
              <w:rPr>
                <w:lang w:val="hu-HU" w:eastAsia="en-US"/>
              </w:rPr>
            </w:pPr>
            <w:r>
              <w:rPr>
                <w:lang w:val="hu-HU" w:eastAsia="en-GB"/>
              </w:rPr>
              <w:t>Nem gyakori</w:t>
            </w:r>
          </w:p>
        </w:tc>
        <w:tc>
          <w:tcPr>
            <w:tcW w:w="4990" w:type="dxa"/>
            <w:tcBorders>
              <w:top w:val="single" w:sz="4" w:space="0" w:color="000000"/>
              <w:left w:val="single" w:sz="4" w:space="0" w:color="000000"/>
              <w:bottom w:val="single" w:sz="4" w:space="0" w:color="000000"/>
              <w:right w:val="single" w:sz="4" w:space="0" w:color="000000"/>
            </w:tcBorders>
          </w:tcPr>
          <w:p w14:paraId="59DD2B25" w14:textId="77777777" w:rsidR="00342CEA" w:rsidRDefault="00837BAB">
            <w:pPr>
              <w:widowControl w:val="0"/>
              <w:rPr>
                <w:lang w:val="hu-HU" w:eastAsia="en-US"/>
              </w:rPr>
            </w:pPr>
            <w:r>
              <w:rPr>
                <w:lang w:val="hu-HU" w:eastAsia="en-GB"/>
              </w:rPr>
              <w:t>QT</w:t>
            </w:r>
            <w:r>
              <w:rPr>
                <w:lang w:val="hu-HU" w:eastAsia="en-GB"/>
              </w:rPr>
              <w:noBreakHyphen/>
              <w:t>megnyúlás az elektrokardiogramon</w:t>
            </w:r>
          </w:p>
        </w:tc>
      </w:tr>
    </w:tbl>
    <w:p w14:paraId="189A2ACA" w14:textId="77777777" w:rsidR="00342CEA" w:rsidRDefault="00837BAB">
      <w:pPr>
        <w:tabs>
          <w:tab w:val="clear" w:pos="567"/>
        </w:tabs>
        <w:autoSpaceDE w:val="0"/>
        <w:autoSpaceDN w:val="0"/>
        <w:spacing w:line="240" w:lineRule="auto"/>
        <w:ind w:left="567" w:hanging="567"/>
        <w:rPr>
          <w:rFonts w:eastAsia="TimesNewRomanPSMT"/>
          <w:lang w:val="hu-HU" w:eastAsia="en-GB"/>
        </w:rPr>
      </w:pPr>
      <w:r>
        <w:rPr>
          <w:rFonts w:ascii="TimesNewRomanPSMT" w:hAnsi="TimesNewRomanPSMT" w:cs="TimesNewRomanPSMT"/>
          <w:sz w:val="14"/>
          <w:szCs w:val="14"/>
          <w:lang w:val="hu-HU" w:eastAsia="en-GB"/>
        </w:rPr>
        <w:t>†</w:t>
      </w:r>
      <w:r>
        <w:rPr>
          <w:rFonts w:ascii="TimesNewRomanPSMT" w:hAnsi="TimesNewRomanPSMT" w:cs="TimesNewRomanPSMT"/>
          <w:sz w:val="14"/>
          <w:szCs w:val="14"/>
          <w:lang w:val="hu-HU" w:eastAsia="en-GB"/>
        </w:rPr>
        <w:tab/>
      </w:r>
      <w:r>
        <w:rPr>
          <w:lang w:val="hu-HU" w:eastAsia="en-GB"/>
        </w:rPr>
        <w:t>Csoportosított kifejezés az oliguria, veseelégtelenség és vesekárosodás preferált kifejezések alapján.</w:t>
      </w:r>
    </w:p>
    <w:p w14:paraId="7EC607F3" w14:textId="77777777" w:rsidR="00753AF5" w:rsidRDefault="00753AF5">
      <w:pPr>
        <w:tabs>
          <w:tab w:val="clear" w:pos="567"/>
        </w:tabs>
        <w:autoSpaceDE w:val="0"/>
        <w:autoSpaceDN w:val="0"/>
        <w:spacing w:line="240" w:lineRule="auto"/>
        <w:rPr>
          <w:rFonts w:eastAsia="TimesNewRomanPSMT"/>
          <w:lang w:val="hu-HU" w:eastAsia="en-GB"/>
        </w:rPr>
      </w:pPr>
    </w:p>
    <w:p w14:paraId="07EE94F3"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Egyes kiválasztott mellékhatások leírása</w:t>
      </w:r>
    </w:p>
    <w:p w14:paraId="66D4DCE1" w14:textId="77777777" w:rsidR="00342CEA" w:rsidRDefault="00342CEA">
      <w:pPr>
        <w:tabs>
          <w:tab w:val="clear" w:pos="567"/>
        </w:tabs>
        <w:autoSpaceDE w:val="0"/>
        <w:autoSpaceDN w:val="0"/>
        <w:spacing w:line="240" w:lineRule="auto"/>
        <w:rPr>
          <w:i/>
          <w:lang w:val="hu-HU" w:eastAsia="en-GB"/>
        </w:rPr>
      </w:pPr>
    </w:p>
    <w:p w14:paraId="0F2AA332"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Thromboticus/thromboemboliás események (TEE-k)</w:t>
      </w:r>
    </w:p>
    <w:p w14:paraId="55DD119F" w14:textId="77777777" w:rsidR="00753AF5" w:rsidRDefault="00753AF5">
      <w:pPr>
        <w:tabs>
          <w:tab w:val="clear" w:pos="567"/>
        </w:tabs>
        <w:autoSpaceDE w:val="0"/>
        <w:autoSpaceDN w:val="0"/>
        <w:spacing w:line="240" w:lineRule="auto"/>
        <w:rPr>
          <w:i/>
          <w:u w:val="single"/>
          <w:lang w:val="hu-HU" w:eastAsia="en-GB"/>
        </w:rPr>
      </w:pPr>
    </w:p>
    <w:p w14:paraId="71C36783" w14:textId="77777777" w:rsidR="00342CEA" w:rsidRDefault="00837BAB">
      <w:pPr>
        <w:tabs>
          <w:tab w:val="clear" w:pos="567"/>
        </w:tabs>
        <w:autoSpaceDE w:val="0"/>
        <w:autoSpaceDN w:val="0"/>
        <w:spacing w:line="240" w:lineRule="auto"/>
        <w:rPr>
          <w:lang w:val="hu-HU" w:eastAsia="en-GB"/>
        </w:rPr>
      </w:pPr>
      <w:r>
        <w:rPr>
          <w:lang w:val="hu-HU" w:eastAsia="en-GB"/>
        </w:rPr>
        <w:t>Három kontrollos és két nem kontrollos klinikai vizsgálatban az eltrombopagot kapó felnőtt ITP</w:t>
      </w:r>
      <w:r>
        <w:rPr>
          <w:lang w:val="hu-HU" w:eastAsia="en-GB"/>
        </w:rPr>
        <w:noBreakHyphen/>
        <w:t>s betegek (n = 446) közül 17 betegnél összesen 19 thromboemboliás esemény fordult elő, amelyek közé tartozott (csökkenő előfordulási sorrendben) a mélyvénás thrombosis (n = 6), a tüdőembolia (n = 6), az akut myocardialis infarctus (n = 2), az agyi infarctus (n = 2), az embolia (n = 1) (lásd 4.4 pont).</w:t>
      </w:r>
    </w:p>
    <w:p w14:paraId="70670F30" w14:textId="77777777" w:rsidR="00342CEA" w:rsidRDefault="00342CEA">
      <w:pPr>
        <w:tabs>
          <w:tab w:val="clear" w:pos="567"/>
        </w:tabs>
        <w:autoSpaceDE w:val="0"/>
        <w:autoSpaceDN w:val="0"/>
        <w:spacing w:line="240" w:lineRule="auto"/>
        <w:rPr>
          <w:lang w:val="hu-HU" w:eastAsia="en-GB"/>
        </w:rPr>
      </w:pPr>
    </w:p>
    <w:p w14:paraId="3CBE955B" w14:textId="77777777" w:rsidR="00342CEA" w:rsidRDefault="00837BAB">
      <w:pPr>
        <w:tabs>
          <w:tab w:val="clear" w:pos="567"/>
        </w:tabs>
        <w:autoSpaceDE w:val="0"/>
        <w:autoSpaceDN w:val="0"/>
        <w:spacing w:line="240" w:lineRule="auto"/>
        <w:rPr>
          <w:lang w:val="hu-HU" w:eastAsia="en-GB"/>
        </w:rPr>
      </w:pPr>
      <w:r>
        <w:rPr>
          <w:lang w:val="hu-HU" w:eastAsia="en-GB"/>
        </w:rPr>
        <w:t>Egy placebokontrollos vizsgálatban (n = 288, biztonságossági populáció), 2 heti kezelés után az invazív beavatkozás előkészítése során, 143, krónikus májbetegségben szenvedő, eltrombopaggal kezelt felnőtt beteg közül 6</w:t>
      </w:r>
      <w:r>
        <w:rPr>
          <w:lang w:val="hu-HU" w:eastAsia="en-GB"/>
        </w:rPr>
        <w:noBreakHyphen/>
        <w:t>nál (4%) tapasztaltak 7, a portalis rendszert érintő thromboemboliás eseményt. A placebocsoportban a 145 beteg közül 2</w:t>
      </w:r>
      <w:r>
        <w:rPr>
          <w:lang w:val="hu-HU" w:eastAsia="en-GB"/>
        </w:rPr>
        <w:noBreakHyphen/>
        <w:t>nél (1%) tapasztaltak 3 thromboemboliás eseményt. Az eltrombopaggal kezelt 6 beteg közül ötnél alakult ki thromboemboliás esemény, &gt; 200 000/µl vérlemezkeszámnál.</w:t>
      </w:r>
    </w:p>
    <w:p w14:paraId="767493B4" w14:textId="77777777" w:rsidR="00342CEA" w:rsidRDefault="00342CEA">
      <w:pPr>
        <w:tabs>
          <w:tab w:val="clear" w:pos="567"/>
        </w:tabs>
        <w:autoSpaceDE w:val="0"/>
        <w:autoSpaceDN w:val="0"/>
        <w:spacing w:line="240" w:lineRule="auto"/>
        <w:rPr>
          <w:lang w:val="hu-HU" w:eastAsia="en-GB"/>
        </w:rPr>
      </w:pPr>
    </w:p>
    <w:p w14:paraId="715363D0" w14:textId="77777777" w:rsidR="00342CEA" w:rsidRDefault="00837BAB">
      <w:pPr>
        <w:tabs>
          <w:tab w:val="clear" w:pos="567"/>
        </w:tabs>
        <w:autoSpaceDE w:val="0"/>
        <w:autoSpaceDN w:val="0"/>
        <w:spacing w:line="240" w:lineRule="auto"/>
        <w:rPr>
          <w:lang w:val="hu-HU" w:eastAsia="en-GB"/>
        </w:rPr>
      </w:pPr>
      <w:r>
        <w:rPr>
          <w:lang w:val="hu-HU" w:eastAsia="en-GB"/>
        </w:rPr>
        <w:t>A ≥ 200 000/µl vérlemezkeszám kivételével specifikus kockázati tényezőt nem azonosítottak azoknál a betegeknél, akiknél thromboemboliás esemény fordult elő (lásd 4.4 pont).</w:t>
      </w:r>
    </w:p>
    <w:p w14:paraId="2729137B" w14:textId="77777777" w:rsidR="00342CEA" w:rsidRDefault="00342CEA">
      <w:pPr>
        <w:tabs>
          <w:tab w:val="clear" w:pos="567"/>
        </w:tabs>
        <w:autoSpaceDE w:val="0"/>
        <w:autoSpaceDN w:val="0"/>
        <w:spacing w:line="240" w:lineRule="auto"/>
        <w:rPr>
          <w:lang w:val="hu-HU" w:eastAsia="en-GB"/>
        </w:rPr>
      </w:pPr>
    </w:p>
    <w:p w14:paraId="6DDD2554" w14:textId="77777777" w:rsidR="00342CEA" w:rsidRDefault="00837BAB">
      <w:pPr>
        <w:tabs>
          <w:tab w:val="clear" w:pos="567"/>
        </w:tabs>
        <w:autoSpaceDE w:val="0"/>
        <w:autoSpaceDN w:val="0"/>
        <w:spacing w:line="240" w:lineRule="auto"/>
        <w:rPr>
          <w:rFonts w:eastAsia="TimesNewRomanPSMT"/>
          <w:lang w:val="hu-HU" w:eastAsia="en-GB"/>
        </w:rPr>
      </w:pPr>
      <w:r>
        <w:rPr>
          <w:lang w:val="hu-HU" w:eastAsia="en-GB"/>
        </w:rPr>
        <w:t>Thrombocytopeniás HCV</w:t>
      </w:r>
      <w:r>
        <w:rPr>
          <w:lang w:val="hu-HU" w:eastAsia="en-GB"/>
        </w:rPr>
        <w:noBreakHyphen/>
        <w:t>betegekkel végzett kontrollos vizsgálatokban (n = 1439), 955, eltrombopaggal kezelt beteg közül 38</w:t>
      </w:r>
      <w:r>
        <w:rPr>
          <w:lang w:val="hu-HU" w:eastAsia="en-GB"/>
        </w:rPr>
        <w:noBreakHyphen/>
        <w:t>nál (4%) fordult elő TEE, míg a placebocsoportba tartozó 484 beteg közül 6</w:t>
      </w:r>
      <w:r>
        <w:rPr>
          <w:lang w:val="hu-HU" w:eastAsia="en-GB"/>
        </w:rPr>
        <w:noBreakHyphen/>
        <w:t xml:space="preserve">nál fordult elő TEE. Mindkét kezelési csoportban a vena portae thrombosis volt a leggyakoribb TEE (2% az eltrombopaggal kezelt csoportban versus &lt; 1% a placebocsoportban) (lásd </w:t>
      </w:r>
      <w:r>
        <w:rPr>
          <w:lang w:val="hu-HU" w:eastAsia="en-GB"/>
        </w:rPr>
        <w:lastRenderedPageBreak/>
        <w:t>4.4 pont). Az alacsony albuminszinttel (≤ 35 g/l) vagy ≥ 10 MELD</w:t>
      </w:r>
      <w:r>
        <w:rPr>
          <w:lang w:val="hu-HU" w:eastAsia="en-GB"/>
        </w:rPr>
        <w:noBreakHyphen/>
        <w:t>pontszámmal rendelkező betegeknél 2</w:t>
      </w:r>
      <w:r>
        <w:rPr>
          <w:lang w:val="hu-HU" w:eastAsia="en-GB"/>
        </w:rPr>
        <w:noBreakHyphen/>
        <w:t>szer nagyobb volt a TEE kockázata a magasabb albuminszinttel rendelkezőkhöz viszonyítva, illetve a 60 éves vagy annál idősebbeknél kétszer nagyobb volt a TEE</w:t>
      </w:r>
      <w:r>
        <w:rPr>
          <w:lang w:val="hu-HU" w:eastAsia="en-GB"/>
        </w:rPr>
        <w:noBreakHyphen/>
        <w:t>k kockázata a fiatalabb betegekhez viszonyítva.</w:t>
      </w:r>
    </w:p>
    <w:p w14:paraId="57EE0AF0" w14:textId="77777777" w:rsidR="00342CEA" w:rsidRDefault="00342CEA">
      <w:pPr>
        <w:tabs>
          <w:tab w:val="clear" w:pos="567"/>
        </w:tabs>
        <w:autoSpaceDE w:val="0"/>
        <w:autoSpaceDN w:val="0"/>
        <w:spacing w:line="240" w:lineRule="auto"/>
        <w:rPr>
          <w:rFonts w:eastAsia="TimesNewRomanPSMT"/>
          <w:lang w:val="hu-HU" w:eastAsia="en-GB"/>
        </w:rPr>
      </w:pPr>
    </w:p>
    <w:p w14:paraId="62268A1A" w14:textId="77777777" w:rsidR="00342CEA" w:rsidRDefault="00837BAB">
      <w:pPr>
        <w:keepNext/>
        <w:tabs>
          <w:tab w:val="clear" w:pos="567"/>
        </w:tabs>
        <w:autoSpaceDE w:val="0"/>
        <w:autoSpaceDN w:val="0"/>
        <w:spacing w:line="240" w:lineRule="auto"/>
        <w:rPr>
          <w:i/>
          <w:u w:val="single"/>
          <w:lang w:val="hu-HU" w:eastAsia="en-GB"/>
        </w:rPr>
      </w:pPr>
      <w:r>
        <w:rPr>
          <w:i/>
          <w:u w:val="single"/>
          <w:lang w:val="hu-HU" w:eastAsia="en-GB"/>
        </w:rPr>
        <w:t>Hepaticus dekompenzáció (interferonnal történő alkalmazás)</w:t>
      </w:r>
    </w:p>
    <w:p w14:paraId="43F0CEB9" w14:textId="77777777" w:rsidR="00753AF5" w:rsidRDefault="00753AF5">
      <w:pPr>
        <w:keepNext/>
        <w:tabs>
          <w:tab w:val="clear" w:pos="567"/>
        </w:tabs>
        <w:autoSpaceDE w:val="0"/>
        <w:autoSpaceDN w:val="0"/>
        <w:spacing w:line="240" w:lineRule="auto"/>
        <w:rPr>
          <w:i/>
          <w:u w:val="single"/>
          <w:lang w:val="hu-HU" w:eastAsia="en-GB"/>
        </w:rPr>
      </w:pPr>
    </w:p>
    <w:p w14:paraId="7B8CFD61" w14:textId="77777777" w:rsidR="00342CEA" w:rsidRDefault="00837BAB">
      <w:pPr>
        <w:keepNext/>
        <w:tabs>
          <w:tab w:val="clear" w:pos="567"/>
        </w:tabs>
        <w:autoSpaceDE w:val="0"/>
        <w:autoSpaceDN w:val="0"/>
        <w:spacing w:line="240" w:lineRule="auto"/>
        <w:rPr>
          <w:rFonts w:eastAsia="TimesNewRomanPSMT"/>
          <w:lang w:val="hu-HU" w:eastAsia="en-GB"/>
        </w:rPr>
      </w:pPr>
      <w:r>
        <w:rPr>
          <w:lang w:val="hu-HU" w:eastAsia="en-GB"/>
        </w:rPr>
        <w:t>A cirrhosisban szenvedő krónikus HCV</w:t>
      </w:r>
      <w:r>
        <w:rPr>
          <w:lang w:val="hu-HU" w:eastAsia="en-GB"/>
        </w:rPr>
        <w:noBreakHyphen/>
        <w:t>betegeknél alfa interferon</w:t>
      </w:r>
      <w:r>
        <w:rPr>
          <w:lang w:val="hu-HU" w:eastAsia="en-GB"/>
        </w:rPr>
        <w:noBreakHyphen/>
        <w:t>kezelés esetén fokozott a hepaticus dekompenzáció kockázata. Két, thrombocytopeniás HCV</w:t>
      </w:r>
      <w:r>
        <w:rPr>
          <w:lang w:val="hu-HU" w:eastAsia="en-GB"/>
        </w:rPr>
        <w:noBreakHyphen/>
        <w:t>betegek bevonásával végzett klinikai vizsgálatban nagyobb gyakorisággal jelentettek hepaticus dekompenzációt (ascites, hepaticus encephalopathia, varix vérzés, spontán bakteriális peritonitis) az eltrombopag</w:t>
      </w:r>
      <w:r>
        <w:rPr>
          <w:lang w:val="hu-HU" w:eastAsia="en-GB"/>
        </w:rPr>
        <w:noBreakHyphen/>
        <w:t>karon (11%), mint a placebokaron (6%). Azoknál a betegeknél, akiknél alacsony albuminszint (≤ 35 g/l) vagy ≥ 10 kiindulási MELD pontérték állt fenn, 3</w:t>
      </w:r>
      <w:r>
        <w:rPr>
          <w:lang w:val="hu-HU" w:eastAsia="en-GB"/>
        </w:rPr>
        <w:noBreakHyphen/>
        <w:t>szor nagyobb volt a hepaticus dekompenzáció kockázata, és emelkedett a halálos kimenetelű nemkívánatos események kockázata a kevésbé előrehaladott májbetegségben szenvedő betegekhez viszonyítva. Ezeknél a betegeknél az eltrombopag csak a várható előnyök és kockázatok körültekintő mérlegelése után alkalmazható. Az ezekkel a jellemzőkkel bíró betegeknél gondosan ellenőrizni kell a hepaticus dekompenzációra utaló jeleket és tüneteket. (lásd 4.4 pont).</w:t>
      </w:r>
    </w:p>
    <w:p w14:paraId="6AE16EB1" w14:textId="77777777" w:rsidR="00342CEA" w:rsidRDefault="00342CEA">
      <w:pPr>
        <w:tabs>
          <w:tab w:val="clear" w:pos="567"/>
        </w:tabs>
        <w:autoSpaceDE w:val="0"/>
        <w:autoSpaceDN w:val="0"/>
        <w:spacing w:line="240" w:lineRule="auto"/>
        <w:rPr>
          <w:rFonts w:eastAsia="TimesNewRomanPSMT"/>
          <w:lang w:val="hu-HU" w:eastAsia="en-GB"/>
        </w:rPr>
      </w:pPr>
    </w:p>
    <w:p w14:paraId="65607143" w14:textId="77777777" w:rsidR="00342CEA" w:rsidRDefault="00837BAB">
      <w:pPr>
        <w:widowControl w:val="0"/>
        <w:tabs>
          <w:tab w:val="clear" w:pos="567"/>
        </w:tabs>
        <w:autoSpaceDE w:val="0"/>
        <w:autoSpaceDN w:val="0"/>
        <w:spacing w:line="240" w:lineRule="auto"/>
        <w:rPr>
          <w:i/>
          <w:u w:val="single"/>
          <w:lang w:val="hu-HU" w:eastAsia="en-GB"/>
        </w:rPr>
      </w:pPr>
      <w:r>
        <w:rPr>
          <w:i/>
          <w:u w:val="single"/>
          <w:lang w:val="hu-HU" w:eastAsia="en-GB"/>
        </w:rPr>
        <w:t>Hepatotoxicitás</w:t>
      </w:r>
    </w:p>
    <w:p w14:paraId="0B2464CD" w14:textId="77777777" w:rsidR="00753AF5" w:rsidRDefault="00753AF5">
      <w:pPr>
        <w:widowControl w:val="0"/>
        <w:tabs>
          <w:tab w:val="clear" w:pos="567"/>
        </w:tabs>
        <w:autoSpaceDE w:val="0"/>
        <w:autoSpaceDN w:val="0"/>
        <w:spacing w:line="240" w:lineRule="auto"/>
        <w:rPr>
          <w:i/>
          <w:u w:val="single"/>
          <w:lang w:val="hu-HU" w:eastAsia="en-GB"/>
        </w:rPr>
      </w:pPr>
    </w:p>
    <w:p w14:paraId="3FE60602" w14:textId="77777777" w:rsidR="00342CEA" w:rsidRDefault="00837BAB">
      <w:pPr>
        <w:widowControl w:val="0"/>
        <w:tabs>
          <w:tab w:val="clear" w:pos="567"/>
        </w:tabs>
        <w:autoSpaceDE w:val="0"/>
        <w:autoSpaceDN w:val="0"/>
        <w:spacing w:line="240" w:lineRule="auto"/>
        <w:rPr>
          <w:lang w:val="hu-HU" w:eastAsia="en-GB"/>
        </w:rPr>
      </w:pPr>
      <w:r>
        <w:rPr>
          <w:lang w:val="hu-HU" w:eastAsia="en-GB"/>
        </w:rPr>
        <w:t>A kontrollos, eltrombopaggal végzett krónikus ITP klinikai vizsgálatokban a szérum GPT-, GOT- és bilirubinszintek emelkedését figyelték meg (lásd 4.4 pont).</w:t>
      </w:r>
    </w:p>
    <w:p w14:paraId="76815F6D" w14:textId="77777777" w:rsidR="00342CEA" w:rsidRDefault="00342CEA">
      <w:pPr>
        <w:tabs>
          <w:tab w:val="clear" w:pos="567"/>
        </w:tabs>
        <w:autoSpaceDE w:val="0"/>
        <w:autoSpaceDN w:val="0"/>
        <w:spacing w:line="240" w:lineRule="auto"/>
        <w:rPr>
          <w:lang w:val="hu-HU" w:eastAsia="en-GB"/>
        </w:rPr>
      </w:pPr>
    </w:p>
    <w:p w14:paraId="5C36DD98" w14:textId="77777777" w:rsidR="00342CEA" w:rsidRDefault="00837BAB">
      <w:pPr>
        <w:tabs>
          <w:tab w:val="clear" w:pos="567"/>
        </w:tabs>
        <w:autoSpaceDE w:val="0"/>
        <w:autoSpaceDN w:val="0"/>
        <w:spacing w:line="240" w:lineRule="auto"/>
        <w:rPr>
          <w:rFonts w:eastAsia="TimesNewRomanPSMT"/>
          <w:lang w:val="hu-HU" w:eastAsia="en-GB"/>
        </w:rPr>
      </w:pPr>
      <w:r>
        <w:rPr>
          <w:lang w:val="hu-HU" w:eastAsia="en-GB"/>
        </w:rPr>
        <w:t>Ezek a jelenségek többnyire enyhék (1</w:t>
      </w:r>
      <w:r>
        <w:rPr>
          <w:lang w:val="hu-HU" w:eastAsia="en-GB"/>
        </w:rPr>
        <w:noBreakHyphen/>
        <w:t>2. fokozat) és reverzibilisek voltak, és nem kísérték őket olyan, klinikailag jelentős tünetek, amelyek károsodott májműködésre utaltak volna. A 3, krónikus ITP</w:t>
      </w:r>
      <w:r>
        <w:rPr>
          <w:lang w:val="hu-HU" w:eastAsia="en-GB"/>
        </w:rPr>
        <w:noBreakHyphen/>
        <w:t>s felnőttekkel végzett placebokontrollos vizsgálatban a placebocsoportban 1 betegnek, és az eltrombopag</w:t>
      </w:r>
      <w:r>
        <w:rPr>
          <w:lang w:val="hu-HU" w:eastAsia="en-GB"/>
        </w:rPr>
        <w:noBreakHyphen/>
        <w:t>csoportban is 1 betegnek volt 4</w:t>
      </w:r>
      <w:r>
        <w:rPr>
          <w:lang w:val="hu-HU" w:eastAsia="en-GB"/>
        </w:rPr>
        <w:noBreakHyphen/>
        <w:t>es fokozatú májfunkciós zavara. A krónikus ITP</w:t>
      </w:r>
      <w:r>
        <w:rPr>
          <w:lang w:val="hu-HU" w:eastAsia="en-GB"/>
        </w:rPr>
        <w:noBreakHyphen/>
        <w:t xml:space="preserve">s gyermekekkel és serdülőkkel (1 és betöltött 18 éves kor között) végzett két, placebokontrollos vizsgálatban a normálérték felső határának </w:t>
      </w:r>
      <w:r>
        <w:rPr>
          <w:rFonts w:eastAsia="Segoe UI Symbol"/>
          <w:lang w:val="hu-HU"/>
        </w:rPr>
        <w:t>≥ </w:t>
      </w:r>
      <w:r>
        <w:rPr>
          <w:lang w:val="hu-HU" w:eastAsia="en-GB"/>
        </w:rPr>
        <w:t>3</w:t>
      </w:r>
      <w:r>
        <w:rPr>
          <w:lang w:val="hu-HU" w:eastAsia="en-GB"/>
        </w:rPr>
        <w:noBreakHyphen/>
        <w:t>szorosát elérő GPT</w:t>
      </w:r>
      <w:r>
        <w:rPr>
          <w:lang w:val="hu-HU" w:eastAsia="en-GB"/>
        </w:rPr>
        <w:noBreakHyphen/>
        <w:t>szintről számoltak be az eltrombopag</w:t>
      </w:r>
      <w:r>
        <w:rPr>
          <w:lang w:val="hu-HU" w:eastAsia="en-GB"/>
        </w:rPr>
        <w:noBreakHyphen/>
        <w:t>csoport 4,7%</w:t>
      </w:r>
      <w:r>
        <w:rPr>
          <w:lang w:val="hu-HU" w:eastAsia="en-GB"/>
        </w:rPr>
        <w:noBreakHyphen/>
        <w:t>ánál, míg a placebocsoportban ez 0% volt.</w:t>
      </w:r>
    </w:p>
    <w:p w14:paraId="3FDFF9F1" w14:textId="77777777" w:rsidR="00342CEA" w:rsidRDefault="00342CEA">
      <w:pPr>
        <w:tabs>
          <w:tab w:val="clear" w:pos="567"/>
        </w:tabs>
        <w:autoSpaceDE w:val="0"/>
        <w:autoSpaceDN w:val="0"/>
        <w:spacing w:line="240" w:lineRule="auto"/>
        <w:rPr>
          <w:rFonts w:eastAsia="TimesNewRomanPSMT"/>
          <w:lang w:val="hu-HU" w:eastAsia="en-GB"/>
        </w:rPr>
      </w:pPr>
    </w:p>
    <w:p w14:paraId="0E8477B5" w14:textId="77777777" w:rsidR="00342CEA" w:rsidRDefault="00837BAB">
      <w:pPr>
        <w:tabs>
          <w:tab w:val="clear" w:pos="567"/>
        </w:tabs>
        <w:autoSpaceDE w:val="0"/>
        <w:autoSpaceDN w:val="0"/>
        <w:spacing w:line="240" w:lineRule="auto"/>
        <w:rPr>
          <w:lang w:val="hu-HU" w:eastAsia="en-GB"/>
        </w:rPr>
      </w:pPr>
      <w:r>
        <w:rPr>
          <w:lang w:val="hu-HU" w:eastAsia="en-GB"/>
        </w:rPr>
        <w:t>Két kontrollos, HCV</w:t>
      </w:r>
      <w:r>
        <w:rPr>
          <w:lang w:val="hu-HU" w:eastAsia="en-GB"/>
        </w:rPr>
        <w:noBreakHyphen/>
        <w:t>s betegek bevonásával végzett klinikai vizsgálatban a normálérték felső határának legalább háromszorosát meghaladó GPT- vagy GOT-szintet jelentettek az eltrombopaggal kezelt csoport 34%</w:t>
      </w:r>
      <w:r>
        <w:rPr>
          <w:lang w:val="hu-HU" w:eastAsia="en-GB"/>
        </w:rPr>
        <w:noBreakHyphen/>
        <w:t>ánál, és a placebóval kezelt csoport 38%</w:t>
      </w:r>
      <w:r>
        <w:rPr>
          <w:lang w:val="hu-HU" w:eastAsia="en-GB"/>
        </w:rPr>
        <w:noBreakHyphen/>
        <w:t>ánál. Az eltrombopagot peginterferon/ribavirin kombinációban alkalmazva a betegek többségénél indirekt hyperbilirubinaemia jelentkezik. Összességében, a normálérték felső határának legalább 1,5</w:t>
      </w:r>
      <w:r>
        <w:rPr>
          <w:lang w:val="hu-HU" w:eastAsia="en-GB"/>
        </w:rPr>
        <w:noBreakHyphen/>
        <w:t>szeresét meghaladó összbilirubinszintet jelentettek az eltrompopaggal kezelt csoport 76%</w:t>
      </w:r>
      <w:r>
        <w:rPr>
          <w:lang w:val="hu-HU" w:eastAsia="en-GB"/>
        </w:rPr>
        <w:noBreakHyphen/>
        <w:t>ánál, és a placebóval kezelt csoport 50%</w:t>
      </w:r>
      <w:r>
        <w:rPr>
          <w:lang w:val="hu-HU" w:eastAsia="en-GB"/>
        </w:rPr>
        <w:noBreakHyphen/>
        <w:t>ánál.</w:t>
      </w:r>
    </w:p>
    <w:p w14:paraId="0ACAB9B3" w14:textId="77777777" w:rsidR="00DE6B7A" w:rsidRDefault="00DE6B7A" w:rsidP="00DE6B7A">
      <w:pPr>
        <w:tabs>
          <w:tab w:val="clear" w:pos="567"/>
        </w:tabs>
        <w:autoSpaceDE w:val="0"/>
        <w:autoSpaceDN w:val="0"/>
        <w:spacing w:line="240" w:lineRule="auto"/>
        <w:rPr>
          <w:lang w:val="hu-HU" w:eastAsia="en-GB"/>
        </w:rPr>
      </w:pPr>
    </w:p>
    <w:p w14:paraId="5DF7F0E1"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Thrombocytopenia a kezelés leállítása után</w:t>
      </w:r>
    </w:p>
    <w:p w14:paraId="31CA8F5E" w14:textId="77777777" w:rsidR="00753AF5" w:rsidRDefault="00753AF5">
      <w:pPr>
        <w:tabs>
          <w:tab w:val="clear" w:pos="567"/>
        </w:tabs>
        <w:autoSpaceDE w:val="0"/>
        <w:autoSpaceDN w:val="0"/>
        <w:spacing w:line="240" w:lineRule="auto"/>
        <w:rPr>
          <w:i/>
          <w:u w:val="single"/>
          <w:lang w:val="hu-HU" w:eastAsia="en-GB"/>
        </w:rPr>
      </w:pPr>
    </w:p>
    <w:p w14:paraId="0BE0C82D" w14:textId="77777777" w:rsidR="00342CEA" w:rsidRDefault="00837BAB">
      <w:pPr>
        <w:tabs>
          <w:tab w:val="clear" w:pos="567"/>
        </w:tabs>
        <w:autoSpaceDE w:val="0"/>
        <w:autoSpaceDN w:val="0"/>
        <w:spacing w:line="240" w:lineRule="auto"/>
        <w:rPr>
          <w:rFonts w:eastAsia="TimesNewRomanPSMT"/>
          <w:lang w:val="hu-HU" w:eastAsia="en-GB"/>
        </w:rPr>
      </w:pPr>
      <w:r>
        <w:rPr>
          <w:lang w:val="hu-HU" w:eastAsia="en-GB"/>
        </w:rPr>
        <w:t>A 3, kontrollos ITP vizsgálatban megfigyelték, hogy a kezelés befejezését követően a vérlemezkeszám átmenetileg a kiindulási érték alá csökkent az eltrombopag</w:t>
      </w:r>
      <w:r>
        <w:rPr>
          <w:lang w:val="hu-HU" w:eastAsia="en-GB"/>
        </w:rPr>
        <w:noBreakHyphen/>
        <w:t>csoport betegeinek 8%</w:t>
      </w:r>
      <w:r>
        <w:rPr>
          <w:lang w:val="hu-HU" w:eastAsia="en-GB"/>
        </w:rPr>
        <w:noBreakHyphen/>
        <w:t>ánál és a placebocsoport 8%</w:t>
      </w:r>
      <w:r>
        <w:rPr>
          <w:lang w:val="hu-HU" w:eastAsia="en-GB"/>
        </w:rPr>
        <w:noBreakHyphen/>
        <w:t>ánál (lásd 4.4 pont).</w:t>
      </w:r>
    </w:p>
    <w:p w14:paraId="496C110E" w14:textId="77777777" w:rsidR="00342CEA" w:rsidRDefault="00342CEA">
      <w:pPr>
        <w:tabs>
          <w:tab w:val="clear" w:pos="567"/>
        </w:tabs>
        <w:autoSpaceDE w:val="0"/>
        <w:autoSpaceDN w:val="0"/>
        <w:spacing w:line="240" w:lineRule="auto"/>
        <w:rPr>
          <w:rFonts w:eastAsia="TimesNewRomanPSMT"/>
          <w:lang w:val="hu-HU" w:eastAsia="en-GB"/>
        </w:rPr>
      </w:pPr>
    </w:p>
    <w:p w14:paraId="51D73474"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Retikulin</w:t>
      </w:r>
      <w:r>
        <w:rPr>
          <w:i/>
          <w:u w:val="single"/>
          <w:lang w:val="hu-HU" w:eastAsia="en-GB"/>
        </w:rPr>
        <w:noBreakHyphen/>
        <w:t>felszaporodás a csontvelőben</w:t>
      </w:r>
    </w:p>
    <w:p w14:paraId="0FD3CF89" w14:textId="77777777" w:rsidR="00EF6E44" w:rsidRDefault="00EF6E44">
      <w:pPr>
        <w:tabs>
          <w:tab w:val="clear" w:pos="567"/>
        </w:tabs>
        <w:autoSpaceDE w:val="0"/>
        <w:autoSpaceDN w:val="0"/>
        <w:spacing w:line="240" w:lineRule="auto"/>
        <w:rPr>
          <w:i/>
          <w:u w:val="single"/>
          <w:lang w:val="hu-HU" w:eastAsia="en-GB"/>
        </w:rPr>
      </w:pPr>
    </w:p>
    <w:p w14:paraId="48043556" w14:textId="77777777" w:rsidR="00342CEA" w:rsidRDefault="00837BAB">
      <w:pPr>
        <w:tabs>
          <w:tab w:val="clear" w:pos="567"/>
        </w:tabs>
        <w:autoSpaceDE w:val="0"/>
        <w:autoSpaceDN w:val="0"/>
        <w:spacing w:line="240" w:lineRule="auto"/>
        <w:rPr>
          <w:rFonts w:eastAsia="TimesNewRomanPSMT"/>
          <w:lang w:val="hu-HU" w:eastAsia="en-GB"/>
        </w:rPr>
      </w:pPr>
      <w:r>
        <w:rPr>
          <w:lang w:val="hu-HU" w:eastAsia="en-GB"/>
        </w:rPr>
        <w:t>A programban egyetlen betegnél sem találtak klinikailag jelentős csontvelő</w:t>
      </w:r>
      <w:r>
        <w:rPr>
          <w:lang w:val="hu-HU" w:eastAsia="en-GB"/>
        </w:rPr>
        <w:noBreakHyphen/>
        <w:t>rendellenességet vagy a csontvelő rendellenes működésére utaló klinikai jeleket. Kis számú ITP</w:t>
      </w:r>
      <w:r>
        <w:rPr>
          <w:lang w:val="hu-HU" w:eastAsia="en-GB"/>
        </w:rPr>
        <w:noBreakHyphen/>
        <w:t>s betegnél az eltrombopag</w:t>
      </w:r>
      <w:r>
        <w:rPr>
          <w:lang w:val="hu-HU" w:eastAsia="en-GB"/>
        </w:rPr>
        <w:noBreakHyphen/>
        <w:t>kezelést a csontvelőben kimutatott retikulin miatt szakították meg (lásd 4.4 pont).</w:t>
      </w:r>
    </w:p>
    <w:p w14:paraId="2BBDACE1" w14:textId="77777777" w:rsidR="00EF6E44" w:rsidRDefault="00EF6E44" w:rsidP="00EF6E44">
      <w:pPr>
        <w:tabs>
          <w:tab w:val="clear" w:pos="567"/>
        </w:tabs>
        <w:autoSpaceDE w:val="0"/>
        <w:autoSpaceDN w:val="0"/>
        <w:spacing w:line="240" w:lineRule="auto"/>
        <w:rPr>
          <w:rFonts w:eastAsia="TimesNewRomanPSMT"/>
          <w:lang w:val="hu-HU" w:eastAsia="en-GB"/>
        </w:rPr>
      </w:pPr>
    </w:p>
    <w:p w14:paraId="43143D4B" w14:textId="77777777" w:rsidR="00342CEA" w:rsidRDefault="00837BAB">
      <w:pPr>
        <w:spacing w:line="240" w:lineRule="auto"/>
        <w:rPr>
          <w:u w:val="single"/>
          <w:lang w:val="hu-HU"/>
        </w:rPr>
      </w:pPr>
      <w:r>
        <w:rPr>
          <w:u w:val="single"/>
          <w:lang w:val="hu-HU"/>
        </w:rPr>
        <w:t>Feltételezett mellékhatások bejelentése</w:t>
      </w:r>
    </w:p>
    <w:p w14:paraId="7A802BDA" w14:textId="77777777" w:rsidR="00342CEA" w:rsidRDefault="00837BAB">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w:t>
      </w:r>
    </w:p>
    <w:p w14:paraId="221F4096" w14:textId="77777777" w:rsidR="00342CEA" w:rsidRDefault="00837BAB">
      <w:pPr>
        <w:spacing w:line="240" w:lineRule="auto"/>
        <w:rPr>
          <w:lang w:val="hu-HU"/>
        </w:rPr>
      </w:pPr>
      <w:r>
        <w:rPr>
          <w:lang w:val="hu-HU"/>
        </w:rPr>
        <w:lastRenderedPageBreak/>
        <w:t xml:space="preserve">Az egészségügyi szakembereket kérjük, hogy jelentsék be a feltételezett mellékhatásokat a hatóság részére az </w:t>
      </w:r>
      <w:hyperlink r:id="rId7">
        <w:r>
          <w:rPr>
            <w:rStyle w:val="Hiperhivatkozs"/>
            <w:highlight w:val="lightGray"/>
            <w:lang w:val="hu-HU"/>
          </w:rPr>
          <w:t>V. füg</w:t>
        </w:r>
        <w:bookmarkStart w:id="1" w:name="_Hlt352075914"/>
        <w:bookmarkStart w:id="2" w:name="_Hlt352075915"/>
        <w:r>
          <w:rPr>
            <w:rStyle w:val="Hiperhivatkozs"/>
            <w:highlight w:val="lightGray"/>
            <w:lang w:val="hu-HU"/>
          </w:rPr>
          <w:t>g</w:t>
        </w:r>
        <w:bookmarkEnd w:id="1"/>
        <w:bookmarkEnd w:id="2"/>
        <w:r>
          <w:rPr>
            <w:rStyle w:val="Hiperhivatkozs"/>
            <w:highlight w:val="lightGray"/>
            <w:lang w:val="hu-HU"/>
          </w:rPr>
          <w:t>elékben</w:t>
        </w:r>
      </w:hyperlink>
      <w:r>
        <w:rPr>
          <w:highlight w:val="lightGray"/>
          <w:lang w:val="hu-HU"/>
        </w:rPr>
        <w:t xml:space="preserve"> található elérhetőségek valamelyikén keresztül</w:t>
      </w:r>
      <w:r>
        <w:rPr>
          <w:lang w:val="hu-HU"/>
        </w:rPr>
        <w:t>.</w:t>
      </w:r>
    </w:p>
    <w:p w14:paraId="23FD6DAC" w14:textId="77777777" w:rsidR="00342CEA" w:rsidRDefault="00342CEA">
      <w:pPr>
        <w:spacing w:line="240" w:lineRule="auto"/>
        <w:rPr>
          <w:u w:val="single"/>
          <w:lang w:val="hu-HU"/>
        </w:rPr>
      </w:pPr>
    </w:p>
    <w:p w14:paraId="4C651548"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4.9</w:t>
      </w:r>
      <w:r>
        <w:rPr>
          <w:rFonts w:eastAsia="Times New Roman"/>
          <w:b/>
          <w:bCs/>
          <w:lang w:val="hu-HU" w:eastAsia="en-US"/>
        </w:rPr>
        <w:tab/>
        <w:t>Túladagolás</w:t>
      </w:r>
    </w:p>
    <w:p w14:paraId="5CEE5507" w14:textId="77777777" w:rsidR="00342CEA" w:rsidRDefault="00342CEA">
      <w:pPr>
        <w:spacing w:line="240" w:lineRule="auto"/>
        <w:ind w:left="567" w:hanging="567"/>
        <w:outlineLvl w:val="0"/>
        <w:rPr>
          <w:lang w:val="hu-HU"/>
        </w:rPr>
      </w:pPr>
    </w:p>
    <w:p w14:paraId="3E40E0A2" w14:textId="77777777" w:rsidR="00342CEA" w:rsidRDefault="00837BAB">
      <w:pPr>
        <w:tabs>
          <w:tab w:val="clear" w:pos="567"/>
        </w:tabs>
        <w:autoSpaceDE w:val="0"/>
        <w:autoSpaceDN w:val="0"/>
        <w:spacing w:line="240" w:lineRule="auto"/>
        <w:rPr>
          <w:lang w:val="hu-HU" w:eastAsia="en-GB"/>
        </w:rPr>
      </w:pPr>
      <w:r>
        <w:rPr>
          <w:lang w:val="hu-HU" w:eastAsia="en-GB"/>
        </w:rPr>
        <w:t>Túladagolás esetén a vérlemezkeszám rendkívüli módon megemelkedhet, és ez thromboticus/thromboemboliás szövődményekhez vezethet. Túladagolás esetén mérlegelni kell valamilyen fémkation</w:t>
      </w:r>
      <w:r>
        <w:rPr>
          <w:lang w:val="hu-HU" w:eastAsia="en-GB"/>
        </w:rPr>
        <w:noBreakHyphen/>
        <w:t>tartalmú készítmény, pl. kalcium</w:t>
      </w:r>
      <w:r>
        <w:rPr>
          <w:lang w:val="hu-HU" w:eastAsia="en-GB"/>
        </w:rPr>
        <w:noBreakHyphen/>
        <w:t>, alumínium</w:t>
      </w:r>
      <w:r>
        <w:rPr>
          <w:lang w:val="hu-HU" w:eastAsia="en-GB"/>
        </w:rPr>
        <w:noBreakHyphen/>
        <w:t xml:space="preserve"> vagy magnézium</w:t>
      </w:r>
      <w:r>
        <w:rPr>
          <w:lang w:val="hu-HU" w:eastAsia="en-GB"/>
        </w:rPr>
        <w:noBreakHyphen/>
        <w:t>készítmények orális adagolását, hogy kelátot képezzen az eltrombopaggal, és így csökkentse a felszívódást. Gondosan monitorozni kell a vérlemezkeszámot. Az eltrombopag</w:t>
      </w:r>
      <w:r>
        <w:rPr>
          <w:lang w:val="hu-HU" w:eastAsia="en-GB"/>
        </w:rPr>
        <w:noBreakHyphen/>
        <w:t>kezelést az adagolási és alkalmazási előírások szerint kell újraindítani (lásd 4.2 pont).</w:t>
      </w:r>
    </w:p>
    <w:p w14:paraId="59F680B0" w14:textId="77777777" w:rsidR="00342CEA" w:rsidRDefault="00342CEA">
      <w:pPr>
        <w:tabs>
          <w:tab w:val="clear" w:pos="567"/>
        </w:tabs>
        <w:autoSpaceDE w:val="0"/>
        <w:autoSpaceDN w:val="0"/>
        <w:spacing w:line="240" w:lineRule="auto"/>
        <w:rPr>
          <w:lang w:val="hu-HU" w:eastAsia="en-GB"/>
        </w:rPr>
      </w:pPr>
    </w:p>
    <w:p w14:paraId="60B3D7F9" w14:textId="77777777" w:rsidR="00342CEA" w:rsidRDefault="00837BAB">
      <w:pPr>
        <w:tabs>
          <w:tab w:val="clear" w:pos="567"/>
        </w:tabs>
        <w:autoSpaceDE w:val="0"/>
        <w:autoSpaceDN w:val="0"/>
        <w:spacing w:line="240" w:lineRule="auto"/>
        <w:rPr>
          <w:lang w:val="hu-HU" w:eastAsia="en-GB"/>
        </w:rPr>
      </w:pPr>
      <w:r>
        <w:rPr>
          <w:lang w:val="hu-HU" w:eastAsia="en-GB"/>
        </w:rPr>
        <w:t>A klinikai vizsgálatokban egy túladagolásról számoltak be, amikor a beteg 5000 mg eltrombopagot nyelt le. A jelentett mellékhatások enyhe kiütés, múló bradycardia, GPT</w:t>
      </w:r>
      <w:r>
        <w:rPr>
          <w:lang w:val="hu-HU" w:eastAsia="en-GB"/>
        </w:rPr>
        <w:noBreakHyphen/>
        <w:t xml:space="preserve"> és GOT</w:t>
      </w:r>
      <w:r>
        <w:rPr>
          <w:lang w:val="hu-HU" w:eastAsia="en-GB"/>
        </w:rPr>
        <w:noBreakHyphen/>
        <w:t>emelkedés és fáradtság voltak. A gyógyszer lenyelése utáni 2</w:t>
      </w:r>
      <w:r>
        <w:rPr>
          <w:lang w:val="hu-HU" w:eastAsia="en-GB"/>
        </w:rPr>
        <w:noBreakHyphen/>
        <w:t>18. napon a májenzimek mért csúcsértéke a normálérték felső határának (ULN) 1,6</w:t>
      </w:r>
      <w:r>
        <w:rPr>
          <w:lang w:val="hu-HU" w:eastAsia="en-GB"/>
        </w:rPr>
        <w:noBreakHyphen/>
        <w:t>szorosa volt a GOT, az ULN 3,9</w:t>
      </w:r>
      <w:r>
        <w:rPr>
          <w:lang w:val="hu-HU" w:eastAsia="en-GB"/>
        </w:rPr>
        <w:noBreakHyphen/>
        <w:t>szerese volt az GPT, és az ULN 2,4</w:t>
      </w:r>
      <w:r>
        <w:rPr>
          <w:lang w:val="hu-HU" w:eastAsia="en-GB"/>
        </w:rPr>
        <w:noBreakHyphen/>
        <w:t>szerese volt az összbilirubin esetében. A vérlemezkeszám 672 000/µl volt a gyógyszer bevétele utáni 18. napon, a legmagasabb vérlemezkeszám 929 000/µl volt. A mellékhatások a kezelés után következmények nélkül megszűntek.</w:t>
      </w:r>
    </w:p>
    <w:p w14:paraId="6E7144D8" w14:textId="77777777" w:rsidR="00342CEA" w:rsidRDefault="00342CEA">
      <w:pPr>
        <w:tabs>
          <w:tab w:val="clear" w:pos="567"/>
        </w:tabs>
        <w:autoSpaceDE w:val="0"/>
        <w:autoSpaceDN w:val="0"/>
        <w:spacing w:line="240" w:lineRule="auto"/>
        <w:rPr>
          <w:lang w:val="hu-HU" w:eastAsia="en-GB"/>
        </w:rPr>
      </w:pPr>
    </w:p>
    <w:p w14:paraId="0A6B0710" w14:textId="77777777" w:rsidR="00342CEA" w:rsidRDefault="00837BAB">
      <w:pPr>
        <w:tabs>
          <w:tab w:val="clear" w:pos="567"/>
        </w:tabs>
        <w:autoSpaceDE w:val="0"/>
        <w:autoSpaceDN w:val="0"/>
        <w:spacing w:line="240" w:lineRule="auto"/>
        <w:rPr>
          <w:b/>
          <w:bCs/>
          <w:lang w:val="hu-HU"/>
        </w:rPr>
      </w:pPr>
      <w:r>
        <w:rPr>
          <w:lang w:val="hu-HU" w:eastAsia="en-GB"/>
        </w:rPr>
        <w:t>Mivel az eltrombopag renalisan nem ürül jelentős mértékben, és erősen kötődik a plazmafehérjékhez, nem várható, hogy a hemodialízis hatékonyan gyorsítsa az eltrombopag kiürülését.</w:t>
      </w:r>
    </w:p>
    <w:p w14:paraId="46FA9634" w14:textId="77777777" w:rsidR="00342CEA" w:rsidRDefault="00342CEA">
      <w:pPr>
        <w:spacing w:line="240" w:lineRule="auto"/>
        <w:ind w:left="567" w:hanging="567"/>
        <w:outlineLvl w:val="0"/>
        <w:rPr>
          <w:lang w:val="hu-HU"/>
        </w:rPr>
      </w:pPr>
    </w:p>
    <w:p w14:paraId="166114DF" w14:textId="77777777" w:rsidR="00342CEA" w:rsidRDefault="00342CEA">
      <w:pPr>
        <w:spacing w:line="240" w:lineRule="auto"/>
        <w:ind w:left="567" w:hanging="567"/>
        <w:outlineLvl w:val="0"/>
        <w:rPr>
          <w:lang w:val="hu-HU"/>
        </w:rPr>
      </w:pPr>
    </w:p>
    <w:p w14:paraId="256A6988"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5.</w:t>
      </w:r>
      <w:r>
        <w:rPr>
          <w:rFonts w:eastAsia="Times New Roman"/>
          <w:b/>
          <w:bCs/>
          <w:lang w:val="hu-HU" w:eastAsia="en-US"/>
        </w:rPr>
        <w:tab/>
        <w:t>FARMAKOLÓGIAI TULAJDONSÁGOK</w:t>
      </w:r>
    </w:p>
    <w:p w14:paraId="7E5F5AEC" w14:textId="77777777" w:rsidR="00342CEA" w:rsidRDefault="00342CEA">
      <w:pPr>
        <w:keepNext/>
        <w:spacing w:line="240" w:lineRule="auto"/>
        <w:ind w:left="567" w:hanging="567"/>
        <w:outlineLvl w:val="0"/>
        <w:rPr>
          <w:rFonts w:eastAsia="Times New Roman"/>
          <w:lang w:val="hu-HU" w:eastAsia="en-US"/>
        </w:rPr>
      </w:pPr>
    </w:p>
    <w:p w14:paraId="2B300BBE"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5.1</w:t>
      </w:r>
      <w:r>
        <w:rPr>
          <w:rFonts w:eastAsia="Times New Roman"/>
          <w:b/>
          <w:bCs/>
          <w:lang w:val="hu-HU" w:eastAsia="en-US"/>
        </w:rPr>
        <w:tab/>
        <w:t>Farmakodinámiás tulajdonságok</w:t>
      </w:r>
    </w:p>
    <w:p w14:paraId="6D3F432D" w14:textId="77777777" w:rsidR="00342CEA" w:rsidRDefault="00342CEA">
      <w:pPr>
        <w:spacing w:line="240" w:lineRule="auto"/>
        <w:rPr>
          <w:rFonts w:eastAsia="Times New Roman"/>
          <w:lang w:val="hu-HU" w:eastAsia="en-US"/>
        </w:rPr>
      </w:pPr>
    </w:p>
    <w:p w14:paraId="2F00F64E" w14:textId="77777777" w:rsidR="00342CEA" w:rsidRDefault="00837BAB">
      <w:pPr>
        <w:spacing w:line="240" w:lineRule="auto"/>
        <w:rPr>
          <w:rFonts w:eastAsia="Times New Roman"/>
          <w:lang w:val="hu-HU" w:eastAsia="en-US"/>
        </w:rPr>
      </w:pPr>
      <w:r>
        <w:rPr>
          <w:rFonts w:eastAsia="Times New Roman"/>
          <w:lang w:val="hu-HU" w:eastAsia="en-US"/>
        </w:rPr>
        <w:t xml:space="preserve">Farmakoterápiás csoport: </w:t>
      </w:r>
      <w:r>
        <w:rPr>
          <w:lang w:val="hu-HU" w:eastAsia="en-GB"/>
        </w:rPr>
        <w:t>Antihaemorrhagiás készítmények, egyéb szisztémás vérzéscsillapítók.</w:t>
      </w:r>
      <w:r>
        <w:rPr>
          <w:rFonts w:eastAsia="Times New Roman"/>
          <w:lang w:val="hu-HU" w:eastAsia="en-US"/>
        </w:rPr>
        <w:t xml:space="preserve"> ATC kód: </w:t>
      </w:r>
      <w:r>
        <w:rPr>
          <w:lang w:val="hu-HU" w:eastAsia="en-GB"/>
        </w:rPr>
        <w:t>B02BX 05.</w:t>
      </w:r>
    </w:p>
    <w:p w14:paraId="52F5E9F9" w14:textId="77777777" w:rsidR="00342CEA" w:rsidRDefault="00342CEA">
      <w:pPr>
        <w:autoSpaceDE w:val="0"/>
        <w:autoSpaceDN w:val="0"/>
        <w:spacing w:line="240" w:lineRule="auto"/>
        <w:jc w:val="both"/>
        <w:rPr>
          <w:lang w:val="hu-HU"/>
        </w:rPr>
      </w:pPr>
    </w:p>
    <w:p w14:paraId="3F1DD4EB" w14:textId="77777777" w:rsidR="00342CEA" w:rsidRDefault="00837BAB">
      <w:pPr>
        <w:spacing w:line="240" w:lineRule="auto"/>
        <w:rPr>
          <w:u w:val="single"/>
          <w:lang w:val="hu-HU"/>
        </w:rPr>
      </w:pPr>
      <w:r>
        <w:rPr>
          <w:u w:val="single"/>
          <w:lang w:val="hu-HU"/>
        </w:rPr>
        <w:t>Hatásmechanizmus</w:t>
      </w:r>
    </w:p>
    <w:p w14:paraId="2A614D8E" w14:textId="77777777" w:rsidR="00EF6E44" w:rsidRDefault="00EF6E44">
      <w:pPr>
        <w:spacing w:line="240" w:lineRule="auto"/>
        <w:rPr>
          <w:u w:val="single"/>
          <w:lang w:val="hu-HU"/>
        </w:rPr>
      </w:pPr>
    </w:p>
    <w:p w14:paraId="767DFE94" w14:textId="77777777" w:rsidR="00342CEA" w:rsidRDefault="00837BAB">
      <w:pPr>
        <w:tabs>
          <w:tab w:val="clear" w:pos="567"/>
        </w:tabs>
        <w:autoSpaceDE w:val="0"/>
        <w:autoSpaceDN w:val="0"/>
        <w:spacing w:line="240" w:lineRule="auto"/>
        <w:rPr>
          <w:lang w:val="hu-HU" w:eastAsia="en-GB"/>
        </w:rPr>
      </w:pPr>
      <w:r>
        <w:rPr>
          <w:lang w:val="hu-HU" w:eastAsia="en-GB"/>
        </w:rPr>
        <w:t>A TPO a megakaryopoiesis szabályozásában és a vérlemezke termelésben részt vevő legfontosabb citokin, és a TPO</w:t>
      </w:r>
      <w:r>
        <w:rPr>
          <w:lang w:val="hu-HU" w:eastAsia="en-GB"/>
        </w:rPr>
        <w:noBreakHyphen/>
        <w:t>R endogén ligandja. Az eltrombopag kölcsönhatásba lép a humán TPO</w:t>
      </w:r>
      <w:r>
        <w:rPr>
          <w:lang w:val="hu-HU" w:eastAsia="en-GB"/>
        </w:rPr>
        <w:noBreakHyphen/>
        <w:t>R transzmembrán doménjével, és az endogén thrombopoietinéhoz (TPO) hasonló, de azzal nem azonos kaszkád mechanizmust indít el, ami indukálja a proliferációt és differenciálódást a csontvelő progenitor sejtjeiből.</w:t>
      </w:r>
    </w:p>
    <w:p w14:paraId="5A9C7158" w14:textId="77777777" w:rsidR="00342CEA" w:rsidRDefault="00342CEA">
      <w:pPr>
        <w:spacing w:line="240" w:lineRule="auto"/>
        <w:rPr>
          <w:u w:val="single"/>
          <w:lang w:val="hu-HU"/>
        </w:rPr>
      </w:pPr>
    </w:p>
    <w:p w14:paraId="3EB5274B" w14:textId="77777777" w:rsidR="00342CEA" w:rsidRDefault="00837BAB">
      <w:pPr>
        <w:keepNext/>
        <w:spacing w:line="240" w:lineRule="auto"/>
        <w:rPr>
          <w:u w:val="single"/>
          <w:lang w:val="hu-HU"/>
        </w:rPr>
      </w:pPr>
      <w:r>
        <w:rPr>
          <w:u w:val="single"/>
          <w:lang w:val="hu-HU"/>
        </w:rPr>
        <w:t>Klinikai hatásosság és biztonságosság</w:t>
      </w:r>
    </w:p>
    <w:p w14:paraId="46B1386B" w14:textId="77777777" w:rsidR="00342CEA" w:rsidRDefault="00342CEA">
      <w:pPr>
        <w:keepNext/>
        <w:spacing w:line="240" w:lineRule="auto"/>
        <w:rPr>
          <w:u w:val="single"/>
          <w:lang w:val="hu-HU"/>
        </w:rPr>
      </w:pPr>
    </w:p>
    <w:p w14:paraId="17CE485A"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Immun (primer) thrombocytopenia (ITP) vizsgálatok</w:t>
      </w:r>
    </w:p>
    <w:p w14:paraId="76A528A3" w14:textId="77777777" w:rsidR="00D8246F" w:rsidRDefault="00D8246F">
      <w:pPr>
        <w:tabs>
          <w:tab w:val="clear" w:pos="567"/>
        </w:tabs>
        <w:autoSpaceDE w:val="0"/>
        <w:autoSpaceDN w:val="0"/>
        <w:spacing w:line="240" w:lineRule="auto"/>
        <w:rPr>
          <w:i/>
          <w:u w:val="single"/>
          <w:lang w:val="hu-HU" w:eastAsia="en-GB"/>
        </w:rPr>
      </w:pPr>
    </w:p>
    <w:p w14:paraId="5FBA5240" w14:textId="77777777" w:rsidR="00342CEA" w:rsidRDefault="00837BAB">
      <w:pPr>
        <w:tabs>
          <w:tab w:val="clear" w:pos="567"/>
        </w:tabs>
        <w:autoSpaceDE w:val="0"/>
        <w:autoSpaceDN w:val="0"/>
        <w:spacing w:line="240" w:lineRule="auto"/>
        <w:rPr>
          <w:u w:val="single"/>
          <w:lang w:val="hu-HU"/>
        </w:rPr>
      </w:pPr>
      <w:r>
        <w:rPr>
          <w:lang w:val="hu-HU" w:eastAsia="en-GB"/>
        </w:rPr>
        <w:t>Az eltrombopag biztonságosságát és hatásosságát korábban ITP miatt kezelt felnőtt betegeknél két III. fázisú, randomizált, kettős</w:t>
      </w:r>
      <w:r>
        <w:rPr>
          <w:lang w:val="hu-HU" w:eastAsia="en-GB"/>
        </w:rPr>
        <w:noBreakHyphen/>
        <w:t>vak, placebokontrollos vizsgálat, a RAISE (TRA102537) és a TRA100773B, valamint két nyílt vizsgálat, a REPEAT (TRA108057) és az EXTEND (TRA105325) értékelte. Összességében 277, ITP</w:t>
      </w:r>
      <w:r>
        <w:rPr>
          <w:lang w:val="hu-HU" w:eastAsia="en-GB"/>
        </w:rPr>
        <w:noBreakHyphen/>
        <w:t>s beteg kapott eltrombopagot legalább 6 hónapig 202 beteg pedig legalább 1 évig. A TAPER (CETB115J2411) elnevezésű egy karú, II. fázisú vizsgálatban az eltrombopag biztonságosságát és hatásosságát, valamint a kezelés abbahagyása utáni tartós válasz kiváltása iránti képességét tanulmányozták 105, olyan felnőttkorú ITP</w:t>
      </w:r>
      <w:r>
        <w:rPr>
          <w:lang w:val="hu-HU" w:eastAsia="en-GB"/>
        </w:rPr>
        <w:noBreakHyphen/>
        <w:t>s betegnél, akiknél első vonalbeli kortikoszteroid</w:t>
      </w:r>
      <w:r>
        <w:rPr>
          <w:lang w:val="hu-HU" w:eastAsia="en-GB"/>
        </w:rPr>
        <w:noBreakHyphen/>
        <w:t>kezelés után relapszus lépett fel vagy nem alakult ki terápiás válasz.</w:t>
      </w:r>
    </w:p>
    <w:p w14:paraId="09F24BE0" w14:textId="77777777" w:rsidR="00342CEA" w:rsidRDefault="00342CEA">
      <w:pPr>
        <w:spacing w:line="240" w:lineRule="auto"/>
        <w:rPr>
          <w:u w:val="single"/>
          <w:lang w:val="hu-HU"/>
        </w:rPr>
      </w:pPr>
    </w:p>
    <w:p w14:paraId="2F55960F" w14:textId="77777777" w:rsidR="00342CEA" w:rsidRDefault="00837BAB">
      <w:pPr>
        <w:tabs>
          <w:tab w:val="clear" w:pos="567"/>
        </w:tabs>
        <w:autoSpaceDE w:val="0"/>
        <w:autoSpaceDN w:val="0"/>
        <w:spacing w:line="240" w:lineRule="auto"/>
        <w:rPr>
          <w:i/>
          <w:lang w:val="hu-HU" w:eastAsia="en-GB"/>
        </w:rPr>
      </w:pPr>
      <w:r>
        <w:rPr>
          <w:i/>
          <w:lang w:val="hu-HU" w:eastAsia="en-GB"/>
        </w:rPr>
        <w:t>Kettős vak, placebokontrollos vizsgálatok</w:t>
      </w:r>
    </w:p>
    <w:p w14:paraId="207AE438" w14:textId="77777777" w:rsidR="00D8246F" w:rsidRDefault="00D8246F">
      <w:pPr>
        <w:tabs>
          <w:tab w:val="clear" w:pos="567"/>
        </w:tabs>
        <w:autoSpaceDE w:val="0"/>
        <w:autoSpaceDN w:val="0"/>
        <w:spacing w:line="240" w:lineRule="auto"/>
        <w:rPr>
          <w:i/>
          <w:lang w:val="hu-HU" w:eastAsia="en-GB"/>
        </w:rPr>
      </w:pPr>
    </w:p>
    <w:p w14:paraId="016A9472" w14:textId="77777777" w:rsidR="00342CEA" w:rsidRDefault="00837BAB">
      <w:pPr>
        <w:tabs>
          <w:tab w:val="clear" w:pos="567"/>
        </w:tabs>
        <w:autoSpaceDE w:val="0"/>
        <w:autoSpaceDN w:val="0"/>
        <w:spacing w:line="240" w:lineRule="auto"/>
        <w:rPr>
          <w:lang w:val="hu-HU" w:eastAsia="en-GB"/>
        </w:rPr>
      </w:pPr>
      <w:r>
        <w:rPr>
          <w:lang w:val="hu-HU" w:eastAsia="en-GB"/>
        </w:rPr>
        <w:t xml:space="preserve">RAISE: </w:t>
      </w:r>
    </w:p>
    <w:p w14:paraId="70CD8877" w14:textId="77777777" w:rsidR="00342CEA" w:rsidRDefault="00837BAB">
      <w:pPr>
        <w:tabs>
          <w:tab w:val="clear" w:pos="567"/>
        </w:tabs>
        <w:autoSpaceDE w:val="0"/>
        <w:autoSpaceDN w:val="0"/>
        <w:spacing w:line="240" w:lineRule="auto"/>
        <w:rPr>
          <w:u w:val="single"/>
          <w:lang w:val="hu-HU"/>
        </w:rPr>
      </w:pPr>
      <w:r>
        <w:rPr>
          <w:lang w:val="hu-HU" w:eastAsia="en-GB"/>
        </w:rPr>
        <w:t>197 ITP</w:t>
      </w:r>
      <w:r>
        <w:rPr>
          <w:lang w:val="hu-HU" w:eastAsia="en-GB"/>
        </w:rPr>
        <w:noBreakHyphen/>
        <w:t>s beteget randomizáltak 2:1 arányban eltrombopag</w:t>
      </w:r>
      <w:r>
        <w:rPr>
          <w:lang w:val="hu-HU" w:eastAsia="en-GB"/>
        </w:rPr>
        <w:noBreakHyphen/>
        <w:t xml:space="preserve"> (n = 135) és placebokarra (n = 62), a stratifikációnál a splenectomiás státuszt, az ITP</w:t>
      </w:r>
      <w:r>
        <w:rPr>
          <w:lang w:val="hu-HU" w:eastAsia="en-GB"/>
        </w:rPr>
        <w:noBreakHyphen/>
        <w:t xml:space="preserve">re a vizsgálat indításakor alkalmazott gyógyszereket </w:t>
      </w:r>
      <w:r>
        <w:rPr>
          <w:lang w:val="hu-HU" w:eastAsia="en-GB"/>
        </w:rPr>
        <w:lastRenderedPageBreak/>
        <w:t>és a kiindulási vérlemezkeszámot vették figyelembe. Az eltrombopag dózisát a 6 hónapos kezelési idő alatt a betegek vérlemezkeszáma alapján egyénenként állították be. A kezelést minden betegnél 50 mg eltrombopaggal indították. A 29. naptól a kezelés végéig az eltrombopaggal kezelt betegek 15</w:t>
      </w:r>
      <w:r>
        <w:rPr>
          <w:lang w:val="hu-HU" w:eastAsia="en-GB"/>
        </w:rPr>
        <w:noBreakHyphen/>
        <w:t>28%</w:t>
      </w:r>
      <w:r>
        <w:rPr>
          <w:lang w:val="hu-HU" w:eastAsia="en-GB"/>
        </w:rPr>
        <w:noBreakHyphen/>
        <w:t>a kapott 25 mg</w:t>
      </w:r>
      <w:r>
        <w:rPr>
          <w:lang w:val="hu-HU" w:eastAsia="en-GB"/>
        </w:rPr>
        <w:noBreakHyphen/>
        <w:t>ot vagy annál kevesebbet, és 29</w:t>
      </w:r>
      <w:r>
        <w:rPr>
          <w:lang w:val="hu-HU" w:eastAsia="en-GB"/>
        </w:rPr>
        <w:noBreakHyphen/>
        <w:t>53%</w:t>
      </w:r>
      <w:r>
        <w:rPr>
          <w:lang w:val="hu-HU" w:eastAsia="en-GB"/>
        </w:rPr>
        <w:noBreakHyphen/>
        <w:t>a kapott 75 mg</w:t>
      </w:r>
      <w:r>
        <w:rPr>
          <w:lang w:val="hu-HU" w:eastAsia="en-GB"/>
        </w:rPr>
        <w:noBreakHyphen/>
        <w:t>ot.</w:t>
      </w:r>
    </w:p>
    <w:p w14:paraId="17F94022" w14:textId="77777777" w:rsidR="00342CEA" w:rsidRDefault="00342CEA">
      <w:pPr>
        <w:spacing w:line="240" w:lineRule="auto"/>
        <w:rPr>
          <w:u w:val="single"/>
          <w:lang w:val="hu-HU"/>
        </w:rPr>
      </w:pPr>
    </w:p>
    <w:p w14:paraId="501E23F4" w14:textId="77777777" w:rsidR="00342CEA" w:rsidRDefault="00837BAB">
      <w:pPr>
        <w:tabs>
          <w:tab w:val="clear" w:pos="567"/>
        </w:tabs>
        <w:autoSpaceDE w:val="0"/>
        <w:autoSpaceDN w:val="0"/>
        <w:spacing w:line="240" w:lineRule="auto"/>
        <w:rPr>
          <w:u w:val="single"/>
          <w:lang w:val="hu-HU"/>
        </w:rPr>
      </w:pPr>
      <w:r>
        <w:rPr>
          <w:lang w:val="hu-HU" w:eastAsia="en-GB"/>
        </w:rPr>
        <w:t>Emellett a betegek fokozatosan csökkenthették az ITP kezelésére együtt adott gyógyszereket, és a helyi kezelési standardok szerint kaphatták a mentő kezelést („rescue treatment”). Mindkét kezelési csoportban a betegeknek több mint a fele kapott korábban legalább 3 kezelést ITP miatt, és 36%</w:t>
      </w:r>
      <w:r>
        <w:rPr>
          <w:lang w:val="hu-HU" w:eastAsia="en-GB"/>
        </w:rPr>
        <w:noBreakHyphen/>
        <w:t>uknak korábban eltávolították a lépét.</w:t>
      </w:r>
    </w:p>
    <w:p w14:paraId="2F562C0C" w14:textId="77777777" w:rsidR="00342CEA" w:rsidRDefault="00342CEA">
      <w:pPr>
        <w:spacing w:line="240" w:lineRule="auto"/>
        <w:rPr>
          <w:u w:val="single"/>
          <w:lang w:val="hu-HU"/>
        </w:rPr>
      </w:pPr>
    </w:p>
    <w:p w14:paraId="17E48B20" w14:textId="77777777" w:rsidR="00342CEA" w:rsidRDefault="00837BAB">
      <w:pPr>
        <w:tabs>
          <w:tab w:val="clear" w:pos="567"/>
        </w:tabs>
        <w:autoSpaceDE w:val="0"/>
        <w:autoSpaceDN w:val="0"/>
        <w:spacing w:line="240" w:lineRule="auto"/>
        <w:rPr>
          <w:u w:val="single"/>
          <w:lang w:val="hu-HU"/>
        </w:rPr>
      </w:pPr>
      <w:r>
        <w:rPr>
          <w:lang w:val="hu-HU" w:eastAsia="en-GB"/>
        </w:rPr>
        <w:t>A medián vérlemezkeszám a vizsgálat indításakor mindkét kezelési csoportban 16 000/</w:t>
      </w:r>
      <w:r>
        <w:rPr>
          <w:u w:val="single"/>
          <w:lang w:val="hu-HU"/>
        </w:rPr>
        <w:t>µl</w:t>
      </w:r>
      <w:r>
        <w:rPr>
          <w:lang w:val="hu-HU" w:eastAsia="en-GB"/>
        </w:rPr>
        <w:t xml:space="preserve"> volt, és az eltrombopag</w:t>
      </w:r>
      <w:r>
        <w:rPr>
          <w:lang w:val="hu-HU" w:eastAsia="en-GB"/>
        </w:rPr>
        <w:noBreakHyphen/>
        <w:t>csoportban a 15. naptól kezdődően minden kontroll alkalmával 50 000/</w:t>
      </w:r>
      <w:r>
        <w:rPr>
          <w:lang w:val="hu-HU"/>
        </w:rPr>
        <w:t>µl</w:t>
      </w:r>
      <w:r>
        <w:rPr>
          <w:lang w:val="hu-HU" w:eastAsia="en-GB"/>
        </w:rPr>
        <w:t xml:space="preserve"> felett maradt; ezzel szemben a placebocsoportban a medián vérlemezkeszám 30 000/</w:t>
      </w:r>
      <w:r>
        <w:rPr>
          <w:lang w:val="hu-HU"/>
        </w:rPr>
        <w:t>µl</w:t>
      </w:r>
      <w:r>
        <w:rPr>
          <w:lang w:val="hu-HU" w:eastAsia="en-GB"/>
        </w:rPr>
        <w:t xml:space="preserve"> alatt maradt a vizsgálat egész ideje alatt.</w:t>
      </w:r>
    </w:p>
    <w:p w14:paraId="35B9F808" w14:textId="77777777" w:rsidR="00342CEA" w:rsidRDefault="00342CEA">
      <w:pPr>
        <w:spacing w:line="240" w:lineRule="auto"/>
        <w:rPr>
          <w:u w:val="single"/>
          <w:lang w:val="hu-HU"/>
        </w:rPr>
      </w:pPr>
    </w:p>
    <w:p w14:paraId="3A6D2798" w14:textId="77777777" w:rsidR="00342CEA" w:rsidRDefault="00837BAB">
      <w:pPr>
        <w:tabs>
          <w:tab w:val="clear" w:pos="567"/>
        </w:tabs>
        <w:autoSpaceDE w:val="0"/>
        <w:autoSpaceDN w:val="0"/>
        <w:spacing w:line="240" w:lineRule="auto"/>
        <w:rPr>
          <w:u w:val="single"/>
          <w:lang w:val="hu-HU"/>
        </w:rPr>
      </w:pPr>
      <w:r>
        <w:rPr>
          <w:lang w:val="hu-HU" w:eastAsia="en-GB"/>
        </w:rPr>
        <w:t>Szignifikánsan több beteg ért el 50 000</w:t>
      </w:r>
      <w:r>
        <w:rPr>
          <w:lang w:val="hu-HU" w:eastAsia="en-GB"/>
        </w:rPr>
        <w:noBreakHyphen/>
        <w:t>400 000/</w:t>
      </w:r>
      <w:r>
        <w:rPr>
          <w:lang w:val="hu-HU"/>
        </w:rPr>
        <w:t>µl</w:t>
      </w:r>
      <w:r>
        <w:rPr>
          <w:lang w:val="hu-HU" w:eastAsia="en-GB"/>
        </w:rPr>
        <w:t xml:space="preserve"> közötti vérlemezkeszámot a mentő</w:t>
      </w:r>
      <w:r>
        <w:rPr>
          <w:lang w:val="hu-HU" w:eastAsia="en-GB"/>
        </w:rPr>
        <w:noBreakHyphen/>
        <w:t>kezelés nélkül az eltrombopag</w:t>
      </w:r>
      <w:r>
        <w:rPr>
          <w:lang w:val="hu-HU" w:eastAsia="en-GB"/>
        </w:rPr>
        <w:noBreakHyphen/>
        <w:t>csoportban a 6 hónapos kezelés alatt (p &lt; 0,001). Az eltrombopaggal kezelt betegek 54%</w:t>
      </w:r>
      <w:r>
        <w:rPr>
          <w:lang w:val="hu-HU" w:eastAsia="en-GB"/>
        </w:rPr>
        <w:noBreakHyphen/>
        <w:t>a és a placebot kapók 13%</w:t>
      </w:r>
      <w:r>
        <w:rPr>
          <w:lang w:val="hu-HU" w:eastAsia="en-GB"/>
        </w:rPr>
        <w:noBreakHyphen/>
        <w:t>a ért el ilyen szintű választ 6 hét kezelés után. Hasonló vérlemezke választ sikerült fenntartani a kezelés teljes időtartama alatt, és a betegek 52%</w:t>
      </w:r>
      <w:r>
        <w:rPr>
          <w:lang w:val="hu-HU" w:eastAsia="en-GB"/>
        </w:rPr>
        <w:noBreakHyphen/>
        <w:t>a, ill. 16%</w:t>
      </w:r>
      <w:r>
        <w:rPr>
          <w:lang w:val="hu-HU" w:eastAsia="en-GB"/>
        </w:rPr>
        <w:noBreakHyphen/>
        <w:t>a reagált a 6. hónapos kezelési időszak végén.</w:t>
      </w:r>
    </w:p>
    <w:p w14:paraId="0894C026" w14:textId="77777777" w:rsidR="00342CEA" w:rsidRDefault="00342CEA">
      <w:pPr>
        <w:spacing w:line="240" w:lineRule="auto"/>
        <w:rPr>
          <w:u w:val="single"/>
          <w:lang w:val="hu-HU"/>
        </w:rPr>
      </w:pPr>
    </w:p>
    <w:p w14:paraId="4D9C21AF" w14:textId="77777777" w:rsidR="00342CEA" w:rsidRDefault="00837BAB">
      <w:pPr>
        <w:tabs>
          <w:tab w:val="clear" w:pos="567"/>
          <w:tab w:val="left" w:pos="1134"/>
        </w:tabs>
        <w:spacing w:line="240" w:lineRule="auto"/>
        <w:rPr>
          <w:b/>
          <w:bCs/>
          <w:lang w:val="hu-HU" w:eastAsia="en-GB"/>
        </w:rPr>
      </w:pPr>
      <w:r>
        <w:rPr>
          <w:b/>
          <w:bCs/>
          <w:lang w:val="hu-HU" w:eastAsia="en-GB"/>
        </w:rPr>
        <w:t>4. táblázat</w:t>
      </w:r>
      <w:r>
        <w:rPr>
          <w:b/>
          <w:bCs/>
          <w:lang w:val="hu-HU" w:eastAsia="en-GB"/>
        </w:rPr>
        <w:tab/>
        <w:t>A RAISE vizsgálat másodlagos hatásossági eredményei</w:t>
      </w:r>
    </w:p>
    <w:p w14:paraId="6D18FB7D" w14:textId="77777777" w:rsidR="00D8246F" w:rsidRDefault="00D8246F">
      <w:pPr>
        <w:tabs>
          <w:tab w:val="clear" w:pos="567"/>
          <w:tab w:val="left" w:pos="1134"/>
        </w:tabs>
        <w:spacing w:line="240" w:lineRule="auto"/>
        <w:rPr>
          <w:b/>
          <w:bCs/>
          <w:u w:val="single"/>
          <w:lang w:val="hu-HU"/>
        </w:rPr>
      </w:pPr>
    </w:p>
    <w:tbl>
      <w:tblPr>
        <w:tblW w:w="9062" w:type="dxa"/>
        <w:tblInd w:w="5" w:type="dxa"/>
        <w:tblBorders>
          <w:top w:val="nil"/>
          <w:left w:val="nil"/>
          <w:bottom w:val="nil"/>
          <w:right w:val="nil"/>
          <w:insideH w:val="nil"/>
          <w:insideV w:val="nil"/>
        </w:tblBorders>
        <w:tblCellMar>
          <w:top w:w="13" w:type="dxa"/>
          <w:bottom w:w="7" w:type="dxa"/>
          <w:right w:w="33" w:type="dxa"/>
        </w:tblCellMar>
        <w:tblLook w:val="04A0" w:firstRow="1" w:lastRow="0" w:firstColumn="1" w:lastColumn="0" w:noHBand="0" w:noVBand="1"/>
      </w:tblPr>
      <w:tblGrid>
        <w:gridCol w:w="6059"/>
        <w:gridCol w:w="1656"/>
        <w:gridCol w:w="1347"/>
      </w:tblGrid>
      <w:tr w:rsidR="00342CEA" w14:paraId="1EA934A4" w14:textId="77777777">
        <w:trPr>
          <w:trHeight w:val="516"/>
        </w:trPr>
        <w:tc>
          <w:tcPr>
            <w:tcW w:w="6059" w:type="dxa"/>
            <w:tcBorders>
              <w:top w:val="single" w:sz="4" w:space="0" w:color="000000"/>
              <w:left w:val="single" w:sz="4" w:space="0" w:color="000000"/>
              <w:bottom w:val="single" w:sz="4" w:space="0" w:color="000000"/>
              <w:right w:val="single" w:sz="4" w:space="0" w:color="000000"/>
            </w:tcBorders>
            <w:vAlign w:val="bottom"/>
          </w:tcPr>
          <w:p w14:paraId="79C51308" w14:textId="77777777" w:rsidR="00342CEA" w:rsidRDefault="00342CEA">
            <w:pPr>
              <w:rPr>
                <w:lang w:val="hu-HU" w:eastAsia="en-US"/>
              </w:rPr>
            </w:pPr>
          </w:p>
        </w:tc>
        <w:tc>
          <w:tcPr>
            <w:tcW w:w="1656" w:type="dxa"/>
            <w:tcBorders>
              <w:top w:val="single" w:sz="4" w:space="0" w:color="000000"/>
              <w:left w:val="single" w:sz="4" w:space="0" w:color="000000"/>
              <w:bottom w:val="single" w:sz="4" w:space="0" w:color="000000"/>
              <w:right w:val="single" w:sz="4" w:space="0" w:color="000000"/>
            </w:tcBorders>
          </w:tcPr>
          <w:p w14:paraId="18781FA8" w14:textId="77777777" w:rsidR="00342CEA" w:rsidRDefault="00837BAB">
            <w:pPr>
              <w:keepNext/>
              <w:keepLines/>
              <w:widowControl w:val="0"/>
              <w:jc w:val="center"/>
              <w:rPr>
                <w:b/>
                <w:bCs/>
                <w:lang w:val="hu-HU" w:eastAsia="en-US"/>
              </w:rPr>
            </w:pPr>
            <w:r>
              <w:rPr>
                <w:b/>
                <w:bCs/>
                <w:lang w:val="hu-HU" w:eastAsia="en-US"/>
              </w:rPr>
              <w:t>Eltrombopag N = 135</w:t>
            </w:r>
          </w:p>
        </w:tc>
        <w:tc>
          <w:tcPr>
            <w:tcW w:w="1347" w:type="dxa"/>
            <w:tcBorders>
              <w:top w:val="single" w:sz="4" w:space="0" w:color="000000"/>
              <w:left w:val="single" w:sz="4" w:space="0" w:color="000000"/>
              <w:bottom w:val="single" w:sz="4" w:space="0" w:color="000000"/>
              <w:right w:val="single" w:sz="4" w:space="0" w:color="000000"/>
            </w:tcBorders>
          </w:tcPr>
          <w:p w14:paraId="53632C59" w14:textId="77777777" w:rsidR="00342CEA" w:rsidRDefault="00837BAB">
            <w:pPr>
              <w:keepNext/>
              <w:keepLines/>
              <w:widowControl w:val="0"/>
              <w:jc w:val="center"/>
              <w:rPr>
                <w:b/>
                <w:bCs/>
                <w:lang w:val="hu-HU" w:eastAsia="en-US"/>
              </w:rPr>
            </w:pPr>
            <w:r>
              <w:rPr>
                <w:b/>
                <w:bCs/>
                <w:lang w:val="hu-HU" w:eastAsia="en-US"/>
              </w:rPr>
              <w:t>Placebo N = 62</w:t>
            </w:r>
          </w:p>
        </w:tc>
      </w:tr>
      <w:tr w:rsidR="00342CEA" w14:paraId="61B62351" w14:textId="77777777">
        <w:trPr>
          <w:trHeight w:val="263"/>
        </w:trPr>
        <w:tc>
          <w:tcPr>
            <w:tcW w:w="6059" w:type="dxa"/>
            <w:tcBorders>
              <w:top w:val="single" w:sz="4" w:space="0" w:color="000000"/>
              <w:left w:val="single" w:sz="4" w:space="0" w:color="000000"/>
              <w:bottom w:val="single" w:sz="4" w:space="0" w:color="000000"/>
              <w:right w:val="nil"/>
            </w:tcBorders>
          </w:tcPr>
          <w:p w14:paraId="5C55370A" w14:textId="77777777" w:rsidR="00342CEA" w:rsidRDefault="00837BAB">
            <w:pPr>
              <w:rPr>
                <w:lang w:val="hu-HU" w:eastAsia="en-US"/>
              </w:rPr>
            </w:pPr>
            <w:r>
              <w:rPr>
                <w:lang w:val="hu-HU" w:eastAsia="en-GB"/>
              </w:rPr>
              <w:t>A legfontosabb másodlagos végpontok</w:t>
            </w:r>
          </w:p>
        </w:tc>
        <w:tc>
          <w:tcPr>
            <w:tcW w:w="1656" w:type="dxa"/>
            <w:tcBorders>
              <w:top w:val="single" w:sz="4" w:space="0" w:color="000000"/>
              <w:left w:val="nil"/>
              <w:bottom w:val="single" w:sz="4" w:space="0" w:color="000000"/>
              <w:right w:val="nil"/>
            </w:tcBorders>
          </w:tcPr>
          <w:p w14:paraId="4C2D7511" w14:textId="77777777" w:rsidR="00342CEA" w:rsidRDefault="00342CEA">
            <w:pPr>
              <w:keepNext/>
              <w:keepLines/>
              <w:widowControl w:val="0"/>
              <w:jc w:val="center"/>
              <w:rPr>
                <w:lang w:val="hu-HU" w:eastAsia="en-US"/>
              </w:rPr>
            </w:pPr>
          </w:p>
        </w:tc>
        <w:tc>
          <w:tcPr>
            <w:tcW w:w="1347" w:type="dxa"/>
            <w:tcBorders>
              <w:top w:val="single" w:sz="4" w:space="0" w:color="000000"/>
              <w:left w:val="nil"/>
              <w:bottom w:val="single" w:sz="4" w:space="0" w:color="000000"/>
              <w:right w:val="single" w:sz="4" w:space="0" w:color="000000"/>
            </w:tcBorders>
          </w:tcPr>
          <w:p w14:paraId="06F0DF60" w14:textId="77777777" w:rsidR="00342CEA" w:rsidRDefault="00342CEA">
            <w:pPr>
              <w:keepNext/>
              <w:keepLines/>
              <w:widowControl w:val="0"/>
              <w:jc w:val="center"/>
              <w:rPr>
                <w:lang w:val="hu-HU" w:eastAsia="en-US"/>
              </w:rPr>
            </w:pPr>
          </w:p>
        </w:tc>
      </w:tr>
      <w:tr w:rsidR="00342CEA" w14:paraId="64021B53" w14:textId="77777777">
        <w:trPr>
          <w:trHeight w:val="532"/>
        </w:trPr>
        <w:tc>
          <w:tcPr>
            <w:tcW w:w="6059" w:type="dxa"/>
            <w:tcBorders>
              <w:top w:val="single" w:sz="4" w:space="0" w:color="000000"/>
              <w:left w:val="single" w:sz="4" w:space="0" w:color="000000"/>
              <w:bottom w:val="single" w:sz="4" w:space="0" w:color="000000"/>
              <w:right w:val="single" w:sz="4" w:space="0" w:color="000000"/>
            </w:tcBorders>
          </w:tcPr>
          <w:p w14:paraId="2375B22B" w14:textId="77777777" w:rsidR="00342CEA" w:rsidRDefault="00837BAB">
            <w:pPr>
              <w:tabs>
                <w:tab w:val="clear" w:pos="567"/>
              </w:tabs>
              <w:autoSpaceDE w:val="0"/>
              <w:autoSpaceDN w:val="0"/>
              <w:spacing w:line="240" w:lineRule="auto"/>
              <w:rPr>
                <w:lang w:val="hu-HU" w:eastAsia="en-US"/>
              </w:rPr>
            </w:pPr>
            <w:r>
              <w:rPr>
                <w:lang w:val="hu-HU" w:eastAsia="en-GB"/>
              </w:rPr>
              <w:t xml:space="preserve">Kumulatív hetek száma </w:t>
            </w:r>
            <w:r>
              <w:rPr>
                <w:lang w:val="hu-HU" w:eastAsia="en-US"/>
              </w:rPr>
              <w:t>≥ </w:t>
            </w:r>
            <w:r>
              <w:rPr>
                <w:lang w:val="hu-HU" w:eastAsia="en-GB"/>
              </w:rPr>
              <w:t>50 000</w:t>
            </w:r>
            <w:r>
              <w:rPr>
                <w:lang w:val="hu-HU" w:eastAsia="en-GB"/>
              </w:rPr>
              <w:noBreakHyphen/>
              <w:t>400 000/</w:t>
            </w:r>
            <w:r>
              <w:rPr>
                <w:lang w:val="hu-HU"/>
              </w:rPr>
              <w:t>µl</w:t>
            </w:r>
            <w:r>
              <w:rPr>
                <w:lang w:val="hu-HU" w:eastAsia="en-GB"/>
              </w:rPr>
              <w:t xml:space="preserve"> vérlemezkeszámmal, átlagérték (SD)</w:t>
            </w:r>
          </w:p>
        </w:tc>
        <w:tc>
          <w:tcPr>
            <w:tcW w:w="1656" w:type="dxa"/>
            <w:tcBorders>
              <w:top w:val="single" w:sz="4" w:space="0" w:color="000000"/>
              <w:left w:val="single" w:sz="4" w:space="0" w:color="000000"/>
              <w:bottom w:val="single" w:sz="4" w:space="0" w:color="000000"/>
              <w:right w:val="single" w:sz="4" w:space="0" w:color="000000"/>
            </w:tcBorders>
            <w:vAlign w:val="center"/>
          </w:tcPr>
          <w:p w14:paraId="7540E9FE" w14:textId="77777777" w:rsidR="00342CEA" w:rsidRDefault="00837BAB">
            <w:pPr>
              <w:keepNext/>
              <w:keepLines/>
              <w:widowControl w:val="0"/>
              <w:jc w:val="center"/>
              <w:rPr>
                <w:lang w:val="hu-HU" w:eastAsia="en-US"/>
              </w:rPr>
            </w:pPr>
            <w:r>
              <w:rPr>
                <w:lang w:val="hu-HU" w:eastAsia="en-US"/>
              </w:rPr>
              <w:t>11,3 (9,46)</w:t>
            </w:r>
          </w:p>
        </w:tc>
        <w:tc>
          <w:tcPr>
            <w:tcW w:w="1347" w:type="dxa"/>
            <w:tcBorders>
              <w:top w:val="single" w:sz="4" w:space="0" w:color="000000"/>
              <w:left w:val="single" w:sz="4" w:space="0" w:color="000000"/>
              <w:bottom w:val="single" w:sz="4" w:space="0" w:color="000000"/>
              <w:right w:val="single" w:sz="4" w:space="0" w:color="000000"/>
            </w:tcBorders>
          </w:tcPr>
          <w:p w14:paraId="565DB553" w14:textId="77777777" w:rsidR="00342CEA" w:rsidRDefault="00837BAB">
            <w:pPr>
              <w:keepNext/>
              <w:keepLines/>
              <w:widowControl w:val="0"/>
              <w:spacing w:before="120"/>
              <w:jc w:val="center"/>
              <w:rPr>
                <w:lang w:val="hu-HU" w:eastAsia="en-US"/>
              </w:rPr>
            </w:pPr>
            <w:r>
              <w:rPr>
                <w:lang w:val="hu-HU" w:eastAsia="en-US"/>
              </w:rPr>
              <w:t>2,4 (5,95)</w:t>
            </w:r>
          </w:p>
        </w:tc>
      </w:tr>
      <w:tr w:rsidR="00342CEA" w14:paraId="11116380" w14:textId="77777777">
        <w:trPr>
          <w:trHeight w:val="264"/>
        </w:trPr>
        <w:tc>
          <w:tcPr>
            <w:tcW w:w="6059" w:type="dxa"/>
            <w:vMerge w:val="restart"/>
            <w:tcBorders>
              <w:top w:val="single" w:sz="4" w:space="0" w:color="000000"/>
              <w:left w:val="single" w:sz="4" w:space="0" w:color="000000"/>
              <w:bottom w:val="single" w:sz="4" w:space="0" w:color="000000"/>
              <w:right w:val="single" w:sz="4" w:space="0" w:color="000000"/>
            </w:tcBorders>
          </w:tcPr>
          <w:p w14:paraId="3FDF27C1" w14:textId="77777777" w:rsidR="00342CEA" w:rsidRDefault="00837BAB">
            <w:pPr>
              <w:tabs>
                <w:tab w:val="clear" w:pos="567"/>
              </w:tabs>
              <w:autoSpaceDE w:val="0"/>
              <w:autoSpaceDN w:val="0"/>
              <w:spacing w:line="240" w:lineRule="auto"/>
              <w:rPr>
                <w:lang w:val="hu-HU" w:eastAsia="en-US"/>
              </w:rPr>
            </w:pPr>
            <w:r>
              <w:rPr>
                <w:lang w:val="hu-HU" w:eastAsia="en-GB"/>
              </w:rPr>
              <w:t>Betegek, akiknél a mért értékek ≥ 75%</w:t>
            </w:r>
            <w:r>
              <w:rPr>
                <w:lang w:val="hu-HU" w:eastAsia="en-GB"/>
              </w:rPr>
              <w:noBreakHyphen/>
              <w:t>a a megcélzott tartományban (50 000</w:t>
            </w:r>
            <w:r>
              <w:rPr>
                <w:lang w:val="hu-HU" w:eastAsia="en-GB"/>
              </w:rPr>
              <w:noBreakHyphen/>
              <w:t>400 000/</w:t>
            </w:r>
            <w:r>
              <w:rPr>
                <w:lang w:val="hu-HU"/>
              </w:rPr>
              <w:t>µl</w:t>
            </w:r>
            <w:r>
              <w:rPr>
                <w:lang w:val="hu-HU" w:eastAsia="en-GB"/>
              </w:rPr>
              <w:t>) volt, n (%)</w:t>
            </w:r>
          </w:p>
          <w:p w14:paraId="6F04E077" w14:textId="77777777" w:rsidR="00342CEA" w:rsidRDefault="00837BAB">
            <w:pPr>
              <w:rPr>
                <w:lang w:val="hu-HU" w:eastAsia="en-US"/>
              </w:rPr>
            </w:pPr>
            <w:r>
              <w:rPr>
                <w:lang w:val="hu-HU" w:eastAsia="en-US"/>
              </w:rPr>
              <w:tab/>
            </w:r>
            <w:r>
              <w:rPr>
                <w:i/>
                <w:lang w:val="hu-HU" w:eastAsia="en-US"/>
              </w:rPr>
              <w:t>p-</w:t>
            </w:r>
            <w:r>
              <w:rPr>
                <w:lang w:val="hu-HU" w:eastAsia="en-US"/>
              </w:rPr>
              <w:t>érték</w:t>
            </w:r>
            <w:r>
              <w:rPr>
                <w:vertAlign w:val="superscript"/>
                <w:lang w:val="hu-HU"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29242EC4" w14:textId="77777777" w:rsidR="00342CEA" w:rsidRDefault="00837BAB">
            <w:pPr>
              <w:keepNext/>
              <w:keepLines/>
              <w:widowControl w:val="0"/>
              <w:jc w:val="center"/>
              <w:rPr>
                <w:lang w:val="hu-HU" w:eastAsia="en-US"/>
              </w:rPr>
            </w:pPr>
            <w:r>
              <w:rPr>
                <w:lang w:val="hu-HU" w:eastAsia="en-US"/>
              </w:rPr>
              <w:t>51 (38)</w:t>
            </w:r>
          </w:p>
        </w:tc>
        <w:tc>
          <w:tcPr>
            <w:tcW w:w="1347" w:type="dxa"/>
            <w:tcBorders>
              <w:top w:val="single" w:sz="4" w:space="0" w:color="000000"/>
              <w:left w:val="single" w:sz="4" w:space="0" w:color="000000"/>
              <w:bottom w:val="single" w:sz="4" w:space="0" w:color="000000"/>
              <w:right w:val="single" w:sz="4" w:space="0" w:color="000000"/>
            </w:tcBorders>
          </w:tcPr>
          <w:p w14:paraId="6C22E0A7" w14:textId="77777777" w:rsidR="00342CEA" w:rsidRDefault="00837BAB">
            <w:pPr>
              <w:keepNext/>
              <w:keepLines/>
              <w:widowControl w:val="0"/>
              <w:jc w:val="center"/>
              <w:rPr>
                <w:lang w:val="hu-HU" w:eastAsia="en-US"/>
              </w:rPr>
            </w:pPr>
            <w:r>
              <w:rPr>
                <w:lang w:val="hu-HU" w:eastAsia="en-US"/>
              </w:rPr>
              <w:t>4 (7)</w:t>
            </w:r>
          </w:p>
        </w:tc>
      </w:tr>
      <w:tr w:rsidR="00342CEA" w14:paraId="49D2309D" w14:textId="77777777">
        <w:trPr>
          <w:trHeight w:val="522"/>
        </w:trPr>
        <w:tc>
          <w:tcPr>
            <w:tcW w:w="0" w:type="auto"/>
            <w:vMerge/>
            <w:tcBorders>
              <w:top w:val="single" w:sz="4" w:space="0" w:color="000000"/>
              <w:left w:val="single" w:sz="4" w:space="0" w:color="000000"/>
              <w:bottom w:val="single" w:sz="4" w:space="0" w:color="000000"/>
              <w:right w:val="single" w:sz="4" w:space="0" w:color="000000"/>
            </w:tcBorders>
          </w:tcPr>
          <w:p w14:paraId="6322F0A7" w14:textId="77777777" w:rsidR="00342CEA" w:rsidRDefault="00342CEA">
            <w:pPr>
              <w:tabs>
                <w:tab w:val="clear" w:pos="567"/>
              </w:tabs>
              <w:autoSpaceDE w:val="0"/>
              <w:autoSpaceDN w:val="0"/>
              <w:spacing w:line="240" w:lineRule="auto"/>
              <w:rPr>
                <w:lang w:val="hu-HU"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4E7717A0" w14:textId="77777777" w:rsidR="00342CEA" w:rsidRDefault="00837BAB">
            <w:pPr>
              <w:keepNext/>
              <w:keepLines/>
              <w:widowControl w:val="0"/>
              <w:jc w:val="center"/>
              <w:rPr>
                <w:lang w:val="hu-HU" w:eastAsia="en-US"/>
              </w:rPr>
            </w:pPr>
            <w:r>
              <w:rPr>
                <w:lang w:val="hu-HU" w:eastAsia="en-US"/>
              </w:rPr>
              <w:t>&lt;0,001</w:t>
            </w:r>
          </w:p>
        </w:tc>
      </w:tr>
      <w:tr w:rsidR="00342CEA" w14:paraId="6B1A939D"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1F9FC88F" w14:textId="77777777" w:rsidR="00342CEA" w:rsidRDefault="00837BAB">
            <w:pPr>
              <w:tabs>
                <w:tab w:val="clear" w:pos="567"/>
              </w:tabs>
              <w:autoSpaceDE w:val="0"/>
              <w:autoSpaceDN w:val="0"/>
              <w:spacing w:line="240" w:lineRule="auto"/>
              <w:rPr>
                <w:lang w:val="hu-HU" w:eastAsia="en-US"/>
              </w:rPr>
            </w:pPr>
            <w:r>
              <w:rPr>
                <w:lang w:val="hu-HU" w:eastAsia="en-GB"/>
              </w:rPr>
              <w:t>Betegek, akiknél vérzés jelentkezett (WHO 1</w:t>
            </w:r>
            <w:r>
              <w:rPr>
                <w:lang w:val="hu-HU" w:eastAsia="en-GB"/>
              </w:rPr>
              <w:noBreakHyphen/>
              <w:t>4. fokozat) bármikor a 6 hónap során, n (%)</w:t>
            </w:r>
          </w:p>
          <w:p w14:paraId="4FDDE167" w14:textId="77777777" w:rsidR="00342CEA" w:rsidRDefault="00837BAB">
            <w:pPr>
              <w:rPr>
                <w:lang w:val="hu-HU" w:eastAsia="en-US"/>
              </w:rPr>
            </w:pPr>
            <w:r>
              <w:rPr>
                <w:lang w:val="hu-HU" w:eastAsia="en-US"/>
              </w:rPr>
              <w:tab/>
            </w:r>
            <w:r>
              <w:rPr>
                <w:i/>
                <w:lang w:val="hu-HU" w:eastAsia="en-US"/>
              </w:rPr>
              <w:t>p-</w:t>
            </w:r>
            <w:r>
              <w:rPr>
                <w:lang w:val="hu-HU" w:eastAsia="en-US"/>
              </w:rPr>
              <w:t>érték</w:t>
            </w:r>
            <w:r>
              <w:rPr>
                <w:vertAlign w:val="superscript"/>
                <w:lang w:val="hu-HU"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0E1D02E3" w14:textId="77777777" w:rsidR="00342CEA" w:rsidRDefault="00837BAB">
            <w:pPr>
              <w:keepNext/>
              <w:keepLines/>
              <w:widowControl w:val="0"/>
              <w:jc w:val="center"/>
              <w:rPr>
                <w:lang w:val="hu-HU" w:eastAsia="en-US"/>
              </w:rPr>
            </w:pPr>
            <w:r>
              <w:rPr>
                <w:lang w:val="hu-HU" w:eastAsia="en-US"/>
              </w:rPr>
              <w:t>106 (79)</w:t>
            </w:r>
          </w:p>
        </w:tc>
        <w:tc>
          <w:tcPr>
            <w:tcW w:w="1347" w:type="dxa"/>
            <w:tcBorders>
              <w:top w:val="single" w:sz="4" w:space="0" w:color="000000"/>
              <w:left w:val="single" w:sz="4" w:space="0" w:color="000000"/>
              <w:bottom w:val="single" w:sz="4" w:space="0" w:color="000000"/>
              <w:right w:val="single" w:sz="4" w:space="0" w:color="000000"/>
            </w:tcBorders>
          </w:tcPr>
          <w:p w14:paraId="0A048979" w14:textId="77777777" w:rsidR="00342CEA" w:rsidRDefault="00837BAB">
            <w:pPr>
              <w:keepNext/>
              <w:keepLines/>
              <w:widowControl w:val="0"/>
              <w:jc w:val="center"/>
              <w:rPr>
                <w:lang w:val="hu-HU" w:eastAsia="en-US"/>
              </w:rPr>
            </w:pPr>
            <w:r>
              <w:rPr>
                <w:lang w:val="hu-HU" w:eastAsia="en-US"/>
              </w:rPr>
              <w:t>56 (93)</w:t>
            </w:r>
          </w:p>
        </w:tc>
      </w:tr>
      <w:tr w:rsidR="00342CEA" w14:paraId="07B85544" w14:textId="77777777">
        <w:trPr>
          <w:trHeight w:val="506"/>
        </w:trPr>
        <w:tc>
          <w:tcPr>
            <w:tcW w:w="0" w:type="auto"/>
            <w:vMerge/>
            <w:tcBorders>
              <w:top w:val="single" w:sz="4" w:space="0" w:color="000000"/>
              <w:left w:val="single" w:sz="4" w:space="0" w:color="000000"/>
              <w:bottom w:val="single" w:sz="4" w:space="0" w:color="000000"/>
              <w:right w:val="single" w:sz="4" w:space="0" w:color="000000"/>
            </w:tcBorders>
          </w:tcPr>
          <w:p w14:paraId="759DD1C3" w14:textId="77777777" w:rsidR="00342CEA" w:rsidRDefault="00342CEA">
            <w:pPr>
              <w:tabs>
                <w:tab w:val="clear" w:pos="567"/>
              </w:tabs>
              <w:autoSpaceDE w:val="0"/>
              <w:autoSpaceDN w:val="0"/>
              <w:spacing w:line="240" w:lineRule="auto"/>
              <w:rPr>
                <w:lang w:val="hu-HU" w:eastAsia="en-US"/>
              </w:rPr>
            </w:pPr>
          </w:p>
        </w:tc>
        <w:tc>
          <w:tcPr>
            <w:tcW w:w="3003" w:type="dxa"/>
            <w:gridSpan w:val="2"/>
            <w:tcBorders>
              <w:top w:val="single" w:sz="4" w:space="0" w:color="000000"/>
              <w:left w:val="single" w:sz="4" w:space="0" w:color="000000"/>
              <w:bottom w:val="single" w:sz="4" w:space="0" w:color="000000"/>
              <w:right w:val="single" w:sz="4" w:space="0" w:color="000000"/>
            </w:tcBorders>
          </w:tcPr>
          <w:p w14:paraId="42851D0D" w14:textId="77777777" w:rsidR="00342CEA" w:rsidRDefault="00837BAB">
            <w:pPr>
              <w:keepNext/>
              <w:keepLines/>
              <w:widowControl w:val="0"/>
              <w:jc w:val="center"/>
              <w:rPr>
                <w:lang w:val="hu-HU" w:eastAsia="en-US"/>
              </w:rPr>
            </w:pPr>
            <w:r>
              <w:rPr>
                <w:lang w:val="hu-HU" w:eastAsia="en-US"/>
              </w:rPr>
              <w:t>0,012</w:t>
            </w:r>
          </w:p>
        </w:tc>
      </w:tr>
      <w:tr w:rsidR="00342CEA" w14:paraId="781FDFB0"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45ABC780" w14:textId="77777777" w:rsidR="00342CEA" w:rsidRDefault="00837BAB">
            <w:pPr>
              <w:tabs>
                <w:tab w:val="clear" w:pos="567"/>
              </w:tabs>
              <w:autoSpaceDE w:val="0"/>
              <w:autoSpaceDN w:val="0"/>
              <w:spacing w:line="240" w:lineRule="auto"/>
              <w:rPr>
                <w:lang w:val="hu-HU" w:eastAsia="en-US"/>
              </w:rPr>
            </w:pPr>
            <w:r>
              <w:rPr>
                <w:lang w:val="hu-HU" w:eastAsia="en-GB"/>
              </w:rPr>
              <w:t>Betegek, akiknél vérzés jelentkezett (WHO 2</w:t>
            </w:r>
            <w:r>
              <w:rPr>
                <w:lang w:val="hu-HU" w:eastAsia="en-GB"/>
              </w:rPr>
              <w:noBreakHyphen/>
              <w:t>4. fokozat) bármikor a 6 hónap során, n (%)</w:t>
            </w:r>
          </w:p>
          <w:p w14:paraId="6A11635F" w14:textId="77777777" w:rsidR="00342CEA" w:rsidRDefault="00837BAB">
            <w:pPr>
              <w:rPr>
                <w:lang w:val="hu-HU" w:eastAsia="en-US"/>
              </w:rPr>
            </w:pPr>
            <w:r>
              <w:rPr>
                <w:lang w:val="hu-HU" w:eastAsia="en-US"/>
              </w:rPr>
              <w:tab/>
            </w:r>
            <w:r>
              <w:rPr>
                <w:i/>
                <w:lang w:val="hu-HU" w:eastAsia="en-US"/>
              </w:rPr>
              <w:t>p-</w:t>
            </w:r>
            <w:r>
              <w:rPr>
                <w:lang w:val="hu-HU" w:eastAsia="en-US"/>
              </w:rPr>
              <w:t>érték</w:t>
            </w:r>
            <w:r>
              <w:rPr>
                <w:vertAlign w:val="superscript"/>
                <w:lang w:val="hu-HU"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381E269A" w14:textId="77777777" w:rsidR="00342CEA" w:rsidRDefault="00837BAB">
            <w:pPr>
              <w:keepNext/>
              <w:keepLines/>
              <w:widowControl w:val="0"/>
              <w:jc w:val="center"/>
              <w:rPr>
                <w:lang w:val="hu-HU" w:eastAsia="en-US"/>
              </w:rPr>
            </w:pPr>
            <w:r>
              <w:rPr>
                <w:lang w:val="hu-HU" w:eastAsia="en-US"/>
              </w:rPr>
              <w:t>44 (33)</w:t>
            </w:r>
          </w:p>
        </w:tc>
        <w:tc>
          <w:tcPr>
            <w:tcW w:w="1347" w:type="dxa"/>
            <w:tcBorders>
              <w:top w:val="single" w:sz="4" w:space="0" w:color="000000"/>
              <w:left w:val="single" w:sz="4" w:space="0" w:color="000000"/>
              <w:bottom w:val="single" w:sz="4" w:space="0" w:color="000000"/>
              <w:right w:val="single" w:sz="4" w:space="0" w:color="000000"/>
            </w:tcBorders>
          </w:tcPr>
          <w:p w14:paraId="77BBBBC8" w14:textId="77777777" w:rsidR="00342CEA" w:rsidRDefault="00837BAB">
            <w:pPr>
              <w:keepNext/>
              <w:keepLines/>
              <w:widowControl w:val="0"/>
              <w:jc w:val="center"/>
              <w:rPr>
                <w:lang w:val="hu-HU" w:eastAsia="en-US"/>
              </w:rPr>
            </w:pPr>
            <w:r>
              <w:rPr>
                <w:lang w:val="hu-HU" w:eastAsia="en-US"/>
              </w:rPr>
              <w:t>32 (53)</w:t>
            </w:r>
          </w:p>
        </w:tc>
      </w:tr>
      <w:tr w:rsidR="00342CEA" w14:paraId="7B563085" w14:textId="77777777">
        <w:trPr>
          <w:trHeight w:val="506"/>
        </w:trPr>
        <w:tc>
          <w:tcPr>
            <w:tcW w:w="0" w:type="auto"/>
            <w:vMerge/>
            <w:tcBorders>
              <w:top w:val="single" w:sz="4" w:space="0" w:color="000000"/>
              <w:left w:val="single" w:sz="4" w:space="0" w:color="000000"/>
              <w:bottom w:val="single" w:sz="4" w:space="0" w:color="000000"/>
              <w:right w:val="single" w:sz="4" w:space="0" w:color="000000"/>
            </w:tcBorders>
          </w:tcPr>
          <w:p w14:paraId="79D562D6" w14:textId="77777777" w:rsidR="00342CEA" w:rsidRDefault="00342CEA">
            <w:pPr>
              <w:tabs>
                <w:tab w:val="clear" w:pos="567"/>
              </w:tabs>
              <w:autoSpaceDE w:val="0"/>
              <w:autoSpaceDN w:val="0"/>
              <w:spacing w:line="240" w:lineRule="auto"/>
              <w:rPr>
                <w:lang w:val="hu-HU"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0A3DAE59" w14:textId="77777777" w:rsidR="00342CEA" w:rsidRDefault="00837BAB">
            <w:pPr>
              <w:keepNext/>
              <w:keepLines/>
              <w:widowControl w:val="0"/>
              <w:jc w:val="center"/>
              <w:rPr>
                <w:lang w:val="hu-HU" w:eastAsia="en-US"/>
              </w:rPr>
            </w:pPr>
            <w:r>
              <w:rPr>
                <w:lang w:val="hu-HU" w:eastAsia="en-US"/>
              </w:rPr>
              <w:t>0,002</w:t>
            </w:r>
          </w:p>
        </w:tc>
      </w:tr>
      <w:tr w:rsidR="00342CEA" w14:paraId="25DE5B23"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34905441" w14:textId="77777777" w:rsidR="00342CEA" w:rsidRDefault="00837BAB">
            <w:pPr>
              <w:rPr>
                <w:lang w:val="hu-HU" w:eastAsia="en-US"/>
              </w:rPr>
            </w:pPr>
            <w:r>
              <w:rPr>
                <w:lang w:val="hu-HU" w:eastAsia="en-GB"/>
              </w:rPr>
              <w:t>Mentő terápiát igénylő betegek, n (%)</w:t>
            </w:r>
          </w:p>
          <w:p w14:paraId="1FFD17DC" w14:textId="77777777" w:rsidR="00342CEA" w:rsidRDefault="00837BAB">
            <w:pPr>
              <w:rPr>
                <w:lang w:val="hu-HU" w:eastAsia="en-US"/>
              </w:rPr>
            </w:pPr>
            <w:r>
              <w:rPr>
                <w:lang w:val="hu-HU" w:eastAsia="en-US"/>
              </w:rPr>
              <w:tab/>
            </w:r>
            <w:r>
              <w:rPr>
                <w:i/>
                <w:lang w:val="hu-HU" w:eastAsia="en-US"/>
              </w:rPr>
              <w:t>p-</w:t>
            </w:r>
            <w:r>
              <w:rPr>
                <w:lang w:val="hu-HU" w:eastAsia="en-US"/>
              </w:rPr>
              <w:t>érték</w:t>
            </w:r>
            <w:r>
              <w:rPr>
                <w:vertAlign w:val="superscript"/>
                <w:lang w:val="hu-HU"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4B890905" w14:textId="77777777" w:rsidR="00342CEA" w:rsidRDefault="00837BAB">
            <w:pPr>
              <w:keepNext/>
              <w:keepLines/>
              <w:widowControl w:val="0"/>
              <w:jc w:val="center"/>
              <w:rPr>
                <w:lang w:val="hu-HU" w:eastAsia="en-US"/>
              </w:rPr>
            </w:pPr>
            <w:r>
              <w:rPr>
                <w:lang w:val="hu-HU" w:eastAsia="en-US"/>
              </w:rPr>
              <w:t>24 (18)</w:t>
            </w:r>
          </w:p>
        </w:tc>
        <w:tc>
          <w:tcPr>
            <w:tcW w:w="1347" w:type="dxa"/>
            <w:tcBorders>
              <w:top w:val="single" w:sz="4" w:space="0" w:color="000000"/>
              <w:left w:val="single" w:sz="4" w:space="0" w:color="000000"/>
              <w:bottom w:val="single" w:sz="4" w:space="0" w:color="000000"/>
              <w:right w:val="single" w:sz="4" w:space="0" w:color="000000"/>
            </w:tcBorders>
          </w:tcPr>
          <w:p w14:paraId="632BE433" w14:textId="77777777" w:rsidR="00342CEA" w:rsidRDefault="00837BAB">
            <w:pPr>
              <w:keepNext/>
              <w:keepLines/>
              <w:widowControl w:val="0"/>
              <w:jc w:val="center"/>
              <w:rPr>
                <w:lang w:val="hu-HU" w:eastAsia="en-US"/>
              </w:rPr>
            </w:pPr>
            <w:r>
              <w:rPr>
                <w:lang w:val="hu-HU" w:eastAsia="en-US"/>
              </w:rPr>
              <w:t>25 (40)</w:t>
            </w:r>
          </w:p>
        </w:tc>
      </w:tr>
      <w:tr w:rsidR="00342CEA" w14:paraId="1138EF2A" w14:textId="77777777">
        <w:trPr>
          <w:trHeight w:val="263"/>
        </w:trPr>
        <w:tc>
          <w:tcPr>
            <w:tcW w:w="0" w:type="auto"/>
            <w:vMerge/>
            <w:tcBorders>
              <w:top w:val="single" w:sz="4" w:space="0" w:color="000000"/>
              <w:left w:val="single" w:sz="4" w:space="0" w:color="000000"/>
              <w:bottom w:val="single" w:sz="4" w:space="0" w:color="000000"/>
              <w:right w:val="single" w:sz="4" w:space="0" w:color="000000"/>
            </w:tcBorders>
          </w:tcPr>
          <w:p w14:paraId="5E5B02B0" w14:textId="77777777" w:rsidR="00342CEA" w:rsidRDefault="00342CEA">
            <w:pPr>
              <w:rPr>
                <w:lang w:val="hu-HU" w:eastAsia="en-US"/>
              </w:rPr>
            </w:pPr>
          </w:p>
        </w:tc>
        <w:tc>
          <w:tcPr>
            <w:tcW w:w="3003" w:type="dxa"/>
            <w:gridSpan w:val="2"/>
            <w:tcBorders>
              <w:top w:val="single" w:sz="4" w:space="0" w:color="000000"/>
              <w:left w:val="single" w:sz="4" w:space="0" w:color="000000"/>
              <w:bottom w:val="single" w:sz="4" w:space="0" w:color="000000"/>
              <w:right w:val="single" w:sz="4" w:space="0" w:color="000000"/>
            </w:tcBorders>
          </w:tcPr>
          <w:p w14:paraId="648303E2" w14:textId="77777777" w:rsidR="00342CEA" w:rsidRDefault="00837BAB">
            <w:pPr>
              <w:keepNext/>
              <w:keepLines/>
              <w:widowControl w:val="0"/>
              <w:jc w:val="center"/>
              <w:rPr>
                <w:lang w:val="hu-HU" w:eastAsia="en-US"/>
              </w:rPr>
            </w:pPr>
            <w:r>
              <w:rPr>
                <w:lang w:val="hu-HU" w:eastAsia="en-US"/>
              </w:rPr>
              <w:t>0,001</w:t>
            </w:r>
          </w:p>
        </w:tc>
      </w:tr>
      <w:tr w:rsidR="00342CEA" w14:paraId="1BC1F91F" w14:textId="77777777">
        <w:trPr>
          <w:trHeight w:val="263"/>
        </w:trPr>
        <w:tc>
          <w:tcPr>
            <w:tcW w:w="6059" w:type="dxa"/>
            <w:tcBorders>
              <w:top w:val="single" w:sz="4" w:space="0" w:color="000000"/>
              <w:left w:val="single" w:sz="4" w:space="0" w:color="000000"/>
              <w:bottom w:val="single" w:sz="4" w:space="0" w:color="000000"/>
              <w:right w:val="single" w:sz="4" w:space="0" w:color="000000"/>
            </w:tcBorders>
          </w:tcPr>
          <w:p w14:paraId="503BCD9D" w14:textId="77777777" w:rsidR="00342CEA" w:rsidRDefault="00837BAB">
            <w:pPr>
              <w:rPr>
                <w:lang w:val="hu-HU" w:eastAsia="en-US"/>
              </w:rPr>
            </w:pPr>
            <w:r>
              <w:rPr>
                <w:lang w:val="hu-HU" w:eastAsia="en-GB"/>
              </w:rPr>
              <w:t>A vizsgálat indításakor ITP miatt kezelést kapott betegek (n)</w:t>
            </w:r>
          </w:p>
        </w:tc>
        <w:tc>
          <w:tcPr>
            <w:tcW w:w="1656" w:type="dxa"/>
            <w:tcBorders>
              <w:top w:val="single" w:sz="4" w:space="0" w:color="000000"/>
              <w:left w:val="single" w:sz="4" w:space="0" w:color="000000"/>
              <w:bottom w:val="single" w:sz="4" w:space="0" w:color="000000"/>
              <w:right w:val="single" w:sz="4" w:space="0" w:color="000000"/>
            </w:tcBorders>
          </w:tcPr>
          <w:p w14:paraId="214BD215" w14:textId="77777777" w:rsidR="00342CEA" w:rsidRDefault="00837BAB">
            <w:pPr>
              <w:keepNext/>
              <w:keepLines/>
              <w:widowControl w:val="0"/>
              <w:jc w:val="center"/>
              <w:rPr>
                <w:lang w:val="hu-HU" w:eastAsia="en-US"/>
              </w:rPr>
            </w:pPr>
            <w:r>
              <w:rPr>
                <w:lang w:val="hu-HU" w:eastAsia="en-US"/>
              </w:rPr>
              <w:t>63</w:t>
            </w:r>
          </w:p>
        </w:tc>
        <w:tc>
          <w:tcPr>
            <w:tcW w:w="1347" w:type="dxa"/>
            <w:tcBorders>
              <w:top w:val="single" w:sz="4" w:space="0" w:color="000000"/>
              <w:left w:val="single" w:sz="4" w:space="0" w:color="000000"/>
              <w:bottom w:val="single" w:sz="4" w:space="0" w:color="000000"/>
              <w:right w:val="single" w:sz="4" w:space="0" w:color="000000"/>
            </w:tcBorders>
          </w:tcPr>
          <w:p w14:paraId="74C7457E" w14:textId="77777777" w:rsidR="00342CEA" w:rsidRDefault="00837BAB">
            <w:pPr>
              <w:keepNext/>
              <w:keepLines/>
              <w:widowControl w:val="0"/>
              <w:jc w:val="center"/>
              <w:rPr>
                <w:lang w:val="hu-HU" w:eastAsia="en-US"/>
              </w:rPr>
            </w:pPr>
            <w:r>
              <w:rPr>
                <w:lang w:val="hu-HU" w:eastAsia="en-US"/>
              </w:rPr>
              <w:t>31</w:t>
            </w:r>
          </w:p>
        </w:tc>
      </w:tr>
      <w:tr w:rsidR="00342CEA" w14:paraId="55A7C425" w14:textId="77777777">
        <w:trPr>
          <w:trHeight w:val="263"/>
        </w:trPr>
        <w:tc>
          <w:tcPr>
            <w:tcW w:w="6059" w:type="dxa"/>
            <w:vMerge w:val="restart"/>
            <w:tcBorders>
              <w:top w:val="single" w:sz="4" w:space="0" w:color="000000"/>
              <w:left w:val="single" w:sz="4" w:space="0" w:color="000000"/>
              <w:bottom w:val="single" w:sz="4" w:space="0" w:color="000000"/>
              <w:right w:val="single" w:sz="4" w:space="0" w:color="000000"/>
            </w:tcBorders>
          </w:tcPr>
          <w:p w14:paraId="7B7EE7F6" w14:textId="77777777" w:rsidR="00342CEA" w:rsidRDefault="00837BAB">
            <w:pPr>
              <w:tabs>
                <w:tab w:val="clear" w:pos="567"/>
              </w:tabs>
              <w:autoSpaceDE w:val="0"/>
              <w:autoSpaceDN w:val="0"/>
              <w:spacing w:line="240" w:lineRule="auto"/>
              <w:rPr>
                <w:lang w:val="hu-HU" w:eastAsia="en-US"/>
              </w:rPr>
            </w:pPr>
            <w:r>
              <w:rPr>
                <w:lang w:val="hu-HU" w:eastAsia="en-GB"/>
              </w:rPr>
              <w:t xml:space="preserve">A vizsgálat indításakor kapott gyógyszerek csökkentését vagy abbahagyását megpróbáló betegek, n </w:t>
            </w:r>
            <w:r>
              <w:rPr>
                <w:lang w:val="hu-HU" w:eastAsia="en-US"/>
              </w:rPr>
              <w:t>(%)</w:t>
            </w:r>
            <w:r>
              <w:rPr>
                <w:vertAlign w:val="superscript"/>
                <w:lang w:val="hu-HU" w:eastAsia="en-US"/>
              </w:rPr>
              <w:t>b</w:t>
            </w:r>
          </w:p>
          <w:p w14:paraId="4E95B011" w14:textId="77777777" w:rsidR="00342CEA" w:rsidRDefault="00837BAB">
            <w:pPr>
              <w:rPr>
                <w:lang w:val="hu-HU" w:eastAsia="en-US"/>
              </w:rPr>
            </w:pPr>
            <w:r>
              <w:rPr>
                <w:lang w:val="hu-HU" w:eastAsia="en-US"/>
              </w:rPr>
              <w:tab/>
            </w:r>
            <w:r>
              <w:rPr>
                <w:i/>
                <w:lang w:val="hu-HU" w:eastAsia="en-US"/>
              </w:rPr>
              <w:t>p-</w:t>
            </w:r>
            <w:r>
              <w:rPr>
                <w:lang w:val="hu-HU" w:eastAsia="en-US"/>
              </w:rPr>
              <w:t>érték</w:t>
            </w:r>
            <w:r>
              <w:rPr>
                <w:vertAlign w:val="superscript"/>
                <w:lang w:val="hu-HU" w:eastAsia="en-US"/>
              </w:rPr>
              <w:t>a</w:t>
            </w:r>
          </w:p>
        </w:tc>
        <w:tc>
          <w:tcPr>
            <w:tcW w:w="1656" w:type="dxa"/>
            <w:tcBorders>
              <w:top w:val="single" w:sz="4" w:space="0" w:color="000000"/>
              <w:left w:val="single" w:sz="4" w:space="0" w:color="000000"/>
              <w:bottom w:val="single" w:sz="4" w:space="0" w:color="000000"/>
              <w:right w:val="single" w:sz="4" w:space="0" w:color="000000"/>
            </w:tcBorders>
          </w:tcPr>
          <w:p w14:paraId="5F906500" w14:textId="77777777" w:rsidR="00342CEA" w:rsidRDefault="00837BAB">
            <w:pPr>
              <w:keepNext/>
              <w:keepLines/>
              <w:widowControl w:val="0"/>
              <w:jc w:val="center"/>
              <w:rPr>
                <w:lang w:val="hu-HU" w:eastAsia="en-US"/>
              </w:rPr>
            </w:pPr>
            <w:r>
              <w:rPr>
                <w:lang w:val="hu-HU" w:eastAsia="en-US"/>
              </w:rPr>
              <w:t>37 (59)</w:t>
            </w:r>
          </w:p>
        </w:tc>
        <w:tc>
          <w:tcPr>
            <w:tcW w:w="1347" w:type="dxa"/>
            <w:tcBorders>
              <w:top w:val="single" w:sz="4" w:space="0" w:color="000000"/>
              <w:left w:val="single" w:sz="4" w:space="0" w:color="000000"/>
              <w:bottom w:val="single" w:sz="4" w:space="0" w:color="000000"/>
              <w:right w:val="single" w:sz="4" w:space="0" w:color="000000"/>
            </w:tcBorders>
          </w:tcPr>
          <w:p w14:paraId="417F8F43" w14:textId="77777777" w:rsidR="00342CEA" w:rsidRDefault="00837BAB">
            <w:pPr>
              <w:keepNext/>
              <w:keepLines/>
              <w:widowControl w:val="0"/>
              <w:jc w:val="center"/>
              <w:rPr>
                <w:lang w:val="hu-HU" w:eastAsia="en-US"/>
              </w:rPr>
            </w:pPr>
            <w:r>
              <w:rPr>
                <w:lang w:val="hu-HU" w:eastAsia="en-US"/>
              </w:rPr>
              <w:t>10 (32)</w:t>
            </w:r>
          </w:p>
        </w:tc>
      </w:tr>
      <w:tr w:rsidR="00342CEA" w14:paraId="5FC2CBFF" w14:textId="77777777">
        <w:trPr>
          <w:trHeight w:val="506"/>
        </w:trPr>
        <w:tc>
          <w:tcPr>
            <w:tcW w:w="0" w:type="auto"/>
            <w:vMerge/>
            <w:tcBorders>
              <w:top w:val="single" w:sz="4" w:space="0" w:color="000000"/>
              <w:left w:val="single" w:sz="4" w:space="0" w:color="000000"/>
              <w:bottom w:val="single" w:sz="4" w:space="0" w:color="000000"/>
              <w:right w:val="single" w:sz="4" w:space="0" w:color="000000"/>
            </w:tcBorders>
          </w:tcPr>
          <w:p w14:paraId="201CB23C" w14:textId="77777777" w:rsidR="00342CEA" w:rsidRDefault="00342CEA">
            <w:pPr>
              <w:tabs>
                <w:tab w:val="clear" w:pos="567"/>
              </w:tabs>
              <w:autoSpaceDE w:val="0"/>
              <w:autoSpaceDN w:val="0"/>
              <w:spacing w:line="240" w:lineRule="auto"/>
              <w:rPr>
                <w:lang w:val="hu-HU" w:eastAsia="en-US"/>
              </w:rPr>
            </w:pPr>
          </w:p>
        </w:tc>
        <w:tc>
          <w:tcPr>
            <w:tcW w:w="3003" w:type="dxa"/>
            <w:gridSpan w:val="2"/>
            <w:tcBorders>
              <w:top w:val="single" w:sz="4" w:space="0" w:color="000000"/>
              <w:left w:val="single" w:sz="4" w:space="0" w:color="000000"/>
              <w:bottom w:val="single" w:sz="4" w:space="0" w:color="000000"/>
              <w:right w:val="single" w:sz="4" w:space="0" w:color="000000"/>
            </w:tcBorders>
            <w:vAlign w:val="center"/>
          </w:tcPr>
          <w:p w14:paraId="07EE65C4" w14:textId="77777777" w:rsidR="00342CEA" w:rsidRDefault="00837BAB">
            <w:pPr>
              <w:keepNext/>
              <w:keepLines/>
              <w:widowControl w:val="0"/>
              <w:jc w:val="center"/>
              <w:rPr>
                <w:lang w:val="hu-HU" w:eastAsia="en-US"/>
              </w:rPr>
            </w:pPr>
            <w:r>
              <w:rPr>
                <w:lang w:val="hu-HU" w:eastAsia="en-US"/>
              </w:rPr>
              <w:t>0,016</w:t>
            </w:r>
          </w:p>
        </w:tc>
      </w:tr>
    </w:tbl>
    <w:p w14:paraId="4F18CD87" w14:textId="77777777" w:rsidR="00342CEA" w:rsidRDefault="00837BAB">
      <w:pPr>
        <w:rPr>
          <w:lang w:val="hu-HU" w:eastAsia="en-US"/>
        </w:rPr>
      </w:pPr>
      <w:r>
        <w:rPr>
          <w:vertAlign w:val="superscript"/>
          <w:lang w:val="hu-HU" w:eastAsia="en-US"/>
        </w:rPr>
        <w:t>a</w:t>
      </w:r>
      <w:r>
        <w:rPr>
          <w:lang w:val="hu-HU" w:eastAsia="en-US"/>
        </w:rPr>
        <w:t xml:space="preserve"> </w:t>
      </w:r>
      <w:r>
        <w:rPr>
          <w:lang w:val="hu-HU" w:eastAsia="en-GB"/>
        </w:rPr>
        <w:t>Randomizációs stratifikációs változókkal korrigált logisztikai regressziós modell</w:t>
      </w:r>
    </w:p>
    <w:p w14:paraId="0591905C" w14:textId="77777777" w:rsidR="00342CEA" w:rsidRDefault="00837BAB">
      <w:pPr>
        <w:tabs>
          <w:tab w:val="clear" w:pos="567"/>
        </w:tabs>
        <w:autoSpaceDE w:val="0"/>
        <w:autoSpaceDN w:val="0"/>
        <w:spacing w:line="240" w:lineRule="auto"/>
        <w:rPr>
          <w:lang w:val="hu-HU" w:eastAsia="en-US"/>
        </w:rPr>
      </w:pPr>
      <w:r>
        <w:rPr>
          <w:vertAlign w:val="superscript"/>
          <w:lang w:val="hu-HU" w:eastAsia="en-US"/>
        </w:rPr>
        <w:t>b</w:t>
      </w:r>
      <w:r>
        <w:rPr>
          <w:lang w:val="hu-HU" w:eastAsia="en-US"/>
        </w:rPr>
        <w:t xml:space="preserve"> </w:t>
      </w:r>
      <w:r>
        <w:rPr>
          <w:lang w:val="hu-HU" w:eastAsia="en-GB"/>
        </w:rPr>
        <w:t>Az eltrombopaggal kezelt 63 beteg közül, akik a vizsgálat indításakor az ITP kezelésére gyógyszert szedtek, 21 (33%) tartósan abbahagyta az összes, kiinduláskor ITP</w:t>
      </w:r>
      <w:r>
        <w:rPr>
          <w:lang w:val="hu-HU" w:eastAsia="en-GB"/>
        </w:rPr>
        <w:noBreakHyphen/>
        <w:t>re alkalmazott gyógyszert.</w:t>
      </w:r>
    </w:p>
    <w:p w14:paraId="3C5BC482" w14:textId="77777777" w:rsidR="00342CEA" w:rsidRDefault="00342CEA">
      <w:pPr>
        <w:spacing w:line="240" w:lineRule="auto"/>
        <w:rPr>
          <w:u w:val="single"/>
          <w:lang w:val="hu-HU"/>
        </w:rPr>
      </w:pPr>
    </w:p>
    <w:p w14:paraId="278E73B6" w14:textId="77777777" w:rsidR="00342CEA" w:rsidRDefault="00837BAB">
      <w:pPr>
        <w:tabs>
          <w:tab w:val="clear" w:pos="567"/>
        </w:tabs>
        <w:autoSpaceDE w:val="0"/>
        <w:autoSpaceDN w:val="0"/>
        <w:spacing w:line="240" w:lineRule="auto"/>
        <w:rPr>
          <w:lang w:val="hu-HU" w:eastAsia="en-GB"/>
        </w:rPr>
      </w:pPr>
      <w:r>
        <w:rPr>
          <w:lang w:val="hu-HU" w:eastAsia="en-GB"/>
        </w:rPr>
        <w:t>A vizsgálat indításakor minden kezelési csoportban az ITP</w:t>
      </w:r>
      <w:r>
        <w:rPr>
          <w:lang w:val="hu-HU" w:eastAsia="en-GB"/>
        </w:rPr>
        <w:noBreakHyphen/>
        <w:t>s betegek több mint 70%</w:t>
      </w:r>
      <w:r>
        <w:rPr>
          <w:lang w:val="hu-HU" w:eastAsia="en-GB"/>
        </w:rPr>
        <w:noBreakHyphen/>
        <w:t>a számolt be vérzésről (WHO 1</w:t>
      </w:r>
      <w:r>
        <w:rPr>
          <w:lang w:val="hu-HU" w:eastAsia="en-GB"/>
        </w:rPr>
        <w:noBreakHyphen/>
        <w:t>4</w:t>
      </w:r>
      <w:r>
        <w:rPr>
          <w:lang w:val="hu-HU" w:eastAsia="en-GB"/>
        </w:rPr>
        <w:noBreakHyphen/>
        <w:t>es fokozat), és több mint 20% számolt be klinikailag jelentős vérzésről (WHO 2</w:t>
      </w:r>
      <w:r>
        <w:rPr>
          <w:lang w:val="hu-HU" w:eastAsia="en-GB"/>
        </w:rPr>
        <w:noBreakHyphen/>
        <w:t>4</w:t>
      </w:r>
      <w:r>
        <w:rPr>
          <w:lang w:val="hu-HU" w:eastAsia="en-GB"/>
        </w:rPr>
        <w:noBreakHyphen/>
        <w:t>es fokozat). A bármilyen vérzést (1</w:t>
      </w:r>
      <w:r>
        <w:rPr>
          <w:lang w:val="hu-HU" w:eastAsia="en-GB"/>
        </w:rPr>
        <w:noBreakHyphen/>
        <w:t>4</w:t>
      </w:r>
      <w:r>
        <w:rPr>
          <w:lang w:val="hu-HU" w:eastAsia="en-GB"/>
        </w:rPr>
        <w:noBreakHyphen/>
        <w:t>es fokozat) és a klinikailag jelentős vérzést (2</w:t>
      </w:r>
      <w:r>
        <w:rPr>
          <w:lang w:val="hu-HU" w:eastAsia="en-GB"/>
        </w:rPr>
        <w:noBreakHyphen/>
        <w:t>4</w:t>
      </w:r>
      <w:r>
        <w:rPr>
          <w:lang w:val="hu-HU" w:eastAsia="en-GB"/>
        </w:rPr>
        <w:noBreakHyphen/>
        <w:t>es fokozat) észlelő, eltrombopagot kapó betegek aránya megközelítőleg 50%</w:t>
      </w:r>
      <w:r>
        <w:rPr>
          <w:lang w:val="hu-HU" w:eastAsia="en-GB"/>
        </w:rPr>
        <w:noBreakHyphen/>
        <w:t>kal csökkent a kiindulási értékhez képest a 15. naptól kezdődően a 6 hónapos kezelés alatt, a kezelés végéig.</w:t>
      </w:r>
    </w:p>
    <w:p w14:paraId="1EF9E7B5" w14:textId="77777777" w:rsidR="00342CEA" w:rsidRDefault="00342CEA">
      <w:pPr>
        <w:tabs>
          <w:tab w:val="clear" w:pos="567"/>
        </w:tabs>
        <w:autoSpaceDE w:val="0"/>
        <w:autoSpaceDN w:val="0"/>
        <w:spacing w:line="240" w:lineRule="auto"/>
        <w:rPr>
          <w:lang w:val="hu-HU" w:eastAsia="en-GB"/>
        </w:rPr>
      </w:pPr>
    </w:p>
    <w:p w14:paraId="743AD561" w14:textId="77777777" w:rsidR="00342CEA" w:rsidRDefault="00837BAB" w:rsidP="006C1619">
      <w:pPr>
        <w:keepNext/>
        <w:tabs>
          <w:tab w:val="clear" w:pos="567"/>
        </w:tabs>
        <w:autoSpaceDE w:val="0"/>
        <w:autoSpaceDN w:val="0"/>
        <w:spacing w:line="240" w:lineRule="auto"/>
        <w:rPr>
          <w:lang w:val="hu-HU" w:eastAsia="en-GB"/>
        </w:rPr>
      </w:pPr>
      <w:r>
        <w:rPr>
          <w:lang w:val="hu-HU" w:eastAsia="en-GB"/>
        </w:rPr>
        <w:lastRenderedPageBreak/>
        <w:t xml:space="preserve">TRA100773B: </w:t>
      </w:r>
    </w:p>
    <w:p w14:paraId="427935CB" w14:textId="77777777" w:rsidR="00D8246F" w:rsidRDefault="00D8246F" w:rsidP="006C1619">
      <w:pPr>
        <w:keepNext/>
        <w:tabs>
          <w:tab w:val="clear" w:pos="567"/>
        </w:tabs>
        <w:autoSpaceDE w:val="0"/>
        <w:autoSpaceDN w:val="0"/>
        <w:spacing w:line="240" w:lineRule="auto"/>
        <w:rPr>
          <w:lang w:val="hu-HU" w:eastAsia="en-GB"/>
        </w:rPr>
      </w:pPr>
    </w:p>
    <w:p w14:paraId="1018E726" w14:textId="77777777" w:rsidR="00342CEA" w:rsidRDefault="00837BAB">
      <w:pPr>
        <w:tabs>
          <w:tab w:val="clear" w:pos="567"/>
        </w:tabs>
        <w:autoSpaceDE w:val="0"/>
        <w:autoSpaceDN w:val="0"/>
        <w:spacing w:line="240" w:lineRule="auto"/>
        <w:rPr>
          <w:u w:val="single"/>
          <w:lang w:val="hu-HU"/>
        </w:rPr>
      </w:pPr>
      <w:r>
        <w:rPr>
          <w:lang w:val="hu-HU" w:eastAsia="en-GB"/>
        </w:rPr>
        <w:t>Az elsődleges hatásossági végpont a válaszadók aránya volt, akik a definíció szerint olyan ITP</w:t>
      </w:r>
      <w:r>
        <w:rPr>
          <w:lang w:val="hu-HU" w:eastAsia="en-GB"/>
        </w:rPr>
        <w:noBreakHyphen/>
        <w:t xml:space="preserve">s betegek voltak, akiknek a vérlemezkeszáma </w:t>
      </w:r>
      <w:r>
        <w:rPr>
          <w:lang w:val="hu-HU"/>
        </w:rPr>
        <w:t>≥ </w:t>
      </w:r>
      <w:r>
        <w:rPr>
          <w:lang w:val="hu-HU" w:eastAsia="en-GB"/>
        </w:rPr>
        <w:t>50 000/</w:t>
      </w:r>
      <w:r>
        <w:rPr>
          <w:lang w:val="hu-HU"/>
        </w:rPr>
        <w:t>µl</w:t>
      </w:r>
      <w:r>
        <w:rPr>
          <w:lang w:val="hu-HU" w:eastAsia="en-GB"/>
        </w:rPr>
        <w:t xml:space="preserve"> értékre emelkedett a 43. napon a kiinduláskor mért &lt; 30 000/</w:t>
      </w:r>
      <w:r>
        <w:rPr>
          <w:lang w:val="hu-HU"/>
        </w:rPr>
        <w:t>µl-</w:t>
      </w:r>
      <w:r>
        <w:rPr>
          <w:lang w:val="hu-HU" w:eastAsia="en-GB"/>
        </w:rPr>
        <w:t>ről; a vizsgálatból 200 000/</w:t>
      </w:r>
      <w:r>
        <w:rPr>
          <w:lang w:val="hu-HU"/>
        </w:rPr>
        <w:t>µl-</w:t>
      </w:r>
      <w:r>
        <w:rPr>
          <w:lang w:val="hu-HU" w:eastAsia="en-GB"/>
        </w:rPr>
        <w:t>nél magasabb vérlemezkeszám miatt idő előtt kivont betegeket válaszadónak tekintették, azokat, akik más okból léptek ki vizsgálatból, választ nem adónak tekintették, tekintet nélkül a vérlemezkeszámra. Összesen 114, korábban ITP miatt kezelt beteget randomizáltak 2:1 arányban eltrombopagra (n = 76) és placebora (n = 38).</w:t>
      </w:r>
    </w:p>
    <w:p w14:paraId="2668487D" w14:textId="77777777" w:rsidR="00342CEA" w:rsidRDefault="00342CEA">
      <w:pPr>
        <w:spacing w:line="240" w:lineRule="auto"/>
        <w:rPr>
          <w:u w:val="single"/>
          <w:lang w:val="hu-HU"/>
        </w:rPr>
      </w:pPr>
    </w:p>
    <w:p w14:paraId="09B1B948" w14:textId="77777777" w:rsidR="00342CEA" w:rsidRDefault="00837BAB">
      <w:pPr>
        <w:tabs>
          <w:tab w:val="clear" w:pos="567"/>
          <w:tab w:val="left" w:pos="1134"/>
        </w:tabs>
        <w:spacing w:line="240" w:lineRule="auto"/>
        <w:rPr>
          <w:b/>
          <w:bCs/>
          <w:lang w:val="hu-HU" w:eastAsia="en-GB"/>
        </w:rPr>
      </w:pPr>
      <w:r>
        <w:rPr>
          <w:b/>
          <w:bCs/>
          <w:lang w:val="hu-HU" w:eastAsia="en-GB"/>
        </w:rPr>
        <w:t>5. táblázat</w:t>
      </w:r>
      <w:r>
        <w:rPr>
          <w:b/>
          <w:bCs/>
          <w:lang w:val="hu-HU" w:eastAsia="en-GB"/>
        </w:rPr>
        <w:tab/>
        <w:t>A TRA100773B vizsgálat hatásossági eredményei</w:t>
      </w:r>
    </w:p>
    <w:p w14:paraId="50C3DED2" w14:textId="77777777" w:rsidR="00D8246F" w:rsidRDefault="00D8246F">
      <w:pPr>
        <w:tabs>
          <w:tab w:val="clear" w:pos="567"/>
          <w:tab w:val="left" w:pos="1134"/>
        </w:tabs>
        <w:spacing w:line="240" w:lineRule="auto"/>
        <w:rPr>
          <w:b/>
          <w:bCs/>
          <w:u w:val="single"/>
          <w:lang w:val="hu-HU"/>
        </w:rPr>
      </w:pPr>
    </w:p>
    <w:tbl>
      <w:tblPr>
        <w:tblW w:w="9062" w:type="dxa"/>
        <w:tblInd w:w="5" w:type="dxa"/>
        <w:tblBorders>
          <w:top w:val="nil"/>
          <w:left w:val="nil"/>
          <w:bottom w:val="nil"/>
          <w:right w:val="nil"/>
          <w:insideH w:val="nil"/>
          <w:insideV w:val="nil"/>
        </w:tblBorders>
        <w:tblCellMar>
          <w:top w:w="13" w:type="dxa"/>
          <w:bottom w:w="7" w:type="dxa"/>
          <w:right w:w="189" w:type="dxa"/>
        </w:tblCellMar>
        <w:tblLook w:val="04A0" w:firstRow="1" w:lastRow="0" w:firstColumn="1" w:lastColumn="0" w:noHBand="0" w:noVBand="1"/>
      </w:tblPr>
      <w:tblGrid>
        <w:gridCol w:w="5750"/>
        <w:gridCol w:w="1710"/>
        <w:gridCol w:w="1602"/>
      </w:tblGrid>
      <w:tr w:rsidR="00342CEA" w14:paraId="45A9C783" w14:textId="77777777">
        <w:trPr>
          <w:trHeight w:val="516"/>
        </w:trPr>
        <w:tc>
          <w:tcPr>
            <w:tcW w:w="5750" w:type="dxa"/>
            <w:tcBorders>
              <w:top w:val="single" w:sz="4" w:space="0" w:color="000000"/>
              <w:left w:val="single" w:sz="4" w:space="0" w:color="000000"/>
              <w:bottom w:val="single" w:sz="4" w:space="0" w:color="000000"/>
              <w:right w:val="single" w:sz="4" w:space="0" w:color="000000"/>
            </w:tcBorders>
            <w:vAlign w:val="bottom"/>
          </w:tcPr>
          <w:p w14:paraId="021DB8C8" w14:textId="77777777" w:rsidR="00342CEA" w:rsidRDefault="00342CEA">
            <w:pPr>
              <w:rPr>
                <w:lang w:val="hu-HU" w:eastAsia="en-US"/>
              </w:rPr>
            </w:pPr>
          </w:p>
        </w:tc>
        <w:tc>
          <w:tcPr>
            <w:tcW w:w="1710" w:type="dxa"/>
            <w:tcBorders>
              <w:top w:val="single" w:sz="4" w:space="0" w:color="000000"/>
              <w:left w:val="single" w:sz="4" w:space="0" w:color="000000"/>
              <w:bottom w:val="single" w:sz="4" w:space="0" w:color="000000"/>
              <w:right w:val="single" w:sz="4" w:space="0" w:color="000000"/>
            </w:tcBorders>
          </w:tcPr>
          <w:p w14:paraId="494677EB" w14:textId="77777777" w:rsidR="00342CEA" w:rsidRDefault="00837BAB">
            <w:pPr>
              <w:keepNext/>
              <w:keepLines/>
              <w:widowControl w:val="0"/>
              <w:jc w:val="center"/>
              <w:rPr>
                <w:b/>
                <w:bCs/>
                <w:lang w:val="hu-HU" w:eastAsia="en-US"/>
              </w:rPr>
            </w:pPr>
            <w:r>
              <w:rPr>
                <w:b/>
                <w:bCs/>
                <w:lang w:val="hu-HU" w:eastAsia="en-US"/>
              </w:rPr>
              <w:t>Eltrombopag N = 74</w:t>
            </w:r>
          </w:p>
        </w:tc>
        <w:tc>
          <w:tcPr>
            <w:tcW w:w="1602" w:type="dxa"/>
            <w:tcBorders>
              <w:top w:val="single" w:sz="4" w:space="0" w:color="000000"/>
              <w:left w:val="single" w:sz="4" w:space="0" w:color="000000"/>
              <w:bottom w:val="single" w:sz="4" w:space="0" w:color="000000"/>
              <w:right w:val="single" w:sz="4" w:space="0" w:color="000000"/>
            </w:tcBorders>
          </w:tcPr>
          <w:p w14:paraId="2F73531B" w14:textId="77777777" w:rsidR="00342CEA" w:rsidRDefault="00837BAB">
            <w:pPr>
              <w:keepNext/>
              <w:keepLines/>
              <w:widowControl w:val="0"/>
              <w:jc w:val="center"/>
              <w:rPr>
                <w:b/>
                <w:bCs/>
                <w:lang w:val="hu-HU" w:eastAsia="en-US"/>
              </w:rPr>
            </w:pPr>
            <w:r>
              <w:rPr>
                <w:b/>
                <w:bCs/>
                <w:lang w:val="hu-HU" w:eastAsia="en-US"/>
              </w:rPr>
              <w:t xml:space="preserve">Placebo </w:t>
            </w:r>
          </w:p>
          <w:p w14:paraId="76481064" w14:textId="77777777" w:rsidR="00342CEA" w:rsidRDefault="00837BAB">
            <w:pPr>
              <w:keepNext/>
              <w:keepLines/>
              <w:widowControl w:val="0"/>
              <w:jc w:val="center"/>
              <w:rPr>
                <w:b/>
                <w:bCs/>
                <w:lang w:val="hu-HU" w:eastAsia="en-US"/>
              </w:rPr>
            </w:pPr>
            <w:r>
              <w:rPr>
                <w:b/>
                <w:bCs/>
                <w:lang w:val="hu-HU" w:eastAsia="en-US"/>
              </w:rPr>
              <w:t>N = 38</w:t>
            </w:r>
          </w:p>
        </w:tc>
      </w:tr>
      <w:tr w:rsidR="00342CEA" w14:paraId="71677CAB" w14:textId="77777777">
        <w:trPr>
          <w:trHeight w:val="263"/>
        </w:trPr>
        <w:tc>
          <w:tcPr>
            <w:tcW w:w="5750" w:type="dxa"/>
            <w:tcBorders>
              <w:top w:val="single" w:sz="4" w:space="0" w:color="000000"/>
              <w:left w:val="single" w:sz="4" w:space="0" w:color="000000"/>
              <w:bottom w:val="single" w:sz="4" w:space="0" w:color="000000"/>
              <w:right w:val="nil"/>
            </w:tcBorders>
          </w:tcPr>
          <w:p w14:paraId="1D57B7BF" w14:textId="77777777" w:rsidR="00342CEA" w:rsidRDefault="00837BAB">
            <w:pPr>
              <w:rPr>
                <w:lang w:val="hu-HU" w:eastAsia="en-US"/>
              </w:rPr>
            </w:pPr>
            <w:r>
              <w:rPr>
                <w:lang w:val="hu-HU" w:eastAsia="en-GB"/>
              </w:rPr>
              <w:t>A legfontosabb elsődleges végpontok</w:t>
            </w:r>
          </w:p>
        </w:tc>
        <w:tc>
          <w:tcPr>
            <w:tcW w:w="3312" w:type="dxa"/>
            <w:gridSpan w:val="2"/>
            <w:tcBorders>
              <w:top w:val="single" w:sz="4" w:space="0" w:color="000000"/>
              <w:left w:val="nil"/>
              <w:bottom w:val="single" w:sz="4" w:space="0" w:color="000000"/>
              <w:right w:val="single" w:sz="4" w:space="0" w:color="000000"/>
            </w:tcBorders>
          </w:tcPr>
          <w:p w14:paraId="4930D4FB" w14:textId="77777777" w:rsidR="00342CEA" w:rsidRDefault="00342CEA">
            <w:pPr>
              <w:keepNext/>
              <w:keepLines/>
              <w:widowControl w:val="0"/>
              <w:jc w:val="center"/>
              <w:rPr>
                <w:lang w:val="hu-HU" w:eastAsia="en-US"/>
              </w:rPr>
            </w:pPr>
          </w:p>
        </w:tc>
      </w:tr>
      <w:tr w:rsidR="00342CEA" w14:paraId="5DE1AAB6" w14:textId="77777777">
        <w:trPr>
          <w:trHeight w:val="264"/>
        </w:trPr>
        <w:tc>
          <w:tcPr>
            <w:tcW w:w="5750" w:type="dxa"/>
            <w:tcBorders>
              <w:top w:val="single" w:sz="4" w:space="0" w:color="000000"/>
              <w:left w:val="single" w:sz="4" w:space="0" w:color="000000"/>
              <w:bottom w:val="single" w:sz="4" w:space="0" w:color="000000"/>
              <w:right w:val="single" w:sz="4" w:space="0" w:color="000000"/>
            </w:tcBorders>
          </w:tcPr>
          <w:p w14:paraId="2A26A402" w14:textId="77777777" w:rsidR="00342CEA" w:rsidRDefault="00837BAB">
            <w:pPr>
              <w:rPr>
                <w:lang w:val="hu-HU" w:eastAsia="en-US"/>
              </w:rPr>
            </w:pPr>
            <w:r>
              <w:rPr>
                <w:lang w:val="hu-HU" w:eastAsia="en-GB"/>
              </w:rPr>
              <w:t>Hatékonysági analízisre alkalmas, n</w:t>
            </w:r>
          </w:p>
        </w:tc>
        <w:tc>
          <w:tcPr>
            <w:tcW w:w="1710" w:type="dxa"/>
            <w:tcBorders>
              <w:top w:val="single" w:sz="4" w:space="0" w:color="000000"/>
              <w:left w:val="single" w:sz="4" w:space="0" w:color="000000"/>
              <w:bottom w:val="single" w:sz="4" w:space="0" w:color="000000"/>
              <w:right w:val="single" w:sz="4" w:space="0" w:color="000000"/>
            </w:tcBorders>
          </w:tcPr>
          <w:p w14:paraId="276EAC2E" w14:textId="77777777" w:rsidR="00342CEA" w:rsidRDefault="00837BAB">
            <w:pPr>
              <w:keepNext/>
              <w:keepLines/>
              <w:widowControl w:val="0"/>
              <w:jc w:val="center"/>
              <w:rPr>
                <w:lang w:val="hu-HU" w:eastAsia="en-US"/>
              </w:rPr>
            </w:pPr>
            <w:r>
              <w:rPr>
                <w:lang w:val="hu-HU" w:eastAsia="en-US"/>
              </w:rPr>
              <w:t>73</w:t>
            </w:r>
          </w:p>
        </w:tc>
        <w:tc>
          <w:tcPr>
            <w:tcW w:w="1602" w:type="dxa"/>
            <w:tcBorders>
              <w:top w:val="single" w:sz="4" w:space="0" w:color="000000"/>
              <w:left w:val="single" w:sz="4" w:space="0" w:color="000000"/>
              <w:bottom w:val="single" w:sz="4" w:space="0" w:color="000000"/>
              <w:right w:val="single" w:sz="4" w:space="0" w:color="000000"/>
            </w:tcBorders>
          </w:tcPr>
          <w:p w14:paraId="5BD0372D" w14:textId="77777777" w:rsidR="00342CEA" w:rsidRDefault="00837BAB">
            <w:pPr>
              <w:keepNext/>
              <w:keepLines/>
              <w:widowControl w:val="0"/>
              <w:jc w:val="center"/>
              <w:rPr>
                <w:lang w:val="hu-HU" w:eastAsia="en-US"/>
              </w:rPr>
            </w:pPr>
            <w:r>
              <w:rPr>
                <w:lang w:val="hu-HU" w:eastAsia="en-US"/>
              </w:rPr>
              <w:t>37</w:t>
            </w:r>
          </w:p>
        </w:tc>
      </w:tr>
      <w:tr w:rsidR="00342CEA" w14:paraId="77568910" w14:textId="77777777">
        <w:trPr>
          <w:trHeight w:val="526"/>
        </w:trPr>
        <w:tc>
          <w:tcPr>
            <w:tcW w:w="5750" w:type="dxa"/>
            <w:vMerge w:val="restart"/>
            <w:tcBorders>
              <w:top w:val="single" w:sz="4" w:space="0" w:color="000000"/>
              <w:left w:val="single" w:sz="4" w:space="0" w:color="000000"/>
              <w:bottom w:val="single" w:sz="4" w:space="0" w:color="000000"/>
              <w:right w:val="single" w:sz="4" w:space="0" w:color="000000"/>
            </w:tcBorders>
          </w:tcPr>
          <w:p w14:paraId="355F0181" w14:textId="77777777" w:rsidR="00342CEA" w:rsidRDefault="00837BAB">
            <w:pPr>
              <w:tabs>
                <w:tab w:val="clear" w:pos="567"/>
              </w:tabs>
              <w:autoSpaceDE w:val="0"/>
              <w:autoSpaceDN w:val="0"/>
              <w:spacing w:line="240" w:lineRule="auto"/>
              <w:rPr>
                <w:lang w:val="hu-HU" w:eastAsia="en-US"/>
              </w:rPr>
            </w:pPr>
            <w:r>
              <w:rPr>
                <w:lang w:val="hu-HU" w:eastAsia="en-GB"/>
              </w:rPr>
              <w:t xml:space="preserve">Legfeljebb 42 napos adagolás után </w:t>
            </w:r>
            <w:r>
              <w:rPr>
                <w:lang w:val="hu-HU" w:eastAsia="en-US"/>
              </w:rPr>
              <w:t>≥ </w:t>
            </w:r>
            <w:r>
              <w:rPr>
                <w:lang w:val="hu-HU" w:eastAsia="en-GB"/>
              </w:rPr>
              <w:t>50 000/</w:t>
            </w:r>
            <w:r>
              <w:rPr>
                <w:lang w:val="hu-HU"/>
              </w:rPr>
              <w:t>µl</w:t>
            </w:r>
            <w:r>
              <w:rPr>
                <w:lang w:val="hu-HU" w:eastAsia="en-GB"/>
              </w:rPr>
              <w:t xml:space="preserve"> vérlemezkeszámot elérő betegek (a kiindulási &lt; 30 000/</w:t>
            </w:r>
            <w:r>
              <w:rPr>
                <w:lang w:val="hu-HU"/>
              </w:rPr>
              <w:t>µl</w:t>
            </w:r>
            <w:r>
              <w:rPr>
                <w:lang w:val="hu-HU" w:eastAsia="en-GB"/>
              </w:rPr>
              <w:t xml:space="preserve"> értékhez képest), n (%)</w:t>
            </w:r>
          </w:p>
          <w:p w14:paraId="18C96F3B" w14:textId="77777777" w:rsidR="00342CEA" w:rsidRDefault="00837BAB">
            <w:pPr>
              <w:rPr>
                <w:lang w:val="hu-HU" w:eastAsia="en-US"/>
              </w:rPr>
            </w:pPr>
            <w:r>
              <w:rPr>
                <w:lang w:val="hu-HU" w:eastAsia="en-US"/>
              </w:rPr>
              <w:tab/>
            </w:r>
            <w:r>
              <w:rPr>
                <w:i/>
                <w:lang w:val="hu-HU" w:eastAsia="en-US"/>
              </w:rPr>
              <w:t>p-</w:t>
            </w:r>
            <w:r>
              <w:rPr>
                <w:lang w:val="hu-HU" w:eastAsia="en-US"/>
              </w:rPr>
              <w:t>érték</w:t>
            </w:r>
            <w:r>
              <w:rPr>
                <w:vertAlign w:val="superscript"/>
                <w:lang w:val="hu-HU" w:eastAsia="en-US"/>
              </w:rPr>
              <w:t>a</w:t>
            </w:r>
          </w:p>
        </w:tc>
        <w:tc>
          <w:tcPr>
            <w:tcW w:w="1710" w:type="dxa"/>
            <w:tcBorders>
              <w:top w:val="single" w:sz="4" w:space="0" w:color="000000"/>
              <w:left w:val="single" w:sz="4" w:space="0" w:color="000000"/>
              <w:bottom w:val="single" w:sz="4" w:space="0" w:color="000000"/>
              <w:right w:val="single" w:sz="4" w:space="0" w:color="000000"/>
            </w:tcBorders>
          </w:tcPr>
          <w:p w14:paraId="02BCFB36" w14:textId="77777777" w:rsidR="00342CEA" w:rsidRDefault="00837BAB">
            <w:pPr>
              <w:keepNext/>
              <w:keepLines/>
              <w:widowControl w:val="0"/>
              <w:jc w:val="center"/>
              <w:rPr>
                <w:lang w:val="hu-HU" w:eastAsia="en-US"/>
              </w:rPr>
            </w:pPr>
            <w:r>
              <w:rPr>
                <w:lang w:val="hu-HU" w:eastAsia="en-US"/>
              </w:rPr>
              <w:t>43 (59)</w:t>
            </w:r>
          </w:p>
        </w:tc>
        <w:tc>
          <w:tcPr>
            <w:tcW w:w="1602" w:type="dxa"/>
            <w:tcBorders>
              <w:top w:val="single" w:sz="4" w:space="0" w:color="000000"/>
              <w:left w:val="single" w:sz="4" w:space="0" w:color="000000"/>
              <w:bottom w:val="single" w:sz="4" w:space="0" w:color="000000"/>
              <w:right w:val="single" w:sz="4" w:space="0" w:color="000000"/>
            </w:tcBorders>
          </w:tcPr>
          <w:p w14:paraId="26FDF2C0" w14:textId="77777777" w:rsidR="00342CEA" w:rsidRDefault="00837BAB">
            <w:pPr>
              <w:keepNext/>
              <w:keepLines/>
              <w:widowControl w:val="0"/>
              <w:jc w:val="center"/>
              <w:rPr>
                <w:lang w:val="hu-HU" w:eastAsia="en-US"/>
              </w:rPr>
            </w:pPr>
            <w:r>
              <w:rPr>
                <w:lang w:val="hu-HU" w:eastAsia="en-US"/>
              </w:rPr>
              <w:t>6 (16)</w:t>
            </w:r>
          </w:p>
        </w:tc>
      </w:tr>
      <w:tr w:rsidR="00342CEA" w14:paraId="69316E4E" w14:textId="77777777">
        <w:trPr>
          <w:trHeight w:val="508"/>
        </w:trPr>
        <w:tc>
          <w:tcPr>
            <w:tcW w:w="0" w:type="auto"/>
            <w:vMerge/>
            <w:tcBorders>
              <w:top w:val="single" w:sz="4" w:space="0" w:color="000000"/>
              <w:left w:val="single" w:sz="4" w:space="0" w:color="000000"/>
              <w:bottom w:val="single" w:sz="4" w:space="0" w:color="000000"/>
              <w:right w:val="single" w:sz="4" w:space="0" w:color="000000"/>
            </w:tcBorders>
          </w:tcPr>
          <w:p w14:paraId="4DD52F6F" w14:textId="77777777" w:rsidR="00342CEA" w:rsidRDefault="00342CEA">
            <w:pPr>
              <w:tabs>
                <w:tab w:val="clear" w:pos="567"/>
              </w:tabs>
              <w:autoSpaceDE w:val="0"/>
              <w:autoSpaceDN w:val="0"/>
              <w:spacing w:line="240" w:lineRule="auto"/>
              <w:rPr>
                <w:lang w:val="hu-HU" w:eastAsia="en-US"/>
              </w:rPr>
            </w:pPr>
          </w:p>
        </w:tc>
        <w:tc>
          <w:tcPr>
            <w:tcW w:w="3312" w:type="dxa"/>
            <w:gridSpan w:val="2"/>
            <w:tcBorders>
              <w:top w:val="single" w:sz="4" w:space="0" w:color="000000"/>
              <w:left w:val="single" w:sz="4" w:space="0" w:color="000000"/>
              <w:bottom w:val="single" w:sz="4" w:space="0" w:color="000000"/>
              <w:right w:val="single" w:sz="4" w:space="0" w:color="000000"/>
            </w:tcBorders>
            <w:vAlign w:val="center"/>
          </w:tcPr>
          <w:p w14:paraId="0689A2A6" w14:textId="77777777" w:rsidR="00342CEA" w:rsidRDefault="00837BAB">
            <w:pPr>
              <w:keepNext/>
              <w:keepLines/>
              <w:widowControl w:val="0"/>
              <w:jc w:val="center"/>
              <w:rPr>
                <w:lang w:val="hu-HU" w:eastAsia="en-US"/>
              </w:rPr>
            </w:pPr>
            <w:r>
              <w:rPr>
                <w:lang w:val="hu-HU" w:eastAsia="en-US"/>
              </w:rPr>
              <w:t>&lt;0,001</w:t>
            </w:r>
          </w:p>
        </w:tc>
      </w:tr>
      <w:tr w:rsidR="00342CEA" w14:paraId="74D6D1EC" w14:textId="77777777">
        <w:trPr>
          <w:trHeight w:val="264"/>
        </w:trPr>
        <w:tc>
          <w:tcPr>
            <w:tcW w:w="5750" w:type="dxa"/>
            <w:tcBorders>
              <w:top w:val="single" w:sz="4" w:space="0" w:color="000000"/>
              <w:left w:val="single" w:sz="4" w:space="0" w:color="000000"/>
              <w:bottom w:val="single" w:sz="4" w:space="0" w:color="000000"/>
              <w:right w:val="nil"/>
            </w:tcBorders>
          </w:tcPr>
          <w:p w14:paraId="2861826D" w14:textId="77777777" w:rsidR="00342CEA" w:rsidRDefault="00837BAB">
            <w:pPr>
              <w:rPr>
                <w:lang w:val="hu-HU" w:eastAsia="en-US"/>
              </w:rPr>
            </w:pPr>
            <w:r>
              <w:rPr>
                <w:lang w:val="hu-HU" w:eastAsia="en-GB"/>
              </w:rPr>
              <w:t>A legfontosabb másodlagos végpontok</w:t>
            </w:r>
          </w:p>
        </w:tc>
        <w:tc>
          <w:tcPr>
            <w:tcW w:w="3312" w:type="dxa"/>
            <w:gridSpan w:val="2"/>
            <w:tcBorders>
              <w:top w:val="single" w:sz="4" w:space="0" w:color="000000"/>
              <w:left w:val="nil"/>
              <w:bottom w:val="single" w:sz="4" w:space="0" w:color="000000"/>
              <w:right w:val="single" w:sz="4" w:space="0" w:color="000000"/>
            </w:tcBorders>
          </w:tcPr>
          <w:p w14:paraId="3FD54C24" w14:textId="77777777" w:rsidR="00342CEA" w:rsidRDefault="00342CEA">
            <w:pPr>
              <w:keepNext/>
              <w:keepLines/>
              <w:widowControl w:val="0"/>
              <w:jc w:val="center"/>
              <w:rPr>
                <w:lang w:val="hu-HU" w:eastAsia="en-US"/>
              </w:rPr>
            </w:pPr>
          </w:p>
        </w:tc>
      </w:tr>
      <w:tr w:rsidR="00342CEA" w14:paraId="4CB5C1F5" w14:textId="77777777">
        <w:trPr>
          <w:trHeight w:val="263"/>
        </w:trPr>
        <w:tc>
          <w:tcPr>
            <w:tcW w:w="5750" w:type="dxa"/>
            <w:tcBorders>
              <w:top w:val="single" w:sz="4" w:space="0" w:color="000000"/>
              <w:left w:val="single" w:sz="4" w:space="0" w:color="000000"/>
              <w:bottom w:val="single" w:sz="4" w:space="0" w:color="000000"/>
              <w:right w:val="single" w:sz="4" w:space="0" w:color="000000"/>
            </w:tcBorders>
          </w:tcPr>
          <w:p w14:paraId="70404A8F" w14:textId="77777777" w:rsidR="00342CEA" w:rsidRDefault="00837BAB">
            <w:pPr>
              <w:tabs>
                <w:tab w:val="clear" w:pos="567"/>
              </w:tabs>
              <w:autoSpaceDE w:val="0"/>
              <w:autoSpaceDN w:val="0"/>
              <w:spacing w:line="240" w:lineRule="auto"/>
              <w:rPr>
                <w:lang w:val="hu-HU" w:eastAsia="en-GB"/>
              </w:rPr>
            </w:pPr>
            <w:r>
              <w:rPr>
                <w:lang w:val="hu-HU" w:eastAsia="en-GB"/>
              </w:rPr>
              <w:t>Betegek, akiket a 43.</w:t>
            </w:r>
            <w:r>
              <w:rPr>
                <w:lang w:val="hu-HU"/>
              </w:rPr>
              <w:t> </w:t>
            </w:r>
            <w:r>
              <w:rPr>
                <w:lang w:val="hu-HU" w:eastAsia="en-GB"/>
              </w:rPr>
              <w:t>napon vérzés szempontjából</w:t>
            </w:r>
          </w:p>
          <w:p w14:paraId="6D794BA7" w14:textId="77777777" w:rsidR="00342CEA" w:rsidRDefault="00837BAB">
            <w:pPr>
              <w:tabs>
                <w:tab w:val="clear" w:pos="567"/>
              </w:tabs>
              <w:autoSpaceDE w:val="0"/>
              <w:autoSpaceDN w:val="0"/>
              <w:spacing w:line="240" w:lineRule="auto"/>
              <w:rPr>
                <w:lang w:val="hu-HU" w:eastAsia="en-US"/>
              </w:rPr>
            </w:pPr>
            <w:r>
              <w:rPr>
                <w:lang w:val="hu-HU" w:eastAsia="en-GB"/>
              </w:rPr>
              <w:t>értékeltek, n</w:t>
            </w:r>
          </w:p>
        </w:tc>
        <w:tc>
          <w:tcPr>
            <w:tcW w:w="1710" w:type="dxa"/>
            <w:tcBorders>
              <w:top w:val="single" w:sz="4" w:space="0" w:color="000000"/>
              <w:left w:val="single" w:sz="4" w:space="0" w:color="000000"/>
              <w:bottom w:val="single" w:sz="4" w:space="0" w:color="000000"/>
              <w:right w:val="single" w:sz="4" w:space="0" w:color="000000"/>
            </w:tcBorders>
          </w:tcPr>
          <w:p w14:paraId="615841AC" w14:textId="77777777" w:rsidR="00342CEA" w:rsidRDefault="00837BAB">
            <w:pPr>
              <w:keepNext/>
              <w:keepLines/>
              <w:widowControl w:val="0"/>
              <w:jc w:val="center"/>
              <w:rPr>
                <w:lang w:val="hu-HU" w:eastAsia="en-US"/>
              </w:rPr>
            </w:pPr>
            <w:r>
              <w:rPr>
                <w:lang w:val="hu-HU" w:eastAsia="en-US"/>
              </w:rPr>
              <w:t>51</w:t>
            </w:r>
          </w:p>
        </w:tc>
        <w:tc>
          <w:tcPr>
            <w:tcW w:w="1602" w:type="dxa"/>
            <w:tcBorders>
              <w:top w:val="single" w:sz="4" w:space="0" w:color="000000"/>
              <w:left w:val="single" w:sz="4" w:space="0" w:color="000000"/>
              <w:bottom w:val="single" w:sz="4" w:space="0" w:color="000000"/>
              <w:right w:val="single" w:sz="4" w:space="0" w:color="000000"/>
            </w:tcBorders>
          </w:tcPr>
          <w:p w14:paraId="11DC5501" w14:textId="77777777" w:rsidR="00342CEA" w:rsidRDefault="00837BAB">
            <w:pPr>
              <w:keepNext/>
              <w:keepLines/>
              <w:widowControl w:val="0"/>
              <w:jc w:val="center"/>
              <w:rPr>
                <w:lang w:val="hu-HU" w:eastAsia="en-US"/>
              </w:rPr>
            </w:pPr>
            <w:r>
              <w:rPr>
                <w:lang w:val="hu-HU" w:eastAsia="en-US"/>
              </w:rPr>
              <w:t>30</w:t>
            </w:r>
          </w:p>
        </w:tc>
      </w:tr>
      <w:tr w:rsidR="00342CEA" w14:paraId="49E4A629" w14:textId="77777777">
        <w:trPr>
          <w:trHeight w:val="263"/>
        </w:trPr>
        <w:tc>
          <w:tcPr>
            <w:tcW w:w="5750" w:type="dxa"/>
            <w:vMerge w:val="restart"/>
            <w:tcBorders>
              <w:top w:val="single" w:sz="4" w:space="0" w:color="000000"/>
              <w:left w:val="single" w:sz="4" w:space="0" w:color="000000"/>
              <w:bottom w:val="single" w:sz="4" w:space="0" w:color="000000"/>
              <w:right w:val="single" w:sz="4" w:space="0" w:color="000000"/>
            </w:tcBorders>
          </w:tcPr>
          <w:p w14:paraId="73DEAF7D" w14:textId="77777777" w:rsidR="00342CEA" w:rsidRDefault="00837BAB">
            <w:pPr>
              <w:rPr>
                <w:lang w:val="hu-HU" w:eastAsia="en-US"/>
              </w:rPr>
            </w:pPr>
            <w:r>
              <w:rPr>
                <w:lang w:val="hu-HU" w:eastAsia="en-GB"/>
              </w:rPr>
              <w:t>Vérzés (WHO 1</w:t>
            </w:r>
            <w:r>
              <w:rPr>
                <w:lang w:val="hu-HU" w:eastAsia="en-GB"/>
              </w:rPr>
              <w:noBreakHyphen/>
              <w:t>4</w:t>
            </w:r>
            <w:r>
              <w:rPr>
                <w:lang w:val="hu-HU" w:eastAsia="en-GB"/>
              </w:rPr>
              <w:noBreakHyphen/>
              <w:t>es fokozat) n (%)</w:t>
            </w:r>
          </w:p>
          <w:p w14:paraId="40FF464C" w14:textId="77777777" w:rsidR="00342CEA" w:rsidRDefault="00837BAB">
            <w:pPr>
              <w:rPr>
                <w:lang w:val="hu-HU" w:eastAsia="en-US"/>
              </w:rPr>
            </w:pPr>
            <w:r>
              <w:rPr>
                <w:lang w:val="hu-HU" w:eastAsia="en-US"/>
              </w:rPr>
              <w:tab/>
            </w:r>
            <w:r>
              <w:rPr>
                <w:i/>
                <w:lang w:val="hu-HU" w:eastAsia="en-US"/>
              </w:rPr>
              <w:t>p-</w:t>
            </w:r>
            <w:r>
              <w:rPr>
                <w:lang w:val="hu-HU" w:eastAsia="en-US"/>
              </w:rPr>
              <w:t>érték</w:t>
            </w:r>
            <w:r>
              <w:rPr>
                <w:vertAlign w:val="superscript"/>
                <w:lang w:val="hu-HU" w:eastAsia="en-US"/>
              </w:rPr>
              <w:t>a</w:t>
            </w:r>
          </w:p>
        </w:tc>
        <w:tc>
          <w:tcPr>
            <w:tcW w:w="1710" w:type="dxa"/>
            <w:tcBorders>
              <w:top w:val="single" w:sz="4" w:space="0" w:color="000000"/>
              <w:left w:val="single" w:sz="4" w:space="0" w:color="000000"/>
              <w:bottom w:val="single" w:sz="4" w:space="0" w:color="000000"/>
              <w:right w:val="single" w:sz="4" w:space="0" w:color="000000"/>
            </w:tcBorders>
          </w:tcPr>
          <w:p w14:paraId="1C389D11" w14:textId="77777777" w:rsidR="00342CEA" w:rsidRDefault="00837BAB">
            <w:pPr>
              <w:keepNext/>
              <w:keepLines/>
              <w:widowControl w:val="0"/>
              <w:jc w:val="center"/>
              <w:rPr>
                <w:lang w:val="hu-HU" w:eastAsia="en-US"/>
              </w:rPr>
            </w:pPr>
            <w:r>
              <w:rPr>
                <w:lang w:val="hu-HU" w:eastAsia="en-US"/>
              </w:rPr>
              <w:t>20 (39)</w:t>
            </w:r>
          </w:p>
        </w:tc>
        <w:tc>
          <w:tcPr>
            <w:tcW w:w="1602" w:type="dxa"/>
            <w:tcBorders>
              <w:top w:val="single" w:sz="4" w:space="0" w:color="000000"/>
              <w:left w:val="single" w:sz="4" w:space="0" w:color="000000"/>
              <w:bottom w:val="single" w:sz="4" w:space="0" w:color="000000"/>
              <w:right w:val="single" w:sz="4" w:space="0" w:color="000000"/>
            </w:tcBorders>
          </w:tcPr>
          <w:p w14:paraId="42EE4548" w14:textId="77777777" w:rsidR="00342CEA" w:rsidRDefault="00837BAB">
            <w:pPr>
              <w:keepNext/>
              <w:keepLines/>
              <w:widowControl w:val="0"/>
              <w:jc w:val="center"/>
              <w:rPr>
                <w:lang w:val="hu-HU" w:eastAsia="en-US"/>
              </w:rPr>
            </w:pPr>
            <w:r>
              <w:rPr>
                <w:lang w:val="hu-HU" w:eastAsia="en-US"/>
              </w:rPr>
              <w:t>18 (60)</w:t>
            </w:r>
          </w:p>
        </w:tc>
      </w:tr>
      <w:tr w:rsidR="00342CEA" w14:paraId="0A32F470" w14:textId="77777777">
        <w:trPr>
          <w:trHeight w:val="363"/>
        </w:trPr>
        <w:tc>
          <w:tcPr>
            <w:tcW w:w="0" w:type="auto"/>
            <w:vMerge/>
            <w:tcBorders>
              <w:top w:val="single" w:sz="4" w:space="0" w:color="000000"/>
              <w:left w:val="single" w:sz="4" w:space="0" w:color="000000"/>
              <w:bottom w:val="single" w:sz="4" w:space="0" w:color="000000"/>
              <w:right w:val="single" w:sz="4" w:space="0" w:color="000000"/>
            </w:tcBorders>
          </w:tcPr>
          <w:p w14:paraId="63C745EA" w14:textId="77777777" w:rsidR="00342CEA" w:rsidRDefault="00342CEA">
            <w:pPr>
              <w:rPr>
                <w:lang w:val="hu-HU" w:eastAsia="en-US"/>
              </w:rPr>
            </w:pPr>
          </w:p>
        </w:tc>
        <w:tc>
          <w:tcPr>
            <w:tcW w:w="3312" w:type="dxa"/>
            <w:gridSpan w:val="2"/>
            <w:tcBorders>
              <w:top w:val="single" w:sz="4" w:space="0" w:color="000000"/>
              <w:left w:val="single" w:sz="4" w:space="0" w:color="000000"/>
              <w:bottom w:val="single" w:sz="4" w:space="0" w:color="000000"/>
              <w:right w:val="single" w:sz="4" w:space="0" w:color="000000"/>
            </w:tcBorders>
            <w:vAlign w:val="center"/>
          </w:tcPr>
          <w:p w14:paraId="6ED205BC" w14:textId="77777777" w:rsidR="00342CEA" w:rsidRDefault="00837BAB">
            <w:pPr>
              <w:keepNext/>
              <w:keepLines/>
              <w:widowControl w:val="0"/>
              <w:jc w:val="center"/>
              <w:rPr>
                <w:lang w:val="hu-HU" w:eastAsia="en-US"/>
              </w:rPr>
            </w:pPr>
            <w:r>
              <w:rPr>
                <w:lang w:val="hu-HU" w:eastAsia="en-US"/>
              </w:rPr>
              <w:t>0,029</w:t>
            </w:r>
          </w:p>
        </w:tc>
      </w:tr>
    </w:tbl>
    <w:p w14:paraId="5FD818F8" w14:textId="77777777" w:rsidR="00342CEA" w:rsidRDefault="00837BAB">
      <w:pPr>
        <w:tabs>
          <w:tab w:val="center" w:pos="3923"/>
        </w:tabs>
        <w:spacing w:after="12" w:line="247" w:lineRule="auto"/>
        <w:ind w:left="-15"/>
        <w:rPr>
          <w:sz w:val="20"/>
          <w:szCs w:val="20"/>
          <w:lang w:val="hu-HU"/>
        </w:rPr>
      </w:pPr>
      <w:r>
        <w:rPr>
          <w:sz w:val="20"/>
          <w:szCs w:val="20"/>
          <w:lang w:val="hu-HU"/>
        </w:rPr>
        <w:t>a</w:t>
      </w:r>
      <w:r>
        <w:rPr>
          <w:sz w:val="20"/>
          <w:szCs w:val="20"/>
          <w:lang w:val="hu-HU"/>
        </w:rPr>
        <w:tab/>
      </w:r>
      <w:r>
        <w:rPr>
          <w:lang w:val="hu-HU" w:eastAsia="en-GB"/>
        </w:rPr>
        <w:t>Randomizációs stratifikációs változókkal korrigált logisztikai regressziós modell</w:t>
      </w:r>
    </w:p>
    <w:p w14:paraId="0042C959" w14:textId="77777777" w:rsidR="00342CEA" w:rsidRDefault="00342CEA">
      <w:pPr>
        <w:spacing w:line="240" w:lineRule="auto"/>
        <w:rPr>
          <w:u w:val="single"/>
          <w:lang w:val="hu-HU"/>
        </w:rPr>
      </w:pPr>
    </w:p>
    <w:p w14:paraId="1D331A59" w14:textId="77777777" w:rsidR="00342CEA" w:rsidRDefault="00837BAB">
      <w:pPr>
        <w:tabs>
          <w:tab w:val="clear" w:pos="567"/>
        </w:tabs>
        <w:autoSpaceDE w:val="0"/>
        <w:autoSpaceDN w:val="0"/>
        <w:spacing w:line="240" w:lineRule="auto"/>
        <w:rPr>
          <w:u w:val="single"/>
          <w:lang w:val="hu-HU"/>
        </w:rPr>
      </w:pPr>
      <w:r>
        <w:rPr>
          <w:lang w:val="hu-HU" w:eastAsia="en-GB"/>
        </w:rPr>
        <w:t>Mind a RAISE, mind a TRA100773B vizsgálatban a placebora és az eltrombopagra adott válasz hasonló volt, tekintet nélkül az ITP kezelésére alkalmazott gyógyszerekre, a splenectomiás státuszra és a randomizáláskor mért kiindulási vérlemezkeszámra (≤ 15 000/</w:t>
      </w:r>
      <w:r>
        <w:rPr>
          <w:lang w:val="hu-HU"/>
        </w:rPr>
        <w:t>µl</w:t>
      </w:r>
      <w:r>
        <w:rPr>
          <w:lang w:val="hu-HU" w:eastAsia="en-GB"/>
        </w:rPr>
        <w:t>, &gt; 15 000/</w:t>
      </w:r>
      <w:r>
        <w:rPr>
          <w:lang w:val="hu-HU"/>
        </w:rPr>
        <w:t>µl</w:t>
      </w:r>
      <w:r>
        <w:rPr>
          <w:lang w:val="hu-HU" w:eastAsia="en-GB"/>
        </w:rPr>
        <w:t>).</w:t>
      </w:r>
    </w:p>
    <w:p w14:paraId="4C8698F5" w14:textId="77777777" w:rsidR="00342CEA" w:rsidRDefault="00342CEA">
      <w:pPr>
        <w:spacing w:line="240" w:lineRule="auto"/>
        <w:rPr>
          <w:u w:val="single"/>
          <w:lang w:val="hu-HU"/>
        </w:rPr>
      </w:pPr>
    </w:p>
    <w:p w14:paraId="62A6C1F3" w14:textId="77777777" w:rsidR="00342CEA" w:rsidRDefault="00837BAB">
      <w:pPr>
        <w:tabs>
          <w:tab w:val="clear" w:pos="567"/>
        </w:tabs>
        <w:autoSpaceDE w:val="0"/>
        <w:autoSpaceDN w:val="0"/>
        <w:spacing w:line="240" w:lineRule="auto"/>
        <w:rPr>
          <w:u w:val="single"/>
          <w:lang w:val="hu-HU"/>
        </w:rPr>
      </w:pPr>
      <w:r>
        <w:rPr>
          <w:lang w:val="hu-HU" w:eastAsia="en-GB"/>
        </w:rPr>
        <w:t>A RAISE és a TRA100773B vizsgálatban az ITP</w:t>
      </w:r>
      <w:r>
        <w:rPr>
          <w:lang w:val="hu-HU" w:eastAsia="en-GB"/>
        </w:rPr>
        <w:noBreakHyphen/>
        <w:t>s betegeknek abban az alcsoportjában, ahol a kiindulási vérlemezkeszám ≤ 15 000/</w:t>
      </w:r>
      <w:r>
        <w:rPr>
          <w:lang w:val="hu-HU"/>
        </w:rPr>
        <w:t>µl</w:t>
      </w:r>
      <w:r>
        <w:rPr>
          <w:lang w:val="hu-HU" w:eastAsia="en-GB"/>
        </w:rPr>
        <w:t xml:space="preserve"> volt, a medián vérlemezkeszám nem érte el a megcélzott szintet (&gt; 50 000/</w:t>
      </w:r>
      <w:r>
        <w:rPr>
          <w:lang w:val="hu-HU"/>
        </w:rPr>
        <w:t>µl</w:t>
      </w:r>
      <w:r>
        <w:rPr>
          <w:lang w:val="hu-HU" w:eastAsia="en-GB"/>
        </w:rPr>
        <w:t>), bár mindkét vizsgálatban ezeknek az eltrombopaggal kezelt betegeknek a 43%</w:t>
      </w:r>
      <w:r>
        <w:rPr>
          <w:lang w:val="hu-HU" w:eastAsia="en-GB"/>
        </w:rPr>
        <w:noBreakHyphen/>
        <w:t>a reagált 6 hét után a kezelésre. Ezen túlmenően, a RAISE vizsgálatban azoknak az eltrombopaggal kezelt betegeknek, akiknek kiinduláskor ≤ 15 000/</w:t>
      </w:r>
      <w:r>
        <w:rPr>
          <w:lang w:val="hu-HU"/>
        </w:rPr>
        <w:t>µl</w:t>
      </w:r>
      <w:r>
        <w:rPr>
          <w:lang w:val="hu-HU" w:eastAsia="en-GB"/>
        </w:rPr>
        <w:t xml:space="preserve"> volt a vérlemezkeszáma, 42%</w:t>
      </w:r>
      <w:r>
        <w:rPr>
          <w:lang w:val="hu-HU" w:eastAsia="en-GB"/>
        </w:rPr>
        <w:noBreakHyphen/>
        <w:t>a reagált a 6 hónapos kezelési időszak végén. A RAISE vizsgálatban az eltrombopagot kapó betegek 42</w:t>
      </w:r>
      <w:r>
        <w:rPr>
          <w:lang w:val="hu-HU" w:eastAsia="en-GB"/>
        </w:rPr>
        <w:noBreakHyphen/>
        <w:t>60%</w:t>
      </w:r>
      <w:r>
        <w:rPr>
          <w:lang w:val="hu-HU" w:eastAsia="en-GB"/>
        </w:rPr>
        <w:noBreakHyphen/>
        <w:t>a kapott 75 mg</w:t>
      </w:r>
      <w:r>
        <w:rPr>
          <w:lang w:val="hu-HU" w:eastAsia="en-GB"/>
        </w:rPr>
        <w:noBreakHyphen/>
        <w:t>ot a 29. naptól kezdve a kezelés végéig.</w:t>
      </w:r>
    </w:p>
    <w:p w14:paraId="326B640A" w14:textId="77777777" w:rsidR="00342CEA" w:rsidRDefault="00342CEA">
      <w:pPr>
        <w:spacing w:line="240" w:lineRule="auto"/>
        <w:rPr>
          <w:u w:val="single"/>
          <w:lang w:val="hu-HU"/>
        </w:rPr>
      </w:pPr>
    </w:p>
    <w:p w14:paraId="5CE9A886" w14:textId="77777777" w:rsidR="00342CEA" w:rsidRDefault="00837BAB">
      <w:pPr>
        <w:tabs>
          <w:tab w:val="clear" w:pos="567"/>
        </w:tabs>
        <w:autoSpaceDE w:val="0"/>
        <w:autoSpaceDN w:val="0"/>
        <w:spacing w:line="240" w:lineRule="auto"/>
        <w:rPr>
          <w:i/>
          <w:lang w:val="hu-HU" w:eastAsia="en-GB"/>
        </w:rPr>
      </w:pPr>
      <w:r>
        <w:rPr>
          <w:i/>
          <w:lang w:val="hu-HU" w:eastAsia="en-GB"/>
        </w:rPr>
        <w:t>Nyílt elrendezésű, nem kontrollos vizsgálatok</w:t>
      </w:r>
    </w:p>
    <w:p w14:paraId="0CBA0B44" w14:textId="77777777" w:rsidR="00D8246F" w:rsidRDefault="00D8246F">
      <w:pPr>
        <w:tabs>
          <w:tab w:val="clear" w:pos="567"/>
        </w:tabs>
        <w:autoSpaceDE w:val="0"/>
        <w:autoSpaceDN w:val="0"/>
        <w:spacing w:line="240" w:lineRule="auto"/>
        <w:rPr>
          <w:i/>
          <w:lang w:val="hu-HU" w:eastAsia="en-GB"/>
        </w:rPr>
      </w:pPr>
    </w:p>
    <w:p w14:paraId="0AF3152B" w14:textId="77777777" w:rsidR="00342CEA" w:rsidRDefault="00837BAB">
      <w:pPr>
        <w:tabs>
          <w:tab w:val="clear" w:pos="567"/>
        </w:tabs>
        <w:autoSpaceDE w:val="0"/>
        <w:autoSpaceDN w:val="0"/>
        <w:spacing w:line="240" w:lineRule="auto"/>
        <w:rPr>
          <w:lang w:val="hu-HU" w:eastAsia="en-GB"/>
        </w:rPr>
      </w:pPr>
      <w:r>
        <w:rPr>
          <w:lang w:val="hu-HU" w:eastAsia="en-GB"/>
        </w:rPr>
        <w:t xml:space="preserve">REPEAT (TRA108057): </w:t>
      </w:r>
    </w:p>
    <w:p w14:paraId="2A7FC918" w14:textId="77777777" w:rsidR="00342CEA" w:rsidRDefault="00837BAB">
      <w:pPr>
        <w:tabs>
          <w:tab w:val="clear" w:pos="567"/>
        </w:tabs>
        <w:autoSpaceDE w:val="0"/>
        <w:autoSpaceDN w:val="0"/>
        <w:spacing w:line="240" w:lineRule="auto"/>
        <w:rPr>
          <w:u w:val="single"/>
          <w:lang w:val="hu-HU"/>
        </w:rPr>
      </w:pPr>
      <w:r>
        <w:rPr>
          <w:lang w:val="hu-HU" w:eastAsia="en-GB"/>
        </w:rPr>
        <w:t>Ez a nyílt, ismétlődő dózisú vizsgálat (6 hetes kezelés 4 hét szünettel 3 ciklusban) azt mutatta, hogy a többszöri eltrombopag-kúra epizódszerű alkalmazása nem csökkenti a terápiás választ.</w:t>
      </w:r>
    </w:p>
    <w:p w14:paraId="03527996" w14:textId="77777777" w:rsidR="00342CEA" w:rsidRDefault="00342CEA">
      <w:pPr>
        <w:spacing w:line="240" w:lineRule="auto"/>
        <w:rPr>
          <w:u w:val="single"/>
          <w:lang w:val="hu-HU"/>
        </w:rPr>
      </w:pPr>
    </w:p>
    <w:p w14:paraId="0E0F1722" w14:textId="77777777" w:rsidR="00342CEA" w:rsidRDefault="00837BAB">
      <w:pPr>
        <w:tabs>
          <w:tab w:val="clear" w:pos="567"/>
        </w:tabs>
        <w:autoSpaceDE w:val="0"/>
        <w:autoSpaceDN w:val="0"/>
        <w:spacing w:line="240" w:lineRule="auto"/>
        <w:rPr>
          <w:lang w:val="hu-HU" w:eastAsia="en-GB"/>
        </w:rPr>
      </w:pPr>
      <w:r>
        <w:rPr>
          <w:lang w:val="hu-HU" w:eastAsia="en-GB"/>
        </w:rPr>
        <w:t xml:space="preserve">EXTEND (TRA105325): </w:t>
      </w:r>
    </w:p>
    <w:p w14:paraId="73F72A33" w14:textId="77777777" w:rsidR="00342CEA" w:rsidRDefault="00837BAB">
      <w:pPr>
        <w:tabs>
          <w:tab w:val="clear" w:pos="567"/>
        </w:tabs>
        <w:autoSpaceDE w:val="0"/>
        <w:autoSpaceDN w:val="0"/>
        <w:spacing w:line="240" w:lineRule="auto"/>
        <w:rPr>
          <w:u w:val="single"/>
          <w:lang w:val="hu-HU"/>
        </w:rPr>
      </w:pPr>
      <w:r>
        <w:rPr>
          <w:lang w:val="hu-HU" w:eastAsia="en-GB"/>
        </w:rPr>
        <w:t>Ebben a kiterjesztett, nyílt vizsgálatban 302, ITP</w:t>
      </w:r>
      <w:r>
        <w:rPr>
          <w:lang w:val="hu-HU" w:eastAsia="en-GB"/>
        </w:rPr>
        <w:noBreakHyphen/>
        <w:t>s beteg kapott eltrombopagot; 218 beteg 1 évig, 180 beteg 2 évig, 107 beteg 3 évig, 75 beteg 4 évig, 34 beteg 5 évig, 18 beteg pedig 6 évig. A medián kiindulási vérlemezkeszám 19 000/µl volt az eltrombopag adása előtt. A medián vérlemezkeszám a vizsgálat 1., 2., 3., 4., 5., .6 és 7. évében sorrendben 85 000/</w:t>
      </w:r>
      <w:r>
        <w:rPr>
          <w:lang w:val="hu-HU"/>
        </w:rPr>
        <w:t>µl</w:t>
      </w:r>
      <w:r>
        <w:rPr>
          <w:lang w:val="hu-HU" w:eastAsia="en-GB"/>
        </w:rPr>
        <w:t>, 85 000/</w:t>
      </w:r>
      <w:r>
        <w:rPr>
          <w:lang w:val="hu-HU"/>
        </w:rPr>
        <w:t>µl</w:t>
      </w:r>
      <w:r>
        <w:rPr>
          <w:lang w:val="hu-HU" w:eastAsia="en-GB"/>
        </w:rPr>
        <w:t>, 105 000/</w:t>
      </w:r>
      <w:r>
        <w:rPr>
          <w:lang w:val="hu-HU"/>
        </w:rPr>
        <w:t>µl</w:t>
      </w:r>
      <w:r>
        <w:rPr>
          <w:lang w:val="hu-HU" w:eastAsia="en-GB"/>
        </w:rPr>
        <w:t>, 64 000/</w:t>
      </w:r>
      <w:r>
        <w:rPr>
          <w:lang w:val="hu-HU"/>
        </w:rPr>
        <w:t>µl</w:t>
      </w:r>
      <w:r>
        <w:rPr>
          <w:lang w:val="hu-HU" w:eastAsia="en-GB"/>
        </w:rPr>
        <w:t>, 75 000/</w:t>
      </w:r>
      <w:r>
        <w:rPr>
          <w:lang w:val="hu-HU"/>
        </w:rPr>
        <w:t>µl</w:t>
      </w:r>
      <w:r>
        <w:rPr>
          <w:lang w:val="hu-HU" w:eastAsia="en-GB"/>
        </w:rPr>
        <w:t>, 119 000/</w:t>
      </w:r>
      <w:r>
        <w:rPr>
          <w:lang w:val="hu-HU"/>
        </w:rPr>
        <w:t>µl</w:t>
      </w:r>
      <w:r>
        <w:rPr>
          <w:lang w:val="hu-HU" w:eastAsia="en-GB"/>
        </w:rPr>
        <w:t>, illetve 76 000/</w:t>
      </w:r>
      <w:r>
        <w:rPr>
          <w:lang w:val="hu-HU"/>
        </w:rPr>
        <w:t>µl</w:t>
      </w:r>
      <w:r>
        <w:rPr>
          <w:lang w:val="hu-HU" w:eastAsia="en-GB"/>
        </w:rPr>
        <w:t xml:space="preserve"> volt.</w:t>
      </w:r>
    </w:p>
    <w:p w14:paraId="6C1AD5DE" w14:textId="77777777" w:rsidR="00342CEA" w:rsidRDefault="00342CEA">
      <w:pPr>
        <w:spacing w:line="240" w:lineRule="auto"/>
        <w:rPr>
          <w:u w:val="single"/>
          <w:lang w:val="hu-HU"/>
        </w:rPr>
      </w:pPr>
    </w:p>
    <w:p w14:paraId="5C8BA2DA" w14:textId="77777777" w:rsidR="00342CEA" w:rsidRDefault="00837BAB">
      <w:pPr>
        <w:tabs>
          <w:tab w:val="clear" w:pos="567"/>
        </w:tabs>
        <w:autoSpaceDE w:val="0"/>
        <w:autoSpaceDN w:val="0"/>
        <w:spacing w:line="240" w:lineRule="auto"/>
        <w:rPr>
          <w:lang w:val="hu-HU" w:eastAsia="en-GB"/>
        </w:rPr>
      </w:pPr>
      <w:r>
        <w:rPr>
          <w:lang w:val="hu-HU" w:eastAsia="en-GB"/>
        </w:rPr>
        <w:t xml:space="preserve">TAPER (CETB115J2411): </w:t>
      </w:r>
    </w:p>
    <w:p w14:paraId="73F3731D" w14:textId="77777777" w:rsidR="00342CEA" w:rsidRDefault="00837BAB">
      <w:pPr>
        <w:tabs>
          <w:tab w:val="clear" w:pos="567"/>
        </w:tabs>
        <w:autoSpaceDE w:val="0"/>
        <w:autoSpaceDN w:val="0"/>
        <w:spacing w:line="240" w:lineRule="auto"/>
        <w:rPr>
          <w:u w:val="single"/>
          <w:lang w:val="hu-HU"/>
        </w:rPr>
      </w:pPr>
      <w:r>
        <w:rPr>
          <w:lang w:val="hu-HU" w:eastAsia="en-GB"/>
        </w:rPr>
        <w:t>Ebben az egy karú, II. fázisú vizsgálatban olyan ITP</w:t>
      </w:r>
      <w:r>
        <w:rPr>
          <w:lang w:val="hu-HU" w:eastAsia="en-GB"/>
        </w:rPr>
        <w:noBreakHyphen/>
        <w:t xml:space="preserve">s betegek vettek részt, akiket eltrombopaggal kezeltek az első vonalban alkalmazott kortikoszteroidok kudarcát követően, a diagnózis óta eltelt időre való tekintet nélkül. Összesen 105 beteget vontak be a vizsgálatba, akik naponta egyszer 50 mg </w:t>
      </w:r>
      <w:r>
        <w:rPr>
          <w:lang w:val="hu-HU" w:eastAsia="en-GB"/>
        </w:rPr>
        <w:lastRenderedPageBreak/>
        <w:t>dózissal kezdték meg az eltrombopag</w:t>
      </w:r>
      <w:r>
        <w:rPr>
          <w:lang w:val="hu-HU" w:eastAsia="en-GB"/>
        </w:rPr>
        <w:noBreakHyphen/>
        <w:t>kezelést (a dózis naponta egyszer 25 mg volt a kelet</w:t>
      </w:r>
      <w:r>
        <w:rPr>
          <w:lang w:val="hu-HU" w:eastAsia="en-GB"/>
        </w:rPr>
        <w:noBreakHyphen/>
        <w:t xml:space="preserve"> vagy délkelet</w:t>
      </w:r>
      <w:r>
        <w:rPr>
          <w:lang w:val="hu-HU" w:eastAsia="en-GB"/>
        </w:rPr>
        <w:noBreakHyphen/>
        <w:t>ázsiai felmenőkkel rendelkező betegeknél). A kezelési időszak során az adott beteg vérlemezkeszáma szerint módosították az eltrombopag dózisát azzal a céllal, hogy a vérlemezkeszám elérje vagy meghaladja a 100 000/</w:t>
      </w:r>
      <w:r>
        <w:rPr>
          <w:lang w:val="hu-HU"/>
        </w:rPr>
        <w:t>µl-</w:t>
      </w:r>
      <w:r>
        <w:rPr>
          <w:lang w:val="hu-HU" w:eastAsia="en-GB"/>
        </w:rPr>
        <w:t>t.</w:t>
      </w:r>
    </w:p>
    <w:p w14:paraId="5D940B48" w14:textId="77777777" w:rsidR="00342CEA" w:rsidRDefault="00342CEA">
      <w:pPr>
        <w:spacing w:line="240" w:lineRule="auto"/>
        <w:rPr>
          <w:u w:val="single"/>
          <w:lang w:val="hu-HU"/>
        </w:rPr>
      </w:pPr>
    </w:p>
    <w:p w14:paraId="1381AACA" w14:textId="77777777" w:rsidR="00342CEA" w:rsidRDefault="00837BAB">
      <w:pPr>
        <w:tabs>
          <w:tab w:val="clear" w:pos="567"/>
        </w:tabs>
        <w:autoSpaceDE w:val="0"/>
        <w:autoSpaceDN w:val="0"/>
        <w:spacing w:line="240" w:lineRule="auto"/>
        <w:rPr>
          <w:u w:val="single"/>
          <w:lang w:val="hu-HU"/>
        </w:rPr>
      </w:pPr>
      <w:r>
        <w:rPr>
          <w:lang w:val="hu-HU" w:eastAsia="en-GB"/>
        </w:rPr>
        <w:t>A vizsgálatba beválasztott és legalább egy eltrombopag dózist kapott 105 beteg közül 69 beteg (65,7%) teljesítette a kezelést, 36 beteg (34,3%) pedig idő előtt abbahagyta azt.</w:t>
      </w:r>
    </w:p>
    <w:p w14:paraId="7081D4DB" w14:textId="77777777" w:rsidR="00342CEA" w:rsidRDefault="00342CEA">
      <w:pPr>
        <w:spacing w:line="240" w:lineRule="auto"/>
        <w:rPr>
          <w:u w:val="single"/>
          <w:lang w:val="hu-HU"/>
        </w:rPr>
      </w:pPr>
    </w:p>
    <w:p w14:paraId="3FCFCEB8" w14:textId="77777777" w:rsidR="00342CEA" w:rsidRDefault="00837BAB">
      <w:pPr>
        <w:tabs>
          <w:tab w:val="clear" w:pos="567"/>
        </w:tabs>
        <w:autoSpaceDE w:val="0"/>
        <w:autoSpaceDN w:val="0"/>
        <w:spacing w:line="240" w:lineRule="auto"/>
        <w:rPr>
          <w:lang w:val="hu-HU" w:eastAsia="en-GB"/>
        </w:rPr>
      </w:pPr>
      <w:r>
        <w:rPr>
          <w:lang w:val="hu-HU" w:eastAsia="en-GB"/>
        </w:rPr>
        <w:t>A kezelés abbahagyása után fennmaradó tartós válasz elemzése</w:t>
      </w:r>
    </w:p>
    <w:p w14:paraId="223A37BF" w14:textId="77777777" w:rsidR="00342CEA" w:rsidRDefault="00837BAB">
      <w:pPr>
        <w:tabs>
          <w:tab w:val="clear" w:pos="567"/>
        </w:tabs>
        <w:autoSpaceDE w:val="0"/>
        <w:autoSpaceDN w:val="0"/>
        <w:spacing w:line="240" w:lineRule="auto"/>
        <w:rPr>
          <w:u w:val="single"/>
          <w:lang w:val="hu-HU"/>
        </w:rPr>
      </w:pPr>
      <w:r>
        <w:rPr>
          <w:lang w:val="hu-HU" w:eastAsia="en-GB"/>
        </w:rPr>
        <w:t>Az elsődleges végpont azon betegek aránya volt, akik tartós választ értek el a kezelés abbahagyása után a 12. hónapig. Lehetőség volt az eltrombopag dózisának fokozatos csökkentésére és a kezelés abbahagyására azoknál a betegeknél, akiknek a vérlemezkeszáma elérte a ≥ 100 000/µl értéket, a továbbiakban pedig 100 000/µl érték körül alakult 2 hónapig (egyszer sem csökkenve 70 000/µl alá). Azokat a betegeket tekintették a kezelés abbahagyása után tartós választ elérőknek, akiknél a vérlemezkeszám ≥ 30 000/µl maradt, nem álltak fenn vérzéses események, illetve nem kellett mentő kezelést igénybe venni a dózis fokozatos csökkentésének időszakában, valamint a kezelés abbahagyását követően, a 12. hónapig.</w:t>
      </w:r>
    </w:p>
    <w:p w14:paraId="2E795821" w14:textId="77777777" w:rsidR="00342CEA" w:rsidRDefault="00342CEA">
      <w:pPr>
        <w:spacing w:line="240" w:lineRule="auto"/>
        <w:rPr>
          <w:u w:val="single"/>
          <w:lang w:val="hu-HU"/>
        </w:rPr>
      </w:pPr>
    </w:p>
    <w:p w14:paraId="0036B73E" w14:textId="77777777" w:rsidR="00342CEA" w:rsidRDefault="00837BAB">
      <w:pPr>
        <w:tabs>
          <w:tab w:val="clear" w:pos="567"/>
        </w:tabs>
        <w:autoSpaceDE w:val="0"/>
        <w:autoSpaceDN w:val="0"/>
        <w:spacing w:line="240" w:lineRule="auto"/>
        <w:rPr>
          <w:u w:val="single"/>
          <w:lang w:val="hu-HU"/>
        </w:rPr>
      </w:pPr>
      <w:r>
        <w:rPr>
          <w:lang w:val="hu-HU" w:eastAsia="en-GB"/>
        </w:rPr>
        <w:t>A fokozatos dóziscsökkentés időtartamát egyénenként állapították meg a kezdő dózis és a beteg terápiás válasza függvényében. A fokozatos dóziscsökkentés ütemterve 2 hetenként 25 mg</w:t>
      </w:r>
      <w:r>
        <w:rPr>
          <w:lang w:val="hu-HU" w:eastAsia="en-GB"/>
        </w:rPr>
        <w:noBreakHyphen/>
        <w:t>os dóziscsökkentést ajánlott abban az esetben, ha a vérlemezkeszám stabil volt. Miután a napi dózist 2 hét időtartamra 25 mg</w:t>
      </w:r>
      <w:r>
        <w:rPr>
          <w:lang w:val="hu-HU" w:eastAsia="en-GB"/>
        </w:rPr>
        <w:noBreakHyphen/>
        <w:t>ra csökkentették, a kezelés abbahagyásáig már csak minden második napon adtak 25 mg</w:t>
      </w:r>
      <w:r>
        <w:rPr>
          <w:lang w:val="hu-HU" w:eastAsia="en-GB"/>
        </w:rPr>
        <w:noBreakHyphen/>
        <w:t>os dózist 2 hétig. Kelet</w:t>
      </w:r>
      <w:r>
        <w:rPr>
          <w:lang w:val="hu-HU" w:eastAsia="en-GB"/>
        </w:rPr>
        <w:noBreakHyphen/>
        <w:t xml:space="preserve"> vagy délkelet</w:t>
      </w:r>
      <w:r>
        <w:rPr>
          <w:lang w:val="hu-HU" w:eastAsia="en-GB"/>
        </w:rPr>
        <w:noBreakHyphen/>
        <w:t>ázsiai felmenőkkel rendelkező betegeknél kisebb – minden második héten 12,5 mg</w:t>
      </w:r>
      <w:r>
        <w:rPr>
          <w:lang w:val="hu-HU" w:eastAsia="en-GB"/>
        </w:rPr>
        <w:noBreakHyphen/>
        <w:t>os – lépésekkel végezték a fokozatos dóziscsökkentést. Amennyiben relapszus (meghatározása: 30 000/µl alatti vérlemezkeszám) következett be, a betegeknek újabb eltrombopag</w:t>
      </w:r>
      <w:r>
        <w:rPr>
          <w:lang w:val="hu-HU" w:eastAsia="en-GB"/>
        </w:rPr>
        <w:noBreakHyphen/>
        <w:t>kezelést ajánlottak fel, amelyet a megfelelő kezdő dózissal indítottak.</w:t>
      </w:r>
    </w:p>
    <w:p w14:paraId="4E20836A" w14:textId="77777777" w:rsidR="00342CEA" w:rsidRDefault="00342CEA">
      <w:pPr>
        <w:spacing w:line="240" w:lineRule="auto"/>
        <w:rPr>
          <w:u w:val="single"/>
          <w:lang w:val="hu-HU"/>
        </w:rPr>
      </w:pPr>
    </w:p>
    <w:p w14:paraId="505E54B2" w14:textId="77777777" w:rsidR="00342CEA" w:rsidRDefault="00837BAB">
      <w:pPr>
        <w:tabs>
          <w:tab w:val="clear" w:pos="567"/>
        </w:tabs>
        <w:autoSpaceDE w:val="0"/>
        <w:autoSpaceDN w:val="0"/>
        <w:spacing w:line="240" w:lineRule="auto"/>
        <w:rPr>
          <w:u w:val="single"/>
          <w:lang w:val="hu-HU"/>
        </w:rPr>
      </w:pPr>
      <w:r>
        <w:rPr>
          <w:lang w:val="hu-HU" w:eastAsia="en-GB"/>
        </w:rPr>
        <w:t>Nyolcvankilenc beteg (84,8%) ért el teljes választ (vérlemezkeszám ≥ 100 000/µl) (1. lépés, 5. táblázat), 65 betegnél (61,9%) pedig legalább 2 hónapig fennmaradt a tartós válasz anélkül, hogy a vérlemezkeszám 70 000/µl alá csökkent volna (2. lépés, 5. táblázat). Negyvennégy betegnél (41,9%) sikerült a fokozatos csökkentést követően abbahagyni az eltrombopag alkalmazását úgy, hogy eközben a vérlemezkeszám ≥30 000/µl maradt, nem álltak fenn vérzéses események, illetve nem kellett mentő kezelést igénybe venni (3. lépés, 5. táblázat).</w:t>
      </w:r>
    </w:p>
    <w:p w14:paraId="4DE41B10" w14:textId="77777777" w:rsidR="00342CEA" w:rsidRDefault="00342CEA">
      <w:pPr>
        <w:spacing w:line="240" w:lineRule="auto"/>
        <w:rPr>
          <w:u w:val="single"/>
          <w:lang w:val="hu-HU"/>
        </w:rPr>
      </w:pPr>
    </w:p>
    <w:p w14:paraId="42EF0BF4" w14:textId="77777777" w:rsidR="00342CEA" w:rsidRDefault="00837BAB">
      <w:pPr>
        <w:tabs>
          <w:tab w:val="clear" w:pos="567"/>
        </w:tabs>
        <w:autoSpaceDE w:val="0"/>
        <w:autoSpaceDN w:val="0"/>
        <w:spacing w:line="240" w:lineRule="auto"/>
        <w:rPr>
          <w:u w:val="single"/>
          <w:lang w:val="hu-HU"/>
        </w:rPr>
      </w:pPr>
      <w:r>
        <w:rPr>
          <w:lang w:val="hu-HU" w:eastAsia="en-GB"/>
        </w:rPr>
        <w:t>A vizsgálat igazolta, hogy az eltrombopag tartós választ tudott indukálni vérzéses események vagy mentő</w:t>
      </w:r>
      <w:r>
        <w:rPr>
          <w:lang w:val="hu-HU" w:eastAsia="en-GB"/>
        </w:rPr>
        <w:noBreakHyphen/>
        <w:t>kezelés alkalmazása nélkül, a kezelés abbahagyása után a 12. hónapig a 105 beválasztott beteg közül 32 főnél (30,5%; p &lt;0,0001; 95%-os CI: 21,9; 40,2), és ezzel elérte elsődleges célját (4. lépés, 5. táblázat). A 24. hónapig a 105 beválasztott beteg közül 20 főnél (19,0%; 95%</w:t>
      </w:r>
      <w:r>
        <w:rPr>
          <w:lang w:val="hu-HU" w:eastAsia="en-GB"/>
        </w:rPr>
        <w:noBreakHyphen/>
        <w:t>os CI: 12,0; 27,9) maradt fenn tartós válasz vérzéses események vagy mentő kezelés alkalmazása nélkül a kezelés abbahagyása után (5. lépés, 5. táblázat).</w:t>
      </w:r>
    </w:p>
    <w:p w14:paraId="67AA72FE" w14:textId="77777777" w:rsidR="00342CEA" w:rsidRDefault="00342CEA">
      <w:pPr>
        <w:spacing w:line="240" w:lineRule="auto"/>
        <w:rPr>
          <w:u w:val="single"/>
          <w:lang w:val="hu-HU"/>
        </w:rPr>
      </w:pPr>
    </w:p>
    <w:p w14:paraId="110A74EF" w14:textId="77777777" w:rsidR="00342CEA" w:rsidRDefault="00837BAB">
      <w:pPr>
        <w:tabs>
          <w:tab w:val="clear" w:pos="567"/>
        </w:tabs>
        <w:autoSpaceDE w:val="0"/>
        <w:autoSpaceDN w:val="0"/>
        <w:spacing w:line="240" w:lineRule="auto"/>
        <w:rPr>
          <w:u w:val="single"/>
          <w:lang w:val="hu-HU"/>
        </w:rPr>
      </w:pPr>
      <w:r>
        <w:rPr>
          <w:lang w:val="hu-HU" w:eastAsia="en-GB"/>
        </w:rPr>
        <w:t>A kezelés abbahagyása utáni tartós válasz medián időtartama a 12. hónapig 33,3 hét volt (szélsőértékek: 4 és 51 hét), a kezelés abbahagyása utáni tartós válasz medián időtartama a 24. hónapig pedig 88,6 hét volt (szélsőértékek: 57 és 107 hét).</w:t>
      </w:r>
    </w:p>
    <w:p w14:paraId="5934B590" w14:textId="77777777" w:rsidR="00342CEA" w:rsidRDefault="00342CEA">
      <w:pPr>
        <w:spacing w:line="240" w:lineRule="auto"/>
        <w:rPr>
          <w:u w:val="single"/>
          <w:lang w:val="hu-HU"/>
        </w:rPr>
      </w:pPr>
    </w:p>
    <w:p w14:paraId="56262CC1" w14:textId="77777777" w:rsidR="00342CEA" w:rsidRDefault="00837BAB">
      <w:pPr>
        <w:tabs>
          <w:tab w:val="clear" w:pos="567"/>
        </w:tabs>
        <w:autoSpaceDE w:val="0"/>
        <w:autoSpaceDN w:val="0"/>
        <w:spacing w:line="240" w:lineRule="auto"/>
        <w:rPr>
          <w:u w:val="single"/>
          <w:lang w:val="hu-HU"/>
        </w:rPr>
      </w:pPr>
      <w:r>
        <w:rPr>
          <w:lang w:val="hu-HU" w:eastAsia="en-GB"/>
        </w:rPr>
        <w:t>Az eltrombopag dózis fokozatos csökkentése és a kezelés abbahagyása után 12 betegnél szűnt meg a terápiás válasz; 8</w:t>
      </w:r>
      <w:r>
        <w:rPr>
          <w:lang w:val="hu-HU" w:eastAsia="en-GB"/>
        </w:rPr>
        <w:noBreakHyphen/>
        <w:t>an közülük újrakezdték az eltrombopag alkalmazását, 7 főnél pedig helyre is állt a terápiás válasz.</w:t>
      </w:r>
    </w:p>
    <w:p w14:paraId="118FC0FB" w14:textId="77777777" w:rsidR="00342CEA" w:rsidRDefault="00342CEA">
      <w:pPr>
        <w:spacing w:line="240" w:lineRule="auto"/>
        <w:rPr>
          <w:u w:val="single"/>
          <w:lang w:val="hu-HU"/>
        </w:rPr>
      </w:pPr>
    </w:p>
    <w:p w14:paraId="52EB20FE" w14:textId="77777777" w:rsidR="00342CEA" w:rsidRDefault="00837BAB">
      <w:pPr>
        <w:tabs>
          <w:tab w:val="clear" w:pos="567"/>
        </w:tabs>
        <w:autoSpaceDE w:val="0"/>
        <w:autoSpaceDN w:val="0"/>
        <w:spacing w:line="240" w:lineRule="auto"/>
        <w:rPr>
          <w:u w:val="single"/>
          <w:lang w:val="hu-HU"/>
        </w:rPr>
      </w:pPr>
      <w:r>
        <w:rPr>
          <w:lang w:val="hu-HU" w:eastAsia="en-GB"/>
        </w:rPr>
        <w:t>A 2 éves követés ideje alatt 105</w:t>
      </w:r>
      <w:r>
        <w:rPr>
          <w:lang w:val="hu-HU" w:eastAsia="en-GB"/>
        </w:rPr>
        <w:noBreakHyphen/>
        <w:t>ből 6 betegnél (5,7%) léptek fel thromboemboliás események: közülük 3 betegnél (2,9%) mélyvénás thrombosis, 1 betegnél (1,0%) felszíni vénás thrombosis, 1 betegnél (1,0%) sinus cavernosus thrombosis, 1 betegnél (1,0%) cerebrovascularis történés, 1 betegnél (1,0%) pedig pulmonalis embolia alakult ki. A 6 beteg közül 4 főnél léptek fel 3</w:t>
      </w:r>
      <w:r>
        <w:rPr>
          <w:lang w:val="hu-HU" w:eastAsia="en-GB"/>
        </w:rPr>
        <w:noBreakHyphen/>
        <w:t>as vagy magasabb fokozatúnak jelentett thromboemboliás események, 4 betegnél pedig súlyosnak jelentett thromboemboliás esemény fordult elő. Nem számoltak be végzetes kimenetelű esetekről.</w:t>
      </w:r>
    </w:p>
    <w:p w14:paraId="215D98E0" w14:textId="77777777" w:rsidR="00342CEA" w:rsidRDefault="00342CEA">
      <w:pPr>
        <w:spacing w:line="240" w:lineRule="auto"/>
        <w:rPr>
          <w:u w:val="single"/>
          <w:lang w:val="hu-HU"/>
        </w:rPr>
      </w:pPr>
    </w:p>
    <w:p w14:paraId="1EBE92BB" w14:textId="77777777" w:rsidR="00342CEA" w:rsidRDefault="00837BAB">
      <w:pPr>
        <w:tabs>
          <w:tab w:val="clear" w:pos="567"/>
        </w:tabs>
        <w:autoSpaceDE w:val="0"/>
        <w:autoSpaceDN w:val="0"/>
        <w:spacing w:line="240" w:lineRule="auto"/>
        <w:rPr>
          <w:u w:val="single"/>
          <w:lang w:val="hu-HU"/>
        </w:rPr>
      </w:pPr>
      <w:r>
        <w:rPr>
          <w:lang w:val="hu-HU" w:eastAsia="en-GB"/>
        </w:rPr>
        <w:lastRenderedPageBreak/>
        <w:t>A 105</w:t>
      </w:r>
      <w:r>
        <w:rPr>
          <w:lang w:val="hu-HU" w:eastAsia="en-GB"/>
        </w:rPr>
        <w:noBreakHyphen/>
        <w:t>ből 20 beteg (19,0%) tapasztalt enyhétől súlyosig terjedő vérzéses eseményeket a kezelés során, mielőtt megkezdődött volna a fokozatos dóziscsökkentés. A fokozatos csökkentést megkezdő 65 beteg közül 5 betegnél (7,7%) léptek fel enyhe vagy közepesen súlyos vérzéses események a fokozatos dóziscsökkentés során. Nem számoltak be súlyos vérzésről a fokozatos dóziscsökkentés során. Az eltrombopag</w:t>
      </w:r>
      <w:r>
        <w:rPr>
          <w:lang w:val="hu-HU" w:eastAsia="en-GB"/>
        </w:rPr>
        <w:noBreakHyphen/>
        <w:t>kezelést fokozatos dóziscsökkentés után abbahagyó 44 beteg közül 2 betegnél (4,5%) léptek fel enyhe vagy közepesen súlyos vérzéses események a kezelés abbahagyását követően, a 12. hónapig. Ezen időszak alatt nem számoltak be súlyos vérzésről. Az eltrombopag</w:t>
      </w:r>
      <w:r>
        <w:rPr>
          <w:lang w:val="hu-HU" w:eastAsia="en-GB"/>
        </w:rPr>
        <w:noBreakHyphen/>
        <w:t>kezelést abbahagyó és a követés második évét megkezdő betegek közül senkinél sem lépett fel vérzéses esemény a második év során. Kettő végzetes kimenetelű intracranialis vérzéses eseményről számoltak be a 2 éves követés során. Mindkét eseményre a kezelés közben került sor, nem a fokozatos dóziscsökkentéssel összefüggésben. Az eseményeket nem tekintették a vizsgálati kezeléssel összefüggőnek.</w:t>
      </w:r>
    </w:p>
    <w:p w14:paraId="100FE31B" w14:textId="77777777" w:rsidR="00342CEA" w:rsidRDefault="00342CEA">
      <w:pPr>
        <w:spacing w:line="240" w:lineRule="auto"/>
        <w:rPr>
          <w:u w:val="single"/>
          <w:lang w:val="hu-HU"/>
        </w:rPr>
      </w:pPr>
    </w:p>
    <w:p w14:paraId="4C884E1C" w14:textId="77777777" w:rsidR="00342CEA" w:rsidRDefault="00837BAB">
      <w:pPr>
        <w:tabs>
          <w:tab w:val="clear" w:pos="567"/>
        </w:tabs>
        <w:autoSpaceDE w:val="0"/>
        <w:autoSpaceDN w:val="0"/>
        <w:spacing w:line="240" w:lineRule="auto"/>
        <w:rPr>
          <w:u w:val="single"/>
          <w:lang w:val="hu-HU"/>
        </w:rPr>
      </w:pPr>
      <w:r>
        <w:rPr>
          <w:lang w:val="hu-HU" w:eastAsia="en-GB"/>
        </w:rPr>
        <w:t>Az általános biztonságossági elemzés összhangban van a korábban jelentett adatokkal, az ITP</w:t>
      </w:r>
      <w:r>
        <w:rPr>
          <w:lang w:val="hu-HU" w:eastAsia="en-GB"/>
        </w:rPr>
        <w:noBreakHyphen/>
        <w:t>s betegeknél alkalmazott eltrombopagra vonatkozó előny</w:t>
      </w:r>
      <w:r>
        <w:rPr>
          <w:lang w:val="hu-HU" w:eastAsia="en-GB"/>
        </w:rPr>
        <w:noBreakHyphen/>
        <w:t>kockázat értékelés nem változott.</w:t>
      </w:r>
    </w:p>
    <w:p w14:paraId="24297711" w14:textId="77777777" w:rsidR="00342CEA" w:rsidRDefault="00342CEA">
      <w:pPr>
        <w:spacing w:line="240" w:lineRule="auto"/>
        <w:rPr>
          <w:u w:val="single"/>
          <w:lang w:val="hu-HU"/>
        </w:rPr>
      </w:pPr>
    </w:p>
    <w:p w14:paraId="65C99A6B" w14:textId="77777777" w:rsidR="00342CEA" w:rsidRDefault="00837BAB">
      <w:pPr>
        <w:tabs>
          <w:tab w:val="clear" w:pos="567"/>
        </w:tabs>
        <w:autoSpaceDE w:val="0"/>
        <w:autoSpaceDN w:val="0"/>
        <w:spacing w:line="240" w:lineRule="auto"/>
        <w:ind w:left="1134" w:hanging="1134"/>
        <w:rPr>
          <w:b/>
          <w:bCs/>
          <w:lang w:val="hu-HU" w:eastAsia="en-GB"/>
        </w:rPr>
      </w:pPr>
      <w:r>
        <w:rPr>
          <w:b/>
          <w:bCs/>
          <w:lang w:val="hu-HU" w:eastAsia="en-GB"/>
        </w:rPr>
        <w:t>6. táblázat</w:t>
      </w:r>
      <w:r>
        <w:rPr>
          <w:b/>
          <w:bCs/>
          <w:lang w:val="hu-HU" w:eastAsia="en-GB"/>
        </w:rPr>
        <w:tab/>
        <w:t xml:space="preserve">A kezelés abbahagyása után </w:t>
      </w:r>
      <w:r>
        <w:rPr>
          <w:rFonts w:eastAsia="TimesNewRomanPS-BoldMT"/>
          <w:b/>
          <w:bCs/>
          <w:lang w:val="hu-HU" w:eastAsia="en-GB"/>
        </w:rPr>
        <w:t>tartós választ elérő betegek aránya a 12. </w:t>
      </w:r>
      <w:r>
        <w:rPr>
          <w:b/>
          <w:bCs/>
          <w:lang w:val="hu-HU" w:eastAsia="en-GB"/>
        </w:rPr>
        <w:t>hónapra és a 24. hónapra (teljes elemzési populáció) a TAPER vizsgálat során</w:t>
      </w:r>
    </w:p>
    <w:p w14:paraId="71B9EF92" w14:textId="77777777" w:rsidR="00D8246F" w:rsidRDefault="00D8246F">
      <w:pPr>
        <w:tabs>
          <w:tab w:val="clear" w:pos="567"/>
        </w:tabs>
        <w:autoSpaceDE w:val="0"/>
        <w:autoSpaceDN w:val="0"/>
        <w:spacing w:line="240" w:lineRule="auto"/>
        <w:ind w:left="1134" w:hanging="1134"/>
        <w:rPr>
          <w:b/>
          <w:bCs/>
          <w:u w:val="single"/>
          <w:lang w:val="hu-HU"/>
        </w:rPr>
      </w:pPr>
    </w:p>
    <w:tbl>
      <w:tblPr>
        <w:tblStyle w:val="TableGrid1"/>
        <w:tblW w:w="9350" w:type="dxa"/>
        <w:tblInd w:w="-60" w:type="dxa"/>
        <w:tblCellMar>
          <w:top w:w="10" w:type="dxa"/>
          <w:left w:w="60" w:type="dxa"/>
          <w:right w:w="19" w:type="dxa"/>
        </w:tblCellMar>
        <w:tblLook w:val="04A0" w:firstRow="1" w:lastRow="0" w:firstColumn="1" w:lastColumn="0" w:noHBand="0" w:noVBand="1"/>
      </w:tblPr>
      <w:tblGrid>
        <w:gridCol w:w="5331"/>
        <w:gridCol w:w="974"/>
        <w:gridCol w:w="1076"/>
        <w:gridCol w:w="981"/>
        <w:gridCol w:w="988"/>
      </w:tblGrid>
      <w:tr w:rsidR="00342CEA" w14:paraId="404B4E1C" w14:textId="77777777">
        <w:trPr>
          <w:trHeight w:val="466"/>
        </w:trPr>
        <w:tc>
          <w:tcPr>
            <w:tcW w:w="5399" w:type="dxa"/>
            <w:tcBorders>
              <w:top w:val="single" w:sz="4" w:space="0" w:color="000000"/>
              <w:bottom w:val="nil"/>
              <w:right w:val="single" w:sz="4" w:space="0" w:color="000000"/>
            </w:tcBorders>
          </w:tcPr>
          <w:p w14:paraId="0235F382" w14:textId="77777777" w:rsidR="00342CEA" w:rsidRDefault="00342CEA">
            <w:pPr>
              <w:spacing w:line="259" w:lineRule="auto"/>
              <w:rPr>
                <w:rFonts w:ascii="Times New Roman" w:hAnsi="Times New Roman"/>
                <w:lang w:val="hu-HU"/>
              </w:rPr>
            </w:pPr>
          </w:p>
        </w:tc>
        <w:tc>
          <w:tcPr>
            <w:tcW w:w="2062" w:type="dxa"/>
            <w:gridSpan w:val="2"/>
            <w:tcBorders>
              <w:top w:val="single" w:sz="4" w:space="0" w:color="000000"/>
              <w:left w:val="single" w:sz="4" w:space="0" w:color="000000"/>
              <w:bottom w:val="nil"/>
              <w:right w:val="single" w:sz="4" w:space="0" w:color="000000"/>
            </w:tcBorders>
          </w:tcPr>
          <w:p w14:paraId="6ACB86A2" w14:textId="77777777" w:rsidR="00342CEA" w:rsidRDefault="00837BAB">
            <w:pPr>
              <w:spacing w:line="259" w:lineRule="auto"/>
              <w:ind w:left="199" w:right="193"/>
              <w:jc w:val="center"/>
              <w:rPr>
                <w:rFonts w:ascii="Times New Roman" w:hAnsi="Times New Roman"/>
                <w:b/>
                <w:bCs/>
                <w:lang w:val="hu-HU" w:eastAsia="en-GB"/>
              </w:rPr>
            </w:pPr>
            <w:r>
              <w:rPr>
                <w:rFonts w:ascii="Times New Roman" w:hAnsi="Times New Roman"/>
                <w:b/>
                <w:bCs/>
                <w:lang w:val="hu-HU" w:eastAsia="en-GB"/>
              </w:rPr>
              <w:t>Minden beteg</w:t>
            </w:r>
          </w:p>
          <w:p w14:paraId="1CF8EED7" w14:textId="77777777" w:rsidR="00342CEA" w:rsidRDefault="00837BAB">
            <w:pPr>
              <w:spacing w:line="259" w:lineRule="auto"/>
              <w:ind w:left="199" w:right="193"/>
              <w:jc w:val="center"/>
              <w:rPr>
                <w:rFonts w:ascii="Times New Roman" w:hAnsi="Times New Roman"/>
                <w:lang w:val="hu-HU"/>
              </w:rPr>
            </w:pPr>
            <w:r>
              <w:rPr>
                <w:rFonts w:ascii="Times New Roman" w:hAnsi="Times New Roman"/>
                <w:b/>
                <w:bCs/>
                <w:lang w:val="hu-HU"/>
              </w:rPr>
              <w:t>N = 105</w:t>
            </w:r>
          </w:p>
        </w:tc>
        <w:tc>
          <w:tcPr>
            <w:tcW w:w="1889" w:type="dxa"/>
            <w:gridSpan w:val="2"/>
            <w:tcBorders>
              <w:top w:val="single" w:sz="4" w:space="0" w:color="000000"/>
              <w:left w:val="single" w:sz="4" w:space="0" w:color="000000"/>
              <w:bottom w:val="nil"/>
              <w:right w:val="nil"/>
            </w:tcBorders>
          </w:tcPr>
          <w:p w14:paraId="14EF6D93" w14:textId="77777777" w:rsidR="00342CEA" w:rsidRDefault="00837BAB">
            <w:pPr>
              <w:spacing w:line="259" w:lineRule="auto"/>
              <w:ind w:left="98"/>
              <w:jc w:val="center"/>
              <w:rPr>
                <w:rFonts w:ascii="Times New Roman" w:hAnsi="Times New Roman"/>
                <w:lang w:val="hu-HU"/>
              </w:rPr>
            </w:pPr>
            <w:r>
              <w:rPr>
                <w:rFonts w:ascii="Times New Roman" w:hAnsi="Times New Roman"/>
                <w:b/>
                <w:bCs/>
                <w:lang w:val="hu-HU" w:eastAsia="en-GB"/>
              </w:rPr>
              <w:t>Hipotézisvizsgálat</w:t>
            </w:r>
          </w:p>
        </w:tc>
      </w:tr>
      <w:tr w:rsidR="00342CEA" w14:paraId="01FC3D67" w14:textId="77777777">
        <w:trPr>
          <w:trHeight w:val="234"/>
        </w:trPr>
        <w:tc>
          <w:tcPr>
            <w:tcW w:w="5399" w:type="dxa"/>
            <w:tcBorders>
              <w:top w:val="nil"/>
              <w:bottom w:val="single" w:sz="4" w:space="0" w:color="000000"/>
              <w:right w:val="single" w:sz="4" w:space="0" w:color="000000"/>
            </w:tcBorders>
            <w:shd w:val="clear" w:color="auto" w:fill="FFFFFF"/>
          </w:tcPr>
          <w:p w14:paraId="24005A5F" w14:textId="77777777" w:rsidR="00342CEA" w:rsidRDefault="00837BAB">
            <w:pPr>
              <w:spacing w:line="259" w:lineRule="auto"/>
              <w:rPr>
                <w:rFonts w:ascii="Times New Roman" w:hAnsi="Times New Roman"/>
                <w:lang w:val="hu-HU"/>
              </w:rPr>
            </w:pPr>
            <w:r>
              <w:rPr>
                <w:rFonts w:ascii="Times New Roman" w:hAnsi="Times New Roman"/>
                <w:b/>
                <w:bCs/>
                <w:lang w:val="hu-HU"/>
              </w:rPr>
              <w:t xml:space="preserve"> </w:t>
            </w:r>
          </w:p>
        </w:tc>
        <w:tc>
          <w:tcPr>
            <w:tcW w:w="980" w:type="dxa"/>
            <w:tcBorders>
              <w:top w:val="nil"/>
              <w:left w:val="single" w:sz="4" w:space="0" w:color="000000"/>
              <w:bottom w:val="single" w:sz="4" w:space="0" w:color="000000"/>
              <w:right w:val="single" w:sz="4" w:space="0" w:color="000000"/>
            </w:tcBorders>
            <w:shd w:val="clear" w:color="auto" w:fill="FFFFFF"/>
          </w:tcPr>
          <w:p w14:paraId="3C97ABF4" w14:textId="77777777" w:rsidR="00342CEA" w:rsidRDefault="00837BAB">
            <w:pPr>
              <w:spacing w:line="259" w:lineRule="auto"/>
              <w:ind w:right="43"/>
              <w:jc w:val="center"/>
              <w:rPr>
                <w:rFonts w:ascii="Times New Roman" w:hAnsi="Times New Roman"/>
                <w:lang w:val="hu-HU"/>
              </w:rPr>
            </w:pPr>
            <w:r>
              <w:rPr>
                <w:rFonts w:ascii="Times New Roman" w:hAnsi="Times New Roman"/>
                <w:b/>
                <w:bCs/>
                <w:lang w:val="hu-HU"/>
              </w:rPr>
              <w:t>n (%)</w:t>
            </w:r>
          </w:p>
        </w:tc>
        <w:tc>
          <w:tcPr>
            <w:tcW w:w="1082" w:type="dxa"/>
            <w:tcBorders>
              <w:top w:val="nil"/>
              <w:left w:val="single" w:sz="4" w:space="0" w:color="000000"/>
              <w:bottom w:val="single" w:sz="4" w:space="0" w:color="000000"/>
              <w:right w:val="single" w:sz="4" w:space="0" w:color="000000"/>
            </w:tcBorders>
            <w:shd w:val="clear" w:color="auto" w:fill="FFFFFF"/>
          </w:tcPr>
          <w:p w14:paraId="21AC8762" w14:textId="77777777" w:rsidR="00342CEA" w:rsidRDefault="00837BAB">
            <w:pPr>
              <w:spacing w:line="259" w:lineRule="auto"/>
              <w:ind w:left="144"/>
              <w:jc w:val="center"/>
              <w:rPr>
                <w:rFonts w:ascii="Times New Roman" w:hAnsi="Times New Roman"/>
                <w:lang w:val="hu-HU"/>
              </w:rPr>
            </w:pPr>
            <w:r>
              <w:rPr>
                <w:rFonts w:ascii="Times New Roman" w:hAnsi="Times New Roman"/>
                <w:b/>
                <w:bCs/>
                <w:lang w:val="hu-HU"/>
              </w:rPr>
              <w:t>95%-os CI</w:t>
            </w:r>
          </w:p>
        </w:tc>
        <w:tc>
          <w:tcPr>
            <w:tcW w:w="899" w:type="dxa"/>
            <w:tcBorders>
              <w:top w:val="nil"/>
              <w:left w:val="single" w:sz="4" w:space="0" w:color="000000"/>
              <w:bottom w:val="single" w:sz="4" w:space="0" w:color="000000"/>
              <w:right w:val="single" w:sz="4" w:space="0" w:color="000000"/>
            </w:tcBorders>
            <w:shd w:val="clear" w:color="auto" w:fill="FFFFFF"/>
          </w:tcPr>
          <w:p w14:paraId="72D288F9" w14:textId="77777777" w:rsidR="00342CEA" w:rsidRDefault="00837BAB">
            <w:pPr>
              <w:spacing w:line="259" w:lineRule="auto"/>
              <w:ind w:left="72"/>
              <w:jc w:val="center"/>
              <w:rPr>
                <w:rFonts w:ascii="Times New Roman" w:hAnsi="Times New Roman"/>
                <w:lang w:val="hu-HU"/>
              </w:rPr>
            </w:pPr>
            <w:r>
              <w:rPr>
                <w:rFonts w:ascii="Times New Roman" w:hAnsi="Times New Roman"/>
                <w:b/>
                <w:bCs/>
                <w:lang w:val="hu-HU"/>
              </w:rPr>
              <w:t>p-érték</w:t>
            </w:r>
          </w:p>
        </w:tc>
        <w:tc>
          <w:tcPr>
            <w:tcW w:w="990" w:type="dxa"/>
            <w:tcBorders>
              <w:top w:val="nil"/>
              <w:left w:val="single" w:sz="4" w:space="0" w:color="000000"/>
              <w:bottom w:val="single" w:sz="4" w:space="0" w:color="000000"/>
              <w:right w:val="nil"/>
            </w:tcBorders>
          </w:tcPr>
          <w:p w14:paraId="11DDB883" w14:textId="77777777" w:rsidR="00342CEA" w:rsidRDefault="00837BAB">
            <w:pPr>
              <w:spacing w:line="259" w:lineRule="auto"/>
              <w:ind w:left="11"/>
              <w:jc w:val="center"/>
              <w:rPr>
                <w:rFonts w:ascii="Times New Roman" w:hAnsi="Times New Roman"/>
                <w:lang w:val="hu-HU"/>
              </w:rPr>
            </w:pPr>
            <w:r>
              <w:rPr>
                <w:rFonts w:ascii="Times New Roman" w:hAnsi="Times New Roman"/>
                <w:b/>
                <w:bCs/>
                <w:lang w:val="hu-HU"/>
              </w:rPr>
              <w:t>H0 elvetése</w:t>
            </w:r>
          </w:p>
        </w:tc>
      </w:tr>
      <w:tr w:rsidR="00342CEA" w14:paraId="6A5C78B7" w14:textId="77777777">
        <w:trPr>
          <w:trHeight w:val="472"/>
        </w:trPr>
        <w:tc>
          <w:tcPr>
            <w:tcW w:w="5399" w:type="dxa"/>
            <w:tcBorders>
              <w:top w:val="single" w:sz="4" w:space="0" w:color="000000"/>
              <w:bottom w:val="single" w:sz="4" w:space="0" w:color="000000"/>
              <w:right w:val="single" w:sz="4" w:space="0" w:color="000000"/>
            </w:tcBorders>
          </w:tcPr>
          <w:p w14:paraId="44CC5AA8" w14:textId="77777777" w:rsidR="00342CEA" w:rsidRDefault="00837BAB">
            <w:pPr>
              <w:tabs>
                <w:tab w:val="clear" w:pos="567"/>
              </w:tabs>
              <w:autoSpaceDE w:val="0"/>
              <w:autoSpaceDN w:val="0"/>
              <w:spacing w:line="240" w:lineRule="auto"/>
              <w:rPr>
                <w:rFonts w:ascii="Times New Roman" w:hAnsi="Times New Roman"/>
                <w:lang w:val="hu-HU"/>
              </w:rPr>
            </w:pPr>
            <w:r>
              <w:rPr>
                <w:rFonts w:ascii="Times New Roman" w:hAnsi="Times New Roman"/>
                <w:lang w:val="hu-HU"/>
              </w:rPr>
              <w:t xml:space="preserve">1. lépés: </w:t>
            </w:r>
            <w:r>
              <w:rPr>
                <w:rFonts w:ascii="Times New Roman" w:hAnsi="Times New Roman"/>
                <w:lang w:val="hu-HU" w:eastAsia="en-GB"/>
              </w:rPr>
              <w:t>Azon betegek, akik legalább egyszer elérték a ≥ 100 000/µl vérlemezkeszámot</w:t>
            </w:r>
          </w:p>
        </w:tc>
        <w:tc>
          <w:tcPr>
            <w:tcW w:w="980" w:type="dxa"/>
            <w:tcBorders>
              <w:top w:val="single" w:sz="4" w:space="0" w:color="000000"/>
              <w:left w:val="single" w:sz="4" w:space="0" w:color="000000"/>
              <w:bottom w:val="single" w:sz="4" w:space="0" w:color="000000"/>
              <w:right w:val="single" w:sz="4" w:space="0" w:color="000000"/>
            </w:tcBorders>
          </w:tcPr>
          <w:p w14:paraId="6EBEA863" w14:textId="77777777" w:rsidR="00342CEA" w:rsidRDefault="00837BAB">
            <w:pPr>
              <w:spacing w:line="259" w:lineRule="auto"/>
              <w:ind w:left="62"/>
              <w:rPr>
                <w:rFonts w:ascii="Times New Roman" w:hAnsi="Times New Roman"/>
                <w:lang w:val="hu-HU"/>
              </w:rPr>
            </w:pPr>
            <w:r>
              <w:rPr>
                <w:rFonts w:ascii="Times New Roman" w:hAnsi="Times New Roman"/>
                <w:lang w:val="hu-HU"/>
              </w:rPr>
              <w:t>89 (84,8)</w:t>
            </w:r>
          </w:p>
        </w:tc>
        <w:tc>
          <w:tcPr>
            <w:tcW w:w="1082" w:type="dxa"/>
            <w:tcBorders>
              <w:top w:val="single" w:sz="4" w:space="0" w:color="000000"/>
              <w:left w:val="single" w:sz="4" w:space="0" w:color="000000"/>
              <w:bottom w:val="single" w:sz="4" w:space="0" w:color="000000"/>
              <w:right w:val="single" w:sz="4" w:space="0" w:color="000000"/>
            </w:tcBorders>
          </w:tcPr>
          <w:p w14:paraId="234EC824" w14:textId="77777777" w:rsidR="00342CEA" w:rsidRDefault="00837BAB">
            <w:pPr>
              <w:spacing w:line="259" w:lineRule="auto"/>
              <w:ind w:left="14"/>
              <w:jc w:val="both"/>
              <w:rPr>
                <w:rFonts w:ascii="Times New Roman" w:hAnsi="Times New Roman"/>
                <w:lang w:val="hu-HU"/>
              </w:rPr>
            </w:pPr>
            <w:r>
              <w:rPr>
                <w:rFonts w:ascii="Times New Roman" w:hAnsi="Times New Roman"/>
                <w:lang w:val="hu-HU"/>
              </w:rPr>
              <w:t>(76,4, 91,0)</w:t>
            </w:r>
          </w:p>
        </w:tc>
        <w:tc>
          <w:tcPr>
            <w:tcW w:w="899" w:type="dxa"/>
            <w:tcBorders>
              <w:top w:val="single" w:sz="4" w:space="0" w:color="000000"/>
              <w:left w:val="single" w:sz="4" w:space="0" w:color="000000"/>
              <w:bottom w:val="single" w:sz="4" w:space="0" w:color="000000"/>
              <w:right w:val="single" w:sz="4" w:space="0" w:color="000000"/>
            </w:tcBorders>
          </w:tcPr>
          <w:p w14:paraId="2060CF64" w14:textId="77777777" w:rsidR="00342CEA" w:rsidRDefault="00837BAB">
            <w:pPr>
              <w:spacing w:line="259" w:lineRule="auto"/>
              <w:ind w:left="7"/>
              <w:jc w:val="center"/>
              <w:rPr>
                <w:rFonts w:ascii="Times New Roman" w:hAnsi="Times New Roman"/>
                <w:lang w:val="hu-HU"/>
              </w:rPr>
            </w:pPr>
            <w:r>
              <w:rPr>
                <w:rFonts w:ascii="Times New Roman" w:hAnsi="Times New Roman"/>
                <w:lang w:val="hu-HU"/>
              </w:rPr>
              <w:t xml:space="preserve"> </w:t>
            </w:r>
          </w:p>
        </w:tc>
        <w:tc>
          <w:tcPr>
            <w:tcW w:w="990" w:type="dxa"/>
            <w:tcBorders>
              <w:top w:val="single" w:sz="4" w:space="0" w:color="000000"/>
              <w:left w:val="single" w:sz="4" w:space="0" w:color="000000"/>
              <w:bottom w:val="single" w:sz="4" w:space="0" w:color="000000"/>
              <w:right w:val="nil"/>
            </w:tcBorders>
          </w:tcPr>
          <w:p w14:paraId="3D00FFA7" w14:textId="77777777" w:rsidR="00342CEA" w:rsidRDefault="00837BAB">
            <w:pPr>
              <w:spacing w:line="259" w:lineRule="auto"/>
              <w:ind w:left="10"/>
              <w:jc w:val="center"/>
              <w:rPr>
                <w:rFonts w:ascii="Times New Roman" w:hAnsi="Times New Roman"/>
                <w:lang w:val="hu-HU"/>
              </w:rPr>
            </w:pPr>
            <w:r>
              <w:rPr>
                <w:rFonts w:ascii="Times New Roman" w:hAnsi="Times New Roman"/>
                <w:lang w:val="hu-HU"/>
              </w:rPr>
              <w:t xml:space="preserve"> </w:t>
            </w:r>
          </w:p>
        </w:tc>
      </w:tr>
      <w:tr w:rsidR="00342CEA" w14:paraId="6BDFB9E6" w14:textId="77777777">
        <w:trPr>
          <w:trHeight w:val="698"/>
        </w:trPr>
        <w:tc>
          <w:tcPr>
            <w:tcW w:w="5399" w:type="dxa"/>
            <w:tcBorders>
              <w:top w:val="single" w:sz="4" w:space="0" w:color="000000"/>
              <w:bottom w:val="single" w:sz="4" w:space="0" w:color="000000"/>
              <w:right w:val="single" w:sz="4" w:space="0" w:color="000000"/>
            </w:tcBorders>
          </w:tcPr>
          <w:p w14:paraId="788FF685" w14:textId="77777777" w:rsidR="00342CEA" w:rsidRDefault="00837BAB">
            <w:pPr>
              <w:tabs>
                <w:tab w:val="clear" w:pos="567"/>
              </w:tabs>
              <w:autoSpaceDE w:val="0"/>
              <w:autoSpaceDN w:val="0"/>
              <w:spacing w:line="240" w:lineRule="auto"/>
              <w:rPr>
                <w:rFonts w:ascii="Times New Roman" w:hAnsi="Times New Roman"/>
                <w:lang w:val="hu-HU"/>
              </w:rPr>
            </w:pPr>
            <w:r>
              <w:rPr>
                <w:rFonts w:ascii="Times New Roman" w:hAnsi="Times New Roman"/>
                <w:lang w:val="hu-HU"/>
              </w:rPr>
              <w:t xml:space="preserve">2. lépés: </w:t>
            </w:r>
            <w:r>
              <w:rPr>
                <w:rFonts w:ascii="Times New Roman" w:hAnsi="Times New Roman"/>
                <w:lang w:val="hu-HU" w:eastAsia="en-GB"/>
              </w:rPr>
              <w:t>Azon betegek, akiknél stabil maradt a vérlemezkeszám 2 hónapig, miután elérték a 100 000/µl értéket (egy alkalommal sem süllyedt 70 000/µl alá)</w:t>
            </w:r>
          </w:p>
        </w:tc>
        <w:tc>
          <w:tcPr>
            <w:tcW w:w="980" w:type="dxa"/>
            <w:tcBorders>
              <w:top w:val="single" w:sz="4" w:space="0" w:color="000000"/>
              <w:left w:val="single" w:sz="4" w:space="0" w:color="000000"/>
              <w:bottom w:val="single" w:sz="4" w:space="0" w:color="000000"/>
              <w:right w:val="single" w:sz="4" w:space="0" w:color="000000"/>
            </w:tcBorders>
          </w:tcPr>
          <w:p w14:paraId="45F137B0" w14:textId="77777777" w:rsidR="00342CEA" w:rsidRDefault="00837BAB">
            <w:pPr>
              <w:spacing w:line="259" w:lineRule="auto"/>
              <w:ind w:left="62"/>
              <w:rPr>
                <w:rFonts w:ascii="Times New Roman" w:hAnsi="Times New Roman"/>
                <w:lang w:val="hu-HU"/>
              </w:rPr>
            </w:pPr>
            <w:r>
              <w:rPr>
                <w:rFonts w:ascii="Times New Roman" w:hAnsi="Times New Roman"/>
                <w:lang w:val="hu-HU"/>
              </w:rPr>
              <w:t>65 (61,9)</w:t>
            </w:r>
          </w:p>
        </w:tc>
        <w:tc>
          <w:tcPr>
            <w:tcW w:w="1082" w:type="dxa"/>
            <w:tcBorders>
              <w:top w:val="single" w:sz="4" w:space="0" w:color="000000"/>
              <w:left w:val="single" w:sz="4" w:space="0" w:color="000000"/>
              <w:bottom w:val="single" w:sz="4" w:space="0" w:color="000000"/>
              <w:right w:val="single" w:sz="4" w:space="0" w:color="000000"/>
            </w:tcBorders>
          </w:tcPr>
          <w:p w14:paraId="51F24004" w14:textId="77777777" w:rsidR="00342CEA" w:rsidRDefault="00837BAB">
            <w:pPr>
              <w:spacing w:line="259" w:lineRule="auto"/>
              <w:ind w:left="14"/>
              <w:jc w:val="both"/>
              <w:rPr>
                <w:rFonts w:ascii="Times New Roman" w:hAnsi="Times New Roman"/>
                <w:lang w:val="hu-HU"/>
              </w:rPr>
            </w:pPr>
            <w:r>
              <w:rPr>
                <w:rFonts w:ascii="Times New Roman" w:hAnsi="Times New Roman"/>
                <w:lang w:val="hu-HU"/>
              </w:rPr>
              <w:t>(51,9, 71,2)</w:t>
            </w:r>
          </w:p>
        </w:tc>
        <w:tc>
          <w:tcPr>
            <w:tcW w:w="899" w:type="dxa"/>
            <w:tcBorders>
              <w:top w:val="single" w:sz="4" w:space="0" w:color="000000"/>
              <w:left w:val="single" w:sz="4" w:space="0" w:color="000000"/>
              <w:bottom w:val="single" w:sz="4" w:space="0" w:color="000000"/>
              <w:right w:val="single" w:sz="4" w:space="0" w:color="000000"/>
            </w:tcBorders>
          </w:tcPr>
          <w:p w14:paraId="558EB491" w14:textId="77777777" w:rsidR="00342CEA" w:rsidRDefault="00837BAB">
            <w:pPr>
              <w:spacing w:line="259" w:lineRule="auto"/>
              <w:ind w:left="7"/>
              <w:jc w:val="center"/>
              <w:rPr>
                <w:rFonts w:ascii="Times New Roman" w:hAnsi="Times New Roman"/>
                <w:lang w:val="hu-HU"/>
              </w:rPr>
            </w:pPr>
            <w:r>
              <w:rPr>
                <w:rFonts w:ascii="Times New Roman" w:hAnsi="Times New Roman"/>
                <w:lang w:val="hu-HU"/>
              </w:rPr>
              <w:t xml:space="preserve"> </w:t>
            </w:r>
          </w:p>
        </w:tc>
        <w:tc>
          <w:tcPr>
            <w:tcW w:w="990" w:type="dxa"/>
            <w:tcBorders>
              <w:top w:val="single" w:sz="4" w:space="0" w:color="000000"/>
              <w:left w:val="single" w:sz="4" w:space="0" w:color="000000"/>
              <w:bottom w:val="single" w:sz="4" w:space="0" w:color="000000"/>
              <w:right w:val="nil"/>
            </w:tcBorders>
          </w:tcPr>
          <w:p w14:paraId="5EB1F3B8" w14:textId="77777777" w:rsidR="00342CEA" w:rsidRDefault="00837BAB">
            <w:pPr>
              <w:spacing w:line="259" w:lineRule="auto"/>
              <w:ind w:left="10"/>
              <w:jc w:val="center"/>
              <w:rPr>
                <w:rFonts w:ascii="Times New Roman" w:hAnsi="Times New Roman"/>
                <w:lang w:val="hu-HU"/>
              </w:rPr>
            </w:pPr>
            <w:r>
              <w:rPr>
                <w:rFonts w:ascii="Times New Roman" w:hAnsi="Times New Roman"/>
                <w:lang w:val="hu-HU"/>
              </w:rPr>
              <w:t xml:space="preserve"> </w:t>
            </w:r>
          </w:p>
        </w:tc>
      </w:tr>
      <w:tr w:rsidR="00342CEA" w14:paraId="094B9BB1" w14:textId="77777777">
        <w:trPr>
          <w:trHeight w:val="931"/>
        </w:trPr>
        <w:tc>
          <w:tcPr>
            <w:tcW w:w="5399" w:type="dxa"/>
            <w:tcBorders>
              <w:top w:val="single" w:sz="4" w:space="0" w:color="000000"/>
              <w:bottom w:val="single" w:sz="4" w:space="0" w:color="000000"/>
              <w:right w:val="single" w:sz="4" w:space="0" w:color="000000"/>
            </w:tcBorders>
          </w:tcPr>
          <w:p w14:paraId="00EBA784" w14:textId="77777777" w:rsidR="00342CEA" w:rsidRDefault="00837BAB">
            <w:pPr>
              <w:tabs>
                <w:tab w:val="clear" w:pos="567"/>
              </w:tabs>
              <w:autoSpaceDE w:val="0"/>
              <w:autoSpaceDN w:val="0"/>
              <w:spacing w:line="240" w:lineRule="auto"/>
              <w:rPr>
                <w:rFonts w:ascii="Times New Roman" w:hAnsi="Times New Roman"/>
                <w:lang w:val="hu-HU"/>
              </w:rPr>
            </w:pPr>
            <w:r>
              <w:rPr>
                <w:rFonts w:ascii="Times New Roman" w:hAnsi="Times New Roman"/>
                <w:lang w:val="hu-HU"/>
              </w:rPr>
              <w:t xml:space="preserve">3. lépés: </w:t>
            </w:r>
            <w:r>
              <w:rPr>
                <w:rFonts w:ascii="Times New Roman" w:hAnsi="Times New Roman"/>
                <w:lang w:val="hu-HU" w:eastAsia="en-GB"/>
              </w:rPr>
              <w:t>Azon betegek, akiknél sikerült a fokozatos dóziscsökkentést követően abbahagyni az eltrombopag alkalmazását úgy, hogy eközben a vérlemezkeszám ≥ 30 000/µl maradt, nem voltak vérzéses események, illetve nem kellett semmilyen mentő kezelést sem igénybe venni</w:t>
            </w:r>
          </w:p>
        </w:tc>
        <w:tc>
          <w:tcPr>
            <w:tcW w:w="980" w:type="dxa"/>
            <w:tcBorders>
              <w:top w:val="single" w:sz="4" w:space="0" w:color="000000"/>
              <w:left w:val="single" w:sz="4" w:space="0" w:color="000000"/>
              <w:bottom w:val="single" w:sz="4" w:space="0" w:color="000000"/>
              <w:right w:val="single" w:sz="4" w:space="0" w:color="000000"/>
            </w:tcBorders>
          </w:tcPr>
          <w:p w14:paraId="6B862946" w14:textId="77777777" w:rsidR="00342CEA" w:rsidRDefault="00837BAB">
            <w:pPr>
              <w:spacing w:line="259" w:lineRule="auto"/>
              <w:ind w:left="62"/>
              <w:rPr>
                <w:rFonts w:ascii="Times New Roman" w:hAnsi="Times New Roman"/>
                <w:lang w:val="hu-HU"/>
              </w:rPr>
            </w:pPr>
            <w:r>
              <w:rPr>
                <w:rFonts w:ascii="Times New Roman" w:hAnsi="Times New Roman"/>
                <w:lang w:val="hu-HU"/>
              </w:rPr>
              <w:t>44 (41,9)</w:t>
            </w:r>
          </w:p>
        </w:tc>
        <w:tc>
          <w:tcPr>
            <w:tcW w:w="1082" w:type="dxa"/>
            <w:tcBorders>
              <w:top w:val="single" w:sz="4" w:space="0" w:color="000000"/>
              <w:left w:val="single" w:sz="4" w:space="0" w:color="000000"/>
              <w:bottom w:val="single" w:sz="4" w:space="0" w:color="000000"/>
              <w:right w:val="single" w:sz="4" w:space="0" w:color="000000"/>
            </w:tcBorders>
          </w:tcPr>
          <w:p w14:paraId="14EA56B9" w14:textId="77777777" w:rsidR="00342CEA" w:rsidRDefault="00837BAB">
            <w:pPr>
              <w:spacing w:line="259" w:lineRule="auto"/>
              <w:ind w:left="14"/>
              <w:jc w:val="both"/>
              <w:rPr>
                <w:rFonts w:ascii="Times New Roman" w:hAnsi="Times New Roman"/>
                <w:lang w:val="hu-HU"/>
              </w:rPr>
            </w:pPr>
            <w:r>
              <w:rPr>
                <w:rFonts w:ascii="Times New Roman" w:hAnsi="Times New Roman"/>
                <w:lang w:val="hu-HU"/>
              </w:rPr>
              <w:t>(32,3, 51,9)</w:t>
            </w:r>
          </w:p>
        </w:tc>
        <w:tc>
          <w:tcPr>
            <w:tcW w:w="899" w:type="dxa"/>
            <w:tcBorders>
              <w:top w:val="single" w:sz="4" w:space="0" w:color="000000"/>
              <w:left w:val="single" w:sz="4" w:space="0" w:color="000000"/>
              <w:bottom w:val="single" w:sz="4" w:space="0" w:color="000000"/>
              <w:right w:val="single" w:sz="4" w:space="0" w:color="000000"/>
            </w:tcBorders>
          </w:tcPr>
          <w:p w14:paraId="7D0DB29F" w14:textId="77777777" w:rsidR="00342CEA" w:rsidRDefault="00837BAB">
            <w:pPr>
              <w:spacing w:line="259" w:lineRule="auto"/>
              <w:ind w:left="7"/>
              <w:jc w:val="center"/>
              <w:rPr>
                <w:rFonts w:ascii="Times New Roman" w:hAnsi="Times New Roman"/>
                <w:lang w:val="hu-HU"/>
              </w:rPr>
            </w:pPr>
            <w:r>
              <w:rPr>
                <w:rFonts w:ascii="Times New Roman" w:hAnsi="Times New Roman"/>
                <w:lang w:val="hu-HU"/>
              </w:rPr>
              <w:t xml:space="preserve"> </w:t>
            </w:r>
          </w:p>
        </w:tc>
        <w:tc>
          <w:tcPr>
            <w:tcW w:w="990" w:type="dxa"/>
            <w:tcBorders>
              <w:top w:val="single" w:sz="4" w:space="0" w:color="000000"/>
              <w:left w:val="single" w:sz="4" w:space="0" w:color="000000"/>
              <w:bottom w:val="single" w:sz="4" w:space="0" w:color="000000"/>
              <w:right w:val="nil"/>
            </w:tcBorders>
          </w:tcPr>
          <w:p w14:paraId="118A7F8A" w14:textId="77777777" w:rsidR="00342CEA" w:rsidRDefault="00837BAB">
            <w:pPr>
              <w:spacing w:line="259" w:lineRule="auto"/>
              <w:ind w:left="10"/>
              <w:jc w:val="center"/>
              <w:rPr>
                <w:rFonts w:ascii="Times New Roman" w:hAnsi="Times New Roman"/>
                <w:lang w:val="hu-HU"/>
              </w:rPr>
            </w:pPr>
            <w:r>
              <w:rPr>
                <w:rFonts w:ascii="Times New Roman" w:hAnsi="Times New Roman"/>
                <w:lang w:val="hu-HU"/>
              </w:rPr>
              <w:t xml:space="preserve"> </w:t>
            </w:r>
          </w:p>
        </w:tc>
      </w:tr>
      <w:tr w:rsidR="00342CEA" w14:paraId="39F4EB0E" w14:textId="77777777">
        <w:trPr>
          <w:trHeight w:val="929"/>
        </w:trPr>
        <w:tc>
          <w:tcPr>
            <w:tcW w:w="5399" w:type="dxa"/>
            <w:tcBorders>
              <w:top w:val="single" w:sz="4" w:space="0" w:color="000000"/>
              <w:bottom w:val="single" w:sz="4" w:space="0" w:color="000000"/>
              <w:right w:val="single" w:sz="4" w:space="0" w:color="000000"/>
            </w:tcBorders>
          </w:tcPr>
          <w:p w14:paraId="34A07E83" w14:textId="77777777" w:rsidR="00342CEA" w:rsidRDefault="00837BAB">
            <w:pPr>
              <w:tabs>
                <w:tab w:val="clear" w:pos="567"/>
              </w:tabs>
              <w:autoSpaceDE w:val="0"/>
              <w:autoSpaceDN w:val="0"/>
              <w:spacing w:line="240" w:lineRule="auto"/>
              <w:rPr>
                <w:rFonts w:ascii="Times New Roman" w:hAnsi="Times New Roman"/>
                <w:lang w:val="hu-HU"/>
              </w:rPr>
            </w:pPr>
            <w:r>
              <w:rPr>
                <w:rFonts w:ascii="Times New Roman" w:hAnsi="Times New Roman"/>
                <w:lang w:val="hu-HU"/>
              </w:rPr>
              <w:t xml:space="preserve">4. lépés: </w:t>
            </w:r>
            <w:r>
              <w:rPr>
                <w:rFonts w:ascii="Times New Roman" w:hAnsi="Times New Roman"/>
                <w:lang w:val="hu-HU" w:eastAsia="en-GB"/>
              </w:rPr>
              <w:t>Azok a kezelés abbahagyása után a 12. hónapig tartós választ elérő betegek, akiknél a vérlemezkeszám ≥ 30 000/µl maradt, nem voltak vérzéses események, illetve nem kellett semmilyen mentő kezelést sem igénybe venni</w:t>
            </w:r>
          </w:p>
        </w:tc>
        <w:tc>
          <w:tcPr>
            <w:tcW w:w="980" w:type="dxa"/>
            <w:tcBorders>
              <w:top w:val="single" w:sz="4" w:space="0" w:color="000000"/>
              <w:left w:val="single" w:sz="4" w:space="0" w:color="000000"/>
              <w:bottom w:val="single" w:sz="4" w:space="0" w:color="000000"/>
              <w:right w:val="single" w:sz="4" w:space="0" w:color="000000"/>
            </w:tcBorders>
          </w:tcPr>
          <w:p w14:paraId="0C223DB0" w14:textId="77777777" w:rsidR="00342CEA" w:rsidRDefault="00837BAB">
            <w:pPr>
              <w:spacing w:line="259" w:lineRule="auto"/>
              <w:ind w:left="62"/>
              <w:rPr>
                <w:rFonts w:ascii="Times New Roman" w:hAnsi="Times New Roman"/>
                <w:lang w:val="hu-HU"/>
              </w:rPr>
            </w:pPr>
            <w:r>
              <w:rPr>
                <w:rFonts w:ascii="Times New Roman" w:hAnsi="Times New Roman"/>
                <w:lang w:val="hu-HU"/>
              </w:rPr>
              <w:t>32 (30,5)</w:t>
            </w:r>
          </w:p>
        </w:tc>
        <w:tc>
          <w:tcPr>
            <w:tcW w:w="1082" w:type="dxa"/>
            <w:tcBorders>
              <w:top w:val="single" w:sz="4" w:space="0" w:color="000000"/>
              <w:left w:val="single" w:sz="4" w:space="0" w:color="000000"/>
              <w:bottom w:val="single" w:sz="4" w:space="0" w:color="000000"/>
              <w:right w:val="single" w:sz="4" w:space="0" w:color="000000"/>
            </w:tcBorders>
          </w:tcPr>
          <w:p w14:paraId="18A5311A" w14:textId="77777777" w:rsidR="00342CEA" w:rsidRDefault="00837BAB">
            <w:pPr>
              <w:spacing w:line="259" w:lineRule="auto"/>
              <w:ind w:left="14"/>
              <w:jc w:val="both"/>
              <w:rPr>
                <w:rFonts w:ascii="Times New Roman" w:hAnsi="Times New Roman"/>
                <w:lang w:val="hu-HU"/>
              </w:rPr>
            </w:pPr>
            <w:r>
              <w:rPr>
                <w:rFonts w:ascii="Times New Roman" w:hAnsi="Times New Roman"/>
                <w:lang w:val="hu-HU"/>
              </w:rPr>
              <w:t>(21,9, 40,2)</w:t>
            </w:r>
          </w:p>
        </w:tc>
        <w:tc>
          <w:tcPr>
            <w:tcW w:w="899" w:type="dxa"/>
            <w:tcBorders>
              <w:top w:val="single" w:sz="4" w:space="0" w:color="000000"/>
              <w:left w:val="single" w:sz="4" w:space="0" w:color="000000"/>
              <w:bottom w:val="single" w:sz="4" w:space="0" w:color="000000"/>
              <w:right w:val="single" w:sz="4" w:space="0" w:color="000000"/>
            </w:tcBorders>
          </w:tcPr>
          <w:p w14:paraId="145973B6" w14:textId="77777777" w:rsidR="00342CEA" w:rsidRDefault="00837BAB">
            <w:pPr>
              <w:spacing w:line="259" w:lineRule="auto"/>
              <w:ind w:left="7"/>
              <w:jc w:val="both"/>
              <w:rPr>
                <w:rFonts w:ascii="Times New Roman" w:hAnsi="Times New Roman"/>
                <w:lang w:val="hu-HU"/>
              </w:rPr>
            </w:pPr>
            <w:r>
              <w:rPr>
                <w:rFonts w:ascii="Times New Roman" w:hAnsi="Times New Roman"/>
                <w:lang w:val="hu-HU"/>
              </w:rPr>
              <w:t xml:space="preserve">&lt; 0,0001* </w:t>
            </w:r>
          </w:p>
        </w:tc>
        <w:tc>
          <w:tcPr>
            <w:tcW w:w="990" w:type="dxa"/>
            <w:tcBorders>
              <w:top w:val="single" w:sz="4" w:space="0" w:color="000000"/>
              <w:left w:val="single" w:sz="4" w:space="0" w:color="000000"/>
              <w:bottom w:val="single" w:sz="4" w:space="0" w:color="000000"/>
              <w:right w:val="nil"/>
            </w:tcBorders>
          </w:tcPr>
          <w:p w14:paraId="46B8C89C" w14:textId="77777777" w:rsidR="00342CEA" w:rsidRDefault="00837BAB">
            <w:pPr>
              <w:spacing w:line="259" w:lineRule="auto"/>
              <w:ind w:right="42"/>
              <w:jc w:val="center"/>
              <w:rPr>
                <w:rFonts w:ascii="Times New Roman" w:hAnsi="Times New Roman"/>
                <w:lang w:val="hu-HU"/>
              </w:rPr>
            </w:pPr>
            <w:r>
              <w:rPr>
                <w:rFonts w:ascii="Times New Roman" w:hAnsi="Times New Roman"/>
                <w:lang w:val="hu-HU"/>
              </w:rPr>
              <w:t>Igen</w:t>
            </w:r>
          </w:p>
        </w:tc>
      </w:tr>
      <w:tr w:rsidR="00342CEA" w14:paraId="2E1428A6" w14:textId="77777777">
        <w:trPr>
          <w:trHeight w:val="929"/>
        </w:trPr>
        <w:tc>
          <w:tcPr>
            <w:tcW w:w="5399" w:type="dxa"/>
            <w:tcBorders>
              <w:top w:val="single" w:sz="4" w:space="0" w:color="000000"/>
              <w:bottom w:val="single" w:sz="2" w:space="0" w:color="000000"/>
              <w:right w:val="single" w:sz="4" w:space="0" w:color="000000"/>
            </w:tcBorders>
          </w:tcPr>
          <w:p w14:paraId="03EA3E86" w14:textId="77777777" w:rsidR="00342CEA" w:rsidRDefault="00837BAB">
            <w:pPr>
              <w:tabs>
                <w:tab w:val="clear" w:pos="567"/>
              </w:tabs>
              <w:autoSpaceDE w:val="0"/>
              <w:autoSpaceDN w:val="0"/>
              <w:spacing w:line="240" w:lineRule="auto"/>
              <w:rPr>
                <w:rFonts w:ascii="Times New Roman" w:hAnsi="Times New Roman"/>
                <w:lang w:val="hu-HU"/>
              </w:rPr>
            </w:pPr>
            <w:r>
              <w:rPr>
                <w:rFonts w:ascii="Times New Roman" w:hAnsi="Times New Roman"/>
                <w:lang w:val="hu-HU"/>
              </w:rPr>
              <w:t xml:space="preserve">5. lépés: </w:t>
            </w:r>
            <w:r>
              <w:rPr>
                <w:rFonts w:ascii="Times New Roman" w:hAnsi="Times New Roman"/>
                <w:lang w:val="hu-HU" w:eastAsia="en-GB"/>
              </w:rPr>
              <w:t>Azok a kezelés abbahagyása után a 12. hónaptól a 24. hónapig tartós választ elérő betegek, akiknél a vérlemezkeszám ≥ 30 000/µl maradt, nem voltak vérzéses események, illetve nem kellett semmilyen mentő kezelést sem igénybe venni</w:t>
            </w:r>
          </w:p>
        </w:tc>
        <w:tc>
          <w:tcPr>
            <w:tcW w:w="980" w:type="dxa"/>
            <w:tcBorders>
              <w:top w:val="single" w:sz="4" w:space="0" w:color="000000"/>
              <w:left w:val="single" w:sz="4" w:space="0" w:color="000000"/>
              <w:bottom w:val="single" w:sz="2" w:space="0" w:color="000000"/>
              <w:right w:val="single" w:sz="4" w:space="0" w:color="000000"/>
            </w:tcBorders>
          </w:tcPr>
          <w:p w14:paraId="4C6D4444" w14:textId="77777777" w:rsidR="00342CEA" w:rsidRDefault="00837BAB">
            <w:pPr>
              <w:spacing w:line="259" w:lineRule="auto"/>
              <w:ind w:left="62"/>
              <w:rPr>
                <w:rFonts w:ascii="Times New Roman" w:hAnsi="Times New Roman"/>
                <w:lang w:val="hu-HU"/>
              </w:rPr>
            </w:pPr>
            <w:r>
              <w:rPr>
                <w:rFonts w:ascii="Times New Roman" w:hAnsi="Times New Roman"/>
                <w:lang w:val="hu-HU"/>
              </w:rPr>
              <w:t xml:space="preserve">20 (19,0) </w:t>
            </w:r>
          </w:p>
        </w:tc>
        <w:tc>
          <w:tcPr>
            <w:tcW w:w="1082" w:type="dxa"/>
            <w:tcBorders>
              <w:top w:val="single" w:sz="4" w:space="0" w:color="000000"/>
              <w:left w:val="single" w:sz="4" w:space="0" w:color="000000"/>
              <w:bottom w:val="single" w:sz="2" w:space="0" w:color="000000"/>
              <w:right w:val="single" w:sz="4" w:space="0" w:color="000000"/>
            </w:tcBorders>
          </w:tcPr>
          <w:p w14:paraId="16E0B747" w14:textId="77777777" w:rsidR="00342CEA" w:rsidRDefault="00837BAB">
            <w:pPr>
              <w:spacing w:line="259" w:lineRule="auto"/>
              <w:ind w:left="14"/>
              <w:jc w:val="both"/>
              <w:rPr>
                <w:rFonts w:ascii="Times New Roman" w:hAnsi="Times New Roman"/>
                <w:lang w:val="hu-HU"/>
              </w:rPr>
            </w:pPr>
            <w:r>
              <w:rPr>
                <w:rFonts w:ascii="Times New Roman" w:hAnsi="Times New Roman"/>
                <w:lang w:val="hu-HU"/>
              </w:rPr>
              <w:t xml:space="preserve">(12,0, 27,9) </w:t>
            </w:r>
          </w:p>
        </w:tc>
        <w:tc>
          <w:tcPr>
            <w:tcW w:w="899" w:type="dxa"/>
            <w:tcBorders>
              <w:top w:val="single" w:sz="4" w:space="0" w:color="000000"/>
              <w:left w:val="single" w:sz="4" w:space="0" w:color="000000"/>
              <w:bottom w:val="single" w:sz="2" w:space="0" w:color="000000"/>
              <w:right w:val="single" w:sz="4" w:space="0" w:color="000000"/>
            </w:tcBorders>
          </w:tcPr>
          <w:p w14:paraId="45E3D8B6" w14:textId="77777777" w:rsidR="00342CEA" w:rsidRDefault="00837BAB">
            <w:pPr>
              <w:spacing w:line="259" w:lineRule="auto"/>
              <w:ind w:left="7"/>
              <w:jc w:val="center"/>
              <w:rPr>
                <w:rFonts w:ascii="Times New Roman" w:hAnsi="Times New Roman"/>
                <w:lang w:val="hu-HU"/>
              </w:rPr>
            </w:pPr>
            <w:r>
              <w:rPr>
                <w:rFonts w:ascii="Times New Roman" w:hAnsi="Times New Roman"/>
                <w:lang w:val="hu-HU"/>
              </w:rPr>
              <w:t xml:space="preserve"> </w:t>
            </w:r>
          </w:p>
        </w:tc>
        <w:tc>
          <w:tcPr>
            <w:tcW w:w="990" w:type="dxa"/>
            <w:tcBorders>
              <w:top w:val="single" w:sz="4" w:space="0" w:color="000000"/>
              <w:left w:val="single" w:sz="4" w:space="0" w:color="000000"/>
              <w:bottom w:val="single" w:sz="2" w:space="0" w:color="000000"/>
              <w:right w:val="nil"/>
            </w:tcBorders>
          </w:tcPr>
          <w:p w14:paraId="50FDA79E" w14:textId="77777777" w:rsidR="00342CEA" w:rsidRDefault="00837BAB">
            <w:pPr>
              <w:spacing w:line="259" w:lineRule="auto"/>
              <w:ind w:left="10"/>
              <w:jc w:val="center"/>
              <w:rPr>
                <w:rFonts w:ascii="Times New Roman" w:hAnsi="Times New Roman"/>
                <w:lang w:val="hu-HU"/>
              </w:rPr>
            </w:pPr>
            <w:r>
              <w:rPr>
                <w:rFonts w:ascii="Times New Roman" w:hAnsi="Times New Roman"/>
                <w:lang w:val="hu-HU"/>
              </w:rPr>
              <w:t xml:space="preserve"> </w:t>
            </w:r>
          </w:p>
        </w:tc>
      </w:tr>
    </w:tbl>
    <w:p w14:paraId="56683062" w14:textId="77777777" w:rsidR="00342CEA" w:rsidRDefault="00837BAB">
      <w:pPr>
        <w:spacing w:line="238" w:lineRule="auto"/>
        <w:ind w:left="-5" w:right="995" w:hanging="10"/>
        <w:rPr>
          <w:lang w:val="hu-HU" w:eastAsia="en-GB"/>
        </w:rPr>
      </w:pPr>
      <w:r>
        <w:rPr>
          <w:lang w:val="hu-HU" w:eastAsia="en-US"/>
        </w:rPr>
        <w:t xml:space="preserve">N: </w:t>
      </w:r>
      <w:r>
        <w:rPr>
          <w:lang w:val="hu-HU" w:eastAsia="en-GB"/>
        </w:rPr>
        <w:t>A kezelési csoportba tartozó betegek összesített száma. A százalékos arány (%) számításakor ez szerepel a nevezőben.</w:t>
      </w:r>
    </w:p>
    <w:p w14:paraId="761515C3" w14:textId="77777777" w:rsidR="00342CEA" w:rsidRDefault="00837BAB">
      <w:pPr>
        <w:spacing w:line="238" w:lineRule="auto"/>
        <w:ind w:left="-5" w:right="995" w:hanging="10"/>
        <w:rPr>
          <w:lang w:val="hu-HU" w:eastAsia="en-US"/>
        </w:rPr>
      </w:pPr>
      <w:r>
        <w:rPr>
          <w:lang w:val="hu-HU" w:eastAsia="en-US"/>
        </w:rPr>
        <w:t xml:space="preserve">n: </w:t>
      </w:r>
      <w:r>
        <w:rPr>
          <w:lang w:val="hu-HU" w:eastAsia="en-GB"/>
        </w:rPr>
        <w:t>Az adott kategóriába tartozó betegek száma.</w:t>
      </w:r>
    </w:p>
    <w:p w14:paraId="21F0C4D7" w14:textId="77777777" w:rsidR="00342CEA" w:rsidRDefault="00837BAB">
      <w:pPr>
        <w:tabs>
          <w:tab w:val="clear" w:pos="567"/>
        </w:tabs>
        <w:autoSpaceDE w:val="0"/>
        <w:autoSpaceDN w:val="0"/>
        <w:spacing w:line="240" w:lineRule="auto"/>
        <w:rPr>
          <w:lang w:val="hu-HU" w:eastAsia="en-US"/>
        </w:rPr>
      </w:pPr>
      <w:r>
        <w:rPr>
          <w:lang w:val="hu-HU" w:eastAsia="en-GB"/>
        </w:rPr>
        <w:t>A gyakoriság</w:t>
      </w:r>
      <w:r>
        <w:rPr>
          <w:lang w:val="hu-HU" w:eastAsia="en-GB"/>
        </w:rPr>
        <w:noBreakHyphen/>
        <w:t>eloszláshoz tartozó 95%</w:t>
      </w:r>
      <w:r>
        <w:rPr>
          <w:lang w:val="hu-HU" w:eastAsia="en-GB"/>
        </w:rPr>
        <w:noBreakHyphen/>
        <w:t>os CI számítása a Clopper</w:t>
      </w:r>
      <w:r>
        <w:rPr>
          <w:lang w:val="hu-HU" w:eastAsia="en-GB"/>
        </w:rPr>
        <w:noBreakHyphen/>
        <w:t>Pearson</w:t>
      </w:r>
      <w:r>
        <w:rPr>
          <w:lang w:val="hu-HU" w:eastAsia="en-GB"/>
        </w:rPr>
        <w:noBreakHyphen/>
        <w:t>féle egzakt módszerrel történt. Clopper–Pearson teszttel állapították meg, hogy a terápiás választ adók aránya meghaladja</w:t>
      </w:r>
      <w:r>
        <w:rPr>
          <w:lang w:val="hu-HU" w:eastAsia="en-GB"/>
        </w:rPr>
        <w:noBreakHyphen/>
        <w:t>e a 15%</w:t>
      </w:r>
      <w:r>
        <w:rPr>
          <w:lang w:val="hu-HU" w:eastAsia="en-GB"/>
        </w:rPr>
        <w:noBreakHyphen/>
        <w:t>ot. A CI</w:t>
      </w:r>
      <w:r>
        <w:rPr>
          <w:lang w:val="hu-HU" w:eastAsia="en-GB"/>
        </w:rPr>
        <w:noBreakHyphen/>
        <w:t>t és a p</w:t>
      </w:r>
      <w:r>
        <w:rPr>
          <w:lang w:val="hu-HU" w:eastAsia="en-GB"/>
        </w:rPr>
        <w:noBreakHyphen/>
        <w:t>értékeket jelentették.</w:t>
      </w:r>
    </w:p>
    <w:p w14:paraId="2CBC2E45" w14:textId="77777777" w:rsidR="00342CEA" w:rsidRDefault="00837BAB">
      <w:pPr>
        <w:pBdr>
          <w:bottom w:val="single" w:sz="4" w:space="1" w:color="auto"/>
        </w:pBdr>
        <w:spacing w:line="238" w:lineRule="auto"/>
        <w:ind w:left="-5" w:right="24" w:hanging="10"/>
        <w:rPr>
          <w:lang w:val="hu-HU" w:eastAsia="en-US"/>
        </w:rPr>
      </w:pPr>
      <w:r>
        <w:rPr>
          <w:lang w:val="hu-HU" w:eastAsia="en-US"/>
        </w:rPr>
        <w:t xml:space="preserve">* </w:t>
      </w:r>
      <w:r>
        <w:rPr>
          <w:lang w:val="hu-HU" w:eastAsia="en-GB"/>
        </w:rPr>
        <w:t>(Egy oldalú) statisztikai szignifikanciát jelez 0,05</w:t>
      </w:r>
      <w:r>
        <w:rPr>
          <w:lang w:val="hu-HU" w:eastAsia="en-GB"/>
        </w:rPr>
        <w:noBreakHyphen/>
        <w:t>ös szignifikanciaszinten.</w:t>
      </w:r>
    </w:p>
    <w:p w14:paraId="4A47CF74" w14:textId="77777777" w:rsidR="00342CEA" w:rsidRDefault="00342CEA">
      <w:pPr>
        <w:spacing w:line="240" w:lineRule="auto"/>
        <w:rPr>
          <w:u w:val="single"/>
          <w:lang w:val="hu-HU"/>
        </w:rPr>
      </w:pPr>
    </w:p>
    <w:p w14:paraId="3FEE6C6F" w14:textId="77777777" w:rsidR="00342CEA" w:rsidRDefault="00837BAB">
      <w:pPr>
        <w:tabs>
          <w:tab w:val="clear" w:pos="567"/>
        </w:tabs>
        <w:autoSpaceDE w:val="0"/>
        <w:autoSpaceDN w:val="0"/>
        <w:spacing w:line="240" w:lineRule="auto"/>
        <w:rPr>
          <w:lang w:val="hu-HU" w:eastAsia="en-GB"/>
        </w:rPr>
      </w:pPr>
      <w:r>
        <w:rPr>
          <w:lang w:val="hu-HU" w:eastAsia="en-GB"/>
        </w:rPr>
        <w:t>A kezelés során adott terápiás válasz elemzése az ITP diagnózisa óta eltelt idő függvényében</w:t>
      </w:r>
    </w:p>
    <w:p w14:paraId="38C2A941" w14:textId="77777777" w:rsidR="00342CEA" w:rsidRDefault="00837BAB">
      <w:pPr>
        <w:tabs>
          <w:tab w:val="clear" w:pos="567"/>
        </w:tabs>
        <w:autoSpaceDE w:val="0"/>
        <w:autoSpaceDN w:val="0"/>
        <w:spacing w:line="240" w:lineRule="auto"/>
        <w:rPr>
          <w:u w:val="single"/>
          <w:lang w:val="hu-HU"/>
        </w:rPr>
      </w:pPr>
      <w:r>
        <w:rPr>
          <w:lang w:val="hu-HU" w:eastAsia="en-GB"/>
        </w:rPr>
        <w:t>Az ITP diagnózisa óta eltelt időtartam szerinti ad hoc elemzést végeztek n = 105 betegnél, melynek célja az eltrombopagra adott korai válasz felmérése volt az ITP diagnózisa óta eltelt időtartam négy különböző kategóriájában (újonnan diagnosztizált, &lt; 3 hónapja fennálló ITP, 3</w:t>
      </w:r>
      <w:r>
        <w:rPr>
          <w:lang w:val="hu-HU" w:eastAsia="en-GB"/>
        </w:rPr>
        <w:noBreakHyphen/>
        <w:t xml:space="preserve">&lt; 6 hónapja perzisztáló </w:t>
      </w:r>
      <w:r>
        <w:rPr>
          <w:lang w:val="hu-HU" w:eastAsia="en-GB"/>
        </w:rPr>
        <w:lastRenderedPageBreak/>
        <w:t>ITP, 6</w:t>
      </w:r>
      <w:r>
        <w:rPr>
          <w:lang w:val="hu-HU" w:eastAsia="en-GB"/>
        </w:rPr>
        <w:noBreakHyphen/>
        <w:t>≤ 12 hónapja perzisztáló ITP, valamint krónikus, &gt; 12 hónapja fennálló ITP). A betegek 49%</w:t>
      </w:r>
      <w:r>
        <w:rPr>
          <w:lang w:val="hu-HU" w:eastAsia="en-GB"/>
        </w:rPr>
        <w:noBreakHyphen/>
        <w:t>ánál (n = 51) &lt; 3 hónapja, 20%</w:t>
      </w:r>
      <w:r>
        <w:rPr>
          <w:lang w:val="hu-HU" w:eastAsia="en-GB"/>
        </w:rPr>
        <w:noBreakHyphen/>
        <w:t>uknál (n = 21) 3</w:t>
      </w:r>
      <w:r>
        <w:rPr>
          <w:lang w:val="hu-HU" w:eastAsia="en-GB"/>
        </w:rPr>
        <w:noBreakHyphen/>
        <w:t>&lt; 6 hónapja, 17%</w:t>
      </w:r>
      <w:r>
        <w:rPr>
          <w:lang w:val="hu-HU" w:eastAsia="en-GB"/>
        </w:rPr>
        <w:noBreakHyphen/>
        <w:t>uknál (n = 18) 6</w:t>
      </w:r>
      <w:r>
        <w:rPr>
          <w:lang w:val="hu-HU" w:eastAsia="en-GB"/>
        </w:rPr>
        <w:noBreakHyphen/>
        <w:t>≤ 12 hónapja, 14%</w:t>
      </w:r>
      <w:r>
        <w:rPr>
          <w:lang w:val="hu-HU" w:eastAsia="en-GB"/>
        </w:rPr>
        <w:noBreakHyphen/>
        <w:t>uknál (n = 15) pedig &gt; 12 hónapja állapítottak meg ITP</w:t>
      </w:r>
      <w:r>
        <w:rPr>
          <w:lang w:val="hu-HU" w:eastAsia="en-GB"/>
        </w:rPr>
        <w:noBreakHyphen/>
        <w:t>t.</w:t>
      </w:r>
    </w:p>
    <w:p w14:paraId="1EE3EEAB" w14:textId="77777777" w:rsidR="00342CEA" w:rsidRDefault="00342CEA">
      <w:pPr>
        <w:spacing w:line="240" w:lineRule="auto"/>
        <w:rPr>
          <w:u w:val="single"/>
          <w:lang w:val="hu-HU"/>
        </w:rPr>
      </w:pPr>
    </w:p>
    <w:p w14:paraId="2947D79C" w14:textId="77777777" w:rsidR="00342CEA" w:rsidRDefault="00837BAB">
      <w:pPr>
        <w:tabs>
          <w:tab w:val="clear" w:pos="567"/>
        </w:tabs>
        <w:autoSpaceDE w:val="0"/>
        <w:autoSpaceDN w:val="0"/>
        <w:spacing w:line="240" w:lineRule="auto"/>
        <w:rPr>
          <w:u w:val="single"/>
          <w:lang w:val="hu-HU"/>
        </w:rPr>
      </w:pPr>
      <w:r>
        <w:rPr>
          <w:lang w:val="hu-HU" w:eastAsia="en-GB"/>
        </w:rPr>
        <w:t>Az adatok lezárásáig (2021. október 22.) a betegek eltrombopag</w:t>
      </w:r>
      <w:r>
        <w:rPr>
          <w:lang w:val="hu-HU" w:eastAsia="en-GB"/>
        </w:rPr>
        <w:noBreakHyphen/>
        <w:t>expozíciójának medián (Q1</w:t>
      </w:r>
      <w:r>
        <w:rPr>
          <w:lang w:val="hu-HU" w:eastAsia="en-GB"/>
        </w:rPr>
        <w:noBreakHyphen/>
        <w:t>Q3) időtartama 6,2 hónap (2,3</w:t>
      </w:r>
      <w:r>
        <w:rPr>
          <w:lang w:val="hu-HU" w:eastAsia="en-GB"/>
        </w:rPr>
        <w:noBreakHyphen/>
        <w:t>12,0 hónap) volt. A medián (Q1</w:t>
      </w:r>
      <w:r>
        <w:rPr>
          <w:lang w:val="hu-HU" w:eastAsia="en-GB"/>
        </w:rPr>
        <w:noBreakHyphen/>
        <w:t>Q3) vérlemezkeszám kiindulási értéke 16 000/µl (7800</w:t>
      </w:r>
      <w:r>
        <w:rPr>
          <w:lang w:val="hu-HU" w:eastAsia="en-GB"/>
        </w:rPr>
        <w:noBreakHyphen/>
        <w:t>28 000/µl) volt.</w:t>
      </w:r>
    </w:p>
    <w:p w14:paraId="44274C12" w14:textId="77777777" w:rsidR="00342CEA" w:rsidRDefault="00342CEA">
      <w:pPr>
        <w:spacing w:line="240" w:lineRule="auto"/>
        <w:rPr>
          <w:u w:val="single"/>
          <w:lang w:val="hu-HU"/>
        </w:rPr>
      </w:pPr>
    </w:p>
    <w:p w14:paraId="329E248F" w14:textId="77777777" w:rsidR="00342CEA" w:rsidRDefault="00837BAB">
      <w:pPr>
        <w:tabs>
          <w:tab w:val="clear" w:pos="567"/>
        </w:tabs>
        <w:autoSpaceDE w:val="0"/>
        <w:autoSpaceDN w:val="0"/>
        <w:spacing w:line="240" w:lineRule="auto"/>
        <w:rPr>
          <w:u w:val="single"/>
          <w:lang w:val="hu-HU"/>
        </w:rPr>
      </w:pPr>
      <w:r>
        <w:rPr>
          <w:lang w:val="hu-HU" w:eastAsia="en-GB"/>
        </w:rPr>
        <w:t>A vérlemezkeszámban megnyilvánuló választ (meghatározása: a vérlemezkeszám ≥ 50 000/µl legalább egy alkalommal a 9. hétig anélkül, hogy mentő</w:t>
      </w:r>
      <w:r>
        <w:rPr>
          <w:lang w:val="hu-HU" w:eastAsia="en-GB"/>
        </w:rPr>
        <w:noBreakHyphen/>
        <w:t>kezelést kellett volna alkalmazni) az újonnan diagnosztizált ITP</w:t>
      </w:r>
      <w:r>
        <w:rPr>
          <w:lang w:val="hu-HU" w:eastAsia="en-GB"/>
        </w:rPr>
        <w:noBreakHyphen/>
        <w:t>s betegek 84%</w:t>
      </w:r>
      <w:r>
        <w:rPr>
          <w:lang w:val="hu-HU" w:eastAsia="en-GB"/>
        </w:rPr>
        <w:noBreakHyphen/>
        <w:t>a (95%</w:t>
      </w:r>
      <w:r>
        <w:rPr>
          <w:lang w:val="hu-HU" w:eastAsia="en-GB"/>
        </w:rPr>
        <w:noBreakHyphen/>
        <w:t>os CI: 71%</w:t>
      </w:r>
      <w:r>
        <w:rPr>
          <w:lang w:val="hu-HU" w:eastAsia="en-GB"/>
        </w:rPr>
        <w:noBreakHyphen/>
        <w:t>93%), a 3</w:t>
      </w:r>
      <w:r>
        <w:rPr>
          <w:lang w:val="hu-HU" w:eastAsia="en-GB"/>
        </w:rPr>
        <w:noBreakHyphen/>
        <w:t>&lt; 6 hónapja diagnosztizált perzisztáló ITP</w:t>
      </w:r>
      <w:r>
        <w:rPr>
          <w:lang w:val="hu-HU" w:eastAsia="en-GB"/>
        </w:rPr>
        <w:noBreakHyphen/>
        <w:t>s betegek 91%</w:t>
      </w:r>
      <w:r>
        <w:rPr>
          <w:lang w:val="hu-HU" w:eastAsia="en-GB"/>
        </w:rPr>
        <w:noBreakHyphen/>
        <w:t>a (95%</w:t>
      </w:r>
      <w:r>
        <w:rPr>
          <w:lang w:val="hu-HU" w:eastAsia="en-GB"/>
        </w:rPr>
        <w:noBreakHyphen/>
        <w:t>os CI: 70%</w:t>
      </w:r>
      <w:r>
        <w:rPr>
          <w:lang w:val="hu-HU" w:eastAsia="en-GB"/>
        </w:rPr>
        <w:noBreakHyphen/>
        <w:t>99%), a 6</w:t>
      </w:r>
      <w:r>
        <w:rPr>
          <w:lang w:val="hu-HU" w:eastAsia="en-GB"/>
        </w:rPr>
        <w:noBreakHyphen/>
        <w:t>≤ 12 hónapja diagnosztizált perzisztáló ITP</w:t>
      </w:r>
      <w:r>
        <w:rPr>
          <w:lang w:val="hu-HU" w:eastAsia="en-GB"/>
        </w:rPr>
        <w:noBreakHyphen/>
        <w:t>s betegek 94%</w:t>
      </w:r>
      <w:r>
        <w:rPr>
          <w:lang w:val="hu-HU" w:eastAsia="en-GB"/>
        </w:rPr>
        <w:noBreakHyphen/>
        <w:t>a (95%</w:t>
      </w:r>
      <w:r>
        <w:rPr>
          <w:lang w:val="hu-HU" w:eastAsia="en-GB"/>
        </w:rPr>
        <w:noBreakHyphen/>
        <w:t>os CI: 73%</w:t>
      </w:r>
      <w:r>
        <w:rPr>
          <w:lang w:val="hu-HU" w:eastAsia="en-GB"/>
        </w:rPr>
        <w:noBreakHyphen/>
        <w:t>100%) és a krónikus ITP</w:t>
      </w:r>
      <w:r>
        <w:rPr>
          <w:lang w:val="hu-HU" w:eastAsia="en-GB"/>
        </w:rPr>
        <w:noBreakHyphen/>
        <w:t>s betegek 87%</w:t>
      </w:r>
      <w:r>
        <w:rPr>
          <w:lang w:val="hu-HU" w:eastAsia="en-GB"/>
        </w:rPr>
        <w:noBreakHyphen/>
        <w:t>a (95%</w:t>
      </w:r>
      <w:r>
        <w:rPr>
          <w:lang w:val="hu-HU" w:eastAsia="en-GB"/>
        </w:rPr>
        <w:noBreakHyphen/>
        <w:t>os CI: 60%</w:t>
      </w:r>
      <w:r>
        <w:rPr>
          <w:lang w:val="hu-HU" w:eastAsia="en-GB"/>
        </w:rPr>
        <w:noBreakHyphen/>
        <w:t>98%) érte el.</w:t>
      </w:r>
    </w:p>
    <w:p w14:paraId="77ED4981" w14:textId="77777777" w:rsidR="00342CEA" w:rsidRDefault="00342CEA">
      <w:pPr>
        <w:spacing w:line="240" w:lineRule="auto"/>
        <w:rPr>
          <w:u w:val="single"/>
          <w:lang w:val="hu-HU"/>
        </w:rPr>
      </w:pPr>
    </w:p>
    <w:p w14:paraId="6529C59C" w14:textId="77777777" w:rsidR="00342CEA" w:rsidRDefault="00837BAB">
      <w:pPr>
        <w:tabs>
          <w:tab w:val="clear" w:pos="567"/>
        </w:tabs>
        <w:autoSpaceDE w:val="0"/>
        <w:autoSpaceDN w:val="0"/>
        <w:spacing w:line="240" w:lineRule="auto"/>
        <w:rPr>
          <w:u w:val="single"/>
          <w:lang w:val="hu-HU"/>
        </w:rPr>
      </w:pPr>
      <w:r>
        <w:rPr>
          <w:lang w:val="hu-HU" w:eastAsia="en-GB"/>
        </w:rPr>
        <w:t>A teljes válasz aránya (meghatározása: a vérlemezkeszám ≥ 100 000/µl legalább egy alkalommal a 9. hétig anélkül, hogy mentő kezelést kellett volna alkalmazni) 75% volt az újonnan diagnosztizált ITP</w:t>
      </w:r>
      <w:r>
        <w:rPr>
          <w:lang w:val="hu-HU" w:eastAsia="en-GB"/>
        </w:rPr>
        <w:noBreakHyphen/>
        <w:t>s betegeknél (95%</w:t>
      </w:r>
      <w:r>
        <w:rPr>
          <w:lang w:val="hu-HU" w:eastAsia="en-GB"/>
        </w:rPr>
        <w:noBreakHyphen/>
        <w:t>os CI: 60%</w:t>
      </w:r>
      <w:r>
        <w:rPr>
          <w:lang w:val="hu-HU" w:eastAsia="en-GB"/>
        </w:rPr>
        <w:noBreakHyphen/>
        <w:t>86%), 76% volt a 3</w:t>
      </w:r>
      <w:r>
        <w:rPr>
          <w:lang w:val="hu-HU" w:eastAsia="en-GB"/>
        </w:rPr>
        <w:noBreakHyphen/>
        <w:t>&lt; 6 hónapja diagnosztizált perzisztáló ITP</w:t>
      </w:r>
      <w:r>
        <w:rPr>
          <w:lang w:val="hu-HU" w:eastAsia="en-GB"/>
        </w:rPr>
        <w:noBreakHyphen/>
        <w:t>s betegeknél (95%os CI: 53%92%), 72% volt a 6</w:t>
      </w:r>
      <w:r>
        <w:rPr>
          <w:lang w:val="hu-HU" w:eastAsia="en-GB"/>
        </w:rPr>
        <w:noBreakHyphen/>
        <w:t>≤ 12 hónapja diagnosztizált perzisztáló ITP</w:t>
      </w:r>
      <w:r>
        <w:rPr>
          <w:lang w:val="hu-HU" w:eastAsia="en-GB"/>
        </w:rPr>
        <w:noBreakHyphen/>
        <w:t>s betegeknél (95%</w:t>
      </w:r>
      <w:r>
        <w:rPr>
          <w:lang w:val="hu-HU" w:eastAsia="en-GB"/>
        </w:rPr>
        <w:noBreakHyphen/>
        <w:t>os CI: 47%</w:t>
      </w:r>
      <w:r>
        <w:rPr>
          <w:lang w:val="hu-HU" w:eastAsia="en-GB"/>
        </w:rPr>
        <w:noBreakHyphen/>
        <w:t>90%) és 87% volt a krónikus ITP</w:t>
      </w:r>
      <w:r>
        <w:rPr>
          <w:lang w:val="hu-HU" w:eastAsia="en-GB"/>
        </w:rPr>
        <w:noBreakHyphen/>
        <w:t>s betegeknél (95%</w:t>
      </w:r>
      <w:r>
        <w:rPr>
          <w:lang w:val="hu-HU" w:eastAsia="en-GB"/>
        </w:rPr>
        <w:noBreakHyphen/>
        <w:t>os CI: 60%</w:t>
      </w:r>
      <w:r>
        <w:rPr>
          <w:lang w:val="hu-HU" w:eastAsia="en-GB"/>
        </w:rPr>
        <w:noBreakHyphen/>
        <w:t>98%).</w:t>
      </w:r>
    </w:p>
    <w:p w14:paraId="0E8ED34F" w14:textId="77777777" w:rsidR="00342CEA" w:rsidRDefault="00342CEA">
      <w:pPr>
        <w:spacing w:line="240" w:lineRule="auto"/>
        <w:rPr>
          <w:u w:val="single"/>
          <w:lang w:val="hu-HU"/>
        </w:rPr>
      </w:pPr>
    </w:p>
    <w:p w14:paraId="184D24D1" w14:textId="77777777" w:rsidR="00342CEA" w:rsidRDefault="00837BAB">
      <w:pPr>
        <w:tabs>
          <w:tab w:val="clear" w:pos="567"/>
        </w:tabs>
        <w:autoSpaceDE w:val="0"/>
        <w:autoSpaceDN w:val="0"/>
        <w:spacing w:line="240" w:lineRule="auto"/>
        <w:rPr>
          <w:u w:val="single"/>
          <w:lang w:val="hu-HU"/>
        </w:rPr>
      </w:pPr>
      <w:r>
        <w:rPr>
          <w:lang w:val="hu-HU" w:eastAsia="en-GB"/>
        </w:rPr>
        <w:t>A tartós válasz aránya (meghatározása: a vérlemezkeszám ≥ 50 000/µl a vizsgálat első 6 hónapja során 8 egymást követő mérésből legalább 6 alkalommal anélkül, hogy mentő kezelést kellett volna alkalmazni) 71% volt az újonnan diagnosztizált ITP</w:t>
      </w:r>
      <w:r>
        <w:rPr>
          <w:lang w:val="hu-HU" w:eastAsia="en-GB"/>
        </w:rPr>
        <w:noBreakHyphen/>
        <w:t>s betegeknél (95%</w:t>
      </w:r>
      <w:r>
        <w:rPr>
          <w:lang w:val="hu-HU" w:eastAsia="en-GB"/>
        </w:rPr>
        <w:noBreakHyphen/>
        <w:t>os CI: 56%</w:t>
      </w:r>
      <w:r>
        <w:rPr>
          <w:lang w:val="hu-HU" w:eastAsia="en-GB"/>
        </w:rPr>
        <w:noBreakHyphen/>
        <w:t>83%), 81% volt a 3</w:t>
      </w:r>
      <w:r>
        <w:rPr>
          <w:lang w:val="hu-HU" w:eastAsia="en-GB"/>
        </w:rPr>
        <w:noBreakHyphen/>
        <w:t>&lt; 6 hónapja diagnosztizált perzisztáló ITP</w:t>
      </w:r>
      <w:r>
        <w:rPr>
          <w:lang w:val="hu-HU" w:eastAsia="en-GB"/>
        </w:rPr>
        <w:noBreakHyphen/>
        <w:t>s betegeknél (95%-os CI: 58%</w:t>
      </w:r>
      <w:r>
        <w:rPr>
          <w:lang w:val="hu-HU" w:eastAsia="en-GB"/>
        </w:rPr>
        <w:noBreakHyphen/>
        <w:t>95%), 72% volt a 6</w:t>
      </w:r>
      <w:r>
        <w:rPr>
          <w:lang w:val="hu-HU" w:eastAsia="en-GB"/>
        </w:rPr>
        <w:noBreakHyphen/>
        <w:t>≤ 12 hónapja diagnosztizált perzisztáló ITP</w:t>
      </w:r>
      <w:r>
        <w:rPr>
          <w:lang w:val="hu-HU" w:eastAsia="en-GB"/>
        </w:rPr>
        <w:noBreakHyphen/>
        <w:t>s betegeknél (95%</w:t>
      </w:r>
      <w:r>
        <w:rPr>
          <w:lang w:val="hu-HU" w:eastAsia="en-GB"/>
        </w:rPr>
        <w:noBreakHyphen/>
        <w:t>os CI: 47%</w:t>
      </w:r>
      <w:r>
        <w:rPr>
          <w:lang w:val="hu-HU" w:eastAsia="en-GB"/>
        </w:rPr>
        <w:noBreakHyphen/>
        <w:t>90,3%) és 80% volt a krónikus ITP</w:t>
      </w:r>
      <w:r>
        <w:rPr>
          <w:lang w:val="hu-HU" w:eastAsia="en-GB"/>
        </w:rPr>
        <w:noBreakHyphen/>
        <w:t>s betegeknél (95%-os CI: 52%</w:t>
      </w:r>
      <w:r>
        <w:rPr>
          <w:lang w:val="hu-HU" w:eastAsia="en-GB"/>
        </w:rPr>
        <w:noBreakHyphen/>
        <w:t>96%).</w:t>
      </w:r>
    </w:p>
    <w:p w14:paraId="628A125B" w14:textId="77777777" w:rsidR="00342CEA" w:rsidRDefault="00342CEA">
      <w:pPr>
        <w:spacing w:line="240" w:lineRule="auto"/>
        <w:rPr>
          <w:u w:val="single"/>
          <w:lang w:val="hu-HU"/>
        </w:rPr>
      </w:pPr>
    </w:p>
    <w:p w14:paraId="65EF223F" w14:textId="77777777" w:rsidR="00342CEA" w:rsidRDefault="00837BAB">
      <w:pPr>
        <w:tabs>
          <w:tab w:val="clear" w:pos="567"/>
        </w:tabs>
        <w:autoSpaceDE w:val="0"/>
        <w:autoSpaceDN w:val="0"/>
        <w:spacing w:line="240" w:lineRule="auto"/>
        <w:rPr>
          <w:u w:val="single"/>
          <w:lang w:val="hu-HU"/>
        </w:rPr>
      </w:pPr>
      <w:r>
        <w:rPr>
          <w:lang w:val="hu-HU" w:eastAsia="en-GB"/>
        </w:rPr>
        <w:t>A WHO szerinti vérzésskálával (</w:t>
      </w:r>
      <w:r>
        <w:rPr>
          <w:lang w:val="en-US"/>
        </w:rPr>
        <w:t>WHO Bleeding Scale</w:t>
      </w:r>
      <w:r>
        <w:rPr>
          <w:lang w:val="hu-HU" w:eastAsia="en-GB"/>
        </w:rPr>
        <w:t>) végzett értékelés során a 4. héten vérzéssel nem érintett, újonnan diagnosztizált és perzisztáló ITP</w:t>
      </w:r>
      <w:r>
        <w:rPr>
          <w:lang w:val="hu-HU" w:eastAsia="en-GB"/>
        </w:rPr>
        <w:noBreakHyphen/>
        <w:t>s betegek aránya 88% és 95% között alakult a kiindulási 37% és 57% közötti értékhez képest. Krónikus ITP</w:t>
      </w:r>
      <w:r>
        <w:rPr>
          <w:lang w:val="hu-HU" w:eastAsia="en-GB"/>
        </w:rPr>
        <w:noBreakHyphen/>
        <w:t>s betegeknél ez az arány 93% volt a kiindulási 73%</w:t>
      </w:r>
      <w:r>
        <w:rPr>
          <w:lang w:val="hu-HU" w:eastAsia="en-GB"/>
        </w:rPr>
        <w:noBreakHyphen/>
        <w:t>hoz képest.</w:t>
      </w:r>
    </w:p>
    <w:p w14:paraId="2201A806" w14:textId="77777777" w:rsidR="00342CEA" w:rsidRDefault="00342CEA">
      <w:pPr>
        <w:spacing w:line="240" w:lineRule="auto"/>
        <w:rPr>
          <w:u w:val="single"/>
          <w:lang w:val="hu-HU"/>
        </w:rPr>
      </w:pPr>
    </w:p>
    <w:p w14:paraId="3497BF8E" w14:textId="77777777" w:rsidR="00342CEA" w:rsidRDefault="00837BAB">
      <w:pPr>
        <w:tabs>
          <w:tab w:val="clear" w:pos="567"/>
        </w:tabs>
        <w:autoSpaceDE w:val="0"/>
        <w:autoSpaceDN w:val="0"/>
        <w:spacing w:line="240" w:lineRule="auto"/>
        <w:rPr>
          <w:u w:val="single"/>
          <w:lang w:val="hu-HU"/>
        </w:rPr>
      </w:pPr>
      <w:r>
        <w:rPr>
          <w:lang w:val="hu-HU" w:eastAsia="en-GB"/>
        </w:rPr>
        <w:t>Az eltrombopag biztonságossága konzisztens volt valamennyi ITP</w:t>
      </w:r>
      <w:r>
        <w:rPr>
          <w:lang w:val="hu-HU" w:eastAsia="en-GB"/>
        </w:rPr>
        <w:noBreakHyphen/>
        <w:t>kategóriában és összhangban volt az ismert biztonságossági profiljával.</w:t>
      </w:r>
    </w:p>
    <w:p w14:paraId="3C9C681A" w14:textId="77777777" w:rsidR="00342CEA" w:rsidRDefault="00342CEA">
      <w:pPr>
        <w:spacing w:line="240" w:lineRule="auto"/>
        <w:rPr>
          <w:u w:val="single"/>
          <w:lang w:val="hu-HU"/>
        </w:rPr>
      </w:pPr>
    </w:p>
    <w:p w14:paraId="57528C27" w14:textId="77777777" w:rsidR="00342CEA" w:rsidRDefault="00837BAB">
      <w:pPr>
        <w:tabs>
          <w:tab w:val="clear" w:pos="567"/>
        </w:tabs>
        <w:autoSpaceDE w:val="0"/>
        <w:autoSpaceDN w:val="0"/>
        <w:spacing w:line="240" w:lineRule="auto"/>
        <w:rPr>
          <w:u w:val="single"/>
          <w:lang w:val="hu-HU"/>
        </w:rPr>
      </w:pPr>
      <w:r>
        <w:rPr>
          <w:b/>
          <w:bCs/>
          <w:lang w:val="hu-HU" w:eastAsia="en-GB"/>
        </w:rPr>
        <w:t>N</w:t>
      </w:r>
      <w:r>
        <w:rPr>
          <w:lang w:val="hu-HU" w:eastAsia="en-GB"/>
        </w:rPr>
        <w:t>em folytattak olyan klinikai vizsgálatokat, amelyekben az eltrombopagot más kezelési lehetőségekhez (pl. splenectomia) viszonyították. A kezelés megkezdése előtt figyelembe kell venni az eltrombopag hosszú távú biztonságosságát.</w:t>
      </w:r>
    </w:p>
    <w:p w14:paraId="14D7A4CA" w14:textId="77777777" w:rsidR="00342CEA" w:rsidRDefault="00342CEA">
      <w:pPr>
        <w:spacing w:line="240" w:lineRule="auto"/>
        <w:rPr>
          <w:u w:val="single"/>
          <w:lang w:val="hu-HU"/>
        </w:rPr>
      </w:pPr>
    </w:p>
    <w:p w14:paraId="2FD98D16" w14:textId="77777777" w:rsidR="00342CEA" w:rsidRDefault="00837BAB">
      <w:pPr>
        <w:spacing w:line="240" w:lineRule="auto"/>
        <w:rPr>
          <w:i/>
          <w:lang w:val="hu-HU"/>
        </w:rPr>
      </w:pPr>
      <w:r>
        <w:rPr>
          <w:i/>
          <w:lang w:val="hu-HU"/>
        </w:rPr>
        <w:t>Gyermekek és serdülők (1 és betöltött 18. életév között)</w:t>
      </w:r>
    </w:p>
    <w:p w14:paraId="48064535" w14:textId="77777777" w:rsidR="00342CEA" w:rsidRDefault="00837BAB">
      <w:pPr>
        <w:tabs>
          <w:tab w:val="clear" w:pos="567"/>
        </w:tabs>
        <w:autoSpaceDE w:val="0"/>
        <w:autoSpaceDN w:val="0"/>
        <w:spacing w:line="240" w:lineRule="auto"/>
        <w:rPr>
          <w:lang w:val="hu-HU" w:eastAsia="en-GB"/>
        </w:rPr>
      </w:pPr>
      <w:r>
        <w:rPr>
          <w:lang w:val="hu-HU" w:eastAsia="en-GB"/>
        </w:rPr>
        <w:t>Az eltrombopag biztonságosságát és hatásosságát gyermekeknél és serdülőknél 2 vizsgálatban értékelték.</w:t>
      </w:r>
    </w:p>
    <w:p w14:paraId="3399CF48" w14:textId="77777777" w:rsidR="00342CEA" w:rsidRDefault="00342CEA">
      <w:pPr>
        <w:tabs>
          <w:tab w:val="clear" w:pos="567"/>
        </w:tabs>
        <w:autoSpaceDE w:val="0"/>
        <w:autoSpaceDN w:val="0"/>
        <w:spacing w:line="240" w:lineRule="auto"/>
        <w:rPr>
          <w:lang w:val="hu-HU" w:eastAsia="en-GB"/>
        </w:rPr>
      </w:pPr>
    </w:p>
    <w:p w14:paraId="2EB1CC82" w14:textId="77777777" w:rsidR="00342CEA" w:rsidRPr="006C1619" w:rsidRDefault="00837BAB">
      <w:pPr>
        <w:tabs>
          <w:tab w:val="clear" w:pos="567"/>
        </w:tabs>
        <w:autoSpaceDE w:val="0"/>
        <w:autoSpaceDN w:val="0"/>
        <w:spacing w:line="240" w:lineRule="auto"/>
        <w:rPr>
          <w:iCs/>
          <w:lang w:val="hu-HU" w:eastAsia="en-GB"/>
        </w:rPr>
      </w:pPr>
      <w:r w:rsidRPr="006C1619">
        <w:rPr>
          <w:iCs/>
          <w:lang w:val="hu-HU" w:eastAsia="en-GB"/>
        </w:rPr>
        <w:t xml:space="preserve">TRA115450 (PETIT2): </w:t>
      </w:r>
    </w:p>
    <w:p w14:paraId="2A928CC5" w14:textId="77777777" w:rsidR="00D8246F" w:rsidRDefault="00D8246F">
      <w:pPr>
        <w:tabs>
          <w:tab w:val="clear" w:pos="567"/>
        </w:tabs>
        <w:autoSpaceDE w:val="0"/>
        <w:autoSpaceDN w:val="0"/>
        <w:spacing w:line="240" w:lineRule="auto"/>
        <w:rPr>
          <w:i/>
          <w:lang w:val="hu-HU" w:eastAsia="en-GB"/>
        </w:rPr>
      </w:pPr>
    </w:p>
    <w:p w14:paraId="75FF5869" w14:textId="77777777" w:rsidR="00342CEA" w:rsidRDefault="00837BAB">
      <w:pPr>
        <w:tabs>
          <w:tab w:val="clear" w:pos="567"/>
        </w:tabs>
        <w:autoSpaceDE w:val="0"/>
        <w:autoSpaceDN w:val="0"/>
        <w:spacing w:line="240" w:lineRule="auto"/>
        <w:rPr>
          <w:u w:val="single"/>
          <w:lang w:val="hu-HU"/>
        </w:rPr>
      </w:pPr>
      <w:r>
        <w:rPr>
          <w:lang w:val="hu-HU" w:eastAsia="en-GB"/>
        </w:rPr>
        <w:t>Az elsődleges végpont a tartós válasz volt, amit a placebóhoz viszonyítva azoknak az eltrombopagot kapó betegeknek az arányával definiáltak, akik a kettős</w:t>
      </w:r>
      <w:r>
        <w:rPr>
          <w:lang w:val="hu-HU" w:eastAsia="en-GB"/>
        </w:rPr>
        <w:noBreakHyphen/>
        <w:t>vak, randomizált időszak alatt ≥ 50 000/µl</w:t>
      </w:r>
      <w:r>
        <w:rPr>
          <w:lang w:val="hu-HU" w:eastAsia="en-GB"/>
        </w:rPr>
        <w:noBreakHyphen/>
        <w:t>es thrombocytaszámot értek el az 5. és 12. hét között, a 8 hétből legalább 6 alatt („mentő” kezelés nélkül). A betegeket krónikus ITP</w:t>
      </w:r>
      <w:r>
        <w:rPr>
          <w:lang w:val="hu-HU" w:eastAsia="en-GB"/>
        </w:rPr>
        <w:noBreakHyphen/>
        <w:t>vel diagnoztizálták legalább egy éve és legalább egy korábbi ITP elleni kezelésre nem reagáltak, vagy a kezelés után állapotuk ismét súlyosbodott, vagy orvosi okok miatt nem kaphattak más ITP</w:t>
      </w:r>
      <w:r>
        <w:rPr>
          <w:lang w:val="hu-HU" w:eastAsia="en-GB"/>
        </w:rPr>
        <w:noBreakHyphen/>
        <w:t>elleni kezelést, és a thrombocytaszámuk &lt; 30 000/µl volt. Kilencvenkét beteget randomizáltak három életkori kohorsz réteg szerint (2:1) eltrombopagra (n = 63) vagy placebóra (n = 29). Az eltrombopag dózisát az individuális vérlemezkeszám alapján módosítani lehetett.</w:t>
      </w:r>
    </w:p>
    <w:p w14:paraId="5FEFB565" w14:textId="77777777" w:rsidR="00342CEA" w:rsidRDefault="00342CEA">
      <w:pPr>
        <w:spacing w:line="240" w:lineRule="auto"/>
        <w:rPr>
          <w:rFonts w:eastAsia="Times New Roman"/>
          <w:lang w:val="hu-HU" w:eastAsia="en-US"/>
        </w:rPr>
      </w:pPr>
    </w:p>
    <w:p w14:paraId="0A0ECA46"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lastRenderedPageBreak/>
        <w:t>Összességében az eltrombopagot kapó betegek szignifikánsan nagyobb aránya (40%) érte el az elsődleges végpontot, mint placebót kapó beteg (3%) (esélyhányados: 18,0 [95%</w:t>
      </w:r>
      <w:r>
        <w:rPr>
          <w:lang w:val="hu-HU" w:eastAsia="en-GB"/>
        </w:rPr>
        <w:noBreakHyphen/>
        <w:t>os CI: 2,3, 140,9] p &lt; 0,001), ami mindhárom életkor kohorszban hasonló volt (6. táblázat).</w:t>
      </w:r>
    </w:p>
    <w:p w14:paraId="74728617" w14:textId="77777777" w:rsidR="00342CEA" w:rsidRDefault="00342CEA">
      <w:pPr>
        <w:spacing w:line="240" w:lineRule="auto"/>
        <w:rPr>
          <w:rFonts w:eastAsia="Times New Roman"/>
          <w:lang w:val="hu-HU" w:eastAsia="en-US"/>
        </w:rPr>
      </w:pPr>
    </w:p>
    <w:p w14:paraId="688F1611" w14:textId="77777777" w:rsidR="00342CEA" w:rsidRDefault="00837BAB">
      <w:pPr>
        <w:widowControl w:val="0"/>
        <w:tabs>
          <w:tab w:val="clear" w:pos="567"/>
        </w:tabs>
        <w:autoSpaceDE w:val="0"/>
        <w:autoSpaceDN w:val="0"/>
        <w:spacing w:line="240" w:lineRule="auto"/>
        <w:ind w:left="1134" w:hanging="1134"/>
        <w:rPr>
          <w:b/>
          <w:bCs/>
          <w:lang w:val="hu-HU" w:eastAsia="en-GB"/>
        </w:rPr>
      </w:pPr>
      <w:r>
        <w:rPr>
          <w:b/>
          <w:bCs/>
          <w:lang w:val="hu-HU" w:eastAsia="en-GB"/>
        </w:rPr>
        <w:t>7. táblázat</w:t>
      </w:r>
      <w:r>
        <w:rPr>
          <w:b/>
          <w:bCs/>
          <w:lang w:val="hu-HU" w:eastAsia="en-GB"/>
        </w:rPr>
        <w:tab/>
        <w:t>Tartós thrombocyta</w:t>
      </w:r>
      <w:r>
        <w:rPr>
          <w:b/>
          <w:bCs/>
          <w:lang w:val="hu-HU" w:eastAsia="en-GB"/>
        </w:rPr>
        <w:noBreakHyphen/>
        <w:t>válaszarányok életkor</w:t>
      </w:r>
      <w:r>
        <w:rPr>
          <w:b/>
          <w:bCs/>
          <w:lang w:val="hu-HU" w:eastAsia="en-GB"/>
        </w:rPr>
        <w:noBreakHyphen/>
        <w:t>kohorszonként a krónikus ITP</w:t>
      </w:r>
      <w:r>
        <w:rPr>
          <w:b/>
          <w:bCs/>
          <w:lang w:val="hu-HU" w:eastAsia="en-GB"/>
        </w:rPr>
        <w:noBreakHyphen/>
        <w:t>s gyermek</w:t>
      </w:r>
      <w:r>
        <w:rPr>
          <w:rFonts w:eastAsia="TimesNewRomanPS-BoldMT"/>
          <w:b/>
          <w:bCs/>
          <w:lang w:val="hu-HU" w:eastAsia="en-GB"/>
        </w:rPr>
        <w:t>eknél és serdülők</w:t>
      </w:r>
      <w:r>
        <w:rPr>
          <w:b/>
          <w:bCs/>
          <w:lang w:val="hu-HU" w:eastAsia="en-GB"/>
        </w:rPr>
        <w:t>nél</w:t>
      </w:r>
    </w:p>
    <w:p w14:paraId="464A1D57" w14:textId="77777777" w:rsidR="0081352A" w:rsidRDefault="0081352A">
      <w:pPr>
        <w:widowControl w:val="0"/>
        <w:tabs>
          <w:tab w:val="clear" w:pos="567"/>
        </w:tabs>
        <w:autoSpaceDE w:val="0"/>
        <w:autoSpaceDN w:val="0"/>
        <w:spacing w:line="240" w:lineRule="auto"/>
        <w:ind w:left="1134" w:hanging="1134"/>
        <w:rPr>
          <w:rFonts w:eastAsia="Times New Roman"/>
          <w:b/>
          <w:bCs/>
          <w:lang w:val="hu-HU" w:eastAsia="en-US"/>
        </w:rPr>
      </w:pPr>
    </w:p>
    <w:tbl>
      <w:tblPr>
        <w:tblW w:w="7257" w:type="dxa"/>
        <w:tblInd w:w="5" w:type="dxa"/>
        <w:tblBorders>
          <w:top w:val="nil"/>
          <w:left w:val="nil"/>
          <w:bottom w:val="nil"/>
          <w:right w:val="nil"/>
          <w:insideH w:val="nil"/>
          <w:insideV w:val="nil"/>
        </w:tblBorders>
        <w:tblCellMar>
          <w:top w:w="13" w:type="dxa"/>
          <w:right w:w="115" w:type="dxa"/>
        </w:tblCellMar>
        <w:tblLook w:val="04A0" w:firstRow="1" w:lastRow="0" w:firstColumn="1" w:lastColumn="0" w:noHBand="0" w:noVBand="1"/>
      </w:tblPr>
      <w:tblGrid>
        <w:gridCol w:w="2744"/>
        <w:gridCol w:w="2384"/>
        <w:gridCol w:w="2129"/>
      </w:tblGrid>
      <w:tr w:rsidR="00342CEA" w14:paraId="0E7FE797" w14:textId="77777777">
        <w:trPr>
          <w:trHeight w:val="769"/>
        </w:trPr>
        <w:tc>
          <w:tcPr>
            <w:tcW w:w="2744" w:type="dxa"/>
            <w:tcBorders>
              <w:top w:val="single" w:sz="4" w:space="0" w:color="000000"/>
              <w:left w:val="single" w:sz="4" w:space="0" w:color="000000"/>
              <w:bottom w:val="single" w:sz="4" w:space="0" w:color="000000"/>
              <w:right w:val="single" w:sz="4" w:space="0" w:color="000000"/>
            </w:tcBorders>
          </w:tcPr>
          <w:p w14:paraId="544E71CD" w14:textId="77777777" w:rsidR="00342CEA" w:rsidRDefault="00342CEA">
            <w:pPr>
              <w:widowControl w:val="0"/>
              <w:rPr>
                <w:lang w:val="hu-HU" w:eastAsia="en-US"/>
              </w:rPr>
            </w:pPr>
          </w:p>
        </w:tc>
        <w:tc>
          <w:tcPr>
            <w:tcW w:w="2384" w:type="dxa"/>
            <w:tcBorders>
              <w:top w:val="single" w:sz="4" w:space="0" w:color="000000"/>
              <w:left w:val="single" w:sz="4" w:space="0" w:color="000000"/>
              <w:bottom w:val="single" w:sz="4" w:space="0" w:color="000000"/>
              <w:right w:val="single" w:sz="4" w:space="0" w:color="000000"/>
            </w:tcBorders>
          </w:tcPr>
          <w:p w14:paraId="6070A754" w14:textId="77777777" w:rsidR="00342CEA" w:rsidRDefault="00837BAB">
            <w:pPr>
              <w:widowControl w:val="0"/>
              <w:jc w:val="center"/>
              <w:rPr>
                <w:b/>
                <w:bCs/>
                <w:lang w:val="hu-HU" w:eastAsia="en-US"/>
              </w:rPr>
            </w:pPr>
            <w:r>
              <w:rPr>
                <w:b/>
                <w:bCs/>
                <w:lang w:val="hu-HU" w:eastAsia="en-US"/>
              </w:rPr>
              <w:t>Eltrombopag</w:t>
            </w:r>
          </w:p>
          <w:p w14:paraId="5CD023E5" w14:textId="77777777" w:rsidR="00342CEA" w:rsidRDefault="00837BAB">
            <w:pPr>
              <w:widowControl w:val="0"/>
              <w:jc w:val="center"/>
              <w:rPr>
                <w:b/>
                <w:bCs/>
                <w:lang w:val="hu-HU" w:eastAsia="en-US"/>
              </w:rPr>
            </w:pPr>
            <w:r>
              <w:rPr>
                <w:b/>
                <w:bCs/>
                <w:lang w:val="hu-HU" w:eastAsia="en-US"/>
              </w:rPr>
              <w:t>n/N (%)</w:t>
            </w:r>
          </w:p>
          <w:p w14:paraId="37FDF4FD" w14:textId="77777777" w:rsidR="00342CEA" w:rsidRDefault="00837BAB">
            <w:pPr>
              <w:widowControl w:val="0"/>
              <w:jc w:val="center"/>
              <w:rPr>
                <w:b/>
                <w:bCs/>
                <w:lang w:val="hu-HU" w:eastAsia="en-US"/>
              </w:rPr>
            </w:pPr>
            <w:r>
              <w:rPr>
                <w:b/>
                <w:bCs/>
                <w:lang w:val="hu-HU" w:eastAsia="en-US"/>
              </w:rPr>
              <w:t>[95%</w:t>
            </w:r>
            <w:r>
              <w:rPr>
                <w:b/>
                <w:bCs/>
                <w:lang w:val="hu-HU" w:eastAsia="en-US"/>
              </w:rPr>
              <w:noBreakHyphen/>
              <w:t>os CI]</w:t>
            </w:r>
          </w:p>
        </w:tc>
        <w:tc>
          <w:tcPr>
            <w:tcW w:w="2129" w:type="dxa"/>
            <w:tcBorders>
              <w:top w:val="single" w:sz="4" w:space="0" w:color="000000"/>
              <w:left w:val="single" w:sz="4" w:space="0" w:color="000000"/>
              <w:bottom w:val="single" w:sz="4" w:space="0" w:color="000000"/>
              <w:right w:val="single" w:sz="4" w:space="0" w:color="000000"/>
            </w:tcBorders>
          </w:tcPr>
          <w:p w14:paraId="24AC5DDC" w14:textId="77777777" w:rsidR="00342CEA" w:rsidRDefault="00837BAB">
            <w:pPr>
              <w:widowControl w:val="0"/>
              <w:jc w:val="center"/>
              <w:rPr>
                <w:b/>
                <w:bCs/>
                <w:lang w:val="hu-HU" w:eastAsia="en-US"/>
              </w:rPr>
            </w:pPr>
            <w:r>
              <w:rPr>
                <w:b/>
                <w:bCs/>
                <w:lang w:val="hu-HU" w:eastAsia="en-US"/>
              </w:rPr>
              <w:t>Placebo</w:t>
            </w:r>
          </w:p>
          <w:p w14:paraId="0399937F" w14:textId="77777777" w:rsidR="00342CEA" w:rsidRDefault="00837BAB">
            <w:pPr>
              <w:widowControl w:val="0"/>
              <w:jc w:val="center"/>
              <w:rPr>
                <w:b/>
                <w:bCs/>
                <w:lang w:val="hu-HU" w:eastAsia="en-US"/>
              </w:rPr>
            </w:pPr>
            <w:r>
              <w:rPr>
                <w:b/>
                <w:bCs/>
                <w:lang w:val="hu-HU" w:eastAsia="en-US"/>
              </w:rPr>
              <w:t>n/N (%)</w:t>
            </w:r>
          </w:p>
          <w:p w14:paraId="35BC290F" w14:textId="77777777" w:rsidR="00342CEA" w:rsidRDefault="00837BAB">
            <w:pPr>
              <w:widowControl w:val="0"/>
              <w:jc w:val="center"/>
              <w:rPr>
                <w:b/>
                <w:bCs/>
                <w:lang w:val="hu-HU" w:eastAsia="en-US"/>
              </w:rPr>
            </w:pPr>
            <w:r>
              <w:rPr>
                <w:b/>
                <w:bCs/>
                <w:lang w:val="hu-HU" w:eastAsia="en-US"/>
              </w:rPr>
              <w:t>[95%</w:t>
            </w:r>
            <w:r>
              <w:rPr>
                <w:b/>
                <w:bCs/>
                <w:lang w:val="hu-HU" w:eastAsia="en-US"/>
              </w:rPr>
              <w:noBreakHyphen/>
              <w:t>os CI]</w:t>
            </w:r>
          </w:p>
        </w:tc>
      </w:tr>
      <w:tr w:rsidR="00342CEA" w14:paraId="1D2A6EEB" w14:textId="77777777">
        <w:trPr>
          <w:trHeight w:val="1529"/>
        </w:trPr>
        <w:tc>
          <w:tcPr>
            <w:tcW w:w="2744" w:type="dxa"/>
            <w:tcBorders>
              <w:top w:val="single" w:sz="4" w:space="0" w:color="000000"/>
              <w:left w:val="single" w:sz="4" w:space="0" w:color="000000"/>
              <w:bottom w:val="single" w:sz="4" w:space="0" w:color="000000"/>
              <w:right w:val="single" w:sz="4" w:space="0" w:color="000000"/>
            </w:tcBorders>
          </w:tcPr>
          <w:p w14:paraId="5BE435BD" w14:textId="77777777" w:rsidR="00342CEA" w:rsidRDefault="00837BAB">
            <w:pPr>
              <w:widowControl w:val="0"/>
              <w:rPr>
                <w:lang w:val="hu-HU" w:eastAsia="en-US"/>
              </w:rPr>
            </w:pPr>
            <w:r>
              <w:rPr>
                <w:lang w:val="hu-HU" w:eastAsia="en-US"/>
              </w:rPr>
              <w:t>1. kohorsz (12–18 év)</w:t>
            </w:r>
          </w:p>
          <w:p w14:paraId="5CEE821A" w14:textId="77777777" w:rsidR="00342CEA" w:rsidRDefault="00342CEA">
            <w:pPr>
              <w:widowControl w:val="0"/>
              <w:rPr>
                <w:lang w:val="hu-HU" w:eastAsia="en-US"/>
              </w:rPr>
            </w:pPr>
          </w:p>
          <w:p w14:paraId="4502159B" w14:textId="77777777" w:rsidR="00342CEA" w:rsidRDefault="00837BAB">
            <w:pPr>
              <w:widowControl w:val="0"/>
              <w:rPr>
                <w:lang w:val="hu-HU" w:eastAsia="en-US"/>
              </w:rPr>
            </w:pPr>
            <w:r>
              <w:rPr>
                <w:lang w:val="hu-HU" w:eastAsia="en-US"/>
              </w:rPr>
              <w:t>2. kohorsz (6–11 év)</w:t>
            </w:r>
          </w:p>
          <w:p w14:paraId="7C03C64E" w14:textId="77777777" w:rsidR="00342CEA" w:rsidRDefault="00342CEA">
            <w:pPr>
              <w:widowControl w:val="0"/>
              <w:rPr>
                <w:lang w:val="hu-HU" w:eastAsia="en-US"/>
              </w:rPr>
            </w:pPr>
          </w:p>
          <w:p w14:paraId="37DB86DD" w14:textId="77777777" w:rsidR="00342CEA" w:rsidRDefault="00837BAB">
            <w:pPr>
              <w:widowControl w:val="0"/>
              <w:rPr>
                <w:lang w:val="hu-HU" w:eastAsia="en-US"/>
              </w:rPr>
            </w:pPr>
            <w:r>
              <w:rPr>
                <w:lang w:val="hu-HU" w:eastAsia="en-US"/>
              </w:rPr>
              <w:t>3. kohorsz (1–5 év)</w:t>
            </w:r>
          </w:p>
        </w:tc>
        <w:tc>
          <w:tcPr>
            <w:tcW w:w="2384" w:type="dxa"/>
            <w:tcBorders>
              <w:top w:val="single" w:sz="4" w:space="0" w:color="000000"/>
              <w:left w:val="single" w:sz="4" w:space="0" w:color="000000"/>
              <w:bottom w:val="single" w:sz="4" w:space="0" w:color="000000"/>
              <w:right w:val="single" w:sz="4" w:space="0" w:color="000000"/>
            </w:tcBorders>
          </w:tcPr>
          <w:p w14:paraId="7BD18EBE" w14:textId="77777777" w:rsidR="00342CEA" w:rsidRDefault="00837BAB">
            <w:pPr>
              <w:widowControl w:val="0"/>
              <w:jc w:val="center"/>
              <w:rPr>
                <w:lang w:val="hu-HU" w:eastAsia="en-US"/>
              </w:rPr>
            </w:pPr>
            <w:r>
              <w:rPr>
                <w:lang w:val="hu-HU" w:eastAsia="en-US"/>
              </w:rPr>
              <w:t>9/23 (39%)</w:t>
            </w:r>
          </w:p>
          <w:p w14:paraId="315E13A6" w14:textId="77777777" w:rsidR="00342CEA" w:rsidRDefault="00837BAB">
            <w:pPr>
              <w:widowControl w:val="0"/>
              <w:jc w:val="center"/>
              <w:rPr>
                <w:lang w:val="hu-HU" w:eastAsia="en-US"/>
              </w:rPr>
            </w:pPr>
            <w:r>
              <w:rPr>
                <w:lang w:val="hu-HU" w:eastAsia="en-US"/>
              </w:rPr>
              <w:t>[20%; 61%]</w:t>
            </w:r>
          </w:p>
          <w:p w14:paraId="01248E44" w14:textId="77777777" w:rsidR="00342CEA" w:rsidRDefault="00837BAB">
            <w:pPr>
              <w:widowControl w:val="0"/>
              <w:jc w:val="center"/>
              <w:rPr>
                <w:lang w:val="hu-HU" w:eastAsia="en-US"/>
              </w:rPr>
            </w:pPr>
            <w:r>
              <w:rPr>
                <w:lang w:val="hu-HU" w:eastAsia="en-US"/>
              </w:rPr>
              <w:t>11/26 (42%)</w:t>
            </w:r>
          </w:p>
          <w:p w14:paraId="72727AB3" w14:textId="77777777" w:rsidR="00342CEA" w:rsidRDefault="00837BAB">
            <w:pPr>
              <w:widowControl w:val="0"/>
              <w:jc w:val="center"/>
              <w:rPr>
                <w:lang w:val="hu-HU" w:eastAsia="en-US"/>
              </w:rPr>
            </w:pPr>
            <w:r>
              <w:rPr>
                <w:lang w:val="hu-HU" w:eastAsia="en-US"/>
              </w:rPr>
              <w:t>[23%; 63%]</w:t>
            </w:r>
          </w:p>
          <w:p w14:paraId="2CDA277B" w14:textId="77777777" w:rsidR="00342CEA" w:rsidRDefault="00837BAB">
            <w:pPr>
              <w:widowControl w:val="0"/>
              <w:jc w:val="center"/>
              <w:rPr>
                <w:lang w:val="hu-HU" w:eastAsia="en-US"/>
              </w:rPr>
            </w:pPr>
            <w:r>
              <w:rPr>
                <w:lang w:val="hu-HU" w:eastAsia="en-US"/>
              </w:rPr>
              <w:t>5/14 (36%)</w:t>
            </w:r>
          </w:p>
          <w:p w14:paraId="482961D7" w14:textId="77777777" w:rsidR="00342CEA" w:rsidRDefault="00837BAB">
            <w:pPr>
              <w:widowControl w:val="0"/>
              <w:jc w:val="center"/>
              <w:rPr>
                <w:lang w:val="hu-HU" w:eastAsia="en-US"/>
              </w:rPr>
            </w:pPr>
            <w:r>
              <w:rPr>
                <w:lang w:val="hu-HU" w:eastAsia="en-US"/>
              </w:rPr>
              <w:t>[13%; 65%]</w:t>
            </w:r>
          </w:p>
        </w:tc>
        <w:tc>
          <w:tcPr>
            <w:tcW w:w="2129" w:type="dxa"/>
            <w:tcBorders>
              <w:top w:val="single" w:sz="4" w:space="0" w:color="000000"/>
              <w:left w:val="single" w:sz="4" w:space="0" w:color="000000"/>
              <w:bottom w:val="single" w:sz="4" w:space="0" w:color="000000"/>
              <w:right w:val="single" w:sz="4" w:space="0" w:color="000000"/>
            </w:tcBorders>
          </w:tcPr>
          <w:p w14:paraId="769B4BDF" w14:textId="77777777" w:rsidR="00342CEA" w:rsidRDefault="00837BAB">
            <w:pPr>
              <w:widowControl w:val="0"/>
              <w:jc w:val="center"/>
              <w:rPr>
                <w:lang w:val="hu-HU" w:eastAsia="en-US"/>
              </w:rPr>
            </w:pPr>
            <w:r>
              <w:rPr>
                <w:lang w:val="hu-HU" w:eastAsia="en-US"/>
              </w:rPr>
              <w:t>1/10 (10%)</w:t>
            </w:r>
          </w:p>
          <w:p w14:paraId="3EBA90E4" w14:textId="77777777" w:rsidR="00342CEA" w:rsidRDefault="00837BAB">
            <w:pPr>
              <w:widowControl w:val="0"/>
              <w:jc w:val="center"/>
              <w:rPr>
                <w:lang w:val="hu-HU" w:eastAsia="en-US"/>
              </w:rPr>
            </w:pPr>
            <w:r>
              <w:rPr>
                <w:lang w:val="hu-HU" w:eastAsia="en-US"/>
              </w:rPr>
              <w:t>[0%; 45%]</w:t>
            </w:r>
          </w:p>
          <w:p w14:paraId="16553D71" w14:textId="77777777" w:rsidR="00342CEA" w:rsidRDefault="00837BAB">
            <w:pPr>
              <w:widowControl w:val="0"/>
              <w:jc w:val="center"/>
              <w:rPr>
                <w:lang w:val="hu-HU" w:eastAsia="en-US"/>
              </w:rPr>
            </w:pPr>
            <w:r>
              <w:rPr>
                <w:lang w:val="hu-HU" w:eastAsia="en-US"/>
              </w:rPr>
              <w:t>0/13 (0%)</w:t>
            </w:r>
          </w:p>
          <w:p w14:paraId="5F22DDE2" w14:textId="77777777" w:rsidR="00342CEA" w:rsidRDefault="00837BAB">
            <w:pPr>
              <w:widowControl w:val="0"/>
              <w:jc w:val="center"/>
              <w:rPr>
                <w:lang w:val="hu-HU" w:eastAsia="en-US"/>
              </w:rPr>
            </w:pPr>
            <w:r>
              <w:rPr>
                <w:lang w:val="hu-HU" w:eastAsia="en-US"/>
              </w:rPr>
              <w:t>[N/A]</w:t>
            </w:r>
          </w:p>
          <w:p w14:paraId="57A70C07" w14:textId="77777777" w:rsidR="00342CEA" w:rsidRDefault="00837BAB">
            <w:pPr>
              <w:widowControl w:val="0"/>
              <w:jc w:val="center"/>
              <w:rPr>
                <w:lang w:val="hu-HU" w:eastAsia="en-US"/>
              </w:rPr>
            </w:pPr>
            <w:r>
              <w:rPr>
                <w:lang w:val="hu-HU" w:eastAsia="en-US"/>
              </w:rPr>
              <w:t>0/6 (0%)</w:t>
            </w:r>
          </w:p>
          <w:p w14:paraId="3E855C15" w14:textId="77777777" w:rsidR="00342CEA" w:rsidRDefault="00837BAB">
            <w:pPr>
              <w:widowControl w:val="0"/>
              <w:jc w:val="center"/>
              <w:rPr>
                <w:lang w:val="hu-HU" w:eastAsia="en-US"/>
              </w:rPr>
            </w:pPr>
            <w:r>
              <w:rPr>
                <w:lang w:val="hu-HU" w:eastAsia="en-US"/>
              </w:rPr>
              <w:t>[N/A]</w:t>
            </w:r>
          </w:p>
        </w:tc>
      </w:tr>
    </w:tbl>
    <w:p w14:paraId="7FEDE650" w14:textId="77777777" w:rsidR="00342CEA" w:rsidRDefault="00342CEA">
      <w:pPr>
        <w:spacing w:line="240" w:lineRule="auto"/>
        <w:rPr>
          <w:rFonts w:eastAsia="Times New Roman"/>
          <w:lang w:val="hu-HU" w:eastAsia="en-US"/>
        </w:rPr>
      </w:pPr>
    </w:p>
    <w:p w14:paraId="64A98D10"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A randomizált időszak alatt statisztikailag kevesebb eltrombopagot kapó betegnél volt szükség „mentő” kezelésre (rescue treatment), mint placebót kapó betegnél (19% [12/63] vs. 24% [7/29], p = 0,032).</w:t>
      </w:r>
    </w:p>
    <w:p w14:paraId="57957E58" w14:textId="77777777" w:rsidR="00342CEA" w:rsidRDefault="00342CEA">
      <w:pPr>
        <w:spacing w:line="240" w:lineRule="auto"/>
        <w:rPr>
          <w:rFonts w:eastAsia="Times New Roman"/>
          <w:lang w:val="hu-HU" w:eastAsia="en-US"/>
        </w:rPr>
      </w:pPr>
    </w:p>
    <w:p w14:paraId="1D1CE683"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A vizsgálat megkezdésekor az eltrombopag</w:t>
      </w:r>
      <w:r>
        <w:rPr>
          <w:lang w:val="hu-HU" w:eastAsia="en-GB"/>
        </w:rPr>
        <w:noBreakHyphen/>
        <w:t>csoport betegeinek 71%</w:t>
      </w:r>
      <w:r>
        <w:rPr>
          <w:lang w:val="hu-HU" w:eastAsia="en-GB"/>
        </w:rPr>
        <w:noBreakHyphen/>
        <w:t>a és a placebocsoport betegeinek pedig 69%</w:t>
      </w:r>
      <w:r>
        <w:rPr>
          <w:lang w:val="hu-HU" w:eastAsia="en-GB"/>
        </w:rPr>
        <w:noBreakHyphen/>
        <w:t>a számolt be valamilyen vérzésről (WHO 1-4</w:t>
      </w:r>
      <w:r>
        <w:rPr>
          <w:lang w:val="hu-HU" w:eastAsia="en-GB"/>
        </w:rPr>
        <w:noBreakHyphen/>
        <w:t>es fokozat). A 12. héten a valamilyen vérzésről beszámoló, eltrombopagot kapó betegek aránya a kiindulási érték felére csökkent (36%). Összehasonlításképpen a 12. héten a placebót kapó betegek 55%</w:t>
      </w:r>
      <w:r>
        <w:rPr>
          <w:lang w:val="hu-HU" w:eastAsia="en-GB"/>
        </w:rPr>
        <w:noBreakHyphen/>
        <w:t>a számolt be valamilyen vérzésről.</w:t>
      </w:r>
    </w:p>
    <w:p w14:paraId="78C402AF" w14:textId="77777777" w:rsidR="00342CEA" w:rsidRDefault="00342CEA">
      <w:pPr>
        <w:spacing w:line="240" w:lineRule="auto"/>
        <w:rPr>
          <w:rFonts w:eastAsia="Times New Roman"/>
          <w:lang w:val="hu-HU" w:eastAsia="en-US"/>
        </w:rPr>
      </w:pPr>
    </w:p>
    <w:p w14:paraId="12A7DE46"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A betegeknél csak a vizsgálat nyílt elrendezésű fázisa alatt csökkenthették vagy hagyhatták abba a kiindulási ITP</w:t>
      </w:r>
      <w:r>
        <w:rPr>
          <w:lang w:val="hu-HU" w:eastAsia="en-GB"/>
        </w:rPr>
        <w:noBreakHyphen/>
        <w:t>elleni kezelést, és a betegek 53%</w:t>
      </w:r>
      <w:r>
        <w:rPr>
          <w:lang w:val="hu-HU" w:eastAsia="en-GB"/>
        </w:rPr>
        <w:noBreakHyphen/>
        <w:t>ánál (8/15) lehetett csökkenteni (n = 1) vagy abbahagyni (n = 7) a kiindulási ITP</w:t>
      </w:r>
      <w:r>
        <w:rPr>
          <w:lang w:val="hu-HU" w:eastAsia="en-GB"/>
        </w:rPr>
        <w:noBreakHyphen/>
        <w:t>elleni kezelést, elsősorban a kortikoszteroidokat, anélkül, hogy „mentő” kezelésre lett volna szükségük.</w:t>
      </w:r>
    </w:p>
    <w:p w14:paraId="4D06F015" w14:textId="77777777" w:rsidR="00342CEA" w:rsidRDefault="00342CEA">
      <w:pPr>
        <w:spacing w:line="240" w:lineRule="auto"/>
        <w:rPr>
          <w:rFonts w:eastAsia="Times New Roman"/>
          <w:lang w:val="hu-HU" w:eastAsia="en-US"/>
        </w:rPr>
      </w:pPr>
    </w:p>
    <w:p w14:paraId="1E352881" w14:textId="77777777" w:rsidR="00342CEA" w:rsidRPr="006C1619" w:rsidRDefault="00837BAB">
      <w:pPr>
        <w:tabs>
          <w:tab w:val="clear" w:pos="567"/>
        </w:tabs>
        <w:autoSpaceDE w:val="0"/>
        <w:autoSpaceDN w:val="0"/>
        <w:spacing w:line="240" w:lineRule="auto"/>
        <w:rPr>
          <w:iCs/>
          <w:lang w:val="hu-HU" w:eastAsia="en-GB"/>
        </w:rPr>
      </w:pPr>
      <w:r w:rsidRPr="006C1619">
        <w:rPr>
          <w:iCs/>
          <w:lang w:val="hu-HU" w:eastAsia="en-GB"/>
        </w:rPr>
        <w:t xml:space="preserve">TRA108062 (PETIT): </w:t>
      </w:r>
    </w:p>
    <w:p w14:paraId="176682CF" w14:textId="77777777" w:rsidR="0081352A" w:rsidRDefault="0081352A">
      <w:pPr>
        <w:tabs>
          <w:tab w:val="clear" w:pos="567"/>
        </w:tabs>
        <w:autoSpaceDE w:val="0"/>
        <w:autoSpaceDN w:val="0"/>
        <w:spacing w:line="240" w:lineRule="auto"/>
        <w:rPr>
          <w:i/>
          <w:lang w:val="hu-HU" w:eastAsia="en-GB"/>
        </w:rPr>
      </w:pPr>
    </w:p>
    <w:p w14:paraId="785F8C4A" w14:textId="77777777" w:rsidR="00342CEA" w:rsidRDefault="00837BAB">
      <w:pPr>
        <w:tabs>
          <w:tab w:val="clear" w:pos="567"/>
        </w:tabs>
        <w:autoSpaceDE w:val="0"/>
        <w:autoSpaceDN w:val="0"/>
        <w:spacing w:line="240" w:lineRule="auto"/>
        <w:rPr>
          <w:lang w:val="hu-HU" w:eastAsia="en-GB"/>
        </w:rPr>
      </w:pPr>
      <w:r>
        <w:rPr>
          <w:lang w:val="hu-HU" w:eastAsia="en-GB"/>
        </w:rPr>
        <w:t>Az elsődleges végpont a randomizált időszak 1. és 6. hete között legalább egyszer ≥ 50 000/µl</w:t>
      </w:r>
      <w:r>
        <w:rPr>
          <w:lang w:val="hu-HU" w:eastAsia="en-GB"/>
        </w:rPr>
        <w:noBreakHyphen/>
        <w:t>es thrombocytaszámot elérő betegek aránya volt. A betegeknél legalább 6 hónapja diagnosztizáltak ITP</w:t>
      </w:r>
      <w:r>
        <w:rPr>
          <w:lang w:val="hu-HU" w:eastAsia="en-GB"/>
        </w:rPr>
        <w:noBreakHyphen/>
        <w:t>t, és nem reagáltak legalább egy megelőző ITP</w:t>
      </w:r>
      <w:r>
        <w:rPr>
          <w:lang w:val="hu-HU" w:eastAsia="en-GB"/>
        </w:rPr>
        <w:noBreakHyphen/>
        <w:t>elleni kezelésre, vagy állapotuk súlyosbodott, vérlemezkeszámuk &lt; 30 000/µl volt (n = 67). A vizsgálat randomizált időszaka alatt a betegeket három életkori kohorsz réteg szerint (2:1) randomizálták eltrombopagra (n = 45) vagy placebóra (n = 22). Az eltrombopag dózisát az individuális vérlemezkeszám alapján módosítani lehetett.</w:t>
      </w:r>
    </w:p>
    <w:p w14:paraId="0495F244" w14:textId="77777777" w:rsidR="00342CEA" w:rsidRDefault="00837BAB">
      <w:pPr>
        <w:tabs>
          <w:tab w:val="clear" w:pos="567"/>
        </w:tabs>
        <w:autoSpaceDE w:val="0"/>
        <w:autoSpaceDN w:val="0"/>
        <w:spacing w:line="240" w:lineRule="auto"/>
        <w:rPr>
          <w:lang w:val="hu-HU" w:eastAsia="en-GB"/>
        </w:rPr>
      </w:pPr>
      <w:r>
        <w:rPr>
          <w:lang w:val="hu-HU" w:eastAsia="en-GB"/>
        </w:rPr>
        <w:t>Összességében az eltrombopagot kapó betegek szignifikánsan nagyobb hányada (62%) érte el az elsődleges végpontot, mint placebót kapó beteg (32%) (esélyhányados: 4,3 [95%</w:t>
      </w:r>
      <w:r>
        <w:rPr>
          <w:lang w:val="hu-HU" w:eastAsia="en-GB"/>
        </w:rPr>
        <w:noBreakHyphen/>
        <w:t>os CI: 1,4, 13,3]; p = 0,011).</w:t>
      </w:r>
    </w:p>
    <w:p w14:paraId="077BC617" w14:textId="77777777" w:rsidR="00342CEA" w:rsidRDefault="00342CEA">
      <w:pPr>
        <w:tabs>
          <w:tab w:val="clear" w:pos="567"/>
        </w:tabs>
        <w:autoSpaceDE w:val="0"/>
        <w:autoSpaceDN w:val="0"/>
        <w:spacing w:line="240" w:lineRule="auto"/>
        <w:rPr>
          <w:lang w:val="hu-HU" w:eastAsia="en-GB"/>
        </w:rPr>
      </w:pPr>
    </w:p>
    <w:p w14:paraId="326B1A5A"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Tartós válasz alakult ki a kezdetben reagáló betegek 50%</w:t>
      </w:r>
      <w:r>
        <w:rPr>
          <w:lang w:val="hu-HU" w:eastAsia="en-GB"/>
        </w:rPr>
        <w:noBreakHyphen/>
        <w:t>ánál a 24 hétből 20 hétig a PETIT 2 vizsgálatban és 24 hétből 15 hétig a PETIT vizsgálatban.</w:t>
      </w:r>
    </w:p>
    <w:p w14:paraId="51DEB8CC" w14:textId="77777777" w:rsidR="00342CEA" w:rsidRDefault="00342CEA">
      <w:pPr>
        <w:spacing w:line="240" w:lineRule="auto"/>
        <w:rPr>
          <w:rFonts w:eastAsia="Times New Roman"/>
          <w:lang w:val="hu-HU" w:eastAsia="en-US"/>
        </w:rPr>
      </w:pPr>
    </w:p>
    <w:p w14:paraId="68645C99" w14:textId="77777777" w:rsidR="00342CEA" w:rsidRDefault="00837BAB">
      <w:pPr>
        <w:keepNext/>
        <w:tabs>
          <w:tab w:val="clear" w:pos="567"/>
        </w:tabs>
        <w:autoSpaceDE w:val="0"/>
        <w:autoSpaceDN w:val="0"/>
        <w:spacing w:line="240" w:lineRule="auto"/>
        <w:rPr>
          <w:i/>
          <w:u w:val="single"/>
          <w:lang w:val="hu-HU" w:eastAsia="en-GB"/>
        </w:rPr>
      </w:pPr>
      <w:r>
        <w:rPr>
          <w:i/>
          <w:u w:val="single"/>
          <w:lang w:val="hu-HU" w:eastAsia="en-GB"/>
        </w:rPr>
        <w:t>Krónikus hepatitis C-hez kapcsolódó thrombocytopenia-vizsgálatok</w:t>
      </w:r>
    </w:p>
    <w:p w14:paraId="3955A72B" w14:textId="77777777" w:rsidR="0081352A" w:rsidRDefault="0081352A">
      <w:pPr>
        <w:keepNext/>
        <w:tabs>
          <w:tab w:val="clear" w:pos="567"/>
        </w:tabs>
        <w:autoSpaceDE w:val="0"/>
        <w:autoSpaceDN w:val="0"/>
        <w:spacing w:line="240" w:lineRule="auto"/>
        <w:rPr>
          <w:i/>
          <w:u w:val="single"/>
          <w:lang w:val="hu-HU" w:eastAsia="en-GB"/>
        </w:rPr>
      </w:pPr>
    </w:p>
    <w:p w14:paraId="6D414866" w14:textId="77777777" w:rsidR="00342CEA" w:rsidRDefault="00837BAB">
      <w:pPr>
        <w:keepNext/>
        <w:tabs>
          <w:tab w:val="clear" w:pos="567"/>
        </w:tabs>
        <w:autoSpaceDE w:val="0"/>
        <w:autoSpaceDN w:val="0"/>
        <w:spacing w:line="240" w:lineRule="auto"/>
        <w:rPr>
          <w:rFonts w:eastAsia="Times New Roman"/>
          <w:lang w:val="hu-HU" w:eastAsia="en-US"/>
        </w:rPr>
      </w:pPr>
      <w:r>
        <w:rPr>
          <w:lang w:val="hu-HU" w:eastAsia="en-GB"/>
        </w:rPr>
        <w:t>Az eltrombopag biztonságosságát és hatásosságát thrombocytopeniás, HCV</w:t>
      </w:r>
      <w:r>
        <w:rPr>
          <w:lang w:val="hu-HU" w:eastAsia="en-GB"/>
        </w:rPr>
        <w:noBreakHyphen/>
        <w:t>fertőzött betegeknél két, randomizált, kettős</w:t>
      </w:r>
      <w:r>
        <w:rPr>
          <w:lang w:val="hu-HU" w:eastAsia="en-GB"/>
        </w:rPr>
        <w:noBreakHyphen/>
        <w:t>vak, placebokontrollos vizsgálatban értékelték. Az ENABLE 1 peginterferon alfa</w:t>
      </w:r>
      <w:r>
        <w:rPr>
          <w:lang w:val="hu-HU" w:eastAsia="en-GB"/>
        </w:rPr>
        <w:noBreakHyphen/>
        <w:t>2a</w:t>
      </w:r>
      <w:r>
        <w:rPr>
          <w:lang w:val="hu-HU" w:eastAsia="en-GB"/>
        </w:rPr>
        <w:noBreakHyphen/>
        <w:t>t és ribavirint, míg az ENABLE 2 peginterferon alfa</w:t>
      </w:r>
      <w:r>
        <w:rPr>
          <w:lang w:val="hu-HU" w:eastAsia="en-GB"/>
        </w:rPr>
        <w:noBreakHyphen/>
        <w:t>2b</w:t>
      </w:r>
      <w:r>
        <w:rPr>
          <w:lang w:val="hu-HU" w:eastAsia="en-GB"/>
        </w:rPr>
        <w:noBreakHyphen/>
        <w:t>t és ribavirint alkalmazott antivirális terápiaként. A betegek nem kaptak közvetlen hatású antivirális szert. Mindkét vizsgálatba a &lt; 75 000/µl vérlemezkeszámú betegeket válogatták be, és csoportosították őket a vérlemezkeszámuk alapján (&lt; 50 000/µl és ≥ 50 000/µl</w:t>
      </w:r>
      <w:r>
        <w:rPr>
          <w:lang w:val="hu-HU" w:eastAsia="en-GB"/>
        </w:rPr>
        <w:noBreakHyphen/>
        <w:t>től &lt; 75 000/µl</w:t>
      </w:r>
      <w:r>
        <w:rPr>
          <w:lang w:val="hu-HU" w:eastAsia="en-GB"/>
        </w:rPr>
        <w:noBreakHyphen/>
        <w:t>ig), szűrték őket HCV RNS</w:t>
      </w:r>
      <w:r>
        <w:rPr>
          <w:lang w:val="hu-HU" w:eastAsia="en-GB"/>
        </w:rPr>
        <w:noBreakHyphen/>
        <w:t>re (&lt; 800 000 NE/ml és ≥ 800 000 NE/ml) és HCV genotípusra (2/3</w:t>
      </w:r>
      <w:r>
        <w:rPr>
          <w:lang w:val="hu-HU" w:eastAsia="en-GB"/>
        </w:rPr>
        <w:noBreakHyphen/>
        <w:t>as genotípus és 1/4/6</w:t>
      </w:r>
      <w:r>
        <w:rPr>
          <w:lang w:val="hu-HU" w:eastAsia="en-GB"/>
        </w:rPr>
        <w:noBreakHyphen/>
        <w:t>os genotípus).</w:t>
      </w:r>
    </w:p>
    <w:p w14:paraId="7C8363B1" w14:textId="77777777" w:rsidR="00342CEA" w:rsidRDefault="00342CEA">
      <w:pPr>
        <w:spacing w:line="240" w:lineRule="auto"/>
        <w:rPr>
          <w:rFonts w:eastAsia="Times New Roman"/>
          <w:lang w:val="hu-HU" w:eastAsia="en-US"/>
        </w:rPr>
      </w:pPr>
    </w:p>
    <w:p w14:paraId="57947A35"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lastRenderedPageBreak/>
        <w:t>A betegség kiindulási jellemzői hasonlóak voltak mindkét vizsgálatban, és összhangban voltak a kompenzált cirrhosisos HCV</w:t>
      </w:r>
      <w:r>
        <w:rPr>
          <w:lang w:val="hu-HU" w:eastAsia="en-GB"/>
        </w:rPr>
        <w:noBreakHyphen/>
        <w:t>betegpopulációéval. A betegek többsége HCV 1</w:t>
      </w:r>
      <w:r>
        <w:rPr>
          <w:lang w:val="hu-HU" w:eastAsia="en-GB"/>
        </w:rPr>
        <w:noBreakHyphen/>
        <w:t>es genotípusú volt (64%) és „bridging” fibrosisuk/cirrhosisuk volt. A betegek 31%</w:t>
      </w:r>
      <w:r>
        <w:rPr>
          <w:lang w:val="hu-HU" w:eastAsia="en-GB"/>
        </w:rPr>
        <w:noBreakHyphen/>
        <w:t>a korábban részesült HCV</w:t>
      </w:r>
      <w:r>
        <w:rPr>
          <w:lang w:val="hu-HU" w:eastAsia="en-GB"/>
        </w:rPr>
        <w:noBreakHyphen/>
        <w:t>elleni kezelésben, elsődlegesen pegilált interferon</w:t>
      </w:r>
      <w:r>
        <w:rPr>
          <w:lang w:val="hu-HU" w:eastAsia="en-GB"/>
        </w:rPr>
        <w:noBreakHyphen/>
        <w:t xml:space="preserve"> és ribavirin</w:t>
      </w:r>
      <w:r>
        <w:rPr>
          <w:lang w:val="hu-HU" w:eastAsia="en-GB"/>
        </w:rPr>
        <w:noBreakHyphen/>
        <w:t>kezelésben. A medián kiindulási vérlemezkeszám 59 500/µl volt mindkét csoportban: a beválogatott betegek 0,8%</w:t>
      </w:r>
      <w:r>
        <w:rPr>
          <w:lang w:val="hu-HU" w:eastAsia="en-GB"/>
        </w:rPr>
        <w:noBreakHyphen/>
        <w:t>ánál &lt; 20 000/µl, 28%</w:t>
      </w:r>
      <w:r>
        <w:rPr>
          <w:lang w:val="hu-HU" w:eastAsia="en-GB"/>
        </w:rPr>
        <w:noBreakHyphen/>
        <w:t>ánál &lt; 50 000/µl és 72%</w:t>
      </w:r>
      <w:r>
        <w:rPr>
          <w:lang w:val="hu-HU" w:eastAsia="en-GB"/>
        </w:rPr>
        <w:noBreakHyphen/>
        <w:t>ánál ≥ 50 000/µl volt a vérlemezkeszám.</w:t>
      </w:r>
    </w:p>
    <w:p w14:paraId="7621154C" w14:textId="77777777" w:rsidR="00342CEA" w:rsidRDefault="00342CEA">
      <w:pPr>
        <w:spacing w:line="240" w:lineRule="auto"/>
        <w:rPr>
          <w:rFonts w:eastAsia="Times New Roman"/>
          <w:lang w:val="hu-HU" w:eastAsia="en-US"/>
        </w:rPr>
      </w:pPr>
    </w:p>
    <w:p w14:paraId="6E3B00D7"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A vizsgálatoknak két fázisa volt – egy antivirális kezelés előtti fázis és egy antivirális kezelési fázis. Az antivirális kezelés előtti fázisban a betegek nyílt elrendezésben eltrombopagot kaptak annak érdekében, hogy a vérlemezkeszám ≥ 90 000/µlre emelkedjen az ENABLE 1, illetve ≥ 100 000/µlre emelkedjen az ENABLE 2 vizsgálatban. A ≥ </w:t>
      </w:r>
      <w:r>
        <w:rPr>
          <w:lang w:val="hu-HU"/>
        </w:rPr>
        <w:t>90 000</w:t>
      </w:r>
      <w:r>
        <w:rPr>
          <w:lang w:val="hu-HU" w:eastAsia="en-GB"/>
        </w:rPr>
        <w:t>/µl (ENABLE 1) vagy ≥ 100 000/µl (ENABLE 2) vérlemezkeszám célérték elérésének medián ideje 2 hét volt.</w:t>
      </w:r>
    </w:p>
    <w:p w14:paraId="689C183C" w14:textId="77777777" w:rsidR="00342CEA" w:rsidRDefault="00342CEA">
      <w:pPr>
        <w:spacing w:line="240" w:lineRule="auto"/>
        <w:rPr>
          <w:rFonts w:eastAsia="Times New Roman"/>
          <w:lang w:val="hu-HU" w:eastAsia="en-US"/>
        </w:rPr>
      </w:pPr>
    </w:p>
    <w:p w14:paraId="475AB7CC"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Az elsődleges hatásossági végpont mindkét vizsgálatban a tartós virológiai válasz (SVR) volt, azon betegek százalékában definiálva, akiknél a tervezett kezelési periódus vége után 24 héttel HCV</w:t>
      </w:r>
      <w:r>
        <w:rPr>
          <w:lang w:val="hu-HU" w:eastAsia="en-GB"/>
        </w:rPr>
        <w:noBreakHyphen/>
        <w:t>RNS nem volt kimutatható.</w:t>
      </w:r>
    </w:p>
    <w:p w14:paraId="7E49EC91" w14:textId="77777777" w:rsidR="00342CEA" w:rsidRDefault="00342CEA">
      <w:pPr>
        <w:spacing w:line="240" w:lineRule="auto"/>
        <w:rPr>
          <w:rFonts w:eastAsia="Times New Roman"/>
          <w:lang w:val="hu-HU" w:eastAsia="en-US"/>
        </w:rPr>
      </w:pPr>
    </w:p>
    <w:p w14:paraId="7505603F" w14:textId="77777777" w:rsidR="00342CEA" w:rsidRDefault="00837BAB">
      <w:pPr>
        <w:tabs>
          <w:tab w:val="clear" w:pos="567"/>
        </w:tabs>
        <w:autoSpaceDE w:val="0"/>
        <w:autoSpaceDN w:val="0"/>
        <w:spacing w:line="240" w:lineRule="auto"/>
        <w:rPr>
          <w:rFonts w:eastAsia="Times New Roman"/>
          <w:lang w:val="hu-HU" w:eastAsia="en-US"/>
        </w:rPr>
      </w:pPr>
      <w:r>
        <w:rPr>
          <w:lang w:val="hu-HU" w:eastAsia="en-GB"/>
        </w:rPr>
        <w:t>Mindkét HCV</w:t>
      </w:r>
      <w:r>
        <w:rPr>
          <w:lang w:val="hu-HU" w:eastAsia="en-GB"/>
        </w:rPr>
        <w:noBreakHyphen/>
        <w:t>vizsgálatban, a placebóval kezelt betegekhez viszonyítva (n = 65, 13%), az eltrombopaggal kezelt betegek jelentősen nagyobb arányánál (n = 201, 21%) jelentkezett tartós virológiai válasz (lásd 8. táblázat). A tartós virológiai választ mutató betegek arányában történt javulás következetesen előfordult a randomizációs rétegek mindegyik alcsoportjában (kiindulási vérlemezkeszám (&lt; 50 000 vs. &gt; 50 000), vírusterhelés (&lt; 800 000 NE/ml vs. ≥ 800 000 NE/ml) és genotípus (2/3 vs. 1/4/6)).</w:t>
      </w:r>
    </w:p>
    <w:p w14:paraId="6A4A4E8A" w14:textId="77777777" w:rsidR="00342CEA" w:rsidRDefault="00342CEA">
      <w:pPr>
        <w:spacing w:line="240" w:lineRule="auto"/>
        <w:rPr>
          <w:rFonts w:eastAsia="Times New Roman"/>
          <w:lang w:val="hu-HU" w:eastAsia="en-US"/>
        </w:rPr>
      </w:pPr>
    </w:p>
    <w:p w14:paraId="3FB3F580" w14:textId="77777777" w:rsidR="00342CEA" w:rsidRDefault="00837BAB">
      <w:pPr>
        <w:tabs>
          <w:tab w:val="clear" w:pos="567"/>
          <w:tab w:val="left" w:pos="1134"/>
        </w:tabs>
        <w:spacing w:line="240" w:lineRule="auto"/>
        <w:rPr>
          <w:b/>
          <w:bCs/>
          <w:lang w:val="hu-HU" w:eastAsia="en-GB"/>
        </w:rPr>
      </w:pPr>
      <w:r>
        <w:rPr>
          <w:b/>
          <w:bCs/>
          <w:lang w:val="hu-HU" w:eastAsia="en-GB"/>
        </w:rPr>
        <w:t>8. táblázat</w:t>
      </w:r>
      <w:r>
        <w:rPr>
          <w:b/>
          <w:bCs/>
          <w:lang w:val="hu-HU" w:eastAsia="en-GB"/>
        </w:rPr>
        <w:tab/>
        <w:t>Az ENABLE 1 és az ENABLE 2 HCV</w:t>
      </w:r>
      <w:r>
        <w:rPr>
          <w:b/>
          <w:bCs/>
          <w:lang w:val="hu-HU" w:eastAsia="en-GB"/>
        </w:rPr>
        <w:noBreakHyphen/>
        <w:t>betegeinek virológiai válasza</w:t>
      </w:r>
    </w:p>
    <w:p w14:paraId="4C31F910" w14:textId="77777777" w:rsidR="0081352A" w:rsidRDefault="0081352A">
      <w:pPr>
        <w:tabs>
          <w:tab w:val="clear" w:pos="567"/>
          <w:tab w:val="left" w:pos="1134"/>
        </w:tabs>
        <w:spacing w:line="240" w:lineRule="auto"/>
        <w:rPr>
          <w:rFonts w:eastAsia="Times New Roman"/>
          <w:b/>
          <w:bCs/>
          <w:lang w:val="hu-HU" w:eastAsia="en-US"/>
        </w:rPr>
      </w:pPr>
    </w:p>
    <w:tbl>
      <w:tblPr>
        <w:tblW w:w="9181" w:type="dxa"/>
        <w:tblInd w:w="5" w:type="dxa"/>
        <w:tblBorders>
          <w:top w:val="nil"/>
          <w:left w:val="nil"/>
          <w:bottom w:val="nil"/>
          <w:right w:val="nil"/>
          <w:insideH w:val="nil"/>
          <w:insideV w:val="nil"/>
        </w:tblBorders>
        <w:tblCellMar>
          <w:top w:w="9" w:type="dxa"/>
          <w:right w:w="85" w:type="dxa"/>
        </w:tblCellMar>
        <w:tblLook w:val="04A0" w:firstRow="1" w:lastRow="0" w:firstColumn="1" w:lastColumn="0" w:noHBand="0" w:noVBand="1"/>
      </w:tblPr>
      <w:tblGrid>
        <w:gridCol w:w="1943"/>
        <w:gridCol w:w="1440"/>
        <w:gridCol w:w="1044"/>
        <w:gridCol w:w="1440"/>
        <w:gridCol w:w="937"/>
        <w:gridCol w:w="1440"/>
        <w:gridCol w:w="937"/>
      </w:tblGrid>
      <w:tr w:rsidR="00342CEA" w14:paraId="41D5CB0A"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5DE0285" w14:textId="77777777" w:rsidR="00342CEA" w:rsidRDefault="00342CEA">
            <w:pPr>
              <w:widowControl w:val="0"/>
              <w:rPr>
                <w:lang w:val="hu-HU" w:eastAsia="en-US"/>
              </w:rPr>
            </w:pPr>
          </w:p>
        </w:tc>
        <w:tc>
          <w:tcPr>
            <w:tcW w:w="2484" w:type="dxa"/>
            <w:gridSpan w:val="2"/>
            <w:tcBorders>
              <w:top w:val="single" w:sz="4" w:space="0" w:color="000000"/>
              <w:left w:val="single" w:sz="4" w:space="0" w:color="000000"/>
              <w:bottom w:val="single" w:sz="4" w:space="0" w:color="000000"/>
              <w:right w:val="single" w:sz="4" w:space="0" w:color="000000"/>
            </w:tcBorders>
          </w:tcPr>
          <w:p w14:paraId="61138C0B" w14:textId="77777777" w:rsidR="00342CEA" w:rsidRDefault="00837BAB">
            <w:pPr>
              <w:widowControl w:val="0"/>
              <w:jc w:val="center"/>
              <w:rPr>
                <w:lang w:val="hu-HU" w:eastAsia="en-US"/>
              </w:rPr>
            </w:pPr>
            <w:r>
              <w:rPr>
                <w:b/>
                <w:bCs/>
                <w:lang w:val="hu-HU" w:eastAsia="en-GB"/>
              </w:rPr>
              <w:t>Összesített adatok</w:t>
            </w:r>
          </w:p>
        </w:tc>
        <w:tc>
          <w:tcPr>
            <w:tcW w:w="2377" w:type="dxa"/>
            <w:gridSpan w:val="2"/>
            <w:tcBorders>
              <w:top w:val="single" w:sz="4" w:space="0" w:color="000000"/>
              <w:left w:val="single" w:sz="4" w:space="0" w:color="000000"/>
              <w:bottom w:val="single" w:sz="4" w:space="0" w:color="000000"/>
              <w:right w:val="single" w:sz="4" w:space="0" w:color="000000"/>
            </w:tcBorders>
          </w:tcPr>
          <w:p w14:paraId="45F07935" w14:textId="77777777" w:rsidR="00342CEA" w:rsidRDefault="00837BAB">
            <w:pPr>
              <w:widowControl w:val="0"/>
              <w:jc w:val="center"/>
              <w:rPr>
                <w:lang w:val="hu-HU" w:eastAsia="en-US"/>
              </w:rPr>
            </w:pPr>
            <w:r>
              <w:rPr>
                <w:b/>
                <w:bCs/>
                <w:lang w:val="hu-HU" w:eastAsia="en-US"/>
              </w:rPr>
              <w:t>ENABLE 1</w:t>
            </w:r>
            <w:r>
              <w:rPr>
                <w:b/>
                <w:bCs/>
                <w:vertAlign w:val="superscript"/>
                <w:lang w:val="hu-HU" w:eastAsia="en-US"/>
              </w:rPr>
              <w:t>a</w:t>
            </w:r>
          </w:p>
        </w:tc>
        <w:tc>
          <w:tcPr>
            <w:tcW w:w="2377" w:type="dxa"/>
            <w:gridSpan w:val="2"/>
            <w:tcBorders>
              <w:top w:val="single" w:sz="4" w:space="0" w:color="000000"/>
              <w:left w:val="single" w:sz="4" w:space="0" w:color="000000"/>
              <w:bottom w:val="single" w:sz="4" w:space="0" w:color="000000"/>
              <w:right w:val="single" w:sz="4" w:space="0" w:color="000000"/>
            </w:tcBorders>
          </w:tcPr>
          <w:p w14:paraId="3566BFB8" w14:textId="77777777" w:rsidR="00342CEA" w:rsidRDefault="00837BAB">
            <w:pPr>
              <w:widowControl w:val="0"/>
              <w:jc w:val="center"/>
              <w:rPr>
                <w:lang w:val="hu-HU" w:eastAsia="en-US"/>
              </w:rPr>
            </w:pPr>
            <w:r>
              <w:rPr>
                <w:b/>
                <w:bCs/>
                <w:lang w:val="hu-HU" w:eastAsia="en-US"/>
              </w:rPr>
              <w:t>ENABLE 2</w:t>
            </w:r>
            <w:r>
              <w:rPr>
                <w:b/>
                <w:bCs/>
                <w:vertAlign w:val="superscript"/>
                <w:lang w:val="hu-HU" w:eastAsia="en-US"/>
              </w:rPr>
              <w:t>b</w:t>
            </w:r>
          </w:p>
        </w:tc>
      </w:tr>
      <w:tr w:rsidR="00342CEA" w14:paraId="3CCD2E3B" w14:textId="77777777">
        <w:trPr>
          <w:trHeight w:val="1022"/>
        </w:trPr>
        <w:tc>
          <w:tcPr>
            <w:tcW w:w="1943" w:type="dxa"/>
            <w:tcBorders>
              <w:top w:val="single" w:sz="4" w:space="0" w:color="000000"/>
              <w:left w:val="single" w:sz="4" w:space="0" w:color="000000"/>
              <w:bottom w:val="single" w:sz="4" w:space="0" w:color="000000"/>
              <w:right w:val="single" w:sz="4" w:space="0" w:color="000000"/>
            </w:tcBorders>
          </w:tcPr>
          <w:p w14:paraId="41DB0644" w14:textId="77777777" w:rsidR="00342CEA" w:rsidRDefault="00837BAB">
            <w:pPr>
              <w:tabs>
                <w:tab w:val="clear" w:pos="567"/>
              </w:tabs>
              <w:autoSpaceDE w:val="0"/>
              <w:autoSpaceDN w:val="0"/>
              <w:spacing w:line="240" w:lineRule="auto"/>
              <w:rPr>
                <w:lang w:val="hu-HU" w:eastAsia="en-US"/>
              </w:rPr>
            </w:pPr>
            <w:r>
              <w:rPr>
                <w:lang w:val="hu-HU" w:eastAsia="en-GB"/>
              </w:rPr>
              <w:t>A vérlemezkeszám célértéket elérő és antivirális terápiát megkezdő betegek</w:t>
            </w:r>
            <w:r>
              <w:rPr>
                <w:b/>
                <w:bCs/>
                <w:vertAlign w:val="superscript"/>
                <w:lang w:val="hu-HU" w:eastAsia="en-US"/>
              </w:rPr>
              <w:t>c</w:t>
            </w:r>
          </w:p>
        </w:tc>
        <w:tc>
          <w:tcPr>
            <w:tcW w:w="2484" w:type="dxa"/>
            <w:gridSpan w:val="2"/>
            <w:tcBorders>
              <w:top w:val="single" w:sz="4" w:space="0" w:color="000000"/>
              <w:left w:val="single" w:sz="4" w:space="0" w:color="000000"/>
              <w:bottom w:val="single" w:sz="4" w:space="0" w:color="000000"/>
              <w:right w:val="single" w:sz="4" w:space="0" w:color="000000"/>
            </w:tcBorders>
          </w:tcPr>
          <w:p w14:paraId="0A8C2B0F" w14:textId="77777777" w:rsidR="00342CEA" w:rsidRDefault="00342CEA">
            <w:pPr>
              <w:widowControl w:val="0"/>
              <w:jc w:val="center"/>
              <w:rPr>
                <w:lang w:val="hu-HU" w:eastAsia="en-US"/>
              </w:rPr>
            </w:pPr>
          </w:p>
          <w:p w14:paraId="3E5C9572" w14:textId="77777777" w:rsidR="00342CEA" w:rsidRDefault="00837BAB">
            <w:pPr>
              <w:widowControl w:val="0"/>
              <w:jc w:val="center"/>
              <w:rPr>
                <w:lang w:val="hu-HU" w:eastAsia="en-US"/>
              </w:rPr>
            </w:pPr>
            <w:r>
              <w:rPr>
                <w:lang w:val="hu-HU" w:eastAsia="en-US"/>
              </w:rPr>
              <w:t>1439/1520 (95%)</w:t>
            </w:r>
          </w:p>
        </w:tc>
        <w:tc>
          <w:tcPr>
            <w:tcW w:w="2377" w:type="dxa"/>
            <w:gridSpan w:val="2"/>
            <w:tcBorders>
              <w:top w:val="single" w:sz="4" w:space="0" w:color="000000"/>
              <w:left w:val="single" w:sz="4" w:space="0" w:color="000000"/>
              <w:bottom w:val="single" w:sz="4" w:space="0" w:color="000000"/>
              <w:right w:val="single" w:sz="4" w:space="0" w:color="000000"/>
            </w:tcBorders>
          </w:tcPr>
          <w:p w14:paraId="00DE1CB2" w14:textId="77777777" w:rsidR="00342CEA" w:rsidRDefault="00342CEA">
            <w:pPr>
              <w:widowControl w:val="0"/>
              <w:jc w:val="center"/>
              <w:rPr>
                <w:lang w:val="hu-HU" w:eastAsia="en-US"/>
              </w:rPr>
            </w:pPr>
          </w:p>
          <w:p w14:paraId="63FF89D1" w14:textId="77777777" w:rsidR="00342CEA" w:rsidRDefault="00837BAB">
            <w:pPr>
              <w:widowControl w:val="0"/>
              <w:jc w:val="center"/>
              <w:rPr>
                <w:lang w:val="hu-HU" w:eastAsia="en-US"/>
              </w:rPr>
            </w:pPr>
            <w:r>
              <w:rPr>
                <w:lang w:val="hu-HU" w:eastAsia="en-US"/>
              </w:rPr>
              <w:t>680/715 (95%)</w:t>
            </w:r>
          </w:p>
        </w:tc>
        <w:tc>
          <w:tcPr>
            <w:tcW w:w="2377" w:type="dxa"/>
            <w:gridSpan w:val="2"/>
            <w:tcBorders>
              <w:top w:val="single" w:sz="4" w:space="0" w:color="000000"/>
              <w:left w:val="single" w:sz="4" w:space="0" w:color="000000"/>
              <w:bottom w:val="single" w:sz="4" w:space="0" w:color="000000"/>
              <w:right w:val="single" w:sz="4" w:space="0" w:color="000000"/>
            </w:tcBorders>
          </w:tcPr>
          <w:p w14:paraId="5D56F6C2" w14:textId="77777777" w:rsidR="00342CEA" w:rsidRDefault="00342CEA">
            <w:pPr>
              <w:widowControl w:val="0"/>
              <w:jc w:val="center"/>
              <w:rPr>
                <w:lang w:val="hu-HU" w:eastAsia="en-US"/>
              </w:rPr>
            </w:pPr>
          </w:p>
          <w:p w14:paraId="6C4561FE" w14:textId="77777777" w:rsidR="00342CEA" w:rsidRDefault="00837BAB">
            <w:pPr>
              <w:widowControl w:val="0"/>
              <w:jc w:val="center"/>
              <w:rPr>
                <w:lang w:val="hu-HU" w:eastAsia="en-US"/>
              </w:rPr>
            </w:pPr>
            <w:r>
              <w:rPr>
                <w:lang w:val="hu-HU" w:eastAsia="en-US"/>
              </w:rPr>
              <w:t>759/805 (94%)</w:t>
            </w:r>
          </w:p>
        </w:tc>
      </w:tr>
      <w:tr w:rsidR="00342CEA" w14:paraId="6F04E057" w14:textId="77777777">
        <w:trPr>
          <w:trHeight w:val="217"/>
        </w:trPr>
        <w:tc>
          <w:tcPr>
            <w:tcW w:w="1943" w:type="dxa"/>
            <w:tcBorders>
              <w:top w:val="single" w:sz="4" w:space="0" w:color="000000"/>
              <w:left w:val="single" w:sz="4" w:space="0" w:color="000000"/>
              <w:bottom w:val="single" w:sz="4" w:space="0" w:color="000000"/>
              <w:right w:val="single" w:sz="4" w:space="0" w:color="000000"/>
            </w:tcBorders>
          </w:tcPr>
          <w:p w14:paraId="26736913" w14:textId="77777777" w:rsidR="00342CEA" w:rsidRDefault="00837BAB">
            <w:pPr>
              <w:widowControl w:val="0"/>
              <w:rPr>
                <w:lang w:val="hu-HU" w:eastAsia="en-US"/>
              </w:rPr>
            </w:pPr>
            <w:r>
              <w:rPr>
                <w:lang w:val="hu-HU" w:eastAsia="en-US"/>
              </w:rP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3492B700" w14:textId="77777777" w:rsidR="00342CEA" w:rsidRDefault="00837BAB">
            <w:pPr>
              <w:widowControl w:val="0"/>
              <w:jc w:val="center"/>
              <w:rPr>
                <w:lang w:val="hu-HU" w:eastAsia="en-US"/>
              </w:rPr>
            </w:pPr>
            <w:r>
              <w:rPr>
                <w:b/>
                <w:bCs/>
                <w:lang w:val="hu-HU" w:eastAsia="en-US"/>
              </w:rPr>
              <w:t>Eltrombopag</w:t>
            </w:r>
          </w:p>
        </w:tc>
        <w:tc>
          <w:tcPr>
            <w:tcW w:w="1044" w:type="dxa"/>
            <w:tcBorders>
              <w:top w:val="single" w:sz="4" w:space="0" w:color="000000"/>
              <w:left w:val="single" w:sz="4" w:space="0" w:color="000000"/>
              <w:bottom w:val="single" w:sz="4" w:space="0" w:color="000000"/>
              <w:right w:val="single" w:sz="4" w:space="0" w:color="000000"/>
            </w:tcBorders>
          </w:tcPr>
          <w:p w14:paraId="7B833E35" w14:textId="77777777" w:rsidR="00342CEA" w:rsidRDefault="00837BAB">
            <w:pPr>
              <w:widowControl w:val="0"/>
              <w:jc w:val="center"/>
              <w:rPr>
                <w:lang w:val="hu-HU" w:eastAsia="en-US"/>
              </w:rPr>
            </w:pPr>
            <w:r>
              <w:rPr>
                <w:b/>
                <w:bCs/>
                <w:lang w:val="hu-HU" w:eastAsia="en-US"/>
              </w:rPr>
              <w:t>Placebo</w:t>
            </w:r>
          </w:p>
        </w:tc>
        <w:tc>
          <w:tcPr>
            <w:tcW w:w="1440" w:type="dxa"/>
            <w:tcBorders>
              <w:top w:val="single" w:sz="4" w:space="0" w:color="000000"/>
              <w:left w:val="single" w:sz="4" w:space="0" w:color="000000"/>
              <w:bottom w:val="single" w:sz="4" w:space="0" w:color="000000"/>
              <w:right w:val="single" w:sz="4" w:space="0" w:color="000000"/>
            </w:tcBorders>
          </w:tcPr>
          <w:p w14:paraId="74F674D5" w14:textId="77777777" w:rsidR="00342CEA" w:rsidRDefault="00837BAB">
            <w:pPr>
              <w:widowControl w:val="0"/>
              <w:jc w:val="center"/>
              <w:rPr>
                <w:lang w:val="hu-HU" w:eastAsia="en-US"/>
              </w:rPr>
            </w:pPr>
            <w:r>
              <w:rPr>
                <w:b/>
                <w:bCs/>
                <w:lang w:val="hu-HU" w:eastAsia="en-US"/>
              </w:rPr>
              <w:t>Eltrombopag</w:t>
            </w:r>
          </w:p>
        </w:tc>
        <w:tc>
          <w:tcPr>
            <w:tcW w:w="937" w:type="dxa"/>
            <w:tcBorders>
              <w:top w:val="single" w:sz="4" w:space="0" w:color="000000"/>
              <w:left w:val="single" w:sz="4" w:space="0" w:color="000000"/>
              <w:bottom w:val="single" w:sz="4" w:space="0" w:color="000000"/>
              <w:right w:val="single" w:sz="4" w:space="0" w:color="000000"/>
            </w:tcBorders>
          </w:tcPr>
          <w:p w14:paraId="2DECF9B4" w14:textId="77777777" w:rsidR="00342CEA" w:rsidRDefault="00837BAB">
            <w:pPr>
              <w:widowControl w:val="0"/>
              <w:jc w:val="center"/>
              <w:rPr>
                <w:lang w:val="hu-HU" w:eastAsia="en-US"/>
              </w:rPr>
            </w:pPr>
            <w:r>
              <w:rPr>
                <w:b/>
                <w:bCs/>
                <w:lang w:val="hu-HU" w:eastAsia="en-US"/>
              </w:rPr>
              <w:t>Placebo</w:t>
            </w:r>
          </w:p>
        </w:tc>
        <w:tc>
          <w:tcPr>
            <w:tcW w:w="1440" w:type="dxa"/>
            <w:tcBorders>
              <w:top w:val="single" w:sz="4" w:space="0" w:color="000000"/>
              <w:left w:val="single" w:sz="4" w:space="0" w:color="000000"/>
              <w:bottom w:val="single" w:sz="4" w:space="0" w:color="000000"/>
              <w:right w:val="single" w:sz="4" w:space="0" w:color="000000"/>
            </w:tcBorders>
          </w:tcPr>
          <w:p w14:paraId="77343EA3" w14:textId="77777777" w:rsidR="00342CEA" w:rsidRDefault="00837BAB">
            <w:pPr>
              <w:widowControl w:val="0"/>
              <w:jc w:val="center"/>
              <w:rPr>
                <w:lang w:val="hu-HU" w:eastAsia="en-US"/>
              </w:rPr>
            </w:pPr>
            <w:r>
              <w:rPr>
                <w:b/>
                <w:bCs/>
                <w:lang w:val="hu-HU" w:eastAsia="en-US"/>
              </w:rPr>
              <w:t>Eltrombopag</w:t>
            </w:r>
          </w:p>
        </w:tc>
        <w:tc>
          <w:tcPr>
            <w:tcW w:w="937" w:type="dxa"/>
            <w:tcBorders>
              <w:top w:val="single" w:sz="4" w:space="0" w:color="000000"/>
              <w:left w:val="single" w:sz="4" w:space="0" w:color="000000"/>
              <w:bottom w:val="single" w:sz="4" w:space="0" w:color="000000"/>
              <w:right w:val="single" w:sz="4" w:space="0" w:color="000000"/>
            </w:tcBorders>
          </w:tcPr>
          <w:p w14:paraId="2A53E1A9" w14:textId="77777777" w:rsidR="00342CEA" w:rsidRDefault="00837BAB">
            <w:pPr>
              <w:widowControl w:val="0"/>
              <w:jc w:val="center"/>
              <w:rPr>
                <w:lang w:val="hu-HU" w:eastAsia="en-US"/>
              </w:rPr>
            </w:pPr>
            <w:r>
              <w:rPr>
                <w:b/>
                <w:bCs/>
                <w:lang w:val="hu-HU" w:eastAsia="en-US"/>
              </w:rPr>
              <w:t>Placebo</w:t>
            </w:r>
          </w:p>
        </w:tc>
      </w:tr>
      <w:tr w:rsidR="00342CEA" w14:paraId="7EE3B727" w14:textId="77777777">
        <w:trPr>
          <w:trHeight w:val="1022"/>
        </w:trPr>
        <w:tc>
          <w:tcPr>
            <w:tcW w:w="1943" w:type="dxa"/>
            <w:tcBorders>
              <w:top w:val="single" w:sz="4" w:space="0" w:color="000000"/>
              <w:left w:val="single" w:sz="4" w:space="0" w:color="000000"/>
              <w:bottom w:val="single" w:sz="4" w:space="0" w:color="000000"/>
              <w:right w:val="single" w:sz="4" w:space="0" w:color="000000"/>
            </w:tcBorders>
          </w:tcPr>
          <w:p w14:paraId="291F628B" w14:textId="77777777" w:rsidR="00342CEA" w:rsidRDefault="00837BAB">
            <w:pPr>
              <w:tabs>
                <w:tab w:val="clear" w:pos="567"/>
              </w:tabs>
              <w:autoSpaceDE w:val="0"/>
              <w:autoSpaceDN w:val="0"/>
              <w:spacing w:line="240" w:lineRule="auto"/>
              <w:rPr>
                <w:lang w:val="hu-HU" w:eastAsia="en-US"/>
              </w:rPr>
            </w:pPr>
            <w:r>
              <w:rPr>
                <w:b/>
                <w:bCs/>
                <w:lang w:val="hu-HU" w:eastAsia="en-GB"/>
              </w:rPr>
              <w:t xml:space="preserve">Az antivirális kezelési </w:t>
            </w:r>
            <w:r>
              <w:rPr>
                <w:rFonts w:eastAsia="TimesNewRomanPS-BoldMT"/>
                <w:b/>
                <w:bCs/>
                <w:lang w:val="hu-HU" w:eastAsia="en-GB"/>
              </w:rPr>
              <w:t xml:space="preserve">fázisba belépő betegek </w:t>
            </w:r>
            <w:r>
              <w:rPr>
                <w:b/>
                <w:bCs/>
                <w:lang w:val="hu-HU" w:eastAsia="en-GB"/>
              </w:rPr>
              <w:t>teljes száma</w:t>
            </w:r>
          </w:p>
        </w:tc>
        <w:tc>
          <w:tcPr>
            <w:tcW w:w="1440" w:type="dxa"/>
            <w:tcBorders>
              <w:top w:val="single" w:sz="4" w:space="0" w:color="000000"/>
              <w:left w:val="single" w:sz="4" w:space="0" w:color="000000"/>
              <w:bottom w:val="single" w:sz="4" w:space="0" w:color="000000"/>
              <w:right w:val="single" w:sz="4" w:space="0" w:color="000000"/>
            </w:tcBorders>
          </w:tcPr>
          <w:p w14:paraId="34142891" w14:textId="77777777" w:rsidR="00342CEA" w:rsidRDefault="00837BAB">
            <w:pPr>
              <w:widowControl w:val="0"/>
              <w:jc w:val="center"/>
              <w:rPr>
                <w:lang w:val="hu-HU" w:eastAsia="en-US"/>
              </w:rPr>
            </w:pPr>
            <w:r>
              <w:rPr>
                <w:b/>
                <w:bCs/>
                <w:lang w:val="hu-HU" w:eastAsia="en-US"/>
              </w:rPr>
              <w:t>n = 956</w:t>
            </w:r>
          </w:p>
        </w:tc>
        <w:tc>
          <w:tcPr>
            <w:tcW w:w="1044" w:type="dxa"/>
            <w:tcBorders>
              <w:top w:val="single" w:sz="4" w:space="0" w:color="000000"/>
              <w:left w:val="single" w:sz="4" w:space="0" w:color="000000"/>
              <w:bottom w:val="single" w:sz="4" w:space="0" w:color="000000"/>
              <w:right w:val="single" w:sz="4" w:space="0" w:color="000000"/>
            </w:tcBorders>
          </w:tcPr>
          <w:p w14:paraId="046513C1" w14:textId="77777777" w:rsidR="00342CEA" w:rsidRDefault="00837BAB">
            <w:pPr>
              <w:widowControl w:val="0"/>
              <w:jc w:val="center"/>
              <w:rPr>
                <w:lang w:val="hu-HU" w:eastAsia="en-US"/>
              </w:rPr>
            </w:pPr>
            <w:r>
              <w:rPr>
                <w:b/>
                <w:bCs/>
                <w:lang w:val="hu-HU" w:eastAsia="en-US"/>
              </w:rPr>
              <w:t>n = 485</w:t>
            </w:r>
          </w:p>
        </w:tc>
        <w:tc>
          <w:tcPr>
            <w:tcW w:w="1440" w:type="dxa"/>
            <w:tcBorders>
              <w:top w:val="single" w:sz="4" w:space="0" w:color="000000"/>
              <w:left w:val="single" w:sz="4" w:space="0" w:color="000000"/>
              <w:bottom w:val="single" w:sz="4" w:space="0" w:color="000000"/>
              <w:right w:val="single" w:sz="4" w:space="0" w:color="000000"/>
            </w:tcBorders>
          </w:tcPr>
          <w:p w14:paraId="34B374C2" w14:textId="77777777" w:rsidR="00342CEA" w:rsidRDefault="00837BAB">
            <w:pPr>
              <w:widowControl w:val="0"/>
              <w:jc w:val="center"/>
              <w:rPr>
                <w:lang w:val="hu-HU" w:eastAsia="en-US"/>
              </w:rPr>
            </w:pPr>
            <w:r>
              <w:rPr>
                <w:b/>
                <w:bCs/>
                <w:lang w:val="hu-HU" w:eastAsia="en-US"/>
              </w:rPr>
              <w:t>n = 450</w:t>
            </w:r>
          </w:p>
        </w:tc>
        <w:tc>
          <w:tcPr>
            <w:tcW w:w="937" w:type="dxa"/>
            <w:tcBorders>
              <w:top w:val="single" w:sz="4" w:space="0" w:color="000000"/>
              <w:left w:val="single" w:sz="4" w:space="0" w:color="000000"/>
              <w:bottom w:val="single" w:sz="4" w:space="0" w:color="000000"/>
              <w:right w:val="single" w:sz="4" w:space="0" w:color="000000"/>
            </w:tcBorders>
          </w:tcPr>
          <w:p w14:paraId="6392FF4E" w14:textId="77777777" w:rsidR="00342CEA" w:rsidRDefault="00837BAB">
            <w:pPr>
              <w:widowControl w:val="0"/>
              <w:jc w:val="center"/>
              <w:rPr>
                <w:lang w:val="hu-HU" w:eastAsia="en-US"/>
              </w:rPr>
            </w:pPr>
            <w:r>
              <w:rPr>
                <w:b/>
                <w:bCs/>
                <w:lang w:val="hu-HU" w:eastAsia="en-US"/>
              </w:rPr>
              <w:t>n = 232</w:t>
            </w:r>
          </w:p>
        </w:tc>
        <w:tc>
          <w:tcPr>
            <w:tcW w:w="1440" w:type="dxa"/>
            <w:tcBorders>
              <w:top w:val="single" w:sz="4" w:space="0" w:color="000000"/>
              <w:left w:val="single" w:sz="4" w:space="0" w:color="000000"/>
              <w:bottom w:val="single" w:sz="4" w:space="0" w:color="000000"/>
              <w:right w:val="single" w:sz="4" w:space="0" w:color="000000"/>
            </w:tcBorders>
          </w:tcPr>
          <w:p w14:paraId="19594275" w14:textId="77777777" w:rsidR="00342CEA" w:rsidRDefault="00837BAB">
            <w:pPr>
              <w:widowControl w:val="0"/>
              <w:jc w:val="center"/>
              <w:rPr>
                <w:lang w:val="hu-HU" w:eastAsia="en-US"/>
              </w:rPr>
            </w:pPr>
            <w:r>
              <w:rPr>
                <w:b/>
                <w:bCs/>
                <w:lang w:val="hu-HU" w:eastAsia="en-US"/>
              </w:rPr>
              <w:t>n = 506</w:t>
            </w:r>
          </w:p>
        </w:tc>
        <w:tc>
          <w:tcPr>
            <w:tcW w:w="937" w:type="dxa"/>
            <w:tcBorders>
              <w:top w:val="single" w:sz="4" w:space="0" w:color="000000"/>
              <w:left w:val="single" w:sz="4" w:space="0" w:color="000000"/>
              <w:bottom w:val="single" w:sz="4" w:space="0" w:color="000000"/>
              <w:right w:val="single" w:sz="4" w:space="0" w:color="000000"/>
            </w:tcBorders>
          </w:tcPr>
          <w:p w14:paraId="1057444B" w14:textId="77777777" w:rsidR="00342CEA" w:rsidRDefault="00837BAB">
            <w:pPr>
              <w:widowControl w:val="0"/>
              <w:jc w:val="center"/>
              <w:rPr>
                <w:lang w:val="hu-HU" w:eastAsia="en-US"/>
              </w:rPr>
            </w:pPr>
            <w:r>
              <w:rPr>
                <w:b/>
                <w:bCs/>
                <w:lang w:val="hu-HU" w:eastAsia="en-US"/>
              </w:rPr>
              <w:t>n = 253</w:t>
            </w:r>
          </w:p>
        </w:tc>
      </w:tr>
      <w:tr w:rsidR="00342CEA" w14:paraId="45200D18"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00F63F12" w14:textId="77777777" w:rsidR="00342CEA" w:rsidRDefault="00342CEA">
            <w:pPr>
              <w:widowControl w:val="0"/>
              <w:rPr>
                <w:lang w:val="hu-HU" w:eastAsia="en-US"/>
              </w:rPr>
            </w:pPr>
          </w:p>
        </w:tc>
        <w:tc>
          <w:tcPr>
            <w:tcW w:w="7238" w:type="dxa"/>
            <w:gridSpan w:val="6"/>
            <w:tcBorders>
              <w:top w:val="single" w:sz="4" w:space="0" w:color="000000"/>
              <w:left w:val="single" w:sz="4" w:space="0" w:color="000000"/>
              <w:bottom w:val="single" w:sz="4" w:space="0" w:color="000000"/>
              <w:right w:val="single" w:sz="4" w:space="0" w:color="000000"/>
            </w:tcBorders>
          </w:tcPr>
          <w:p w14:paraId="01DE383C" w14:textId="77777777" w:rsidR="00342CEA" w:rsidRDefault="00837BAB">
            <w:pPr>
              <w:widowControl w:val="0"/>
              <w:jc w:val="center"/>
              <w:rPr>
                <w:lang w:val="hu-HU" w:eastAsia="en-US"/>
              </w:rPr>
            </w:pPr>
            <w:r>
              <w:rPr>
                <w:b/>
                <w:bCs/>
                <w:lang w:val="hu-HU" w:eastAsia="en-GB"/>
              </w:rPr>
              <w:t>Virológiai választ mutató betegek %-a</w:t>
            </w:r>
          </w:p>
        </w:tc>
      </w:tr>
      <w:tr w:rsidR="00342CEA" w14:paraId="2ACFD466"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9A33900" w14:textId="77777777" w:rsidR="00342CEA" w:rsidRDefault="00837BAB">
            <w:pPr>
              <w:widowControl w:val="0"/>
              <w:rPr>
                <w:lang w:val="hu-HU" w:eastAsia="en-US"/>
              </w:rPr>
            </w:pPr>
            <w:r>
              <w:rPr>
                <w:b/>
                <w:bCs/>
                <w:lang w:val="hu-HU" w:eastAsia="en-US"/>
              </w:rPr>
              <w:t>Teljes SVR</w:t>
            </w:r>
            <w:r>
              <w:rPr>
                <w:vertAlign w:val="superscript"/>
                <w:lang w:val="hu-HU" w:eastAsia="en-US"/>
              </w:rPr>
              <w:t xml:space="preserve"> d</w:t>
            </w:r>
          </w:p>
        </w:tc>
        <w:tc>
          <w:tcPr>
            <w:tcW w:w="1440" w:type="dxa"/>
            <w:tcBorders>
              <w:top w:val="single" w:sz="4" w:space="0" w:color="000000"/>
              <w:left w:val="single" w:sz="4" w:space="0" w:color="000000"/>
              <w:bottom w:val="single" w:sz="4" w:space="0" w:color="000000"/>
              <w:right w:val="single" w:sz="4" w:space="0" w:color="000000"/>
            </w:tcBorders>
          </w:tcPr>
          <w:p w14:paraId="05CEC072" w14:textId="77777777" w:rsidR="00342CEA" w:rsidRDefault="00837BAB">
            <w:pPr>
              <w:widowControl w:val="0"/>
              <w:jc w:val="center"/>
              <w:rPr>
                <w:lang w:val="hu-HU" w:eastAsia="en-US"/>
              </w:rPr>
            </w:pPr>
            <w:r>
              <w:rPr>
                <w:lang w:val="hu-HU" w:eastAsia="en-US"/>
              </w:rPr>
              <w:t>21</w:t>
            </w:r>
          </w:p>
        </w:tc>
        <w:tc>
          <w:tcPr>
            <w:tcW w:w="1044" w:type="dxa"/>
            <w:tcBorders>
              <w:top w:val="single" w:sz="4" w:space="0" w:color="000000"/>
              <w:left w:val="single" w:sz="4" w:space="0" w:color="000000"/>
              <w:bottom w:val="single" w:sz="4" w:space="0" w:color="000000"/>
              <w:right w:val="single" w:sz="4" w:space="0" w:color="000000"/>
            </w:tcBorders>
          </w:tcPr>
          <w:p w14:paraId="67B98A3D" w14:textId="77777777" w:rsidR="00342CEA" w:rsidRDefault="00837BAB">
            <w:pPr>
              <w:widowControl w:val="0"/>
              <w:jc w:val="center"/>
              <w:rPr>
                <w:lang w:val="hu-HU" w:eastAsia="en-US"/>
              </w:rPr>
            </w:pPr>
            <w:r>
              <w:rPr>
                <w:lang w:val="hu-HU" w:eastAsia="en-US"/>
              </w:rPr>
              <w:t>13</w:t>
            </w:r>
          </w:p>
        </w:tc>
        <w:tc>
          <w:tcPr>
            <w:tcW w:w="1440" w:type="dxa"/>
            <w:tcBorders>
              <w:top w:val="single" w:sz="4" w:space="0" w:color="000000"/>
              <w:left w:val="single" w:sz="4" w:space="0" w:color="000000"/>
              <w:bottom w:val="single" w:sz="4" w:space="0" w:color="000000"/>
              <w:right w:val="single" w:sz="4" w:space="0" w:color="000000"/>
            </w:tcBorders>
          </w:tcPr>
          <w:p w14:paraId="53F9222C" w14:textId="77777777" w:rsidR="00342CEA" w:rsidRDefault="00837BAB">
            <w:pPr>
              <w:widowControl w:val="0"/>
              <w:jc w:val="center"/>
              <w:rPr>
                <w:lang w:val="hu-HU" w:eastAsia="en-US"/>
              </w:rPr>
            </w:pPr>
            <w:r>
              <w:rPr>
                <w:lang w:val="hu-HU" w:eastAsia="en-US"/>
              </w:rPr>
              <w:t>23</w:t>
            </w:r>
          </w:p>
        </w:tc>
        <w:tc>
          <w:tcPr>
            <w:tcW w:w="937" w:type="dxa"/>
            <w:tcBorders>
              <w:top w:val="single" w:sz="4" w:space="0" w:color="000000"/>
              <w:left w:val="single" w:sz="4" w:space="0" w:color="000000"/>
              <w:bottom w:val="single" w:sz="4" w:space="0" w:color="000000"/>
              <w:right w:val="single" w:sz="4" w:space="0" w:color="000000"/>
            </w:tcBorders>
          </w:tcPr>
          <w:p w14:paraId="17A0CDED" w14:textId="77777777" w:rsidR="00342CEA" w:rsidRDefault="00837BAB">
            <w:pPr>
              <w:widowControl w:val="0"/>
              <w:jc w:val="center"/>
              <w:rPr>
                <w:lang w:val="hu-HU" w:eastAsia="en-US"/>
              </w:rPr>
            </w:pPr>
            <w:r>
              <w:rPr>
                <w:lang w:val="hu-HU" w:eastAsia="en-US"/>
              </w:rPr>
              <w:t>14</w:t>
            </w:r>
          </w:p>
        </w:tc>
        <w:tc>
          <w:tcPr>
            <w:tcW w:w="1440" w:type="dxa"/>
            <w:tcBorders>
              <w:top w:val="single" w:sz="4" w:space="0" w:color="000000"/>
              <w:left w:val="single" w:sz="4" w:space="0" w:color="000000"/>
              <w:bottom w:val="single" w:sz="4" w:space="0" w:color="000000"/>
              <w:right w:val="single" w:sz="4" w:space="0" w:color="000000"/>
            </w:tcBorders>
          </w:tcPr>
          <w:p w14:paraId="0F08ABB5" w14:textId="77777777" w:rsidR="00342CEA" w:rsidRDefault="00837BAB">
            <w:pPr>
              <w:widowControl w:val="0"/>
              <w:jc w:val="center"/>
              <w:rPr>
                <w:lang w:val="hu-HU" w:eastAsia="en-US"/>
              </w:rPr>
            </w:pPr>
            <w:r>
              <w:rPr>
                <w:lang w:val="hu-HU" w:eastAsia="en-US"/>
              </w:rPr>
              <w:t>19</w:t>
            </w:r>
          </w:p>
        </w:tc>
        <w:tc>
          <w:tcPr>
            <w:tcW w:w="937" w:type="dxa"/>
            <w:tcBorders>
              <w:top w:val="single" w:sz="4" w:space="0" w:color="000000"/>
              <w:left w:val="single" w:sz="4" w:space="0" w:color="000000"/>
              <w:bottom w:val="single" w:sz="4" w:space="0" w:color="000000"/>
              <w:right w:val="single" w:sz="4" w:space="0" w:color="000000"/>
            </w:tcBorders>
          </w:tcPr>
          <w:p w14:paraId="5AAFF17B" w14:textId="77777777" w:rsidR="00342CEA" w:rsidRDefault="00837BAB">
            <w:pPr>
              <w:widowControl w:val="0"/>
              <w:jc w:val="center"/>
              <w:rPr>
                <w:lang w:val="hu-HU" w:eastAsia="en-US"/>
              </w:rPr>
            </w:pPr>
            <w:r>
              <w:rPr>
                <w:lang w:val="hu-HU" w:eastAsia="en-US"/>
              </w:rPr>
              <w:t>13</w:t>
            </w:r>
          </w:p>
        </w:tc>
      </w:tr>
      <w:tr w:rsidR="00342CEA" w14:paraId="31EFED03"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0214294C" w14:textId="77777777" w:rsidR="00342CEA" w:rsidRDefault="00837BAB">
            <w:pPr>
              <w:widowControl w:val="0"/>
              <w:ind w:right="-165"/>
              <w:rPr>
                <w:lang w:val="hu-HU" w:eastAsia="en-US"/>
              </w:rPr>
            </w:pPr>
            <w:r>
              <w:rPr>
                <w:i/>
                <w:lang w:val="hu-HU" w:eastAsia="en-US"/>
              </w:rPr>
              <w:t xml:space="preserve">HCV RNS genotípus </w:t>
            </w:r>
          </w:p>
        </w:tc>
        <w:tc>
          <w:tcPr>
            <w:tcW w:w="1440" w:type="dxa"/>
            <w:tcBorders>
              <w:top w:val="single" w:sz="4" w:space="0" w:color="000000"/>
              <w:left w:val="single" w:sz="4" w:space="0" w:color="000000"/>
              <w:bottom w:val="single" w:sz="4" w:space="0" w:color="000000"/>
              <w:right w:val="single" w:sz="4" w:space="0" w:color="000000"/>
            </w:tcBorders>
          </w:tcPr>
          <w:p w14:paraId="5A80ECB9" w14:textId="77777777" w:rsidR="00342CEA" w:rsidRDefault="00342CEA">
            <w:pPr>
              <w:widowControl w:val="0"/>
              <w:jc w:val="center"/>
              <w:rPr>
                <w:lang w:val="hu-HU" w:eastAsia="en-US"/>
              </w:rPr>
            </w:pPr>
          </w:p>
        </w:tc>
        <w:tc>
          <w:tcPr>
            <w:tcW w:w="1044" w:type="dxa"/>
            <w:tcBorders>
              <w:top w:val="single" w:sz="4" w:space="0" w:color="000000"/>
              <w:left w:val="single" w:sz="4" w:space="0" w:color="000000"/>
              <w:bottom w:val="single" w:sz="4" w:space="0" w:color="000000"/>
              <w:right w:val="single" w:sz="4" w:space="0" w:color="000000"/>
            </w:tcBorders>
          </w:tcPr>
          <w:p w14:paraId="1F06642E" w14:textId="77777777" w:rsidR="00342CEA" w:rsidRDefault="00342CEA">
            <w:pPr>
              <w:widowControl w:val="0"/>
              <w:jc w:val="center"/>
              <w:rPr>
                <w:lang w:val="hu-HU" w:eastAsia="en-US"/>
              </w:rPr>
            </w:pPr>
          </w:p>
        </w:tc>
        <w:tc>
          <w:tcPr>
            <w:tcW w:w="1440" w:type="dxa"/>
            <w:tcBorders>
              <w:top w:val="single" w:sz="4" w:space="0" w:color="000000"/>
              <w:left w:val="single" w:sz="4" w:space="0" w:color="000000"/>
              <w:bottom w:val="single" w:sz="4" w:space="0" w:color="000000"/>
              <w:right w:val="single" w:sz="4" w:space="0" w:color="000000"/>
            </w:tcBorders>
          </w:tcPr>
          <w:p w14:paraId="533E0390" w14:textId="77777777" w:rsidR="00342CEA" w:rsidRDefault="00342CEA">
            <w:pPr>
              <w:widowControl w:val="0"/>
              <w:jc w:val="center"/>
              <w:rPr>
                <w:lang w:val="hu-HU" w:eastAsia="en-US"/>
              </w:rPr>
            </w:pPr>
          </w:p>
        </w:tc>
        <w:tc>
          <w:tcPr>
            <w:tcW w:w="937" w:type="dxa"/>
            <w:tcBorders>
              <w:top w:val="single" w:sz="4" w:space="0" w:color="000000"/>
              <w:left w:val="single" w:sz="4" w:space="0" w:color="000000"/>
              <w:bottom w:val="single" w:sz="4" w:space="0" w:color="000000"/>
              <w:right w:val="single" w:sz="4" w:space="0" w:color="000000"/>
            </w:tcBorders>
          </w:tcPr>
          <w:p w14:paraId="0D1B96C3" w14:textId="77777777" w:rsidR="00342CEA" w:rsidRDefault="00342CEA">
            <w:pPr>
              <w:widowControl w:val="0"/>
              <w:jc w:val="center"/>
              <w:rPr>
                <w:lang w:val="hu-HU" w:eastAsia="en-US"/>
              </w:rPr>
            </w:pPr>
          </w:p>
        </w:tc>
        <w:tc>
          <w:tcPr>
            <w:tcW w:w="1440" w:type="dxa"/>
            <w:tcBorders>
              <w:top w:val="single" w:sz="4" w:space="0" w:color="000000"/>
              <w:left w:val="single" w:sz="4" w:space="0" w:color="000000"/>
              <w:bottom w:val="single" w:sz="4" w:space="0" w:color="000000"/>
              <w:right w:val="single" w:sz="4" w:space="0" w:color="000000"/>
            </w:tcBorders>
          </w:tcPr>
          <w:p w14:paraId="76737C72" w14:textId="77777777" w:rsidR="00342CEA" w:rsidRDefault="00342CEA">
            <w:pPr>
              <w:widowControl w:val="0"/>
              <w:jc w:val="center"/>
              <w:rPr>
                <w:lang w:val="hu-HU" w:eastAsia="en-US"/>
              </w:rPr>
            </w:pPr>
          </w:p>
        </w:tc>
        <w:tc>
          <w:tcPr>
            <w:tcW w:w="937" w:type="dxa"/>
            <w:tcBorders>
              <w:top w:val="single" w:sz="4" w:space="0" w:color="000000"/>
              <w:left w:val="single" w:sz="4" w:space="0" w:color="000000"/>
              <w:bottom w:val="single" w:sz="4" w:space="0" w:color="000000"/>
              <w:right w:val="single" w:sz="4" w:space="0" w:color="000000"/>
            </w:tcBorders>
          </w:tcPr>
          <w:p w14:paraId="477A17CD" w14:textId="77777777" w:rsidR="00342CEA" w:rsidRDefault="00342CEA">
            <w:pPr>
              <w:widowControl w:val="0"/>
              <w:jc w:val="center"/>
              <w:rPr>
                <w:lang w:val="hu-HU" w:eastAsia="en-US"/>
              </w:rPr>
            </w:pPr>
          </w:p>
        </w:tc>
      </w:tr>
      <w:tr w:rsidR="00342CEA" w14:paraId="1586EC8C"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5C646840" w14:textId="77777777" w:rsidR="00342CEA" w:rsidRDefault="00837BAB">
            <w:pPr>
              <w:widowControl w:val="0"/>
              <w:rPr>
                <w:lang w:val="hu-HU" w:eastAsia="en-US"/>
              </w:rPr>
            </w:pPr>
            <w:r>
              <w:rPr>
                <w:lang w:val="hu-HU" w:eastAsia="en-US"/>
              </w:rPr>
              <w:t>2/3 genotípus</w:t>
            </w:r>
          </w:p>
        </w:tc>
        <w:tc>
          <w:tcPr>
            <w:tcW w:w="1440" w:type="dxa"/>
            <w:tcBorders>
              <w:top w:val="single" w:sz="4" w:space="0" w:color="000000"/>
              <w:left w:val="single" w:sz="4" w:space="0" w:color="000000"/>
              <w:bottom w:val="single" w:sz="4" w:space="0" w:color="000000"/>
              <w:right w:val="single" w:sz="4" w:space="0" w:color="000000"/>
            </w:tcBorders>
          </w:tcPr>
          <w:p w14:paraId="13004920" w14:textId="77777777" w:rsidR="00342CEA" w:rsidRDefault="00837BAB">
            <w:pPr>
              <w:widowControl w:val="0"/>
              <w:jc w:val="center"/>
              <w:rPr>
                <w:lang w:val="hu-HU" w:eastAsia="en-US"/>
              </w:rPr>
            </w:pPr>
            <w:r>
              <w:rPr>
                <w:lang w:val="hu-HU" w:eastAsia="en-US"/>
              </w:rPr>
              <w:t>35</w:t>
            </w:r>
          </w:p>
        </w:tc>
        <w:tc>
          <w:tcPr>
            <w:tcW w:w="1044" w:type="dxa"/>
            <w:tcBorders>
              <w:top w:val="single" w:sz="4" w:space="0" w:color="000000"/>
              <w:left w:val="single" w:sz="4" w:space="0" w:color="000000"/>
              <w:bottom w:val="single" w:sz="4" w:space="0" w:color="000000"/>
              <w:right w:val="single" w:sz="4" w:space="0" w:color="000000"/>
            </w:tcBorders>
          </w:tcPr>
          <w:p w14:paraId="0D021D5B" w14:textId="77777777" w:rsidR="00342CEA" w:rsidRDefault="00837BAB">
            <w:pPr>
              <w:widowControl w:val="0"/>
              <w:jc w:val="center"/>
              <w:rPr>
                <w:lang w:val="hu-HU" w:eastAsia="en-US"/>
              </w:rPr>
            </w:pPr>
            <w:r>
              <w:rPr>
                <w:lang w:val="hu-HU" w:eastAsia="en-US"/>
              </w:rPr>
              <w:t>25</w:t>
            </w:r>
          </w:p>
        </w:tc>
        <w:tc>
          <w:tcPr>
            <w:tcW w:w="1440" w:type="dxa"/>
            <w:tcBorders>
              <w:top w:val="single" w:sz="4" w:space="0" w:color="000000"/>
              <w:left w:val="single" w:sz="4" w:space="0" w:color="000000"/>
              <w:bottom w:val="single" w:sz="4" w:space="0" w:color="000000"/>
              <w:right w:val="single" w:sz="4" w:space="0" w:color="000000"/>
            </w:tcBorders>
          </w:tcPr>
          <w:p w14:paraId="252CDF89" w14:textId="77777777" w:rsidR="00342CEA" w:rsidRDefault="00837BAB">
            <w:pPr>
              <w:widowControl w:val="0"/>
              <w:jc w:val="center"/>
              <w:rPr>
                <w:lang w:val="hu-HU" w:eastAsia="en-US"/>
              </w:rPr>
            </w:pPr>
            <w:r>
              <w:rPr>
                <w:lang w:val="hu-HU" w:eastAsia="en-US"/>
              </w:rPr>
              <w:t>35</w:t>
            </w:r>
          </w:p>
        </w:tc>
        <w:tc>
          <w:tcPr>
            <w:tcW w:w="937" w:type="dxa"/>
            <w:tcBorders>
              <w:top w:val="single" w:sz="4" w:space="0" w:color="000000"/>
              <w:left w:val="single" w:sz="4" w:space="0" w:color="000000"/>
              <w:bottom w:val="single" w:sz="4" w:space="0" w:color="000000"/>
              <w:right w:val="single" w:sz="4" w:space="0" w:color="000000"/>
            </w:tcBorders>
          </w:tcPr>
          <w:p w14:paraId="45885C71" w14:textId="77777777" w:rsidR="00342CEA" w:rsidRDefault="00837BAB">
            <w:pPr>
              <w:widowControl w:val="0"/>
              <w:jc w:val="center"/>
              <w:rPr>
                <w:lang w:val="hu-HU" w:eastAsia="en-US"/>
              </w:rPr>
            </w:pPr>
            <w:r>
              <w:rPr>
                <w:lang w:val="hu-HU" w:eastAsia="en-US"/>
              </w:rPr>
              <w:t>24</w:t>
            </w:r>
          </w:p>
        </w:tc>
        <w:tc>
          <w:tcPr>
            <w:tcW w:w="1440" w:type="dxa"/>
            <w:tcBorders>
              <w:top w:val="single" w:sz="4" w:space="0" w:color="000000"/>
              <w:left w:val="single" w:sz="4" w:space="0" w:color="000000"/>
              <w:bottom w:val="single" w:sz="4" w:space="0" w:color="000000"/>
              <w:right w:val="single" w:sz="4" w:space="0" w:color="000000"/>
            </w:tcBorders>
          </w:tcPr>
          <w:p w14:paraId="1B4F3471" w14:textId="77777777" w:rsidR="00342CEA" w:rsidRDefault="00837BAB">
            <w:pPr>
              <w:widowControl w:val="0"/>
              <w:jc w:val="center"/>
              <w:rPr>
                <w:lang w:val="hu-HU" w:eastAsia="en-US"/>
              </w:rPr>
            </w:pPr>
            <w:r>
              <w:rPr>
                <w:lang w:val="hu-HU" w:eastAsia="en-US"/>
              </w:rPr>
              <w:t>34</w:t>
            </w:r>
          </w:p>
        </w:tc>
        <w:tc>
          <w:tcPr>
            <w:tcW w:w="937" w:type="dxa"/>
            <w:tcBorders>
              <w:top w:val="single" w:sz="4" w:space="0" w:color="000000"/>
              <w:left w:val="single" w:sz="4" w:space="0" w:color="000000"/>
              <w:bottom w:val="single" w:sz="4" w:space="0" w:color="000000"/>
              <w:right w:val="single" w:sz="4" w:space="0" w:color="000000"/>
            </w:tcBorders>
          </w:tcPr>
          <w:p w14:paraId="489BA147" w14:textId="77777777" w:rsidR="00342CEA" w:rsidRDefault="00837BAB">
            <w:pPr>
              <w:widowControl w:val="0"/>
              <w:jc w:val="center"/>
              <w:rPr>
                <w:lang w:val="hu-HU" w:eastAsia="en-US"/>
              </w:rPr>
            </w:pPr>
            <w:r>
              <w:rPr>
                <w:lang w:val="hu-HU" w:eastAsia="en-US"/>
              </w:rPr>
              <w:t>25</w:t>
            </w:r>
          </w:p>
        </w:tc>
      </w:tr>
      <w:tr w:rsidR="00342CEA" w14:paraId="6E2CFF1C" w14:textId="77777777">
        <w:trPr>
          <w:trHeight w:val="264"/>
        </w:trPr>
        <w:tc>
          <w:tcPr>
            <w:tcW w:w="1943" w:type="dxa"/>
            <w:tcBorders>
              <w:top w:val="single" w:sz="4" w:space="0" w:color="000000"/>
              <w:left w:val="single" w:sz="4" w:space="0" w:color="000000"/>
              <w:bottom w:val="single" w:sz="4" w:space="0" w:color="000000"/>
              <w:right w:val="single" w:sz="4" w:space="0" w:color="000000"/>
            </w:tcBorders>
          </w:tcPr>
          <w:p w14:paraId="742D82D5" w14:textId="77777777" w:rsidR="00342CEA" w:rsidRDefault="00837BAB">
            <w:pPr>
              <w:widowControl w:val="0"/>
              <w:rPr>
                <w:lang w:val="hu-HU" w:eastAsia="en-US"/>
              </w:rPr>
            </w:pPr>
            <w:r>
              <w:rPr>
                <w:lang w:val="hu-HU" w:eastAsia="en-US"/>
              </w:rPr>
              <w:t>1/4/6 genotípus</w:t>
            </w:r>
            <w:r>
              <w:rPr>
                <w:vertAlign w:val="superscript"/>
                <w:lang w:val="hu-HU" w:eastAsia="en-US"/>
              </w:rPr>
              <w:t>e</w:t>
            </w:r>
          </w:p>
        </w:tc>
        <w:tc>
          <w:tcPr>
            <w:tcW w:w="1440" w:type="dxa"/>
            <w:tcBorders>
              <w:top w:val="single" w:sz="4" w:space="0" w:color="000000"/>
              <w:left w:val="single" w:sz="4" w:space="0" w:color="000000"/>
              <w:bottom w:val="single" w:sz="4" w:space="0" w:color="000000"/>
              <w:right w:val="single" w:sz="4" w:space="0" w:color="000000"/>
            </w:tcBorders>
          </w:tcPr>
          <w:p w14:paraId="11012CA1" w14:textId="77777777" w:rsidR="00342CEA" w:rsidRDefault="00837BAB">
            <w:pPr>
              <w:widowControl w:val="0"/>
              <w:jc w:val="center"/>
              <w:rPr>
                <w:lang w:val="hu-HU" w:eastAsia="en-US"/>
              </w:rPr>
            </w:pPr>
            <w:r>
              <w:rPr>
                <w:lang w:val="hu-HU" w:eastAsia="en-US"/>
              </w:rPr>
              <w:t>15</w:t>
            </w:r>
          </w:p>
        </w:tc>
        <w:tc>
          <w:tcPr>
            <w:tcW w:w="1044" w:type="dxa"/>
            <w:tcBorders>
              <w:top w:val="single" w:sz="4" w:space="0" w:color="000000"/>
              <w:left w:val="single" w:sz="4" w:space="0" w:color="000000"/>
              <w:bottom w:val="single" w:sz="4" w:space="0" w:color="000000"/>
              <w:right w:val="single" w:sz="4" w:space="0" w:color="000000"/>
            </w:tcBorders>
          </w:tcPr>
          <w:p w14:paraId="7519CAB7" w14:textId="77777777" w:rsidR="00342CEA" w:rsidRDefault="00837BAB">
            <w:pPr>
              <w:widowControl w:val="0"/>
              <w:jc w:val="center"/>
              <w:rPr>
                <w:lang w:val="hu-HU" w:eastAsia="en-US"/>
              </w:rPr>
            </w:pPr>
            <w:r>
              <w:rPr>
                <w:lang w:val="hu-HU" w:eastAsia="en-US"/>
              </w:rPr>
              <w:t>8</w:t>
            </w:r>
          </w:p>
        </w:tc>
        <w:tc>
          <w:tcPr>
            <w:tcW w:w="1440" w:type="dxa"/>
            <w:tcBorders>
              <w:top w:val="single" w:sz="4" w:space="0" w:color="000000"/>
              <w:left w:val="single" w:sz="4" w:space="0" w:color="000000"/>
              <w:bottom w:val="single" w:sz="4" w:space="0" w:color="000000"/>
              <w:right w:val="single" w:sz="4" w:space="0" w:color="000000"/>
            </w:tcBorders>
          </w:tcPr>
          <w:p w14:paraId="7982D174" w14:textId="77777777" w:rsidR="00342CEA" w:rsidRDefault="00837BAB">
            <w:pPr>
              <w:widowControl w:val="0"/>
              <w:jc w:val="center"/>
              <w:rPr>
                <w:lang w:val="hu-HU" w:eastAsia="en-US"/>
              </w:rPr>
            </w:pPr>
            <w:r>
              <w:rPr>
                <w:lang w:val="hu-HU" w:eastAsia="en-US"/>
              </w:rPr>
              <w:t>18</w:t>
            </w:r>
          </w:p>
        </w:tc>
        <w:tc>
          <w:tcPr>
            <w:tcW w:w="937" w:type="dxa"/>
            <w:tcBorders>
              <w:top w:val="single" w:sz="4" w:space="0" w:color="000000"/>
              <w:left w:val="single" w:sz="4" w:space="0" w:color="000000"/>
              <w:bottom w:val="single" w:sz="4" w:space="0" w:color="000000"/>
              <w:right w:val="single" w:sz="4" w:space="0" w:color="000000"/>
            </w:tcBorders>
          </w:tcPr>
          <w:p w14:paraId="2AAA3C76" w14:textId="77777777" w:rsidR="00342CEA" w:rsidRDefault="00837BAB">
            <w:pPr>
              <w:widowControl w:val="0"/>
              <w:jc w:val="center"/>
              <w:rPr>
                <w:lang w:val="hu-HU" w:eastAsia="en-US"/>
              </w:rPr>
            </w:pPr>
            <w:r>
              <w:rPr>
                <w:lang w:val="hu-HU" w:eastAsia="en-US"/>
              </w:rPr>
              <w:t>10</w:t>
            </w:r>
          </w:p>
        </w:tc>
        <w:tc>
          <w:tcPr>
            <w:tcW w:w="1440" w:type="dxa"/>
            <w:tcBorders>
              <w:top w:val="single" w:sz="4" w:space="0" w:color="000000"/>
              <w:left w:val="single" w:sz="4" w:space="0" w:color="000000"/>
              <w:bottom w:val="single" w:sz="4" w:space="0" w:color="000000"/>
              <w:right w:val="single" w:sz="4" w:space="0" w:color="000000"/>
            </w:tcBorders>
          </w:tcPr>
          <w:p w14:paraId="5FDE554E" w14:textId="77777777" w:rsidR="00342CEA" w:rsidRDefault="00837BAB">
            <w:pPr>
              <w:widowControl w:val="0"/>
              <w:jc w:val="center"/>
              <w:rPr>
                <w:lang w:val="hu-HU" w:eastAsia="en-US"/>
              </w:rPr>
            </w:pPr>
            <w:r>
              <w:rPr>
                <w:lang w:val="hu-HU" w:eastAsia="en-US"/>
              </w:rPr>
              <w:t>13</w:t>
            </w:r>
          </w:p>
        </w:tc>
        <w:tc>
          <w:tcPr>
            <w:tcW w:w="937" w:type="dxa"/>
            <w:tcBorders>
              <w:top w:val="single" w:sz="4" w:space="0" w:color="000000"/>
              <w:left w:val="single" w:sz="4" w:space="0" w:color="000000"/>
              <w:bottom w:val="single" w:sz="4" w:space="0" w:color="000000"/>
              <w:right w:val="single" w:sz="4" w:space="0" w:color="000000"/>
            </w:tcBorders>
          </w:tcPr>
          <w:p w14:paraId="6F7B7463" w14:textId="77777777" w:rsidR="00342CEA" w:rsidRDefault="00837BAB">
            <w:pPr>
              <w:widowControl w:val="0"/>
              <w:jc w:val="center"/>
              <w:rPr>
                <w:lang w:val="hu-HU" w:eastAsia="en-US"/>
              </w:rPr>
            </w:pPr>
            <w:r>
              <w:rPr>
                <w:lang w:val="hu-HU" w:eastAsia="en-US"/>
              </w:rPr>
              <w:t>7</w:t>
            </w:r>
          </w:p>
        </w:tc>
      </w:tr>
      <w:tr w:rsidR="00342CEA" w14:paraId="0D3B8A37"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4F43CCD5" w14:textId="77777777" w:rsidR="00342CEA" w:rsidRDefault="00837BAB">
            <w:pPr>
              <w:widowControl w:val="0"/>
              <w:rPr>
                <w:lang w:val="hu-HU" w:eastAsia="en-US"/>
              </w:rPr>
            </w:pPr>
            <w:r>
              <w:rPr>
                <w:i/>
                <w:lang w:val="hu-HU" w:eastAsia="en-US"/>
              </w:rPr>
              <w:t>Albuminszintek</w:t>
            </w:r>
            <w:r>
              <w:rPr>
                <w:i/>
                <w:vertAlign w:val="superscript"/>
                <w:lang w:val="hu-HU" w:eastAsia="en-US"/>
              </w:rPr>
              <w:t xml:space="preserve">f </w:t>
            </w:r>
          </w:p>
        </w:tc>
        <w:tc>
          <w:tcPr>
            <w:tcW w:w="1440" w:type="dxa"/>
            <w:tcBorders>
              <w:top w:val="single" w:sz="4" w:space="0" w:color="000000"/>
              <w:left w:val="single" w:sz="4" w:space="0" w:color="000000"/>
              <w:bottom w:val="single" w:sz="4" w:space="0" w:color="000000"/>
              <w:right w:val="single" w:sz="4" w:space="0" w:color="000000"/>
            </w:tcBorders>
          </w:tcPr>
          <w:p w14:paraId="7715E45D" w14:textId="77777777" w:rsidR="00342CEA" w:rsidRDefault="00837BAB">
            <w:pPr>
              <w:widowControl w:val="0"/>
              <w:rPr>
                <w:lang w:val="hu-HU" w:eastAsia="en-US"/>
              </w:rPr>
            </w:pPr>
            <w:r>
              <w:rPr>
                <w:lang w:val="hu-HU" w:eastAsia="en-US"/>
              </w:rP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1DE6AD96" w14:textId="77777777" w:rsidR="00342CEA" w:rsidRDefault="00837BAB">
            <w:pPr>
              <w:widowControl w:val="0"/>
              <w:rPr>
                <w:lang w:val="hu-HU" w:eastAsia="en-US"/>
              </w:rPr>
            </w:pPr>
            <w:r>
              <w:rPr>
                <w:lang w:val="hu-HU" w:eastAsia="en-US"/>
              </w:rPr>
              <w:t xml:space="preserve"> </w:t>
            </w:r>
          </w:p>
        </w:tc>
        <w:tc>
          <w:tcPr>
            <w:tcW w:w="4754" w:type="dxa"/>
            <w:gridSpan w:val="4"/>
            <w:vMerge w:val="restart"/>
            <w:tcBorders>
              <w:top w:val="single" w:sz="4" w:space="0" w:color="000000"/>
              <w:left w:val="single" w:sz="4" w:space="0" w:color="000000"/>
              <w:bottom w:val="single" w:sz="4" w:space="0" w:color="000000"/>
              <w:right w:val="single" w:sz="4" w:space="0" w:color="000000"/>
            </w:tcBorders>
          </w:tcPr>
          <w:p w14:paraId="359E1940" w14:textId="77777777" w:rsidR="00342CEA" w:rsidRDefault="00837BAB">
            <w:pPr>
              <w:widowControl w:val="0"/>
              <w:rPr>
                <w:lang w:val="hu-HU" w:eastAsia="en-US"/>
              </w:rPr>
            </w:pPr>
            <w:r>
              <w:rPr>
                <w:lang w:val="hu-HU" w:eastAsia="en-US"/>
              </w:rPr>
              <w:t xml:space="preserve"> </w:t>
            </w:r>
          </w:p>
        </w:tc>
      </w:tr>
      <w:tr w:rsidR="00342CEA" w14:paraId="5C8A5C27"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40320AEA" w14:textId="77777777" w:rsidR="00342CEA" w:rsidRDefault="00837BAB">
            <w:pPr>
              <w:widowControl w:val="0"/>
              <w:rPr>
                <w:lang w:val="hu-HU" w:eastAsia="en-US"/>
              </w:rPr>
            </w:pPr>
            <w:r>
              <w:rPr>
                <w:lang w:val="hu-HU" w:eastAsia="en-US"/>
              </w:rPr>
              <w:t>≤ 35 g/l</w:t>
            </w:r>
          </w:p>
        </w:tc>
        <w:tc>
          <w:tcPr>
            <w:tcW w:w="1440" w:type="dxa"/>
            <w:tcBorders>
              <w:top w:val="single" w:sz="4" w:space="0" w:color="000000"/>
              <w:left w:val="single" w:sz="4" w:space="0" w:color="000000"/>
              <w:bottom w:val="single" w:sz="4" w:space="0" w:color="000000"/>
              <w:right w:val="single" w:sz="4" w:space="0" w:color="000000"/>
            </w:tcBorders>
          </w:tcPr>
          <w:p w14:paraId="5AD98FEB" w14:textId="77777777" w:rsidR="00342CEA" w:rsidRDefault="00837BAB">
            <w:pPr>
              <w:widowControl w:val="0"/>
              <w:jc w:val="center"/>
              <w:rPr>
                <w:lang w:val="hu-HU" w:eastAsia="en-US"/>
              </w:rPr>
            </w:pPr>
            <w:r>
              <w:rPr>
                <w:lang w:val="hu-HU" w:eastAsia="en-US"/>
              </w:rPr>
              <w:t>11</w:t>
            </w:r>
          </w:p>
        </w:tc>
        <w:tc>
          <w:tcPr>
            <w:tcW w:w="1044" w:type="dxa"/>
            <w:tcBorders>
              <w:top w:val="single" w:sz="4" w:space="0" w:color="000000"/>
              <w:left w:val="single" w:sz="4" w:space="0" w:color="000000"/>
              <w:bottom w:val="single" w:sz="4" w:space="0" w:color="000000"/>
              <w:right w:val="single" w:sz="4" w:space="0" w:color="000000"/>
            </w:tcBorders>
          </w:tcPr>
          <w:p w14:paraId="67730D33" w14:textId="77777777" w:rsidR="00342CEA" w:rsidRDefault="00837BAB">
            <w:pPr>
              <w:widowControl w:val="0"/>
              <w:jc w:val="center"/>
              <w:rPr>
                <w:lang w:val="hu-HU" w:eastAsia="en-US"/>
              </w:rPr>
            </w:pPr>
            <w:r>
              <w:rPr>
                <w:lang w:val="hu-HU" w:eastAsia="en-US"/>
              </w:rPr>
              <w:t>8</w:t>
            </w:r>
          </w:p>
        </w:tc>
        <w:tc>
          <w:tcPr>
            <w:tcW w:w="0" w:type="auto"/>
            <w:gridSpan w:val="4"/>
            <w:vMerge/>
            <w:tcBorders>
              <w:top w:val="single" w:sz="4" w:space="0" w:color="000000"/>
              <w:left w:val="single" w:sz="4" w:space="0" w:color="000000"/>
              <w:bottom w:val="single" w:sz="4" w:space="0" w:color="000000"/>
              <w:right w:val="single" w:sz="4" w:space="0" w:color="000000"/>
            </w:tcBorders>
          </w:tcPr>
          <w:p w14:paraId="43CE4DC5" w14:textId="77777777" w:rsidR="00342CEA" w:rsidRDefault="00342CEA">
            <w:pPr>
              <w:widowControl w:val="0"/>
              <w:rPr>
                <w:lang w:val="hu-HU" w:eastAsia="en-US"/>
              </w:rPr>
            </w:pPr>
          </w:p>
        </w:tc>
      </w:tr>
      <w:tr w:rsidR="00342CEA" w14:paraId="45053E9C"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42FE18FD" w14:textId="77777777" w:rsidR="00342CEA" w:rsidRDefault="00837BAB">
            <w:pPr>
              <w:widowControl w:val="0"/>
              <w:rPr>
                <w:lang w:val="hu-HU" w:eastAsia="en-US"/>
              </w:rPr>
            </w:pPr>
            <w:r>
              <w:rPr>
                <w:lang w:val="hu-HU" w:eastAsia="en-US"/>
              </w:rPr>
              <w:t>&gt; 35 g/l</w:t>
            </w:r>
          </w:p>
        </w:tc>
        <w:tc>
          <w:tcPr>
            <w:tcW w:w="1440" w:type="dxa"/>
            <w:tcBorders>
              <w:top w:val="single" w:sz="4" w:space="0" w:color="000000"/>
              <w:left w:val="single" w:sz="4" w:space="0" w:color="000000"/>
              <w:bottom w:val="single" w:sz="4" w:space="0" w:color="000000"/>
              <w:right w:val="single" w:sz="4" w:space="0" w:color="000000"/>
            </w:tcBorders>
          </w:tcPr>
          <w:p w14:paraId="29116D11" w14:textId="77777777" w:rsidR="00342CEA" w:rsidRDefault="00837BAB">
            <w:pPr>
              <w:widowControl w:val="0"/>
              <w:jc w:val="center"/>
              <w:rPr>
                <w:lang w:val="hu-HU" w:eastAsia="en-US"/>
              </w:rPr>
            </w:pPr>
            <w:r>
              <w:rPr>
                <w:lang w:val="hu-HU" w:eastAsia="en-US"/>
              </w:rPr>
              <w:t>25</w:t>
            </w:r>
          </w:p>
        </w:tc>
        <w:tc>
          <w:tcPr>
            <w:tcW w:w="1044" w:type="dxa"/>
            <w:tcBorders>
              <w:top w:val="single" w:sz="4" w:space="0" w:color="000000"/>
              <w:left w:val="single" w:sz="4" w:space="0" w:color="000000"/>
              <w:bottom w:val="single" w:sz="4" w:space="0" w:color="000000"/>
              <w:right w:val="single" w:sz="4" w:space="0" w:color="000000"/>
            </w:tcBorders>
          </w:tcPr>
          <w:p w14:paraId="1C91DFC6" w14:textId="77777777" w:rsidR="00342CEA" w:rsidRDefault="00837BAB">
            <w:pPr>
              <w:widowControl w:val="0"/>
              <w:jc w:val="center"/>
              <w:rPr>
                <w:lang w:val="hu-HU" w:eastAsia="en-US"/>
              </w:rPr>
            </w:pPr>
            <w:r>
              <w:rPr>
                <w:lang w:val="hu-HU" w:eastAsia="en-US"/>
              </w:rPr>
              <w:t>16</w:t>
            </w:r>
          </w:p>
        </w:tc>
        <w:tc>
          <w:tcPr>
            <w:tcW w:w="0" w:type="auto"/>
            <w:gridSpan w:val="4"/>
            <w:vMerge/>
            <w:tcBorders>
              <w:top w:val="single" w:sz="4" w:space="0" w:color="000000"/>
              <w:left w:val="single" w:sz="4" w:space="0" w:color="000000"/>
              <w:bottom w:val="single" w:sz="4" w:space="0" w:color="000000"/>
              <w:right w:val="single" w:sz="4" w:space="0" w:color="000000"/>
            </w:tcBorders>
          </w:tcPr>
          <w:p w14:paraId="2342640E" w14:textId="77777777" w:rsidR="00342CEA" w:rsidRDefault="00342CEA">
            <w:pPr>
              <w:widowControl w:val="0"/>
              <w:rPr>
                <w:lang w:val="hu-HU" w:eastAsia="en-US"/>
              </w:rPr>
            </w:pPr>
          </w:p>
        </w:tc>
      </w:tr>
      <w:tr w:rsidR="00342CEA" w14:paraId="7DA07BBA"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753FB21F" w14:textId="77777777" w:rsidR="00342CEA" w:rsidRDefault="00837BAB">
            <w:pPr>
              <w:widowControl w:val="0"/>
              <w:rPr>
                <w:lang w:val="hu-HU" w:eastAsia="en-US"/>
              </w:rPr>
            </w:pPr>
            <w:r>
              <w:rPr>
                <w:i/>
                <w:lang w:val="hu-HU" w:eastAsia="en-US"/>
              </w:rPr>
              <w:t>MELD-pontszám</w:t>
            </w:r>
            <w:r>
              <w:rPr>
                <w:i/>
                <w:vertAlign w:val="superscript"/>
                <w:lang w:val="hu-HU" w:eastAsia="en-US"/>
              </w:rPr>
              <w:t xml:space="preserve">f </w:t>
            </w:r>
          </w:p>
        </w:tc>
        <w:tc>
          <w:tcPr>
            <w:tcW w:w="1440" w:type="dxa"/>
            <w:tcBorders>
              <w:top w:val="single" w:sz="4" w:space="0" w:color="000000"/>
              <w:left w:val="single" w:sz="4" w:space="0" w:color="000000"/>
              <w:bottom w:val="single" w:sz="4" w:space="0" w:color="000000"/>
              <w:right w:val="single" w:sz="4" w:space="0" w:color="000000"/>
            </w:tcBorders>
          </w:tcPr>
          <w:p w14:paraId="27A14C18" w14:textId="77777777" w:rsidR="00342CEA" w:rsidRDefault="00342CEA">
            <w:pPr>
              <w:widowControl w:val="0"/>
              <w:jc w:val="center"/>
              <w:rPr>
                <w:lang w:val="hu-HU" w:eastAsia="en-US"/>
              </w:rPr>
            </w:pPr>
          </w:p>
        </w:tc>
        <w:tc>
          <w:tcPr>
            <w:tcW w:w="1044" w:type="dxa"/>
            <w:tcBorders>
              <w:top w:val="single" w:sz="4" w:space="0" w:color="000000"/>
              <w:left w:val="single" w:sz="4" w:space="0" w:color="000000"/>
              <w:bottom w:val="single" w:sz="4" w:space="0" w:color="000000"/>
              <w:right w:val="single" w:sz="4" w:space="0" w:color="000000"/>
            </w:tcBorders>
          </w:tcPr>
          <w:p w14:paraId="71F0FFDE" w14:textId="77777777" w:rsidR="00342CEA" w:rsidRDefault="00342CEA">
            <w:pPr>
              <w:widowControl w:val="0"/>
              <w:jc w:val="center"/>
              <w:rPr>
                <w:lang w:val="hu-HU" w:eastAsia="en-US"/>
              </w:rPr>
            </w:pPr>
          </w:p>
        </w:tc>
        <w:tc>
          <w:tcPr>
            <w:tcW w:w="0" w:type="auto"/>
            <w:gridSpan w:val="4"/>
            <w:vMerge/>
            <w:tcBorders>
              <w:top w:val="single" w:sz="4" w:space="0" w:color="000000"/>
              <w:left w:val="single" w:sz="4" w:space="0" w:color="000000"/>
              <w:bottom w:val="single" w:sz="4" w:space="0" w:color="000000"/>
              <w:right w:val="single" w:sz="4" w:space="0" w:color="000000"/>
            </w:tcBorders>
          </w:tcPr>
          <w:p w14:paraId="4594EEF8" w14:textId="77777777" w:rsidR="00342CEA" w:rsidRDefault="00342CEA">
            <w:pPr>
              <w:widowControl w:val="0"/>
              <w:rPr>
                <w:lang w:val="hu-HU" w:eastAsia="en-US"/>
              </w:rPr>
            </w:pPr>
          </w:p>
        </w:tc>
      </w:tr>
      <w:tr w:rsidR="00342CEA" w14:paraId="641F012A" w14:textId="77777777">
        <w:trPr>
          <w:trHeight w:val="263"/>
        </w:trPr>
        <w:tc>
          <w:tcPr>
            <w:tcW w:w="1943" w:type="dxa"/>
            <w:tcBorders>
              <w:top w:val="single" w:sz="4" w:space="0" w:color="000000"/>
              <w:left w:val="single" w:sz="4" w:space="0" w:color="000000"/>
              <w:bottom w:val="single" w:sz="4" w:space="0" w:color="000000"/>
              <w:right w:val="single" w:sz="4" w:space="0" w:color="000000"/>
            </w:tcBorders>
          </w:tcPr>
          <w:p w14:paraId="10B79465" w14:textId="77777777" w:rsidR="00342CEA" w:rsidRDefault="00837BAB">
            <w:pPr>
              <w:widowControl w:val="0"/>
              <w:rPr>
                <w:lang w:val="hu-HU" w:eastAsia="en-US"/>
              </w:rPr>
            </w:pPr>
            <w:r>
              <w:rPr>
                <w:lang w:val="hu-HU" w:eastAsia="en-US"/>
              </w:rPr>
              <w:t>≥ 10</w:t>
            </w:r>
          </w:p>
        </w:tc>
        <w:tc>
          <w:tcPr>
            <w:tcW w:w="1440" w:type="dxa"/>
            <w:tcBorders>
              <w:top w:val="single" w:sz="4" w:space="0" w:color="000000"/>
              <w:left w:val="single" w:sz="4" w:space="0" w:color="000000"/>
              <w:bottom w:val="single" w:sz="4" w:space="0" w:color="000000"/>
              <w:right w:val="single" w:sz="4" w:space="0" w:color="000000"/>
            </w:tcBorders>
          </w:tcPr>
          <w:p w14:paraId="6DC4AA0D" w14:textId="77777777" w:rsidR="00342CEA" w:rsidRDefault="00837BAB">
            <w:pPr>
              <w:widowControl w:val="0"/>
              <w:jc w:val="center"/>
              <w:rPr>
                <w:lang w:val="hu-HU" w:eastAsia="en-US"/>
              </w:rPr>
            </w:pPr>
            <w:r>
              <w:rPr>
                <w:lang w:val="hu-HU" w:eastAsia="en-US"/>
              </w:rPr>
              <w:t>18</w:t>
            </w:r>
          </w:p>
        </w:tc>
        <w:tc>
          <w:tcPr>
            <w:tcW w:w="1044" w:type="dxa"/>
            <w:tcBorders>
              <w:top w:val="single" w:sz="4" w:space="0" w:color="000000"/>
              <w:left w:val="single" w:sz="4" w:space="0" w:color="000000"/>
              <w:bottom w:val="single" w:sz="4" w:space="0" w:color="000000"/>
              <w:right w:val="single" w:sz="4" w:space="0" w:color="000000"/>
            </w:tcBorders>
          </w:tcPr>
          <w:p w14:paraId="2CBC99E1" w14:textId="77777777" w:rsidR="00342CEA" w:rsidRDefault="00837BAB">
            <w:pPr>
              <w:widowControl w:val="0"/>
              <w:jc w:val="center"/>
              <w:rPr>
                <w:lang w:val="hu-HU" w:eastAsia="en-US"/>
              </w:rPr>
            </w:pPr>
            <w:r>
              <w:rPr>
                <w:lang w:val="hu-HU" w:eastAsia="en-US"/>
              </w:rPr>
              <w:t>10</w:t>
            </w:r>
          </w:p>
        </w:tc>
        <w:tc>
          <w:tcPr>
            <w:tcW w:w="0" w:type="auto"/>
            <w:gridSpan w:val="4"/>
            <w:vMerge/>
            <w:tcBorders>
              <w:top w:val="single" w:sz="4" w:space="0" w:color="000000"/>
              <w:left w:val="single" w:sz="4" w:space="0" w:color="000000"/>
              <w:bottom w:val="single" w:sz="4" w:space="0" w:color="000000"/>
              <w:right w:val="single" w:sz="4" w:space="0" w:color="000000"/>
            </w:tcBorders>
          </w:tcPr>
          <w:p w14:paraId="5A68089B" w14:textId="77777777" w:rsidR="00342CEA" w:rsidRDefault="00342CEA">
            <w:pPr>
              <w:widowControl w:val="0"/>
              <w:rPr>
                <w:lang w:val="hu-HU" w:eastAsia="en-US"/>
              </w:rPr>
            </w:pPr>
          </w:p>
        </w:tc>
      </w:tr>
      <w:tr w:rsidR="00342CEA" w14:paraId="49CECF11" w14:textId="77777777">
        <w:trPr>
          <w:trHeight w:val="264"/>
        </w:trPr>
        <w:tc>
          <w:tcPr>
            <w:tcW w:w="1943" w:type="dxa"/>
            <w:tcBorders>
              <w:top w:val="single" w:sz="4" w:space="0" w:color="000000"/>
              <w:left w:val="single" w:sz="4" w:space="0" w:color="000000"/>
              <w:bottom w:val="single" w:sz="4" w:space="0" w:color="000000"/>
              <w:right w:val="single" w:sz="4" w:space="0" w:color="000000"/>
            </w:tcBorders>
          </w:tcPr>
          <w:p w14:paraId="147CA6D1" w14:textId="77777777" w:rsidR="00342CEA" w:rsidRDefault="00837BAB">
            <w:pPr>
              <w:widowControl w:val="0"/>
              <w:rPr>
                <w:lang w:val="hu-HU" w:eastAsia="en-US"/>
              </w:rPr>
            </w:pPr>
            <w:r>
              <w:rPr>
                <w:lang w:val="hu-HU" w:eastAsia="en-US"/>
              </w:rPr>
              <w:t>&lt; 10</w:t>
            </w:r>
          </w:p>
        </w:tc>
        <w:tc>
          <w:tcPr>
            <w:tcW w:w="1440" w:type="dxa"/>
            <w:tcBorders>
              <w:top w:val="single" w:sz="4" w:space="0" w:color="000000"/>
              <w:left w:val="single" w:sz="4" w:space="0" w:color="000000"/>
              <w:bottom w:val="single" w:sz="4" w:space="0" w:color="000000"/>
              <w:right w:val="single" w:sz="4" w:space="0" w:color="000000"/>
            </w:tcBorders>
          </w:tcPr>
          <w:p w14:paraId="0D184B63" w14:textId="77777777" w:rsidR="00342CEA" w:rsidRDefault="00837BAB">
            <w:pPr>
              <w:widowControl w:val="0"/>
              <w:jc w:val="center"/>
              <w:rPr>
                <w:lang w:val="hu-HU" w:eastAsia="en-US"/>
              </w:rPr>
            </w:pPr>
            <w:r>
              <w:rPr>
                <w:lang w:val="hu-HU" w:eastAsia="en-US"/>
              </w:rPr>
              <w:t>23</w:t>
            </w:r>
          </w:p>
        </w:tc>
        <w:tc>
          <w:tcPr>
            <w:tcW w:w="1044" w:type="dxa"/>
            <w:tcBorders>
              <w:top w:val="single" w:sz="4" w:space="0" w:color="000000"/>
              <w:left w:val="single" w:sz="4" w:space="0" w:color="000000"/>
              <w:bottom w:val="single" w:sz="4" w:space="0" w:color="000000"/>
              <w:right w:val="single" w:sz="4" w:space="0" w:color="000000"/>
            </w:tcBorders>
          </w:tcPr>
          <w:p w14:paraId="7810D5ED" w14:textId="77777777" w:rsidR="00342CEA" w:rsidRDefault="00837BAB">
            <w:pPr>
              <w:widowControl w:val="0"/>
              <w:jc w:val="center"/>
              <w:rPr>
                <w:lang w:val="hu-HU" w:eastAsia="en-US"/>
              </w:rPr>
            </w:pPr>
            <w:r>
              <w:rPr>
                <w:lang w:val="hu-HU" w:eastAsia="en-US"/>
              </w:rPr>
              <w:t>17</w:t>
            </w:r>
          </w:p>
        </w:tc>
        <w:tc>
          <w:tcPr>
            <w:tcW w:w="0" w:type="auto"/>
            <w:gridSpan w:val="4"/>
            <w:vMerge/>
            <w:tcBorders>
              <w:top w:val="single" w:sz="4" w:space="0" w:color="000000"/>
              <w:left w:val="single" w:sz="4" w:space="0" w:color="000000"/>
              <w:bottom w:val="single" w:sz="4" w:space="0" w:color="000000"/>
              <w:right w:val="single" w:sz="4" w:space="0" w:color="000000"/>
            </w:tcBorders>
          </w:tcPr>
          <w:p w14:paraId="38EBD172" w14:textId="77777777" w:rsidR="00342CEA" w:rsidRDefault="00342CEA">
            <w:pPr>
              <w:widowControl w:val="0"/>
              <w:rPr>
                <w:lang w:val="hu-HU" w:eastAsia="en-US"/>
              </w:rPr>
            </w:pPr>
          </w:p>
        </w:tc>
      </w:tr>
    </w:tbl>
    <w:p w14:paraId="1DEA920D" w14:textId="77777777" w:rsidR="00342CEA" w:rsidRDefault="00837BAB">
      <w:pPr>
        <w:numPr>
          <w:ilvl w:val="0"/>
          <w:numId w:val="2"/>
        </w:numPr>
        <w:tabs>
          <w:tab w:val="clear" w:pos="567"/>
        </w:tabs>
        <w:spacing w:after="12" w:line="247" w:lineRule="auto"/>
        <w:ind w:left="284" w:right="93" w:hanging="286"/>
        <w:rPr>
          <w:lang w:val="hu-HU"/>
        </w:rPr>
      </w:pPr>
      <w:r>
        <w:rPr>
          <w:lang w:val="hu-HU"/>
        </w:rPr>
        <w:t>Eltrombopag kombinációban adva peginterferon alfa</w:t>
      </w:r>
      <w:r>
        <w:rPr>
          <w:lang w:val="hu-HU"/>
        </w:rPr>
        <w:noBreakHyphen/>
        <w:t>2a</w:t>
      </w:r>
      <w:r>
        <w:rPr>
          <w:lang w:val="hu-HU"/>
        </w:rPr>
        <w:noBreakHyphen/>
        <w:t>val (hetente egyszer 180 mikrogramm 48 héten át 1/4/6</w:t>
      </w:r>
      <w:r>
        <w:rPr>
          <w:lang w:val="hu-HU"/>
        </w:rPr>
        <w:noBreakHyphen/>
        <w:t>os genotípus esetén; 24 héten át 2/3</w:t>
      </w:r>
      <w:r>
        <w:rPr>
          <w:lang w:val="hu-HU"/>
        </w:rPr>
        <w:noBreakHyphen/>
        <w:t>as genotípus esetén) és ribavirinnel (napi 800</w:t>
      </w:r>
      <w:r>
        <w:rPr>
          <w:lang w:val="hu-HU"/>
        </w:rPr>
        <w:noBreakHyphen/>
        <w:t>tól 1200 mg</w:t>
      </w:r>
      <w:r>
        <w:rPr>
          <w:lang w:val="hu-HU"/>
        </w:rPr>
        <w:noBreakHyphen/>
        <w:t xml:space="preserve">ig, 2 adagra elosztva, </w:t>
      </w:r>
      <w:r>
        <w:rPr>
          <w:i/>
          <w:lang w:val="hu-HU"/>
        </w:rPr>
        <w:t>per os</w:t>
      </w:r>
      <w:r>
        <w:rPr>
          <w:lang w:val="hu-HU"/>
        </w:rPr>
        <w:t>)</w:t>
      </w:r>
    </w:p>
    <w:p w14:paraId="4AF1AC27" w14:textId="77777777" w:rsidR="00342CEA" w:rsidRDefault="00837BAB">
      <w:pPr>
        <w:numPr>
          <w:ilvl w:val="0"/>
          <w:numId w:val="2"/>
        </w:numPr>
        <w:tabs>
          <w:tab w:val="clear" w:pos="567"/>
        </w:tabs>
        <w:spacing w:after="12" w:line="247" w:lineRule="auto"/>
        <w:ind w:left="284" w:right="93" w:hanging="286"/>
        <w:rPr>
          <w:lang w:val="hu-HU"/>
        </w:rPr>
      </w:pPr>
      <w:r>
        <w:rPr>
          <w:lang w:val="hu-HU"/>
        </w:rPr>
        <w:t>Eltrombopag kombinációban adva peginterferon alfa</w:t>
      </w:r>
      <w:r>
        <w:rPr>
          <w:lang w:val="hu-HU"/>
        </w:rPr>
        <w:noBreakHyphen/>
        <w:t>2b</w:t>
      </w:r>
      <w:r>
        <w:rPr>
          <w:lang w:val="hu-HU"/>
        </w:rPr>
        <w:noBreakHyphen/>
        <w:t>vel (hetente egyszer 1,5 mikrogramm/ttkg 48 héten át 1/4/6</w:t>
      </w:r>
      <w:r>
        <w:rPr>
          <w:lang w:val="hu-HU"/>
        </w:rPr>
        <w:noBreakHyphen/>
        <w:t>os genotípus esetén; 24 héten át 2/3</w:t>
      </w:r>
      <w:r>
        <w:rPr>
          <w:lang w:val="hu-HU"/>
        </w:rPr>
        <w:noBreakHyphen/>
        <w:t>as genotípus esetén) és ribavirinnel (napi 800</w:t>
      </w:r>
      <w:r>
        <w:rPr>
          <w:lang w:val="hu-HU"/>
        </w:rPr>
        <w:noBreakHyphen/>
        <w:t>tól 1400 mg</w:t>
      </w:r>
      <w:r>
        <w:rPr>
          <w:lang w:val="hu-HU"/>
        </w:rPr>
        <w:noBreakHyphen/>
        <w:t xml:space="preserve">ig, 2 adagra elosztva, </w:t>
      </w:r>
      <w:r>
        <w:rPr>
          <w:i/>
          <w:lang w:val="hu-HU"/>
        </w:rPr>
        <w:t>per os</w:t>
      </w:r>
      <w:r>
        <w:rPr>
          <w:lang w:val="hu-HU"/>
        </w:rPr>
        <w:t>)</w:t>
      </w:r>
    </w:p>
    <w:p w14:paraId="34662D2F" w14:textId="77777777" w:rsidR="00342CEA" w:rsidRDefault="00837BAB">
      <w:pPr>
        <w:numPr>
          <w:ilvl w:val="0"/>
          <w:numId w:val="2"/>
        </w:numPr>
        <w:tabs>
          <w:tab w:val="clear" w:pos="567"/>
        </w:tabs>
        <w:spacing w:after="12" w:line="247" w:lineRule="auto"/>
        <w:ind w:left="284" w:right="93" w:hanging="286"/>
        <w:rPr>
          <w:lang w:val="hu-HU"/>
        </w:rPr>
      </w:pPr>
      <w:r>
        <w:rPr>
          <w:lang w:val="hu-HU"/>
        </w:rPr>
        <w:t xml:space="preserve">A vérlemezkeszám célértéke ≥ 90 000/µl volt az ENABLE 1 esetén, és ≥ 100 000/µl az ENABLE 2 esetén. Az ENABLE 1 esetén 682 beteget randomizáltak az antivirális kezelési </w:t>
      </w:r>
      <w:r>
        <w:rPr>
          <w:lang w:val="hu-HU"/>
        </w:rPr>
        <w:lastRenderedPageBreak/>
        <w:t>szakaszba, azonban 2 beteg visszavonta a beleegyezését, mielőtt antivirális terápiában részesültek volna</w:t>
      </w:r>
    </w:p>
    <w:p w14:paraId="4EE035D2" w14:textId="77777777" w:rsidR="00342CEA" w:rsidRDefault="00837BAB">
      <w:pPr>
        <w:numPr>
          <w:ilvl w:val="0"/>
          <w:numId w:val="2"/>
        </w:numPr>
        <w:tabs>
          <w:tab w:val="clear" w:pos="567"/>
        </w:tabs>
        <w:spacing w:after="12" w:line="247" w:lineRule="auto"/>
        <w:ind w:left="284" w:right="93" w:hanging="286"/>
        <w:rPr>
          <w:lang w:val="hu-HU"/>
        </w:rPr>
      </w:pPr>
      <w:r>
        <w:rPr>
          <w:lang w:val="hu-HU"/>
        </w:rPr>
        <w:t>Eltrombopag esetén a p</w:t>
      </w:r>
      <w:r>
        <w:rPr>
          <w:lang w:val="hu-HU"/>
        </w:rPr>
        <w:noBreakHyphen/>
        <w:t>érték &lt; 0,05 versus placebo</w:t>
      </w:r>
    </w:p>
    <w:p w14:paraId="0A7D99A7" w14:textId="77777777" w:rsidR="00342CEA" w:rsidRDefault="00837BAB">
      <w:pPr>
        <w:numPr>
          <w:ilvl w:val="0"/>
          <w:numId w:val="2"/>
        </w:numPr>
        <w:tabs>
          <w:tab w:val="clear" w:pos="567"/>
        </w:tabs>
        <w:spacing w:after="12" w:line="247" w:lineRule="auto"/>
        <w:ind w:left="284" w:right="93" w:hanging="286"/>
        <w:rPr>
          <w:lang w:val="hu-HU"/>
        </w:rPr>
      </w:pPr>
      <w:r>
        <w:rPr>
          <w:lang w:val="hu-HU"/>
        </w:rPr>
        <w:t>Az ENABLE 1 és ENABLE 2-ben résztvevő betegek 64%</w:t>
      </w:r>
      <w:r>
        <w:rPr>
          <w:lang w:val="hu-HU"/>
        </w:rPr>
        <w:noBreakHyphen/>
        <w:t>a 1</w:t>
      </w:r>
      <w:r>
        <w:rPr>
          <w:lang w:val="hu-HU"/>
        </w:rPr>
        <w:noBreakHyphen/>
        <w:t>es genotípusú volt</w:t>
      </w:r>
    </w:p>
    <w:p w14:paraId="0F7C3F69" w14:textId="77777777" w:rsidR="00342CEA" w:rsidRDefault="00837BAB">
      <w:pPr>
        <w:numPr>
          <w:ilvl w:val="0"/>
          <w:numId w:val="2"/>
        </w:numPr>
        <w:tabs>
          <w:tab w:val="clear" w:pos="567"/>
        </w:tabs>
        <w:spacing w:after="12" w:line="247" w:lineRule="auto"/>
        <w:ind w:left="284" w:right="93" w:hanging="286"/>
        <w:rPr>
          <w:sz w:val="20"/>
          <w:szCs w:val="20"/>
          <w:lang w:val="hu-HU"/>
        </w:rPr>
      </w:pPr>
      <w:r>
        <w:rPr>
          <w:i/>
          <w:lang w:val="hu-HU"/>
        </w:rPr>
        <w:t>Post-hoc</w:t>
      </w:r>
      <w:r>
        <w:rPr>
          <w:sz w:val="20"/>
          <w:szCs w:val="20"/>
          <w:lang w:val="hu-HU"/>
        </w:rPr>
        <w:t xml:space="preserve"> analízisek </w:t>
      </w:r>
    </w:p>
    <w:p w14:paraId="2C996B46" w14:textId="77777777" w:rsidR="00342CEA" w:rsidRDefault="00342CEA">
      <w:pPr>
        <w:spacing w:line="240" w:lineRule="auto"/>
        <w:rPr>
          <w:rFonts w:eastAsia="Times New Roman"/>
          <w:lang w:val="hu-HU" w:eastAsia="en-US"/>
        </w:rPr>
      </w:pPr>
    </w:p>
    <w:p w14:paraId="14B524E3" w14:textId="77777777" w:rsidR="00342CEA" w:rsidRDefault="00837BAB">
      <w:pPr>
        <w:tabs>
          <w:tab w:val="clear" w:pos="567"/>
        </w:tabs>
        <w:autoSpaceDE w:val="0"/>
        <w:autoSpaceDN w:val="0"/>
        <w:spacing w:line="240" w:lineRule="auto"/>
        <w:rPr>
          <w:lang w:val="hu-HU" w:eastAsia="en-GB"/>
        </w:rPr>
      </w:pPr>
      <w:r>
        <w:rPr>
          <w:lang w:val="hu-HU" w:eastAsia="en-GB"/>
        </w:rPr>
        <w:t>A vizsgálat egyéb másodlagos megfigyelései közé tartoztak a következők: a placebóhoz viszonyítva szignifikánsan kevesebb eltrombopaggal kezelt beteg hagyta abba az antivirális terápiát idő előtt (45% vs 60%, p = &lt; 0,0001). Az eltrombopaggal kezelt betegek nagyobb hányadánál volt szükségtelen az antivirális szerek dóziscsökkentése a placebóhoz viszonyítva (45% vs. 27%). Az eltrombopag</w:t>
      </w:r>
      <w:r>
        <w:rPr>
          <w:lang w:val="hu-HU" w:eastAsia="en-GB"/>
        </w:rPr>
        <w:noBreakHyphen/>
        <w:t>kezelés késleltette és csökkentette a peginterferon dóziscsökkentésének számát.</w:t>
      </w:r>
    </w:p>
    <w:p w14:paraId="0454E4BF" w14:textId="77777777" w:rsidR="00342CEA" w:rsidRDefault="00342CEA">
      <w:pPr>
        <w:tabs>
          <w:tab w:val="clear" w:pos="567"/>
        </w:tabs>
        <w:autoSpaceDE w:val="0"/>
        <w:autoSpaceDN w:val="0"/>
        <w:spacing w:line="240" w:lineRule="auto"/>
        <w:rPr>
          <w:lang w:val="hu-HU" w:eastAsia="en-GB"/>
        </w:rPr>
      </w:pPr>
    </w:p>
    <w:p w14:paraId="6B368426" w14:textId="77777777" w:rsidR="00E147BF" w:rsidRDefault="00E147BF" w:rsidP="00E147BF">
      <w:pPr>
        <w:spacing w:line="240" w:lineRule="auto"/>
        <w:rPr>
          <w:rFonts w:eastAsia="Times New Roman"/>
          <w:i/>
          <w:iCs/>
          <w:lang w:val="hu-HU" w:eastAsia="en-US"/>
        </w:rPr>
      </w:pPr>
      <w:r w:rsidRPr="006C1619">
        <w:rPr>
          <w:rFonts w:eastAsia="Times New Roman"/>
          <w:i/>
          <w:iCs/>
          <w:lang w:val="hu-HU" w:eastAsia="en-US"/>
        </w:rPr>
        <w:t>Gyermekek és serdülők</w:t>
      </w:r>
    </w:p>
    <w:p w14:paraId="1FDF7E6E" w14:textId="77777777" w:rsidR="0081352A" w:rsidRPr="006C1619" w:rsidRDefault="0081352A" w:rsidP="00E147BF">
      <w:pPr>
        <w:spacing w:line="240" w:lineRule="auto"/>
        <w:rPr>
          <w:rFonts w:eastAsia="Times New Roman"/>
          <w:i/>
          <w:iCs/>
          <w:lang w:val="hu-HU" w:eastAsia="en-US"/>
        </w:rPr>
      </w:pPr>
    </w:p>
    <w:p w14:paraId="7F23FBE3" w14:textId="005ED61A" w:rsidR="00E147BF" w:rsidRPr="006C1619" w:rsidRDefault="00E147BF" w:rsidP="00E147BF">
      <w:pPr>
        <w:spacing w:line="240" w:lineRule="auto"/>
        <w:rPr>
          <w:lang w:val="hu-HU" w:eastAsia="en-GB"/>
        </w:rPr>
      </w:pPr>
      <w:r w:rsidRPr="006C1619">
        <w:rPr>
          <w:lang w:val="hu-HU" w:eastAsia="en-GB"/>
        </w:rPr>
        <w:t xml:space="preserve">Az Európai Gyógyszerügynökség a gyermekek és serdülők esetén minden korosztálynál eltekint az </w:t>
      </w:r>
      <w:r w:rsidR="004E2180" w:rsidRPr="006C1619">
        <w:rPr>
          <w:lang w:val="hu-HU" w:eastAsia="en-GB"/>
        </w:rPr>
        <w:t>eltrombopagot tartalmazó referencia-gyógyszerrel végzett vizsgálatok</w:t>
      </w:r>
      <w:r w:rsidR="004E2180">
        <w:rPr>
          <w:lang w:eastAsia="en-GB"/>
        </w:rPr>
        <w:t xml:space="preserve"> </w:t>
      </w:r>
      <w:r w:rsidRPr="006C1619">
        <w:rPr>
          <w:lang w:val="hu-HU" w:eastAsia="en-GB"/>
        </w:rPr>
        <w:t>eredményeinek benyújtási kötelezettségétől szekunder thrombocytopeniában (lásd 4.2 pont, gyermekgyógyászati alkalmazásra vonatkozó információk).</w:t>
      </w:r>
    </w:p>
    <w:p w14:paraId="27882679" w14:textId="77777777" w:rsidR="00AA700D" w:rsidRDefault="00AA700D" w:rsidP="00725EE1">
      <w:pPr>
        <w:spacing w:line="240" w:lineRule="auto"/>
        <w:rPr>
          <w:rFonts w:eastAsia="Times New Roman"/>
          <w:lang w:val="hu-HU" w:eastAsia="en-US"/>
        </w:rPr>
      </w:pPr>
    </w:p>
    <w:p w14:paraId="49D383E8" w14:textId="77777777" w:rsidR="00342CEA" w:rsidRDefault="00837BAB">
      <w:pPr>
        <w:keepNext/>
        <w:spacing w:line="240" w:lineRule="auto"/>
        <w:ind w:left="567" w:hanging="567"/>
        <w:outlineLvl w:val="0"/>
        <w:rPr>
          <w:b/>
          <w:bCs/>
          <w:lang w:val="hu-HU"/>
        </w:rPr>
      </w:pPr>
      <w:r>
        <w:rPr>
          <w:b/>
          <w:bCs/>
          <w:lang w:val="hu-HU"/>
        </w:rPr>
        <w:t>5.2</w:t>
      </w:r>
      <w:r>
        <w:rPr>
          <w:b/>
          <w:bCs/>
          <w:lang w:val="hu-HU"/>
        </w:rPr>
        <w:tab/>
        <w:t>Farmakokinetikai tulajdonságok</w:t>
      </w:r>
    </w:p>
    <w:p w14:paraId="5278326C" w14:textId="77777777" w:rsidR="00342CEA" w:rsidRDefault="00342CEA">
      <w:pPr>
        <w:spacing w:line="240" w:lineRule="auto"/>
        <w:ind w:left="567" w:hanging="567"/>
        <w:outlineLvl w:val="0"/>
        <w:rPr>
          <w:lang w:val="hu-HU"/>
        </w:rPr>
      </w:pPr>
    </w:p>
    <w:p w14:paraId="68333C96"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Farmakokinetika</w:t>
      </w:r>
    </w:p>
    <w:p w14:paraId="6B3A9053" w14:textId="77777777" w:rsidR="0081352A" w:rsidRDefault="0081352A">
      <w:pPr>
        <w:tabs>
          <w:tab w:val="clear" w:pos="567"/>
        </w:tabs>
        <w:autoSpaceDE w:val="0"/>
        <w:autoSpaceDN w:val="0"/>
        <w:spacing w:line="240" w:lineRule="auto"/>
        <w:rPr>
          <w:u w:val="single"/>
          <w:lang w:val="hu-HU" w:eastAsia="en-GB"/>
        </w:rPr>
      </w:pPr>
    </w:p>
    <w:p w14:paraId="10A84127" w14:textId="77777777" w:rsidR="00342CEA" w:rsidRDefault="00837BAB">
      <w:pPr>
        <w:tabs>
          <w:tab w:val="clear" w:pos="567"/>
        </w:tabs>
        <w:autoSpaceDE w:val="0"/>
        <w:autoSpaceDN w:val="0"/>
        <w:spacing w:line="240" w:lineRule="auto"/>
        <w:rPr>
          <w:lang w:val="hu-HU" w:eastAsia="en-GB"/>
        </w:rPr>
      </w:pPr>
      <w:r>
        <w:rPr>
          <w:lang w:val="hu-HU" w:eastAsia="en-GB"/>
        </w:rPr>
        <w:t>A TRA100773A és TRA100773B vizsgálatokból 88 ITP-s beteg plazma-eltrombopag koncentráció</w:t>
      </w:r>
      <w:r>
        <w:rPr>
          <w:lang w:val="hu-HU" w:eastAsia="en-GB"/>
        </w:rPr>
        <w:noBreakHyphen/>
        <w:t>idő adatait vetették össze 111 egészséges felnőtt adataival egy populációs PK</w:t>
      </w:r>
      <w:r>
        <w:rPr>
          <w:lang w:val="hu-HU" w:eastAsia="en-GB"/>
        </w:rPr>
        <w:noBreakHyphen/>
        <w:t>elemzésben. Megadták az ITP</w:t>
      </w:r>
      <w:r>
        <w:rPr>
          <w:lang w:val="hu-HU" w:eastAsia="en-GB"/>
        </w:rPr>
        <w:noBreakHyphen/>
        <w:t>s betegek becsült plazma eltrombopag AUC(</w:t>
      </w:r>
      <w:r>
        <w:rPr>
          <w:vertAlign w:val="subscript"/>
          <w:lang w:val="hu-HU" w:eastAsia="en-GB"/>
        </w:rPr>
        <w:t>0-τ</w:t>
      </w:r>
      <w:r>
        <w:rPr>
          <w:lang w:val="hu-HU" w:eastAsia="en-GB"/>
        </w:rPr>
        <w:t>)</w:t>
      </w:r>
      <w:r>
        <w:rPr>
          <w:lang w:val="hu-HU" w:eastAsia="en-GB"/>
        </w:rPr>
        <w:noBreakHyphen/>
        <w:t xml:space="preserve"> és C</w:t>
      </w:r>
      <w:r>
        <w:rPr>
          <w:vertAlign w:val="subscript"/>
          <w:lang w:val="hu-HU" w:eastAsia="en-GB"/>
        </w:rPr>
        <w:t>max</w:t>
      </w:r>
      <w:r>
        <w:rPr>
          <w:lang w:val="hu-HU" w:eastAsia="en-GB"/>
        </w:rPr>
        <w:noBreakHyphen/>
        <w:t>értékeit (9. táblázat).</w:t>
      </w:r>
    </w:p>
    <w:p w14:paraId="21D835E8" w14:textId="77777777" w:rsidR="00342CEA" w:rsidRDefault="00342CEA">
      <w:pPr>
        <w:tabs>
          <w:tab w:val="clear" w:pos="567"/>
        </w:tabs>
        <w:autoSpaceDE w:val="0"/>
        <w:autoSpaceDN w:val="0"/>
        <w:spacing w:line="240" w:lineRule="auto"/>
        <w:rPr>
          <w:lang w:val="hu-HU"/>
        </w:rPr>
      </w:pPr>
    </w:p>
    <w:p w14:paraId="7E98DCB8" w14:textId="77777777" w:rsidR="00342CEA" w:rsidRDefault="00837BAB">
      <w:pPr>
        <w:tabs>
          <w:tab w:val="clear" w:pos="567"/>
        </w:tabs>
        <w:autoSpaceDE w:val="0"/>
        <w:autoSpaceDN w:val="0"/>
        <w:spacing w:line="240" w:lineRule="auto"/>
        <w:ind w:left="1134" w:hanging="1134"/>
        <w:rPr>
          <w:b/>
          <w:bCs/>
          <w:lang w:val="hu-HU" w:eastAsia="en-GB"/>
        </w:rPr>
      </w:pPr>
      <w:r>
        <w:rPr>
          <w:b/>
          <w:bCs/>
          <w:lang w:val="hu-HU" w:eastAsia="en-GB"/>
        </w:rPr>
        <w:t>9. táblázat</w:t>
      </w:r>
      <w:r>
        <w:rPr>
          <w:b/>
          <w:bCs/>
          <w:lang w:val="hu-HU" w:eastAsia="en-GB"/>
        </w:rPr>
        <w:tab/>
        <w:t>ITP</w:t>
      </w:r>
      <w:r>
        <w:rPr>
          <w:b/>
          <w:bCs/>
          <w:lang w:val="hu-HU" w:eastAsia="en-GB"/>
        </w:rPr>
        <w:noBreakHyphen/>
        <w:t xml:space="preserve">s </w:t>
      </w:r>
      <w:r>
        <w:rPr>
          <w:rFonts w:eastAsia="TimesNewRomanPS-BoldMT"/>
          <w:b/>
          <w:bCs/>
          <w:lang w:val="hu-HU" w:eastAsia="en-GB"/>
        </w:rPr>
        <w:t>felnőttek dinamikus egyensúlyi állapotú</w:t>
      </w:r>
      <w:r>
        <w:rPr>
          <w:b/>
          <w:bCs/>
          <w:lang w:val="hu-HU" w:eastAsia="en-GB"/>
        </w:rPr>
        <w:t xml:space="preserve"> plazma-eltrombopag farmakokinetikai paramétereinek mértani átlagértéke (95%</w:t>
      </w:r>
      <w:r>
        <w:rPr>
          <w:b/>
          <w:bCs/>
          <w:lang w:val="hu-HU" w:eastAsia="en-GB"/>
        </w:rPr>
        <w:noBreakHyphen/>
        <w:t>os konfidencia intervallum)</w:t>
      </w:r>
    </w:p>
    <w:p w14:paraId="34E01A29" w14:textId="77777777" w:rsidR="00A22B1E" w:rsidRDefault="00A22B1E">
      <w:pPr>
        <w:tabs>
          <w:tab w:val="clear" w:pos="567"/>
        </w:tabs>
        <w:autoSpaceDE w:val="0"/>
        <w:autoSpaceDN w:val="0"/>
        <w:spacing w:line="240" w:lineRule="auto"/>
        <w:ind w:left="1134" w:hanging="1134"/>
        <w:rPr>
          <w:b/>
          <w:bCs/>
          <w:lang w:val="hu-HU"/>
        </w:rPr>
      </w:pPr>
    </w:p>
    <w:tbl>
      <w:tblPr>
        <w:tblW w:w="7540" w:type="dxa"/>
        <w:tblInd w:w="-5" w:type="dxa"/>
        <w:tblBorders>
          <w:top w:val="nil"/>
          <w:left w:val="nil"/>
          <w:bottom w:val="nil"/>
          <w:right w:val="nil"/>
          <w:insideH w:val="nil"/>
          <w:insideV w:val="nil"/>
        </w:tblBorders>
        <w:tblCellMar>
          <w:top w:w="13" w:type="dxa"/>
          <w:left w:w="115" w:type="dxa"/>
          <w:right w:w="115" w:type="dxa"/>
        </w:tblCellMar>
        <w:tblLook w:val="04A0" w:firstRow="1" w:lastRow="0" w:firstColumn="1" w:lastColumn="0" w:noHBand="0" w:noVBand="1"/>
      </w:tblPr>
      <w:tblGrid>
        <w:gridCol w:w="2102"/>
        <w:gridCol w:w="649"/>
        <w:gridCol w:w="2419"/>
        <w:gridCol w:w="2370"/>
      </w:tblGrid>
      <w:tr w:rsidR="0081352A" w14:paraId="07CEAC12" w14:textId="77777777" w:rsidTr="006C1619">
        <w:trPr>
          <w:trHeight w:val="516"/>
        </w:trPr>
        <w:tc>
          <w:tcPr>
            <w:tcW w:w="2102" w:type="dxa"/>
            <w:tcBorders>
              <w:top w:val="single" w:sz="4" w:space="0" w:color="000000"/>
              <w:left w:val="single" w:sz="4" w:space="0" w:color="000000"/>
              <w:bottom w:val="single" w:sz="4" w:space="0" w:color="000000"/>
              <w:right w:val="single" w:sz="4" w:space="0" w:color="000000"/>
            </w:tcBorders>
          </w:tcPr>
          <w:p w14:paraId="49587E12" w14:textId="77777777" w:rsidR="0081352A" w:rsidRDefault="0081352A">
            <w:pPr>
              <w:widowControl w:val="0"/>
              <w:jc w:val="center"/>
              <w:rPr>
                <w:b/>
                <w:bCs/>
                <w:lang w:val="hu-HU" w:eastAsia="en-US"/>
              </w:rPr>
            </w:pPr>
            <w:r>
              <w:rPr>
                <w:b/>
                <w:bCs/>
                <w:lang w:val="hu-HU" w:eastAsia="en-US"/>
              </w:rPr>
              <w:t>Eltrombopag-dózis, naponta egyszer</w:t>
            </w:r>
          </w:p>
        </w:tc>
        <w:tc>
          <w:tcPr>
            <w:tcW w:w="649" w:type="dxa"/>
            <w:tcBorders>
              <w:top w:val="single" w:sz="4" w:space="0" w:color="000000"/>
              <w:left w:val="single" w:sz="4" w:space="0" w:color="000000"/>
              <w:bottom w:val="single" w:sz="4" w:space="0" w:color="000000"/>
              <w:right w:val="single" w:sz="4" w:space="0" w:color="000000"/>
            </w:tcBorders>
          </w:tcPr>
          <w:p w14:paraId="62E962DC" w14:textId="77777777" w:rsidR="0081352A" w:rsidRDefault="0081352A">
            <w:pPr>
              <w:widowControl w:val="0"/>
              <w:jc w:val="center"/>
              <w:rPr>
                <w:b/>
                <w:bCs/>
                <w:lang w:val="hu-HU" w:eastAsia="en-US"/>
              </w:rPr>
            </w:pPr>
            <w:r>
              <w:rPr>
                <w:b/>
                <w:bCs/>
                <w:lang w:val="hu-HU" w:eastAsia="en-US"/>
              </w:rPr>
              <w:t>N</w:t>
            </w:r>
          </w:p>
        </w:tc>
        <w:tc>
          <w:tcPr>
            <w:tcW w:w="2419" w:type="dxa"/>
            <w:tcBorders>
              <w:top w:val="single" w:sz="4" w:space="0" w:color="000000"/>
              <w:left w:val="single" w:sz="4" w:space="0" w:color="000000"/>
              <w:bottom w:val="single" w:sz="4" w:space="0" w:color="000000"/>
              <w:right w:val="single" w:sz="4" w:space="0" w:color="000000"/>
            </w:tcBorders>
          </w:tcPr>
          <w:p w14:paraId="60B9D7FA" w14:textId="77777777" w:rsidR="0081352A" w:rsidRDefault="0081352A">
            <w:pPr>
              <w:widowControl w:val="0"/>
              <w:jc w:val="center"/>
              <w:rPr>
                <w:b/>
                <w:bCs/>
                <w:lang w:val="hu-HU" w:eastAsia="en-US"/>
              </w:rPr>
            </w:pPr>
            <w:r>
              <w:rPr>
                <w:b/>
                <w:bCs/>
                <w:lang w:val="hu-HU" w:eastAsia="en-US"/>
              </w:rPr>
              <w:t>AUC</w:t>
            </w:r>
            <w:r>
              <w:rPr>
                <w:b/>
                <w:bCs/>
                <w:vertAlign w:val="subscript"/>
                <w:lang w:val="hu-HU" w:eastAsia="en-US"/>
              </w:rPr>
              <w:t>(0-τ)</w:t>
            </w:r>
            <w:r>
              <w:rPr>
                <w:b/>
                <w:bCs/>
                <w:vertAlign w:val="superscript"/>
                <w:lang w:val="hu-HU" w:eastAsia="en-US"/>
              </w:rPr>
              <w:t>a</w:t>
            </w:r>
            <w:r>
              <w:rPr>
                <w:b/>
                <w:bCs/>
                <w:lang w:val="hu-HU" w:eastAsia="en-US"/>
              </w:rPr>
              <w:t>, mikrogramm</w:t>
            </w:r>
            <w:r>
              <w:rPr>
                <w:color w:val="000000"/>
                <w:lang w:val="hu-HU"/>
              </w:rPr>
              <w:t>×</w:t>
            </w:r>
            <w:r>
              <w:rPr>
                <w:b/>
                <w:bCs/>
                <w:lang w:val="hu-HU" w:eastAsia="en-US"/>
              </w:rPr>
              <w:t>óra/ml</w:t>
            </w:r>
          </w:p>
        </w:tc>
        <w:tc>
          <w:tcPr>
            <w:tcW w:w="2370" w:type="dxa"/>
            <w:tcBorders>
              <w:top w:val="single" w:sz="4" w:space="0" w:color="000000"/>
              <w:left w:val="single" w:sz="4" w:space="0" w:color="000000"/>
              <w:bottom w:val="single" w:sz="4" w:space="0" w:color="000000"/>
              <w:right w:val="single" w:sz="4" w:space="0" w:color="000000"/>
            </w:tcBorders>
          </w:tcPr>
          <w:p w14:paraId="549F8C1A" w14:textId="77777777" w:rsidR="0081352A" w:rsidRDefault="0081352A">
            <w:pPr>
              <w:widowControl w:val="0"/>
              <w:jc w:val="center"/>
              <w:rPr>
                <w:b/>
                <w:bCs/>
                <w:lang w:val="hu-HU" w:eastAsia="en-US"/>
              </w:rPr>
            </w:pPr>
            <w:r>
              <w:rPr>
                <w:b/>
                <w:bCs/>
                <w:lang w:val="hu-HU" w:eastAsia="en-US"/>
              </w:rPr>
              <w:t>C</w:t>
            </w:r>
            <w:r>
              <w:rPr>
                <w:b/>
                <w:bCs/>
                <w:vertAlign w:val="subscript"/>
                <w:lang w:val="hu-HU" w:eastAsia="en-US"/>
              </w:rPr>
              <w:t>max</w:t>
            </w:r>
            <w:r>
              <w:rPr>
                <w:b/>
                <w:bCs/>
                <w:vertAlign w:val="superscript"/>
                <w:lang w:val="hu-HU" w:eastAsia="en-US"/>
              </w:rPr>
              <w:t>a</w:t>
            </w:r>
            <w:r>
              <w:rPr>
                <w:b/>
                <w:bCs/>
                <w:lang w:val="hu-HU" w:eastAsia="en-US"/>
              </w:rPr>
              <w:t>, mikrogramm/ml</w:t>
            </w:r>
          </w:p>
        </w:tc>
      </w:tr>
      <w:tr w:rsidR="0081352A" w14:paraId="5840A4F9" w14:textId="77777777" w:rsidTr="006C1619">
        <w:trPr>
          <w:trHeight w:val="263"/>
        </w:trPr>
        <w:tc>
          <w:tcPr>
            <w:tcW w:w="2102" w:type="dxa"/>
            <w:tcBorders>
              <w:top w:val="single" w:sz="4" w:space="0" w:color="000000"/>
              <w:left w:val="single" w:sz="4" w:space="0" w:color="000000"/>
              <w:bottom w:val="single" w:sz="4" w:space="0" w:color="000000"/>
              <w:right w:val="single" w:sz="4" w:space="0" w:color="000000"/>
            </w:tcBorders>
          </w:tcPr>
          <w:p w14:paraId="1EABF43A" w14:textId="77777777" w:rsidR="0081352A" w:rsidRDefault="0081352A">
            <w:pPr>
              <w:widowControl w:val="0"/>
              <w:jc w:val="center"/>
              <w:rPr>
                <w:lang w:val="hu-HU" w:eastAsia="en-US"/>
              </w:rPr>
            </w:pPr>
            <w:r>
              <w:rPr>
                <w:lang w:val="hu-HU" w:eastAsia="en-US"/>
              </w:rPr>
              <w:t>30 mg</w:t>
            </w:r>
          </w:p>
        </w:tc>
        <w:tc>
          <w:tcPr>
            <w:tcW w:w="649" w:type="dxa"/>
            <w:tcBorders>
              <w:top w:val="single" w:sz="4" w:space="0" w:color="000000"/>
              <w:left w:val="single" w:sz="4" w:space="0" w:color="000000"/>
              <w:bottom w:val="single" w:sz="4" w:space="0" w:color="000000"/>
              <w:right w:val="single" w:sz="4" w:space="0" w:color="000000"/>
            </w:tcBorders>
          </w:tcPr>
          <w:p w14:paraId="45C505B3" w14:textId="77777777" w:rsidR="0081352A" w:rsidRDefault="0081352A">
            <w:pPr>
              <w:widowControl w:val="0"/>
              <w:jc w:val="center"/>
              <w:rPr>
                <w:lang w:val="hu-HU" w:eastAsia="en-US"/>
              </w:rPr>
            </w:pPr>
            <w:r>
              <w:rPr>
                <w:lang w:val="hu-HU" w:eastAsia="en-US"/>
              </w:rPr>
              <w:t>28</w:t>
            </w:r>
          </w:p>
        </w:tc>
        <w:tc>
          <w:tcPr>
            <w:tcW w:w="2419" w:type="dxa"/>
            <w:tcBorders>
              <w:top w:val="single" w:sz="4" w:space="0" w:color="000000"/>
              <w:left w:val="single" w:sz="4" w:space="0" w:color="000000"/>
              <w:bottom w:val="single" w:sz="4" w:space="0" w:color="000000"/>
              <w:right w:val="single" w:sz="4" w:space="0" w:color="000000"/>
            </w:tcBorders>
          </w:tcPr>
          <w:p w14:paraId="52D7E6F3" w14:textId="77777777" w:rsidR="0081352A" w:rsidRDefault="0081352A">
            <w:pPr>
              <w:widowControl w:val="0"/>
              <w:jc w:val="center"/>
              <w:rPr>
                <w:lang w:val="hu-HU" w:eastAsia="en-US"/>
              </w:rPr>
            </w:pPr>
            <w:r>
              <w:rPr>
                <w:lang w:val="hu-HU" w:eastAsia="en-US"/>
              </w:rPr>
              <w:t>47 (39; 58)</w:t>
            </w:r>
          </w:p>
        </w:tc>
        <w:tc>
          <w:tcPr>
            <w:tcW w:w="2370" w:type="dxa"/>
            <w:tcBorders>
              <w:top w:val="single" w:sz="4" w:space="0" w:color="000000"/>
              <w:left w:val="single" w:sz="4" w:space="0" w:color="000000"/>
              <w:bottom w:val="single" w:sz="4" w:space="0" w:color="000000"/>
              <w:right w:val="single" w:sz="4" w:space="0" w:color="000000"/>
            </w:tcBorders>
          </w:tcPr>
          <w:p w14:paraId="3FC3DEA1" w14:textId="77777777" w:rsidR="0081352A" w:rsidRDefault="0081352A">
            <w:pPr>
              <w:widowControl w:val="0"/>
              <w:jc w:val="center"/>
              <w:rPr>
                <w:lang w:val="hu-HU" w:eastAsia="en-US"/>
              </w:rPr>
            </w:pPr>
            <w:r>
              <w:rPr>
                <w:lang w:val="hu-HU" w:eastAsia="en-US"/>
              </w:rPr>
              <w:t>3,78 (3,18; 4,49)</w:t>
            </w:r>
          </w:p>
        </w:tc>
      </w:tr>
      <w:tr w:rsidR="0081352A" w14:paraId="571459E5" w14:textId="77777777" w:rsidTr="006C1619">
        <w:trPr>
          <w:trHeight w:val="263"/>
        </w:trPr>
        <w:tc>
          <w:tcPr>
            <w:tcW w:w="2102" w:type="dxa"/>
            <w:tcBorders>
              <w:top w:val="single" w:sz="4" w:space="0" w:color="000000"/>
              <w:left w:val="single" w:sz="4" w:space="0" w:color="000000"/>
              <w:bottom w:val="single" w:sz="4" w:space="0" w:color="000000"/>
              <w:right w:val="single" w:sz="4" w:space="0" w:color="000000"/>
            </w:tcBorders>
          </w:tcPr>
          <w:p w14:paraId="4305C02B" w14:textId="77777777" w:rsidR="0081352A" w:rsidRDefault="0081352A">
            <w:pPr>
              <w:widowControl w:val="0"/>
              <w:jc w:val="center"/>
              <w:rPr>
                <w:lang w:val="hu-HU" w:eastAsia="en-US"/>
              </w:rPr>
            </w:pPr>
            <w:r>
              <w:rPr>
                <w:lang w:val="hu-HU" w:eastAsia="en-US"/>
              </w:rPr>
              <w:t>50 mg</w:t>
            </w:r>
          </w:p>
        </w:tc>
        <w:tc>
          <w:tcPr>
            <w:tcW w:w="649" w:type="dxa"/>
            <w:tcBorders>
              <w:top w:val="single" w:sz="4" w:space="0" w:color="000000"/>
              <w:left w:val="single" w:sz="4" w:space="0" w:color="000000"/>
              <w:bottom w:val="single" w:sz="4" w:space="0" w:color="000000"/>
              <w:right w:val="single" w:sz="4" w:space="0" w:color="000000"/>
            </w:tcBorders>
          </w:tcPr>
          <w:p w14:paraId="4EAA180C" w14:textId="77777777" w:rsidR="0081352A" w:rsidRDefault="0081352A">
            <w:pPr>
              <w:widowControl w:val="0"/>
              <w:jc w:val="center"/>
              <w:rPr>
                <w:lang w:val="hu-HU" w:eastAsia="en-US"/>
              </w:rPr>
            </w:pPr>
            <w:r>
              <w:rPr>
                <w:lang w:val="hu-HU" w:eastAsia="en-US"/>
              </w:rPr>
              <w:t>34</w:t>
            </w:r>
          </w:p>
        </w:tc>
        <w:tc>
          <w:tcPr>
            <w:tcW w:w="2419" w:type="dxa"/>
            <w:tcBorders>
              <w:top w:val="single" w:sz="4" w:space="0" w:color="000000"/>
              <w:left w:val="single" w:sz="4" w:space="0" w:color="000000"/>
              <w:bottom w:val="single" w:sz="4" w:space="0" w:color="000000"/>
              <w:right w:val="single" w:sz="4" w:space="0" w:color="000000"/>
            </w:tcBorders>
          </w:tcPr>
          <w:p w14:paraId="5D0D2827" w14:textId="77777777" w:rsidR="0081352A" w:rsidRDefault="0081352A">
            <w:pPr>
              <w:widowControl w:val="0"/>
              <w:jc w:val="center"/>
              <w:rPr>
                <w:lang w:val="hu-HU" w:eastAsia="en-US"/>
              </w:rPr>
            </w:pPr>
            <w:r>
              <w:rPr>
                <w:lang w:val="hu-HU" w:eastAsia="en-US"/>
              </w:rPr>
              <w:t>108 (88; 134)</w:t>
            </w:r>
          </w:p>
        </w:tc>
        <w:tc>
          <w:tcPr>
            <w:tcW w:w="2370" w:type="dxa"/>
            <w:tcBorders>
              <w:top w:val="single" w:sz="4" w:space="0" w:color="000000"/>
              <w:left w:val="single" w:sz="4" w:space="0" w:color="000000"/>
              <w:bottom w:val="single" w:sz="4" w:space="0" w:color="000000"/>
              <w:right w:val="single" w:sz="4" w:space="0" w:color="000000"/>
            </w:tcBorders>
          </w:tcPr>
          <w:p w14:paraId="5CCA470B" w14:textId="77777777" w:rsidR="0081352A" w:rsidRDefault="0081352A">
            <w:pPr>
              <w:widowControl w:val="0"/>
              <w:jc w:val="center"/>
              <w:rPr>
                <w:lang w:val="hu-HU" w:eastAsia="en-US"/>
              </w:rPr>
            </w:pPr>
            <w:r>
              <w:rPr>
                <w:lang w:val="hu-HU" w:eastAsia="en-US"/>
              </w:rPr>
              <w:t>8,01 (6,73; 9,53)</w:t>
            </w:r>
          </w:p>
        </w:tc>
      </w:tr>
      <w:tr w:rsidR="0081352A" w14:paraId="36151644" w14:textId="77777777" w:rsidTr="006C1619">
        <w:trPr>
          <w:trHeight w:val="263"/>
        </w:trPr>
        <w:tc>
          <w:tcPr>
            <w:tcW w:w="2102" w:type="dxa"/>
            <w:tcBorders>
              <w:top w:val="single" w:sz="4" w:space="0" w:color="000000"/>
              <w:left w:val="single" w:sz="4" w:space="0" w:color="000000"/>
              <w:bottom w:val="single" w:sz="4" w:space="0" w:color="000000"/>
              <w:right w:val="single" w:sz="4" w:space="0" w:color="000000"/>
            </w:tcBorders>
          </w:tcPr>
          <w:p w14:paraId="42C98B6B" w14:textId="77777777" w:rsidR="0081352A" w:rsidRDefault="0081352A">
            <w:pPr>
              <w:widowControl w:val="0"/>
              <w:jc w:val="center"/>
              <w:rPr>
                <w:lang w:val="hu-HU" w:eastAsia="en-US"/>
              </w:rPr>
            </w:pPr>
            <w:r>
              <w:rPr>
                <w:lang w:val="hu-HU" w:eastAsia="en-US"/>
              </w:rPr>
              <w:t>75 mg</w:t>
            </w:r>
          </w:p>
        </w:tc>
        <w:tc>
          <w:tcPr>
            <w:tcW w:w="649" w:type="dxa"/>
            <w:tcBorders>
              <w:top w:val="single" w:sz="4" w:space="0" w:color="000000"/>
              <w:left w:val="single" w:sz="4" w:space="0" w:color="000000"/>
              <w:bottom w:val="single" w:sz="4" w:space="0" w:color="000000"/>
              <w:right w:val="single" w:sz="4" w:space="0" w:color="000000"/>
            </w:tcBorders>
          </w:tcPr>
          <w:p w14:paraId="48F670EC" w14:textId="77777777" w:rsidR="0081352A" w:rsidRDefault="0081352A">
            <w:pPr>
              <w:widowControl w:val="0"/>
              <w:jc w:val="center"/>
              <w:rPr>
                <w:lang w:val="hu-HU" w:eastAsia="en-US"/>
              </w:rPr>
            </w:pPr>
            <w:r>
              <w:rPr>
                <w:lang w:val="hu-HU" w:eastAsia="en-US"/>
              </w:rPr>
              <w:t>26</w:t>
            </w:r>
          </w:p>
        </w:tc>
        <w:tc>
          <w:tcPr>
            <w:tcW w:w="2419" w:type="dxa"/>
            <w:tcBorders>
              <w:top w:val="single" w:sz="4" w:space="0" w:color="000000"/>
              <w:left w:val="single" w:sz="4" w:space="0" w:color="000000"/>
              <w:bottom w:val="single" w:sz="4" w:space="0" w:color="000000"/>
              <w:right w:val="single" w:sz="4" w:space="0" w:color="000000"/>
            </w:tcBorders>
          </w:tcPr>
          <w:p w14:paraId="6C0A9A93" w14:textId="77777777" w:rsidR="0081352A" w:rsidRDefault="0081352A">
            <w:pPr>
              <w:widowControl w:val="0"/>
              <w:jc w:val="center"/>
              <w:rPr>
                <w:lang w:val="hu-HU" w:eastAsia="en-US"/>
              </w:rPr>
            </w:pPr>
            <w:r>
              <w:rPr>
                <w:lang w:val="hu-HU" w:eastAsia="en-US"/>
              </w:rPr>
              <w:t>168 (143; 198)</w:t>
            </w:r>
          </w:p>
        </w:tc>
        <w:tc>
          <w:tcPr>
            <w:tcW w:w="2370" w:type="dxa"/>
            <w:tcBorders>
              <w:top w:val="single" w:sz="4" w:space="0" w:color="000000"/>
              <w:left w:val="single" w:sz="4" w:space="0" w:color="000000"/>
              <w:bottom w:val="single" w:sz="4" w:space="0" w:color="000000"/>
              <w:right w:val="single" w:sz="4" w:space="0" w:color="000000"/>
            </w:tcBorders>
          </w:tcPr>
          <w:p w14:paraId="6DD8ED50" w14:textId="77777777" w:rsidR="0081352A" w:rsidRDefault="0081352A">
            <w:pPr>
              <w:widowControl w:val="0"/>
              <w:jc w:val="center"/>
              <w:rPr>
                <w:lang w:val="hu-HU" w:eastAsia="en-US"/>
              </w:rPr>
            </w:pPr>
            <w:r>
              <w:rPr>
                <w:lang w:val="hu-HU" w:eastAsia="en-US"/>
              </w:rPr>
              <w:t>12,7 (11,0; 14,5)</w:t>
            </w:r>
          </w:p>
        </w:tc>
      </w:tr>
    </w:tbl>
    <w:p w14:paraId="62040073" w14:textId="77777777" w:rsidR="00342CEA" w:rsidRDefault="00837BAB">
      <w:pPr>
        <w:autoSpaceDE w:val="0"/>
        <w:autoSpaceDN w:val="0"/>
        <w:spacing w:line="240" w:lineRule="auto"/>
        <w:rPr>
          <w:lang w:val="hu-HU"/>
        </w:rPr>
      </w:pPr>
      <w:r>
        <w:rPr>
          <w:lang w:val="hu-HU"/>
        </w:rPr>
        <w:t xml:space="preserve">a </w:t>
      </w:r>
      <w:r>
        <w:rPr>
          <w:lang w:val="hu-HU"/>
        </w:rPr>
        <w:tab/>
        <w:t>AUC</w:t>
      </w:r>
      <w:r>
        <w:rPr>
          <w:vertAlign w:val="subscript"/>
          <w:lang w:val="hu-HU"/>
        </w:rPr>
        <w:t>(0-</w:t>
      </w:r>
      <w:r>
        <w:rPr>
          <w:rFonts w:eastAsia="Segoe UI Symbol"/>
          <w:vertAlign w:val="subscript"/>
          <w:lang w:val="hu-HU"/>
        </w:rPr>
        <w:t>τ</w:t>
      </w:r>
      <w:r>
        <w:rPr>
          <w:vertAlign w:val="subscript"/>
          <w:lang w:val="hu-HU"/>
        </w:rPr>
        <w:t>)</w:t>
      </w:r>
      <w:r>
        <w:rPr>
          <w:lang w:val="hu-HU"/>
        </w:rPr>
        <w:t xml:space="preserve"> és C</w:t>
      </w:r>
      <w:r>
        <w:rPr>
          <w:vertAlign w:val="subscript"/>
          <w:lang w:val="hu-HU"/>
        </w:rPr>
        <w:t>max</w:t>
      </w:r>
      <w:r>
        <w:rPr>
          <w:lang w:val="hu-HU"/>
        </w:rPr>
        <w:t xml:space="preserve">, </w:t>
      </w:r>
      <w:r>
        <w:rPr>
          <w:lang w:val="hu-HU" w:eastAsia="en-GB"/>
        </w:rPr>
        <w:t xml:space="preserve">populációs PK </w:t>
      </w:r>
      <w:r>
        <w:rPr>
          <w:i/>
          <w:lang w:val="hu-HU" w:eastAsia="en-GB"/>
        </w:rPr>
        <w:t xml:space="preserve">post hoc </w:t>
      </w:r>
      <w:r>
        <w:rPr>
          <w:lang w:val="hu-HU" w:eastAsia="en-GB"/>
        </w:rPr>
        <w:t>becslés alapján</w:t>
      </w:r>
    </w:p>
    <w:p w14:paraId="4E921C22" w14:textId="77777777" w:rsidR="00342CEA" w:rsidRDefault="00342CEA">
      <w:pPr>
        <w:tabs>
          <w:tab w:val="clear" w:pos="567"/>
        </w:tabs>
        <w:autoSpaceDE w:val="0"/>
        <w:autoSpaceDN w:val="0"/>
        <w:spacing w:line="240" w:lineRule="auto"/>
        <w:rPr>
          <w:lang w:val="hu-HU"/>
        </w:rPr>
      </w:pPr>
    </w:p>
    <w:p w14:paraId="564E34D1" w14:textId="77777777" w:rsidR="00342CEA" w:rsidRDefault="00837BAB">
      <w:pPr>
        <w:tabs>
          <w:tab w:val="clear" w:pos="567"/>
        </w:tabs>
        <w:autoSpaceDE w:val="0"/>
        <w:autoSpaceDN w:val="0"/>
        <w:spacing w:line="240" w:lineRule="auto"/>
        <w:rPr>
          <w:lang w:val="hu-HU"/>
        </w:rPr>
      </w:pPr>
      <w:r>
        <w:rPr>
          <w:lang w:val="hu-HU" w:eastAsia="en-GB"/>
        </w:rPr>
        <w:t>A TPL103922/ENABLE 1 és TPL108390/ENABLE 2 III. fázisú vizsgálatokba beválogatott 590 HCV</w:t>
      </w:r>
      <w:r>
        <w:rPr>
          <w:lang w:val="hu-HU" w:eastAsia="en-GB"/>
        </w:rPr>
        <w:noBreakHyphen/>
        <w:t>s betegnél gyűjtött plazma eltrombopag koncentráció</w:t>
      </w:r>
      <w:r>
        <w:rPr>
          <w:lang w:val="hu-HU" w:eastAsia="en-GB"/>
        </w:rPr>
        <w:noBreakHyphen/>
        <w:t>idő adatokat kiegészítették a TPL102357 II. fázisú vizsgálat HCV</w:t>
      </w:r>
      <w:r>
        <w:rPr>
          <w:lang w:val="hu-HU" w:eastAsia="en-GB"/>
        </w:rPr>
        <w:noBreakHyphen/>
        <w:t>s betegeinek adataival, valamint egy populációs farmakokinetikai (PK) analízis egészséges felnőtt alanyainak adataival. A III. fázisú vizsgálatokba bevont HCV</w:t>
      </w:r>
      <w:r>
        <w:rPr>
          <w:lang w:val="hu-HU" w:eastAsia="en-GB"/>
        </w:rPr>
        <w:noBreakHyphen/>
        <w:t>s betegekre vonatkozó plazma eltrombopag C</w:t>
      </w:r>
      <w:r>
        <w:rPr>
          <w:vertAlign w:val="subscript"/>
          <w:lang w:val="hu-HU" w:eastAsia="en-GB"/>
        </w:rPr>
        <w:t>max</w:t>
      </w:r>
      <w:r>
        <w:rPr>
          <w:lang w:val="hu-HU" w:eastAsia="en-GB"/>
        </w:rPr>
        <w:t xml:space="preserve"> és AUC(</w:t>
      </w:r>
      <w:r>
        <w:rPr>
          <w:vertAlign w:val="subscript"/>
          <w:lang w:val="hu-HU" w:eastAsia="en-GB"/>
        </w:rPr>
        <w:t>0-τ</w:t>
      </w:r>
      <w:r>
        <w:rPr>
          <w:lang w:val="hu-HU" w:eastAsia="en-GB"/>
        </w:rPr>
        <w:t>) becsült értékeket az összes dózisra vonatkozóan a 10. táblázat tartalmazza.</w:t>
      </w:r>
    </w:p>
    <w:p w14:paraId="114D286B" w14:textId="77777777" w:rsidR="00342CEA" w:rsidRDefault="00342CEA">
      <w:pPr>
        <w:tabs>
          <w:tab w:val="clear" w:pos="567"/>
        </w:tabs>
        <w:autoSpaceDE w:val="0"/>
        <w:autoSpaceDN w:val="0"/>
        <w:spacing w:line="240" w:lineRule="auto"/>
        <w:rPr>
          <w:lang w:val="hu-HU"/>
        </w:rPr>
      </w:pPr>
    </w:p>
    <w:p w14:paraId="58145953" w14:textId="77777777" w:rsidR="00342CEA" w:rsidRDefault="00837BAB">
      <w:pPr>
        <w:tabs>
          <w:tab w:val="clear" w:pos="567"/>
        </w:tabs>
        <w:autoSpaceDE w:val="0"/>
        <w:autoSpaceDN w:val="0"/>
        <w:spacing w:line="240" w:lineRule="auto"/>
        <w:ind w:left="1134" w:hanging="1134"/>
        <w:rPr>
          <w:b/>
          <w:bCs/>
          <w:lang w:val="hu-HU" w:eastAsia="en-GB"/>
        </w:rPr>
      </w:pPr>
      <w:r>
        <w:rPr>
          <w:b/>
          <w:bCs/>
          <w:lang w:val="hu-HU" w:eastAsia="en-GB"/>
        </w:rPr>
        <w:t>10. táblázat</w:t>
      </w:r>
      <w:r>
        <w:rPr>
          <w:b/>
          <w:bCs/>
          <w:lang w:val="hu-HU" w:eastAsia="en-GB"/>
        </w:rPr>
        <w:tab/>
        <w:t>A plazma eltrombopagszint dinamikus egyensúlyi farmakokinetikai paramétereinek mértani középértéke (95%</w:t>
      </w:r>
      <w:r>
        <w:rPr>
          <w:b/>
          <w:bCs/>
          <w:lang w:val="hu-HU" w:eastAsia="en-GB"/>
        </w:rPr>
        <w:noBreakHyphen/>
        <w:t>os CI) krónikus HCV</w:t>
      </w:r>
      <w:r>
        <w:rPr>
          <w:b/>
          <w:bCs/>
          <w:lang w:val="hu-HU" w:eastAsia="en-GB"/>
        </w:rPr>
        <w:noBreakHyphen/>
        <w:t>s betegeknél</w:t>
      </w:r>
    </w:p>
    <w:p w14:paraId="53C2889F" w14:textId="77777777" w:rsidR="00A22B1E" w:rsidRDefault="00A22B1E">
      <w:pPr>
        <w:tabs>
          <w:tab w:val="clear" w:pos="567"/>
        </w:tabs>
        <w:autoSpaceDE w:val="0"/>
        <w:autoSpaceDN w:val="0"/>
        <w:spacing w:line="240" w:lineRule="auto"/>
        <w:ind w:left="1134" w:hanging="1134"/>
        <w:rPr>
          <w:b/>
          <w:bCs/>
          <w:lang w:val="hu-HU"/>
        </w:rPr>
      </w:pPr>
    </w:p>
    <w:tbl>
      <w:tblPr>
        <w:tblW w:w="8309" w:type="dxa"/>
        <w:tblInd w:w="-5" w:type="dxa"/>
        <w:tblBorders>
          <w:top w:val="nil"/>
          <w:left w:val="nil"/>
          <w:bottom w:val="nil"/>
          <w:right w:val="nil"/>
          <w:insideH w:val="nil"/>
          <w:insideV w:val="nil"/>
        </w:tblBorders>
        <w:tblCellMar>
          <w:top w:w="14" w:type="dxa"/>
          <w:left w:w="115" w:type="dxa"/>
          <w:right w:w="115" w:type="dxa"/>
        </w:tblCellMar>
        <w:tblLook w:val="04A0" w:firstRow="1" w:lastRow="0" w:firstColumn="1" w:lastColumn="0" w:noHBand="0" w:noVBand="1"/>
      </w:tblPr>
      <w:tblGrid>
        <w:gridCol w:w="2405"/>
        <w:gridCol w:w="1224"/>
        <w:gridCol w:w="2340"/>
        <w:gridCol w:w="2340"/>
      </w:tblGrid>
      <w:tr w:rsidR="00342CEA" w14:paraId="4A453BB9" w14:textId="77777777">
        <w:trPr>
          <w:trHeight w:val="548"/>
        </w:trPr>
        <w:tc>
          <w:tcPr>
            <w:tcW w:w="2405" w:type="dxa"/>
            <w:tcBorders>
              <w:top w:val="single" w:sz="4" w:space="0" w:color="000000"/>
              <w:left w:val="single" w:sz="4" w:space="0" w:color="000000"/>
              <w:bottom w:val="single" w:sz="4" w:space="0" w:color="000000"/>
              <w:right w:val="single" w:sz="4" w:space="0" w:color="000000"/>
            </w:tcBorders>
          </w:tcPr>
          <w:p w14:paraId="1FB3B7CC" w14:textId="77777777" w:rsidR="00342CEA" w:rsidRDefault="00837BAB">
            <w:pPr>
              <w:widowControl w:val="0"/>
              <w:jc w:val="center"/>
              <w:rPr>
                <w:b/>
                <w:bCs/>
                <w:lang w:val="hu-HU" w:eastAsia="en-US"/>
              </w:rPr>
            </w:pPr>
            <w:r>
              <w:rPr>
                <w:b/>
                <w:bCs/>
                <w:lang w:val="hu-HU" w:eastAsia="en-US"/>
              </w:rPr>
              <w:t>Eltrombopag-dózis, naponta egyszer</w:t>
            </w:r>
          </w:p>
        </w:tc>
        <w:tc>
          <w:tcPr>
            <w:tcW w:w="1224" w:type="dxa"/>
            <w:tcBorders>
              <w:top w:val="single" w:sz="4" w:space="0" w:color="000000"/>
              <w:left w:val="single" w:sz="4" w:space="0" w:color="000000"/>
              <w:bottom w:val="single" w:sz="4" w:space="0" w:color="000000"/>
              <w:right w:val="single" w:sz="4" w:space="0" w:color="000000"/>
            </w:tcBorders>
          </w:tcPr>
          <w:p w14:paraId="4C9EBD23" w14:textId="77777777" w:rsidR="00342CEA" w:rsidRDefault="00837BAB">
            <w:pPr>
              <w:widowControl w:val="0"/>
              <w:jc w:val="center"/>
              <w:rPr>
                <w:b/>
                <w:bCs/>
                <w:lang w:val="hu-HU" w:eastAsia="en-US"/>
              </w:rPr>
            </w:pPr>
            <w:r>
              <w:rPr>
                <w:b/>
                <w:bCs/>
                <w:lang w:val="hu-HU" w:eastAsia="en-US"/>
              </w:rPr>
              <w:t>N</w:t>
            </w:r>
          </w:p>
        </w:tc>
        <w:tc>
          <w:tcPr>
            <w:tcW w:w="2340" w:type="dxa"/>
            <w:tcBorders>
              <w:top w:val="single" w:sz="4" w:space="0" w:color="000000"/>
              <w:left w:val="single" w:sz="4" w:space="0" w:color="000000"/>
              <w:bottom w:val="single" w:sz="4" w:space="0" w:color="000000"/>
              <w:right w:val="single" w:sz="4" w:space="0" w:color="000000"/>
            </w:tcBorders>
          </w:tcPr>
          <w:p w14:paraId="00CAD21E" w14:textId="77777777" w:rsidR="00342CEA" w:rsidRDefault="00837BAB">
            <w:pPr>
              <w:widowControl w:val="0"/>
              <w:jc w:val="center"/>
              <w:rPr>
                <w:b/>
                <w:bCs/>
                <w:lang w:val="hu-HU" w:eastAsia="en-US"/>
              </w:rPr>
            </w:pPr>
            <w:r>
              <w:rPr>
                <w:b/>
                <w:bCs/>
                <w:lang w:val="hu-HU" w:eastAsia="en-US"/>
              </w:rPr>
              <w:t>AUC</w:t>
            </w:r>
            <w:r>
              <w:rPr>
                <w:b/>
                <w:bCs/>
                <w:vertAlign w:val="subscript"/>
                <w:lang w:val="hu-HU" w:eastAsia="en-US"/>
              </w:rPr>
              <w:t>(0-τ)</w:t>
            </w:r>
            <w:r>
              <w:rPr>
                <w:b/>
                <w:bCs/>
                <w:lang w:val="hu-HU" w:eastAsia="en-US"/>
              </w:rPr>
              <w:t xml:space="preserve"> (</w:t>
            </w:r>
            <w:r>
              <w:rPr>
                <w:b/>
                <w:bCs/>
                <w:lang w:val="hu-HU"/>
              </w:rPr>
              <w:t>μg</w:t>
            </w:r>
            <w:r>
              <w:rPr>
                <w:color w:val="000000"/>
                <w:lang w:val="hu-HU"/>
              </w:rPr>
              <w:t>×</w:t>
            </w:r>
            <w:r>
              <w:rPr>
                <w:b/>
                <w:bCs/>
                <w:lang w:val="hu-HU" w:eastAsia="en-US"/>
              </w:rPr>
              <w:t>óra/ml)</w:t>
            </w:r>
          </w:p>
        </w:tc>
        <w:tc>
          <w:tcPr>
            <w:tcW w:w="2340" w:type="dxa"/>
            <w:tcBorders>
              <w:top w:val="single" w:sz="4" w:space="0" w:color="000000"/>
              <w:left w:val="single" w:sz="4" w:space="0" w:color="000000"/>
              <w:bottom w:val="single" w:sz="4" w:space="0" w:color="000000"/>
              <w:right w:val="single" w:sz="4" w:space="0" w:color="000000"/>
            </w:tcBorders>
          </w:tcPr>
          <w:p w14:paraId="7FEB79AC" w14:textId="77777777" w:rsidR="00342CEA" w:rsidRDefault="00837BAB">
            <w:pPr>
              <w:widowControl w:val="0"/>
              <w:jc w:val="center"/>
              <w:rPr>
                <w:b/>
                <w:bCs/>
                <w:lang w:val="hu-HU" w:eastAsia="en-US"/>
              </w:rPr>
            </w:pPr>
            <w:r>
              <w:rPr>
                <w:b/>
                <w:bCs/>
                <w:lang w:val="hu-HU" w:eastAsia="en-US"/>
              </w:rPr>
              <w:t>C</w:t>
            </w:r>
            <w:r>
              <w:rPr>
                <w:b/>
                <w:bCs/>
                <w:vertAlign w:val="subscript"/>
                <w:lang w:val="hu-HU" w:eastAsia="en-US"/>
              </w:rPr>
              <w:t>max</w:t>
            </w:r>
            <w:r>
              <w:rPr>
                <w:b/>
                <w:bCs/>
                <w:lang w:val="hu-HU" w:eastAsia="en-US"/>
              </w:rPr>
              <w:t>,</w:t>
            </w:r>
          </w:p>
          <w:p w14:paraId="07A7C535" w14:textId="77777777" w:rsidR="00342CEA" w:rsidRDefault="00837BAB">
            <w:pPr>
              <w:widowControl w:val="0"/>
              <w:jc w:val="center"/>
              <w:rPr>
                <w:b/>
                <w:bCs/>
                <w:lang w:val="hu-HU" w:eastAsia="en-US"/>
              </w:rPr>
            </w:pPr>
            <w:r>
              <w:rPr>
                <w:b/>
                <w:bCs/>
                <w:lang w:val="hu-HU"/>
              </w:rPr>
              <w:t>(μg</w:t>
            </w:r>
            <w:r>
              <w:rPr>
                <w:b/>
                <w:bCs/>
                <w:lang w:val="hu-HU" w:eastAsia="en-US"/>
              </w:rPr>
              <w:t>/ml)</w:t>
            </w:r>
          </w:p>
        </w:tc>
      </w:tr>
      <w:tr w:rsidR="00342CEA" w14:paraId="00DEBE7D" w14:textId="77777777">
        <w:trPr>
          <w:trHeight w:val="516"/>
        </w:trPr>
        <w:tc>
          <w:tcPr>
            <w:tcW w:w="2405" w:type="dxa"/>
            <w:tcBorders>
              <w:top w:val="single" w:sz="4" w:space="0" w:color="000000"/>
              <w:left w:val="single" w:sz="4" w:space="0" w:color="000000"/>
              <w:bottom w:val="single" w:sz="4" w:space="0" w:color="000000"/>
              <w:right w:val="single" w:sz="4" w:space="0" w:color="000000"/>
            </w:tcBorders>
          </w:tcPr>
          <w:p w14:paraId="5D110E42" w14:textId="77777777" w:rsidR="00342CEA" w:rsidRDefault="00837BAB">
            <w:pPr>
              <w:widowControl w:val="0"/>
              <w:jc w:val="center"/>
              <w:rPr>
                <w:lang w:val="hu-HU" w:eastAsia="en-US"/>
              </w:rPr>
            </w:pPr>
            <w:r>
              <w:rPr>
                <w:lang w:val="hu-HU" w:eastAsia="en-US"/>
              </w:rPr>
              <w:t>25 mg</w:t>
            </w:r>
          </w:p>
        </w:tc>
        <w:tc>
          <w:tcPr>
            <w:tcW w:w="1224" w:type="dxa"/>
            <w:tcBorders>
              <w:top w:val="single" w:sz="4" w:space="0" w:color="000000"/>
              <w:left w:val="single" w:sz="4" w:space="0" w:color="000000"/>
              <w:bottom w:val="single" w:sz="4" w:space="0" w:color="000000"/>
              <w:right w:val="single" w:sz="4" w:space="0" w:color="000000"/>
            </w:tcBorders>
          </w:tcPr>
          <w:p w14:paraId="725CE2F3" w14:textId="77777777" w:rsidR="00342CEA" w:rsidRDefault="00837BAB">
            <w:pPr>
              <w:widowControl w:val="0"/>
              <w:jc w:val="center"/>
              <w:rPr>
                <w:lang w:val="hu-HU" w:eastAsia="en-US"/>
              </w:rPr>
            </w:pPr>
            <w:r>
              <w:rPr>
                <w:lang w:val="hu-HU" w:eastAsia="en-US"/>
              </w:rPr>
              <w:t>330</w:t>
            </w:r>
          </w:p>
        </w:tc>
        <w:tc>
          <w:tcPr>
            <w:tcW w:w="2340" w:type="dxa"/>
            <w:tcBorders>
              <w:top w:val="single" w:sz="4" w:space="0" w:color="000000"/>
              <w:left w:val="single" w:sz="4" w:space="0" w:color="000000"/>
              <w:bottom w:val="single" w:sz="4" w:space="0" w:color="000000"/>
              <w:right w:val="single" w:sz="4" w:space="0" w:color="000000"/>
            </w:tcBorders>
          </w:tcPr>
          <w:p w14:paraId="707B7079" w14:textId="77777777" w:rsidR="00342CEA" w:rsidRDefault="00837BAB">
            <w:pPr>
              <w:widowControl w:val="0"/>
              <w:jc w:val="center"/>
              <w:rPr>
                <w:lang w:val="hu-HU" w:eastAsia="en-US"/>
              </w:rPr>
            </w:pPr>
            <w:r>
              <w:rPr>
                <w:lang w:val="hu-HU" w:eastAsia="en-US"/>
              </w:rPr>
              <w:t>118</w:t>
            </w:r>
          </w:p>
          <w:p w14:paraId="4A96B6E3" w14:textId="77777777" w:rsidR="00342CEA" w:rsidRDefault="00837BAB">
            <w:pPr>
              <w:widowControl w:val="0"/>
              <w:jc w:val="center"/>
              <w:rPr>
                <w:lang w:val="hu-HU" w:eastAsia="en-US"/>
              </w:rPr>
            </w:pPr>
            <w:r>
              <w:rPr>
                <w:lang w:val="hu-HU" w:eastAsia="en-US"/>
              </w:rPr>
              <w:t>(109; 128)</w:t>
            </w:r>
          </w:p>
        </w:tc>
        <w:tc>
          <w:tcPr>
            <w:tcW w:w="2340" w:type="dxa"/>
            <w:tcBorders>
              <w:top w:val="single" w:sz="4" w:space="0" w:color="000000"/>
              <w:left w:val="single" w:sz="4" w:space="0" w:color="000000"/>
              <w:bottom w:val="single" w:sz="4" w:space="0" w:color="000000"/>
              <w:right w:val="single" w:sz="4" w:space="0" w:color="000000"/>
            </w:tcBorders>
          </w:tcPr>
          <w:p w14:paraId="12F2EFB8" w14:textId="77777777" w:rsidR="00342CEA" w:rsidRDefault="00837BAB">
            <w:pPr>
              <w:widowControl w:val="0"/>
              <w:jc w:val="center"/>
              <w:rPr>
                <w:lang w:val="hu-HU" w:eastAsia="en-US"/>
              </w:rPr>
            </w:pPr>
            <w:r>
              <w:rPr>
                <w:lang w:val="hu-HU" w:eastAsia="en-US"/>
              </w:rPr>
              <w:t>6,40</w:t>
            </w:r>
          </w:p>
          <w:p w14:paraId="0CE323BD" w14:textId="77777777" w:rsidR="00342CEA" w:rsidRDefault="00837BAB">
            <w:pPr>
              <w:widowControl w:val="0"/>
              <w:jc w:val="center"/>
              <w:rPr>
                <w:lang w:val="hu-HU" w:eastAsia="en-US"/>
              </w:rPr>
            </w:pPr>
            <w:r>
              <w:rPr>
                <w:lang w:val="hu-HU" w:eastAsia="en-US"/>
              </w:rPr>
              <w:t>(5,97; 6,86)</w:t>
            </w:r>
          </w:p>
        </w:tc>
      </w:tr>
      <w:tr w:rsidR="00342CEA" w14:paraId="1F92ECF6" w14:textId="77777777">
        <w:trPr>
          <w:trHeight w:val="516"/>
        </w:trPr>
        <w:tc>
          <w:tcPr>
            <w:tcW w:w="2405" w:type="dxa"/>
            <w:tcBorders>
              <w:top w:val="single" w:sz="4" w:space="0" w:color="000000"/>
              <w:left w:val="single" w:sz="4" w:space="0" w:color="000000"/>
              <w:bottom w:val="single" w:sz="4" w:space="0" w:color="000000"/>
              <w:right w:val="single" w:sz="4" w:space="0" w:color="000000"/>
            </w:tcBorders>
          </w:tcPr>
          <w:p w14:paraId="7C3E770E" w14:textId="77777777" w:rsidR="00342CEA" w:rsidRDefault="00837BAB">
            <w:pPr>
              <w:widowControl w:val="0"/>
              <w:jc w:val="center"/>
              <w:rPr>
                <w:lang w:val="hu-HU" w:eastAsia="en-US"/>
              </w:rPr>
            </w:pPr>
            <w:r>
              <w:rPr>
                <w:lang w:val="hu-HU" w:eastAsia="en-US"/>
              </w:rPr>
              <w:t>50 mg</w:t>
            </w:r>
          </w:p>
        </w:tc>
        <w:tc>
          <w:tcPr>
            <w:tcW w:w="1224" w:type="dxa"/>
            <w:tcBorders>
              <w:top w:val="single" w:sz="4" w:space="0" w:color="000000"/>
              <w:left w:val="single" w:sz="4" w:space="0" w:color="000000"/>
              <w:bottom w:val="single" w:sz="4" w:space="0" w:color="000000"/>
              <w:right w:val="single" w:sz="4" w:space="0" w:color="000000"/>
            </w:tcBorders>
          </w:tcPr>
          <w:p w14:paraId="036A5664" w14:textId="77777777" w:rsidR="00342CEA" w:rsidRDefault="00837BAB">
            <w:pPr>
              <w:widowControl w:val="0"/>
              <w:jc w:val="center"/>
              <w:rPr>
                <w:lang w:val="hu-HU" w:eastAsia="en-US"/>
              </w:rPr>
            </w:pPr>
            <w:r>
              <w:rPr>
                <w:lang w:val="hu-HU" w:eastAsia="en-US"/>
              </w:rPr>
              <w:t>119</w:t>
            </w:r>
          </w:p>
        </w:tc>
        <w:tc>
          <w:tcPr>
            <w:tcW w:w="2340" w:type="dxa"/>
            <w:tcBorders>
              <w:top w:val="single" w:sz="4" w:space="0" w:color="000000"/>
              <w:left w:val="single" w:sz="4" w:space="0" w:color="000000"/>
              <w:bottom w:val="single" w:sz="4" w:space="0" w:color="000000"/>
              <w:right w:val="single" w:sz="4" w:space="0" w:color="000000"/>
            </w:tcBorders>
          </w:tcPr>
          <w:p w14:paraId="2180F48D" w14:textId="77777777" w:rsidR="00342CEA" w:rsidRDefault="00837BAB">
            <w:pPr>
              <w:widowControl w:val="0"/>
              <w:jc w:val="center"/>
              <w:rPr>
                <w:lang w:val="hu-HU" w:eastAsia="en-US"/>
              </w:rPr>
            </w:pPr>
            <w:r>
              <w:rPr>
                <w:lang w:val="hu-HU" w:eastAsia="en-US"/>
              </w:rPr>
              <w:t>166</w:t>
            </w:r>
          </w:p>
          <w:p w14:paraId="6B327DDE" w14:textId="77777777" w:rsidR="00342CEA" w:rsidRDefault="00837BAB">
            <w:pPr>
              <w:widowControl w:val="0"/>
              <w:jc w:val="center"/>
              <w:rPr>
                <w:lang w:val="hu-HU" w:eastAsia="en-US"/>
              </w:rPr>
            </w:pPr>
            <w:r>
              <w:rPr>
                <w:lang w:val="hu-HU" w:eastAsia="en-US"/>
              </w:rPr>
              <w:t>(143; 192)</w:t>
            </w:r>
          </w:p>
        </w:tc>
        <w:tc>
          <w:tcPr>
            <w:tcW w:w="2340" w:type="dxa"/>
            <w:tcBorders>
              <w:top w:val="single" w:sz="4" w:space="0" w:color="000000"/>
              <w:left w:val="single" w:sz="4" w:space="0" w:color="000000"/>
              <w:bottom w:val="single" w:sz="4" w:space="0" w:color="000000"/>
              <w:right w:val="single" w:sz="4" w:space="0" w:color="000000"/>
            </w:tcBorders>
          </w:tcPr>
          <w:p w14:paraId="0B1393C7" w14:textId="77777777" w:rsidR="00342CEA" w:rsidRDefault="00837BAB">
            <w:pPr>
              <w:widowControl w:val="0"/>
              <w:jc w:val="center"/>
              <w:rPr>
                <w:lang w:val="hu-HU" w:eastAsia="en-US"/>
              </w:rPr>
            </w:pPr>
            <w:r>
              <w:rPr>
                <w:lang w:val="hu-HU" w:eastAsia="en-US"/>
              </w:rPr>
              <w:t>9,08</w:t>
            </w:r>
          </w:p>
          <w:p w14:paraId="091902F3" w14:textId="77777777" w:rsidR="00342CEA" w:rsidRDefault="00837BAB">
            <w:pPr>
              <w:widowControl w:val="0"/>
              <w:jc w:val="center"/>
              <w:rPr>
                <w:lang w:val="hu-HU" w:eastAsia="en-US"/>
              </w:rPr>
            </w:pPr>
            <w:r>
              <w:rPr>
                <w:lang w:val="hu-HU" w:eastAsia="en-US"/>
              </w:rPr>
              <w:t>(7,96; 10,35)</w:t>
            </w:r>
          </w:p>
        </w:tc>
      </w:tr>
      <w:tr w:rsidR="00342CEA" w14:paraId="0564987B" w14:textId="77777777">
        <w:trPr>
          <w:trHeight w:val="516"/>
        </w:trPr>
        <w:tc>
          <w:tcPr>
            <w:tcW w:w="2405" w:type="dxa"/>
            <w:tcBorders>
              <w:top w:val="single" w:sz="4" w:space="0" w:color="000000"/>
              <w:left w:val="single" w:sz="4" w:space="0" w:color="000000"/>
              <w:bottom w:val="single" w:sz="4" w:space="0" w:color="000000"/>
              <w:right w:val="single" w:sz="4" w:space="0" w:color="000000"/>
            </w:tcBorders>
          </w:tcPr>
          <w:p w14:paraId="6299542F" w14:textId="77777777" w:rsidR="00342CEA" w:rsidRDefault="00837BAB">
            <w:pPr>
              <w:widowControl w:val="0"/>
              <w:jc w:val="center"/>
              <w:rPr>
                <w:lang w:val="hu-HU" w:eastAsia="en-US"/>
              </w:rPr>
            </w:pPr>
            <w:r>
              <w:rPr>
                <w:lang w:val="hu-HU" w:eastAsia="en-US"/>
              </w:rPr>
              <w:lastRenderedPageBreak/>
              <w:t>75 mg</w:t>
            </w:r>
          </w:p>
        </w:tc>
        <w:tc>
          <w:tcPr>
            <w:tcW w:w="1224" w:type="dxa"/>
            <w:tcBorders>
              <w:top w:val="single" w:sz="4" w:space="0" w:color="000000"/>
              <w:left w:val="single" w:sz="4" w:space="0" w:color="000000"/>
              <w:bottom w:val="single" w:sz="4" w:space="0" w:color="000000"/>
              <w:right w:val="single" w:sz="4" w:space="0" w:color="000000"/>
            </w:tcBorders>
          </w:tcPr>
          <w:p w14:paraId="2F3F7F78" w14:textId="77777777" w:rsidR="00342CEA" w:rsidRDefault="00837BAB">
            <w:pPr>
              <w:widowControl w:val="0"/>
              <w:jc w:val="center"/>
              <w:rPr>
                <w:lang w:val="hu-HU" w:eastAsia="en-US"/>
              </w:rPr>
            </w:pPr>
            <w:r>
              <w:rPr>
                <w:lang w:val="hu-HU" w:eastAsia="en-US"/>
              </w:rPr>
              <w:t>45</w:t>
            </w:r>
          </w:p>
        </w:tc>
        <w:tc>
          <w:tcPr>
            <w:tcW w:w="2340" w:type="dxa"/>
            <w:tcBorders>
              <w:top w:val="single" w:sz="4" w:space="0" w:color="000000"/>
              <w:left w:val="single" w:sz="4" w:space="0" w:color="000000"/>
              <w:bottom w:val="single" w:sz="4" w:space="0" w:color="000000"/>
              <w:right w:val="single" w:sz="4" w:space="0" w:color="000000"/>
            </w:tcBorders>
          </w:tcPr>
          <w:p w14:paraId="3209E3C1" w14:textId="77777777" w:rsidR="00342CEA" w:rsidRDefault="00837BAB">
            <w:pPr>
              <w:widowControl w:val="0"/>
              <w:jc w:val="center"/>
              <w:rPr>
                <w:lang w:val="hu-HU" w:eastAsia="en-US"/>
              </w:rPr>
            </w:pPr>
            <w:r>
              <w:rPr>
                <w:lang w:val="hu-HU" w:eastAsia="en-US"/>
              </w:rPr>
              <w:t>301</w:t>
            </w:r>
          </w:p>
          <w:p w14:paraId="40732FB1" w14:textId="77777777" w:rsidR="00342CEA" w:rsidRDefault="00837BAB">
            <w:pPr>
              <w:widowControl w:val="0"/>
              <w:jc w:val="center"/>
              <w:rPr>
                <w:lang w:val="hu-HU" w:eastAsia="en-US"/>
              </w:rPr>
            </w:pPr>
            <w:r>
              <w:rPr>
                <w:lang w:val="hu-HU" w:eastAsia="en-US"/>
              </w:rPr>
              <w:t>(250; 363)</w:t>
            </w:r>
          </w:p>
        </w:tc>
        <w:tc>
          <w:tcPr>
            <w:tcW w:w="2340" w:type="dxa"/>
            <w:tcBorders>
              <w:top w:val="single" w:sz="4" w:space="0" w:color="000000"/>
              <w:left w:val="single" w:sz="4" w:space="0" w:color="000000"/>
              <w:bottom w:val="single" w:sz="4" w:space="0" w:color="000000"/>
              <w:right w:val="single" w:sz="4" w:space="0" w:color="000000"/>
            </w:tcBorders>
          </w:tcPr>
          <w:p w14:paraId="1DF96535" w14:textId="77777777" w:rsidR="00342CEA" w:rsidRDefault="00837BAB">
            <w:pPr>
              <w:widowControl w:val="0"/>
              <w:jc w:val="center"/>
              <w:rPr>
                <w:lang w:val="hu-HU" w:eastAsia="en-US"/>
              </w:rPr>
            </w:pPr>
            <w:r>
              <w:rPr>
                <w:lang w:val="hu-HU" w:eastAsia="en-US"/>
              </w:rPr>
              <w:t>16,71</w:t>
            </w:r>
          </w:p>
          <w:p w14:paraId="03AC55CF" w14:textId="77777777" w:rsidR="00342CEA" w:rsidRDefault="00837BAB">
            <w:pPr>
              <w:widowControl w:val="0"/>
              <w:jc w:val="center"/>
              <w:rPr>
                <w:lang w:val="hu-HU" w:eastAsia="en-US"/>
              </w:rPr>
            </w:pPr>
            <w:r>
              <w:rPr>
                <w:lang w:val="hu-HU" w:eastAsia="en-US"/>
              </w:rPr>
              <w:t>(14,26; 19,58)</w:t>
            </w:r>
          </w:p>
        </w:tc>
      </w:tr>
      <w:tr w:rsidR="00342CEA" w14:paraId="3B0F8466" w14:textId="77777777">
        <w:trPr>
          <w:trHeight w:val="517"/>
        </w:trPr>
        <w:tc>
          <w:tcPr>
            <w:tcW w:w="2405" w:type="dxa"/>
            <w:tcBorders>
              <w:top w:val="single" w:sz="4" w:space="0" w:color="000000"/>
              <w:left w:val="single" w:sz="4" w:space="0" w:color="000000"/>
              <w:bottom w:val="single" w:sz="4" w:space="0" w:color="000000"/>
              <w:right w:val="single" w:sz="4" w:space="0" w:color="000000"/>
            </w:tcBorders>
          </w:tcPr>
          <w:p w14:paraId="7F3A5596" w14:textId="77777777" w:rsidR="00342CEA" w:rsidRDefault="00837BAB">
            <w:pPr>
              <w:widowControl w:val="0"/>
              <w:jc w:val="center"/>
              <w:rPr>
                <w:lang w:val="hu-HU" w:eastAsia="en-US"/>
              </w:rPr>
            </w:pPr>
            <w:r>
              <w:rPr>
                <w:lang w:val="hu-HU" w:eastAsia="en-US"/>
              </w:rPr>
              <w:t>100 mg</w:t>
            </w:r>
          </w:p>
        </w:tc>
        <w:tc>
          <w:tcPr>
            <w:tcW w:w="1224" w:type="dxa"/>
            <w:tcBorders>
              <w:top w:val="single" w:sz="4" w:space="0" w:color="000000"/>
              <w:left w:val="single" w:sz="4" w:space="0" w:color="000000"/>
              <w:bottom w:val="single" w:sz="4" w:space="0" w:color="000000"/>
              <w:right w:val="single" w:sz="4" w:space="0" w:color="000000"/>
            </w:tcBorders>
          </w:tcPr>
          <w:p w14:paraId="7BF25074" w14:textId="77777777" w:rsidR="00342CEA" w:rsidRDefault="00837BAB">
            <w:pPr>
              <w:widowControl w:val="0"/>
              <w:jc w:val="center"/>
              <w:rPr>
                <w:lang w:val="hu-HU" w:eastAsia="en-US"/>
              </w:rPr>
            </w:pPr>
            <w:r>
              <w:rPr>
                <w:lang w:val="hu-HU" w:eastAsia="en-US"/>
              </w:rPr>
              <w:t>96</w:t>
            </w:r>
          </w:p>
        </w:tc>
        <w:tc>
          <w:tcPr>
            <w:tcW w:w="2340" w:type="dxa"/>
            <w:tcBorders>
              <w:top w:val="single" w:sz="4" w:space="0" w:color="000000"/>
              <w:left w:val="single" w:sz="4" w:space="0" w:color="000000"/>
              <w:bottom w:val="single" w:sz="4" w:space="0" w:color="000000"/>
              <w:right w:val="single" w:sz="4" w:space="0" w:color="000000"/>
            </w:tcBorders>
          </w:tcPr>
          <w:p w14:paraId="1A0560D0" w14:textId="77777777" w:rsidR="00342CEA" w:rsidRDefault="00837BAB">
            <w:pPr>
              <w:widowControl w:val="0"/>
              <w:jc w:val="center"/>
              <w:rPr>
                <w:lang w:val="hu-HU" w:eastAsia="en-US"/>
              </w:rPr>
            </w:pPr>
            <w:r>
              <w:rPr>
                <w:lang w:val="hu-HU" w:eastAsia="en-US"/>
              </w:rPr>
              <w:t>354</w:t>
            </w:r>
          </w:p>
          <w:p w14:paraId="5B5FC9FA" w14:textId="77777777" w:rsidR="00342CEA" w:rsidRDefault="00837BAB">
            <w:pPr>
              <w:widowControl w:val="0"/>
              <w:jc w:val="center"/>
              <w:rPr>
                <w:lang w:val="hu-HU" w:eastAsia="en-US"/>
              </w:rPr>
            </w:pPr>
            <w:r>
              <w:rPr>
                <w:lang w:val="hu-HU" w:eastAsia="en-US"/>
              </w:rPr>
              <w:t>(304; 411)</w:t>
            </w:r>
          </w:p>
        </w:tc>
        <w:tc>
          <w:tcPr>
            <w:tcW w:w="2340" w:type="dxa"/>
            <w:tcBorders>
              <w:top w:val="single" w:sz="4" w:space="0" w:color="000000"/>
              <w:left w:val="single" w:sz="4" w:space="0" w:color="000000"/>
              <w:bottom w:val="single" w:sz="4" w:space="0" w:color="000000"/>
              <w:right w:val="single" w:sz="4" w:space="0" w:color="000000"/>
            </w:tcBorders>
          </w:tcPr>
          <w:p w14:paraId="04D4616D" w14:textId="77777777" w:rsidR="00342CEA" w:rsidRDefault="00837BAB">
            <w:pPr>
              <w:widowControl w:val="0"/>
              <w:jc w:val="center"/>
              <w:rPr>
                <w:lang w:val="hu-HU" w:eastAsia="en-US"/>
              </w:rPr>
            </w:pPr>
            <w:r>
              <w:rPr>
                <w:lang w:val="hu-HU" w:eastAsia="en-US"/>
              </w:rPr>
              <w:t>19,19</w:t>
            </w:r>
          </w:p>
          <w:p w14:paraId="62AA51C3" w14:textId="77777777" w:rsidR="00342CEA" w:rsidRDefault="00837BAB">
            <w:pPr>
              <w:widowControl w:val="0"/>
              <w:jc w:val="center"/>
              <w:rPr>
                <w:lang w:val="hu-HU" w:eastAsia="en-US"/>
              </w:rPr>
            </w:pPr>
            <w:r>
              <w:rPr>
                <w:lang w:val="hu-HU" w:eastAsia="en-US"/>
              </w:rPr>
              <w:t>(16,81; 21,91)</w:t>
            </w:r>
          </w:p>
        </w:tc>
      </w:tr>
    </w:tbl>
    <w:p w14:paraId="5D571FBC" w14:textId="77777777" w:rsidR="00342CEA" w:rsidRDefault="00837BAB">
      <w:pPr>
        <w:rPr>
          <w:lang w:val="hu-HU"/>
        </w:rPr>
      </w:pPr>
      <w:r>
        <w:rPr>
          <w:lang w:val="hu-HU"/>
        </w:rPr>
        <w:t>Mértani átlagként szerepeltetett adatok (95%</w:t>
      </w:r>
      <w:r>
        <w:rPr>
          <w:lang w:val="hu-HU"/>
        </w:rPr>
        <w:noBreakHyphen/>
        <w:t xml:space="preserve">os CI). </w:t>
      </w:r>
    </w:p>
    <w:p w14:paraId="7269519A" w14:textId="77777777" w:rsidR="00342CEA" w:rsidRDefault="00837BAB">
      <w:pPr>
        <w:rPr>
          <w:lang w:val="hu-HU"/>
        </w:rPr>
      </w:pPr>
      <w:r>
        <w:rPr>
          <w:lang w:val="hu-HU"/>
        </w:rPr>
        <w:t xml:space="preserve">AUC </w:t>
      </w:r>
      <w:r>
        <w:rPr>
          <w:vertAlign w:val="subscript"/>
          <w:lang w:val="hu-HU"/>
        </w:rPr>
        <w:t>(0-</w:t>
      </w:r>
      <w:r>
        <w:rPr>
          <w:rFonts w:ascii="Segoe UI Symbol" w:eastAsia="Segoe UI Symbol" w:hAnsi="Segoe UI Symbol" w:cs="Segoe UI Symbol"/>
          <w:vertAlign w:val="subscript"/>
          <w:lang w:val="hu-HU"/>
        </w:rPr>
        <w:t>τ</w:t>
      </w:r>
      <w:r>
        <w:rPr>
          <w:vertAlign w:val="subscript"/>
          <w:lang w:val="hu-HU"/>
        </w:rPr>
        <w:t>)</w:t>
      </w:r>
      <w:r>
        <w:rPr>
          <w:lang w:val="hu-HU"/>
        </w:rPr>
        <w:noBreakHyphen/>
        <w:t xml:space="preserve"> és C</w:t>
      </w:r>
      <w:r>
        <w:rPr>
          <w:vertAlign w:val="subscript"/>
          <w:lang w:val="hu-HU"/>
        </w:rPr>
        <w:t>max</w:t>
      </w:r>
      <w:r>
        <w:rPr>
          <w:lang w:val="hu-HU"/>
        </w:rPr>
        <w:noBreakHyphen/>
        <w:t xml:space="preserve">értékek a populációs farmakokinetika alapján, </w:t>
      </w:r>
      <w:r>
        <w:rPr>
          <w:i/>
          <w:lang w:val="hu-HU"/>
        </w:rPr>
        <w:t>post hoc</w:t>
      </w:r>
      <w:r>
        <w:rPr>
          <w:lang w:val="hu-HU"/>
        </w:rPr>
        <w:t xml:space="preserve"> becsléssel minden egyes beteg legmagasabb dózisához tartozó adatának figyelembevételével.</w:t>
      </w:r>
    </w:p>
    <w:p w14:paraId="4D6C66C6" w14:textId="77777777" w:rsidR="00342CEA" w:rsidRDefault="00342CEA">
      <w:pPr>
        <w:tabs>
          <w:tab w:val="clear" w:pos="567"/>
        </w:tabs>
        <w:autoSpaceDE w:val="0"/>
        <w:autoSpaceDN w:val="0"/>
        <w:spacing w:line="240" w:lineRule="auto"/>
        <w:rPr>
          <w:lang w:val="hu-HU"/>
        </w:rPr>
      </w:pPr>
    </w:p>
    <w:p w14:paraId="52AF8E13" w14:textId="77777777" w:rsidR="00342CEA" w:rsidRDefault="00837BAB">
      <w:pPr>
        <w:widowControl w:val="0"/>
        <w:spacing w:line="240" w:lineRule="auto"/>
        <w:ind w:right="-2"/>
        <w:rPr>
          <w:u w:val="single"/>
          <w:lang w:val="hu-HU"/>
        </w:rPr>
      </w:pPr>
      <w:r>
        <w:rPr>
          <w:u w:val="single"/>
          <w:lang w:val="hu-HU"/>
        </w:rPr>
        <w:t>Felszívódás és biohasznosulás</w:t>
      </w:r>
    </w:p>
    <w:p w14:paraId="5003DEFB" w14:textId="77777777" w:rsidR="00A22B1E" w:rsidRDefault="00A22B1E">
      <w:pPr>
        <w:widowControl w:val="0"/>
        <w:spacing w:line="240" w:lineRule="auto"/>
        <w:ind w:right="-2"/>
        <w:rPr>
          <w:u w:val="single"/>
          <w:lang w:val="hu-HU"/>
        </w:rPr>
      </w:pPr>
    </w:p>
    <w:p w14:paraId="33EA4811" w14:textId="77777777" w:rsidR="00342CEA" w:rsidRDefault="00837BAB">
      <w:pPr>
        <w:widowControl w:val="0"/>
        <w:tabs>
          <w:tab w:val="clear" w:pos="567"/>
        </w:tabs>
        <w:autoSpaceDE w:val="0"/>
        <w:autoSpaceDN w:val="0"/>
        <w:spacing w:line="240" w:lineRule="auto"/>
        <w:rPr>
          <w:u w:val="single"/>
          <w:lang w:val="hu-HU"/>
        </w:rPr>
      </w:pPr>
      <w:r>
        <w:rPr>
          <w:lang w:val="hu-HU" w:eastAsia="en-GB"/>
        </w:rPr>
        <w:t>Az eltrombopag orális alkalmazás után 2</w:t>
      </w:r>
      <w:r>
        <w:rPr>
          <w:lang w:val="hu-HU" w:eastAsia="en-GB"/>
        </w:rPr>
        <w:noBreakHyphen/>
        <w:t>6 órával kialakuló csúcskoncentrációval szívódik fel. Az eltrombopag egyidejű alkalmazása antacidokkal és egyéb polivalens kationokat tartalmazó készítményekkel, így tejtermékekkel és ásványianyag-pótló készítményekkel, jelentősen csökkenti az eltrombopag expozícióját (lásd 4.2 pont)</w:t>
      </w:r>
      <w:r>
        <w:rPr>
          <w:i/>
          <w:lang w:val="hu-HU" w:eastAsia="en-GB"/>
        </w:rPr>
        <w:t xml:space="preserve">. </w:t>
      </w:r>
      <w:r>
        <w:rPr>
          <w:lang w:val="hu-HU" w:eastAsia="en-GB"/>
        </w:rPr>
        <w:t>Egy felnőttekkel végzett relatív biohasznosulási vizsgálatban az eltrombopag por belsőleges szuszpenzióhoz 22%-kal magasabb plazma AUC</w:t>
      </w:r>
      <w:r>
        <w:rPr>
          <w:vertAlign w:val="subscript"/>
          <w:lang w:val="hu-HU"/>
        </w:rPr>
        <w:t>(0-∞)</w:t>
      </w:r>
      <w:r>
        <w:rPr>
          <w:lang w:val="hu-HU" w:eastAsia="en-GB"/>
        </w:rPr>
        <w:t>-t eredményezett, mint a filmtabletta gyógyszerforma. Az abszolút orális biohasznosulást embereknél nem határozták meg. A vizelettel történő kiválasztódás és a széklettel ürülő metabolitok alapján a gyógyszerrel kapcsolatos anyagok becsült orális abszorpciója 75 mg eltrombopag oldat egyszeri alkalmazása után legalább 52% volt.</w:t>
      </w:r>
    </w:p>
    <w:p w14:paraId="3DDB93DC" w14:textId="77777777" w:rsidR="00342CEA" w:rsidRDefault="00342CEA">
      <w:pPr>
        <w:spacing w:line="240" w:lineRule="auto"/>
        <w:ind w:right="-2"/>
        <w:rPr>
          <w:u w:val="single"/>
          <w:lang w:val="hu-HU"/>
        </w:rPr>
      </w:pPr>
    </w:p>
    <w:p w14:paraId="2BC4370A" w14:textId="77777777" w:rsidR="00342CEA" w:rsidRDefault="00837BAB">
      <w:pPr>
        <w:spacing w:line="240" w:lineRule="auto"/>
        <w:ind w:right="-2"/>
        <w:rPr>
          <w:u w:val="single"/>
          <w:lang w:val="hu-HU"/>
        </w:rPr>
      </w:pPr>
      <w:r>
        <w:rPr>
          <w:u w:val="single"/>
          <w:lang w:val="hu-HU"/>
        </w:rPr>
        <w:t>Eloszlás</w:t>
      </w:r>
    </w:p>
    <w:p w14:paraId="6BAF74F3" w14:textId="77777777" w:rsidR="00A22B1E" w:rsidRDefault="00A22B1E">
      <w:pPr>
        <w:spacing w:line="240" w:lineRule="auto"/>
        <w:ind w:right="-2"/>
        <w:rPr>
          <w:u w:val="single"/>
          <w:lang w:val="hu-HU"/>
        </w:rPr>
      </w:pPr>
    </w:p>
    <w:p w14:paraId="2180457D" w14:textId="2C4FC35C" w:rsidR="00342CEA" w:rsidRDefault="00837BAB">
      <w:pPr>
        <w:tabs>
          <w:tab w:val="clear" w:pos="567"/>
        </w:tabs>
        <w:autoSpaceDE w:val="0"/>
        <w:autoSpaceDN w:val="0"/>
        <w:spacing w:line="240" w:lineRule="auto"/>
        <w:rPr>
          <w:u w:val="single"/>
          <w:lang w:val="hu-HU"/>
        </w:rPr>
      </w:pPr>
      <w:r>
        <w:rPr>
          <w:lang w:val="hu-HU" w:eastAsia="en-GB"/>
        </w:rPr>
        <w:t>Az eltrombopag nagymértékben kötődik a humán plazmafehérjékhez (&gt;</w:t>
      </w:r>
      <w:r w:rsidR="007B415F">
        <w:rPr>
          <w:lang w:val="hu-HU" w:eastAsia="en-GB"/>
        </w:rPr>
        <w:t> </w:t>
      </w:r>
      <w:r>
        <w:rPr>
          <w:lang w:val="hu-HU" w:eastAsia="en-GB"/>
        </w:rPr>
        <w:t>99,9%), elsősorban az albuminhoz. Az eltrombopag a BCRP-nek szubsztrátja, de nem szubsztrátja a P-glikoproteinnek vagy az OATP1B1-nek.</w:t>
      </w:r>
    </w:p>
    <w:p w14:paraId="50F6917E" w14:textId="77777777" w:rsidR="00342CEA" w:rsidRDefault="00342CEA">
      <w:pPr>
        <w:spacing w:line="240" w:lineRule="auto"/>
        <w:ind w:right="-2"/>
        <w:rPr>
          <w:u w:val="single"/>
          <w:lang w:val="hu-HU"/>
        </w:rPr>
      </w:pPr>
    </w:p>
    <w:p w14:paraId="1E387ABF" w14:textId="77777777" w:rsidR="00342CEA" w:rsidRDefault="00837BAB">
      <w:pPr>
        <w:spacing w:line="240" w:lineRule="auto"/>
        <w:ind w:right="-2"/>
        <w:rPr>
          <w:u w:val="single"/>
          <w:lang w:val="hu-HU"/>
        </w:rPr>
      </w:pPr>
      <w:r>
        <w:rPr>
          <w:u w:val="single"/>
          <w:lang w:val="hu-HU"/>
        </w:rPr>
        <w:t>Biotranszformáció</w:t>
      </w:r>
    </w:p>
    <w:p w14:paraId="77B25FA9" w14:textId="77777777" w:rsidR="00A22B1E" w:rsidRDefault="00A22B1E">
      <w:pPr>
        <w:spacing w:line="240" w:lineRule="auto"/>
        <w:ind w:right="-2"/>
        <w:rPr>
          <w:u w:val="single"/>
          <w:lang w:val="hu-HU"/>
        </w:rPr>
      </w:pPr>
    </w:p>
    <w:p w14:paraId="77C9C168" w14:textId="77777777" w:rsidR="00342CEA" w:rsidRDefault="00837BAB">
      <w:pPr>
        <w:tabs>
          <w:tab w:val="clear" w:pos="567"/>
        </w:tabs>
        <w:autoSpaceDE w:val="0"/>
        <w:autoSpaceDN w:val="0"/>
        <w:spacing w:line="240" w:lineRule="auto"/>
        <w:rPr>
          <w:u w:val="single"/>
          <w:lang w:val="hu-HU"/>
        </w:rPr>
      </w:pPr>
      <w:r>
        <w:rPr>
          <w:lang w:val="hu-HU" w:eastAsia="en-GB"/>
        </w:rPr>
        <w:t>Az eltrombopag elsősorban hasadással, oxidációval, illetve glükuronsavval, glutationnal, vagy ciszteinnel történő konjugációval metabolizálódik. Egy humán radioizotópos vizsgálatban a plazma radiokarbon AUC</w:t>
      </w:r>
      <w:r>
        <w:rPr>
          <w:vertAlign w:val="subscript"/>
          <w:lang w:val="hu-HU"/>
        </w:rPr>
        <w:t>0-∞</w:t>
      </w:r>
      <w:r>
        <w:rPr>
          <w:lang w:val="hu-HU" w:eastAsia="en-GB"/>
        </w:rPr>
        <w:t xml:space="preserve">-érték közel 64%-át az eltrombopag adta. Glükuronidációból és oxidációból származó kisebb metabolitokat is kimutattak. </w:t>
      </w:r>
      <w:r>
        <w:rPr>
          <w:i/>
          <w:lang w:val="hu-HU" w:eastAsia="en-GB"/>
        </w:rPr>
        <w:t xml:space="preserve">In vitro </w:t>
      </w:r>
      <w:r>
        <w:rPr>
          <w:lang w:val="hu-HU" w:eastAsia="en-GB"/>
        </w:rPr>
        <w:t>vizsgálatok arra utalnak, hogy a CYP1A2 és a CYP2C8 felelős az eltrombopag oxidatív metabolizmusáért. Az UDP-glükoronozil transzferázok, az UGT1A1 és UGT1A3 felelősek a glükuronidációért, és a gyomor</w:t>
      </w:r>
      <w:r>
        <w:rPr>
          <w:lang w:val="hu-HU" w:eastAsia="en-GB"/>
        </w:rPr>
        <w:noBreakHyphen/>
        <w:t>bélrendszer alsó traktusában található baktériumok felelősek a hasadási útvonalért.</w:t>
      </w:r>
    </w:p>
    <w:p w14:paraId="120DB2B0" w14:textId="77777777" w:rsidR="00342CEA" w:rsidRDefault="00342CEA">
      <w:pPr>
        <w:spacing w:line="240" w:lineRule="auto"/>
        <w:ind w:right="-2"/>
        <w:rPr>
          <w:u w:val="single"/>
          <w:lang w:val="hu-HU"/>
        </w:rPr>
      </w:pPr>
    </w:p>
    <w:p w14:paraId="328CBFD0" w14:textId="77777777" w:rsidR="00342CEA" w:rsidRDefault="00837BAB">
      <w:pPr>
        <w:spacing w:line="240" w:lineRule="auto"/>
        <w:ind w:right="-2"/>
        <w:rPr>
          <w:u w:val="single"/>
          <w:lang w:val="hu-HU"/>
        </w:rPr>
      </w:pPr>
      <w:r>
        <w:rPr>
          <w:u w:val="single"/>
          <w:lang w:val="hu-HU"/>
        </w:rPr>
        <w:t>Elimináció</w:t>
      </w:r>
    </w:p>
    <w:p w14:paraId="55B486E8" w14:textId="77777777" w:rsidR="00A22B1E" w:rsidRDefault="00A22B1E">
      <w:pPr>
        <w:spacing w:line="240" w:lineRule="auto"/>
        <w:ind w:right="-2"/>
        <w:rPr>
          <w:u w:val="single"/>
          <w:lang w:val="hu-HU"/>
        </w:rPr>
      </w:pPr>
    </w:p>
    <w:p w14:paraId="5CA7590A" w14:textId="77777777" w:rsidR="00342CEA" w:rsidRDefault="00837BAB">
      <w:pPr>
        <w:tabs>
          <w:tab w:val="clear" w:pos="567"/>
        </w:tabs>
        <w:autoSpaceDE w:val="0"/>
        <w:autoSpaceDN w:val="0"/>
        <w:spacing w:line="240" w:lineRule="auto"/>
        <w:rPr>
          <w:u w:val="single"/>
          <w:lang w:val="hu-HU"/>
        </w:rPr>
      </w:pPr>
      <w:r>
        <w:rPr>
          <w:lang w:val="hu-HU" w:eastAsia="en-GB"/>
        </w:rPr>
        <w:t>A felszívódott eltrombopag nagymértékben metabolizálódik. Elsősorban a széklettel ürül (59%), az adag 31%</w:t>
      </w:r>
      <w:r>
        <w:rPr>
          <w:lang w:val="hu-HU" w:eastAsia="en-GB"/>
        </w:rPr>
        <w:noBreakHyphen/>
        <w:t>a jelenik meg a vizeletben metabolitok formájában. A változatlan anyavegyület (eltrombopag) nem mutatható ki a vizeletben. Az adag közel 20%</w:t>
      </w:r>
      <w:r>
        <w:rPr>
          <w:lang w:val="hu-HU" w:eastAsia="en-GB"/>
        </w:rPr>
        <w:noBreakHyphen/>
        <w:t>a ürül a széklettel változatlan formában. Az eltrombopag plazma eliminációs felezési ideje megközelítőleg 21–32 óra.</w:t>
      </w:r>
    </w:p>
    <w:p w14:paraId="1B0FC39B" w14:textId="77777777" w:rsidR="00342CEA" w:rsidRDefault="00342CEA">
      <w:pPr>
        <w:spacing w:line="240" w:lineRule="auto"/>
        <w:ind w:right="-2"/>
        <w:rPr>
          <w:u w:val="single"/>
          <w:lang w:val="hu-HU"/>
        </w:rPr>
      </w:pPr>
    </w:p>
    <w:p w14:paraId="46CFC529"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Farmakokinetikai kölcsönhatások</w:t>
      </w:r>
    </w:p>
    <w:p w14:paraId="6D7A8601" w14:textId="77777777" w:rsidR="00A22B1E" w:rsidRDefault="00A22B1E">
      <w:pPr>
        <w:tabs>
          <w:tab w:val="clear" w:pos="567"/>
        </w:tabs>
        <w:autoSpaceDE w:val="0"/>
        <w:autoSpaceDN w:val="0"/>
        <w:spacing w:line="240" w:lineRule="auto"/>
        <w:rPr>
          <w:u w:val="single"/>
          <w:lang w:val="hu-HU" w:eastAsia="en-GB"/>
        </w:rPr>
      </w:pPr>
    </w:p>
    <w:p w14:paraId="2BCB840C" w14:textId="77777777" w:rsidR="00342CEA" w:rsidRDefault="00837BAB">
      <w:pPr>
        <w:tabs>
          <w:tab w:val="clear" w:pos="567"/>
        </w:tabs>
        <w:autoSpaceDE w:val="0"/>
        <w:autoSpaceDN w:val="0"/>
        <w:spacing w:line="240" w:lineRule="auto"/>
        <w:rPr>
          <w:lang w:val="hu-HU" w:eastAsia="en-GB"/>
        </w:rPr>
      </w:pPr>
      <w:r>
        <w:rPr>
          <w:lang w:val="hu-HU" w:eastAsia="en-GB"/>
        </w:rPr>
        <w:t xml:space="preserve">Egy humán vizsgálat szerint, melyet radioizotóppal jelzett eltrombopaggal végeztek, a glükuronidáció csekély szerepet játszik az eltrombopag metabolizmusában. Emberi májmikroszómákkal végzett vizsgálatok az UGT1A1 és UGT1A3 enzimeket találták felelősnek az eltrombopag glükuronidációjáért. Az eltrombopag számos UGT enzim gátlószere volt </w:t>
      </w:r>
      <w:r>
        <w:rPr>
          <w:i/>
          <w:lang w:val="hu-HU" w:eastAsia="en-GB"/>
        </w:rPr>
        <w:t>in vitro</w:t>
      </w:r>
      <w:r>
        <w:rPr>
          <w:lang w:val="hu-HU" w:eastAsia="en-GB"/>
        </w:rPr>
        <w:t>. Glükuronidációval járó, klinikailag jelentős interakciók kialakulása nem várható, mivel az egyes UGT enzimek csekély szerepet játszanak az eltrombopag glükuronidációjában.</w:t>
      </w:r>
    </w:p>
    <w:p w14:paraId="39958525" w14:textId="77777777" w:rsidR="00342CEA" w:rsidRDefault="00342CEA">
      <w:pPr>
        <w:tabs>
          <w:tab w:val="clear" w:pos="567"/>
        </w:tabs>
        <w:autoSpaceDE w:val="0"/>
        <w:autoSpaceDN w:val="0"/>
        <w:spacing w:line="240" w:lineRule="auto"/>
        <w:rPr>
          <w:lang w:val="hu-HU" w:eastAsia="en-GB"/>
        </w:rPr>
      </w:pPr>
    </w:p>
    <w:p w14:paraId="3821AC8A" w14:textId="77777777" w:rsidR="00342CEA" w:rsidRDefault="00837BAB">
      <w:pPr>
        <w:tabs>
          <w:tab w:val="clear" w:pos="567"/>
        </w:tabs>
        <w:autoSpaceDE w:val="0"/>
        <w:autoSpaceDN w:val="0"/>
        <w:spacing w:line="240" w:lineRule="auto"/>
        <w:rPr>
          <w:lang w:val="hu-HU" w:eastAsia="en-GB"/>
        </w:rPr>
      </w:pPr>
      <w:r>
        <w:rPr>
          <w:lang w:val="hu-HU" w:eastAsia="en-GB"/>
        </w:rPr>
        <w:t>Az eltrombopag-dózis közel 21%</w:t>
      </w:r>
      <w:r>
        <w:rPr>
          <w:lang w:val="hu-HU" w:eastAsia="en-GB"/>
        </w:rPr>
        <w:noBreakHyphen/>
        <w:t xml:space="preserve">a mehet át oxidatív metabolizmuson. Emberi májmikroszómákkal végzett vizsgálatok a CYP1A2 és CYP2C8 izoenzimeket találták felelősnek az eltrombopag oxidációjáért. </w:t>
      </w:r>
      <w:r>
        <w:rPr>
          <w:i/>
          <w:lang w:val="hu-HU" w:eastAsia="en-GB"/>
        </w:rPr>
        <w:t xml:space="preserve">In vitro </w:t>
      </w:r>
      <w:r>
        <w:rPr>
          <w:lang w:val="hu-HU" w:eastAsia="en-GB"/>
        </w:rPr>
        <w:t xml:space="preserve">és </w:t>
      </w:r>
      <w:r>
        <w:rPr>
          <w:i/>
          <w:lang w:val="hu-HU" w:eastAsia="en-GB"/>
        </w:rPr>
        <w:t xml:space="preserve">in vivo </w:t>
      </w:r>
      <w:r>
        <w:rPr>
          <w:lang w:val="hu-HU" w:eastAsia="en-GB"/>
        </w:rPr>
        <w:t>adatok szerint az eltrombopag nem gátolja és nem is indukálja a CYP enzimeket (lásd 4.5 pont).</w:t>
      </w:r>
    </w:p>
    <w:p w14:paraId="7EE50AA3" w14:textId="77777777" w:rsidR="00342CEA" w:rsidRDefault="00342CEA">
      <w:pPr>
        <w:tabs>
          <w:tab w:val="clear" w:pos="567"/>
        </w:tabs>
        <w:autoSpaceDE w:val="0"/>
        <w:autoSpaceDN w:val="0"/>
        <w:spacing w:line="240" w:lineRule="auto"/>
        <w:rPr>
          <w:i/>
          <w:lang w:val="hu-HU" w:eastAsia="en-GB"/>
        </w:rPr>
      </w:pPr>
    </w:p>
    <w:p w14:paraId="33D60D9F" w14:textId="77777777" w:rsidR="00342CEA" w:rsidRDefault="00837BAB">
      <w:pPr>
        <w:tabs>
          <w:tab w:val="clear" w:pos="567"/>
        </w:tabs>
        <w:autoSpaceDE w:val="0"/>
        <w:autoSpaceDN w:val="0"/>
        <w:spacing w:line="240" w:lineRule="auto"/>
        <w:rPr>
          <w:lang w:val="hu-HU" w:eastAsia="en-GB"/>
        </w:rPr>
      </w:pPr>
      <w:r>
        <w:rPr>
          <w:i/>
          <w:lang w:val="hu-HU" w:eastAsia="en-GB"/>
        </w:rPr>
        <w:lastRenderedPageBreak/>
        <w:t xml:space="preserve">In vitro </w:t>
      </w:r>
      <w:r>
        <w:rPr>
          <w:lang w:val="hu-HU" w:eastAsia="en-GB"/>
        </w:rPr>
        <w:t>vizsgálatokban kimutatták, hogy az eltrombopag az OATP1B1 transzporter és a BCRP transzporter gátlószere, továbbá egy klinikai gyógyszerkölcsönhatás vizsgálatban az eltrombopag növelte az OATP1B1 és BRCP-szubsztrát rozuvasztatin expozíciót (lásd 4.5 pont). Eltrombopaggal végzett klinikai vizsgálatokban a sztatinok dózisának 50%</w:t>
      </w:r>
      <w:r>
        <w:rPr>
          <w:lang w:val="hu-HU" w:eastAsia="en-GB"/>
        </w:rPr>
        <w:noBreakHyphen/>
        <w:t>os csökkentését javasolták.</w:t>
      </w:r>
    </w:p>
    <w:p w14:paraId="35D550B9" w14:textId="77777777" w:rsidR="00342CEA" w:rsidRDefault="00342CEA">
      <w:pPr>
        <w:tabs>
          <w:tab w:val="clear" w:pos="567"/>
        </w:tabs>
        <w:autoSpaceDE w:val="0"/>
        <w:autoSpaceDN w:val="0"/>
        <w:spacing w:line="240" w:lineRule="auto"/>
        <w:rPr>
          <w:lang w:val="hu-HU" w:eastAsia="en-GB"/>
        </w:rPr>
      </w:pPr>
    </w:p>
    <w:p w14:paraId="53869961" w14:textId="77777777" w:rsidR="00342CEA" w:rsidRDefault="00837BAB">
      <w:pPr>
        <w:tabs>
          <w:tab w:val="clear" w:pos="567"/>
        </w:tabs>
        <w:autoSpaceDE w:val="0"/>
        <w:autoSpaceDN w:val="0"/>
        <w:spacing w:line="240" w:lineRule="auto"/>
        <w:rPr>
          <w:lang w:val="hu-HU" w:eastAsia="en-GB"/>
        </w:rPr>
      </w:pPr>
      <w:r>
        <w:rPr>
          <w:lang w:val="hu-HU" w:eastAsia="en-GB"/>
        </w:rPr>
        <w:t>Az eltrombopag kelátot képez a polivalens kationokkal, így a vassal, a kalciummal, a magnéziummal, az alumíniummal, a szelénnel és a cinkkel (lásd 4.2 és 4.5 pont).</w:t>
      </w:r>
    </w:p>
    <w:p w14:paraId="6DB705B6" w14:textId="77777777" w:rsidR="00342CEA" w:rsidRDefault="00342CEA">
      <w:pPr>
        <w:tabs>
          <w:tab w:val="clear" w:pos="567"/>
        </w:tabs>
        <w:autoSpaceDE w:val="0"/>
        <w:autoSpaceDN w:val="0"/>
        <w:spacing w:line="240" w:lineRule="auto"/>
        <w:rPr>
          <w:i/>
          <w:lang w:val="hu-HU" w:eastAsia="en-GB"/>
        </w:rPr>
      </w:pPr>
    </w:p>
    <w:p w14:paraId="21631167" w14:textId="77777777" w:rsidR="00342CEA" w:rsidRDefault="00837BAB">
      <w:pPr>
        <w:tabs>
          <w:tab w:val="clear" w:pos="567"/>
        </w:tabs>
        <w:autoSpaceDE w:val="0"/>
        <w:autoSpaceDN w:val="0"/>
        <w:spacing w:line="240" w:lineRule="auto"/>
        <w:rPr>
          <w:u w:val="single"/>
          <w:lang w:val="hu-HU"/>
        </w:rPr>
      </w:pPr>
      <w:r>
        <w:rPr>
          <w:i/>
          <w:lang w:val="hu-HU" w:eastAsia="en-GB"/>
        </w:rPr>
        <w:t xml:space="preserve">In vitro </w:t>
      </w:r>
      <w:r>
        <w:rPr>
          <w:lang w:val="hu-HU" w:eastAsia="en-GB"/>
        </w:rPr>
        <w:t>vizsgálatokban kimutatták, hogy az eltrombopag nem szubsztrátja az organikus anion-transzporter polipeptidnek, az OATP1B1</w:t>
      </w:r>
      <w:r>
        <w:rPr>
          <w:lang w:val="hu-HU" w:eastAsia="en-GB"/>
        </w:rPr>
        <w:noBreakHyphen/>
        <w:t>nek, de inhibitora annak (IC</w:t>
      </w:r>
      <w:r>
        <w:rPr>
          <w:vertAlign w:val="subscript"/>
          <w:lang w:val="hu-HU" w:eastAsia="en-GB"/>
        </w:rPr>
        <w:t>50</w:t>
      </w:r>
      <w:r>
        <w:rPr>
          <w:lang w:val="hu-HU" w:eastAsia="en-GB"/>
        </w:rPr>
        <w:noBreakHyphen/>
        <w:t xml:space="preserve">érték: 2,7 mikromól [1,2 mikrogramm/ml]). </w:t>
      </w:r>
      <w:r>
        <w:rPr>
          <w:i/>
          <w:lang w:val="hu-HU" w:eastAsia="en-GB"/>
        </w:rPr>
        <w:t xml:space="preserve">In vitro </w:t>
      </w:r>
      <w:r>
        <w:rPr>
          <w:lang w:val="hu-HU" w:eastAsia="en-GB"/>
        </w:rPr>
        <w:t>vizsgálatokban azt is kimutatták, hogy az eltrombopag az emlőrák rezisztencia fehérje (BCRP) szubsztrátja és inhibitora (IC</w:t>
      </w:r>
      <w:r>
        <w:rPr>
          <w:vertAlign w:val="subscript"/>
          <w:lang w:val="hu-HU" w:eastAsia="en-GB"/>
        </w:rPr>
        <w:t>50</w:t>
      </w:r>
      <w:r>
        <w:rPr>
          <w:lang w:val="hu-HU" w:eastAsia="en-GB"/>
        </w:rPr>
        <w:noBreakHyphen/>
        <w:t>érték: 2,7 mikromól [1,2 mikrogramm/ml])</w:t>
      </w:r>
      <w:r>
        <w:rPr>
          <w:i/>
          <w:lang w:val="hu-HU" w:eastAsia="en-GB"/>
        </w:rPr>
        <w:t>.</w:t>
      </w:r>
    </w:p>
    <w:p w14:paraId="709F60AD" w14:textId="77777777" w:rsidR="00342CEA" w:rsidRDefault="00342CEA">
      <w:pPr>
        <w:spacing w:line="240" w:lineRule="auto"/>
        <w:ind w:right="-2"/>
        <w:rPr>
          <w:u w:val="single"/>
          <w:lang w:val="hu-HU"/>
        </w:rPr>
      </w:pPr>
    </w:p>
    <w:p w14:paraId="2D4CB8E5"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Különleges betegcsoportok</w:t>
      </w:r>
    </w:p>
    <w:p w14:paraId="735E0055" w14:textId="77777777" w:rsidR="00342CEA" w:rsidRDefault="00342CEA">
      <w:pPr>
        <w:tabs>
          <w:tab w:val="clear" w:pos="567"/>
        </w:tabs>
        <w:autoSpaceDE w:val="0"/>
        <w:autoSpaceDN w:val="0"/>
        <w:spacing w:line="240" w:lineRule="auto"/>
        <w:rPr>
          <w:i/>
          <w:lang w:val="hu-HU" w:eastAsia="en-GB"/>
        </w:rPr>
      </w:pPr>
    </w:p>
    <w:p w14:paraId="783FA03B"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Vesekárosodás</w:t>
      </w:r>
    </w:p>
    <w:p w14:paraId="2AB00728" w14:textId="77777777" w:rsidR="00A22B1E" w:rsidRDefault="00A22B1E">
      <w:pPr>
        <w:tabs>
          <w:tab w:val="clear" w:pos="567"/>
        </w:tabs>
        <w:autoSpaceDE w:val="0"/>
        <w:autoSpaceDN w:val="0"/>
        <w:spacing w:line="240" w:lineRule="auto"/>
        <w:rPr>
          <w:i/>
          <w:u w:val="single"/>
          <w:lang w:val="hu-HU" w:eastAsia="en-GB"/>
        </w:rPr>
      </w:pPr>
    </w:p>
    <w:p w14:paraId="3BF2F23E" w14:textId="77777777" w:rsidR="00342CEA" w:rsidRDefault="00837BAB">
      <w:pPr>
        <w:tabs>
          <w:tab w:val="clear" w:pos="567"/>
        </w:tabs>
        <w:autoSpaceDE w:val="0"/>
        <w:autoSpaceDN w:val="0"/>
        <w:spacing w:line="240" w:lineRule="auto"/>
        <w:rPr>
          <w:u w:val="single"/>
          <w:lang w:val="hu-HU"/>
        </w:rPr>
      </w:pPr>
      <w:r>
        <w:rPr>
          <w:lang w:val="hu-HU" w:eastAsia="en-GB"/>
        </w:rPr>
        <w:t>Az eltrombopag farmakokinetikáját károsodott vesefunkciójú felnőtt betegeknél vizsgálták. Egyszeri 50 mg</w:t>
      </w:r>
      <w:r>
        <w:rPr>
          <w:lang w:val="hu-HU" w:eastAsia="en-GB"/>
        </w:rPr>
        <w:noBreakHyphen/>
        <w:t>os dózis adását követően az eltrombopag AUC</w:t>
      </w:r>
      <w:r>
        <w:rPr>
          <w:vertAlign w:val="subscript"/>
          <w:lang w:val="hu-HU"/>
        </w:rPr>
        <w:t>0-∞</w:t>
      </w:r>
      <w:r>
        <w:rPr>
          <w:lang w:val="hu-HU" w:eastAsia="en-GB"/>
        </w:rPr>
        <w:noBreakHyphen/>
        <w:t>értéke közepes fokú vesekárosodásban szenvedő betegeknél 32%-36%-kal, súlyos vesekárosodásban szenvedő betegeknél 60%</w:t>
      </w:r>
      <w:r>
        <w:rPr>
          <w:lang w:val="hu-HU" w:eastAsia="en-GB"/>
        </w:rPr>
        <w:noBreakHyphen/>
        <w:t>kal volt alacsonyabb, mint az egészséges önkénteseknél. Nagyfokú változékonyság és jelentős átfedés volt az expozíciók terén a vesekárosodásban szenvedő betegek és az egészséges önkéntesek között.</w:t>
      </w:r>
      <w:r>
        <w:rPr>
          <w:rFonts w:eastAsia="DengXian"/>
          <w:sz w:val="24"/>
          <w:szCs w:val="24"/>
          <w:lang w:val="hu-HU" w:eastAsia="el-GR"/>
        </w:rPr>
        <w:t xml:space="preserve"> </w:t>
      </w:r>
      <w:r>
        <w:rPr>
          <w:lang w:val="hu-HU" w:eastAsia="en-GB"/>
        </w:rPr>
        <w:t>Plazmafehérjékhez nem kötött eltrombopag (aktív) koncentrációkat ennél a fehérjékhez nagymértékben kötődő gyógyszernél nem mértek. Károsodott vesefunkciójú betegeknél az eltrombopag körültekintően alkalmazandó, a beteg szoros monitorozása mellett, pl. a szérum kreatininszintjének mérésével és/vagy vizeletvizsgálattal (lásd 4.2 pont). Az eltrombopag hatásosságát és biztonságosságát nem igazolták közepes fokú vagy súlyos fokú vesekárosodásban és májkárosodásban egyaránt szenvedő beteg esetében.</w:t>
      </w:r>
    </w:p>
    <w:p w14:paraId="72440345" w14:textId="77777777" w:rsidR="00342CEA" w:rsidRDefault="00342CEA">
      <w:pPr>
        <w:spacing w:line="240" w:lineRule="auto"/>
        <w:ind w:right="-2"/>
        <w:rPr>
          <w:u w:val="single"/>
          <w:lang w:val="hu-HU"/>
        </w:rPr>
      </w:pPr>
    </w:p>
    <w:p w14:paraId="363E6A99"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Májkárosodás</w:t>
      </w:r>
    </w:p>
    <w:p w14:paraId="431FB443" w14:textId="77777777" w:rsidR="00A22B1E" w:rsidRDefault="00A22B1E">
      <w:pPr>
        <w:tabs>
          <w:tab w:val="clear" w:pos="567"/>
        </w:tabs>
        <w:autoSpaceDE w:val="0"/>
        <w:autoSpaceDN w:val="0"/>
        <w:spacing w:line="240" w:lineRule="auto"/>
        <w:rPr>
          <w:i/>
          <w:u w:val="single"/>
          <w:lang w:val="hu-HU" w:eastAsia="en-GB"/>
        </w:rPr>
      </w:pPr>
    </w:p>
    <w:p w14:paraId="138C453A" w14:textId="77777777" w:rsidR="00342CEA" w:rsidRDefault="00837BAB">
      <w:pPr>
        <w:tabs>
          <w:tab w:val="clear" w:pos="567"/>
        </w:tabs>
        <w:autoSpaceDE w:val="0"/>
        <w:autoSpaceDN w:val="0"/>
        <w:spacing w:line="240" w:lineRule="auto"/>
        <w:rPr>
          <w:lang w:val="hu-HU" w:eastAsia="en-GB"/>
        </w:rPr>
      </w:pPr>
      <w:r>
        <w:rPr>
          <w:lang w:val="hu-HU" w:eastAsia="en-GB"/>
        </w:rPr>
        <w:t>Az eltrombopag farmakokinetikáját májkárosodásban szenvedő felnőtt betegeknél vizsgálták, eltrombopag alkalmazása után. Egyszeri 50 mg</w:t>
      </w:r>
      <w:r>
        <w:rPr>
          <w:lang w:val="hu-HU" w:eastAsia="en-GB"/>
        </w:rPr>
        <w:noBreakHyphen/>
        <w:t>os dózis adását követően az eltrombopag AUC</w:t>
      </w:r>
      <w:r>
        <w:rPr>
          <w:vertAlign w:val="subscript"/>
          <w:lang w:val="hu-HU"/>
        </w:rPr>
        <w:t>0-∞</w:t>
      </w:r>
      <w:r>
        <w:rPr>
          <w:lang w:val="hu-HU" w:eastAsia="en-GB"/>
        </w:rPr>
        <w:t>-értéke enyhe májkárosodásban szenvedő betegeknél 41%-kal, közepesen súlyos vagy súlyos májkárosodásban szenvedő betegeknél 80%</w:t>
      </w:r>
      <w:r>
        <w:rPr>
          <w:lang w:val="hu-HU" w:eastAsia="en-GB"/>
        </w:rPr>
        <w:noBreakHyphen/>
        <w:t>93%</w:t>
      </w:r>
      <w:r>
        <w:rPr>
          <w:lang w:val="hu-HU" w:eastAsia="en-GB"/>
        </w:rPr>
        <w:noBreakHyphen/>
        <w:t>kal volt magasabb, mint az egészséges önkénteseknél. Nagyfokú változékonyság és jelentős átfedés volt az expozíciók terén a májkárosodásban szenvedő betegek és az egészséges önkéntesek között. Plazmafehérjékhez nem kötött eltrombopag (aktív) koncentrációt ennél a fehérjékhez nagymértékben kötődő gyógyszernél nem mértek.</w:t>
      </w:r>
    </w:p>
    <w:p w14:paraId="07488D27" w14:textId="77777777" w:rsidR="00342CEA" w:rsidRDefault="00342CEA">
      <w:pPr>
        <w:tabs>
          <w:tab w:val="clear" w:pos="567"/>
        </w:tabs>
        <w:autoSpaceDE w:val="0"/>
        <w:autoSpaceDN w:val="0"/>
        <w:spacing w:line="240" w:lineRule="auto"/>
        <w:rPr>
          <w:lang w:val="hu-HU" w:eastAsia="en-GB"/>
        </w:rPr>
      </w:pPr>
    </w:p>
    <w:p w14:paraId="055BC4CC" w14:textId="77777777" w:rsidR="00342CEA" w:rsidRDefault="00837BAB">
      <w:pPr>
        <w:tabs>
          <w:tab w:val="clear" w:pos="567"/>
        </w:tabs>
        <w:autoSpaceDE w:val="0"/>
        <w:autoSpaceDN w:val="0"/>
        <w:spacing w:line="240" w:lineRule="auto"/>
        <w:rPr>
          <w:lang w:val="hu-HU" w:eastAsia="en-GB"/>
        </w:rPr>
      </w:pPr>
      <w:r>
        <w:rPr>
          <w:lang w:val="hu-HU" w:eastAsia="en-GB"/>
        </w:rPr>
        <w:t>A májkárosodásnak az eltrombopag farmakokinetikájára gyakorolt, ismételt adagolást követő hatását egy populációs farmakokinetikai elemzés segítségével értékelték 28, egészséges önkéntesnél és 714 májkárosodásban szenvedő betegnél (673 HCV</w:t>
      </w:r>
      <w:r>
        <w:rPr>
          <w:lang w:val="hu-HU" w:eastAsia="en-GB"/>
        </w:rPr>
        <w:noBreakHyphen/>
        <w:t xml:space="preserve">s beteg és </w:t>
      </w:r>
      <w:r>
        <w:rPr>
          <w:lang w:val="hu-HU"/>
        </w:rPr>
        <w:t>41 egyéb</w:t>
      </w:r>
      <w:r>
        <w:rPr>
          <w:lang w:val="hu-HU" w:eastAsia="en-GB"/>
        </w:rPr>
        <w:t xml:space="preserve"> etiológiájú krónikus májbetegségben szenvedő beteg). A 714 beteg közül 642</w:t>
      </w:r>
      <w:r>
        <w:rPr>
          <w:lang w:val="hu-HU" w:eastAsia="en-GB"/>
        </w:rPr>
        <w:noBreakHyphen/>
        <w:t>nél enyhe, 67</w:t>
      </w:r>
      <w:r>
        <w:rPr>
          <w:lang w:val="hu-HU" w:eastAsia="en-GB"/>
        </w:rPr>
        <w:noBreakHyphen/>
        <w:t>nél közepesen súlyos és 2</w:t>
      </w:r>
      <w:r>
        <w:rPr>
          <w:lang w:val="hu-HU" w:eastAsia="en-GB"/>
        </w:rPr>
        <w:noBreakHyphen/>
        <w:t>nél súlyos májkárosodás állt fenn. Egészséges önkéntesekkel összehasonlítva, az enyhe májkárosodásban szenvedő betegek plazma eltrombopag</w:t>
      </w:r>
      <w:r>
        <w:rPr>
          <w:lang w:val="hu-HU" w:eastAsia="en-GB"/>
        </w:rPr>
        <w:noBreakHyphen/>
        <w:t>AUC</w:t>
      </w:r>
      <w:r>
        <w:rPr>
          <w:vertAlign w:val="subscript"/>
          <w:lang w:val="hu-HU"/>
        </w:rPr>
        <w:t>(0-</w:t>
      </w:r>
      <w:r>
        <w:rPr>
          <w:rFonts w:ascii="Segoe UI Symbol" w:eastAsia="Segoe UI Symbol" w:hAnsi="Segoe UI Symbol" w:cs="Segoe UI Symbol"/>
          <w:vertAlign w:val="subscript"/>
          <w:lang w:val="hu-HU"/>
        </w:rPr>
        <w:t>τ</w:t>
      </w:r>
      <w:r>
        <w:rPr>
          <w:vertAlign w:val="subscript"/>
          <w:lang w:val="hu-HU"/>
        </w:rPr>
        <w:t>)</w:t>
      </w:r>
      <w:r>
        <w:rPr>
          <w:lang w:val="hu-HU" w:eastAsia="en-GB"/>
        </w:rPr>
        <w:noBreakHyphen/>
        <w:t>értékei hozzávetőleg 111%</w:t>
      </w:r>
      <w:r>
        <w:rPr>
          <w:lang w:val="hu-HU" w:eastAsia="en-GB"/>
        </w:rPr>
        <w:noBreakHyphen/>
        <w:t>kal (95%</w:t>
      </w:r>
      <w:r>
        <w:rPr>
          <w:lang w:val="hu-HU" w:eastAsia="en-GB"/>
        </w:rPr>
        <w:noBreakHyphen/>
        <w:t>os CI: 45%</w:t>
      </w:r>
      <w:r>
        <w:rPr>
          <w:lang w:val="hu-HU" w:eastAsia="en-GB"/>
        </w:rPr>
        <w:noBreakHyphen/>
        <w:t>283%), a középsúlyos májkárosodásban szenvedő betegek plazma eltrombopag</w:t>
      </w:r>
      <w:r>
        <w:rPr>
          <w:lang w:val="hu-HU" w:eastAsia="en-GB"/>
        </w:rPr>
        <w:noBreakHyphen/>
        <w:t>AUC</w:t>
      </w:r>
      <w:r>
        <w:rPr>
          <w:vertAlign w:val="subscript"/>
          <w:lang w:val="hu-HU"/>
        </w:rPr>
        <w:t>(0-</w:t>
      </w:r>
      <w:r>
        <w:rPr>
          <w:rFonts w:ascii="Segoe UI Symbol" w:eastAsia="Segoe UI Symbol" w:hAnsi="Segoe UI Symbol" w:cs="Segoe UI Symbol"/>
          <w:vertAlign w:val="subscript"/>
          <w:lang w:val="hu-HU"/>
        </w:rPr>
        <w:t>τ</w:t>
      </w:r>
      <w:r>
        <w:rPr>
          <w:vertAlign w:val="subscript"/>
          <w:lang w:val="hu-HU"/>
        </w:rPr>
        <w:t>)</w:t>
      </w:r>
      <w:r>
        <w:rPr>
          <w:lang w:val="hu-HU" w:eastAsia="en-GB"/>
        </w:rPr>
        <w:noBreakHyphen/>
        <w:t>értékei hozzávetőleg 183%</w:t>
      </w:r>
      <w:r>
        <w:rPr>
          <w:lang w:val="hu-HU" w:eastAsia="en-GB"/>
        </w:rPr>
        <w:noBreakHyphen/>
        <w:t>kal (95%</w:t>
      </w:r>
      <w:r>
        <w:rPr>
          <w:lang w:val="hu-HU" w:eastAsia="en-GB"/>
        </w:rPr>
        <w:noBreakHyphen/>
        <w:t>os CI: 90%</w:t>
      </w:r>
      <w:r>
        <w:rPr>
          <w:lang w:val="hu-HU" w:eastAsia="en-GB"/>
        </w:rPr>
        <w:noBreakHyphen/>
        <w:t>459%) magasabbak voltak.</w:t>
      </w:r>
    </w:p>
    <w:p w14:paraId="2C997F5B" w14:textId="77777777" w:rsidR="00342CEA" w:rsidRDefault="00342CEA">
      <w:pPr>
        <w:tabs>
          <w:tab w:val="clear" w:pos="567"/>
        </w:tabs>
        <w:autoSpaceDE w:val="0"/>
        <w:autoSpaceDN w:val="0"/>
        <w:spacing w:line="240" w:lineRule="auto"/>
        <w:rPr>
          <w:lang w:val="hu-HU" w:eastAsia="en-GB"/>
        </w:rPr>
      </w:pPr>
    </w:p>
    <w:p w14:paraId="17B79735" w14:textId="77777777" w:rsidR="00342CEA" w:rsidRDefault="00837BAB">
      <w:pPr>
        <w:tabs>
          <w:tab w:val="clear" w:pos="567"/>
        </w:tabs>
        <w:autoSpaceDE w:val="0"/>
        <w:autoSpaceDN w:val="0"/>
        <w:spacing w:line="240" w:lineRule="auto"/>
        <w:rPr>
          <w:u w:val="single"/>
          <w:lang w:val="hu-HU"/>
        </w:rPr>
      </w:pPr>
      <w:r>
        <w:rPr>
          <w:lang w:val="hu-HU" w:eastAsia="en-GB"/>
        </w:rPr>
        <w:t>Ezért az eltrombopag nem adható májkárosodásban szenvedő ITP</w:t>
      </w:r>
      <w:r>
        <w:rPr>
          <w:lang w:val="hu-HU" w:eastAsia="en-GB"/>
        </w:rPr>
        <w:noBreakHyphen/>
        <w:t>s betegeknek (Child–Pugh pontszám ≥ 5), kivéve, ha a várható előny nagyobb, mint a vena portae thrombosis kimutatott kockázata (lásd 4.2 és 4.4 pont). A HCV</w:t>
      </w:r>
      <w:r>
        <w:rPr>
          <w:lang w:val="hu-HU" w:eastAsia="en-GB"/>
        </w:rPr>
        <w:noBreakHyphen/>
        <w:t>s betegeknél az eltrombopag</w:t>
      </w:r>
      <w:r>
        <w:rPr>
          <w:lang w:val="hu-HU" w:eastAsia="en-GB"/>
        </w:rPr>
        <w:noBreakHyphen/>
        <w:t>kezelést naponta egyszer 25 mg adaggal kell kezdeni (lásd 4.2 pont).</w:t>
      </w:r>
    </w:p>
    <w:p w14:paraId="79309B3A" w14:textId="77777777" w:rsidR="00342CEA" w:rsidRDefault="00342CEA">
      <w:pPr>
        <w:spacing w:line="240" w:lineRule="auto"/>
        <w:ind w:right="-2"/>
        <w:rPr>
          <w:u w:val="single"/>
          <w:lang w:val="hu-HU"/>
        </w:rPr>
      </w:pPr>
    </w:p>
    <w:p w14:paraId="58BFEB24" w14:textId="77777777" w:rsidR="00342CEA" w:rsidRDefault="00837BAB" w:rsidP="006C1619">
      <w:pPr>
        <w:keepNext/>
        <w:tabs>
          <w:tab w:val="clear" w:pos="567"/>
        </w:tabs>
        <w:autoSpaceDE w:val="0"/>
        <w:autoSpaceDN w:val="0"/>
        <w:spacing w:line="240" w:lineRule="auto"/>
        <w:rPr>
          <w:i/>
          <w:u w:val="single"/>
          <w:lang w:val="hu-HU" w:eastAsia="en-GB"/>
        </w:rPr>
      </w:pPr>
      <w:r>
        <w:rPr>
          <w:i/>
          <w:u w:val="single"/>
          <w:lang w:val="hu-HU" w:eastAsia="en-GB"/>
        </w:rPr>
        <w:lastRenderedPageBreak/>
        <w:t>Rassz</w:t>
      </w:r>
    </w:p>
    <w:p w14:paraId="71D4BC55" w14:textId="77777777" w:rsidR="00A22B1E" w:rsidRDefault="00A22B1E" w:rsidP="006C1619">
      <w:pPr>
        <w:keepNext/>
        <w:tabs>
          <w:tab w:val="clear" w:pos="567"/>
        </w:tabs>
        <w:autoSpaceDE w:val="0"/>
        <w:autoSpaceDN w:val="0"/>
        <w:spacing w:line="240" w:lineRule="auto"/>
        <w:rPr>
          <w:i/>
          <w:u w:val="single"/>
          <w:lang w:val="hu-HU" w:eastAsia="en-GB"/>
        </w:rPr>
      </w:pPr>
    </w:p>
    <w:p w14:paraId="55ACB3A5" w14:textId="77777777" w:rsidR="00342CEA" w:rsidRDefault="00837BAB">
      <w:pPr>
        <w:tabs>
          <w:tab w:val="clear" w:pos="567"/>
        </w:tabs>
        <w:autoSpaceDE w:val="0"/>
        <w:autoSpaceDN w:val="0"/>
        <w:spacing w:line="240" w:lineRule="auto"/>
        <w:rPr>
          <w:lang w:val="hu-HU" w:eastAsia="en-GB"/>
        </w:rPr>
      </w:pPr>
      <w:r>
        <w:rPr>
          <w:lang w:val="hu-HU" w:eastAsia="en-GB"/>
        </w:rPr>
        <w:t>A kelet</w:t>
      </w:r>
      <w:r>
        <w:rPr>
          <w:lang w:val="hu-HU" w:eastAsia="en-GB"/>
        </w:rPr>
        <w:noBreakHyphen/>
        <w:t>ázsiai etnikumhoz tartozás hatását az eltrombopag farmakokinetikájára 111 egészséges önkéntesnél (31 kelet-ázsiai) és 88 ITP</w:t>
      </w:r>
      <w:r>
        <w:rPr>
          <w:lang w:val="hu-HU" w:eastAsia="en-GB"/>
        </w:rPr>
        <w:noBreakHyphen/>
        <w:t>s betegnél (18 kelet</w:t>
      </w:r>
      <w:r>
        <w:rPr>
          <w:lang w:val="hu-HU" w:eastAsia="en-GB"/>
        </w:rPr>
        <w:noBreakHyphen/>
        <w:t>ázsiai) populációs farmakokinetikai elemzés segítségével értékelték. A populációs farmakokinetikai elemzés becslései alapján a keletázsiai ITP</w:t>
      </w:r>
      <w:r>
        <w:rPr>
          <w:lang w:val="hu-HU" w:eastAsia="en-GB"/>
        </w:rPr>
        <w:noBreakHyphen/>
        <w:t>s betegek plazma eltrombopag</w:t>
      </w:r>
      <w:r>
        <w:rPr>
          <w:lang w:val="hu-HU" w:eastAsia="en-GB"/>
        </w:rPr>
        <w:noBreakHyphen/>
        <w:t>AUC</w:t>
      </w:r>
      <w:r>
        <w:rPr>
          <w:vertAlign w:val="subscript"/>
          <w:lang w:val="hu-HU"/>
        </w:rPr>
        <w:t>(0-</w:t>
      </w:r>
      <w:r>
        <w:rPr>
          <w:rFonts w:ascii="Segoe UI Symbol" w:eastAsia="Segoe UI Symbol" w:hAnsi="Segoe UI Symbol" w:cs="Segoe UI Symbol"/>
          <w:vertAlign w:val="subscript"/>
          <w:lang w:val="hu-HU"/>
        </w:rPr>
        <w:t>τ</w:t>
      </w:r>
      <w:r>
        <w:rPr>
          <w:vertAlign w:val="subscript"/>
          <w:lang w:val="hu-HU"/>
        </w:rPr>
        <w:t>)</w:t>
      </w:r>
      <w:r>
        <w:rPr>
          <w:lang w:val="hu-HU" w:eastAsia="en-GB"/>
        </w:rPr>
        <w:noBreakHyphen/>
        <w:t>értékei közel 49%</w:t>
      </w:r>
      <w:r>
        <w:rPr>
          <w:lang w:val="hu-HU" w:eastAsia="en-GB"/>
        </w:rPr>
        <w:noBreakHyphen/>
        <w:t>kal magasabbak voltak, összehasonlítva a nem kelet</w:t>
      </w:r>
      <w:r>
        <w:rPr>
          <w:lang w:val="hu-HU" w:eastAsia="en-GB"/>
        </w:rPr>
        <w:noBreakHyphen/>
        <w:t>ázsiai betegekkel, akik főként kaukázusiak voltak (lásd 4.2 pont).</w:t>
      </w:r>
    </w:p>
    <w:p w14:paraId="5D74AC89" w14:textId="77777777" w:rsidR="00342CEA" w:rsidRDefault="00342CEA">
      <w:pPr>
        <w:tabs>
          <w:tab w:val="clear" w:pos="567"/>
        </w:tabs>
        <w:autoSpaceDE w:val="0"/>
        <w:autoSpaceDN w:val="0"/>
        <w:spacing w:line="240" w:lineRule="auto"/>
        <w:rPr>
          <w:lang w:val="hu-HU" w:eastAsia="en-GB"/>
        </w:rPr>
      </w:pPr>
    </w:p>
    <w:p w14:paraId="600BFDAD" w14:textId="77777777" w:rsidR="00342CEA" w:rsidRDefault="00837BAB">
      <w:pPr>
        <w:tabs>
          <w:tab w:val="clear" w:pos="567"/>
        </w:tabs>
        <w:autoSpaceDE w:val="0"/>
        <w:autoSpaceDN w:val="0"/>
        <w:spacing w:line="240" w:lineRule="auto"/>
        <w:rPr>
          <w:u w:val="single"/>
          <w:lang w:val="hu-HU"/>
        </w:rPr>
      </w:pPr>
      <w:r>
        <w:rPr>
          <w:lang w:val="hu-HU" w:eastAsia="en-GB"/>
        </w:rPr>
        <w:t>A kelet</w:t>
      </w:r>
      <w:r>
        <w:rPr>
          <w:lang w:val="hu-HU" w:eastAsia="en-GB"/>
        </w:rPr>
        <w:noBreakHyphen/>
        <w:t>/délkelet</w:t>
      </w:r>
      <w:r>
        <w:rPr>
          <w:lang w:val="hu-HU" w:eastAsia="en-GB"/>
        </w:rPr>
        <w:noBreakHyphen/>
        <w:t>ázsiai etnikumhoz tartozás hatását az eltrombopag farmakokinetikájára 635 HCV</w:t>
      </w:r>
      <w:r>
        <w:rPr>
          <w:lang w:val="hu-HU" w:eastAsia="en-GB"/>
        </w:rPr>
        <w:noBreakHyphen/>
        <w:t>s betenél (145 kelet</w:t>
      </w:r>
      <w:r>
        <w:rPr>
          <w:lang w:val="hu-HU" w:eastAsia="en-GB"/>
        </w:rPr>
        <w:noBreakHyphen/>
        <w:t>ázsiai és 69 délkelet</w:t>
      </w:r>
      <w:r>
        <w:rPr>
          <w:lang w:val="hu-HU" w:eastAsia="en-GB"/>
        </w:rPr>
        <w:noBreakHyphen/>
        <w:t>ázsiai) populációs farmakokinetikai elemzés segítségével értékelték. A populációs farmakokinetikai elemzés becslései alapján a kelet-/délkelet-ázsiai betegek plazma eltrombopag</w:t>
      </w:r>
      <w:r>
        <w:rPr>
          <w:lang w:val="hu-HU" w:eastAsia="en-GB"/>
        </w:rPr>
        <w:noBreakHyphen/>
      </w:r>
      <w:r>
        <w:rPr>
          <w:lang w:val="hu-HU"/>
        </w:rPr>
        <w:t>AUC</w:t>
      </w:r>
      <w:r>
        <w:rPr>
          <w:vertAlign w:val="subscript"/>
          <w:lang w:val="hu-HU"/>
        </w:rPr>
        <w:t>(0-τ)</w:t>
      </w:r>
      <w:r>
        <w:rPr>
          <w:lang w:val="hu-HU" w:eastAsia="en-GB"/>
        </w:rPr>
        <w:noBreakHyphen/>
        <w:t>értékei közel 55%</w:t>
      </w:r>
      <w:r>
        <w:rPr>
          <w:lang w:val="hu-HU" w:eastAsia="en-GB"/>
        </w:rPr>
        <w:noBreakHyphen/>
        <w:t>kal magasabbak voltak, összehasonlítva az egyéb rasszba tartozó betegekkel, akik főként kaukázusiak voltak (lásd 4.2 pont).</w:t>
      </w:r>
    </w:p>
    <w:p w14:paraId="470FC3FE" w14:textId="77777777" w:rsidR="00342CEA" w:rsidRDefault="00342CEA">
      <w:pPr>
        <w:spacing w:line="240" w:lineRule="auto"/>
        <w:ind w:right="-2"/>
        <w:rPr>
          <w:u w:val="single"/>
          <w:lang w:val="hu-HU"/>
        </w:rPr>
      </w:pPr>
    </w:p>
    <w:p w14:paraId="42DEC190"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Nem</w:t>
      </w:r>
    </w:p>
    <w:p w14:paraId="63334100" w14:textId="77777777" w:rsidR="00A22B1E" w:rsidRDefault="00A22B1E">
      <w:pPr>
        <w:tabs>
          <w:tab w:val="clear" w:pos="567"/>
        </w:tabs>
        <w:autoSpaceDE w:val="0"/>
        <w:autoSpaceDN w:val="0"/>
        <w:spacing w:line="240" w:lineRule="auto"/>
        <w:rPr>
          <w:i/>
          <w:u w:val="single"/>
          <w:lang w:val="hu-HU" w:eastAsia="en-GB"/>
        </w:rPr>
      </w:pPr>
    </w:p>
    <w:p w14:paraId="76B4866E" w14:textId="77777777" w:rsidR="00342CEA" w:rsidRDefault="00837BAB">
      <w:pPr>
        <w:tabs>
          <w:tab w:val="clear" w:pos="567"/>
        </w:tabs>
        <w:autoSpaceDE w:val="0"/>
        <w:autoSpaceDN w:val="0"/>
        <w:spacing w:line="240" w:lineRule="auto"/>
        <w:rPr>
          <w:lang w:val="hu-HU" w:eastAsia="en-GB"/>
        </w:rPr>
      </w:pPr>
      <w:r>
        <w:rPr>
          <w:lang w:val="hu-HU" w:eastAsia="en-GB"/>
        </w:rPr>
        <w:t>A nem hatását az eltrombopag farmakokinetikájára 111 egészséges önkéntessel (14 nő) és 88 ITP</w:t>
      </w:r>
      <w:r>
        <w:rPr>
          <w:lang w:val="hu-HU" w:eastAsia="en-GB"/>
        </w:rPr>
        <w:noBreakHyphen/>
        <w:t>s beteggel (57 nő) populációs farmakokinetikai elemzés segítségével értékelték. A populációs farmakokinetikai elemzés becslései alapján az ITP</w:t>
      </w:r>
      <w:r>
        <w:rPr>
          <w:lang w:val="hu-HU" w:eastAsia="en-GB"/>
        </w:rPr>
        <w:noBreakHyphen/>
        <w:t>s nőbetegek plazma eltrombopag</w:t>
      </w:r>
      <w:r>
        <w:rPr>
          <w:lang w:val="hu-HU" w:eastAsia="en-GB"/>
        </w:rPr>
        <w:noBreakHyphen/>
      </w:r>
      <w:r>
        <w:rPr>
          <w:lang w:val="hu-HU"/>
        </w:rPr>
        <w:t>AUC</w:t>
      </w:r>
      <w:r>
        <w:rPr>
          <w:vertAlign w:val="subscript"/>
          <w:lang w:val="hu-HU"/>
        </w:rPr>
        <w:t>(0-τ)</w:t>
      </w:r>
      <w:r>
        <w:rPr>
          <w:lang w:val="hu-HU" w:eastAsia="en-GB"/>
        </w:rPr>
        <w:noBreakHyphen/>
        <w:t>értékei közel 23%</w:t>
      </w:r>
      <w:r>
        <w:rPr>
          <w:lang w:val="hu-HU" w:eastAsia="en-GB"/>
        </w:rPr>
        <w:noBreakHyphen/>
        <w:t>kal magasabbak voltak, összehasonlítva a férfi betegekkel, ha a testtömeg különbségeket nem vesszük figyelembe.</w:t>
      </w:r>
    </w:p>
    <w:p w14:paraId="069610FE" w14:textId="77777777" w:rsidR="00342CEA" w:rsidRDefault="00342CEA">
      <w:pPr>
        <w:tabs>
          <w:tab w:val="clear" w:pos="567"/>
        </w:tabs>
        <w:autoSpaceDE w:val="0"/>
        <w:autoSpaceDN w:val="0"/>
        <w:spacing w:line="240" w:lineRule="auto"/>
        <w:rPr>
          <w:lang w:val="hu-HU" w:eastAsia="en-GB"/>
        </w:rPr>
      </w:pPr>
    </w:p>
    <w:p w14:paraId="46168A75" w14:textId="77777777" w:rsidR="00342CEA" w:rsidRDefault="00837BAB">
      <w:pPr>
        <w:tabs>
          <w:tab w:val="clear" w:pos="567"/>
        </w:tabs>
        <w:autoSpaceDE w:val="0"/>
        <w:autoSpaceDN w:val="0"/>
        <w:spacing w:line="240" w:lineRule="auto"/>
        <w:rPr>
          <w:u w:val="single"/>
          <w:lang w:val="hu-HU"/>
        </w:rPr>
      </w:pPr>
      <w:r>
        <w:rPr>
          <w:lang w:val="hu-HU" w:eastAsia="en-GB"/>
        </w:rPr>
        <w:t>A nem hatását az eltrombopag farmakokinetikájára 635 HCV-s beteggel (260 nő) populációs farmakokinetikai elemzés segítségével értékelték. A modell becslések alapján a HCV</w:t>
      </w:r>
      <w:r>
        <w:rPr>
          <w:lang w:val="hu-HU" w:eastAsia="en-GB"/>
        </w:rPr>
        <w:noBreakHyphen/>
        <w:t>s nőbetegek plazma-eltrombopag-</w:t>
      </w:r>
      <w:r>
        <w:rPr>
          <w:lang w:val="hu-HU"/>
        </w:rPr>
        <w:t xml:space="preserve"> AUC</w:t>
      </w:r>
      <w:r>
        <w:rPr>
          <w:vertAlign w:val="subscript"/>
          <w:lang w:val="hu-HU"/>
        </w:rPr>
        <w:t>(0-τ)</w:t>
      </w:r>
      <w:r>
        <w:rPr>
          <w:lang w:val="hu-HU" w:eastAsia="en-GB"/>
        </w:rPr>
        <w:noBreakHyphen/>
        <w:t>értékei közel 41%</w:t>
      </w:r>
      <w:r>
        <w:rPr>
          <w:lang w:val="hu-HU" w:eastAsia="en-GB"/>
        </w:rPr>
        <w:noBreakHyphen/>
        <w:t>kal magasabbak voltak, mint a férfi betegeknél.</w:t>
      </w:r>
    </w:p>
    <w:p w14:paraId="69CA8E75" w14:textId="77777777" w:rsidR="00342CEA" w:rsidRDefault="00342CEA">
      <w:pPr>
        <w:spacing w:line="240" w:lineRule="auto"/>
        <w:ind w:right="-2"/>
        <w:rPr>
          <w:u w:val="single"/>
          <w:lang w:val="hu-HU"/>
        </w:rPr>
      </w:pPr>
    </w:p>
    <w:p w14:paraId="1AC8042F"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Életkor</w:t>
      </w:r>
    </w:p>
    <w:p w14:paraId="2915CCE4" w14:textId="77777777" w:rsidR="00A22B1E" w:rsidRDefault="00A22B1E">
      <w:pPr>
        <w:tabs>
          <w:tab w:val="clear" w:pos="567"/>
        </w:tabs>
        <w:autoSpaceDE w:val="0"/>
        <w:autoSpaceDN w:val="0"/>
        <w:spacing w:line="240" w:lineRule="auto"/>
        <w:rPr>
          <w:i/>
          <w:u w:val="single"/>
          <w:lang w:val="hu-HU" w:eastAsia="en-GB"/>
        </w:rPr>
      </w:pPr>
    </w:p>
    <w:p w14:paraId="06554536" w14:textId="77777777" w:rsidR="00342CEA" w:rsidRDefault="00837BAB">
      <w:pPr>
        <w:tabs>
          <w:tab w:val="clear" w:pos="567"/>
        </w:tabs>
        <w:autoSpaceDE w:val="0"/>
        <w:autoSpaceDN w:val="0"/>
        <w:spacing w:line="240" w:lineRule="auto"/>
        <w:rPr>
          <w:u w:val="single"/>
          <w:lang w:val="hu-HU"/>
        </w:rPr>
      </w:pPr>
      <w:r>
        <w:rPr>
          <w:lang w:val="hu-HU" w:eastAsia="en-GB"/>
        </w:rPr>
        <w:t>Az életkornak az eltrombopag farmakokinetikájára gyakorolt hatását populációs farmakokinetikai elemzés segítségével értékelték 19–74 éves korúalanyoknál, 28 egészséges önkéntesnél, 673 HCV-s betegnél és 41, egyéb etiológiájú krónikus májbetegségben szenvedő betegnél. Nem állnak rendelkezésre az eltrombopag alkalmazására vonatkozó farmakokinetikai adatok a 75 éves vagy idősebb korúak esetében. A modell becslések alapján az idősebb betegek (≥ 65 éves) plazma eltrombopag</w:t>
      </w:r>
      <w:r>
        <w:rPr>
          <w:lang w:val="hu-HU" w:eastAsia="en-GB"/>
        </w:rPr>
        <w:noBreakHyphen/>
      </w:r>
      <w:r>
        <w:rPr>
          <w:lang w:val="hu-HU"/>
        </w:rPr>
        <w:t>AUC</w:t>
      </w:r>
      <w:r>
        <w:rPr>
          <w:vertAlign w:val="subscript"/>
          <w:lang w:val="hu-HU"/>
        </w:rPr>
        <w:t>(0-τ)</w:t>
      </w:r>
      <w:r>
        <w:rPr>
          <w:lang w:val="hu-HU" w:eastAsia="en-GB"/>
        </w:rPr>
        <w:noBreakHyphen/>
        <w:t>értékei közel 41%</w:t>
      </w:r>
      <w:r>
        <w:rPr>
          <w:lang w:val="hu-HU" w:eastAsia="en-GB"/>
        </w:rPr>
        <w:noBreakHyphen/>
        <w:t>kal magasabbak voltak, mint a fiatalabb betegeknél (lásd 4.2 pont).</w:t>
      </w:r>
    </w:p>
    <w:p w14:paraId="104CDCB2" w14:textId="77777777" w:rsidR="00342CEA" w:rsidRDefault="00342CEA">
      <w:pPr>
        <w:spacing w:line="240" w:lineRule="auto"/>
        <w:ind w:right="-2"/>
        <w:rPr>
          <w:lang w:val="hu-HU"/>
        </w:rPr>
      </w:pPr>
    </w:p>
    <w:p w14:paraId="6FBB555A" w14:textId="77777777" w:rsidR="00342CEA" w:rsidRDefault="00837BAB">
      <w:pPr>
        <w:tabs>
          <w:tab w:val="clear" w:pos="567"/>
        </w:tabs>
        <w:autoSpaceDE w:val="0"/>
        <w:autoSpaceDN w:val="0"/>
        <w:spacing w:line="240" w:lineRule="auto"/>
        <w:rPr>
          <w:i/>
          <w:u w:val="single"/>
          <w:lang w:val="hu-HU" w:eastAsia="en-GB"/>
        </w:rPr>
      </w:pPr>
      <w:r>
        <w:rPr>
          <w:i/>
          <w:u w:val="single"/>
          <w:lang w:val="hu-HU" w:eastAsia="en-GB"/>
        </w:rPr>
        <w:t>Gyermekek és serdülők (1 és betöltött 18. életév között)</w:t>
      </w:r>
    </w:p>
    <w:p w14:paraId="57196FAC" w14:textId="77777777" w:rsidR="00A22B1E" w:rsidRDefault="00A22B1E">
      <w:pPr>
        <w:tabs>
          <w:tab w:val="clear" w:pos="567"/>
        </w:tabs>
        <w:autoSpaceDE w:val="0"/>
        <w:autoSpaceDN w:val="0"/>
        <w:spacing w:line="240" w:lineRule="auto"/>
        <w:rPr>
          <w:i/>
          <w:u w:val="single"/>
          <w:lang w:val="hu-HU" w:eastAsia="en-GB"/>
        </w:rPr>
      </w:pPr>
    </w:p>
    <w:p w14:paraId="00C662D9" w14:textId="77777777" w:rsidR="00342CEA" w:rsidRDefault="00837BAB">
      <w:pPr>
        <w:tabs>
          <w:tab w:val="clear" w:pos="567"/>
        </w:tabs>
        <w:autoSpaceDE w:val="0"/>
        <w:autoSpaceDN w:val="0"/>
        <w:spacing w:line="240" w:lineRule="auto"/>
        <w:rPr>
          <w:lang w:val="hu-HU" w:eastAsia="en-GB"/>
        </w:rPr>
      </w:pPr>
      <w:r>
        <w:rPr>
          <w:lang w:val="hu-HU" w:eastAsia="en-GB"/>
        </w:rPr>
        <w:t>A naponta egyszer adott eltrombopag farmakokinetikai tulajdonságait 168 ITP</w:t>
      </w:r>
      <w:r>
        <w:rPr>
          <w:lang w:val="hu-HU" w:eastAsia="en-GB"/>
        </w:rPr>
        <w:noBreakHyphen/>
        <w:t>s gyermeknél és serdülőnél értékelték két vizsgálatban, a TRA108062/PETIT-ben és a TRA115450/PETIT</w:t>
      </w:r>
      <w:r>
        <w:rPr>
          <w:lang w:val="hu-HU" w:eastAsia="en-GB"/>
        </w:rPr>
        <w:noBreakHyphen/>
        <w:t>2</w:t>
      </w:r>
      <w:r>
        <w:rPr>
          <w:lang w:val="hu-HU" w:eastAsia="en-GB"/>
        </w:rPr>
        <w:noBreakHyphen/>
        <w:t>ben. Szájon át történő alkalmazást követően az eltrombopag látszólagos plazma-clearance</w:t>
      </w:r>
      <w:r>
        <w:rPr>
          <w:lang w:val="hu-HU" w:eastAsia="en-GB"/>
        </w:rPr>
        <w:noBreakHyphen/>
        <w:t>e (CL/F) a testtömeg növekedésével együtt növekedett. A rassznak és a nemnek az eltrombopag látszólagos plazma</w:t>
      </w:r>
      <w:r>
        <w:rPr>
          <w:lang w:val="hu-HU" w:eastAsia="en-GB"/>
        </w:rPr>
        <w:noBreakHyphen/>
        <w:t>clearance számításokra gyakorolt hatása a gyermek és serdülőkorú, valamint a felnőtt betegeknél konzisztens volt. Az ITP</w:t>
      </w:r>
      <w:r>
        <w:rPr>
          <w:lang w:val="hu-HU" w:eastAsia="en-GB"/>
        </w:rPr>
        <w:noBreakHyphen/>
        <w:t>s kelet</w:t>
      </w:r>
      <w:r>
        <w:rPr>
          <w:lang w:val="hu-HU" w:eastAsia="en-GB"/>
        </w:rPr>
        <w:noBreakHyphen/>
        <w:t>/délkelet</w:t>
      </w:r>
      <w:r>
        <w:rPr>
          <w:lang w:val="hu-HU" w:eastAsia="en-GB"/>
        </w:rPr>
        <w:noBreakHyphen/>
        <w:t>ázsiai gyermekeknél és serdülőknél megközelítőleg 43%</w:t>
      </w:r>
      <w:r>
        <w:rPr>
          <w:lang w:val="hu-HU" w:eastAsia="en-GB"/>
        </w:rPr>
        <w:noBreakHyphen/>
        <w:t>kal magasabbak voltak a plazma eltrombopag</w:t>
      </w:r>
      <w:r>
        <w:rPr>
          <w:lang w:val="hu-HU" w:eastAsia="en-GB"/>
        </w:rPr>
        <w:noBreakHyphen/>
      </w:r>
      <w:r>
        <w:rPr>
          <w:lang w:val="hu-HU"/>
        </w:rPr>
        <w:t>AUC</w:t>
      </w:r>
      <w:r>
        <w:rPr>
          <w:vertAlign w:val="subscript"/>
          <w:lang w:val="hu-HU"/>
        </w:rPr>
        <w:t>(0-</w:t>
      </w:r>
      <w:r>
        <w:rPr>
          <w:rFonts w:ascii="Segoe UI Symbol" w:eastAsia="Segoe UI Symbol" w:hAnsi="Segoe UI Symbol" w:cs="Segoe UI Symbol"/>
          <w:vertAlign w:val="subscript"/>
          <w:lang w:val="hu-HU"/>
        </w:rPr>
        <w:t>τ</w:t>
      </w:r>
      <w:r>
        <w:rPr>
          <w:vertAlign w:val="subscript"/>
          <w:lang w:val="hu-HU"/>
        </w:rPr>
        <w:t>)</w:t>
      </w:r>
      <w:r>
        <w:rPr>
          <w:lang w:val="hu-HU" w:eastAsia="en-GB"/>
        </w:rPr>
        <w:noBreakHyphen/>
        <w:t>értékek, mint a nem ázsiai betegeknél. Az ITP</w:t>
      </w:r>
      <w:r>
        <w:rPr>
          <w:lang w:val="hu-HU" w:eastAsia="en-GB"/>
        </w:rPr>
        <w:noBreakHyphen/>
        <w:t>s lánygyermekeknél és serdülőknél megközelítőleg 25%</w:t>
      </w:r>
      <w:r>
        <w:rPr>
          <w:lang w:val="hu-HU" w:eastAsia="en-GB"/>
        </w:rPr>
        <w:noBreakHyphen/>
        <w:t>kal magasabbak voltak a plazma eltrombopag</w:t>
      </w:r>
      <w:r>
        <w:rPr>
          <w:lang w:val="hu-HU" w:eastAsia="en-GB"/>
        </w:rPr>
        <w:noBreakHyphen/>
      </w:r>
      <w:r>
        <w:rPr>
          <w:lang w:val="hu-HU"/>
        </w:rPr>
        <w:t>AUC</w:t>
      </w:r>
      <w:r>
        <w:rPr>
          <w:vertAlign w:val="subscript"/>
          <w:lang w:val="hu-HU"/>
        </w:rPr>
        <w:t>(0-</w:t>
      </w:r>
      <w:r>
        <w:rPr>
          <w:rFonts w:ascii="Segoe UI Symbol" w:eastAsia="Segoe UI Symbol" w:hAnsi="Segoe UI Symbol" w:cs="Segoe UI Symbol"/>
          <w:vertAlign w:val="subscript"/>
          <w:lang w:val="hu-HU"/>
        </w:rPr>
        <w:t>τ</w:t>
      </w:r>
      <w:r>
        <w:rPr>
          <w:vertAlign w:val="subscript"/>
          <w:lang w:val="hu-HU"/>
        </w:rPr>
        <w:t>)</w:t>
      </w:r>
      <w:r>
        <w:rPr>
          <w:lang w:val="hu-HU" w:eastAsia="en-GB"/>
        </w:rPr>
        <w:noBreakHyphen/>
        <w:t>értékek, mint a fiú betegeknél.</w:t>
      </w:r>
    </w:p>
    <w:p w14:paraId="55CAC9C4" w14:textId="77777777" w:rsidR="00342CEA" w:rsidRDefault="00342CEA">
      <w:pPr>
        <w:tabs>
          <w:tab w:val="clear" w:pos="567"/>
        </w:tabs>
        <w:autoSpaceDE w:val="0"/>
        <w:autoSpaceDN w:val="0"/>
        <w:spacing w:line="240" w:lineRule="auto"/>
        <w:rPr>
          <w:lang w:val="hu-HU" w:eastAsia="en-GB"/>
        </w:rPr>
      </w:pPr>
    </w:p>
    <w:p w14:paraId="5FAB411D" w14:textId="77777777" w:rsidR="00342CEA" w:rsidRDefault="00837BAB">
      <w:pPr>
        <w:tabs>
          <w:tab w:val="clear" w:pos="567"/>
        </w:tabs>
        <w:autoSpaceDE w:val="0"/>
        <w:autoSpaceDN w:val="0"/>
        <w:spacing w:line="240" w:lineRule="auto"/>
        <w:rPr>
          <w:u w:val="single"/>
          <w:lang w:val="hu-HU"/>
        </w:rPr>
      </w:pPr>
      <w:r>
        <w:rPr>
          <w:lang w:val="hu-HU" w:eastAsia="en-GB"/>
        </w:rPr>
        <w:t>Az eltrombopag ITP</w:t>
      </w:r>
      <w:r>
        <w:rPr>
          <w:lang w:val="hu-HU" w:eastAsia="en-GB"/>
        </w:rPr>
        <w:noBreakHyphen/>
        <w:t>s gyermekeknél és serdülőknél észlelt farmakokinetikai paramétereit a 11. táblázat mutatja.</w:t>
      </w:r>
    </w:p>
    <w:p w14:paraId="47EDE3D4" w14:textId="77777777" w:rsidR="00342CEA" w:rsidRDefault="00342CEA">
      <w:pPr>
        <w:tabs>
          <w:tab w:val="clear" w:pos="567"/>
        </w:tabs>
        <w:spacing w:line="240" w:lineRule="auto"/>
        <w:ind w:right="-2"/>
        <w:rPr>
          <w:u w:val="single"/>
          <w:lang w:val="hu-HU"/>
        </w:rPr>
      </w:pPr>
    </w:p>
    <w:p w14:paraId="0C4A243F" w14:textId="77777777" w:rsidR="00342CEA" w:rsidRDefault="00837BAB" w:rsidP="006C1619">
      <w:pPr>
        <w:keepNext/>
        <w:tabs>
          <w:tab w:val="clear" w:pos="567"/>
        </w:tabs>
        <w:autoSpaceDE w:val="0"/>
        <w:autoSpaceDN w:val="0"/>
        <w:spacing w:line="240" w:lineRule="auto"/>
        <w:ind w:left="1134" w:hanging="1134"/>
        <w:rPr>
          <w:b/>
          <w:bCs/>
          <w:lang w:val="hu-HU" w:eastAsia="en-GB"/>
        </w:rPr>
      </w:pPr>
      <w:r>
        <w:rPr>
          <w:b/>
          <w:bCs/>
          <w:lang w:val="hu-HU" w:eastAsia="en-GB"/>
        </w:rPr>
        <w:lastRenderedPageBreak/>
        <w:t>11. táblázat</w:t>
      </w:r>
      <w:r>
        <w:rPr>
          <w:b/>
          <w:bCs/>
          <w:lang w:val="hu-HU" w:eastAsia="en-GB"/>
        </w:rPr>
        <w:tab/>
        <w:t>A dinamikus egyensúlyi állapotú plazma eltrombopag farmakokinetikai paramétereinek mértani átlaga (95%</w:t>
      </w:r>
      <w:r>
        <w:rPr>
          <w:b/>
          <w:bCs/>
          <w:lang w:val="hu-HU" w:eastAsia="en-GB"/>
        </w:rPr>
        <w:noBreakHyphen/>
        <w:t>os CI) ITP</w:t>
      </w:r>
      <w:r>
        <w:rPr>
          <w:b/>
          <w:bCs/>
          <w:lang w:val="hu-HU" w:eastAsia="en-GB"/>
        </w:rPr>
        <w:noBreakHyphen/>
        <w:t xml:space="preserve">s gyermekeknél és </w:t>
      </w:r>
      <w:r>
        <w:rPr>
          <w:rFonts w:eastAsia="TimesNewRomanPS-BoldMT"/>
          <w:b/>
          <w:bCs/>
          <w:lang w:val="hu-HU" w:eastAsia="en-GB"/>
        </w:rPr>
        <w:t xml:space="preserve">serdülőknél </w:t>
      </w:r>
      <w:r>
        <w:rPr>
          <w:b/>
          <w:bCs/>
          <w:lang w:val="hu-HU" w:eastAsia="en-GB"/>
        </w:rPr>
        <w:t>(napi egyszeri 50 mg</w:t>
      </w:r>
      <w:r>
        <w:rPr>
          <w:b/>
          <w:bCs/>
          <w:lang w:val="hu-HU" w:eastAsia="en-GB"/>
        </w:rPr>
        <w:noBreakHyphen/>
        <w:t>os adagolási rend)</w:t>
      </w:r>
    </w:p>
    <w:p w14:paraId="451B126C" w14:textId="77777777" w:rsidR="00A22B1E" w:rsidRDefault="00A22B1E" w:rsidP="006C1619">
      <w:pPr>
        <w:keepNext/>
        <w:tabs>
          <w:tab w:val="clear" w:pos="567"/>
        </w:tabs>
        <w:autoSpaceDE w:val="0"/>
        <w:autoSpaceDN w:val="0"/>
        <w:spacing w:line="240" w:lineRule="auto"/>
        <w:ind w:left="1134" w:hanging="1134"/>
        <w:rPr>
          <w:b/>
          <w:bCs/>
          <w:u w:val="single"/>
          <w:lang w:val="hu-HU"/>
        </w:rPr>
      </w:pPr>
    </w:p>
    <w:tbl>
      <w:tblPr>
        <w:tblW w:w="8652" w:type="dxa"/>
        <w:tblInd w:w="113" w:type="dxa"/>
        <w:tblBorders>
          <w:top w:val="nil"/>
          <w:left w:val="nil"/>
          <w:bottom w:val="nil"/>
          <w:right w:val="nil"/>
          <w:insideH w:val="nil"/>
          <w:insideV w:val="nil"/>
        </w:tblBorders>
        <w:tblCellMar>
          <w:top w:w="13" w:type="dxa"/>
          <w:right w:w="115" w:type="dxa"/>
        </w:tblCellMar>
        <w:tblLook w:val="04A0" w:firstRow="1" w:lastRow="0" w:firstColumn="1" w:lastColumn="0" w:noHBand="0" w:noVBand="1"/>
      </w:tblPr>
      <w:tblGrid>
        <w:gridCol w:w="3132"/>
        <w:gridCol w:w="2760"/>
        <w:gridCol w:w="2760"/>
      </w:tblGrid>
      <w:tr w:rsidR="00342CEA" w14:paraId="3F28384A" w14:textId="77777777">
        <w:trPr>
          <w:trHeight w:val="532"/>
        </w:trPr>
        <w:tc>
          <w:tcPr>
            <w:tcW w:w="3132" w:type="dxa"/>
            <w:tcBorders>
              <w:top w:val="single" w:sz="4" w:space="0" w:color="000000"/>
              <w:left w:val="single" w:sz="4" w:space="0" w:color="000000"/>
              <w:bottom w:val="single" w:sz="4" w:space="0" w:color="000000"/>
              <w:right w:val="single" w:sz="4" w:space="0" w:color="000000"/>
            </w:tcBorders>
          </w:tcPr>
          <w:p w14:paraId="135D2B67" w14:textId="77777777" w:rsidR="00342CEA" w:rsidRDefault="00837BAB">
            <w:pPr>
              <w:widowControl w:val="0"/>
              <w:jc w:val="center"/>
              <w:rPr>
                <w:b/>
                <w:bCs/>
                <w:lang w:val="hu-HU" w:eastAsia="en-US"/>
              </w:rPr>
            </w:pPr>
            <w:r>
              <w:rPr>
                <w:b/>
                <w:bCs/>
                <w:lang w:val="hu-HU" w:eastAsia="en-US"/>
              </w:rPr>
              <w:t>Életkor</w:t>
            </w:r>
          </w:p>
        </w:tc>
        <w:tc>
          <w:tcPr>
            <w:tcW w:w="2760" w:type="dxa"/>
            <w:tcBorders>
              <w:top w:val="single" w:sz="4" w:space="0" w:color="000000"/>
              <w:left w:val="single" w:sz="4" w:space="0" w:color="000000"/>
              <w:bottom w:val="single" w:sz="4" w:space="0" w:color="000000"/>
              <w:right w:val="single" w:sz="4" w:space="0" w:color="000000"/>
            </w:tcBorders>
          </w:tcPr>
          <w:p w14:paraId="7856CFD4" w14:textId="77777777" w:rsidR="00342CEA" w:rsidRDefault="00837BAB">
            <w:pPr>
              <w:widowControl w:val="0"/>
              <w:jc w:val="center"/>
              <w:rPr>
                <w:b/>
                <w:bCs/>
                <w:lang w:val="hu-HU" w:eastAsia="en-US"/>
              </w:rPr>
            </w:pPr>
            <w:r>
              <w:rPr>
                <w:b/>
                <w:bCs/>
                <w:lang w:val="hu-HU" w:eastAsia="en-US"/>
              </w:rPr>
              <w:t>C</w:t>
            </w:r>
            <w:r>
              <w:rPr>
                <w:b/>
                <w:bCs/>
                <w:vertAlign w:val="subscript"/>
                <w:lang w:val="hu-HU" w:eastAsia="en-US"/>
              </w:rPr>
              <w:t>max</w:t>
            </w:r>
          </w:p>
          <w:p w14:paraId="356FE7CF" w14:textId="77777777" w:rsidR="00342CEA" w:rsidRDefault="00837BAB">
            <w:pPr>
              <w:widowControl w:val="0"/>
              <w:jc w:val="center"/>
              <w:rPr>
                <w:b/>
                <w:bCs/>
                <w:lang w:val="hu-HU" w:eastAsia="en-US"/>
              </w:rPr>
            </w:pPr>
            <w:r>
              <w:rPr>
                <w:b/>
                <w:bCs/>
                <w:lang w:val="hu-HU" w:eastAsia="en-US"/>
              </w:rPr>
              <w:t>(mikrogramm/ml)</w:t>
            </w:r>
          </w:p>
        </w:tc>
        <w:tc>
          <w:tcPr>
            <w:tcW w:w="2760" w:type="dxa"/>
            <w:tcBorders>
              <w:top w:val="single" w:sz="4" w:space="0" w:color="000000"/>
              <w:left w:val="single" w:sz="4" w:space="0" w:color="000000"/>
              <w:bottom w:val="single" w:sz="4" w:space="0" w:color="000000"/>
              <w:right w:val="single" w:sz="4" w:space="0" w:color="000000"/>
            </w:tcBorders>
          </w:tcPr>
          <w:p w14:paraId="211CCA57" w14:textId="77777777" w:rsidR="00342CEA" w:rsidRDefault="00837BAB">
            <w:pPr>
              <w:widowControl w:val="0"/>
              <w:jc w:val="center"/>
              <w:rPr>
                <w:b/>
                <w:bCs/>
                <w:lang w:val="hu-HU" w:eastAsia="en-US"/>
              </w:rPr>
            </w:pPr>
            <w:r>
              <w:rPr>
                <w:b/>
                <w:bCs/>
                <w:lang w:val="hu-HU" w:eastAsia="en-US"/>
              </w:rPr>
              <w:t>AUC</w:t>
            </w:r>
            <w:r>
              <w:rPr>
                <w:b/>
                <w:bCs/>
                <w:vertAlign w:val="subscript"/>
                <w:lang w:val="hu-HU" w:eastAsia="en-US"/>
              </w:rPr>
              <w:t>(0-τ)</w:t>
            </w:r>
          </w:p>
          <w:p w14:paraId="688B32C9" w14:textId="77777777" w:rsidR="00342CEA" w:rsidRDefault="00837BAB">
            <w:pPr>
              <w:widowControl w:val="0"/>
              <w:jc w:val="center"/>
              <w:rPr>
                <w:b/>
                <w:bCs/>
                <w:lang w:val="hu-HU" w:eastAsia="en-US"/>
              </w:rPr>
            </w:pPr>
            <w:r>
              <w:rPr>
                <w:b/>
                <w:bCs/>
                <w:lang w:val="hu-HU" w:eastAsia="en-US"/>
              </w:rPr>
              <w:t>(mikrogramm</w:t>
            </w:r>
            <w:r>
              <w:rPr>
                <w:color w:val="000000"/>
                <w:lang w:val="hu-HU"/>
              </w:rPr>
              <w:t>×</w:t>
            </w:r>
            <w:r>
              <w:rPr>
                <w:b/>
                <w:bCs/>
                <w:lang w:val="hu-HU" w:eastAsia="en-US"/>
              </w:rPr>
              <w:t>óra/ml)</w:t>
            </w:r>
          </w:p>
        </w:tc>
      </w:tr>
      <w:tr w:rsidR="00342CEA" w14:paraId="3EE489EB" w14:textId="77777777">
        <w:trPr>
          <w:trHeight w:val="516"/>
        </w:trPr>
        <w:tc>
          <w:tcPr>
            <w:tcW w:w="3132" w:type="dxa"/>
            <w:tcBorders>
              <w:top w:val="single" w:sz="4" w:space="0" w:color="000000"/>
              <w:left w:val="single" w:sz="4" w:space="0" w:color="000000"/>
              <w:bottom w:val="single" w:sz="4" w:space="0" w:color="000000"/>
              <w:right w:val="single" w:sz="4" w:space="0" w:color="000000"/>
            </w:tcBorders>
          </w:tcPr>
          <w:p w14:paraId="05043E9C" w14:textId="77777777" w:rsidR="00342CEA" w:rsidRDefault="00837BAB">
            <w:pPr>
              <w:widowControl w:val="0"/>
              <w:jc w:val="center"/>
              <w:rPr>
                <w:lang w:val="hu-HU" w:eastAsia="en-US"/>
              </w:rPr>
            </w:pPr>
            <w:r>
              <w:rPr>
                <w:lang w:val="hu-HU" w:eastAsia="en-US"/>
              </w:rPr>
              <w:t>12-18 év (n = 62)</w:t>
            </w:r>
          </w:p>
        </w:tc>
        <w:tc>
          <w:tcPr>
            <w:tcW w:w="2760" w:type="dxa"/>
            <w:tcBorders>
              <w:top w:val="single" w:sz="4" w:space="0" w:color="000000"/>
              <w:left w:val="single" w:sz="4" w:space="0" w:color="000000"/>
              <w:bottom w:val="single" w:sz="4" w:space="0" w:color="000000"/>
              <w:right w:val="single" w:sz="4" w:space="0" w:color="000000"/>
            </w:tcBorders>
          </w:tcPr>
          <w:p w14:paraId="0EE2A457" w14:textId="77777777" w:rsidR="00342CEA" w:rsidRDefault="00837BAB">
            <w:pPr>
              <w:widowControl w:val="0"/>
              <w:jc w:val="center"/>
              <w:rPr>
                <w:lang w:val="hu-HU" w:eastAsia="en-US"/>
              </w:rPr>
            </w:pPr>
            <w:r>
              <w:rPr>
                <w:lang w:val="hu-HU" w:eastAsia="en-US"/>
              </w:rPr>
              <w:t>6,80</w:t>
            </w:r>
          </w:p>
          <w:p w14:paraId="27C763E4" w14:textId="77777777" w:rsidR="00342CEA" w:rsidRDefault="00837BAB">
            <w:pPr>
              <w:widowControl w:val="0"/>
              <w:jc w:val="center"/>
              <w:rPr>
                <w:lang w:val="hu-HU" w:eastAsia="en-US"/>
              </w:rPr>
            </w:pPr>
            <w:r>
              <w:rPr>
                <w:lang w:val="hu-HU" w:eastAsia="en-US"/>
              </w:rPr>
              <w:t>(6,17; 7,50)</w:t>
            </w:r>
          </w:p>
        </w:tc>
        <w:tc>
          <w:tcPr>
            <w:tcW w:w="2760" w:type="dxa"/>
            <w:tcBorders>
              <w:top w:val="single" w:sz="4" w:space="0" w:color="000000"/>
              <w:left w:val="single" w:sz="4" w:space="0" w:color="000000"/>
              <w:bottom w:val="single" w:sz="4" w:space="0" w:color="000000"/>
              <w:right w:val="single" w:sz="4" w:space="0" w:color="000000"/>
            </w:tcBorders>
          </w:tcPr>
          <w:p w14:paraId="274FE3D7" w14:textId="77777777" w:rsidR="00342CEA" w:rsidRDefault="00837BAB">
            <w:pPr>
              <w:widowControl w:val="0"/>
              <w:jc w:val="center"/>
              <w:rPr>
                <w:lang w:val="hu-HU" w:eastAsia="en-US"/>
              </w:rPr>
            </w:pPr>
            <w:r>
              <w:rPr>
                <w:lang w:val="hu-HU" w:eastAsia="en-US"/>
              </w:rPr>
              <w:t>103 (91,1; 116)</w:t>
            </w:r>
          </w:p>
        </w:tc>
      </w:tr>
      <w:tr w:rsidR="00342CEA" w14:paraId="2B7A13A6" w14:textId="77777777">
        <w:trPr>
          <w:trHeight w:val="516"/>
        </w:trPr>
        <w:tc>
          <w:tcPr>
            <w:tcW w:w="3132" w:type="dxa"/>
            <w:tcBorders>
              <w:top w:val="single" w:sz="4" w:space="0" w:color="000000"/>
              <w:left w:val="single" w:sz="4" w:space="0" w:color="000000"/>
              <w:bottom w:val="single" w:sz="4" w:space="0" w:color="000000"/>
              <w:right w:val="single" w:sz="4" w:space="0" w:color="000000"/>
            </w:tcBorders>
          </w:tcPr>
          <w:p w14:paraId="608BDBE7" w14:textId="77777777" w:rsidR="00342CEA" w:rsidRDefault="00837BAB">
            <w:pPr>
              <w:widowControl w:val="0"/>
              <w:jc w:val="center"/>
              <w:rPr>
                <w:lang w:val="hu-HU" w:eastAsia="en-US"/>
              </w:rPr>
            </w:pPr>
            <w:r>
              <w:rPr>
                <w:lang w:val="hu-HU" w:eastAsia="en-US"/>
              </w:rPr>
              <w:t>6-11 év (n = 68)</w:t>
            </w:r>
          </w:p>
        </w:tc>
        <w:tc>
          <w:tcPr>
            <w:tcW w:w="2760" w:type="dxa"/>
            <w:tcBorders>
              <w:top w:val="single" w:sz="4" w:space="0" w:color="000000"/>
              <w:left w:val="single" w:sz="4" w:space="0" w:color="000000"/>
              <w:bottom w:val="single" w:sz="4" w:space="0" w:color="000000"/>
              <w:right w:val="single" w:sz="4" w:space="0" w:color="000000"/>
            </w:tcBorders>
          </w:tcPr>
          <w:p w14:paraId="70801D75" w14:textId="77777777" w:rsidR="00342CEA" w:rsidRDefault="00837BAB">
            <w:pPr>
              <w:widowControl w:val="0"/>
              <w:jc w:val="center"/>
              <w:rPr>
                <w:lang w:val="hu-HU" w:eastAsia="en-US"/>
              </w:rPr>
            </w:pPr>
            <w:r>
              <w:rPr>
                <w:lang w:val="hu-HU" w:eastAsia="en-US"/>
              </w:rPr>
              <w:t>10,3</w:t>
            </w:r>
          </w:p>
          <w:p w14:paraId="7DF70AF6" w14:textId="77777777" w:rsidR="00342CEA" w:rsidRDefault="00837BAB">
            <w:pPr>
              <w:widowControl w:val="0"/>
              <w:jc w:val="center"/>
              <w:rPr>
                <w:lang w:val="hu-HU" w:eastAsia="en-US"/>
              </w:rPr>
            </w:pPr>
            <w:r>
              <w:rPr>
                <w:lang w:val="hu-HU" w:eastAsia="en-US"/>
              </w:rPr>
              <w:t>(9,42; 11,2)</w:t>
            </w:r>
          </w:p>
        </w:tc>
        <w:tc>
          <w:tcPr>
            <w:tcW w:w="2760" w:type="dxa"/>
            <w:tcBorders>
              <w:top w:val="single" w:sz="4" w:space="0" w:color="000000"/>
              <w:left w:val="single" w:sz="4" w:space="0" w:color="000000"/>
              <w:bottom w:val="single" w:sz="4" w:space="0" w:color="000000"/>
              <w:right w:val="single" w:sz="4" w:space="0" w:color="000000"/>
            </w:tcBorders>
          </w:tcPr>
          <w:p w14:paraId="096C6A25" w14:textId="77777777" w:rsidR="00342CEA" w:rsidRDefault="00837BAB">
            <w:pPr>
              <w:widowControl w:val="0"/>
              <w:jc w:val="center"/>
              <w:rPr>
                <w:lang w:val="hu-HU" w:eastAsia="en-US"/>
              </w:rPr>
            </w:pPr>
            <w:r>
              <w:rPr>
                <w:lang w:val="hu-HU" w:eastAsia="en-US"/>
              </w:rPr>
              <w:t>153</w:t>
            </w:r>
          </w:p>
          <w:p w14:paraId="1F30BAC6" w14:textId="77777777" w:rsidR="00342CEA" w:rsidRDefault="00837BAB">
            <w:pPr>
              <w:widowControl w:val="0"/>
              <w:jc w:val="center"/>
              <w:rPr>
                <w:lang w:val="hu-HU" w:eastAsia="en-US"/>
              </w:rPr>
            </w:pPr>
            <w:r>
              <w:rPr>
                <w:lang w:val="hu-HU" w:eastAsia="en-US"/>
              </w:rPr>
              <w:t>(137; 170)</w:t>
            </w:r>
          </w:p>
        </w:tc>
      </w:tr>
      <w:tr w:rsidR="00342CEA" w14:paraId="03FE4A75" w14:textId="77777777">
        <w:trPr>
          <w:trHeight w:val="517"/>
        </w:trPr>
        <w:tc>
          <w:tcPr>
            <w:tcW w:w="3132" w:type="dxa"/>
            <w:tcBorders>
              <w:top w:val="single" w:sz="4" w:space="0" w:color="000000"/>
              <w:left w:val="single" w:sz="4" w:space="0" w:color="000000"/>
              <w:bottom w:val="single" w:sz="4" w:space="0" w:color="000000"/>
              <w:right w:val="single" w:sz="4" w:space="0" w:color="000000"/>
            </w:tcBorders>
          </w:tcPr>
          <w:p w14:paraId="0550995B" w14:textId="77777777" w:rsidR="00342CEA" w:rsidRDefault="00837BAB">
            <w:pPr>
              <w:widowControl w:val="0"/>
              <w:jc w:val="center"/>
              <w:rPr>
                <w:lang w:val="hu-HU" w:eastAsia="en-US"/>
              </w:rPr>
            </w:pPr>
            <w:r>
              <w:rPr>
                <w:lang w:val="hu-HU" w:eastAsia="en-US"/>
              </w:rPr>
              <w:t>1-5 év (n = 38)</w:t>
            </w:r>
          </w:p>
        </w:tc>
        <w:tc>
          <w:tcPr>
            <w:tcW w:w="2760" w:type="dxa"/>
            <w:tcBorders>
              <w:top w:val="single" w:sz="4" w:space="0" w:color="000000"/>
              <w:left w:val="single" w:sz="4" w:space="0" w:color="000000"/>
              <w:bottom w:val="single" w:sz="4" w:space="0" w:color="000000"/>
              <w:right w:val="single" w:sz="4" w:space="0" w:color="000000"/>
            </w:tcBorders>
          </w:tcPr>
          <w:p w14:paraId="0017E791" w14:textId="77777777" w:rsidR="00342CEA" w:rsidRDefault="00837BAB">
            <w:pPr>
              <w:widowControl w:val="0"/>
              <w:jc w:val="center"/>
              <w:rPr>
                <w:lang w:val="hu-HU" w:eastAsia="en-US"/>
              </w:rPr>
            </w:pPr>
            <w:r>
              <w:rPr>
                <w:lang w:val="hu-HU" w:eastAsia="en-US"/>
              </w:rPr>
              <w:t>11,6</w:t>
            </w:r>
          </w:p>
          <w:p w14:paraId="301B5F4C" w14:textId="77777777" w:rsidR="00342CEA" w:rsidRDefault="00837BAB">
            <w:pPr>
              <w:widowControl w:val="0"/>
              <w:jc w:val="center"/>
              <w:rPr>
                <w:lang w:val="hu-HU" w:eastAsia="en-US"/>
              </w:rPr>
            </w:pPr>
            <w:r>
              <w:rPr>
                <w:lang w:val="hu-HU" w:eastAsia="en-US"/>
              </w:rPr>
              <w:t>(10,4; 12,9)</w:t>
            </w:r>
          </w:p>
        </w:tc>
        <w:tc>
          <w:tcPr>
            <w:tcW w:w="2760" w:type="dxa"/>
            <w:tcBorders>
              <w:top w:val="single" w:sz="4" w:space="0" w:color="000000"/>
              <w:left w:val="single" w:sz="4" w:space="0" w:color="000000"/>
              <w:bottom w:val="single" w:sz="4" w:space="0" w:color="000000"/>
              <w:right w:val="single" w:sz="4" w:space="0" w:color="000000"/>
            </w:tcBorders>
          </w:tcPr>
          <w:p w14:paraId="2523B43D" w14:textId="77777777" w:rsidR="00342CEA" w:rsidRDefault="00837BAB">
            <w:pPr>
              <w:widowControl w:val="0"/>
              <w:jc w:val="center"/>
              <w:rPr>
                <w:lang w:val="hu-HU" w:eastAsia="en-US"/>
              </w:rPr>
            </w:pPr>
            <w:r>
              <w:rPr>
                <w:lang w:val="hu-HU" w:eastAsia="en-US"/>
              </w:rPr>
              <w:t>162</w:t>
            </w:r>
          </w:p>
          <w:p w14:paraId="65C6502A" w14:textId="77777777" w:rsidR="00342CEA" w:rsidRDefault="00837BAB">
            <w:pPr>
              <w:widowControl w:val="0"/>
              <w:jc w:val="center"/>
              <w:rPr>
                <w:lang w:val="hu-HU" w:eastAsia="en-US"/>
              </w:rPr>
            </w:pPr>
            <w:r>
              <w:rPr>
                <w:lang w:val="hu-HU" w:eastAsia="en-US"/>
              </w:rPr>
              <w:t>(139; 187)</w:t>
            </w:r>
          </w:p>
        </w:tc>
      </w:tr>
    </w:tbl>
    <w:p w14:paraId="4D7B0CE5" w14:textId="77777777" w:rsidR="00342CEA" w:rsidRDefault="00837BAB">
      <w:pPr>
        <w:spacing w:after="12" w:line="247" w:lineRule="auto"/>
        <w:ind w:left="-6" w:right="14" w:hanging="9"/>
        <w:rPr>
          <w:lang w:val="hu-HU"/>
        </w:rPr>
      </w:pPr>
      <w:r>
        <w:rPr>
          <w:lang w:val="hu-HU"/>
        </w:rPr>
        <w:t>Az adatok mértani átlagban (95%</w:t>
      </w:r>
      <w:r>
        <w:rPr>
          <w:lang w:val="hu-HU"/>
        </w:rPr>
        <w:noBreakHyphen/>
        <w:t>os CI) vannak megadva. Az AUC</w:t>
      </w:r>
      <w:r>
        <w:rPr>
          <w:vertAlign w:val="subscript"/>
          <w:lang w:val="hu-HU"/>
        </w:rPr>
        <w:t>(0-τ)</w:t>
      </w:r>
      <w:r>
        <w:rPr>
          <w:lang w:val="hu-HU"/>
        </w:rPr>
        <w:t xml:space="preserve"> és a C</w:t>
      </w:r>
      <w:r>
        <w:rPr>
          <w:vertAlign w:val="subscript"/>
          <w:lang w:val="hu-HU"/>
        </w:rPr>
        <w:t>max</w:t>
      </w:r>
      <w:r>
        <w:rPr>
          <w:lang w:val="hu-HU"/>
        </w:rPr>
        <w:t xml:space="preserve"> populációs farmakokinetikai </w:t>
      </w:r>
      <w:r>
        <w:rPr>
          <w:i/>
          <w:lang w:val="hu-HU"/>
        </w:rPr>
        <w:t>post hoc</w:t>
      </w:r>
      <w:r>
        <w:rPr>
          <w:lang w:val="hu-HU"/>
        </w:rPr>
        <w:t xml:space="preserve"> becsléseken alapul (95%</w:t>
      </w:r>
      <w:r>
        <w:rPr>
          <w:lang w:val="hu-HU"/>
        </w:rPr>
        <w:noBreakHyphen/>
        <w:t>os CI).</w:t>
      </w:r>
    </w:p>
    <w:p w14:paraId="7E992E98" w14:textId="77777777" w:rsidR="007E2A8D" w:rsidRDefault="007E2A8D">
      <w:pPr>
        <w:spacing w:line="240" w:lineRule="auto"/>
        <w:ind w:right="-2"/>
        <w:rPr>
          <w:u w:val="single"/>
          <w:lang w:val="hu-HU"/>
        </w:rPr>
      </w:pPr>
    </w:p>
    <w:p w14:paraId="1F3016E1"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5.3</w:t>
      </w:r>
      <w:r>
        <w:rPr>
          <w:rFonts w:eastAsia="Times New Roman"/>
          <w:b/>
          <w:bCs/>
          <w:lang w:val="hu-HU" w:eastAsia="en-US"/>
        </w:rPr>
        <w:tab/>
        <w:t>A preklinikai biztonságossági vizsgálatok eredményei</w:t>
      </w:r>
    </w:p>
    <w:p w14:paraId="12EA7B46" w14:textId="77777777" w:rsidR="00342CEA" w:rsidRDefault="00342CEA">
      <w:pPr>
        <w:keepNext/>
        <w:spacing w:line="240" w:lineRule="auto"/>
        <w:ind w:left="567" w:hanging="567"/>
        <w:outlineLvl w:val="0"/>
        <w:rPr>
          <w:lang w:val="hu-HU"/>
        </w:rPr>
      </w:pPr>
    </w:p>
    <w:p w14:paraId="4887F57C" w14:textId="77777777" w:rsidR="00342CEA" w:rsidRDefault="00837BAB">
      <w:pPr>
        <w:keepNext/>
        <w:tabs>
          <w:tab w:val="clear" w:pos="567"/>
        </w:tabs>
        <w:autoSpaceDE w:val="0"/>
        <w:autoSpaceDN w:val="0"/>
        <w:spacing w:line="240" w:lineRule="auto"/>
        <w:rPr>
          <w:u w:val="single"/>
          <w:lang w:val="hu-HU" w:eastAsia="en-GB"/>
        </w:rPr>
      </w:pPr>
      <w:r>
        <w:rPr>
          <w:u w:val="single"/>
          <w:lang w:val="hu-HU" w:eastAsia="en-GB"/>
        </w:rPr>
        <w:t>Farmakológiai biztonságosság és ismétlődő adagolású dózistoxicitás</w:t>
      </w:r>
    </w:p>
    <w:p w14:paraId="0746213B" w14:textId="77777777" w:rsidR="003F1D7E" w:rsidRDefault="003F1D7E">
      <w:pPr>
        <w:keepNext/>
        <w:tabs>
          <w:tab w:val="clear" w:pos="567"/>
        </w:tabs>
        <w:autoSpaceDE w:val="0"/>
        <w:autoSpaceDN w:val="0"/>
        <w:spacing w:line="240" w:lineRule="auto"/>
        <w:rPr>
          <w:u w:val="single"/>
          <w:lang w:val="hu-HU" w:eastAsia="en-GB"/>
        </w:rPr>
      </w:pPr>
    </w:p>
    <w:p w14:paraId="22E173B6" w14:textId="77777777" w:rsidR="00342CEA" w:rsidRDefault="00837BAB">
      <w:pPr>
        <w:tabs>
          <w:tab w:val="clear" w:pos="567"/>
        </w:tabs>
        <w:autoSpaceDE w:val="0"/>
        <w:autoSpaceDN w:val="0"/>
        <w:spacing w:line="240" w:lineRule="auto"/>
        <w:rPr>
          <w:b/>
          <w:bCs/>
          <w:lang w:val="hu-HU"/>
        </w:rPr>
      </w:pPr>
      <w:r>
        <w:rPr>
          <w:lang w:val="hu-HU" w:eastAsia="en-GB"/>
        </w:rPr>
        <w:t>Egyedülálló TPO</w:t>
      </w:r>
      <w:r>
        <w:rPr>
          <w:lang w:val="hu-HU" w:eastAsia="en-GB"/>
        </w:rPr>
        <w:noBreakHyphen/>
        <w:t>receptorspecificitása miatt az eltrombopag egérnél, patkánynál vagy kutyánál nem fokozza a vérlemezke</w:t>
      </w:r>
      <w:r>
        <w:rPr>
          <w:lang w:val="hu-HU" w:eastAsia="en-GB"/>
        </w:rPr>
        <w:noBreakHyphen/>
        <w:t>termelést. Ezért az ilyen állatoktól származó adatok, beleértve a reprodukciós és karcinogenitási vizsgálatokat, nem teljesen modellezik az eltrombopag farmakológiájával kapcsolatos lehetséges mellékhatásokat embereknél.</w:t>
      </w:r>
    </w:p>
    <w:p w14:paraId="3E20C28B" w14:textId="77777777" w:rsidR="00342CEA" w:rsidRDefault="00342CEA">
      <w:pPr>
        <w:spacing w:line="240" w:lineRule="auto"/>
        <w:ind w:left="567" w:hanging="567"/>
        <w:outlineLvl w:val="0"/>
        <w:rPr>
          <w:lang w:val="hu-HU"/>
        </w:rPr>
      </w:pPr>
    </w:p>
    <w:p w14:paraId="09D41588" w14:textId="77777777" w:rsidR="00342CEA" w:rsidRDefault="00837BAB">
      <w:pPr>
        <w:tabs>
          <w:tab w:val="clear" w:pos="567"/>
        </w:tabs>
        <w:autoSpaceDE w:val="0"/>
        <w:autoSpaceDN w:val="0"/>
        <w:spacing w:line="240" w:lineRule="auto"/>
        <w:rPr>
          <w:lang w:val="hu-HU"/>
        </w:rPr>
      </w:pPr>
      <w:r>
        <w:rPr>
          <w:lang w:val="hu-HU" w:eastAsia="en-GB"/>
        </w:rPr>
        <w:t>A kezeléssel összefüggésben lévő cataractát észleltek rágcsálóknál, mely dózis</w:t>
      </w:r>
      <w:r>
        <w:rPr>
          <w:lang w:val="hu-HU" w:eastAsia="en-GB"/>
        </w:rPr>
        <w:noBreakHyphen/>
        <w:t>és időfüggő volt. Az AUC alapján számított, 75 mg/nap adagot kapó, felnőtt ITP</w:t>
      </w:r>
      <w:r>
        <w:rPr>
          <w:lang w:val="hu-HU" w:eastAsia="en-GB"/>
        </w:rPr>
        <w:noBreakHyphen/>
        <w:t>s betegeken alapuló humán klinikai expozíció ≥ 6-szorosánál, illetve 100 mg/nap adagot kapó, felnőtt HCV</w:t>
      </w:r>
      <w:r>
        <w:rPr>
          <w:lang w:val="hu-HU" w:eastAsia="en-GB"/>
        </w:rPr>
        <w:noBreakHyphen/>
        <w:t>s betegeken alapuló humán klinikai expozíció 3</w:t>
      </w:r>
      <w:r>
        <w:rPr>
          <w:lang w:val="hu-HU" w:eastAsia="en-GB"/>
        </w:rPr>
        <w:noBreakHyphen/>
        <w:t>szorosánál egereknél 6 hét után, patkányoknál 28 hét után figyeltek meg szürkehályogot. Az AUC alapján számított, 75 mg/nap adagot kapó ITP</w:t>
      </w:r>
      <w:r>
        <w:rPr>
          <w:lang w:val="hu-HU" w:eastAsia="en-GB"/>
        </w:rPr>
        <w:noBreakHyphen/>
        <w:t xml:space="preserve">s betegeken alapuló humán klinikai expozíció </w:t>
      </w:r>
      <w:r>
        <w:rPr>
          <w:rFonts w:ascii="Segoe UI Symbol" w:eastAsia="Segoe UI Symbol" w:hAnsi="Segoe UI Symbol" w:cs="Segoe UI Symbol"/>
          <w:lang w:val="hu-HU"/>
        </w:rPr>
        <w:t>≥ </w:t>
      </w:r>
      <w:r>
        <w:rPr>
          <w:lang w:val="hu-HU" w:eastAsia="en-GB"/>
        </w:rPr>
        <w:t>4</w:t>
      </w:r>
      <w:r>
        <w:rPr>
          <w:lang w:val="hu-HU" w:eastAsia="en-GB"/>
        </w:rPr>
        <w:noBreakHyphen/>
        <w:t>szeresénél, illetve 100 mg/nap adagot kapó HCV</w:t>
      </w:r>
      <w:r>
        <w:rPr>
          <w:lang w:val="hu-HU" w:eastAsia="en-GB"/>
        </w:rPr>
        <w:noBreakHyphen/>
        <w:t>s betegeken alapuló humán klinikai expozíció 2</w:t>
      </w:r>
      <w:r>
        <w:rPr>
          <w:lang w:val="hu-HU" w:eastAsia="en-GB"/>
        </w:rPr>
        <w:noBreakHyphen/>
        <w:t>szeresénél egereknél 13 hét után, patkányoknál 39 hét után figyeltek meg szürkehályogot. Az AUC alapján az ITP</w:t>
      </w:r>
      <w:r>
        <w:rPr>
          <w:lang w:val="hu-HU" w:eastAsia="en-GB"/>
        </w:rPr>
        <w:noBreakHyphen/>
        <w:t>s gyermekeknél és serdülőknél a napi 75 mg</w:t>
      </w:r>
      <w:r>
        <w:rPr>
          <w:lang w:val="hu-HU" w:eastAsia="en-GB"/>
        </w:rPr>
        <w:noBreakHyphen/>
        <w:t>os, maximális humán klinikai expozíció 9</w:t>
      </w:r>
      <w:r>
        <w:rPr>
          <w:lang w:val="hu-HU" w:eastAsia="en-GB"/>
        </w:rPr>
        <w:noBreakHyphen/>
        <w:t>szeresének megfelelő, nem tolerálható dózisokban a 4. és 32. nap között (az adagolási időszak végén megközelítőleg egy kétéves gyermeknek felel meg) adagolva, az elválasztás előtt álló fiatal patkányoknál ocularis opacitást észleltek (szövettani vizsgálatot nem végeztek). Ugyanakkor az AUC alapján az ITP</w:t>
      </w:r>
      <w:r>
        <w:rPr>
          <w:lang w:val="hu-HU" w:eastAsia="en-GB"/>
        </w:rPr>
        <w:noBreakHyphen/>
        <w:t>s gyermekeknél és serdülőknél a humán klinikai expozíció 5</w:t>
      </w:r>
      <w:r>
        <w:rPr>
          <w:lang w:val="hu-HU" w:eastAsia="en-GB"/>
        </w:rPr>
        <w:noBreakHyphen/>
        <w:t>szörösének megfelelő, tolerálható dózisokban fiatal patkányoknak adva nem figyeltek meg cataractát. Felnőtt kutyáknál 52 hét után nem észleltek szürkehályogot (az AUC alapján számított, 75 mg/nap adagot kapó felnőtt vagy gyermek és serdülőkorú ITP</w:t>
      </w:r>
      <w:r>
        <w:rPr>
          <w:lang w:val="hu-HU" w:eastAsia="en-GB"/>
        </w:rPr>
        <w:noBreakHyphen/>
        <w:t>s betegeken alapuló humán klinikai expozíció 2</w:t>
      </w:r>
      <w:r>
        <w:rPr>
          <w:lang w:val="hu-HU" w:eastAsia="en-GB"/>
        </w:rPr>
        <w:noBreakHyphen/>
        <w:t>szeresénél, amely egyenértékű a 100 mg/nap adagot kapó HCV-s betegeken alapuló humán klinikai expozícióval).</w:t>
      </w:r>
    </w:p>
    <w:p w14:paraId="284ABD60" w14:textId="77777777" w:rsidR="00342CEA" w:rsidRDefault="00342CEA">
      <w:pPr>
        <w:spacing w:line="240" w:lineRule="auto"/>
        <w:ind w:left="567" w:hanging="567"/>
        <w:outlineLvl w:val="0"/>
        <w:rPr>
          <w:lang w:val="hu-HU"/>
        </w:rPr>
      </w:pPr>
    </w:p>
    <w:p w14:paraId="564FE3D7" w14:textId="77777777" w:rsidR="00342CEA" w:rsidRDefault="00837BAB">
      <w:pPr>
        <w:tabs>
          <w:tab w:val="clear" w:pos="567"/>
        </w:tabs>
        <w:autoSpaceDE w:val="0"/>
        <w:autoSpaceDN w:val="0"/>
        <w:spacing w:line="240" w:lineRule="auto"/>
        <w:rPr>
          <w:b/>
          <w:bCs/>
          <w:lang w:val="hu-HU"/>
        </w:rPr>
      </w:pPr>
      <w:r>
        <w:rPr>
          <w:lang w:val="hu-HU" w:eastAsia="en-GB"/>
        </w:rPr>
        <w:t>Legfeljebb 14 napig tartó vizsgálatokban renalis tubularis toxicitást figyeltek meg egéreknél és patkányoknál, rendszerint megbetegedést és halált okozó expozícióknál. Tubularis toxicitást egy 2 éves orális karcinogenitási vizsgálatban is megfigyeltek egérnél, napi 25, 75 és 150 mg/ttkg adagoknál. Alacsonyabb dózisoknál a hatások kevésbé voltak súlyosak, és azokat regerenatív elváltozások sora jellemezte. A legalacsonyabb dózisnál az expozíció az AUC alapján számított, 75 mg/nap adagot kapó felnőtt vagy gyermek és serdülőkorú ITP</w:t>
      </w:r>
      <w:r>
        <w:rPr>
          <w:lang w:val="hu-HU" w:eastAsia="en-GB"/>
        </w:rPr>
        <w:noBreakHyphen/>
        <w:t>s betegeken alapuló humán klinikai expozíció 1,2</w:t>
      </w:r>
      <w:r>
        <w:rPr>
          <w:lang w:val="hu-HU" w:eastAsia="en-GB"/>
        </w:rPr>
        <w:noBreakHyphen/>
        <w:t>szerese vagy 0,8</w:t>
      </w:r>
      <w:r>
        <w:rPr>
          <w:lang w:val="hu-HU" w:eastAsia="en-GB"/>
        </w:rPr>
        <w:noBreakHyphen/>
        <w:t>szerese, illetve 100 mg/nap adagot kapó HCV-s betegeken alapuló humán klinikai expozíció 0,6-szorosa volt. Nem tapasztaltak renalis hatásokat patkányoknál 28 hét után, kutyáknál 52 hét után, az AUC alapján számított 75 mg/nap adagot kapó felnőtt ITP</w:t>
      </w:r>
      <w:r>
        <w:rPr>
          <w:lang w:val="hu-HU" w:eastAsia="en-GB"/>
        </w:rPr>
        <w:noBreakHyphen/>
        <w:t>s betegeken alapuló humán klinikai expozíció 4</w:t>
      </w:r>
      <w:r>
        <w:rPr>
          <w:lang w:val="hu-HU" w:eastAsia="en-GB"/>
        </w:rPr>
        <w:noBreakHyphen/>
        <w:t xml:space="preserve"> illetve 2</w:t>
      </w:r>
      <w:r>
        <w:rPr>
          <w:lang w:val="hu-HU" w:eastAsia="en-GB"/>
        </w:rPr>
        <w:noBreakHyphen/>
        <w:t>szeresénél, valamint gyermek és serdülőkorú ITP</w:t>
      </w:r>
      <w:r>
        <w:rPr>
          <w:lang w:val="hu-HU" w:eastAsia="en-GB"/>
        </w:rPr>
        <w:noBreakHyphen/>
        <w:t>s betegeken alapuló humán klinikai expozíció 3- illetve 2-szeresénél, amely egyenértékű a 100 mg/nap adagot kapó HCV</w:t>
      </w:r>
      <w:r>
        <w:rPr>
          <w:lang w:val="hu-HU" w:eastAsia="en-GB"/>
        </w:rPr>
        <w:noBreakHyphen/>
        <w:t>betegeken alapuló humán klinikai expozícióval.</w:t>
      </w:r>
    </w:p>
    <w:p w14:paraId="51E49262" w14:textId="77777777" w:rsidR="00342CEA" w:rsidRDefault="00342CEA">
      <w:pPr>
        <w:spacing w:line="240" w:lineRule="auto"/>
        <w:ind w:left="567" w:hanging="567"/>
        <w:outlineLvl w:val="0"/>
        <w:rPr>
          <w:lang w:val="hu-HU"/>
        </w:rPr>
      </w:pPr>
    </w:p>
    <w:p w14:paraId="48D0AD4A" w14:textId="084198B9" w:rsidR="00342CEA" w:rsidRDefault="00837BAB">
      <w:pPr>
        <w:tabs>
          <w:tab w:val="clear" w:pos="567"/>
        </w:tabs>
        <w:autoSpaceDE w:val="0"/>
        <w:autoSpaceDN w:val="0"/>
        <w:spacing w:line="240" w:lineRule="auto"/>
        <w:rPr>
          <w:lang w:val="hu-HU"/>
        </w:rPr>
      </w:pPr>
      <w:r>
        <w:rPr>
          <w:lang w:val="hu-HU" w:eastAsia="en-GB"/>
        </w:rPr>
        <w:lastRenderedPageBreak/>
        <w:t>Hepatocyta degenerációt és/vagy nekrózist figyeltek meg eg</w:t>
      </w:r>
      <w:r w:rsidR="00966EAC">
        <w:rPr>
          <w:lang w:val="hu-HU" w:eastAsia="en-GB"/>
        </w:rPr>
        <w:t>e</w:t>
      </w:r>
      <w:r>
        <w:rPr>
          <w:lang w:val="hu-HU" w:eastAsia="en-GB"/>
        </w:rPr>
        <w:t>reknél, patkányoknál és kutyáknál, gyakran a szérum</w:t>
      </w:r>
      <w:r>
        <w:rPr>
          <w:lang w:val="hu-HU" w:eastAsia="en-GB"/>
        </w:rPr>
        <w:noBreakHyphen/>
        <w:t>májenzimszintek emelkedésével együtt, a megbetegedést vagy halált okozó, illetve rosszul tolerált dózisoknál. Hosszú távú kezelés során patkányoknál (28 hét) illetve kutyánál (52 hét) nem észleltek hepatikus hatásokat az AUC alapján számított, 75 mg/nap adagot kapó felnőtt ITP</w:t>
      </w:r>
      <w:r>
        <w:rPr>
          <w:lang w:val="hu-HU" w:eastAsia="en-GB"/>
        </w:rPr>
        <w:noBreakHyphen/>
        <w:t>s betegeken alapuló humán klinikai expozíció 4</w:t>
      </w:r>
      <w:r>
        <w:rPr>
          <w:lang w:val="hu-HU" w:eastAsia="en-GB"/>
        </w:rPr>
        <w:noBreakHyphen/>
        <w:t xml:space="preserve"> illetve 2</w:t>
      </w:r>
      <w:r>
        <w:rPr>
          <w:lang w:val="hu-HU" w:eastAsia="en-GB"/>
        </w:rPr>
        <w:noBreakHyphen/>
        <w:t>szeresénél, valamint gyermek és serdülőkorú ITP</w:t>
      </w:r>
      <w:r>
        <w:rPr>
          <w:lang w:val="hu-HU" w:eastAsia="en-GB"/>
        </w:rPr>
        <w:noBreakHyphen/>
        <w:t>s betegeken alapuló humán klinikai expozíció 3</w:t>
      </w:r>
      <w:r>
        <w:rPr>
          <w:lang w:val="hu-HU" w:eastAsia="en-GB"/>
        </w:rPr>
        <w:noBreakHyphen/>
        <w:t xml:space="preserve"> vagy 2</w:t>
      </w:r>
      <w:r>
        <w:rPr>
          <w:lang w:val="hu-HU" w:eastAsia="en-GB"/>
        </w:rPr>
        <w:noBreakHyphen/>
        <w:t>szeresénél, amely egyenértékű a 100 mg/nap adagot kapó HCV</w:t>
      </w:r>
      <w:r>
        <w:rPr>
          <w:lang w:val="hu-HU" w:eastAsia="en-GB"/>
        </w:rPr>
        <w:noBreakHyphen/>
        <w:t>s betegeken alapuló humán klinikai expozícióval.</w:t>
      </w:r>
    </w:p>
    <w:p w14:paraId="0894DB1C" w14:textId="77777777" w:rsidR="00342CEA" w:rsidRDefault="00342CEA">
      <w:pPr>
        <w:spacing w:line="240" w:lineRule="auto"/>
        <w:ind w:left="567" w:hanging="567"/>
        <w:outlineLvl w:val="0"/>
        <w:rPr>
          <w:lang w:val="hu-HU"/>
        </w:rPr>
      </w:pPr>
    </w:p>
    <w:p w14:paraId="51A671E0" w14:textId="77777777" w:rsidR="00342CEA" w:rsidRDefault="00837BAB">
      <w:pPr>
        <w:tabs>
          <w:tab w:val="clear" w:pos="567"/>
        </w:tabs>
        <w:autoSpaceDE w:val="0"/>
        <w:autoSpaceDN w:val="0"/>
        <w:spacing w:line="240" w:lineRule="auto"/>
        <w:rPr>
          <w:lang w:val="hu-HU"/>
        </w:rPr>
      </w:pPr>
      <w:r>
        <w:rPr>
          <w:lang w:val="hu-HU" w:eastAsia="en-GB"/>
        </w:rPr>
        <w:t>Rövid távú vizsgálatokban, patkányoknál és kutyáknál, a rosszul tolerált dózisoknál (az AUC alapján számított, 75 mg/nap adagot kapó felnőtt vagy gyermek- és serdülőkorú ITP</w:t>
      </w:r>
      <w:r>
        <w:rPr>
          <w:lang w:val="hu-HU" w:eastAsia="en-GB"/>
        </w:rPr>
        <w:noBreakHyphen/>
        <w:t>s betegeken alapuló humán klinikai expozíció több mint 10</w:t>
      </w:r>
      <w:r>
        <w:rPr>
          <w:lang w:val="hu-HU" w:eastAsia="en-GB"/>
        </w:rPr>
        <w:noBreakHyphen/>
        <w:t>szerese vagy több mint 7</w:t>
      </w:r>
      <w:r>
        <w:rPr>
          <w:lang w:val="hu-HU" w:eastAsia="en-GB"/>
        </w:rPr>
        <w:noBreakHyphen/>
        <w:t>szerese, illetve 100 mg/nap adagot kapó HCV</w:t>
      </w:r>
      <w:r>
        <w:rPr>
          <w:lang w:val="hu-HU" w:eastAsia="en-GB"/>
        </w:rPr>
        <w:noBreakHyphen/>
        <w:t>s betegeken alapuló humán klinikai expozíció &gt; 4</w:t>
      </w:r>
      <w:r>
        <w:rPr>
          <w:lang w:val="hu-HU" w:eastAsia="en-GB"/>
        </w:rPr>
        <w:noBreakHyphen/>
        <w:t>szerese) a retikulocitaszám csökkenését és regeneratív csontvelő erythroid hyperplasiát (csak patkányoknál) figyeltek meg. Nem voltak figyelemre méltó hatások a vörösvértest tömeget és a retikulocitaszámot illetően patkányoknál legfeljebb 28 hétig tartó, kutyánál legfeljebb 52 hétig tartó és egérnél legfeljebb 2 évig tartó kezelés során a legnagyobb tolerált adagoknál, melyek az AUC alapján számított, 75 mg/nap adagot kapó felnőtt vagy gyermek- és serdülőkorú ITP</w:t>
      </w:r>
      <w:r>
        <w:rPr>
          <w:lang w:val="hu-HU" w:eastAsia="en-GB"/>
        </w:rPr>
        <w:noBreakHyphen/>
        <w:t>s betegeken alapuló humán klinikai expozíció 2</w:t>
      </w:r>
      <w:r>
        <w:rPr>
          <w:lang w:val="hu-HU" w:eastAsia="en-GB"/>
        </w:rPr>
        <w:noBreakHyphen/>
        <w:t>4</w:t>
      </w:r>
      <w:r>
        <w:rPr>
          <w:lang w:val="hu-HU" w:eastAsia="en-GB"/>
        </w:rPr>
        <w:noBreakHyphen/>
        <w:t>szeresét, illetve 100 mg/nap adagot kapó HCV</w:t>
      </w:r>
      <w:r>
        <w:rPr>
          <w:lang w:val="hu-HU" w:eastAsia="en-GB"/>
        </w:rPr>
        <w:noBreakHyphen/>
        <w:t>s betegeken alapuló humán klinikai expozíció ≤ 2-szeresét tették ki.</w:t>
      </w:r>
    </w:p>
    <w:p w14:paraId="796B7AC2" w14:textId="77777777" w:rsidR="00342CEA" w:rsidRDefault="00342CEA">
      <w:pPr>
        <w:spacing w:line="240" w:lineRule="auto"/>
        <w:ind w:left="567" w:hanging="567"/>
        <w:outlineLvl w:val="0"/>
        <w:rPr>
          <w:lang w:val="hu-HU"/>
        </w:rPr>
      </w:pPr>
    </w:p>
    <w:p w14:paraId="2B516342" w14:textId="578C94CC" w:rsidR="00342CEA" w:rsidRDefault="00837BAB">
      <w:pPr>
        <w:tabs>
          <w:tab w:val="clear" w:pos="567"/>
        </w:tabs>
        <w:autoSpaceDE w:val="0"/>
        <w:autoSpaceDN w:val="0"/>
        <w:spacing w:line="240" w:lineRule="auto"/>
        <w:rPr>
          <w:lang w:val="hu-HU"/>
        </w:rPr>
      </w:pPr>
      <w:r>
        <w:rPr>
          <w:lang w:val="hu-HU" w:eastAsia="en-GB"/>
        </w:rPr>
        <w:t>Egy 28 hetes toxicitási vizsgálatban endostealis hyperostosist figyeltek meg patkányoknál napi 60 mg/ttkg nem tolerált dózisnál (az AUC alapján számított, 75 mg/nap adagot kapó felnőtt vagy gyermek- és serdülőkorú ITP</w:t>
      </w:r>
      <w:r>
        <w:rPr>
          <w:lang w:val="hu-HU" w:eastAsia="en-GB"/>
        </w:rPr>
        <w:noBreakHyphen/>
        <w:t>s betegeken alapuló humán klinikai expozíció 6</w:t>
      </w:r>
      <w:r>
        <w:rPr>
          <w:lang w:val="hu-HU" w:eastAsia="en-GB"/>
        </w:rPr>
        <w:noBreakHyphen/>
        <w:t>szorosa vagy 4</w:t>
      </w:r>
      <w:r>
        <w:rPr>
          <w:lang w:val="hu-HU" w:eastAsia="en-GB"/>
        </w:rPr>
        <w:noBreakHyphen/>
        <w:t>szerese, illetve 100 mg/nap adagot kapó HCV</w:t>
      </w:r>
      <w:r>
        <w:rPr>
          <w:lang w:val="hu-HU" w:eastAsia="en-GB"/>
        </w:rPr>
        <w:noBreakHyphen/>
        <w:t>s betegeken alapuló humán klinikai expozíció 3</w:t>
      </w:r>
      <w:r>
        <w:rPr>
          <w:lang w:val="hu-HU" w:eastAsia="en-GB"/>
        </w:rPr>
        <w:noBreakHyphen/>
        <w:t>szorosa). Élethosszig tartó (2 éves) expozíciónál nem figyeltek meg csontelváltozásokat eg</w:t>
      </w:r>
      <w:r w:rsidR="00966EAC">
        <w:rPr>
          <w:lang w:val="hu-HU" w:eastAsia="en-GB"/>
        </w:rPr>
        <w:t>e</w:t>
      </w:r>
      <w:r>
        <w:rPr>
          <w:lang w:val="hu-HU" w:eastAsia="en-GB"/>
        </w:rPr>
        <w:t>rekben, illetve patkányoknál az AUC alapján számított, 75 mg/nap adagot kapó felnőtt vagy gyermek- és serdülőkorú ITP</w:t>
      </w:r>
      <w:r>
        <w:rPr>
          <w:lang w:val="hu-HU" w:eastAsia="en-GB"/>
        </w:rPr>
        <w:noBreakHyphen/>
        <w:t>s betegeken alapuló humán klinikai expozíció 4</w:t>
      </w:r>
      <w:r>
        <w:rPr>
          <w:lang w:val="hu-HU" w:eastAsia="en-GB"/>
        </w:rPr>
        <w:noBreakHyphen/>
        <w:t>szeresénél vagy 2</w:t>
      </w:r>
      <w:r>
        <w:rPr>
          <w:lang w:val="hu-HU" w:eastAsia="en-GB"/>
        </w:rPr>
        <w:noBreakHyphen/>
        <w:t>szeresénél, illetve 100 mg/nap adagot kapó HCV</w:t>
      </w:r>
      <w:r>
        <w:rPr>
          <w:lang w:val="hu-HU" w:eastAsia="en-GB"/>
        </w:rPr>
        <w:noBreakHyphen/>
        <w:t>s betegeken alapuló humán klinikai expozíció 2</w:t>
      </w:r>
      <w:r>
        <w:rPr>
          <w:lang w:val="hu-HU" w:eastAsia="en-GB"/>
        </w:rPr>
        <w:noBreakHyphen/>
        <w:t>szeresénél.</w:t>
      </w:r>
    </w:p>
    <w:p w14:paraId="6C599B56" w14:textId="77777777" w:rsidR="00342CEA" w:rsidRDefault="00342CEA">
      <w:pPr>
        <w:spacing w:line="240" w:lineRule="auto"/>
        <w:ind w:left="567" w:hanging="567"/>
        <w:outlineLvl w:val="0"/>
        <w:rPr>
          <w:lang w:val="hu-HU"/>
        </w:rPr>
      </w:pPr>
    </w:p>
    <w:p w14:paraId="44A93392"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Karcinogenitás és mutagenitás</w:t>
      </w:r>
    </w:p>
    <w:p w14:paraId="6A03AD3D" w14:textId="77777777" w:rsidR="003F1D7E" w:rsidRDefault="003F1D7E">
      <w:pPr>
        <w:tabs>
          <w:tab w:val="clear" w:pos="567"/>
        </w:tabs>
        <w:autoSpaceDE w:val="0"/>
        <w:autoSpaceDN w:val="0"/>
        <w:spacing w:line="240" w:lineRule="auto"/>
        <w:rPr>
          <w:u w:val="single"/>
          <w:lang w:val="hu-HU" w:eastAsia="en-GB"/>
        </w:rPr>
      </w:pPr>
    </w:p>
    <w:p w14:paraId="2A2C2F4C" w14:textId="47353AAA" w:rsidR="00342CEA" w:rsidRDefault="00837BAB">
      <w:pPr>
        <w:tabs>
          <w:tab w:val="clear" w:pos="567"/>
        </w:tabs>
        <w:autoSpaceDE w:val="0"/>
        <w:autoSpaceDN w:val="0"/>
        <w:spacing w:line="240" w:lineRule="auto"/>
        <w:rPr>
          <w:lang w:val="hu-HU"/>
        </w:rPr>
      </w:pPr>
      <w:r>
        <w:rPr>
          <w:lang w:val="hu-HU" w:eastAsia="en-GB"/>
        </w:rPr>
        <w:t>Az eltrombopag nem volt karcinogén egéreknél legfeljebb napi 75 mg/ttkg</w:t>
      </w:r>
      <w:r>
        <w:rPr>
          <w:lang w:val="hu-HU" w:eastAsia="en-GB"/>
        </w:rPr>
        <w:noBreakHyphen/>
        <w:t>os adagoknál és patkányoknál legfeljebb napi 40 mg/ttkg</w:t>
      </w:r>
      <w:r>
        <w:rPr>
          <w:lang w:val="hu-HU" w:eastAsia="en-GB"/>
        </w:rPr>
        <w:noBreakHyphen/>
        <w:t>os adagoknál (az AUC alapján számított, 75 mg/nap adagot kapó felnőtt vagy gyermek- és serdülőkorú ITP</w:t>
      </w:r>
      <w:r>
        <w:rPr>
          <w:lang w:val="hu-HU" w:eastAsia="en-GB"/>
        </w:rPr>
        <w:noBreakHyphen/>
        <w:t>s betegeken alapuló humán klinikai expozíciók legfeljebb 4</w:t>
      </w:r>
      <w:r>
        <w:rPr>
          <w:lang w:val="hu-HU" w:eastAsia="en-GB"/>
        </w:rPr>
        <w:noBreakHyphen/>
        <w:t>szerese vagy 2</w:t>
      </w:r>
      <w:r>
        <w:rPr>
          <w:lang w:val="hu-HU" w:eastAsia="en-GB"/>
        </w:rPr>
        <w:noBreakHyphen/>
        <w:t>szerese, illetve 100 mg/nap adagot kapó HCV</w:t>
      </w:r>
      <w:r>
        <w:rPr>
          <w:lang w:val="hu-HU" w:eastAsia="en-GB"/>
        </w:rPr>
        <w:noBreakHyphen/>
        <w:t>s betegeken alapuló humán klinikai expozíció 2</w:t>
      </w:r>
      <w:r>
        <w:rPr>
          <w:lang w:val="hu-HU" w:eastAsia="en-GB"/>
        </w:rPr>
        <w:noBreakHyphen/>
        <w:t xml:space="preserve">szerese). Az eltrombopag nem volt mutagén vagy klasztogén egy bakteriális mutációs kísérletsorozatban, illetve két </w:t>
      </w:r>
      <w:r>
        <w:rPr>
          <w:i/>
          <w:lang w:val="hu-HU" w:eastAsia="en-GB"/>
        </w:rPr>
        <w:t xml:space="preserve">in vivo </w:t>
      </w:r>
      <w:r>
        <w:rPr>
          <w:lang w:val="hu-HU" w:eastAsia="en-GB"/>
        </w:rPr>
        <w:t>kísérletsorozatban patkányoknál (mikronucleus és nem betervezett DNS szintézis, a C</w:t>
      </w:r>
      <w:r>
        <w:rPr>
          <w:vertAlign w:val="subscript"/>
          <w:lang w:val="hu-HU" w:eastAsia="en-GB"/>
        </w:rPr>
        <w:t>max</w:t>
      </w:r>
      <w:r>
        <w:rPr>
          <w:lang w:val="hu-HU" w:eastAsia="en-GB"/>
        </w:rPr>
        <w:t xml:space="preserve"> alapján számított, 75 mg/nap adagot kapó felnőtt vagy gyermek- és serdülőkorú ITP</w:t>
      </w:r>
      <w:r>
        <w:rPr>
          <w:lang w:val="hu-HU" w:eastAsia="en-GB"/>
        </w:rPr>
        <w:noBreakHyphen/>
        <w:t>s betegeken alapuló humán klinikai expozíció 10</w:t>
      </w:r>
      <w:r>
        <w:rPr>
          <w:lang w:val="hu-HU" w:eastAsia="en-GB"/>
        </w:rPr>
        <w:noBreakHyphen/>
        <w:t>szeresénél vagy 8</w:t>
      </w:r>
      <w:r>
        <w:rPr>
          <w:lang w:val="hu-HU" w:eastAsia="en-GB"/>
        </w:rPr>
        <w:noBreakHyphen/>
        <w:t>szorosánál, illetve 100 mg/nap adagot kapó HCV</w:t>
      </w:r>
      <w:r>
        <w:rPr>
          <w:lang w:val="hu-HU" w:eastAsia="en-GB"/>
        </w:rPr>
        <w:noBreakHyphen/>
        <w:t>s betegeken alapuló humán klinikai expozíció 7</w:t>
      </w:r>
      <w:r>
        <w:rPr>
          <w:lang w:val="hu-HU" w:eastAsia="en-GB"/>
        </w:rPr>
        <w:noBreakHyphen/>
        <w:t xml:space="preserve">szeresénél). Az </w:t>
      </w:r>
      <w:r>
        <w:rPr>
          <w:i/>
          <w:lang w:val="hu-HU" w:eastAsia="en-GB"/>
        </w:rPr>
        <w:t xml:space="preserve">in vitro </w:t>
      </w:r>
      <w:r>
        <w:rPr>
          <w:lang w:val="hu-HU" w:eastAsia="en-GB"/>
        </w:rPr>
        <w:t>egérlimfóma tesztsorozatban az eltrombopag marginálisan pozitív volt (a mutációk gyakoriságának kevesebb mint 3</w:t>
      </w:r>
      <w:r>
        <w:rPr>
          <w:lang w:val="hu-HU" w:eastAsia="en-GB"/>
        </w:rPr>
        <w:noBreakHyphen/>
        <w:t xml:space="preserve">szoros növekedése). Ezek az </w:t>
      </w:r>
      <w:r>
        <w:rPr>
          <w:i/>
          <w:lang w:val="hu-HU" w:eastAsia="en-GB"/>
        </w:rPr>
        <w:t xml:space="preserve">in vitro </w:t>
      </w:r>
      <w:r>
        <w:rPr>
          <w:lang w:val="hu-HU" w:eastAsia="en-GB"/>
        </w:rPr>
        <w:t xml:space="preserve">és </w:t>
      </w:r>
      <w:r>
        <w:rPr>
          <w:i/>
          <w:lang w:val="hu-HU" w:eastAsia="en-GB"/>
        </w:rPr>
        <w:t xml:space="preserve">in vivo </w:t>
      </w:r>
      <w:r>
        <w:rPr>
          <w:lang w:val="hu-HU" w:eastAsia="en-GB"/>
        </w:rPr>
        <w:t>hatások arra utalnak, hogy az eltrombopag nem jelent genotoxikus kockázatot az emberre.</w:t>
      </w:r>
    </w:p>
    <w:p w14:paraId="7C1F467B" w14:textId="77777777" w:rsidR="00342CEA" w:rsidRDefault="00342CEA">
      <w:pPr>
        <w:spacing w:line="240" w:lineRule="auto"/>
        <w:ind w:left="567" w:hanging="567"/>
        <w:outlineLvl w:val="0"/>
        <w:rPr>
          <w:lang w:val="hu-HU"/>
        </w:rPr>
      </w:pPr>
    </w:p>
    <w:p w14:paraId="56DFCEA6"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Reprodukciós toxicitás</w:t>
      </w:r>
    </w:p>
    <w:p w14:paraId="4DA4ED99" w14:textId="77777777" w:rsidR="003F1D7E" w:rsidRDefault="003F1D7E">
      <w:pPr>
        <w:tabs>
          <w:tab w:val="clear" w:pos="567"/>
        </w:tabs>
        <w:autoSpaceDE w:val="0"/>
        <w:autoSpaceDN w:val="0"/>
        <w:spacing w:line="240" w:lineRule="auto"/>
        <w:rPr>
          <w:u w:val="single"/>
          <w:lang w:val="hu-HU" w:eastAsia="en-GB"/>
        </w:rPr>
      </w:pPr>
    </w:p>
    <w:p w14:paraId="63079AC8" w14:textId="24D07D11" w:rsidR="00342CEA" w:rsidRDefault="00837BAB">
      <w:pPr>
        <w:tabs>
          <w:tab w:val="clear" w:pos="567"/>
        </w:tabs>
        <w:autoSpaceDE w:val="0"/>
        <w:autoSpaceDN w:val="0"/>
        <w:spacing w:line="240" w:lineRule="auto"/>
        <w:rPr>
          <w:lang w:val="hu-HU"/>
        </w:rPr>
      </w:pPr>
      <w:r>
        <w:rPr>
          <w:lang w:val="hu-HU" w:eastAsia="en-GB"/>
        </w:rPr>
        <w:t>Az eltrombopag nem befolyásolta a nőstények fertilitását, a korai embrionális fejlődést, vagy az embriof</w:t>
      </w:r>
      <w:r w:rsidR="00966EAC">
        <w:rPr>
          <w:lang w:val="hu-HU" w:eastAsia="en-GB"/>
        </w:rPr>
        <w:t>ö</w:t>
      </w:r>
      <w:r>
        <w:rPr>
          <w:lang w:val="hu-HU" w:eastAsia="en-GB"/>
        </w:rPr>
        <w:t>t</w:t>
      </w:r>
      <w:r w:rsidR="00966EAC">
        <w:rPr>
          <w:lang w:val="hu-HU" w:eastAsia="en-GB"/>
        </w:rPr>
        <w:t>á</w:t>
      </w:r>
      <w:r>
        <w:rPr>
          <w:lang w:val="hu-HU" w:eastAsia="en-GB"/>
        </w:rPr>
        <w:t>lis fejlődést patkányoknál, legfeljebb napi 20 mg/ttkg</w:t>
      </w:r>
      <w:r>
        <w:rPr>
          <w:lang w:val="hu-HU" w:eastAsia="en-GB"/>
        </w:rPr>
        <w:noBreakHyphen/>
        <w:t>os adagoknál (az AUC alapján számított, 75 mg/nap adagot kapó felnőtt vagy serdülő (12</w:t>
      </w:r>
      <w:r>
        <w:rPr>
          <w:lang w:val="hu-HU" w:eastAsia="en-GB"/>
        </w:rPr>
        <w:noBreakHyphen/>
        <w:t>betöltött 18 éves korú) ITP</w:t>
      </w:r>
      <w:r>
        <w:rPr>
          <w:lang w:val="hu-HU" w:eastAsia="en-GB"/>
        </w:rPr>
        <w:noBreakHyphen/>
        <w:t>s betegeken alapuló humán klinikai expozíció 2</w:t>
      </w:r>
      <w:r>
        <w:rPr>
          <w:lang w:val="hu-HU" w:eastAsia="en-GB"/>
        </w:rPr>
        <w:noBreakHyphen/>
        <w:t>szerese, amely egyenértékű a 100 mg/nap adagot kapó HCV</w:t>
      </w:r>
      <w:r>
        <w:rPr>
          <w:lang w:val="hu-HU" w:eastAsia="en-GB"/>
        </w:rPr>
        <w:noBreakHyphen/>
        <w:t>s betegeken alapuló humán klinikai expozícióval). Ugyancsak nem befolyásolta az embriof</w:t>
      </w:r>
      <w:r w:rsidR="00966EAC">
        <w:rPr>
          <w:lang w:val="hu-HU" w:eastAsia="en-GB"/>
        </w:rPr>
        <w:t>ö</w:t>
      </w:r>
      <w:r>
        <w:rPr>
          <w:lang w:val="hu-HU" w:eastAsia="en-GB"/>
        </w:rPr>
        <w:t>t</w:t>
      </w:r>
      <w:r w:rsidR="00966EAC">
        <w:rPr>
          <w:lang w:val="hu-HU" w:eastAsia="en-GB"/>
        </w:rPr>
        <w:t>á</w:t>
      </w:r>
      <w:r>
        <w:rPr>
          <w:lang w:val="hu-HU" w:eastAsia="en-GB"/>
        </w:rPr>
        <w:t>lis fejlődést nyulaknál legfeljebb napi 150 mg/ttkg</w:t>
      </w:r>
      <w:r>
        <w:rPr>
          <w:lang w:val="hu-HU" w:eastAsia="en-GB"/>
        </w:rPr>
        <w:noBreakHyphen/>
        <w:t>os adagoknál, amely a legmagasabb vizsgált dózis volt (az AUC alapján számított, 75 mg/nap adagot kapó ITP</w:t>
      </w:r>
      <w:r>
        <w:rPr>
          <w:lang w:val="hu-HU" w:eastAsia="en-GB"/>
        </w:rPr>
        <w:noBreakHyphen/>
        <w:t>s és 100 mg/nap adagot kapó HCV</w:t>
      </w:r>
      <w:r>
        <w:rPr>
          <w:lang w:val="hu-HU" w:eastAsia="en-GB"/>
        </w:rPr>
        <w:noBreakHyphen/>
        <w:t>s betegeken alapuló humán klinikai expozíció 0,3</w:t>
      </w:r>
      <w:r>
        <w:rPr>
          <w:lang w:val="hu-HU" w:eastAsia="en-GB"/>
        </w:rPr>
        <w:noBreakHyphen/>
        <w:t>0,5</w:t>
      </w:r>
      <w:r>
        <w:rPr>
          <w:lang w:val="hu-HU" w:eastAsia="en-GB"/>
        </w:rPr>
        <w:noBreakHyphen/>
        <w:t>szöröse). Mindazonáltal, az anyára nézve toxikus, napi 60 mg/ttkg dózisoknál (az AUC alapján számított, 75 mg/nap adagot kapó ITP</w:t>
      </w:r>
      <w:r>
        <w:rPr>
          <w:lang w:val="hu-HU" w:eastAsia="en-GB"/>
        </w:rPr>
        <w:noBreakHyphen/>
        <w:t>s betegeken alapuló humán klinikai expozíció 6</w:t>
      </w:r>
      <w:r>
        <w:rPr>
          <w:lang w:val="hu-HU" w:eastAsia="en-GB"/>
        </w:rPr>
        <w:noBreakHyphen/>
        <w:t>szorosa, illetve 100 mg/nap adagot kapó HCV</w:t>
      </w:r>
      <w:r>
        <w:rPr>
          <w:lang w:val="hu-HU" w:eastAsia="en-GB"/>
        </w:rPr>
        <w:noBreakHyphen/>
        <w:t>s betegeken alapuló humán klinikai expozíció 3-szorosa) az eltrombopag</w:t>
      </w:r>
      <w:r>
        <w:rPr>
          <w:lang w:val="hu-HU" w:eastAsia="en-GB"/>
        </w:rPr>
        <w:noBreakHyphen/>
        <w:t xml:space="preserve">kezelés patkányoknál az embrió elhalálozásával </w:t>
      </w:r>
      <w:r>
        <w:rPr>
          <w:lang w:val="hu-HU" w:eastAsia="en-GB"/>
        </w:rPr>
        <w:lastRenderedPageBreak/>
        <w:t>(megnövekedett pre</w:t>
      </w:r>
      <w:r>
        <w:rPr>
          <w:lang w:val="hu-HU" w:eastAsia="en-GB"/>
        </w:rPr>
        <w:noBreakHyphen/>
        <w:t xml:space="preserve"> és postimplantációs veszteség), csökkent magzati testtömeggel és a terhes méh tömegének csökkenésével járt együtt a nőstény fertilitás vizsgálatban, és a nyaki borda ritka előfordulásával, valamint csökkent magzati testtömeggel járt együtt az embriof</w:t>
      </w:r>
      <w:r w:rsidR="00966EAC">
        <w:rPr>
          <w:lang w:val="hu-HU" w:eastAsia="en-GB"/>
        </w:rPr>
        <w:t>ö</w:t>
      </w:r>
      <w:r>
        <w:rPr>
          <w:lang w:val="hu-HU" w:eastAsia="en-GB"/>
        </w:rPr>
        <w:t>t</w:t>
      </w:r>
      <w:r w:rsidR="00966EAC">
        <w:rPr>
          <w:lang w:val="hu-HU" w:eastAsia="en-GB"/>
        </w:rPr>
        <w:t>á</w:t>
      </w:r>
      <w:r>
        <w:rPr>
          <w:lang w:val="hu-HU" w:eastAsia="en-GB"/>
        </w:rPr>
        <w:t>lis fejlődési vizsgálatban. Az eltrombopag csak akkor alkalmazható terhesség alatt, ha a kezelés várható előnye ellensúlyozza a magzatra vonatkozó lehetséges kockázatot (lásd 4.6 pont). Az eltrombopag nem befolyásolta a hím fertilitást patkányoknál legfeljebb napi 40 mg/ttkg</w:t>
      </w:r>
      <w:r>
        <w:rPr>
          <w:lang w:val="hu-HU" w:eastAsia="en-GB"/>
        </w:rPr>
        <w:noBreakHyphen/>
        <w:t>os adagoknál, amely a legmagasabb vizsgált dózis volt (az AUC alapján számított, 75 mg/nap adagot kapó ITP</w:t>
      </w:r>
      <w:r>
        <w:rPr>
          <w:lang w:val="hu-HU" w:eastAsia="en-GB"/>
        </w:rPr>
        <w:noBreakHyphen/>
        <w:t>s betegeken alapuló humán klinikai expozíció 3</w:t>
      </w:r>
      <w:r>
        <w:rPr>
          <w:lang w:val="hu-HU" w:eastAsia="en-GB"/>
        </w:rPr>
        <w:noBreakHyphen/>
        <w:t>szorosa, illetve 100 mg/nap adagot kapó HCV</w:t>
      </w:r>
      <w:r>
        <w:rPr>
          <w:lang w:val="hu-HU" w:eastAsia="en-GB"/>
        </w:rPr>
        <w:noBreakHyphen/>
        <w:t>s betegeken alapuló humán klinikai expozíció 2</w:t>
      </w:r>
      <w:r>
        <w:rPr>
          <w:lang w:val="hu-HU" w:eastAsia="en-GB"/>
        </w:rPr>
        <w:noBreakHyphen/>
        <w:t>szerese). Patkányokon végzett pre</w:t>
      </w:r>
      <w:r>
        <w:rPr>
          <w:lang w:val="hu-HU" w:eastAsia="en-GB"/>
        </w:rPr>
        <w:noBreakHyphen/>
        <w:t xml:space="preserve"> és postnatalis fejlődési vizsgálatban nem toxikus anyai dózisoknál (napi 10 és 20 mg/ttkg) nem találtak nemkívánatos hatást az F</w:t>
      </w:r>
      <w:r>
        <w:rPr>
          <w:vertAlign w:val="subscript"/>
          <w:lang w:val="hu-HU" w:eastAsia="en-GB"/>
        </w:rPr>
        <w:t>0</w:t>
      </w:r>
      <w:r>
        <w:rPr>
          <w:lang w:val="hu-HU" w:eastAsia="en-GB"/>
        </w:rPr>
        <w:t xml:space="preserve"> nőstény patkányok vemhességére, ellésére és szoptatására, valamint az utódok (F</w:t>
      </w:r>
      <w:r>
        <w:rPr>
          <w:vertAlign w:val="subscript"/>
          <w:lang w:val="hu-HU" w:eastAsia="en-GB"/>
        </w:rPr>
        <w:t>1</w:t>
      </w:r>
      <w:r>
        <w:rPr>
          <w:lang w:val="hu-HU" w:eastAsia="en-GB"/>
        </w:rPr>
        <w:t>) növekedésére, fejlődésére, idegi-viselkedési vagy reprodukciós funkcióira. Az F</w:t>
      </w:r>
      <w:r>
        <w:rPr>
          <w:vertAlign w:val="subscript"/>
          <w:lang w:val="hu-HU" w:eastAsia="en-GB"/>
        </w:rPr>
        <w:t>0</w:t>
      </w:r>
      <w:r>
        <w:rPr>
          <w:lang w:val="hu-HU" w:eastAsia="en-GB"/>
        </w:rPr>
        <w:t xml:space="preserve"> anyáknál történő gyógyszeralkalmazást követően az eltrombopagot az összes F</w:t>
      </w:r>
      <w:r>
        <w:rPr>
          <w:vertAlign w:val="subscript"/>
          <w:lang w:val="hu-HU" w:eastAsia="en-GB"/>
        </w:rPr>
        <w:t>1</w:t>
      </w:r>
      <w:r>
        <w:rPr>
          <w:lang w:val="hu-HU" w:eastAsia="en-GB"/>
        </w:rPr>
        <w:t xml:space="preserve"> patkánykölyök plazmájában kimutatták a teljes 22 órás mintavételi idő alatt, ami arra utal, hogy a patkánykölykök eltrombopag expozícióját valószínűleg a szoptatás eredményezte.</w:t>
      </w:r>
    </w:p>
    <w:p w14:paraId="35C9DAC0" w14:textId="77777777" w:rsidR="00342CEA" w:rsidRDefault="00342CEA">
      <w:pPr>
        <w:spacing w:line="240" w:lineRule="auto"/>
        <w:ind w:left="567" w:hanging="567"/>
        <w:outlineLvl w:val="0"/>
        <w:rPr>
          <w:lang w:val="hu-HU"/>
        </w:rPr>
      </w:pPr>
    </w:p>
    <w:p w14:paraId="1BD9C767" w14:textId="77777777" w:rsidR="00342CEA" w:rsidRDefault="00837BAB">
      <w:pPr>
        <w:keepNext/>
        <w:keepLines/>
        <w:tabs>
          <w:tab w:val="clear" w:pos="567"/>
        </w:tabs>
        <w:autoSpaceDE w:val="0"/>
        <w:autoSpaceDN w:val="0"/>
        <w:spacing w:line="240" w:lineRule="auto"/>
        <w:rPr>
          <w:u w:val="single"/>
          <w:lang w:val="hu-HU" w:eastAsia="en-GB"/>
        </w:rPr>
      </w:pPr>
      <w:r>
        <w:rPr>
          <w:u w:val="single"/>
          <w:lang w:val="hu-HU" w:eastAsia="en-GB"/>
        </w:rPr>
        <w:t>Fototoxicitás</w:t>
      </w:r>
    </w:p>
    <w:p w14:paraId="2ADC43D9" w14:textId="77777777" w:rsidR="003F1D7E" w:rsidRDefault="003F1D7E">
      <w:pPr>
        <w:keepNext/>
        <w:keepLines/>
        <w:tabs>
          <w:tab w:val="clear" w:pos="567"/>
        </w:tabs>
        <w:autoSpaceDE w:val="0"/>
        <w:autoSpaceDN w:val="0"/>
        <w:spacing w:line="240" w:lineRule="auto"/>
        <w:rPr>
          <w:u w:val="single"/>
          <w:lang w:val="hu-HU" w:eastAsia="en-GB"/>
        </w:rPr>
      </w:pPr>
    </w:p>
    <w:p w14:paraId="0CC3711E" w14:textId="77777777" w:rsidR="00342CEA" w:rsidRDefault="00837BAB">
      <w:pPr>
        <w:keepNext/>
        <w:keepLines/>
        <w:tabs>
          <w:tab w:val="clear" w:pos="567"/>
        </w:tabs>
        <w:autoSpaceDE w:val="0"/>
        <w:autoSpaceDN w:val="0"/>
        <w:spacing w:line="240" w:lineRule="auto"/>
        <w:rPr>
          <w:lang w:val="hu-HU"/>
        </w:rPr>
      </w:pPr>
      <w:r>
        <w:rPr>
          <w:lang w:val="hu-HU" w:eastAsia="en-GB"/>
        </w:rPr>
        <w:t xml:space="preserve">Az eltrombopaggal végzett </w:t>
      </w:r>
      <w:r>
        <w:rPr>
          <w:i/>
          <w:lang w:val="hu-HU" w:eastAsia="en-GB"/>
        </w:rPr>
        <w:t xml:space="preserve">in vitro </w:t>
      </w:r>
      <w:r>
        <w:rPr>
          <w:lang w:val="hu-HU" w:eastAsia="en-GB"/>
        </w:rPr>
        <w:t>vizsgálatok felvetik a fototoxicitás kockázatának lehetőségét; azonban rágcsálóknál nem volt látható jele bőr-fototoxicitásnak (az AUC alapján számított, 75 mg/nap adagot kapó felnőtt vagy gyermek- és serdülőkorú ITP</w:t>
      </w:r>
      <w:r>
        <w:rPr>
          <w:lang w:val="hu-HU" w:eastAsia="en-GB"/>
        </w:rPr>
        <w:noBreakHyphen/>
        <w:t>s betegeken alapuló humán klinikai expozíció 10</w:t>
      </w:r>
      <w:r>
        <w:rPr>
          <w:lang w:val="hu-HU" w:eastAsia="en-GB"/>
        </w:rPr>
        <w:noBreakHyphen/>
        <w:t>szerese vagy 7</w:t>
      </w:r>
      <w:r>
        <w:rPr>
          <w:lang w:val="hu-HU" w:eastAsia="en-GB"/>
        </w:rPr>
        <w:noBreakHyphen/>
        <w:t>szerese, illetve 100 mg/nap adagot kapó HCV</w:t>
      </w:r>
      <w:r>
        <w:rPr>
          <w:lang w:val="hu-HU" w:eastAsia="en-GB"/>
        </w:rPr>
        <w:noBreakHyphen/>
        <w:t>s betegeken alapuló humán klinikai expozíció 5</w:t>
      </w:r>
      <w:r>
        <w:rPr>
          <w:lang w:val="hu-HU" w:eastAsia="en-GB"/>
        </w:rPr>
        <w:noBreakHyphen/>
        <w:t>szöröse) vagy szem-fototoxicitásnak (az AUC alapján számított, 75 mg/nap adagot kapó felnőtt vagy gyermek- és serdülőkorú ITP</w:t>
      </w:r>
      <w:r>
        <w:rPr>
          <w:lang w:val="hu-HU" w:eastAsia="en-GB"/>
        </w:rPr>
        <w:noBreakHyphen/>
        <w:t xml:space="preserve">s betegeken alapuló humán klinikai expozíció </w:t>
      </w:r>
      <w:r>
        <w:rPr>
          <w:lang w:val="en-US"/>
        </w:rPr>
        <w:t>≥ </w:t>
      </w:r>
      <w:r>
        <w:rPr>
          <w:lang w:val="hu-HU" w:eastAsia="en-GB"/>
        </w:rPr>
        <w:t>4</w:t>
      </w:r>
      <w:r>
        <w:rPr>
          <w:lang w:val="hu-HU" w:eastAsia="en-GB"/>
        </w:rPr>
        <w:noBreakHyphen/>
        <w:t>szerese, illetve 100 mg/nap adagot kapó HCV-s betegeken alapuló humán klinikai expozíció 3</w:t>
      </w:r>
      <w:r>
        <w:rPr>
          <w:lang w:val="hu-HU" w:eastAsia="en-GB"/>
        </w:rPr>
        <w:noBreakHyphen/>
        <w:t>szorosa). Továbbá, egy klinikai farmakológiai vizsgálatban 36 személynél nem volt bizonyíték arra, hogy a fényérzékenység fokozódott volna 75 mg eltrombopag adagolása után. Ezt a késleltetett fototoxicitási index segítségével mérték. Mindazonáltal, a fényallergia potenciális kockázata nem zárható ki, mivel nem végezhető specifikus preklinikai vizsgálat.</w:t>
      </w:r>
    </w:p>
    <w:p w14:paraId="40D7564D" w14:textId="77777777" w:rsidR="00342CEA" w:rsidRDefault="00342CEA">
      <w:pPr>
        <w:spacing w:line="240" w:lineRule="auto"/>
        <w:ind w:left="567" w:hanging="567"/>
        <w:outlineLvl w:val="0"/>
        <w:rPr>
          <w:lang w:val="hu-HU"/>
        </w:rPr>
      </w:pPr>
    </w:p>
    <w:p w14:paraId="2016AFFA" w14:textId="77777777" w:rsidR="00342CEA" w:rsidRDefault="00837BAB">
      <w:pPr>
        <w:tabs>
          <w:tab w:val="clear" w:pos="567"/>
        </w:tabs>
        <w:autoSpaceDE w:val="0"/>
        <w:autoSpaceDN w:val="0"/>
        <w:spacing w:line="240" w:lineRule="auto"/>
        <w:rPr>
          <w:u w:val="single"/>
          <w:lang w:val="hu-HU" w:eastAsia="en-GB"/>
        </w:rPr>
      </w:pPr>
      <w:r>
        <w:rPr>
          <w:u w:val="single"/>
          <w:lang w:val="hu-HU" w:eastAsia="en-GB"/>
        </w:rPr>
        <w:t>Fiatal állatokkal végzett vizsgálatok</w:t>
      </w:r>
    </w:p>
    <w:p w14:paraId="643424CA" w14:textId="77777777" w:rsidR="003F1D7E" w:rsidRDefault="003F1D7E">
      <w:pPr>
        <w:tabs>
          <w:tab w:val="clear" w:pos="567"/>
        </w:tabs>
        <w:autoSpaceDE w:val="0"/>
        <w:autoSpaceDN w:val="0"/>
        <w:spacing w:line="240" w:lineRule="auto"/>
        <w:rPr>
          <w:u w:val="single"/>
          <w:lang w:val="hu-HU" w:eastAsia="en-GB"/>
        </w:rPr>
      </w:pPr>
    </w:p>
    <w:p w14:paraId="2169C1CB" w14:textId="77777777" w:rsidR="00342CEA" w:rsidRDefault="00837BAB">
      <w:pPr>
        <w:tabs>
          <w:tab w:val="clear" w:pos="567"/>
        </w:tabs>
        <w:autoSpaceDE w:val="0"/>
        <w:autoSpaceDN w:val="0"/>
        <w:spacing w:line="240" w:lineRule="auto"/>
        <w:rPr>
          <w:rFonts w:eastAsia="Times New Roman"/>
          <w:u w:val="single"/>
          <w:lang w:val="hu-HU" w:eastAsia="en-US"/>
        </w:rPr>
      </w:pPr>
      <w:r>
        <w:rPr>
          <w:lang w:val="hu-HU" w:eastAsia="en-GB"/>
        </w:rPr>
        <w:t>Nem tolerálható dózisokban adagolva, az elválasztás előtt álló fiatal patkányoknál ocularis opacitást észleltek. Tolerálható dózisoknál nem figyeltek meg ocularis opacitást (lásd fent a „Farmakológiai biztonságossági és ismételt adagolású dózistoxicitási jellemzők” c. alpontot). Következésképpen, az AUC alapján meghatározott expozíciós határokat figyelembe véve az eltrombopaggal összefüggő szürkehályog kialakulásának kockázatát gyermek és serdülőkorú betegeknél nem lehet kizárni. A fiatal patkányoknál nem észleltek arra utaló eredményeket, hogy az eltrombopag-kezelés mellett nagyobb a toxicitás kockázata az ITP</w:t>
      </w:r>
      <w:r>
        <w:rPr>
          <w:lang w:val="hu-HU" w:eastAsia="en-GB"/>
        </w:rPr>
        <w:noBreakHyphen/>
        <w:t>s gyermek és serdülőkorú betegeknél, mint a felnőtteknél.</w:t>
      </w:r>
    </w:p>
    <w:p w14:paraId="713C5685" w14:textId="77777777" w:rsidR="00342CEA" w:rsidRDefault="00342CEA">
      <w:pPr>
        <w:spacing w:line="240" w:lineRule="auto"/>
        <w:rPr>
          <w:lang w:val="hu-HU"/>
        </w:rPr>
      </w:pPr>
    </w:p>
    <w:p w14:paraId="32D01AFD" w14:textId="77777777" w:rsidR="00342CEA" w:rsidRDefault="00342CEA">
      <w:pPr>
        <w:spacing w:line="240" w:lineRule="auto"/>
        <w:rPr>
          <w:lang w:val="hu-HU"/>
        </w:rPr>
      </w:pPr>
    </w:p>
    <w:p w14:paraId="74A81A53"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6.</w:t>
      </w:r>
      <w:r>
        <w:rPr>
          <w:rFonts w:eastAsia="Times New Roman"/>
          <w:b/>
          <w:bCs/>
          <w:lang w:val="hu-HU" w:eastAsia="en-US"/>
        </w:rPr>
        <w:tab/>
        <w:t>GYÓGYSZERÉSZETI JELLEMZŐK</w:t>
      </w:r>
    </w:p>
    <w:p w14:paraId="7006C7C1" w14:textId="77777777" w:rsidR="00342CEA" w:rsidRDefault="00342CEA">
      <w:pPr>
        <w:spacing w:line="240" w:lineRule="auto"/>
        <w:ind w:left="567" w:hanging="567"/>
        <w:outlineLvl w:val="0"/>
        <w:rPr>
          <w:lang w:val="hu-HU"/>
        </w:rPr>
      </w:pPr>
    </w:p>
    <w:p w14:paraId="4F2A1CA4"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6.1</w:t>
      </w:r>
      <w:r>
        <w:rPr>
          <w:rFonts w:eastAsia="Times New Roman"/>
          <w:b/>
          <w:bCs/>
          <w:lang w:val="hu-HU" w:eastAsia="en-US"/>
        </w:rPr>
        <w:tab/>
        <w:t>Segédanyagok felsorolása</w:t>
      </w:r>
    </w:p>
    <w:p w14:paraId="1D999E37" w14:textId="77777777" w:rsidR="00342CEA" w:rsidRDefault="00342CEA">
      <w:pPr>
        <w:spacing w:line="240" w:lineRule="auto"/>
        <w:rPr>
          <w:rFonts w:eastAsia="Times New Roman"/>
          <w:lang w:val="hu-HU" w:eastAsia="en-US"/>
        </w:rPr>
      </w:pPr>
    </w:p>
    <w:p w14:paraId="29576745" w14:textId="77777777" w:rsidR="00342CEA" w:rsidRDefault="00837BAB">
      <w:pPr>
        <w:ind w:left="1560" w:hanging="1560"/>
        <w:rPr>
          <w:u w:val="single"/>
          <w:lang w:val="hu-HU"/>
        </w:rPr>
      </w:pPr>
      <w:r>
        <w:rPr>
          <w:u w:val="single"/>
          <w:lang w:val="hu-HU"/>
        </w:rPr>
        <w:t>Tablettamag</w:t>
      </w:r>
    </w:p>
    <w:p w14:paraId="192179E4" w14:textId="77777777" w:rsidR="00342CEA" w:rsidRDefault="00837BAB">
      <w:pPr>
        <w:suppressAutoHyphens/>
        <w:ind w:right="-2"/>
        <w:rPr>
          <w:lang w:val="hu-HU"/>
        </w:rPr>
      </w:pPr>
      <w:r>
        <w:rPr>
          <w:lang w:val="hu-HU"/>
        </w:rPr>
        <w:t>mikrokristályos cellulóz</w:t>
      </w:r>
    </w:p>
    <w:p w14:paraId="344DDFAB" w14:textId="77777777" w:rsidR="00342CEA" w:rsidRDefault="00837BAB">
      <w:pPr>
        <w:suppressAutoHyphens/>
        <w:ind w:right="-2"/>
        <w:rPr>
          <w:lang w:val="hu-HU"/>
        </w:rPr>
      </w:pPr>
      <w:r>
        <w:rPr>
          <w:lang w:val="hu-HU"/>
        </w:rPr>
        <w:t>mannit</w:t>
      </w:r>
    </w:p>
    <w:p w14:paraId="2A8A73AC" w14:textId="77777777" w:rsidR="00342CEA" w:rsidRDefault="00837BAB">
      <w:pPr>
        <w:suppressAutoHyphens/>
        <w:ind w:right="-2"/>
        <w:rPr>
          <w:lang w:val="hu-HU"/>
        </w:rPr>
      </w:pPr>
      <w:r>
        <w:rPr>
          <w:lang w:val="hu-HU"/>
        </w:rPr>
        <w:t>povidon</w:t>
      </w:r>
    </w:p>
    <w:p w14:paraId="1C844B14" w14:textId="77777777" w:rsidR="00342CEA" w:rsidRDefault="00837BAB">
      <w:pPr>
        <w:suppressAutoHyphens/>
        <w:ind w:right="-2"/>
        <w:rPr>
          <w:lang w:val="hu-HU"/>
        </w:rPr>
      </w:pPr>
      <w:r>
        <w:rPr>
          <w:lang w:val="hu-HU"/>
        </w:rPr>
        <w:t>izomalt (E 953)</w:t>
      </w:r>
    </w:p>
    <w:p w14:paraId="1A40FD95" w14:textId="77777777" w:rsidR="00342CEA" w:rsidRDefault="00837BAB">
      <w:pPr>
        <w:suppressAutoHyphens/>
        <w:ind w:right="-2"/>
        <w:rPr>
          <w:lang w:val="hu-HU"/>
        </w:rPr>
      </w:pPr>
      <w:r>
        <w:rPr>
          <w:lang w:val="hu-HU"/>
        </w:rPr>
        <w:t>kalcium</w:t>
      </w:r>
      <w:r>
        <w:rPr>
          <w:lang w:val="hu-HU"/>
        </w:rPr>
        <w:noBreakHyphen/>
        <w:t>szilikát</w:t>
      </w:r>
    </w:p>
    <w:p w14:paraId="4A4D0343" w14:textId="77777777" w:rsidR="00342CEA" w:rsidRDefault="00837BAB">
      <w:pPr>
        <w:suppressAutoHyphens/>
        <w:ind w:right="-2"/>
        <w:rPr>
          <w:lang w:val="hu-HU"/>
        </w:rPr>
      </w:pPr>
      <w:r>
        <w:rPr>
          <w:lang w:val="hu-HU"/>
        </w:rPr>
        <w:t>karboximetilkeményítő</w:t>
      </w:r>
      <w:r>
        <w:rPr>
          <w:lang w:val="hu-HU"/>
        </w:rPr>
        <w:noBreakHyphen/>
        <w:t>nátrium</w:t>
      </w:r>
    </w:p>
    <w:p w14:paraId="0782FBC8" w14:textId="77777777" w:rsidR="00342CEA" w:rsidRDefault="00837BAB">
      <w:pPr>
        <w:suppressAutoHyphens/>
        <w:ind w:right="-2"/>
        <w:rPr>
          <w:lang w:val="hu-HU"/>
        </w:rPr>
      </w:pPr>
      <w:r>
        <w:rPr>
          <w:lang w:val="hu-HU"/>
        </w:rPr>
        <w:t>magnézium</w:t>
      </w:r>
      <w:r>
        <w:rPr>
          <w:lang w:val="hu-HU"/>
        </w:rPr>
        <w:noBreakHyphen/>
        <w:t>sztearát</w:t>
      </w:r>
    </w:p>
    <w:p w14:paraId="4701E459" w14:textId="77777777" w:rsidR="00342CEA" w:rsidRDefault="00342CEA">
      <w:pPr>
        <w:suppressAutoHyphens/>
        <w:ind w:right="-2"/>
        <w:rPr>
          <w:lang w:val="hu-HU"/>
        </w:rPr>
      </w:pPr>
    </w:p>
    <w:p w14:paraId="2EA2091E" w14:textId="77777777" w:rsidR="00342CEA" w:rsidRDefault="00837BAB">
      <w:pPr>
        <w:suppressAutoHyphens/>
        <w:ind w:right="-2"/>
        <w:rPr>
          <w:u w:val="single"/>
          <w:lang w:val="hu-HU"/>
        </w:rPr>
      </w:pPr>
      <w:r>
        <w:rPr>
          <w:u w:val="single"/>
          <w:lang w:val="hu-HU"/>
        </w:rPr>
        <w:t>Tabletta bevonat</w:t>
      </w:r>
    </w:p>
    <w:p w14:paraId="19449520" w14:textId="77777777" w:rsidR="00342CEA" w:rsidRDefault="00837BAB">
      <w:pPr>
        <w:widowControl w:val="0"/>
        <w:spacing w:line="240" w:lineRule="auto"/>
        <w:rPr>
          <w:rFonts w:eastAsia="Times New Roman"/>
          <w:i/>
          <w:u w:val="single"/>
          <w:lang w:val="hu-HU" w:eastAsia="en-US"/>
        </w:rPr>
      </w:pPr>
      <w:r>
        <w:rPr>
          <w:rFonts w:eastAsia="Times New Roman"/>
          <w:i/>
          <w:u w:val="single"/>
          <w:lang w:val="hu-HU" w:eastAsia="en-US"/>
        </w:rPr>
        <w:t>Eltrombopag Sandoz 12,5 mg, 25 mg és 50 mg filmtabletta</w:t>
      </w:r>
    </w:p>
    <w:p w14:paraId="77199C34" w14:textId="77777777" w:rsidR="00342CEA" w:rsidRDefault="00837BAB">
      <w:pPr>
        <w:suppressAutoHyphens/>
        <w:ind w:right="-2"/>
        <w:rPr>
          <w:lang w:val="hu-HU"/>
        </w:rPr>
      </w:pPr>
      <w:r>
        <w:rPr>
          <w:lang w:val="hu-HU"/>
        </w:rPr>
        <w:t>hipromellóz</w:t>
      </w:r>
    </w:p>
    <w:p w14:paraId="2C8A5DD8" w14:textId="77777777" w:rsidR="00342CEA" w:rsidRDefault="00837BAB">
      <w:pPr>
        <w:suppressAutoHyphens/>
        <w:ind w:right="-2"/>
        <w:rPr>
          <w:lang w:val="hu-HU"/>
        </w:rPr>
      </w:pPr>
      <w:r>
        <w:rPr>
          <w:lang w:val="hu-HU"/>
        </w:rPr>
        <w:lastRenderedPageBreak/>
        <w:t>titán</w:t>
      </w:r>
      <w:r>
        <w:rPr>
          <w:lang w:val="hu-HU"/>
        </w:rPr>
        <w:noBreakHyphen/>
        <w:t>dioxid (E171)</w:t>
      </w:r>
    </w:p>
    <w:p w14:paraId="533EF11F" w14:textId="77777777" w:rsidR="00342CEA" w:rsidRDefault="00837BAB">
      <w:pPr>
        <w:suppressAutoHyphens/>
        <w:ind w:right="-2"/>
        <w:rPr>
          <w:lang w:val="hu-HU"/>
        </w:rPr>
      </w:pPr>
      <w:r>
        <w:rPr>
          <w:lang w:val="hu-HU"/>
        </w:rPr>
        <w:t>vörös vas</w:t>
      </w:r>
      <w:r>
        <w:rPr>
          <w:lang w:val="hu-HU"/>
        </w:rPr>
        <w:noBreakHyphen/>
        <w:t>oxid (E172)</w:t>
      </w:r>
    </w:p>
    <w:p w14:paraId="30B5214F" w14:textId="77777777" w:rsidR="00342CEA" w:rsidRDefault="00837BAB">
      <w:pPr>
        <w:suppressAutoHyphens/>
        <w:ind w:right="-2"/>
        <w:rPr>
          <w:lang w:val="hu-HU"/>
        </w:rPr>
      </w:pPr>
      <w:r>
        <w:rPr>
          <w:lang w:val="hu-HU"/>
        </w:rPr>
        <w:t>sárga vas</w:t>
      </w:r>
      <w:r>
        <w:rPr>
          <w:lang w:val="hu-HU"/>
        </w:rPr>
        <w:noBreakHyphen/>
        <w:t>oxid (E172)</w:t>
      </w:r>
    </w:p>
    <w:p w14:paraId="2FCB8E85" w14:textId="77777777" w:rsidR="00342CEA" w:rsidRDefault="00837BAB">
      <w:pPr>
        <w:suppressAutoHyphens/>
        <w:ind w:right="-2"/>
        <w:rPr>
          <w:lang w:val="hu-HU"/>
        </w:rPr>
      </w:pPr>
      <w:r>
        <w:rPr>
          <w:lang w:val="hu-HU"/>
        </w:rPr>
        <w:t>triacetin</w:t>
      </w:r>
    </w:p>
    <w:p w14:paraId="2F274E59" w14:textId="77777777" w:rsidR="00342CEA" w:rsidRDefault="00342CEA">
      <w:pPr>
        <w:widowControl w:val="0"/>
        <w:spacing w:line="240" w:lineRule="auto"/>
        <w:rPr>
          <w:rFonts w:eastAsia="Times New Roman"/>
          <w:lang w:val="hu-HU" w:eastAsia="en-US"/>
        </w:rPr>
      </w:pPr>
    </w:p>
    <w:p w14:paraId="11F5717E" w14:textId="77777777" w:rsidR="00342CEA" w:rsidRDefault="00837BAB">
      <w:pPr>
        <w:widowControl w:val="0"/>
        <w:spacing w:line="240" w:lineRule="auto"/>
        <w:rPr>
          <w:rFonts w:eastAsia="Times New Roman"/>
          <w:i/>
          <w:u w:val="single"/>
          <w:lang w:val="hu-HU" w:eastAsia="en-US"/>
        </w:rPr>
      </w:pPr>
      <w:r>
        <w:rPr>
          <w:rFonts w:eastAsia="Times New Roman"/>
          <w:i/>
          <w:u w:val="single"/>
          <w:lang w:val="hu-HU" w:eastAsia="en-US"/>
        </w:rPr>
        <w:t>Eltrombopag Sandoz 75 mg filmtabletta</w:t>
      </w:r>
    </w:p>
    <w:p w14:paraId="100FBB5A" w14:textId="77777777" w:rsidR="00342CEA" w:rsidRDefault="00837BAB">
      <w:pPr>
        <w:suppressAutoHyphens/>
        <w:ind w:right="-2"/>
        <w:rPr>
          <w:lang w:val="hu-HU"/>
        </w:rPr>
      </w:pPr>
      <w:r>
        <w:rPr>
          <w:lang w:val="hu-HU"/>
        </w:rPr>
        <w:t>hipromellóz</w:t>
      </w:r>
    </w:p>
    <w:p w14:paraId="46933799" w14:textId="77777777" w:rsidR="00342CEA" w:rsidRDefault="00837BAB">
      <w:pPr>
        <w:suppressAutoHyphens/>
        <w:ind w:right="-2"/>
        <w:rPr>
          <w:lang w:val="hu-HU"/>
        </w:rPr>
      </w:pPr>
      <w:r>
        <w:rPr>
          <w:lang w:val="hu-HU"/>
        </w:rPr>
        <w:t>titán</w:t>
      </w:r>
      <w:r>
        <w:rPr>
          <w:lang w:val="hu-HU"/>
        </w:rPr>
        <w:noBreakHyphen/>
        <w:t>dioxid (E171)</w:t>
      </w:r>
    </w:p>
    <w:p w14:paraId="18C8C280" w14:textId="77777777" w:rsidR="00342CEA" w:rsidRDefault="00837BAB">
      <w:pPr>
        <w:suppressAutoHyphens/>
        <w:ind w:right="-2"/>
        <w:rPr>
          <w:lang w:val="hu-HU"/>
        </w:rPr>
      </w:pPr>
      <w:r>
        <w:rPr>
          <w:lang w:val="hu-HU"/>
        </w:rPr>
        <w:t>vörös vas</w:t>
      </w:r>
      <w:r>
        <w:rPr>
          <w:lang w:val="hu-HU"/>
        </w:rPr>
        <w:noBreakHyphen/>
        <w:t>oxid (E172)</w:t>
      </w:r>
    </w:p>
    <w:p w14:paraId="68DA5AC6" w14:textId="77777777" w:rsidR="00342CEA" w:rsidRDefault="00837BAB">
      <w:pPr>
        <w:widowControl w:val="0"/>
        <w:spacing w:line="240" w:lineRule="auto"/>
        <w:rPr>
          <w:rFonts w:eastAsia="Times New Roman"/>
          <w:lang w:val="hu-HU" w:eastAsia="en-US"/>
        </w:rPr>
      </w:pPr>
      <w:r>
        <w:rPr>
          <w:lang w:val="hu-HU"/>
        </w:rPr>
        <w:t>triacetin</w:t>
      </w:r>
    </w:p>
    <w:p w14:paraId="1BD95990" w14:textId="77777777" w:rsidR="00342CEA" w:rsidRDefault="00342CEA">
      <w:pPr>
        <w:spacing w:line="240" w:lineRule="auto"/>
        <w:rPr>
          <w:rFonts w:eastAsia="Times New Roman"/>
          <w:lang w:val="hu-HU" w:eastAsia="en-US"/>
        </w:rPr>
      </w:pPr>
    </w:p>
    <w:p w14:paraId="7C4DB7E9"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6.2</w:t>
      </w:r>
      <w:r>
        <w:rPr>
          <w:rFonts w:eastAsia="Times New Roman"/>
          <w:b/>
          <w:bCs/>
          <w:lang w:val="hu-HU" w:eastAsia="en-US"/>
        </w:rPr>
        <w:tab/>
        <w:t>Inkompatibilitások</w:t>
      </w:r>
    </w:p>
    <w:p w14:paraId="4C95543D" w14:textId="77777777" w:rsidR="00342CEA" w:rsidRDefault="00342CEA">
      <w:pPr>
        <w:spacing w:line="240" w:lineRule="auto"/>
        <w:rPr>
          <w:rFonts w:eastAsia="Times New Roman"/>
          <w:lang w:val="hu-HU" w:eastAsia="en-US"/>
        </w:rPr>
      </w:pPr>
    </w:p>
    <w:p w14:paraId="17CD85E6" w14:textId="77777777" w:rsidR="00342CEA" w:rsidRDefault="00837BAB">
      <w:pPr>
        <w:spacing w:line="240" w:lineRule="auto"/>
        <w:rPr>
          <w:rFonts w:eastAsia="Times New Roman"/>
          <w:lang w:val="hu-HU" w:eastAsia="en-US"/>
        </w:rPr>
      </w:pPr>
      <w:r>
        <w:rPr>
          <w:rFonts w:eastAsia="Times New Roman"/>
          <w:lang w:val="hu-HU" w:eastAsia="en-US"/>
        </w:rPr>
        <w:t>Nem értelmezhető.</w:t>
      </w:r>
    </w:p>
    <w:p w14:paraId="429684F2" w14:textId="77777777" w:rsidR="00342CEA" w:rsidRDefault="00342CEA">
      <w:pPr>
        <w:tabs>
          <w:tab w:val="clear" w:pos="567"/>
          <w:tab w:val="left" w:pos="2280"/>
        </w:tabs>
        <w:spacing w:line="240" w:lineRule="auto"/>
        <w:rPr>
          <w:lang w:val="hu-HU"/>
        </w:rPr>
      </w:pPr>
    </w:p>
    <w:p w14:paraId="23772131"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6.3</w:t>
      </w:r>
      <w:r>
        <w:rPr>
          <w:rFonts w:eastAsia="Times New Roman"/>
          <w:b/>
          <w:bCs/>
          <w:lang w:val="hu-HU" w:eastAsia="en-US"/>
        </w:rPr>
        <w:tab/>
        <w:t>Felhasználhatósági időtartam</w:t>
      </w:r>
    </w:p>
    <w:p w14:paraId="2C411025" w14:textId="77777777" w:rsidR="00342CEA" w:rsidRDefault="00342CEA">
      <w:pPr>
        <w:keepNext/>
        <w:spacing w:line="240" w:lineRule="auto"/>
        <w:rPr>
          <w:rFonts w:eastAsia="Times New Roman"/>
          <w:lang w:val="hu-HU" w:eastAsia="en-US"/>
        </w:rPr>
      </w:pPr>
    </w:p>
    <w:p w14:paraId="57152FE2" w14:textId="77777777" w:rsidR="00342CEA" w:rsidRDefault="00837BAB">
      <w:pPr>
        <w:spacing w:line="240" w:lineRule="auto"/>
        <w:rPr>
          <w:rFonts w:eastAsia="Times New Roman"/>
          <w:lang w:val="hu-HU" w:eastAsia="en-US"/>
        </w:rPr>
      </w:pPr>
      <w:r>
        <w:rPr>
          <w:rFonts w:eastAsia="Times New Roman"/>
          <w:lang w:val="hu-HU" w:eastAsia="en-US"/>
        </w:rPr>
        <w:t>2 év</w:t>
      </w:r>
    </w:p>
    <w:p w14:paraId="62DAE623" w14:textId="77777777" w:rsidR="00342CEA" w:rsidRDefault="00342CEA">
      <w:pPr>
        <w:spacing w:line="240" w:lineRule="auto"/>
        <w:rPr>
          <w:rFonts w:eastAsia="Times New Roman"/>
          <w:lang w:val="hu-HU" w:eastAsia="en-US"/>
        </w:rPr>
      </w:pPr>
    </w:p>
    <w:p w14:paraId="02BBC248"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6.4</w:t>
      </w:r>
      <w:r>
        <w:rPr>
          <w:rFonts w:eastAsia="Times New Roman"/>
          <w:b/>
          <w:bCs/>
          <w:lang w:val="hu-HU" w:eastAsia="en-US"/>
        </w:rPr>
        <w:tab/>
        <w:t>Különleges tárolási előírások</w:t>
      </w:r>
    </w:p>
    <w:p w14:paraId="7818F767" w14:textId="77777777" w:rsidR="00342CEA" w:rsidRDefault="00342CEA">
      <w:pPr>
        <w:spacing w:line="240" w:lineRule="auto"/>
        <w:ind w:left="567" w:hanging="567"/>
        <w:outlineLvl w:val="0"/>
        <w:rPr>
          <w:lang w:val="hu-HU"/>
        </w:rPr>
      </w:pPr>
    </w:p>
    <w:p w14:paraId="70D833E9" w14:textId="77777777" w:rsidR="00342CEA" w:rsidRDefault="00837BAB">
      <w:pPr>
        <w:spacing w:line="240" w:lineRule="auto"/>
        <w:rPr>
          <w:rFonts w:eastAsia="Times New Roman"/>
          <w:lang w:val="hu-HU" w:eastAsia="en-US"/>
        </w:rPr>
      </w:pPr>
      <w:r>
        <w:rPr>
          <w:rFonts w:eastAsia="Times New Roman"/>
          <w:lang w:val="hu-HU" w:eastAsia="en-US"/>
        </w:rPr>
        <w:t>Ez a gyógyszer nem igényel különleges tárolást.</w:t>
      </w:r>
    </w:p>
    <w:p w14:paraId="314C6E67" w14:textId="77777777" w:rsidR="00342CEA" w:rsidRDefault="00342CEA">
      <w:pPr>
        <w:spacing w:line="240" w:lineRule="auto"/>
        <w:rPr>
          <w:rFonts w:eastAsia="Times New Roman"/>
          <w:lang w:val="hu-HU" w:eastAsia="en-US"/>
        </w:rPr>
      </w:pPr>
    </w:p>
    <w:p w14:paraId="5C342987"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6.5</w:t>
      </w:r>
      <w:r>
        <w:rPr>
          <w:rFonts w:eastAsia="Times New Roman"/>
          <w:b/>
          <w:bCs/>
          <w:lang w:val="hu-HU" w:eastAsia="en-US"/>
        </w:rPr>
        <w:tab/>
        <w:t xml:space="preserve">Csomagolás típusa és kiszerelése </w:t>
      </w:r>
    </w:p>
    <w:p w14:paraId="5829FE27" w14:textId="77777777" w:rsidR="00342CEA" w:rsidRDefault="00342CEA">
      <w:pPr>
        <w:spacing w:line="240" w:lineRule="auto"/>
        <w:rPr>
          <w:rFonts w:eastAsia="Times New Roman"/>
          <w:lang w:val="hu-HU" w:eastAsia="en-US"/>
        </w:rPr>
      </w:pPr>
    </w:p>
    <w:p w14:paraId="5E07FD66" w14:textId="77777777" w:rsidR="00342CEA" w:rsidRDefault="00837BAB">
      <w:pPr>
        <w:spacing w:line="240" w:lineRule="auto"/>
        <w:rPr>
          <w:rFonts w:eastAsia="Times New Roman"/>
          <w:u w:val="single"/>
          <w:lang w:val="hu-HU" w:eastAsia="en-US"/>
        </w:rPr>
      </w:pPr>
      <w:bookmarkStart w:id="3" w:name="_Hlk186554589"/>
      <w:r>
        <w:rPr>
          <w:rFonts w:eastAsia="Times New Roman"/>
          <w:u w:val="single"/>
          <w:lang w:val="hu-HU" w:eastAsia="en-US"/>
        </w:rPr>
        <w:t>Eltrombopag Sandoz 12,5 mg, 25 mg, 50 mg és 75 mg filmtabletta</w:t>
      </w:r>
    </w:p>
    <w:p w14:paraId="73912D16" w14:textId="77777777" w:rsidR="00342CEA" w:rsidRDefault="00837BAB">
      <w:pPr>
        <w:widowControl w:val="0"/>
        <w:spacing w:line="240" w:lineRule="auto"/>
        <w:rPr>
          <w:rFonts w:eastAsia="Times New Roman"/>
          <w:lang w:val="hu-HU" w:eastAsia="en-US"/>
        </w:rPr>
      </w:pPr>
      <w:r>
        <w:rPr>
          <w:rFonts w:eastAsia="Times New Roman"/>
          <w:lang w:val="hu-HU" w:eastAsia="en-US"/>
        </w:rPr>
        <w:t xml:space="preserve">10, 14, 28, 30 vagy 84 db filmtabletta </w:t>
      </w:r>
      <w:bookmarkStart w:id="4" w:name="_Hlk210990463"/>
      <w:r>
        <w:rPr>
          <w:rFonts w:eastAsia="Times New Roman"/>
          <w:lang w:val="hu-HU" w:eastAsia="en-US"/>
        </w:rPr>
        <w:t xml:space="preserve">OPA/Al/PVC//Al </w:t>
      </w:r>
      <w:bookmarkEnd w:id="4"/>
      <w:r>
        <w:rPr>
          <w:rFonts w:eastAsia="Times New Roman"/>
          <w:lang w:val="hu-HU" w:eastAsia="en-US"/>
        </w:rPr>
        <w:t>buborékcsomagolásban és dobozban, 10</w:t>
      </w:r>
      <w:r>
        <w:t> × </w:t>
      </w:r>
      <w:r>
        <w:rPr>
          <w:rFonts w:eastAsia="Times New Roman"/>
          <w:lang w:val="hu-HU" w:eastAsia="en-US"/>
        </w:rPr>
        <w:t>1, 14</w:t>
      </w:r>
      <w:r>
        <w:t> × </w:t>
      </w:r>
      <w:r>
        <w:rPr>
          <w:rFonts w:eastAsia="Times New Roman"/>
          <w:lang w:val="hu-HU" w:eastAsia="en-US"/>
        </w:rPr>
        <w:t>1, 28</w:t>
      </w:r>
      <w:r>
        <w:t> × 1</w:t>
      </w:r>
      <w:r>
        <w:rPr>
          <w:rFonts w:eastAsia="Times New Roman"/>
          <w:lang w:val="hu-HU" w:eastAsia="en-US"/>
        </w:rPr>
        <w:t>, 30</w:t>
      </w:r>
      <w:r>
        <w:t> × 1</w:t>
      </w:r>
      <w:r>
        <w:rPr>
          <w:rFonts w:eastAsia="Times New Roman"/>
          <w:lang w:val="hu-HU" w:eastAsia="en-US"/>
        </w:rPr>
        <w:t xml:space="preserve"> vagy 84</w:t>
      </w:r>
      <w:r>
        <w:t> × 1</w:t>
      </w:r>
      <w:r>
        <w:rPr>
          <w:rFonts w:eastAsia="Times New Roman"/>
          <w:lang w:val="hu-HU" w:eastAsia="en-US"/>
        </w:rPr>
        <w:t xml:space="preserve"> db filmtabletta adagonként perforált </w:t>
      </w:r>
      <w:r>
        <w:rPr>
          <w:color w:val="000000"/>
        </w:rPr>
        <w:t xml:space="preserve">oPA/Al/PVC//Al </w:t>
      </w:r>
      <w:r>
        <w:rPr>
          <w:rFonts w:eastAsia="Times New Roman"/>
          <w:lang w:val="hu-HU" w:eastAsia="en-US"/>
        </w:rPr>
        <w:t xml:space="preserve">buborékcsomagolásban és dobozban. </w:t>
      </w:r>
    </w:p>
    <w:p w14:paraId="237B8893" w14:textId="77777777" w:rsidR="00342CEA" w:rsidRDefault="00837BAB">
      <w:pPr>
        <w:spacing w:line="240" w:lineRule="auto"/>
        <w:rPr>
          <w:rFonts w:eastAsia="Times New Roman"/>
          <w:lang w:val="hu-HU" w:eastAsia="en-US"/>
        </w:rPr>
      </w:pPr>
      <w:r>
        <w:rPr>
          <w:rFonts w:eastAsia="Times New Roman"/>
          <w:lang w:val="hu-HU" w:eastAsia="en-US"/>
        </w:rPr>
        <w:t>84 db (3, egyenként 28 db</w:t>
      </w:r>
      <w:r>
        <w:rPr>
          <w:rFonts w:eastAsia="Times New Roman"/>
          <w:lang w:val="hu-HU" w:eastAsia="en-US"/>
        </w:rPr>
        <w:noBreakHyphen/>
        <w:t>os csomag) filmtablettát tartalmazó gyűjtőcsomagolás.</w:t>
      </w:r>
    </w:p>
    <w:p w14:paraId="55333250" w14:textId="77777777" w:rsidR="00342CEA" w:rsidRDefault="00342CEA">
      <w:pPr>
        <w:spacing w:line="240" w:lineRule="auto"/>
        <w:rPr>
          <w:rFonts w:eastAsia="Times New Roman"/>
          <w:lang w:val="hu-HU" w:eastAsia="en-US"/>
        </w:rPr>
      </w:pPr>
    </w:p>
    <w:bookmarkEnd w:id="3"/>
    <w:p w14:paraId="281E08C5" w14:textId="77777777" w:rsidR="00342CEA" w:rsidRDefault="00837BAB">
      <w:pPr>
        <w:spacing w:line="240" w:lineRule="auto"/>
        <w:rPr>
          <w:rFonts w:eastAsia="Times New Roman"/>
          <w:lang w:val="hu-HU" w:eastAsia="en-US"/>
        </w:rPr>
      </w:pPr>
      <w:r>
        <w:rPr>
          <w:rFonts w:eastAsia="Times New Roman"/>
          <w:lang w:val="hu-HU" w:eastAsia="en-US"/>
        </w:rPr>
        <w:t>Nem feltétlenül mindegyik kiszerelés kerül kereskedelmi forgalomba.</w:t>
      </w:r>
    </w:p>
    <w:p w14:paraId="23434203" w14:textId="77777777" w:rsidR="00342CEA" w:rsidRDefault="00342CEA">
      <w:pPr>
        <w:spacing w:line="240" w:lineRule="auto"/>
        <w:rPr>
          <w:rFonts w:eastAsia="Times New Roman"/>
          <w:lang w:val="hu-HU" w:eastAsia="en-US"/>
        </w:rPr>
      </w:pPr>
    </w:p>
    <w:p w14:paraId="66483BC3" w14:textId="77777777" w:rsidR="00342CEA" w:rsidRDefault="00837BAB">
      <w:pPr>
        <w:keepNext/>
        <w:ind w:left="567" w:hanging="567"/>
        <w:rPr>
          <w:lang w:val="hu-HU" w:eastAsia="en-US"/>
        </w:rPr>
      </w:pPr>
      <w:r>
        <w:rPr>
          <w:rFonts w:eastAsia="Times New Roman"/>
          <w:b/>
          <w:bCs/>
          <w:lang w:val="hu-HU" w:eastAsia="en-US"/>
        </w:rPr>
        <w:t>6.6</w:t>
      </w:r>
      <w:r>
        <w:rPr>
          <w:rFonts w:eastAsia="Times New Roman"/>
          <w:b/>
          <w:bCs/>
          <w:lang w:val="hu-HU" w:eastAsia="en-US"/>
        </w:rPr>
        <w:tab/>
        <w:t>A megsemmisítésre vonatkozó különleges óvintézkedések</w:t>
      </w:r>
      <w:r>
        <w:rPr>
          <w:rFonts w:eastAsia="DengXian"/>
          <w:caps/>
          <w:lang w:val="hu-HU" w:eastAsia="el-GR"/>
        </w:rPr>
        <w:t xml:space="preserve"> </w:t>
      </w:r>
      <w:r>
        <w:rPr>
          <w:b/>
          <w:bCs/>
          <w:lang w:val="hu-HU" w:eastAsia="en-US"/>
        </w:rPr>
        <w:t>és egyéb, a készítmény kezelésével kapcsolatos információk</w:t>
      </w:r>
    </w:p>
    <w:p w14:paraId="7C299D66" w14:textId="77777777" w:rsidR="00342CEA" w:rsidRDefault="00342CEA">
      <w:pPr>
        <w:spacing w:line="240" w:lineRule="auto"/>
        <w:ind w:left="567" w:hanging="567"/>
        <w:outlineLvl w:val="0"/>
        <w:rPr>
          <w:rFonts w:eastAsia="Times New Roman"/>
          <w:lang w:val="hu-HU" w:eastAsia="en-US"/>
        </w:rPr>
      </w:pPr>
    </w:p>
    <w:p w14:paraId="63885208" w14:textId="77777777" w:rsidR="00342CEA" w:rsidRDefault="00837BAB">
      <w:pPr>
        <w:spacing w:line="240" w:lineRule="auto"/>
        <w:rPr>
          <w:rFonts w:eastAsia="Times New Roman"/>
          <w:lang w:val="hu-HU" w:eastAsia="en-US"/>
        </w:rPr>
      </w:pPr>
      <w:r>
        <w:rPr>
          <w:rFonts w:eastAsia="Times New Roman"/>
          <w:lang w:val="hu-HU" w:eastAsia="en-US"/>
        </w:rPr>
        <w:t>Bármilyen fel nem használt gyógyszer, illetve hulladékanyag megsemmisítését a gyógyszerekre vonatkozó előírások szerint kell végrehajtani.</w:t>
      </w:r>
    </w:p>
    <w:p w14:paraId="7FBFE008" w14:textId="77777777" w:rsidR="00342CEA" w:rsidRDefault="00342CEA">
      <w:pPr>
        <w:pStyle w:val="Szvegtrzs"/>
        <w:spacing w:before="1"/>
        <w:rPr>
          <w:b w:val="0"/>
          <w:bCs w:val="0"/>
          <w:i w:val="0"/>
        </w:rPr>
      </w:pPr>
    </w:p>
    <w:p w14:paraId="7F029F05" w14:textId="77777777" w:rsidR="00342CEA" w:rsidRDefault="00837BAB">
      <w:pPr>
        <w:keepNext/>
        <w:suppressAutoHyphens/>
        <w:outlineLvl w:val="3"/>
        <w:rPr>
          <w:rFonts w:eastAsia="Times New Roman"/>
          <w:lang w:val="hu-HU" w:eastAsia="hu-HU"/>
        </w:rPr>
      </w:pPr>
      <w:r>
        <w:rPr>
          <w:rFonts w:eastAsia="Times New Roman"/>
          <w:b/>
          <w:bCs/>
          <w:lang w:val="hu-HU" w:eastAsia="hu-HU"/>
        </w:rPr>
        <w:t xml:space="preserve">Megjegyzés: </w:t>
      </w:r>
      <w:r>
        <w:rPr>
          <w:rFonts w:ascii="Wingdings" w:eastAsia="Wingdings" w:hAnsi="Wingdings" w:cs="Wingdings"/>
          <w:lang w:val="hu-HU" w:eastAsia="hu-HU"/>
        </w:rPr>
        <w:t></w:t>
      </w:r>
      <w:r>
        <w:rPr>
          <w:rFonts w:eastAsia="Times New Roman"/>
          <w:lang w:val="hu-HU" w:eastAsia="hu-HU"/>
        </w:rPr>
        <w:t xml:space="preserve"> (egy kereszt)</w:t>
      </w:r>
    </w:p>
    <w:p w14:paraId="229B766F" w14:textId="77777777" w:rsidR="00342CEA" w:rsidRDefault="00837BAB">
      <w:pPr>
        <w:suppressAutoHyphens/>
        <w:rPr>
          <w:rFonts w:eastAsia="Times New Roman"/>
          <w:b/>
          <w:bCs/>
          <w:lang w:val="hu-HU" w:eastAsia="hu-HU"/>
        </w:rPr>
      </w:pPr>
      <w:r>
        <w:rPr>
          <w:rFonts w:eastAsia="Times New Roman"/>
          <w:lang w:val="hu-HU" w:eastAsia="hu-HU"/>
        </w:rPr>
        <w:t>Osztályozás:</w:t>
      </w:r>
      <w:r>
        <w:rPr>
          <w:rFonts w:eastAsia="Times New Roman"/>
          <w:b/>
          <w:bCs/>
          <w:lang w:val="hu-HU" w:eastAsia="hu-HU"/>
        </w:rPr>
        <w:t xml:space="preserve"> II./2 csoport</w:t>
      </w:r>
    </w:p>
    <w:p w14:paraId="411B3E4A" w14:textId="75E6B67C" w:rsidR="00342CEA" w:rsidRDefault="00837BAB">
      <w:pPr>
        <w:rPr>
          <w:rFonts w:eastAsia="Times New Roman"/>
          <w:lang w:val="hu-HU" w:eastAsia="hu-HU"/>
        </w:rPr>
      </w:pPr>
      <w:r>
        <w:rPr>
          <w:rFonts w:eastAsia="Times New Roman"/>
          <w:lang w:val="hu-HU" w:eastAsia="hu-HU"/>
        </w:rPr>
        <w:t>Korlátozott érvényű orvosi rendelvényhez kötött, szakorvosi/kórházi diagnózist követően folyamatos szakorvosi ellenőrzés mellett alkalmazható gyógyszer (Sz).</w:t>
      </w:r>
    </w:p>
    <w:p w14:paraId="2EF3AD7B" w14:textId="77777777" w:rsidR="00966EAC" w:rsidRDefault="00966EAC">
      <w:pPr>
        <w:rPr>
          <w:rFonts w:eastAsia="Times New Roman"/>
          <w:lang w:val="hu-HU" w:eastAsia="en-US"/>
        </w:rPr>
      </w:pPr>
    </w:p>
    <w:p w14:paraId="4D317F0A" w14:textId="77777777" w:rsidR="00342CEA" w:rsidRDefault="00342CEA">
      <w:pPr>
        <w:spacing w:line="240" w:lineRule="auto"/>
        <w:ind w:left="567" w:hanging="567"/>
        <w:outlineLvl w:val="0"/>
        <w:rPr>
          <w:rFonts w:eastAsia="Times New Roman"/>
          <w:lang w:val="hu-HU" w:eastAsia="en-US"/>
        </w:rPr>
      </w:pPr>
    </w:p>
    <w:p w14:paraId="7EE37A85"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7.</w:t>
      </w:r>
      <w:r>
        <w:rPr>
          <w:rFonts w:eastAsia="Times New Roman"/>
          <w:b/>
          <w:bCs/>
          <w:lang w:val="hu-HU" w:eastAsia="en-US"/>
        </w:rPr>
        <w:tab/>
        <w:t>A FORGALOMBA HOZATALI ENGEDÉLY JOGOSULTJA</w:t>
      </w:r>
    </w:p>
    <w:p w14:paraId="77E042FD" w14:textId="77777777" w:rsidR="00342CEA" w:rsidRDefault="00342CEA">
      <w:pPr>
        <w:spacing w:line="240" w:lineRule="auto"/>
        <w:ind w:left="567" w:hanging="567"/>
        <w:outlineLvl w:val="0"/>
        <w:rPr>
          <w:lang w:val="hu-HU"/>
        </w:rPr>
      </w:pPr>
    </w:p>
    <w:p w14:paraId="7176DBB8" w14:textId="77777777" w:rsidR="00342CEA" w:rsidRDefault="00837BAB">
      <w:pPr>
        <w:keepNext/>
        <w:rPr>
          <w:noProof/>
        </w:rPr>
      </w:pPr>
      <w:r>
        <w:rPr>
          <w:noProof/>
        </w:rPr>
        <w:t>Sandoz Hungária Kft.</w:t>
      </w:r>
    </w:p>
    <w:p w14:paraId="77D80CC3" w14:textId="77777777" w:rsidR="00342CEA" w:rsidRDefault="00837BAB">
      <w:pPr>
        <w:keepNext/>
        <w:rPr>
          <w:noProof/>
        </w:rPr>
      </w:pPr>
      <w:r>
        <w:rPr>
          <w:noProof/>
        </w:rPr>
        <w:t>1114 Budapest</w:t>
      </w:r>
    </w:p>
    <w:p w14:paraId="366E9CD6" w14:textId="77777777" w:rsidR="00342CEA" w:rsidRDefault="00837BAB">
      <w:pPr>
        <w:rPr>
          <w:noProof/>
        </w:rPr>
      </w:pPr>
      <w:r>
        <w:rPr>
          <w:noProof/>
        </w:rPr>
        <w:t>Bartók Béla út 43-47</w:t>
      </w:r>
    </w:p>
    <w:p w14:paraId="4C838B4B" w14:textId="77777777" w:rsidR="00342CEA" w:rsidRDefault="00837BAB">
      <w:pPr>
        <w:rPr>
          <w:noProof/>
        </w:rPr>
      </w:pPr>
      <w:r>
        <w:rPr>
          <w:noProof/>
        </w:rPr>
        <w:t>Magyarország</w:t>
      </w:r>
    </w:p>
    <w:p w14:paraId="6D839602" w14:textId="77777777" w:rsidR="00342CEA" w:rsidRDefault="00342CEA">
      <w:pPr>
        <w:spacing w:line="240" w:lineRule="auto"/>
        <w:ind w:left="567" w:hanging="567"/>
        <w:outlineLvl w:val="0"/>
        <w:rPr>
          <w:lang w:val="hu-HU"/>
        </w:rPr>
      </w:pPr>
    </w:p>
    <w:p w14:paraId="6C1EBBCA" w14:textId="77777777" w:rsidR="00342CEA" w:rsidRDefault="00342CEA">
      <w:pPr>
        <w:spacing w:line="240" w:lineRule="auto"/>
        <w:ind w:left="567" w:hanging="567"/>
        <w:outlineLvl w:val="0"/>
        <w:rPr>
          <w:lang w:val="hu-HU"/>
        </w:rPr>
      </w:pPr>
    </w:p>
    <w:p w14:paraId="72173854"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8.</w:t>
      </w:r>
      <w:r>
        <w:rPr>
          <w:rFonts w:eastAsia="Times New Roman"/>
          <w:b/>
          <w:bCs/>
          <w:lang w:val="hu-HU" w:eastAsia="en-US"/>
        </w:rPr>
        <w:tab/>
        <w:t>A FORGALOMBA HOZATALI ENGEDÉLY SZÁMA(I)</w:t>
      </w:r>
    </w:p>
    <w:p w14:paraId="7FD8E9C5" w14:textId="77777777" w:rsidR="00342CEA" w:rsidRDefault="00342CEA">
      <w:pPr>
        <w:spacing w:line="240" w:lineRule="auto"/>
        <w:ind w:left="567" w:hanging="567"/>
        <w:outlineLvl w:val="0"/>
        <w:rPr>
          <w:lang w:val="hu-HU"/>
        </w:rPr>
      </w:pPr>
    </w:p>
    <w:p w14:paraId="3F8D2320" w14:textId="77777777" w:rsidR="00342CEA" w:rsidRDefault="00837BAB">
      <w:pPr>
        <w:rPr>
          <w:b/>
          <w:bCs/>
          <w:lang w:eastAsia="en-US"/>
        </w:rPr>
      </w:pPr>
      <w:r>
        <w:rPr>
          <w:b/>
          <w:bCs/>
        </w:rPr>
        <w:t>Eltrombopag Sandoz 12,5 mg filmtabletta</w:t>
      </w:r>
    </w:p>
    <w:p w14:paraId="24896682" w14:textId="77777777" w:rsidR="00342CEA" w:rsidRDefault="00837BAB">
      <w:pPr>
        <w:jc w:val="both"/>
        <w:rPr>
          <w:lang w:eastAsia="hu-HU"/>
        </w:rPr>
      </w:pPr>
      <w:r>
        <w:rPr>
          <w:lang w:eastAsia="hu-HU"/>
        </w:rPr>
        <w:t>OGYI-T-24570/01</w:t>
      </w:r>
      <w:r>
        <w:rPr>
          <w:lang w:eastAsia="hu-HU"/>
        </w:rPr>
        <w:tab/>
        <w:t>30×1</w:t>
      </w:r>
      <w:r>
        <w:rPr>
          <w:lang w:eastAsia="hu-HU"/>
        </w:rPr>
        <w:tab/>
        <w:t>adagonként perforált oPA/Al/PVC//Al buborékcsomagolásban</w:t>
      </w:r>
    </w:p>
    <w:p w14:paraId="462E4193" w14:textId="77777777" w:rsidR="00342CEA" w:rsidRDefault="00342CEA">
      <w:pPr>
        <w:jc w:val="both"/>
        <w:rPr>
          <w:lang w:eastAsia="hu-HU"/>
        </w:rPr>
      </w:pPr>
    </w:p>
    <w:p w14:paraId="77966EA7" w14:textId="77777777" w:rsidR="00342CEA" w:rsidRDefault="00837BAB">
      <w:pPr>
        <w:rPr>
          <w:rFonts w:ascii="Calibri" w:hAnsi="Calibri"/>
          <w:color w:val="1F497D"/>
          <w:lang w:eastAsia="en-US"/>
        </w:rPr>
      </w:pPr>
      <w:r>
        <w:rPr>
          <w:b/>
          <w:bCs/>
        </w:rPr>
        <w:t>Eltrombopag Sandoz 25 mg filmtabletta</w:t>
      </w:r>
    </w:p>
    <w:p w14:paraId="611FFD18" w14:textId="77777777" w:rsidR="00342CEA" w:rsidRDefault="00837BAB">
      <w:pPr>
        <w:jc w:val="both"/>
        <w:rPr>
          <w:lang w:eastAsia="hu-HU"/>
        </w:rPr>
      </w:pPr>
      <w:r>
        <w:rPr>
          <w:lang w:eastAsia="hu-HU"/>
        </w:rPr>
        <w:t>OGYI-T-24570/02</w:t>
      </w:r>
      <w:r>
        <w:rPr>
          <w:lang w:eastAsia="hu-HU"/>
        </w:rPr>
        <w:tab/>
        <w:t>30×1</w:t>
      </w:r>
      <w:r>
        <w:rPr>
          <w:lang w:eastAsia="hu-HU"/>
        </w:rPr>
        <w:tab/>
        <w:t>adagonként perforált oPA/Al/PVC//Al buborékcsomagolásban</w:t>
      </w:r>
    </w:p>
    <w:p w14:paraId="233D6873" w14:textId="77777777" w:rsidR="00342CEA" w:rsidRDefault="00837BAB">
      <w:pPr>
        <w:jc w:val="both"/>
        <w:rPr>
          <w:lang w:eastAsia="hu-HU"/>
        </w:rPr>
      </w:pPr>
      <w:bookmarkStart w:id="5" w:name="_Hlk210991893"/>
      <w:r>
        <w:rPr>
          <w:lang w:eastAsia="hu-HU"/>
        </w:rPr>
        <w:t>OGYI-T-24570/05</w:t>
      </w:r>
      <w:r>
        <w:rPr>
          <w:lang w:eastAsia="hu-HU"/>
        </w:rPr>
        <w:tab/>
        <w:t>28×</w:t>
      </w:r>
      <w:r>
        <w:rPr>
          <w:lang w:eastAsia="hu-HU"/>
        </w:rPr>
        <w:tab/>
        <w:t>oPA/Al/PVC//Al buborékcsomagolásban</w:t>
      </w:r>
    </w:p>
    <w:bookmarkEnd w:id="5"/>
    <w:p w14:paraId="05DCB862" w14:textId="77777777" w:rsidR="00342CEA" w:rsidRDefault="00342CEA" w:rsidP="00F55E07">
      <w:pPr>
        <w:jc w:val="both"/>
        <w:rPr>
          <w:lang w:eastAsia="hu-HU"/>
        </w:rPr>
      </w:pPr>
    </w:p>
    <w:p w14:paraId="7F9A2857" w14:textId="77777777" w:rsidR="00342CEA" w:rsidRDefault="00837BAB">
      <w:pPr>
        <w:rPr>
          <w:color w:val="1F497D"/>
        </w:rPr>
      </w:pPr>
      <w:r>
        <w:rPr>
          <w:b/>
          <w:bCs/>
        </w:rPr>
        <w:t>Eltrombopag Sandoz 50 mg filmtabletta</w:t>
      </w:r>
    </w:p>
    <w:p w14:paraId="580AA045" w14:textId="77777777" w:rsidR="00342CEA" w:rsidRDefault="00837BAB">
      <w:pPr>
        <w:jc w:val="both"/>
        <w:rPr>
          <w:lang w:eastAsia="hu-HU"/>
        </w:rPr>
      </w:pPr>
      <w:r>
        <w:rPr>
          <w:lang w:eastAsia="hu-HU"/>
        </w:rPr>
        <w:t>OGYI-T-24570/03</w:t>
      </w:r>
      <w:r>
        <w:rPr>
          <w:lang w:eastAsia="hu-HU"/>
        </w:rPr>
        <w:tab/>
        <w:t>30×1</w:t>
      </w:r>
      <w:r>
        <w:rPr>
          <w:lang w:eastAsia="hu-HU"/>
        </w:rPr>
        <w:tab/>
        <w:t>adagonként perforált oPA/Al/PVC//Al buborékcsomagolásban</w:t>
      </w:r>
    </w:p>
    <w:p w14:paraId="2AB34AEA" w14:textId="77777777" w:rsidR="00342CEA" w:rsidRDefault="00837BAB">
      <w:pPr>
        <w:jc w:val="both"/>
        <w:rPr>
          <w:lang w:eastAsia="hu-HU"/>
        </w:rPr>
      </w:pPr>
      <w:bookmarkStart w:id="6" w:name="_Hlk210991899"/>
      <w:r>
        <w:rPr>
          <w:lang w:eastAsia="hu-HU"/>
        </w:rPr>
        <w:t>OGYI-T-24570/06</w:t>
      </w:r>
      <w:r>
        <w:rPr>
          <w:lang w:eastAsia="hu-HU"/>
        </w:rPr>
        <w:tab/>
        <w:t>28×</w:t>
      </w:r>
      <w:r>
        <w:rPr>
          <w:lang w:eastAsia="hu-HU"/>
        </w:rPr>
        <w:tab/>
        <w:t>oPA/Al/PVC//Al buborékcsomagolásban</w:t>
      </w:r>
    </w:p>
    <w:bookmarkEnd w:id="6"/>
    <w:p w14:paraId="3B4DB04D" w14:textId="77777777" w:rsidR="00342CEA" w:rsidRDefault="00342CEA">
      <w:pPr>
        <w:rPr>
          <w:lang w:eastAsia="hu-HU"/>
        </w:rPr>
      </w:pPr>
    </w:p>
    <w:p w14:paraId="2E7143C7" w14:textId="77777777" w:rsidR="00342CEA" w:rsidRDefault="00837BAB">
      <w:pPr>
        <w:rPr>
          <w:color w:val="1F497D"/>
        </w:rPr>
      </w:pPr>
      <w:r>
        <w:rPr>
          <w:b/>
          <w:bCs/>
        </w:rPr>
        <w:t>Eltrombopag Sandoz 75 mg filmtabletta</w:t>
      </w:r>
    </w:p>
    <w:p w14:paraId="4A41FFE9" w14:textId="77777777" w:rsidR="00342CEA" w:rsidRDefault="00837BAB">
      <w:pPr>
        <w:jc w:val="both"/>
        <w:rPr>
          <w:lang w:eastAsia="hu-HU"/>
        </w:rPr>
      </w:pPr>
      <w:r>
        <w:rPr>
          <w:lang w:eastAsia="hu-HU"/>
        </w:rPr>
        <w:t>OGYI-T-24570/04</w:t>
      </w:r>
      <w:r>
        <w:rPr>
          <w:lang w:eastAsia="hu-HU"/>
        </w:rPr>
        <w:tab/>
        <w:t>30×1</w:t>
      </w:r>
      <w:r>
        <w:rPr>
          <w:lang w:eastAsia="hu-HU"/>
        </w:rPr>
        <w:tab/>
        <w:t>adagonként perforált oPA/Al/PVC//Al buborékcsomagolásban</w:t>
      </w:r>
    </w:p>
    <w:p w14:paraId="61036695" w14:textId="77777777" w:rsidR="00342CEA" w:rsidRDefault="00342CEA">
      <w:pPr>
        <w:spacing w:line="240" w:lineRule="auto"/>
        <w:ind w:left="567" w:hanging="567"/>
        <w:outlineLvl w:val="0"/>
        <w:rPr>
          <w:lang w:val="hu-HU"/>
        </w:rPr>
      </w:pPr>
    </w:p>
    <w:p w14:paraId="5A835345" w14:textId="77777777" w:rsidR="00342CEA" w:rsidRDefault="00342CEA">
      <w:pPr>
        <w:spacing w:line="240" w:lineRule="auto"/>
        <w:ind w:left="567" w:hanging="567"/>
        <w:outlineLvl w:val="0"/>
        <w:rPr>
          <w:lang w:val="hu-HU"/>
        </w:rPr>
      </w:pPr>
    </w:p>
    <w:p w14:paraId="7B1E628B" w14:textId="77777777" w:rsidR="00342CEA" w:rsidRDefault="00837BAB">
      <w:pPr>
        <w:keepNext/>
        <w:spacing w:line="240" w:lineRule="auto"/>
        <w:ind w:left="567" w:hanging="567"/>
        <w:outlineLvl w:val="0"/>
        <w:rPr>
          <w:b/>
          <w:bCs/>
          <w:lang w:val="hu-HU"/>
        </w:rPr>
      </w:pPr>
      <w:r>
        <w:rPr>
          <w:rFonts w:eastAsia="Times New Roman"/>
          <w:b/>
          <w:bCs/>
          <w:lang w:val="hu-HU" w:eastAsia="en-US"/>
        </w:rPr>
        <w:t>9.</w:t>
      </w:r>
      <w:r>
        <w:rPr>
          <w:rFonts w:eastAsia="Times New Roman"/>
          <w:b/>
          <w:bCs/>
          <w:lang w:val="hu-HU" w:eastAsia="en-US"/>
        </w:rPr>
        <w:tab/>
        <w:t>A FORGALOMBA HOZATALI ENGEDÉLY ELSŐ KIADÁSÁNAK/ MEGÚJÍTÁSÁNAK</w:t>
      </w:r>
      <w:r>
        <w:rPr>
          <w:b/>
          <w:bCs/>
          <w:lang w:val="hu-HU"/>
        </w:rPr>
        <w:t xml:space="preserve"> DÁTUMA</w:t>
      </w:r>
    </w:p>
    <w:p w14:paraId="57B75E96" w14:textId="77777777" w:rsidR="00342CEA" w:rsidRDefault="00342CEA">
      <w:pPr>
        <w:spacing w:line="240" w:lineRule="auto"/>
        <w:rPr>
          <w:rFonts w:eastAsia="Times New Roman"/>
          <w:lang w:val="hu-HU" w:eastAsia="en-US"/>
        </w:rPr>
      </w:pPr>
    </w:p>
    <w:p w14:paraId="30B49681" w14:textId="3DF4DB77" w:rsidR="00342CEA" w:rsidRDefault="00837BAB">
      <w:pPr>
        <w:spacing w:line="240" w:lineRule="auto"/>
        <w:rPr>
          <w:rFonts w:eastAsia="Times New Roman"/>
          <w:lang w:val="hu-HU" w:eastAsia="en-US"/>
        </w:rPr>
      </w:pPr>
      <w:r>
        <w:rPr>
          <w:rFonts w:eastAsia="Times New Roman"/>
          <w:lang w:val="hu-HU" w:eastAsia="en-US"/>
        </w:rPr>
        <w:t>A forgalomba hozatali engedély első kiadásának dátuma: 2025. május 15.</w:t>
      </w:r>
    </w:p>
    <w:p w14:paraId="759438AC" w14:textId="77777777" w:rsidR="00966EAC" w:rsidRDefault="00966EAC">
      <w:pPr>
        <w:spacing w:line="240" w:lineRule="auto"/>
        <w:rPr>
          <w:rFonts w:eastAsia="Times New Roman"/>
          <w:lang w:val="hu-HU" w:eastAsia="en-US"/>
        </w:rPr>
      </w:pPr>
    </w:p>
    <w:p w14:paraId="1AFEAFED" w14:textId="77777777" w:rsidR="00342CEA" w:rsidRDefault="00342CEA">
      <w:pPr>
        <w:spacing w:line="240" w:lineRule="auto"/>
        <w:rPr>
          <w:rFonts w:eastAsia="Times New Roman"/>
          <w:lang w:val="hu-HU" w:eastAsia="en-US"/>
        </w:rPr>
      </w:pPr>
    </w:p>
    <w:p w14:paraId="37AFE181" w14:textId="77777777" w:rsidR="00342CEA" w:rsidRDefault="00837BAB">
      <w:pPr>
        <w:keepNext/>
        <w:spacing w:line="240" w:lineRule="auto"/>
        <w:ind w:left="567" w:hanging="567"/>
        <w:outlineLvl w:val="0"/>
        <w:rPr>
          <w:rFonts w:eastAsia="Times New Roman"/>
          <w:b/>
          <w:bCs/>
          <w:lang w:val="hu-HU" w:eastAsia="en-US"/>
        </w:rPr>
      </w:pPr>
      <w:r>
        <w:rPr>
          <w:rFonts w:eastAsia="Times New Roman"/>
          <w:b/>
          <w:bCs/>
          <w:lang w:val="hu-HU" w:eastAsia="en-US"/>
        </w:rPr>
        <w:t>10.</w:t>
      </w:r>
      <w:r>
        <w:rPr>
          <w:rFonts w:eastAsia="Times New Roman"/>
          <w:b/>
          <w:bCs/>
          <w:lang w:val="hu-HU" w:eastAsia="en-US"/>
        </w:rPr>
        <w:tab/>
        <w:t>A SZÖVEG ELLENŐRZÉSÉNEK DÁTUMA</w:t>
      </w:r>
    </w:p>
    <w:p w14:paraId="716AD37F" w14:textId="77777777" w:rsidR="00342CEA" w:rsidRDefault="00342CEA">
      <w:pPr>
        <w:keepNext/>
        <w:spacing w:line="240" w:lineRule="auto"/>
        <w:ind w:left="567" w:hanging="567"/>
        <w:outlineLvl w:val="0"/>
        <w:rPr>
          <w:b/>
          <w:bCs/>
          <w:lang w:val="hu-HU"/>
        </w:rPr>
      </w:pPr>
    </w:p>
    <w:p w14:paraId="2A40B3D6" w14:textId="2BA4223C" w:rsidR="00342CEA" w:rsidRDefault="006C1619">
      <w:pPr>
        <w:spacing w:line="240" w:lineRule="auto"/>
        <w:ind w:left="567" w:hanging="567"/>
        <w:outlineLvl w:val="0"/>
        <w:rPr>
          <w:lang w:val="hu-HU"/>
        </w:rPr>
      </w:pPr>
      <w:r>
        <w:rPr>
          <w:lang w:val="hu-HU"/>
        </w:rPr>
        <w:t>2026. május 30.</w:t>
      </w:r>
      <w:bookmarkStart w:id="7" w:name="_GoBack"/>
      <w:bookmarkEnd w:id="7"/>
    </w:p>
    <w:sectPr w:rsidR="00342CEA">
      <w:headerReference w:type="default" r:id="rId8"/>
      <w:footerReference w:type="default" r:id="rId9"/>
      <w:footerReference w:type="first" r:id="rId10"/>
      <w:endnotePr>
        <w:numFmt w:val="decimal"/>
      </w:endnotePr>
      <w:pgSz w:w="11907" w:h="16840"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9AD0D" w14:textId="77777777" w:rsidR="007B415F" w:rsidRDefault="007B415F">
      <w:pPr>
        <w:spacing w:line="240" w:lineRule="auto"/>
      </w:pPr>
      <w:r>
        <w:separator/>
      </w:r>
    </w:p>
  </w:endnote>
  <w:endnote w:type="continuationSeparator" w:id="0">
    <w:p w14:paraId="3B2EB453" w14:textId="77777777" w:rsidR="007B415F" w:rsidRDefault="007B41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TimesNewRomanPSMT">
    <w:altName w:val="Yu Gothic"/>
    <w:panose1 w:val="00000000000000000000"/>
    <w:charset w:val="A1"/>
    <w:family w:val="auto"/>
    <w:notTrueType/>
    <w:pitch w:val="default"/>
    <w:sig w:usb0="00000081" w:usb1="08070000" w:usb2="00000010" w:usb3="00000000" w:csb0="00020008" w:csb1="00000000"/>
  </w:font>
  <w:font w:name="Segoe UI Symbol">
    <w:panose1 w:val="020B0502040204020203"/>
    <w:charset w:val="00"/>
    <w:family w:val="swiss"/>
    <w:pitch w:val="variable"/>
    <w:sig w:usb0="800001E3" w:usb1="1200FFEF" w:usb2="00040000" w:usb3="00000000" w:csb0="00000001"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90651" w14:textId="77777777" w:rsidR="007B415F" w:rsidRDefault="007B415F">
    <w:pPr>
      <w:pStyle w:val="llb"/>
      <w:tabs>
        <w:tab w:val="right" w:pos="8931"/>
      </w:tabs>
      <w:ind w:right="96"/>
      <w:jc w:val="center"/>
    </w:pPr>
    <w:r>
      <w:fldChar w:fldCharType="begin"/>
    </w:r>
    <w:r>
      <w:instrText xml:space="preserve">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B8FFA" w14:textId="77777777" w:rsidR="00A46912" w:rsidRPr="00A46912" w:rsidRDefault="00A46912" w:rsidP="00A46912">
    <w:pPr>
      <w:pStyle w:val="Nincstrkz"/>
      <w:rPr>
        <w:sz w:val="18"/>
        <w:szCs w:val="18"/>
      </w:rPr>
    </w:pPr>
    <w:r w:rsidRPr="00A46912">
      <w:rPr>
        <w:sz w:val="18"/>
        <w:szCs w:val="18"/>
      </w:rPr>
      <w:t>NNGYK/ETGY/6814/2026</w:t>
    </w:r>
  </w:p>
  <w:p w14:paraId="561F1F65" w14:textId="77777777" w:rsidR="00A46912" w:rsidRPr="00A46912" w:rsidRDefault="00A46912" w:rsidP="00A46912">
    <w:pPr>
      <w:pStyle w:val="Nincstrkz"/>
      <w:rPr>
        <w:sz w:val="18"/>
        <w:szCs w:val="18"/>
      </w:rPr>
    </w:pPr>
    <w:r w:rsidRPr="00A46912">
      <w:rPr>
        <w:sz w:val="18"/>
        <w:szCs w:val="18"/>
      </w:rPr>
      <w:t>NNGYK/ETGY/6817/2026</w:t>
    </w:r>
  </w:p>
  <w:p w14:paraId="03043AAA" w14:textId="77777777" w:rsidR="00A46912" w:rsidRPr="00A46912" w:rsidRDefault="00A46912" w:rsidP="00A46912">
    <w:pPr>
      <w:pStyle w:val="Nincstrkz"/>
      <w:rPr>
        <w:sz w:val="18"/>
        <w:szCs w:val="18"/>
      </w:rPr>
    </w:pPr>
    <w:r w:rsidRPr="00A46912">
      <w:rPr>
        <w:sz w:val="18"/>
        <w:szCs w:val="18"/>
      </w:rPr>
      <w:t>NNGYK/ETGY/6819/2026</w:t>
    </w:r>
  </w:p>
  <w:p w14:paraId="0BCA21AF" w14:textId="76110421" w:rsidR="007B415F" w:rsidRDefault="00A46912">
    <w:pPr>
      <w:pStyle w:val="Nincstrkz"/>
    </w:pPr>
    <w:r w:rsidRPr="00A46912">
      <w:rPr>
        <w:sz w:val="18"/>
        <w:szCs w:val="18"/>
      </w:rPr>
      <w:t>NNGYK/ETGY/6822/2026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4F88F" w14:textId="77777777" w:rsidR="007B415F" w:rsidRDefault="007B415F">
      <w:pPr>
        <w:spacing w:line="240" w:lineRule="auto"/>
      </w:pPr>
      <w:r>
        <w:separator/>
      </w:r>
    </w:p>
  </w:footnote>
  <w:footnote w:type="continuationSeparator" w:id="0">
    <w:p w14:paraId="32E66FA3" w14:textId="77777777" w:rsidR="007B415F" w:rsidRDefault="007B41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995922"/>
      <w:docPartObj>
        <w:docPartGallery w:val="Page Numbers (Top of Page)"/>
        <w:docPartUnique/>
      </w:docPartObj>
    </w:sdtPr>
    <w:sdtEndPr/>
    <w:sdtContent>
      <w:p w14:paraId="73ECEDC0" w14:textId="5AAA8F07" w:rsidR="007B415F" w:rsidRDefault="007B415F">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6C1619" w:rsidRPr="006C1619">
          <w:rPr>
            <w:noProof/>
            <w:sz w:val="18"/>
            <w:szCs w:val="18"/>
            <w:lang w:val="hu-HU"/>
          </w:rPr>
          <w:t>35</w:t>
        </w:r>
        <w:r>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0ED"/>
    <w:multiLevelType w:val="hybridMultilevel"/>
    <w:tmpl w:val="3D08C984"/>
    <w:lvl w:ilvl="0" w:tplc="C4662922">
      <w:start w:val="1"/>
      <w:numFmt w:val="bullet"/>
      <w:pStyle w:val="Cmsor1"/>
      <w:lvlText w:val=""/>
      <w:lvlJc w:val="left"/>
      <w:pPr>
        <w:tabs>
          <w:tab w:val="num" w:pos="360"/>
        </w:tabs>
        <w:ind w:left="360" w:hanging="360"/>
      </w:pPr>
      <w:rPr>
        <w:rFonts w:ascii="Symbol" w:hAnsi="Symbol" w:hint="default"/>
      </w:rPr>
    </w:lvl>
    <w:lvl w:ilvl="1" w:tplc="5A003414" w:tentative="1">
      <w:start w:val="1"/>
      <w:numFmt w:val="bullet"/>
      <w:pStyle w:val="Cmsor2"/>
      <w:lvlText w:val="o"/>
      <w:lvlJc w:val="left"/>
      <w:pPr>
        <w:tabs>
          <w:tab w:val="num" w:pos="1080"/>
        </w:tabs>
        <w:ind w:left="1080" w:hanging="360"/>
      </w:pPr>
      <w:rPr>
        <w:rFonts w:ascii="Courier New" w:hAnsi="Courier New" w:hint="default"/>
      </w:rPr>
    </w:lvl>
    <w:lvl w:ilvl="2" w:tplc="639CD1EA" w:tentative="1">
      <w:start w:val="1"/>
      <w:numFmt w:val="bullet"/>
      <w:pStyle w:val="Cmsor3"/>
      <w:lvlText w:val=""/>
      <w:lvlJc w:val="left"/>
      <w:pPr>
        <w:tabs>
          <w:tab w:val="num" w:pos="1800"/>
        </w:tabs>
        <w:ind w:left="1800" w:hanging="360"/>
      </w:pPr>
      <w:rPr>
        <w:rFonts w:ascii="Wingdings" w:hAnsi="Wingdings" w:hint="default"/>
      </w:rPr>
    </w:lvl>
    <w:lvl w:ilvl="3" w:tplc="73201A5C" w:tentative="1">
      <w:start w:val="1"/>
      <w:numFmt w:val="bullet"/>
      <w:pStyle w:val="Cmsor4"/>
      <w:lvlText w:val=""/>
      <w:lvlJc w:val="left"/>
      <w:pPr>
        <w:tabs>
          <w:tab w:val="num" w:pos="2520"/>
        </w:tabs>
        <w:ind w:left="2520" w:hanging="360"/>
      </w:pPr>
      <w:rPr>
        <w:rFonts w:ascii="Symbol" w:hAnsi="Symbol" w:hint="default"/>
      </w:rPr>
    </w:lvl>
    <w:lvl w:ilvl="4" w:tplc="99A86DE2" w:tentative="1">
      <w:start w:val="1"/>
      <w:numFmt w:val="bullet"/>
      <w:pStyle w:val="Cmsor5"/>
      <w:lvlText w:val="o"/>
      <w:lvlJc w:val="left"/>
      <w:pPr>
        <w:tabs>
          <w:tab w:val="num" w:pos="3240"/>
        </w:tabs>
        <w:ind w:left="3240" w:hanging="360"/>
      </w:pPr>
      <w:rPr>
        <w:rFonts w:ascii="Courier New" w:hAnsi="Courier New" w:hint="default"/>
      </w:rPr>
    </w:lvl>
    <w:lvl w:ilvl="5" w:tplc="F252D1F4" w:tentative="1">
      <w:start w:val="1"/>
      <w:numFmt w:val="bullet"/>
      <w:pStyle w:val="Cmsor6"/>
      <w:lvlText w:val=""/>
      <w:lvlJc w:val="left"/>
      <w:pPr>
        <w:tabs>
          <w:tab w:val="num" w:pos="3960"/>
        </w:tabs>
        <w:ind w:left="3960" w:hanging="360"/>
      </w:pPr>
      <w:rPr>
        <w:rFonts w:ascii="Wingdings" w:hAnsi="Wingdings" w:hint="default"/>
      </w:rPr>
    </w:lvl>
    <w:lvl w:ilvl="6" w:tplc="28106FC4" w:tentative="1">
      <w:start w:val="1"/>
      <w:numFmt w:val="bullet"/>
      <w:pStyle w:val="Cmsor7"/>
      <w:lvlText w:val=""/>
      <w:lvlJc w:val="left"/>
      <w:pPr>
        <w:tabs>
          <w:tab w:val="num" w:pos="4680"/>
        </w:tabs>
        <w:ind w:left="4680" w:hanging="360"/>
      </w:pPr>
      <w:rPr>
        <w:rFonts w:ascii="Symbol" w:hAnsi="Symbol" w:hint="default"/>
      </w:rPr>
    </w:lvl>
    <w:lvl w:ilvl="7" w:tplc="4CF84B94" w:tentative="1">
      <w:start w:val="1"/>
      <w:numFmt w:val="bullet"/>
      <w:pStyle w:val="Cmsor8"/>
      <w:lvlText w:val="o"/>
      <w:lvlJc w:val="left"/>
      <w:pPr>
        <w:tabs>
          <w:tab w:val="num" w:pos="5400"/>
        </w:tabs>
        <w:ind w:left="5400" w:hanging="360"/>
      </w:pPr>
      <w:rPr>
        <w:rFonts w:ascii="Courier New" w:hAnsi="Courier New" w:hint="default"/>
      </w:rPr>
    </w:lvl>
    <w:lvl w:ilvl="8" w:tplc="E62CC65C" w:tentative="1">
      <w:start w:val="1"/>
      <w:numFmt w:val="bullet"/>
      <w:pStyle w:val="Cmsor9"/>
      <w:lvlText w:val=""/>
      <w:lvlJc w:val="left"/>
      <w:pPr>
        <w:tabs>
          <w:tab w:val="num" w:pos="6120"/>
        </w:tabs>
        <w:ind w:left="6120" w:hanging="360"/>
      </w:pPr>
      <w:rPr>
        <w:rFonts w:ascii="Wingdings" w:hAnsi="Wingdings" w:hint="default"/>
      </w:rPr>
    </w:lvl>
  </w:abstractNum>
  <w:abstractNum w:abstractNumId="1" w15:restartNumberingAfterBreak="0">
    <w:nsid w:val="250C70E2"/>
    <w:multiLevelType w:val="hybridMultilevel"/>
    <w:tmpl w:val="386E3F40"/>
    <w:lvl w:ilvl="0" w:tplc="040E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1682C0E"/>
    <w:multiLevelType w:val="hybridMultilevel"/>
    <w:tmpl w:val="9B7452CE"/>
    <w:lvl w:ilvl="0" w:tplc="24426B70">
      <w:start w:val="1"/>
      <w:numFmt w:val="lowerLetter"/>
      <w:lvlText w:val="%1"/>
      <w:lvlJc w:val="left"/>
      <w:pPr>
        <w:ind w:left="568"/>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1" w:tplc="457027E0">
      <w:start w:val="1"/>
      <w:numFmt w:val="lowerLetter"/>
      <w:lvlText w:val="%2"/>
      <w:lvlJc w:val="left"/>
      <w:pPr>
        <w:ind w:left="108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2" w:tplc="38C2C9DE">
      <w:start w:val="1"/>
      <w:numFmt w:val="lowerRoman"/>
      <w:lvlText w:val="%3"/>
      <w:lvlJc w:val="left"/>
      <w:pPr>
        <w:ind w:left="180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3" w:tplc="CCDA6FD6">
      <w:start w:val="1"/>
      <w:numFmt w:val="decimal"/>
      <w:lvlText w:val="%4"/>
      <w:lvlJc w:val="left"/>
      <w:pPr>
        <w:ind w:left="252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4" w:tplc="FF9828CC">
      <w:start w:val="1"/>
      <w:numFmt w:val="lowerLetter"/>
      <w:lvlText w:val="%5"/>
      <w:lvlJc w:val="left"/>
      <w:pPr>
        <w:ind w:left="324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5" w:tplc="9B8CF380">
      <w:start w:val="1"/>
      <w:numFmt w:val="lowerRoman"/>
      <w:lvlText w:val="%6"/>
      <w:lvlJc w:val="left"/>
      <w:pPr>
        <w:ind w:left="396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6" w:tplc="312600C4">
      <w:start w:val="1"/>
      <w:numFmt w:val="decimal"/>
      <w:lvlText w:val="%7"/>
      <w:lvlJc w:val="left"/>
      <w:pPr>
        <w:ind w:left="468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7" w:tplc="E174B400">
      <w:start w:val="1"/>
      <w:numFmt w:val="lowerLetter"/>
      <w:lvlText w:val="%8"/>
      <w:lvlJc w:val="left"/>
      <w:pPr>
        <w:ind w:left="540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lvl w:ilvl="8" w:tplc="134CC198">
      <w:start w:val="1"/>
      <w:numFmt w:val="lowerRoman"/>
      <w:lvlText w:val="%9"/>
      <w:lvlJc w:val="left"/>
      <w:pPr>
        <w:ind w:left="6120"/>
      </w:pPr>
      <w:rPr>
        <w:rFonts w:ascii="Times New Roman" w:eastAsia="Times New Roman" w:hAnsi="Times New Roman" w:cs="Times New Roman"/>
        <w:b w:val="0"/>
        <w:bCs w:val="0"/>
        <w:i w:val="0"/>
        <w:strike w:val="0"/>
        <w:dstrike w:val="0"/>
        <w:color w:val="000000"/>
        <w:sz w:val="22"/>
        <w:szCs w:val="22"/>
        <w:u w:val="none" w:color="000000"/>
        <w:bdr w:val="nil"/>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hu-HU" w:vendorID="64" w:dllVersion="4096" w:nlCheck="1" w:checkStyle="0"/>
  <w:activeWritingStyle w:appName="MSWord" w:lang="en-GB" w:vendorID="64" w:dllVersion="0" w:nlCheck="1" w:checkStyle="0"/>
  <w:activeWritingStyle w:appName="MSWord" w:lang="en-US" w:vendorID="64" w:dllVersion="0" w:nlCheck="1" w:checkStyle="0"/>
  <w:activeWritingStyle w:appName="MSWord" w:lang="hu-HU" w:vendorID="64" w:dllVersion="0"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1B7"/>
    <w:rsid w:val="00000D62"/>
    <w:rsid w:val="00001587"/>
    <w:rsid w:val="00001B46"/>
    <w:rsid w:val="00002816"/>
    <w:rsid w:val="00002A29"/>
    <w:rsid w:val="0000362A"/>
    <w:rsid w:val="00005701"/>
    <w:rsid w:val="00006494"/>
    <w:rsid w:val="00007528"/>
    <w:rsid w:val="0001164F"/>
    <w:rsid w:val="000121D6"/>
    <w:rsid w:val="00014B7E"/>
    <w:rsid w:val="000150D3"/>
    <w:rsid w:val="00015AE0"/>
    <w:rsid w:val="000166C1"/>
    <w:rsid w:val="000177FF"/>
    <w:rsid w:val="000207AD"/>
    <w:rsid w:val="00020AE8"/>
    <w:rsid w:val="00023244"/>
    <w:rsid w:val="00023F29"/>
    <w:rsid w:val="00025EBE"/>
    <w:rsid w:val="000301C2"/>
    <w:rsid w:val="00030445"/>
    <w:rsid w:val="00030F29"/>
    <w:rsid w:val="000318C7"/>
    <w:rsid w:val="000322F3"/>
    <w:rsid w:val="00033FDB"/>
    <w:rsid w:val="00034204"/>
    <w:rsid w:val="000344F6"/>
    <w:rsid w:val="00035D52"/>
    <w:rsid w:val="00036493"/>
    <w:rsid w:val="000419C6"/>
    <w:rsid w:val="00042263"/>
    <w:rsid w:val="000422C9"/>
    <w:rsid w:val="000423EA"/>
    <w:rsid w:val="000438C6"/>
    <w:rsid w:val="00043DD2"/>
    <w:rsid w:val="00043F0F"/>
    <w:rsid w:val="00044042"/>
    <w:rsid w:val="000440AC"/>
    <w:rsid w:val="00044A6A"/>
    <w:rsid w:val="00044F37"/>
    <w:rsid w:val="00046336"/>
    <w:rsid w:val="000466DB"/>
    <w:rsid w:val="00046DCE"/>
    <w:rsid w:val="000474D2"/>
    <w:rsid w:val="00047617"/>
    <w:rsid w:val="000479C5"/>
    <w:rsid w:val="00047D3E"/>
    <w:rsid w:val="00050DFD"/>
    <w:rsid w:val="00053035"/>
    <w:rsid w:val="00053809"/>
    <w:rsid w:val="000538C2"/>
    <w:rsid w:val="00053914"/>
    <w:rsid w:val="00053EFA"/>
    <w:rsid w:val="00054756"/>
    <w:rsid w:val="000560C5"/>
    <w:rsid w:val="0005657F"/>
    <w:rsid w:val="00056833"/>
    <w:rsid w:val="00056C49"/>
    <w:rsid w:val="00056CCB"/>
    <w:rsid w:val="00056FE0"/>
    <w:rsid w:val="000603C8"/>
    <w:rsid w:val="000605EE"/>
    <w:rsid w:val="00060656"/>
    <w:rsid w:val="000608A4"/>
    <w:rsid w:val="00060AA1"/>
    <w:rsid w:val="0006247C"/>
    <w:rsid w:val="000631FD"/>
    <w:rsid w:val="00067D12"/>
    <w:rsid w:val="00070B1E"/>
    <w:rsid w:val="00070E1D"/>
    <w:rsid w:val="00071071"/>
    <w:rsid w:val="00071083"/>
    <w:rsid w:val="00071F8A"/>
    <w:rsid w:val="000726F5"/>
    <w:rsid w:val="00073E04"/>
    <w:rsid w:val="000740A1"/>
    <w:rsid w:val="0007462B"/>
    <w:rsid w:val="00075D3B"/>
    <w:rsid w:val="0007628D"/>
    <w:rsid w:val="00076DC7"/>
    <w:rsid w:val="00077267"/>
    <w:rsid w:val="0007752B"/>
    <w:rsid w:val="00080AB8"/>
    <w:rsid w:val="00081DAB"/>
    <w:rsid w:val="0008235E"/>
    <w:rsid w:val="00082A8E"/>
    <w:rsid w:val="000855CA"/>
    <w:rsid w:val="00085660"/>
    <w:rsid w:val="00085954"/>
    <w:rsid w:val="00085D3A"/>
    <w:rsid w:val="0009351E"/>
    <w:rsid w:val="000937AF"/>
    <w:rsid w:val="0009479A"/>
    <w:rsid w:val="0009489C"/>
    <w:rsid w:val="00095E44"/>
    <w:rsid w:val="0009755A"/>
    <w:rsid w:val="000A1232"/>
    <w:rsid w:val="000A13ED"/>
    <w:rsid w:val="000A1639"/>
    <w:rsid w:val="000A1FD6"/>
    <w:rsid w:val="000A5165"/>
    <w:rsid w:val="000A7C0D"/>
    <w:rsid w:val="000B0089"/>
    <w:rsid w:val="000B0097"/>
    <w:rsid w:val="000B019A"/>
    <w:rsid w:val="000B101F"/>
    <w:rsid w:val="000B1F4B"/>
    <w:rsid w:val="000B2C35"/>
    <w:rsid w:val="000B2F27"/>
    <w:rsid w:val="000B2F58"/>
    <w:rsid w:val="000B3762"/>
    <w:rsid w:val="000B37A8"/>
    <w:rsid w:val="000B3D5C"/>
    <w:rsid w:val="000B51D9"/>
    <w:rsid w:val="000B591F"/>
    <w:rsid w:val="000B6240"/>
    <w:rsid w:val="000C1738"/>
    <w:rsid w:val="000C308F"/>
    <w:rsid w:val="000C5A4E"/>
    <w:rsid w:val="000C5F69"/>
    <w:rsid w:val="000C635D"/>
    <w:rsid w:val="000C700C"/>
    <w:rsid w:val="000C7F49"/>
    <w:rsid w:val="000D0E2A"/>
    <w:rsid w:val="000D1AEE"/>
    <w:rsid w:val="000D1F4F"/>
    <w:rsid w:val="000D26D5"/>
    <w:rsid w:val="000D4144"/>
    <w:rsid w:val="000D4B17"/>
    <w:rsid w:val="000D4D07"/>
    <w:rsid w:val="000D5A2C"/>
    <w:rsid w:val="000D6A8E"/>
    <w:rsid w:val="000D73BD"/>
    <w:rsid w:val="000D7535"/>
    <w:rsid w:val="000E0192"/>
    <w:rsid w:val="000E1378"/>
    <w:rsid w:val="000E163C"/>
    <w:rsid w:val="000E165D"/>
    <w:rsid w:val="000E1BAF"/>
    <w:rsid w:val="000E223E"/>
    <w:rsid w:val="000E2491"/>
    <w:rsid w:val="000E2EA9"/>
    <w:rsid w:val="000E3EF2"/>
    <w:rsid w:val="000E4192"/>
    <w:rsid w:val="000E46A3"/>
    <w:rsid w:val="000E5726"/>
    <w:rsid w:val="000E5A4E"/>
    <w:rsid w:val="000E6C94"/>
    <w:rsid w:val="000E7995"/>
    <w:rsid w:val="000F084D"/>
    <w:rsid w:val="000F1BB2"/>
    <w:rsid w:val="000F28E3"/>
    <w:rsid w:val="000F3F94"/>
    <w:rsid w:val="000F49E4"/>
    <w:rsid w:val="000F6EDB"/>
    <w:rsid w:val="00101CAD"/>
    <w:rsid w:val="00101D9F"/>
    <w:rsid w:val="00103501"/>
    <w:rsid w:val="0010351C"/>
    <w:rsid w:val="00103B2D"/>
    <w:rsid w:val="00103BDB"/>
    <w:rsid w:val="00103CD2"/>
    <w:rsid w:val="00104061"/>
    <w:rsid w:val="00105F37"/>
    <w:rsid w:val="00107236"/>
    <w:rsid w:val="00107F96"/>
    <w:rsid w:val="001101A2"/>
    <w:rsid w:val="001106F7"/>
    <w:rsid w:val="00111AC4"/>
    <w:rsid w:val="00111F79"/>
    <w:rsid w:val="00112EDA"/>
    <w:rsid w:val="00114174"/>
    <w:rsid w:val="00114D23"/>
    <w:rsid w:val="00115E22"/>
    <w:rsid w:val="00116337"/>
    <w:rsid w:val="001174F6"/>
    <w:rsid w:val="00117C1D"/>
    <w:rsid w:val="00120ADF"/>
    <w:rsid w:val="00122151"/>
    <w:rsid w:val="00122AD8"/>
    <w:rsid w:val="00122D9F"/>
    <w:rsid w:val="00123688"/>
    <w:rsid w:val="00123816"/>
    <w:rsid w:val="00124CAB"/>
    <w:rsid w:val="00127562"/>
    <w:rsid w:val="00127C1D"/>
    <w:rsid w:val="00130037"/>
    <w:rsid w:val="001301C2"/>
    <w:rsid w:val="00131748"/>
    <w:rsid w:val="00133366"/>
    <w:rsid w:val="00133572"/>
    <w:rsid w:val="00133671"/>
    <w:rsid w:val="001354A7"/>
    <w:rsid w:val="00135814"/>
    <w:rsid w:val="00135E1D"/>
    <w:rsid w:val="0013601F"/>
    <w:rsid w:val="001366D5"/>
    <w:rsid w:val="00136D7A"/>
    <w:rsid w:val="00141470"/>
    <w:rsid w:val="00141540"/>
    <w:rsid w:val="00141A21"/>
    <w:rsid w:val="00143139"/>
    <w:rsid w:val="00143A65"/>
    <w:rsid w:val="00143AD5"/>
    <w:rsid w:val="001445BE"/>
    <w:rsid w:val="001449DF"/>
    <w:rsid w:val="00144DE6"/>
    <w:rsid w:val="0014518A"/>
    <w:rsid w:val="0014569B"/>
    <w:rsid w:val="00150DD8"/>
    <w:rsid w:val="00151B7E"/>
    <w:rsid w:val="00151BA4"/>
    <w:rsid w:val="00151E9D"/>
    <w:rsid w:val="00152494"/>
    <w:rsid w:val="00152F3B"/>
    <w:rsid w:val="00153316"/>
    <w:rsid w:val="00156169"/>
    <w:rsid w:val="00156EEB"/>
    <w:rsid w:val="0015704C"/>
    <w:rsid w:val="001573AB"/>
    <w:rsid w:val="00157EFC"/>
    <w:rsid w:val="0016023C"/>
    <w:rsid w:val="001613E7"/>
    <w:rsid w:val="00161E59"/>
    <w:rsid w:val="00161E87"/>
    <w:rsid w:val="00162EDD"/>
    <w:rsid w:val="00163669"/>
    <w:rsid w:val="00163D6C"/>
    <w:rsid w:val="001641ED"/>
    <w:rsid w:val="0016566C"/>
    <w:rsid w:val="001662D2"/>
    <w:rsid w:val="00166781"/>
    <w:rsid w:val="0017265B"/>
    <w:rsid w:val="001727F0"/>
    <w:rsid w:val="00172B06"/>
    <w:rsid w:val="001752D8"/>
    <w:rsid w:val="00175931"/>
    <w:rsid w:val="00176613"/>
    <w:rsid w:val="00176B25"/>
    <w:rsid w:val="00176D2E"/>
    <w:rsid w:val="00180C9E"/>
    <w:rsid w:val="0018224D"/>
    <w:rsid w:val="0018238B"/>
    <w:rsid w:val="00183333"/>
    <w:rsid w:val="00183419"/>
    <w:rsid w:val="0018383B"/>
    <w:rsid w:val="0018394A"/>
    <w:rsid w:val="00186A9D"/>
    <w:rsid w:val="001874A6"/>
    <w:rsid w:val="0018765B"/>
    <w:rsid w:val="001877BE"/>
    <w:rsid w:val="00190913"/>
    <w:rsid w:val="00195597"/>
    <w:rsid w:val="00195C10"/>
    <w:rsid w:val="00195F65"/>
    <w:rsid w:val="00196A2A"/>
    <w:rsid w:val="00197CBF"/>
    <w:rsid w:val="001A07E2"/>
    <w:rsid w:val="001A1EEE"/>
    <w:rsid w:val="001A2018"/>
    <w:rsid w:val="001A273A"/>
    <w:rsid w:val="001A48E8"/>
    <w:rsid w:val="001A4BE5"/>
    <w:rsid w:val="001A5472"/>
    <w:rsid w:val="001A6E32"/>
    <w:rsid w:val="001A757B"/>
    <w:rsid w:val="001A7DB2"/>
    <w:rsid w:val="001B01C8"/>
    <w:rsid w:val="001B08E9"/>
    <w:rsid w:val="001B0DDB"/>
    <w:rsid w:val="001B13F6"/>
    <w:rsid w:val="001B1747"/>
    <w:rsid w:val="001B1B4E"/>
    <w:rsid w:val="001B2D44"/>
    <w:rsid w:val="001B3338"/>
    <w:rsid w:val="001B41DA"/>
    <w:rsid w:val="001B5270"/>
    <w:rsid w:val="001B5E56"/>
    <w:rsid w:val="001B752A"/>
    <w:rsid w:val="001C12E0"/>
    <w:rsid w:val="001C1D25"/>
    <w:rsid w:val="001C285E"/>
    <w:rsid w:val="001C3347"/>
    <w:rsid w:val="001C35E9"/>
    <w:rsid w:val="001C36BD"/>
    <w:rsid w:val="001C3733"/>
    <w:rsid w:val="001C4025"/>
    <w:rsid w:val="001C4C82"/>
    <w:rsid w:val="001C5B30"/>
    <w:rsid w:val="001C6502"/>
    <w:rsid w:val="001C6E07"/>
    <w:rsid w:val="001C7764"/>
    <w:rsid w:val="001C7986"/>
    <w:rsid w:val="001D0636"/>
    <w:rsid w:val="001D3C05"/>
    <w:rsid w:val="001D47C1"/>
    <w:rsid w:val="001D4E92"/>
    <w:rsid w:val="001D52E3"/>
    <w:rsid w:val="001D5C41"/>
    <w:rsid w:val="001D5E19"/>
    <w:rsid w:val="001D618F"/>
    <w:rsid w:val="001D6A28"/>
    <w:rsid w:val="001D6AF4"/>
    <w:rsid w:val="001D7BD7"/>
    <w:rsid w:val="001E0CC1"/>
    <w:rsid w:val="001E1CD5"/>
    <w:rsid w:val="001E3CC0"/>
    <w:rsid w:val="001E4326"/>
    <w:rsid w:val="001E4858"/>
    <w:rsid w:val="001E5C61"/>
    <w:rsid w:val="001E5CEF"/>
    <w:rsid w:val="001E6351"/>
    <w:rsid w:val="001E64BD"/>
    <w:rsid w:val="001E64D1"/>
    <w:rsid w:val="001E77C3"/>
    <w:rsid w:val="001E77F1"/>
    <w:rsid w:val="001F090B"/>
    <w:rsid w:val="001F143F"/>
    <w:rsid w:val="001F180A"/>
    <w:rsid w:val="001F1A28"/>
    <w:rsid w:val="001F2A11"/>
    <w:rsid w:val="001F35E8"/>
    <w:rsid w:val="001F38F9"/>
    <w:rsid w:val="001F4014"/>
    <w:rsid w:val="001F417D"/>
    <w:rsid w:val="001F445E"/>
    <w:rsid w:val="001F4968"/>
    <w:rsid w:val="0020024D"/>
    <w:rsid w:val="00200A45"/>
    <w:rsid w:val="00201213"/>
    <w:rsid w:val="00201323"/>
    <w:rsid w:val="00201387"/>
    <w:rsid w:val="0020165E"/>
    <w:rsid w:val="00202E50"/>
    <w:rsid w:val="00205180"/>
    <w:rsid w:val="002059AF"/>
    <w:rsid w:val="002059B4"/>
    <w:rsid w:val="00207640"/>
    <w:rsid w:val="00207F81"/>
    <w:rsid w:val="002109F4"/>
    <w:rsid w:val="00211B2E"/>
    <w:rsid w:val="00211FDA"/>
    <w:rsid w:val="0021388A"/>
    <w:rsid w:val="0021594D"/>
    <w:rsid w:val="002160C2"/>
    <w:rsid w:val="00217D6E"/>
    <w:rsid w:val="00221E92"/>
    <w:rsid w:val="00222BB9"/>
    <w:rsid w:val="002237FE"/>
    <w:rsid w:val="00224A5A"/>
    <w:rsid w:val="002258D6"/>
    <w:rsid w:val="00226B92"/>
    <w:rsid w:val="00226DFC"/>
    <w:rsid w:val="002274FB"/>
    <w:rsid w:val="00230178"/>
    <w:rsid w:val="002309D2"/>
    <w:rsid w:val="0023315B"/>
    <w:rsid w:val="00233F62"/>
    <w:rsid w:val="0023456F"/>
    <w:rsid w:val="002347FE"/>
    <w:rsid w:val="00235621"/>
    <w:rsid w:val="00235D08"/>
    <w:rsid w:val="00235DA3"/>
    <w:rsid w:val="0024178D"/>
    <w:rsid w:val="002418B6"/>
    <w:rsid w:val="00241B76"/>
    <w:rsid w:val="002421D4"/>
    <w:rsid w:val="00242378"/>
    <w:rsid w:val="00245374"/>
    <w:rsid w:val="00245DCF"/>
    <w:rsid w:val="00246138"/>
    <w:rsid w:val="00246C65"/>
    <w:rsid w:val="0025261B"/>
    <w:rsid w:val="00252FFB"/>
    <w:rsid w:val="00253017"/>
    <w:rsid w:val="002542A8"/>
    <w:rsid w:val="002557FB"/>
    <w:rsid w:val="00260A11"/>
    <w:rsid w:val="00260EC2"/>
    <w:rsid w:val="0026169A"/>
    <w:rsid w:val="002617E5"/>
    <w:rsid w:val="00261FE8"/>
    <w:rsid w:val="00262342"/>
    <w:rsid w:val="00262763"/>
    <w:rsid w:val="00263771"/>
    <w:rsid w:val="00264BEA"/>
    <w:rsid w:val="00264EC2"/>
    <w:rsid w:val="00267406"/>
    <w:rsid w:val="00271032"/>
    <w:rsid w:val="00273C1C"/>
    <w:rsid w:val="00273E3E"/>
    <w:rsid w:val="00274147"/>
    <w:rsid w:val="00274580"/>
    <w:rsid w:val="00275189"/>
    <w:rsid w:val="002756DC"/>
    <w:rsid w:val="00276437"/>
    <w:rsid w:val="002767B5"/>
    <w:rsid w:val="0028063F"/>
    <w:rsid w:val="00280740"/>
    <w:rsid w:val="0028282C"/>
    <w:rsid w:val="00283B02"/>
    <w:rsid w:val="00283C18"/>
    <w:rsid w:val="00283C5D"/>
    <w:rsid w:val="00283CD8"/>
    <w:rsid w:val="00283D5A"/>
    <w:rsid w:val="00284233"/>
    <w:rsid w:val="002844B0"/>
    <w:rsid w:val="00285586"/>
    <w:rsid w:val="00285CDF"/>
    <w:rsid w:val="00286322"/>
    <w:rsid w:val="002864BF"/>
    <w:rsid w:val="002869D1"/>
    <w:rsid w:val="00286EA5"/>
    <w:rsid w:val="00290C3B"/>
    <w:rsid w:val="0029122E"/>
    <w:rsid w:val="00291607"/>
    <w:rsid w:val="0029347B"/>
    <w:rsid w:val="00296C1F"/>
    <w:rsid w:val="002A0C34"/>
    <w:rsid w:val="002A102F"/>
    <w:rsid w:val="002A1B59"/>
    <w:rsid w:val="002A30A4"/>
    <w:rsid w:val="002A41E6"/>
    <w:rsid w:val="002A4694"/>
    <w:rsid w:val="002A5250"/>
    <w:rsid w:val="002A6EEA"/>
    <w:rsid w:val="002A7627"/>
    <w:rsid w:val="002A7C47"/>
    <w:rsid w:val="002A7CF3"/>
    <w:rsid w:val="002B0455"/>
    <w:rsid w:val="002B09DD"/>
    <w:rsid w:val="002B2BEE"/>
    <w:rsid w:val="002B2F76"/>
    <w:rsid w:val="002B31FB"/>
    <w:rsid w:val="002B35C5"/>
    <w:rsid w:val="002B3935"/>
    <w:rsid w:val="002B3A3F"/>
    <w:rsid w:val="002B406A"/>
    <w:rsid w:val="002B41D4"/>
    <w:rsid w:val="002B543F"/>
    <w:rsid w:val="002B586E"/>
    <w:rsid w:val="002B703E"/>
    <w:rsid w:val="002B7D73"/>
    <w:rsid w:val="002C06E3"/>
    <w:rsid w:val="002C0801"/>
    <w:rsid w:val="002C1466"/>
    <w:rsid w:val="002C1C6C"/>
    <w:rsid w:val="002C2794"/>
    <w:rsid w:val="002C33B3"/>
    <w:rsid w:val="002C3A9F"/>
    <w:rsid w:val="002C44B0"/>
    <w:rsid w:val="002C4E07"/>
    <w:rsid w:val="002C592D"/>
    <w:rsid w:val="002C676D"/>
    <w:rsid w:val="002C69DA"/>
    <w:rsid w:val="002C7331"/>
    <w:rsid w:val="002D043A"/>
    <w:rsid w:val="002D0586"/>
    <w:rsid w:val="002D1023"/>
    <w:rsid w:val="002D1459"/>
    <w:rsid w:val="002D1470"/>
    <w:rsid w:val="002D1F2D"/>
    <w:rsid w:val="002D21CF"/>
    <w:rsid w:val="002D4705"/>
    <w:rsid w:val="002D5B65"/>
    <w:rsid w:val="002D6396"/>
    <w:rsid w:val="002D7192"/>
    <w:rsid w:val="002D7E5E"/>
    <w:rsid w:val="002E07AC"/>
    <w:rsid w:val="002E07EF"/>
    <w:rsid w:val="002E0D06"/>
    <w:rsid w:val="002E2461"/>
    <w:rsid w:val="002E396A"/>
    <w:rsid w:val="002E4E94"/>
    <w:rsid w:val="002F1F28"/>
    <w:rsid w:val="002F2A6F"/>
    <w:rsid w:val="002F43CA"/>
    <w:rsid w:val="002F4A97"/>
    <w:rsid w:val="002F57AA"/>
    <w:rsid w:val="002F714C"/>
    <w:rsid w:val="002F77BF"/>
    <w:rsid w:val="003004A2"/>
    <w:rsid w:val="00302993"/>
    <w:rsid w:val="00303DD5"/>
    <w:rsid w:val="003046D6"/>
    <w:rsid w:val="00305236"/>
    <w:rsid w:val="003062F8"/>
    <w:rsid w:val="00310764"/>
    <w:rsid w:val="003108DD"/>
    <w:rsid w:val="00310D54"/>
    <w:rsid w:val="003123B6"/>
    <w:rsid w:val="003126A5"/>
    <w:rsid w:val="00313C19"/>
    <w:rsid w:val="003142BF"/>
    <w:rsid w:val="00314B0B"/>
    <w:rsid w:val="003160BA"/>
    <w:rsid w:val="00320203"/>
    <w:rsid w:val="0032120D"/>
    <w:rsid w:val="00321C95"/>
    <w:rsid w:val="00322002"/>
    <w:rsid w:val="00322499"/>
    <w:rsid w:val="00323890"/>
    <w:rsid w:val="00324129"/>
    <w:rsid w:val="003244FF"/>
    <w:rsid w:val="003247B0"/>
    <w:rsid w:val="00325E81"/>
    <w:rsid w:val="003265D6"/>
    <w:rsid w:val="003300BF"/>
    <w:rsid w:val="003317A4"/>
    <w:rsid w:val="00331D5E"/>
    <w:rsid w:val="0033246C"/>
    <w:rsid w:val="00332E57"/>
    <w:rsid w:val="0033486D"/>
    <w:rsid w:val="00335FE7"/>
    <w:rsid w:val="003367C4"/>
    <w:rsid w:val="00336D8E"/>
    <w:rsid w:val="003376B3"/>
    <w:rsid w:val="00341F90"/>
    <w:rsid w:val="00342AD6"/>
    <w:rsid w:val="00342CEA"/>
    <w:rsid w:val="00344E6C"/>
    <w:rsid w:val="00345EDE"/>
    <w:rsid w:val="0034772C"/>
    <w:rsid w:val="00347776"/>
    <w:rsid w:val="00351453"/>
    <w:rsid w:val="00351A91"/>
    <w:rsid w:val="00351D1D"/>
    <w:rsid w:val="00352051"/>
    <w:rsid w:val="003520C4"/>
    <w:rsid w:val="003533AE"/>
    <w:rsid w:val="00355E14"/>
    <w:rsid w:val="00355E31"/>
    <w:rsid w:val="003563B1"/>
    <w:rsid w:val="00361280"/>
    <w:rsid w:val="003615F1"/>
    <w:rsid w:val="00361A6E"/>
    <w:rsid w:val="00362983"/>
    <w:rsid w:val="00363BFC"/>
    <w:rsid w:val="00363D7F"/>
    <w:rsid w:val="00365C50"/>
    <w:rsid w:val="00365F2C"/>
    <w:rsid w:val="00367C66"/>
    <w:rsid w:val="00371773"/>
    <w:rsid w:val="0037233D"/>
    <w:rsid w:val="003728DD"/>
    <w:rsid w:val="003736EF"/>
    <w:rsid w:val="003737E3"/>
    <w:rsid w:val="003740B8"/>
    <w:rsid w:val="00374F4A"/>
    <w:rsid w:val="00375A18"/>
    <w:rsid w:val="00375E61"/>
    <w:rsid w:val="0038039C"/>
    <w:rsid w:val="00380D80"/>
    <w:rsid w:val="00381026"/>
    <w:rsid w:val="00381E38"/>
    <w:rsid w:val="00381E3D"/>
    <w:rsid w:val="0038278E"/>
    <w:rsid w:val="00382C06"/>
    <w:rsid w:val="00385A7E"/>
    <w:rsid w:val="00386C66"/>
    <w:rsid w:val="003906F8"/>
    <w:rsid w:val="00390EE2"/>
    <w:rsid w:val="003935EE"/>
    <w:rsid w:val="0039408A"/>
    <w:rsid w:val="00395E54"/>
    <w:rsid w:val="0039673D"/>
    <w:rsid w:val="00397893"/>
    <w:rsid w:val="003A11A4"/>
    <w:rsid w:val="003A2CF0"/>
    <w:rsid w:val="003A31F0"/>
    <w:rsid w:val="003A3359"/>
    <w:rsid w:val="003A33C4"/>
    <w:rsid w:val="003A33D3"/>
    <w:rsid w:val="003A3719"/>
    <w:rsid w:val="003A3880"/>
    <w:rsid w:val="003A5301"/>
    <w:rsid w:val="003A577F"/>
    <w:rsid w:val="003A5BC5"/>
    <w:rsid w:val="003A5D55"/>
    <w:rsid w:val="003A75E6"/>
    <w:rsid w:val="003B094B"/>
    <w:rsid w:val="003B2490"/>
    <w:rsid w:val="003B255B"/>
    <w:rsid w:val="003B3317"/>
    <w:rsid w:val="003B3FD7"/>
    <w:rsid w:val="003B52D4"/>
    <w:rsid w:val="003B5947"/>
    <w:rsid w:val="003B5AD5"/>
    <w:rsid w:val="003B774A"/>
    <w:rsid w:val="003C13DA"/>
    <w:rsid w:val="003C16E3"/>
    <w:rsid w:val="003C1CA5"/>
    <w:rsid w:val="003C1EC7"/>
    <w:rsid w:val="003C2E22"/>
    <w:rsid w:val="003C3BDE"/>
    <w:rsid w:val="003C64A0"/>
    <w:rsid w:val="003C6739"/>
    <w:rsid w:val="003C7BA3"/>
    <w:rsid w:val="003C7C94"/>
    <w:rsid w:val="003D01B8"/>
    <w:rsid w:val="003D21C8"/>
    <w:rsid w:val="003D2303"/>
    <w:rsid w:val="003D4015"/>
    <w:rsid w:val="003D4E43"/>
    <w:rsid w:val="003D4E9C"/>
    <w:rsid w:val="003D5012"/>
    <w:rsid w:val="003D7195"/>
    <w:rsid w:val="003E038E"/>
    <w:rsid w:val="003E0D78"/>
    <w:rsid w:val="003E3277"/>
    <w:rsid w:val="003E3A1D"/>
    <w:rsid w:val="003E6CA0"/>
    <w:rsid w:val="003F1D7E"/>
    <w:rsid w:val="003F2FDE"/>
    <w:rsid w:val="003F330B"/>
    <w:rsid w:val="003F5756"/>
    <w:rsid w:val="003F6FDF"/>
    <w:rsid w:val="004016F5"/>
    <w:rsid w:val="004045AA"/>
    <w:rsid w:val="00404A0D"/>
    <w:rsid w:val="00405229"/>
    <w:rsid w:val="00405CC9"/>
    <w:rsid w:val="00410E7D"/>
    <w:rsid w:val="00411CD9"/>
    <w:rsid w:val="004138DE"/>
    <w:rsid w:val="00414B2F"/>
    <w:rsid w:val="00415E58"/>
    <w:rsid w:val="00416231"/>
    <w:rsid w:val="004179C1"/>
    <w:rsid w:val="004208AB"/>
    <w:rsid w:val="004219EF"/>
    <w:rsid w:val="00426CD9"/>
    <w:rsid w:val="00430378"/>
    <w:rsid w:val="00430D85"/>
    <w:rsid w:val="00430FEB"/>
    <w:rsid w:val="004310EE"/>
    <w:rsid w:val="004312C1"/>
    <w:rsid w:val="00431982"/>
    <w:rsid w:val="00433677"/>
    <w:rsid w:val="00433DCE"/>
    <w:rsid w:val="004340D5"/>
    <w:rsid w:val="00434880"/>
    <w:rsid w:val="00434E23"/>
    <w:rsid w:val="004359A0"/>
    <w:rsid w:val="00435DDB"/>
    <w:rsid w:val="00436ACD"/>
    <w:rsid w:val="004406C1"/>
    <w:rsid w:val="004416A5"/>
    <w:rsid w:val="00442C1B"/>
    <w:rsid w:val="00443BB3"/>
    <w:rsid w:val="004446FD"/>
    <w:rsid w:val="004460E9"/>
    <w:rsid w:val="004468D8"/>
    <w:rsid w:val="00447B6F"/>
    <w:rsid w:val="00453638"/>
    <w:rsid w:val="00453991"/>
    <w:rsid w:val="00453C11"/>
    <w:rsid w:val="00454917"/>
    <w:rsid w:val="004557B0"/>
    <w:rsid w:val="00455E3F"/>
    <w:rsid w:val="00457946"/>
    <w:rsid w:val="00457BB9"/>
    <w:rsid w:val="00457D8B"/>
    <w:rsid w:val="00460A17"/>
    <w:rsid w:val="00460F01"/>
    <w:rsid w:val="00461712"/>
    <w:rsid w:val="004620A3"/>
    <w:rsid w:val="004647BC"/>
    <w:rsid w:val="004647F7"/>
    <w:rsid w:val="00464B3D"/>
    <w:rsid w:val="0046620C"/>
    <w:rsid w:val="00470CB5"/>
    <w:rsid w:val="0047137E"/>
    <w:rsid w:val="00471EAB"/>
    <w:rsid w:val="004723EE"/>
    <w:rsid w:val="00472BC0"/>
    <w:rsid w:val="0047451B"/>
    <w:rsid w:val="004747A4"/>
    <w:rsid w:val="00475A92"/>
    <w:rsid w:val="00477BB9"/>
    <w:rsid w:val="00477F97"/>
    <w:rsid w:val="00477FC7"/>
    <w:rsid w:val="0048284F"/>
    <w:rsid w:val="00483479"/>
    <w:rsid w:val="00484793"/>
    <w:rsid w:val="00485990"/>
    <w:rsid w:val="00486376"/>
    <w:rsid w:val="004867D5"/>
    <w:rsid w:val="00487366"/>
    <w:rsid w:val="004873E4"/>
    <w:rsid w:val="0049072C"/>
    <w:rsid w:val="00490FD1"/>
    <w:rsid w:val="0049122E"/>
    <w:rsid w:val="0049177A"/>
    <w:rsid w:val="00491AD2"/>
    <w:rsid w:val="004935C0"/>
    <w:rsid w:val="00493B43"/>
    <w:rsid w:val="00494576"/>
    <w:rsid w:val="00494DFA"/>
    <w:rsid w:val="00494EB1"/>
    <w:rsid w:val="00494F35"/>
    <w:rsid w:val="00496414"/>
    <w:rsid w:val="00497A38"/>
    <w:rsid w:val="00497F75"/>
    <w:rsid w:val="004A2056"/>
    <w:rsid w:val="004A2501"/>
    <w:rsid w:val="004A3815"/>
    <w:rsid w:val="004A45BD"/>
    <w:rsid w:val="004A4656"/>
    <w:rsid w:val="004A77B0"/>
    <w:rsid w:val="004B1CED"/>
    <w:rsid w:val="004B2119"/>
    <w:rsid w:val="004B2217"/>
    <w:rsid w:val="004B34A7"/>
    <w:rsid w:val="004B3B06"/>
    <w:rsid w:val="004B4643"/>
    <w:rsid w:val="004B4AD0"/>
    <w:rsid w:val="004B4AF6"/>
    <w:rsid w:val="004B7443"/>
    <w:rsid w:val="004B7F67"/>
    <w:rsid w:val="004C1783"/>
    <w:rsid w:val="004C1994"/>
    <w:rsid w:val="004C1ADF"/>
    <w:rsid w:val="004C21D8"/>
    <w:rsid w:val="004C742E"/>
    <w:rsid w:val="004D4080"/>
    <w:rsid w:val="004D41A2"/>
    <w:rsid w:val="004E05FD"/>
    <w:rsid w:val="004E1A0D"/>
    <w:rsid w:val="004E1A52"/>
    <w:rsid w:val="004E2180"/>
    <w:rsid w:val="004E23F5"/>
    <w:rsid w:val="004E63E5"/>
    <w:rsid w:val="004E65DB"/>
    <w:rsid w:val="004E6B76"/>
    <w:rsid w:val="004E7BF4"/>
    <w:rsid w:val="004F1F20"/>
    <w:rsid w:val="004F2BE3"/>
    <w:rsid w:val="004F3540"/>
    <w:rsid w:val="004F3AB1"/>
    <w:rsid w:val="004F5624"/>
    <w:rsid w:val="004F5DA4"/>
    <w:rsid w:val="004F62B2"/>
    <w:rsid w:val="004F6424"/>
    <w:rsid w:val="004F6D13"/>
    <w:rsid w:val="004F75A4"/>
    <w:rsid w:val="00500B3E"/>
    <w:rsid w:val="0050138C"/>
    <w:rsid w:val="00502015"/>
    <w:rsid w:val="005040CD"/>
    <w:rsid w:val="00505146"/>
    <w:rsid w:val="00505229"/>
    <w:rsid w:val="00505C2D"/>
    <w:rsid w:val="00505EDB"/>
    <w:rsid w:val="00506D18"/>
    <w:rsid w:val="00507300"/>
    <w:rsid w:val="005075E9"/>
    <w:rsid w:val="00507F98"/>
    <w:rsid w:val="005108A3"/>
    <w:rsid w:val="0051091F"/>
    <w:rsid w:val="00510F6E"/>
    <w:rsid w:val="005118AE"/>
    <w:rsid w:val="005129CE"/>
    <w:rsid w:val="00513768"/>
    <w:rsid w:val="005151DA"/>
    <w:rsid w:val="0051587A"/>
    <w:rsid w:val="005158FA"/>
    <w:rsid w:val="005165AB"/>
    <w:rsid w:val="005169AD"/>
    <w:rsid w:val="005208B9"/>
    <w:rsid w:val="005221F0"/>
    <w:rsid w:val="00524262"/>
    <w:rsid w:val="005245F6"/>
    <w:rsid w:val="00524807"/>
    <w:rsid w:val="00525361"/>
    <w:rsid w:val="00525FF9"/>
    <w:rsid w:val="00531D11"/>
    <w:rsid w:val="005321B2"/>
    <w:rsid w:val="00532AFD"/>
    <w:rsid w:val="00532BA7"/>
    <w:rsid w:val="00532D3F"/>
    <w:rsid w:val="0053383B"/>
    <w:rsid w:val="0053386D"/>
    <w:rsid w:val="005359D6"/>
    <w:rsid w:val="0053791F"/>
    <w:rsid w:val="005428CC"/>
    <w:rsid w:val="00543CBA"/>
    <w:rsid w:val="00547538"/>
    <w:rsid w:val="00553BFA"/>
    <w:rsid w:val="00553D8D"/>
    <w:rsid w:val="00554078"/>
    <w:rsid w:val="0055608E"/>
    <w:rsid w:val="005563A5"/>
    <w:rsid w:val="00557755"/>
    <w:rsid w:val="0056077E"/>
    <w:rsid w:val="00561E41"/>
    <w:rsid w:val="005629EE"/>
    <w:rsid w:val="005648FA"/>
    <w:rsid w:val="00564D50"/>
    <w:rsid w:val="00564F9C"/>
    <w:rsid w:val="005655B6"/>
    <w:rsid w:val="005666B4"/>
    <w:rsid w:val="00567346"/>
    <w:rsid w:val="00567728"/>
    <w:rsid w:val="00570F9C"/>
    <w:rsid w:val="0057371B"/>
    <w:rsid w:val="005737A1"/>
    <w:rsid w:val="005737B4"/>
    <w:rsid w:val="00573D65"/>
    <w:rsid w:val="00574616"/>
    <w:rsid w:val="0057573A"/>
    <w:rsid w:val="00575EB8"/>
    <w:rsid w:val="00576163"/>
    <w:rsid w:val="005810C6"/>
    <w:rsid w:val="00582A9B"/>
    <w:rsid w:val="005832AB"/>
    <w:rsid w:val="005840B5"/>
    <w:rsid w:val="0058437C"/>
    <w:rsid w:val="0058606E"/>
    <w:rsid w:val="00587706"/>
    <w:rsid w:val="005903E4"/>
    <w:rsid w:val="00590D88"/>
    <w:rsid w:val="005935F4"/>
    <w:rsid w:val="005943E9"/>
    <w:rsid w:val="005A1CFB"/>
    <w:rsid w:val="005A2769"/>
    <w:rsid w:val="005A2BA8"/>
    <w:rsid w:val="005A307D"/>
    <w:rsid w:val="005A346E"/>
    <w:rsid w:val="005A3E09"/>
    <w:rsid w:val="005A4105"/>
    <w:rsid w:val="005A73CF"/>
    <w:rsid w:val="005A7E9F"/>
    <w:rsid w:val="005B14D5"/>
    <w:rsid w:val="005B1EB0"/>
    <w:rsid w:val="005B409C"/>
    <w:rsid w:val="005B5981"/>
    <w:rsid w:val="005B5E29"/>
    <w:rsid w:val="005B7576"/>
    <w:rsid w:val="005B78F5"/>
    <w:rsid w:val="005B798B"/>
    <w:rsid w:val="005C1FAE"/>
    <w:rsid w:val="005C2162"/>
    <w:rsid w:val="005C35DC"/>
    <w:rsid w:val="005C39E8"/>
    <w:rsid w:val="005C5660"/>
    <w:rsid w:val="005C75A1"/>
    <w:rsid w:val="005C7731"/>
    <w:rsid w:val="005C7BFC"/>
    <w:rsid w:val="005C7F63"/>
    <w:rsid w:val="005D042A"/>
    <w:rsid w:val="005D078B"/>
    <w:rsid w:val="005D4B68"/>
    <w:rsid w:val="005D4EB3"/>
    <w:rsid w:val="005D570C"/>
    <w:rsid w:val="005D58C6"/>
    <w:rsid w:val="005D6290"/>
    <w:rsid w:val="005D70AE"/>
    <w:rsid w:val="005E11C1"/>
    <w:rsid w:val="005E2563"/>
    <w:rsid w:val="005E29C4"/>
    <w:rsid w:val="005E394C"/>
    <w:rsid w:val="005E42BF"/>
    <w:rsid w:val="005E4341"/>
    <w:rsid w:val="005E4E70"/>
    <w:rsid w:val="005E65BB"/>
    <w:rsid w:val="005F0DA0"/>
    <w:rsid w:val="005F4247"/>
    <w:rsid w:val="005F4914"/>
    <w:rsid w:val="005F6103"/>
    <w:rsid w:val="005F62B7"/>
    <w:rsid w:val="005F6869"/>
    <w:rsid w:val="005F6BB9"/>
    <w:rsid w:val="005F7CAD"/>
    <w:rsid w:val="005F7E35"/>
    <w:rsid w:val="006008A2"/>
    <w:rsid w:val="00602DAA"/>
    <w:rsid w:val="00603148"/>
    <w:rsid w:val="00605096"/>
    <w:rsid w:val="006057C8"/>
    <w:rsid w:val="006066C2"/>
    <w:rsid w:val="00606FC7"/>
    <w:rsid w:val="00610456"/>
    <w:rsid w:val="00610588"/>
    <w:rsid w:val="00611473"/>
    <w:rsid w:val="00611A4B"/>
    <w:rsid w:val="00611B36"/>
    <w:rsid w:val="00613A34"/>
    <w:rsid w:val="00614385"/>
    <w:rsid w:val="00615ADA"/>
    <w:rsid w:val="00615CC5"/>
    <w:rsid w:val="00617ACC"/>
    <w:rsid w:val="00620EF7"/>
    <w:rsid w:val="006221CD"/>
    <w:rsid w:val="006237D8"/>
    <w:rsid w:val="00625A7A"/>
    <w:rsid w:val="006266A9"/>
    <w:rsid w:val="00626B54"/>
    <w:rsid w:val="00627F3D"/>
    <w:rsid w:val="00630426"/>
    <w:rsid w:val="006316C1"/>
    <w:rsid w:val="00631ED4"/>
    <w:rsid w:val="00632221"/>
    <w:rsid w:val="00633BC7"/>
    <w:rsid w:val="00633E17"/>
    <w:rsid w:val="0063501F"/>
    <w:rsid w:val="00635E9C"/>
    <w:rsid w:val="00636A19"/>
    <w:rsid w:val="00637163"/>
    <w:rsid w:val="00637629"/>
    <w:rsid w:val="00637B41"/>
    <w:rsid w:val="006414EE"/>
    <w:rsid w:val="00641715"/>
    <w:rsid w:val="00641E9E"/>
    <w:rsid w:val="00642D0A"/>
    <w:rsid w:val="006433C4"/>
    <w:rsid w:val="006445C9"/>
    <w:rsid w:val="0064566B"/>
    <w:rsid w:val="00645BC8"/>
    <w:rsid w:val="00646130"/>
    <w:rsid w:val="00646DF5"/>
    <w:rsid w:val="00646FE1"/>
    <w:rsid w:val="006470ED"/>
    <w:rsid w:val="00647E20"/>
    <w:rsid w:val="00654B3C"/>
    <w:rsid w:val="00660727"/>
    <w:rsid w:val="00661140"/>
    <w:rsid w:val="006624D9"/>
    <w:rsid w:val="00664FB0"/>
    <w:rsid w:val="00667893"/>
    <w:rsid w:val="006710DD"/>
    <w:rsid w:val="006714D3"/>
    <w:rsid w:val="00672300"/>
    <w:rsid w:val="00673200"/>
    <w:rsid w:val="006732F9"/>
    <w:rsid w:val="006739D5"/>
    <w:rsid w:val="00674669"/>
    <w:rsid w:val="0067501E"/>
    <w:rsid w:val="00676EA9"/>
    <w:rsid w:val="006773D2"/>
    <w:rsid w:val="00677DEA"/>
    <w:rsid w:val="00681A41"/>
    <w:rsid w:val="006821B2"/>
    <w:rsid w:val="00682EC4"/>
    <w:rsid w:val="00683135"/>
    <w:rsid w:val="006838C0"/>
    <w:rsid w:val="00685901"/>
    <w:rsid w:val="00685BB9"/>
    <w:rsid w:val="00685D08"/>
    <w:rsid w:val="006867EF"/>
    <w:rsid w:val="00687766"/>
    <w:rsid w:val="00690127"/>
    <w:rsid w:val="0069051D"/>
    <w:rsid w:val="0069058F"/>
    <w:rsid w:val="00691BFF"/>
    <w:rsid w:val="0069268B"/>
    <w:rsid w:val="00695227"/>
    <w:rsid w:val="006953C1"/>
    <w:rsid w:val="006957A9"/>
    <w:rsid w:val="00695996"/>
    <w:rsid w:val="00696175"/>
    <w:rsid w:val="00696EB2"/>
    <w:rsid w:val="0069715A"/>
    <w:rsid w:val="006A16E9"/>
    <w:rsid w:val="006A18FE"/>
    <w:rsid w:val="006A2A26"/>
    <w:rsid w:val="006A37CE"/>
    <w:rsid w:val="006A5450"/>
    <w:rsid w:val="006A77A8"/>
    <w:rsid w:val="006B0199"/>
    <w:rsid w:val="006B0A32"/>
    <w:rsid w:val="006B0BD8"/>
    <w:rsid w:val="006B192B"/>
    <w:rsid w:val="006B1C14"/>
    <w:rsid w:val="006B22A3"/>
    <w:rsid w:val="006B285F"/>
    <w:rsid w:val="006B3279"/>
    <w:rsid w:val="006B43D2"/>
    <w:rsid w:val="006B4AAD"/>
    <w:rsid w:val="006B7CDB"/>
    <w:rsid w:val="006C0251"/>
    <w:rsid w:val="006C03E1"/>
    <w:rsid w:val="006C1619"/>
    <w:rsid w:val="006C260B"/>
    <w:rsid w:val="006C2B9A"/>
    <w:rsid w:val="006C38EA"/>
    <w:rsid w:val="006C39BB"/>
    <w:rsid w:val="006C41AB"/>
    <w:rsid w:val="006C4502"/>
    <w:rsid w:val="006C528D"/>
    <w:rsid w:val="006D159F"/>
    <w:rsid w:val="006D2F02"/>
    <w:rsid w:val="006D380E"/>
    <w:rsid w:val="006D5C8A"/>
    <w:rsid w:val="006D5E91"/>
    <w:rsid w:val="006D75DA"/>
    <w:rsid w:val="006E0897"/>
    <w:rsid w:val="006E0D7B"/>
    <w:rsid w:val="006E14E6"/>
    <w:rsid w:val="006E1AEE"/>
    <w:rsid w:val="006E1F6F"/>
    <w:rsid w:val="006E21AF"/>
    <w:rsid w:val="006E23AC"/>
    <w:rsid w:val="006E3B9C"/>
    <w:rsid w:val="006E51A2"/>
    <w:rsid w:val="006E5C41"/>
    <w:rsid w:val="006F0DE2"/>
    <w:rsid w:val="006F3495"/>
    <w:rsid w:val="006F417D"/>
    <w:rsid w:val="006F44E9"/>
    <w:rsid w:val="006F5C83"/>
    <w:rsid w:val="006F67CC"/>
    <w:rsid w:val="00700AB6"/>
    <w:rsid w:val="00701C2D"/>
    <w:rsid w:val="00702162"/>
    <w:rsid w:val="00702286"/>
    <w:rsid w:val="0070228E"/>
    <w:rsid w:val="00702B4C"/>
    <w:rsid w:val="00703930"/>
    <w:rsid w:val="00703946"/>
    <w:rsid w:val="00704070"/>
    <w:rsid w:val="007048E0"/>
    <w:rsid w:val="00705744"/>
    <w:rsid w:val="0070610E"/>
    <w:rsid w:val="00706FEA"/>
    <w:rsid w:val="00707759"/>
    <w:rsid w:val="00710081"/>
    <w:rsid w:val="00710B0D"/>
    <w:rsid w:val="007116D2"/>
    <w:rsid w:val="00713CB5"/>
    <w:rsid w:val="0071436F"/>
    <w:rsid w:val="007153E5"/>
    <w:rsid w:val="0071558B"/>
    <w:rsid w:val="00720437"/>
    <w:rsid w:val="00721189"/>
    <w:rsid w:val="007221C3"/>
    <w:rsid w:val="00722F2C"/>
    <w:rsid w:val="007253A4"/>
    <w:rsid w:val="007254D1"/>
    <w:rsid w:val="007257C8"/>
    <w:rsid w:val="00725B32"/>
    <w:rsid w:val="00725B3C"/>
    <w:rsid w:val="00725BC8"/>
    <w:rsid w:val="00725EE1"/>
    <w:rsid w:val="007264B0"/>
    <w:rsid w:val="00727753"/>
    <w:rsid w:val="00727A5D"/>
    <w:rsid w:val="00727D54"/>
    <w:rsid w:val="007303CC"/>
    <w:rsid w:val="00733D54"/>
    <w:rsid w:val="00736789"/>
    <w:rsid w:val="00736A4F"/>
    <w:rsid w:val="00736E76"/>
    <w:rsid w:val="00737620"/>
    <w:rsid w:val="00737753"/>
    <w:rsid w:val="00740CE9"/>
    <w:rsid w:val="007428E3"/>
    <w:rsid w:val="00743511"/>
    <w:rsid w:val="0074394E"/>
    <w:rsid w:val="007469B5"/>
    <w:rsid w:val="00746F17"/>
    <w:rsid w:val="007471D2"/>
    <w:rsid w:val="0075001E"/>
    <w:rsid w:val="00750ABC"/>
    <w:rsid w:val="00750D0A"/>
    <w:rsid w:val="00751863"/>
    <w:rsid w:val="00751D93"/>
    <w:rsid w:val="007520C3"/>
    <w:rsid w:val="00752300"/>
    <w:rsid w:val="00753AF5"/>
    <w:rsid w:val="00754667"/>
    <w:rsid w:val="007546F8"/>
    <w:rsid w:val="00755962"/>
    <w:rsid w:val="00755BAB"/>
    <w:rsid w:val="00757BA2"/>
    <w:rsid w:val="0076080E"/>
    <w:rsid w:val="007615E5"/>
    <w:rsid w:val="00761C1F"/>
    <w:rsid w:val="00763859"/>
    <w:rsid w:val="007639D2"/>
    <w:rsid w:val="00763C6F"/>
    <w:rsid w:val="0076411D"/>
    <w:rsid w:val="007643FB"/>
    <w:rsid w:val="00764641"/>
    <w:rsid w:val="007650F8"/>
    <w:rsid w:val="007658DE"/>
    <w:rsid w:val="007670F8"/>
    <w:rsid w:val="007671D4"/>
    <w:rsid w:val="00770A85"/>
    <w:rsid w:val="00772565"/>
    <w:rsid w:val="00772F2D"/>
    <w:rsid w:val="00773DC9"/>
    <w:rsid w:val="0077572E"/>
    <w:rsid w:val="0078031B"/>
    <w:rsid w:val="007818B7"/>
    <w:rsid w:val="00781C2C"/>
    <w:rsid w:val="00781EBC"/>
    <w:rsid w:val="007829BA"/>
    <w:rsid w:val="00783C4E"/>
    <w:rsid w:val="00784F44"/>
    <w:rsid w:val="00785025"/>
    <w:rsid w:val="00786672"/>
    <w:rsid w:val="00786A03"/>
    <w:rsid w:val="00786E80"/>
    <w:rsid w:val="007872CF"/>
    <w:rsid w:val="00787671"/>
    <w:rsid w:val="0079060A"/>
    <w:rsid w:val="007907CB"/>
    <w:rsid w:val="0079201C"/>
    <w:rsid w:val="00792495"/>
    <w:rsid w:val="0079307F"/>
    <w:rsid w:val="00793AA2"/>
    <w:rsid w:val="00793FBC"/>
    <w:rsid w:val="007947C4"/>
    <w:rsid w:val="00795CE1"/>
    <w:rsid w:val="007966EE"/>
    <w:rsid w:val="007A06AC"/>
    <w:rsid w:val="007A275F"/>
    <w:rsid w:val="007A2762"/>
    <w:rsid w:val="007A3180"/>
    <w:rsid w:val="007B1014"/>
    <w:rsid w:val="007B103F"/>
    <w:rsid w:val="007B10E0"/>
    <w:rsid w:val="007B1484"/>
    <w:rsid w:val="007B1999"/>
    <w:rsid w:val="007B1A10"/>
    <w:rsid w:val="007B3428"/>
    <w:rsid w:val="007B415F"/>
    <w:rsid w:val="007B492C"/>
    <w:rsid w:val="007B6659"/>
    <w:rsid w:val="007B6AEC"/>
    <w:rsid w:val="007B76AB"/>
    <w:rsid w:val="007B7DBD"/>
    <w:rsid w:val="007C0513"/>
    <w:rsid w:val="007C2800"/>
    <w:rsid w:val="007C45D3"/>
    <w:rsid w:val="007C597B"/>
    <w:rsid w:val="007C61CB"/>
    <w:rsid w:val="007C760C"/>
    <w:rsid w:val="007C7A86"/>
    <w:rsid w:val="007D08FD"/>
    <w:rsid w:val="007D0AD2"/>
    <w:rsid w:val="007D1584"/>
    <w:rsid w:val="007D19C6"/>
    <w:rsid w:val="007D1D6E"/>
    <w:rsid w:val="007D2044"/>
    <w:rsid w:val="007D2217"/>
    <w:rsid w:val="007D2D55"/>
    <w:rsid w:val="007D2F86"/>
    <w:rsid w:val="007D310E"/>
    <w:rsid w:val="007D440E"/>
    <w:rsid w:val="007D4F33"/>
    <w:rsid w:val="007D5060"/>
    <w:rsid w:val="007D65C7"/>
    <w:rsid w:val="007D74D2"/>
    <w:rsid w:val="007D74FE"/>
    <w:rsid w:val="007D79B5"/>
    <w:rsid w:val="007E06AE"/>
    <w:rsid w:val="007E09F0"/>
    <w:rsid w:val="007E0B99"/>
    <w:rsid w:val="007E108E"/>
    <w:rsid w:val="007E119C"/>
    <w:rsid w:val="007E2334"/>
    <w:rsid w:val="007E23CE"/>
    <w:rsid w:val="007E2A8D"/>
    <w:rsid w:val="007E2CE7"/>
    <w:rsid w:val="007E43D0"/>
    <w:rsid w:val="007E4791"/>
    <w:rsid w:val="007E4EA8"/>
    <w:rsid w:val="007E4FDA"/>
    <w:rsid w:val="007E54F8"/>
    <w:rsid w:val="007E567A"/>
    <w:rsid w:val="007E5987"/>
    <w:rsid w:val="007E5BD8"/>
    <w:rsid w:val="007E65C2"/>
    <w:rsid w:val="007E6601"/>
    <w:rsid w:val="007E7551"/>
    <w:rsid w:val="007E7BF9"/>
    <w:rsid w:val="007E7F0E"/>
    <w:rsid w:val="007F0212"/>
    <w:rsid w:val="007F02BC"/>
    <w:rsid w:val="007F18AF"/>
    <w:rsid w:val="007F18E6"/>
    <w:rsid w:val="007F1A40"/>
    <w:rsid w:val="007F1D17"/>
    <w:rsid w:val="007F235A"/>
    <w:rsid w:val="007F2E65"/>
    <w:rsid w:val="007F2F4B"/>
    <w:rsid w:val="007F3633"/>
    <w:rsid w:val="007F43BA"/>
    <w:rsid w:val="007F45D1"/>
    <w:rsid w:val="007F5752"/>
    <w:rsid w:val="007F6DC3"/>
    <w:rsid w:val="007F6FB9"/>
    <w:rsid w:val="008006B4"/>
    <w:rsid w:val="00801A3F"/>
    <w:rsid w:val="00803695"/>
    <w:rsid w:val="00803FD4"/>
    <w:rsid w:val="0080481C"/>
    <w:rsid w:val="0080494A"/>
    <w:rsid w:val="00804A38"/>
    <w:rsid w:val="00804C54"/>
    <w:rsid w:val="00804CDE"/>
    <w:rsid w:val="008056DD"/>
    <w:rsid w:val="0080656E"/>
    <w:rsid w:val="0081104C"/>
    <w:rsid w:val="008110EE"/>
    <w:rsid w:val="00811526"/>
    <w:rsid w:val="00811ADA"/>
    <w:rsid w:val="00811D2A"/>
    <w:rsid w:val="00812412"/>
    <w:rsid w:val="00812D16"/>
    <w:rsid w:val="00813417"/>
    <w:rsid w:val="0081352A"/>
    <w:rsid w:val="00817A54"/>
    <w:rsid w:val="00817A6B"/>
    <w:rsid w:val="00817C04"/>
    <w:rsid w:val="00817DDC"/>
    <w:rsid w:val="0082073A"/>
    <w:rsid w:val="00821865"/>
    <w:rsid w:val="00821E22"/>
    <w:rsid w:val="0082327D"/>
    <w:rsid w:val="0082433D"/>
    <w:rsid w:val="00826509"/>
    <w:rsid w:val="00831A25"/>
    <w:rsid w:val="0083354D"/>
    <w:rsid w:val="008339BF"/>
    <w:rsid w:val="0083561B"/>
    <w:rsid w:val="00835F47"/>
    <w:rsid w:val="0083685F"/>
    <w:rsid w:val="00836C13"/>
    <w:rsid w:val="008371F6"/>
    <w:rsid w:val="00837BAB"/>
    <w:rsid w:val="00837D78"/>
    <w:rsid w:val="00840D79"/>
    <w:rsid w:val="008422FC"/>
    <w:rsid w:val="00842A21"/>
    <w:rsid w:val="008431CC"/>
    <w:rsid w:val="008439BF"/>
    <w:rsid w:val="008450A5"/>
    <w:rsid w:val="00845DAD"/>
    <w:rsid w:val="00846F6F"/>
    <w:rsid w:val="00852AF4"/>
    <w:rsid w:val="00853C1D"/>
    <w:rsid w:val="00854206"/>
    <w:rsid w:val="008548E7"/>
    <w:rsid w:val="00854B2F"/>
    <w:rsid w:val="00856354"/>
    <w:rsid w:val="008568E1"/>
    <w:rsid w:val="008568F2"/>
    <w:rsid w:val="00856BE9"/>
    <w:rsid w:val="008578F8"/>
    <w:rsid w:val="00860566"/>
    <w:rsid w:val="00860B25"/>
    <w:rsid w:val="0086165C"/>
    <w:rsid w:val="00861B26"/>
    <w:rsid w:val="00862EED"/>
    <w:rsid w:val="00864311"/>
    <w:rsid w:val="008643FC"/>
    <w:rsid w:val="00864529"/>
    <w:rsid w:val="008649B9"/>
    <w:rsid w:val="0086784F"/>
    <w:rsid w:val="00867A15"/>
    <w:rsid w:val="00870394"/>
    <w:rsid w:val="0087073B"/>
    <w:rsid w:val="00870DFA"/>
    <w:rsid w:val="00872C5B"/>
    <w:rsid w:val="0087438D"/>
    <w:rsid w:val="00877004"/>
    <w:rsid w:val="008770D4"/>
    <w:rsid w:val="008770F3"/>
    <w:rsid w:val="00877750"/>
    <w:rsid w:val="0088127F"/>
    <w:rsid w:val="008815EF"/>
    <w:rsid w:val="00882304"/>
    <w:rsid w:val="00882FBD"/>
    <w:rsid w:val="00883028"/>
    <w:rsid w:val="0088499F"/>
    <w:rsid w:val="00885273"/>
    <w:rsid w:val="00885F2C"/>
    <w:rsid w:val="00886386"/>
    <w:rsid w:val="0088701C"/>
    <w:rsid w:val="00887BA4"/>
    <w:rsid w:val="00890748"/>
    <w:rsid w:val="0089174C"/>
    <w:rsid w:val="00892EB4"/>
    <w:rsid w:val="00893F16"/>
    <w:rsid w:val="0089499B"/>
    <w:rsid w:val="00894ACA"/>
    <w:rsid w:val="00894E87"/>
    <w:rsid w:val="00894EC5"/>
    <w:rsid w:val="00895039"/>
    <w:rsid w:val="008957AC"/>
    <w:rsid w:val="008967B5"/>
    <w:rsid w:val="008A03AC"/>
    <w:rsid w:val="008A186D"/>
    <w:rsid w:val="008A20BE"/>
    <w:rsid w:val="008A2B4E"/>
    <w:rsid w:val="008A2FEA"/>
    <w:rsid w:val="008A345A"/>
    <w:rsid w:val="008A3B3A"/>
    <w:rsid w:val="008A3BF2"/>
    <w:rsid w:val="008A3DB9"/>
    <w:rsid w:val="008A53A7"/>
    <w:rsid w:val="008A6890"/>
    <w:rsid w:val="008A6A5C"/>
    <w:rsid w:val="008A7316"/>
    <w:rsid w:val="008A751B"/>
    <w:rsid w:val="008B1028"/>
    <w:rsid w:val="008B500A"/>
    <w:rsid w:val="008B5444"/>
    <w:rsid w:val="008B5588"/>
    <w:rsid w:val="008C1434"/>
    <w:rsid w:val="008C1610"/>
    <w:rsid w:val="008C2F1E"/>
    <w:rsid w:val="008C30E5"/>
    <w:rsid w:val="008C3B5B"/>
    <w:rsid w:val="008C409F"/>
    <w:rsid w:val="008C4327"/>
    <w:rsid w:val="008C602D"/>
    <w:rsid w:val="008C60CD"/>
    <w:rsid w:val="008C6BCC"/>
    <w:rsid w:val="008D0407"/>
    <w:rsid w:val="008D098D"/>
    <w:rsid w:val="008D0C10"/>
    <w:rsid w:val="008D0C19"/>
    <w:rsid w:val="008D135A"/>
    <w:rsid w:val="008D1CE0"/>
    <w:rsid w:val="008D1D4C"/>
    <w:rsid w:val="008D2205"/>
    <w:rsid w:val="008D2331"/>
    <w:rsid w:val="008D2E9B"/>
    <w:rsid w:val="008D36CD"/>
    <w:rsid w:val="008D4380"/>
    <w:rsid w:val="008D48D1"/>
    <w:rsid w:val="008D4D9D"/>
    <w:rsid w:val="008D5B7E"/>
    <w:rsid w:val="008D7A59"/>
    <w:rsid w:val="008E2B94"/>
    <w:rsid w:val="008E3EDF"/>
    <w:rsid w:val="008E5728"/>
    <w:rsid w:val="008E6855"/>
    <w:rsid w:val="008E707C"/>
    <w:rsid w:val="008F2C49"/>
    <w:rsid w:val="008F2DD9"/>
    <w:rsid w:val="008F4FB0"/>
    <w:rsid w:val="008F769E"/>
    <w:rsid w:val="008F7CFF"/>
    <w:rsid w:val="008F7ED1"/>
    <w:rsid w:val="00901130"/>
    <w:rsid w:val="00901C8D"/>
    <w:rsid w:val="009027BC"/>
    <w:rsid w:val="00904A4D"/>
    <w:rsid w:val="00905BFB"/>
    <w:rsid w:val="00905D16"/>
    <w:rsid w:val="00905EE9"/>
    <w:rsid w:val="00906096"/>
    <w:rsid w:val="009060A7"/>
    <w:rsid w:val="009065F4"/>
    <w:rsid w:val="009075A7"/>
    <w:rsid w:val="009076AF"/>
    <w:rsid w:val="00910FBA"/>
    <w:rsid w:val="00911D39"/>
    <w:rsid w:val="00912B9F"/>
    <w:rsid w:val="0091380F"/>
    <w:rsid w:val="00915BAA"/>
    <w:rsid w:val="009172E2"/>
    <w:rsid w:val="00917C0F"/>
    <w:rsid w:val="00917D2A"/>
    <w:rsid w:val="00920276"/>
    <w:rsid w:val="0092040E"/>
    <w:rsid w:val="00920C6C"/>
    <w:rsid w:val="009214B4"/>
    <w:rsid w:val="00921986"/>
    <w:rsid w:val="009227D9"/>
    <w:rsid w:val="00923F98"/>
    <w:rsid w:val="00924E09"/>
    <w:rsid w:val="00924E0B"/>
    <w:rsid w:val="009253FC"/>
    <w:rsid w:val="00925D9E"/>
    <w:rsid w:val="00926832"/>
    <w:rsid w:val="00926DE4"/>
    <w:rsid w:val="009273A8"/>
    <w:rsid w:val="00927791"/>
    <w:rsid w:val="00930607"/>
    <w:rsid w:val="00930D0A"/>
    <w:rsid w:val="00931B8F"/>
    <w:rsid w:val="00932130"/>
    <w:rsid w:val="00932669"/>
    <w:rsid w:val="009329BA"/>
    <w:rsid w:val="0093304D"/>
    <w:rsid w:val="009335F3"/>
    <w:rsid w:val="00934053"/>
    <w:rsid w:val="009351E9"/>
    <w:rsid w:val="009356C6"/>
    <w:rsid w:val="009356D3"/>
    <w:rsid w:val="00936939"/>
    <w:rsid w:val="0094053B"/>
    <w:rsid w:val="00942040"/>
    <w:rsid w:val="00942C9F"/>
    <w:rsid w:val="00945631"/>
    <w:rsid w:val="0094677B"/>
    <w:rsid w:val="00947549"/>
    <w:rsid w:val="0094789F"/>
    <w:rsid w:val="00951BDD"/>
    <w:rsid w:val="00952520"/>
    <w:rsid w:val="00953C60"/>
    <w:rsid w:val="009549DA"/>
    <w:rsid w:val="00955DC8"/>
    <w:rsid w:val="00956EF5"/>
    <w:rsid w:val="009574A7"/>
    <w:rsid w:val="0095793C"/>
    <w:rsid w:val="0096111E"/>
    <w:rsid w:val="00961125"/>
    <w:rsid w:val="00961951"/>
    <w:rsid w:val="00961C09"/>
    <w:rsid w:val="00963BD1"/>
    <w:rsid w:val="00966B1F"/>
    <w:rsid w:val="00966EAC"/>
    <w:rsid w:val="0097092A"/>
    <w:rsid w:val="00970C06"/>
    <w:rsid w:val="00971362"/>
    <w:rsid w:val="00972803"/>
    <w:rsid w:val="00974518"/>
    <w:rsid w:val="00975B88"/>
    <w:rsid w:val="00980FE0"/>
    <w:rsid w:val="009810A1"/>
    <w:rsid w:val="00983A15"/>
    <w:rsid w:val="00983D7E"/>
    <w:rsid w:val="0099017F"/>
    <w:rsid w:val="009927BB"/>
    <w:rsid w:val="009928B7"/>
    <w:rsid w:val="00992E4E"/>
    <w:rsid w:val="0099321A"/>
    <w:rsid w:val="00995813"/>
    <w:rsid w:val="009960B7"/>
    <w:rsid w:val="00996381"/>
    <w:rsid w:val="00997986"/>
    <w:rsid w:val="009A09F6"/>
    <w:rsid w:val="009A1B3A"/>
    <w:rsid w:val="009A324E"/>
    <w:rsid w:val="009A3D53"/>
    <w:rsid w:val="009B39D3"/>
    <w:rsid w:val="009B4998"/>
    <w:rsid w:val="009B536C"/>
    <w:rsid w:val="009B58C6"/>
    <w:rsid w:val="009B6496"/>
    <w:rsid w:val="009B69D5"/>
    <w:rsid w:val="009C01DA"/>
    <w:rsid w:val="009C070E"/>
    <w:rsid w:val="009C141A"/>
    <w:rsid w:val="009C20CC"/>
    <w:rsid w:val="009C26BA"/>
    <w:rsid w:val="009C3558"/>
    <w:rsid w:val="009C562E"/>
    <w:rsid w:val="009C62DC"/>
    <w:rsid w:val="009C7531"/>
    <w:rsid w:val="009C7C59"/>
    <w:rsid w:val="009D0B4D"/>
    <w:rsid w:val="009D220C"/>
    <w:rsid w:val="009D221F"/>
    <w:rsid w:val="009D4436"/>
    <w:rsid w:val="009D53E0"/>
    <w:rsid w:val="009D59C3"/>
    <w:rsid w:val="009D5FB5"/>
    <w:rsid w:val="009E09F0"/>
    <w:rsid w:val="009E19E8"/>
    <w:rsid w:val="009E377C"/>
    <w:rsid w:val="009E41F1"/>
    <w:rsid w:val="009E458A"/>
    <w:rsid w:val="009E45D2"/>
    <w:rsid w:val="009E52A0"/>
    <w:rsid w:val="009E5DFC"/>
    <w:rsid w:val="009E7E60"/>
    <w:rsid w:val="009F1789"/>
    <w:rsid w:val="009F28F7"/>
    <w:rsid w:val="009F2BE9"/>
    <w:rsid w:val="009F326F"/>
    <w:rsid w:val="009F36D2"/>
    <w:rsid w:val="009F4123"/>
    <w:rsid w:val="009F4504"/>
    <w:rsid w:val="009F4E6D"/>
    <w:rsid w:val="009F502C"/>
    <w:rsid w:val="009F52E4"/>
    <w:rsid w:val="009F603B"/>
    <w:rsid w:val="009F6987"/>
    <w:rsid w:val="009F720F"/>
    <w:rsid w:val="009F7B49"/>
    <w:rsid w:val="009F7DE2"/>
    <w:rsid w:val="00A00CFB"/>
    <w:rsid w:val="00A010E7"/>
    <w:rsid w:val="00A01A17"/>
    <w:rsid w:val="00A01A60"/>
    <w:rsid w:val="00A01B08"/>
    <w:rsid w:val="00A029C1"/>
    <w:rsid w:val="00A02C07"/>
    <w:rsid w:val="00A0391D"/>
    <w:rsid w:val="00A04F67"/>
    <w:rsid w:val="00A0555F"/>
    <w:rsid w:val="00A058F3"/>
    <w:rsid w:val="00A05E2E"/>
    <w:rsid w:val="00A076F9"/>
    <w:rsid w:val="00A07997"/>
    <w:rsid w:val="00A07F87"/>
    <w:rsid w:val="00A10DE6"/>
    <w:rsid w:val="00A1164D"/>
    <w:rsid w:val="00A11B05"/>
    <w:rsid w:val="00A11DAB"/>
    <w:rsid w:val="00A12B81"/>
    <w:rsid w:val="00A15BFD"/>
    <w:rsid w:val="00A15F86"/>
    <w:rsid w:val="00A163F5"/>
    <w:rsid w:val="00A16FE5"/>
    <w:rsid w:val="00A17566"/>
    <w:rsid w:val="00A206ED"/>
    <w:rsid w:val="00A20806"/>
    <w:rsid w:val="00A20C7F"/>
    <w:rsid w:val="00A20C8D"/>
    <w:rsid w:val="00A212DF"/>
    <w:rsid w:val="00A21BD8"/>
    <w:rsid w:val="00A21FDA"/>
    <w:rsid w:val="00A22B1E"/>
    <w:rsid w:val="00A22DBA"/>
    <w:rsid w:val="00A25347"/>
    <w:rsid w:val="00A25992"/>
    <w:rsid w:val="00A25BFF"/>
    <w:rsid w:val="00A25CF5"/>
    <w:rsid w:val="00A27508"/>
    <w:rsid w:val="00A27522"/>
    <w:rsid w:val="00A2796E"/>
    <w:rsid w:val="00A311B2"/>
    <w:rsid w:val="00A31398"/>
    <w:rsid w:val="00A330C5"/>
    <w:rsid w:val="00A34D76"/>
    <w:rsid w:val="00A35989"/>
    <w:rsid w:val="00A365D0"/>
    <w:rsid w:val="00A3722C"/>
    <w:rsid w:val="00A37428"/>
    <w:rsid w:val="00A402B8"/>
    <w:rsid w:val="00A40B3F"/>
    <w:rsid w:val="00A40E5E"/>
    <w:rsid w:val="00A40ED0"/>
    <w:rsid w:val="00A40F89"/>
    <w:rsid w:val="00A42E4A"/>
    <w:rsid w:val="00A4360E"/>
    <w:rsid w:val="00A443A6"/>
    <w:rsid w:val="00A45A1A"/>
    <w:rsid w:val="00A46912"/>
    <w:rsid w:val="00A46DDC"/>
    <w:rsid w:val="00A47633"/>
    <w:rsid w:val="00A47F32"/>
    <w:rsid w:val="00A523FE"/>
    <w:rsid w:val="00A53220"/>
    <w:rsid w:val="00A538E6"/>
    <w:rsid w:val="00A53D36"/>
    <w:rsid w:val="00A540C1"/>
    <w:rsid w:val="00A56800"/>
    <w:rsid w:val="00A56D7E"/>
    <w:rsid w:val="00A5729F"/>
    <w:rsid w:val="00A57404"/>
    <w:rsid w:val="00A575BD"/>
    <w:rsid w:val="00A57AB2"/>
    <w:rsid w:val="00A606BC"/>
    <w:rsid w:val="00A60EEC"/>
    <w:rsid w:val="00A65BD9"/>
    <w:rsid w:val="00A65C1E"/>
    <w:rsid w:val="00A66718"/>
    <w:rsid w:val="00A7062C"/>
    <w:rsid w:val="00A70750"/>
    <w:rsid w:val="00A70B31"/>
    <w:rsid w:val="00A71382"/>
    <w:rsid w:val="00A72A72"/>
    <w:rsid w:val="00A73B63"/>
    <w:rsid w:val="00A759FE"/>
    <w:rsid w:val="00A75F0E"/>
    <w:rsid w:val="00A76D67"/>
    <w:rsid w:val="00A776B8"/>
    <w:rsid w:val="00A80DD3"/>
    <w:rsid w:val="00A81208"/>
    <w:rsid w:val="00A827A3"/>
    <w:rsid w:val="00A828A8"/>
    <w:rsid w:val="00A83629"/>
    <w:rsid w:val="00A85357"/>
    <w:rsid w:val="00A85451"/>
    <w:rsid w:val="00A86DEB"/>
    <w:rsid w:val="00A902DD"/>
    <w:rsid w:val="00A91617"/>
    <w:rsid w:val="00A920F9"/>
    <w:rsid w:val="00A93207"/>
    <w:rsid w:val="00A9432C"/>
    <w:rsid w:val="00A9482B"/>
    <w:rsid w:val="00A95230"/>
    <w:rsid w:val="00A96FA8"/>
    <w:rsid w:val="00A9770A"/>
    <w:rsid w:val="00A97A85"/>
    <w:rsid w:val="00AA0C95"/>
    <w:rsid w:val="00AA0DD3"/>
    <w:rsid w:val="00AA144F"/>
    <w:rsid w:val="00AA17E6"/>
    <w:rsid w:val="00AA1C07"/>
    <w:rsid w:val="00AA3688"/>
    <w:rsid w:val="00AA560B"/>
    <w:rsid w:val="00AA5887"/>
    <w:rsid w:val="00AA665A"/>
    <w:rsid w:val="00AA700D"/>
    <w:rsid w:val="00AA7213"/>
    <w:rsid w:val="00AB19F8"/>
    <w:rsid w:val="00AB2A61"/>
    <w:rsid w:val="00AB2DEC"/>
    <w:rsid w:val="00AB3A12"/>
    <w:rsid w:val="00AB3C41"/>
    <w:rsid w:val="00AB45DF"/>
    <w:rsid w:val="00AB5A8D"/>
    <w:rsid w:val="00AB5C95"/>
    <w:rsid w:val="00AB5FA4"/>
    <w:rsid w:val="00AB6642"/>
    <w:rsid w:val="00AB783E"/>
    <w:rsid w:val="00AC1EFF"/>
    <w:rsid w:val="00AC2EFE"/>
    <w:rsid w:val="00AC3930"/>
    <w:rsid w:val="00AC3AB1"/>
    <w:rsid w:val="00AC53FC"/>
    <w:rsid w:val="00AC5741"/>
    <w:rsid w:val="00AC5B5D"/>
    <w:rsid w:val="00AC615D"/>
    <w:rsid w:val="00AC68C6"/>
    <w:rsid w:val="00AC73D8"/>
    <w:rsid w:val="00AC75AA"/>
    <w:rsid w:val="00AC78C0"/>
    <w:rsid w:val="00AC79C1"/>
    <w:rsid w:val="00AC7CA4"/>
    <w:rsid w:val="00AD010E"/>
    <w:rsid w:val="00AD1F1E"/>
    <w:rsid w:val="00AD2B6E"/>
    <w:rsid w:val="00AD3592"/>
    <w:rsid w:val="00AD387A"/>
    <w:rsid w:val="00AD3BD0"/>
    <w:rsid w:val="00AD3C6E"/>
    <w:rsid w:val="00AD48F5"/>
    <w:rsid w:val="00AD4A64"/>
    <w:rsid w:val="00AD598F"/>
    <w:rsid w:val="00AD6D09"/>
    <w:rsid w:val="00AD72A5"/>
    <w:rsid w:val="00AD7B84"/>
    <w:rsid w:val="00AD7CE1"/>
    <w:rsid w:val="00AE0909"/>
    <w:rsid w:val="00AE098E"/>
    <w:rsid w:val="00AE0BBA"/>
    <w:rsid w:val="00AE2291"/>
    <w:rsid w:val="00AE25C8"/>
    <w:rsid w:val="00AE2AF2"/>
    <w:rsid w:val="00AE4113"/>
    <w:rsid w:val="00AE42BE"/>
    <w:rsid w:val="00AE4380"/>
    <w:rsid w:val="00AE52C0"/>
    <w:rsid w:val="00AE5525"/>
    <w:rsid w:val="00AE6381"/>
    <w:rsid w:val="00AE656F"/>
    <w:rsid w:val="00AE743A"/>
    <w:rsid w:val="00AE7D78"/>
    <w:rsid w:val="00AF0902"/>
    <w:rsid w:val="00AF438E"/>
    <w:rsid w:val="00AF45CA"/>
    <w:rsid w:val="00AF5037"/>
    <w:rsid w:val="00AF5CEE"/>
    <w:rsid w:val="00AF719C"/>
    <w:rsid w:val="00AF7506"/>
    <w:rsid w:val="00B0024C"/>
    <w:rsid w:val="00B007DD"/>
    <w:rsid w:val="00B0098A"/>
    <w:rsid w:val="00B01016"/>
    <w:rsid w:val="00B0146E"/>
    <w:rsid w:val="00B027CB"/>
    <w:rsid w:val="00B0352B"/>
    <w:rsid w:val="00B03A73"/>
    <w:rsid w:val="00B04E48"/>
    <w:rsid w:val="00B06321"/>
    <w:rsid w:val="00B06E63"/>
    <w:rsid w:val="00B074F8"/>
    <w:rsid w:val="00B12594"/>
    <w:rsid w:val="00B13088"/>
    <w:rsid w:val="00B145CD"/>
    <w:rsid w:val="00B161A7"/>
    <w:rsid w:val="00B1670B"/>
    <w:rsid w:val="00B16E7A"/>
    <w:rsid w:val="00B17FAB"/>
    <w:rsid w:val="00B2099F"/>
    <w:rsid w:val="00B22BE6"/>
    <w:rsid w:val="00B22C5F"/>
    <w:rsid w:val="00B232CE"/>
    <w:rsid w:val="00B23687"/>
    <w:rsid w:val="00B25710"/>
    <w:rsid w:val="00B26617"/>
    <w:rsid w:val="00B26A16"/>
    <w:rsid w:val="00B2724E"/>
    <w:rsid w:val="00B27B03"/>
    <w:rsid w:val="00B301B0"/>
    <w:rsid w:val="00B30DCD"/>
    <w:rsid w:val="00B311B8"/>
    <w:rsid w:val="00B31B62"/>
    <w:rsid w:val="00B31BBA"/>
    <w:rsid w:val="00B32171"/>
    <w:rsid w:val="00B33711"/>
    <w:rsid w:val="00B33DC3"/>
    <w:rsid w:val="00B3482A"/>
    <w:rsid w:val="00B34889"/>
    <w:rsid w:val="00B353AC"/>
    <w:rsid w:val="00B3652E"/>
    <w:rsid w:val="00B36588"/>
    <w:rsid w:val="00B3711B"/>
    <w:rsid w:val="00B37542"/>
    <w:rsid w:val="00B37550"/>
    <w:rsid w:val="00B402C6"/>
    <w:rsid w:val="00B4147F"/>
    <w:rsid w:val="00B41D90"/>
    <w:rsid w:val="00B41DC1"/>
    <w:rsid w:val="00B4243B"/>
    <w:rsid w:val="00B4262A"/>
    <w:rsid w:val="00B43058"/>
    <w:rsid w:val="00B46882"/>
    <w:rsid w:val="00B46EC7"/>
    <w:rsid w:val="00B47619"/>
    <w:rsid w:val="00B479E2"/>
    <w:rsid w:val="00B50A91"/>
    <w:rsid w:val="00B52022"/>
    <w:rsid w:val="00B52187"/>
    <w:rsid w:val="00B54691"/>
    <w:rsid w:val="00B56C32"/>
    <w:rsid w:val="00B5744E"/>
    <w:rsid w:val="00B60CCD"/>
    <w:rsid w:val="00B61C9B"/>
    <w:rsid w:val="00B6212D"/>
    <w:rsid w:val="00B62854"/>
    <w:rsid w:val="00B62EF1"/>
    <w:rsid w:val="00B640CC"/>
    <w:rsid w:val="00B645B6"/>
    <w:rsid w:val="00B64DAE"/>
    <w:rsid w:val="00B65A18"/>
    <w:rsid w:val="00B65AE0"/>
    <w:rsid w:val="00B667BF"/>
    <w:rsid w:val="00B672C6"/>
    <w:rsid w:val="00B6797D"/>
    <w:rsid w:val="00B67D20"/>
    <w:rsid w:val="00B735B8"/>
    <w:rsid w:val="00B73B5A"/>
    <w:rsid w:val="00B74858"/>
    <w:rsid w:val="00B752EB"/>
    <w:rsid w:val="00B768C9"/>
    <w:rsid w:val="00B7782D"/>
    <w:rsid w:val="00B77BE4"/>
    <w:rsid w:val="00B812BE"/>
    <w:rsid w:val="00B8137B"/>
    <w:rsid w:val="00B816FE"/>
    <w:rsid w:val="00B81D87"/>
    <w:rsid w:val="00B8325F"/>
    <w:rsid w:val="00B8590F"/>
    <w:rsid w:val="00B86608"/>
    <w:rsid w:val="00B87847"/>
    <w:rsid w:val="00B9016E"/>
    <w:rsid w:val="00B90477"/>
    <w:rsid w:val="00B92AA5"/>
    <w:rsid w:val="00B96744"/>
    <w:rsid w:val="00B97C63"/>
    <w:rsid w:val="00BA0940"/>
    <w:rsid w:val="00BA6419"/>
    <w:rsid w:val="00BA6550"/>
    <w:rsid w:val="00BB0EDC"/>
    <w:rsid w:val="00BB0F41"/>
    <w:rsid w:val="00BB1119"/>
    <w:rsid w:val="00BB2437"/>
    <w:rsid w:val="00BB2F21"/>
    <w:rsid w:val="00BB32A1"/>
    <w:rsid w:val="00BB3642"/>
    <w:rsid w:val="00BB3780"/>
    <w:rsid w:val="00BB4D1F"/>
    <w:rsid w:val="00BB66AB"/>
    <w:rsid w:val="00BC0AD6"/>
    <w:rsid w:val="00BC3584"/>
    <w:rsid w:val="00BC4673"/>
    <w:rsid w:val="00BC5479"/>
    <w:rsid w:val="00BC7844"/>
    <w:rsid w:val="00BD1484"/>
    <w:rsid w:val="00BD18E6"/>
    <w:rsid w:val="00BD20FF"/>
    <w:rsid w:val="00BD25F8"/>
    <w:rsid w:val="00BD5B0B"/>
    <w:rsid w:val="00BD7F92"/>
    <w:rsid w:val="00BE0AA9"/>
    <w:rsid w:val="00BE1905"/>
    <w:rsid w:val="00BE1CB6"/>
    <w:rsid w:val="00BE2A1F"/>
    <w:rsid w:val="00BE4ED6"/>
    <w:rsid w:val="00BE54F3"/>
    <w:rsid w:val="00BE5F67"/>
    <w:rsid w:val="00BE7768"/>
    <w:rsid w:val="00BE7920"/>
    <w:rsid w:val="00BE793B"/>
    <w:rsid w:val="00BF01E4"/>
    <w:rsid w:val="00BF12DD"/>
    <w:rsid w:val="00BF2CD1"/>
    <w:rsid w:val="00BF4796"/>
    <w:rsid w:val="00BF4B6A"/>
    <w:rsid w:val="00BF5135"/>
    <w:rsid w:val="00BF5819"/>
    <w:rsid w:val="00BF5FA5"/>
    <w:rsid w:val="00BF63BE"/>
    <w:rsid w:val="00C009F5"/>
    <w:rsid w:val="00C01129"/>
    <w:rsid w:val="00C02239"/>
    <w:rsid w:val="00C022E1"/>
    <w:rsid w:val="00C0398D"/>
    <w:rsid w:val="00C03FCD"/>
    <w:rsid w:val="00C0539F"/>
    <w:rsid w:val="00C07169"/>
    <w:rsid w:val="00C07B57"/>
    <w:rsid w:val="00C11E4C"/>
    <w:rsid w:val="00C123FB"/>
    <w:rsid w:val="00C14792"/>
    <w:rsid w:val="00C14954"/>
    <w:rsid w:val="00C16BEB"/>
    <w:rsid w:val="00C1743B"/>
    <w:rsid w:val="00C17D23"/>
    <w:rsid w:val="00C17DFC"/>
    <w:rsid w:val="00C20CA6"/>
    <w:rsid w:val="00C210E7"/>
    <w:rsid w:val="00C22337"/>
    <w:rsid w:val="00C23398"/>
    <w:rsid w:val="00C23786"/>
    <w:rsid w:val="00C23B23"/>
    <w:rsid w:val="00C26C22"/>
    <w:rsid w:val="00C27B03"/>
    <w:rsid w:val="00C27EB0"/>
    <w:rsid w:val="00C3089B"/>
    <w:rsid w:val="00C31CE6"/>
    <w:rsid w:val="00C336BA"/>
    <w:rsid w:val="00C337CB"/>
    <w:rsid w:val="00C34B40"/>
    <w:rsid w:val="00C35836"/>
    <w:rsid w:val="00C41CD3"/>
    <w:rsid w:val="00C41D29"/>
    <w:rsid w:val="00C42AB0"/>
    <w:rsid w:val="00C43438"/>
    <w:rsid w:val="00C43DF2"/>
    <w:rsid w:val="00C44264"/>
    <w:rsid w:val="00C451EC"/>
    <w:rsid w:val="00C45737"/>
    <w:rsid w:val="00C46251"/>
    <w:rsid w:val="00C4676C"/>
    <w:rsid w:val="00C4790F"/>
    <w:rsid w:val="00C47FC0"/>
    <w:rsid w:val="00C5072A"/>
    <w:rsid w:val="00C528CC"/>
    <w:rsid w:val="00C52CDD"/>
    <w:rsid w:val="00C53ABD"/>
    <w:rsid w:val="00C53AD3"/>
    <w:rsid w:val="00C53C94"/>
    <w:rsid w:val="00C544D5"/>
    <w:rsid w:val="00C54930"/>
    <w:rsid w:val="00C56E1B"/>
    <w:rsid w:val="00C57741"/>
    <w:rsid w:val="00C60B41"/>
    <w:rsid w:val="00C61DAA"/>
    <w:rsid w:val="00C6210E"/>
    <w:rsid w:val="00C62568"/>
    <w:rsid w:val="00C62614"/>
    <w:rsid w:val="00C62A2F"/>
    <w:rsid w:val="00C64143"/>
    <w:rsid w:val="00C6434D"/>
    <w:rsid w:val="00C647FB"/>
    <w:rsid w:val="00C652E5"/>
    <w:rsid w:val="00C659F1"/>
    <w:rsid w:val="00C66261"/>
    <w:rsid w:val="00C67446"/>
    <w:rsid w:val="00C6773A"/>
    <w:rsid w:val="00C7356B"/>
    <w:rsid w:val="00C73F17"/>
    <w:rsid w:val="00C7697F"/>
    <w:rsid w:val="00C8136C"/>
    <w:rsid w:val="00C82FFA"/>
    <w:rsid w:val="00C8324A"/>
    <w:rsid w:val="00C85521"/>
    <w:rsid w:val="00C863EE"/>
    <w:rsid w:val="00C879CA"/>
    <w:rsid w:val="00C9074E"/>
    <w:rsid w:val="00C9083B"/>
    <w:rsid w:val="00C91162"/>
    <w:rsid w:val="00C92646"/>
    <w:rsid w:val="00C9316A"/>
    <w:rsid w:val="00C9380B"/>
    <w:rsid w:val="00C93B1A"/>
    <w:rsid w:val="00C93B5E"/>
    <w:rsid w:val="00C93C1F"/>
    <w:rsid w:val="00C93FF3"/>
    <w:rsid w:val="00C9524B"/>
    <w:rsid w:val="00C95C77"/>
    <w:rsid w:val="00C95D8D"/>
    <w:rsid w:val="00C976CC"/>
    <w:rsid w:val="00CA1175"/>
    <w:rsid w:val="00CA1664"/>
    <w:rsid w:val="00CA24F2"/>
    <w:rsid w:val="00CA2883"/>
    <w:rsid w:val="00CA2AEF"/>
    <w:rsid w:val="00CA3349"/>
    <w:rsid w:val="00CA3C64"/>
    <w:rsid w:val="00CA5808"/>
    <w:rsid w:val="00CA5E26"/>
    <w:rsid w:val="00CA6136"/>
    <w:rsid w:val="00CA6BCC"/>
    <w:rsid w:val="00CA71DA"/>
    <w:rsid w:val="00CB5032"/>
    <w:rsid w:val="00CB5C65"/>
    <w:rsid w:val="00CB62AC"/>
    <w:rsid w:val="00CB63B9"/>
    <w:rsid w:val="00CB6A19"/>
    <w:rsid w:val="00CB77EA"/>
    <w:rsid w:val="00CB7DF6"/>
    <w:rsid w:val="00CC07D8"/>
    <w:rsid w:val="00CC303F"/>
    <w:rsid w:val="00CC3C96"/>
    <w:rsid w:val="00CC53B6"/>
    <w:rsid w:val="00CD077C"/>
    <w:rsid w:val="00CD1ACE"/>
    <w:rsid w:val="00CD342A"/>
    <w:rsid w:val="00CD3940"/>
    <w:rsid w:val="00CD3B1F"/>
    <w:rsid w:val="00CD4441"/>
    <w:rsid w:val="00CD4E32"/>
    <w:rsid w:val="00CD5240"/>
    <w:rsid w:val="00CD7357"/>
    <w:rsid w:val="00CD7E60"/>
    <w:rsid w:val="00CE0D3D"/>
    <w:rsid w:val="00CE21C7"/>
    <w:rsid w:val="00CE3267"/>
    <w:rsid w:val="00CE38DF"/>
    <w:rsid w:val="00CE3AE5"/>
    <w:rsid w:val="00CE5429"/>
    <w:rsid w:val="00CE6A0B"/>
    <w:rsid w:val="00CE6ABD"/>
    <w:rsid w:val="00CF0950"/>
    <w:rsid w:val="00CF3B07"/>
    <w:rsid w:val="00CF4C13"/>
    <w:rsid w:val="00CF4DC9"/>
    <w:rsid w:val="00CF4FEE"/>
    <w:rsid w:val="00CF625A"/>
    <w:rsid w:val="00CF6384"/>
    <w:rsid w:val="00CF6902"/>
    <w:rsid w:val="00CF7440"/>
    <w:rsid w:val="00CF7924"/>
    <w:rsid w:val="00CF7DB3"/>
    <w:rsid w:val="00D02798"/>
    <w:rsid w:val="00D035E2"/>
    <w:rsid w:val="00D06E88"/>
    <w:rsid w:val="00D0750E"/>
    <w:rsid w:val="00D11234"/>
    <w:rsid w:val="00D11F90"/>
    <w:rsid w:val="00D13527"/>
    <w:rsid w:val="00D15845"/>
    <w:rsid w:val="00D15963"/>
    <w:rsid w:val="00D15E4E"/>
    <w:rsid w:val="00D161AC"/>
    <w:rsid w:val="00D16873"/>
    <w:rsid w:val="00D174E6"/>
    <w:rsid w:val="00D17601"/>
    <w:rsid w:val="00D17DF2"/>
    <w:rsid w:val="00D2054F"/>
    <w:rsid w:val="00D20D6E"/>
    <w:rsid w:val="00D21300"/>
    <w:rsid w:val="00D230DC"/>
    <w:rsid w:val="00D24369"/>
    <w:rsid w:val="00D258B1"/>
    <w:rsid w:val="00D271D7"/>
    <w:rsid w:val="00D303E8"/>
    <w:rsid w:val="00D30BEC"/>
    <w:rsid w:val="00D31BA6"/>
    <w:rsid w:val="00D31EB9"/>
    <w:rsid w:val="00D33267"/>
    <w:rsid w:val="00D335E1"/>
    <w:rsid w:val="00D35063"/>
    <w:rsid w:val="00D35FEA"/>
    <w:rsid w:val="00D366E4"/>
    <w:rsid w:val="00D404BC"/>
    <w:rsid w:val="00D41369"/>
    <w:rsid w:val="00D419F2"/>
    <w:rsid w:val="00D423AC"/>
    <w:rsid w:val="00D44AEE"/>
    <w:rsid w:val="00D44BD0"/>
    <w:rsid w:val="00D44DC6"/>
    <w:rsid w:val="00D45098"/>
    <w:rsid w:val="00D47AE8"/>
    <w:rsid w:val="00D514E5"/>
    <w:rsid w:val="00D53195"/>
    <w:rsid w:val="00D5398B"/>
    <w:rsid w:val="00D539D5"/>
    <w:rsid w:val="00D544D5"/>
    <w:rsid w:val="00D5508E"/>
    <w:rsid w:val="00D602DE"/>
    <w:rsid w:val="00D6096A"/>
    <w:rsid w:val="00D60ABE"/>
    <w:rsid w:val="00D60CE5"/>
    <w:rsid w:val="00D60F90"/>
    <w:rsid w:val="00D615D3"/>
    <w:rsid w:val="00D61811"/>
    <w:rsid w:val="00D62055"/>
    <w:rsid w:val="00D63F9F"/>
    <w:rsid w:val="00D644EC"/>
    <w:rsid w:val="00D646D3"/>
    <w:rsid w:val="00D66264"/>
    <w:rsid w:val="00D662F2"/>
    <w:rsid w:val="00D665F1"/>
    <w:rsid w:val="00D66798"/>
    <w:rsid w:val="00D66EAD"/>
    <w:rsid w:val="00D6711E"/>
    <w:rsid w:val="00D678F5"/>
    <w:rsid w:val="00D67EF6"/>
    <w:rsid w:val="00D70919"/>
    <w:rsid w:val="00D73B08"/>
    <w:rsid w:val="00D7490D"/>
    <w:rsid w:val="00D74BE7"/>
    <w:rsid w:val="00D76ADD"/>
    <w:rsid w:val="00D77185"/>
    <w:rsid w:val="00D80127"/>
    <w:rsid w:val="00D805D1"/>
    <w:rsid w:val="00D80F94"/>
    <w:rsid w:val="00D8246F"/>
    <w:rsid w:val="00D82B07"/>
    <w:rsid w:val="00D82FD7"/>
    <w:rsid w:val="00D84FA6"/>
    <w:rsid w:val="00D85ECC"/>
    <w:rsid w:val="00D864C7"/>
    <w:rsid w:val="00D86552"/>
    <w:rsid w:val="00D86EB7"/>
    <w:rsid w:val="00D87712"/>
    <w:rsid w:val="00D913BD"/>
    <w:rsid w:val="00D92B5E"/>
    <w:rsid w:val="00D93388"/>
    <w:rsid w:val="00D9391D"/>
    <w:rsid w:val="00D93EF1"/>
    <w:rsid w:val="00D95457"/>
    <w:rsid w:val="00D96DAB"/>
    <w:rsid w:val="00D976E4"/>
    <w:rsid w:val="00D97A7B"/>
    <w:rsid w:val="00DA0D4C"/>
    <w:rsid w:val="00DA1259"/>
    <w:rsid w:val="00DA1AAD"/>
    <w:rsid w:val="00DA1BE8"/>
    <w:rsid w:val="00DA1E08"/>
    <w:rsid w:val="00DA2173"/>
    <w:rsid w:val="00DA26F9"/>
    <w:rsid w:val="00DA3606"/>
    <w:rsid w:val="00DA4A52"/>
    <w:rsid w:val="00DA4DCF"/>
    <w:rsid w:val="00DA4FBC"/>
    <w:rsid w:val="00DA5E6C"/>
    <w:rsid w:val="00DA7457"/>
    <w:rsid w:val="00DB055B"/>
    <w:rsid w:val="00DB282A"/>
    <w:rsid w:val="00DB2995"/>
    <w:rsid w:val="00DB2ED0"/>
    <w:rsid w:val="00DB31B7"/>
    <w:rsid w:val="00DB38F0"/>
    <w:rsid w:val="00DB3EE8"/>
    <w:rsid w:val="00DB4701"/>
    <w:rsid w:val="00DB4BAA"/>
    <w:rsid w:val="00DB54DB"/>
    <w:rsid w:val="00DB59C0"/>
    <w:rsid w:val="00DB7E46"/>
    <w:rsid w:val="00DB7F22"/>
    <w:rsid w:val="00DC0146"/>
    <w:rsid w:val="00DC03EE"/>
    <w:rsid w:val="00DC0B8D"/>
    <w:rsid w:val="00DC1BA1"/>
    <w:rsid w:val="00DC1C00"/>
    <w:rsid w:val="00DC2CD1"/>
    <w:rsid w:val="00DC326F"/>
    <w:rsid w:val="00DC3380"/>
    <w:rsid w:val="00DC33F9"/>
    <w:rsid w:val="00DC36B8"/>
    <w:rsid w:val="00DC3C74"/>
    <w:rsid w:val="00DC4007"/>
    <w:rsid w:val="00DC4138"/>
    <w:rsid w:val="00DC49A0"/>
    <w:rsid w:val="00DC4CAB"/>
    <w:rsid w:val="00DC53F2"/>
    <w:rsid w:val="00DC6B01"/>
    <w:rsid w:val="00DC702C"/>
    <w:rsid w:val="00DC7797"/>
    <w:rsid w:val="00DD078A"/>
    <w:rsid w:val="00DD1737"/>
    <w:rsid w:val="00DD1B0E"/>
    <w:rsid w:val="00DD34E1"/>
    <w:rsid w:val="00DD453A"/>
    <w:rsid w:val="00DD7667"/>
    <w:rsid w:val="00DD777C"/>
    <w:rsid w:val="00DE0299"/>
    <w:rsid w:val="00DE0CF3"/>
    <w:rsid w:val="00DE0D6C"/>
    <w:rsid w:val="00DE0D75"/>
    <w:rsid w:val="00DE19EB"/>
    <w:rsid w:val="00DE1F40"/>
    <w:rsid w:val="00DE2A7D"/>
    <w:rsid w:val="00DE5B0F"/>
    <w:rsid w:val="00DE68D0"/>
    <w:rsid w:val="00DE6B7A"/>
    <w:rsid w:val="00DE71FD"/>
    <w:rsid w:val="00DF2CB1"/>
    <w:rsid w:val="00DF33CF"/>
    <w:rsid w:val="00DF34C1"/>
    <w:rsid w:val="00DF3888"/>
    <w:rsid w:val="00DF38C0"/>
    <w:rsid w:val="00DF69D7"/>
    <w:rsid w:val="00DF69F9"/>
    <w:rsid w:val="00DF7BD5"/>
    <w:rsid w:val="00E00330"/>
    <w:rsid w:val="00E01662"/>
    <w:rsid w:val="00E01DA6"/>
    <w:rsid w:val="00E02B50"/>
    <w:rsid w:val="00E03CC9"/>
    <w:rsid w:val="00E04754"/>
    <w:rsid w:val="00E04B08"/>
    <w:rsid w:val="00E04B3F"/>
    <w:rsid w:val="00E04BB1"/>
    <w:rsid w:val="00E060C1"/>
    <w:rsid w:val="00E066E0"/>
    <w:rsid w:val="00E06B1E"/>
    <w:rsid w:val="00E07787"/>
    <w:rsid w:val="00E07C50"/>
    <w:rsid w:val="00E07F93"/>
    <w:rsid w:val="00E07FBC"/>
    <w:rsid w:val="00E10AAF"/>
    <w:rsid w:val="00E10CD0"/>
    <w:rsid w:val="00E115D0"/>
    <w:rsid w:val="00E1258C"/>
    <w:rsid w:val="00E136C4"/>
    <w:rsid w:val="00E147BF"/>
    <w:rsid w:val="00E147D5"/>
    <w:rsid w:val="00E14C0E"/>
    <w:rsid w:val="00E163E9"/>
    <w:rsid w:val="00E16642"/>
    <w:rsid w:val="00E16DEA"/>
    <w:rsid w:val="00E1787C"/>
    <w:rsid w:val="00E20624"/>
    <w:rsid w:val="00E21259"/>
    <w:rsid w:val="00E2249E"/>
    <w:rsid w:val="00E22B76"/>
    <w:rsid w:val="00E234F1"/>
    <w:rsid w:val="00E2423A"/>
    <w:rsid w:val="00E2431C"/>
    <w:rsid w:val="00E24762"/>
    <w:rsid w:val="00E259FB"/>
    <w:rsid w:val="00E25AF8"/>
    <w:rsid w:val="00E26C55"/>
    <w:rsid w:val="00E26F6C"/>
    <w:rsid w:val="00E27489"/>
    <w:rsid w:val="00E27EC3"/>
    <w:rsid w:val="00E320A0"/>
    <w:rsid w:val="00E326EA"/>
    <w:rsid w:val="00E3366D"/>
    <w:rsid w:val="00E34244"/>
    <w:rsid w:val="00E34CA3"/>
    <w:rsid w:val="00E37701"/>
    <w:rsid w:val="00E37DA6"/>
    <w:rsid w:val="00E37FE3"/>
    <w:rsid w:val="00E421C1"/>
    <w:rsid w:val="00E42B69"/>
    <w:rsid w:val="00E43AAA"/>
    <w:rsid w:val="00E44C62"/>
    <w:rsid w:val="00E44DB2"/>
    <w:rsid w:val="00E451AA"/>
    <w:rsid w:val="00E464A3"/>
    <w:rsid w:val="00E50C2D"/>
    <w:rsid w:val="00E52DD0"/>
    <w:rsid w:val="00E54B79"/>
    <w:rsid w:val="00E54EF2"/>
    <w:rsid w:val="00E55FD9"/>
    <w:rsid w:val="00E56A23"/>
    <w:rsid w:val="00E60DC5"/>
    <w:rsid w:val="00E61A93"/>
    <w:rsid w:val="00E6231F"/>
    <w:rsid w:val="00E63559"/>
    <w:rsid w:val="00E6651B"/>
    <w:rsid w:val="00E67180"/>
    <w:rsid w:val="00E676E2"/>
    <w:rsid w:val="00E709E5"/>
    <w:rsid w:val="00E72C02"/>
    <w:rsid w:val="00E74FA5"/>
    <w:rsid w:val="00E756A8"/>
    <w:rsid w:val="00E76032"/>
    <w:rsid w:val="00E768F2"/>
    <w:rsid w:val="00E77E9E"/>
    <w:rsid w:val="00E806EF"/>
    <w:rsid w:val="00E81DED"/>
    <w:rsid w:val="00E82316"/>
    <w:rsid w:val="00E825B3"/>
    <w:rsid w:val="00E849DE"/>
    <w:rsid w:val="00E85948"/>
    <w:rsid w:val="00E86536"/>
    <w:rsid w:val="00E87EE7"/>
    <w:rsid w:val="00E9167E"/>
    <w:rsid w:val="00E922A4"/>
    <w:rsid w:val="00E93F3F"/>
    <w:rsid w:val="00E94454"/>
    <w:rsid w:val="00E96EF7"/>
    <w:rsid w:val="00E97944"/>
    <w:rsid w:val="00EA05D9"/>
    <w:rsid w:val="00EA0C7F"/>
    <w:rsid w:val="00EA1104"/>
    <w:rsid w:val="00EA1846"/>
    <w:rsid w:val="00EA18E1"/>
    <w:rsid w:val="00EA19C6"/>
    <w:rsid w:val="00EA2070"/>
    <w:rsid w:val="00EA2A1C"/>
    <w:rsid w:val="00EA3B8C"/>
    <w:rsid w:val="00EA5172"/>
    <w:rsid w:val="00EA5257"/>
    <w:rsid w:val="00EA59B6"/>
    <w:rsid w:val="00EA6BFB"/>
    <w:rsid w:val="00EA7048"/>
    <w:rsid w:val="00EB0433"/>
    <w:rsid w:val="00EB0567"/>
    <w:rsid w:val="00EB1B8B"/>
    <w:rsid w:val="00EB28EE"/>
    <w:rsid w:val="00EB3C54"/>
    <w:rsid w:val="00EB406B"/>
    <w:rsid w:val="00EB45EF"/>
    <w:rsid w:val="00EB4951"/>
    <w:rsid w:val="00EB4A2B"/>
    <w:rsid w:val="00EC0204"/>
    <w:rsid w:val="00EC0653"/>
    <w:rsid w:val="00EC098E"/>
    <w:rsid w:val="00EC0BCB"/>
    <w:rsid w:val="00EC0BEC"/>
    <w:rsid w:val="00EC0E71"/>
    <w:rsid w:val="00EC221F"/>
    <w:rsid w:val="00EC27B6"/>
    <w:rsid w:val="00EC2F76"/>
    <w:rsid w:val="00EC3B7E"/>
    <w:rsid w:val="00EC636D"/>
    <w:rsid w:val="00EC68EE"/>
    <w:rsid w:val="00EC7624"/>
    <w:rsid w:val="00EC799E"/>
    <w:rsid w:val="00EC7EC8"/>
    <w:rsid w:val="00ED1123"/>
    <w:rsid w:val="00ED19F3"/>
    <w:rsid w:val="00ED281F"/>
    <w:rsid w:val="00ED3B04"/>
    <w:rsid w:val="00ED4000"/>
    <w:rsid w:val="00ED5047"/>
    <w:rsid w:val="00ED50F6"/>
    <w:rsid w:val="00ED613A"/>
    <w:rsid w:val="00ED6CFA"/>
    <w:rsid w:val="00ED6D53"/>
    <w:rsid w:val="00EE1855"/>
    <w:rsid w:val="00EE1B58"/>
    <w:rsid w:val="00EE2B68"/>
    <w:rsid w:val="00EE2D5E"/>
    <w:rsid w:val="00EE3F6C"/>
    <w:rsid w:val="00EE662F"/>
    <w:rsid w:val="00EE6D70"/>
    <w:rsid w:val="00EE74AE"/>
    <w:rsid w:val="00EF1386"/>
    <w:rsid w:val="00EF15C1"/>
    <w:rsid w:val="00EF2491"/>
    <w:rsid w:val="00EF256B"/>
    <w:rsid w:val="00EF360C"/>
    <w:rsid w:val="00EF4378"/>
    <w:rsid w:val="00EF5277"/>
    <w:rsid w:val="00EF52FB"/>
    <w:rsid w:val="00EF54CA"/>
    <w:rsid w:val="00EF5CAD"/>
    <w:rsid w:val="00EF611F"/>
    <w:rsid w:val="00EF6769"/>
    <w:rsid w:val="00EF67E8"/>
    <w:rsid w:val="00EF6886"/>
    <w:rsid w:val="00EF6A7E"/>
    <w:rsid w:val="00EF6E44"/>
    <w:rsid w:val="00EF71DF"/>
    <w:rsid w:val="00F033C7"/>
    <w:rsid w:val="00F06234"/>
    <w:rsid w:val="00F10137"/>
    <w:rsid w:val="00F1030E"/>
    <w:rsid w:val="00F10925"/>
    <w:rsid w:val="00F1168F"/>
    <w:rsid w:val="00F12F6C"/>
    <w:rsid w:val="00F12F7D"/>
    <w:rsid w:val="00F13DAE"/>
    <w:rsid w:val="00F14D61"/>
    <w:rsid w:val="00F155BC"/>
    <w:rsid w:val="00F157D8"/>
    <w:rsid w:val="00F16A1A"/>
    <w:rsid w:val="00F16B3D"/>
    <w:rsid w:val="00F172C9"/>
    <w:rsid w:val="00F177D2"/>
    <w:rsid w:val="00F17B06"/>
    <w:rsid w:val="00F201AD"/>
    <w:rsid w:val="00F2089C"/>
    <w:rsid w:val="00F20C6F"/>
    <w:rsid w:val="00F21481"/>
    <w:rsid w:val="00F222BB"/>
    <w:rsid w:val="00F231B7"/>
    <w:rsid w:val="00F2491A"/>
    <w:rsid w:val="00F24C6C"/>
    <w:rsid w:val="00F24EF6"/>
    <w:rsid w:val="00F254E4"/>
    <w:rsid w:val="00F279CC"/>
    <w:rsid w:val="00F27AE8"/>
    <w:rsid w:val="00F30044"/>
    <w:rsid w:val="00F33A14"/>
    <w:rsid w:val="00F34DC1"/>
    <w:rsid w:val="00F35D19"/>
    <w:rsid w:val="00F37007"/>
    <w:rsid w:val="00F3760A"/>
    <w:rsid w:val="00F41269"/>
    <w:rsid w:val="00F41319"/>
    <w:rsid w:val="00F43899"/>
    <w:rsid w:val="00F43C1E"/>
    <w:rsid w:val="00F43D4C"/>
    <w:rsid w:val="00F4492E"/>
    <w:rsid w:val="00F44B13"/>
    <w:rsid w:val="00F44FAB"/>
    <w:rsid w:val="00F4533B"/>
    <w:rsid w:val="00F45BE7"/>
    <w:rsid w:val="00F45C51"/>
    <w:rsid w:val="00F463D7"/>
    <w:rsid w:val="00F47F66"/>
    <w:rsid w:val="00F50163"/>
    <w:rsid w:val="00F5089B"/>
    <w:rsid w:val="00F508B4"/>
    <w:rsid w:val="00F510E2"/>
    <w:rsid w:val="00F515F1"/>
    <w:rsid w:val="00F5194B"/>
    <w:rsid w:val="00F51EC8"/>
    <w:rsid w:val="00F52269"/>
    <w:rsid w:val="00F52608"/>
    <w:rsid w:val="00F5273A"/>
    <w:rsid w:val="00F52D6B"/>
    <w:rsid w:val="00F5338C"/>
    <w:rsid w:val="00F546FB"/>
    <w:rsid w:val="00F55335"/>
    <w:rsid w:val="00F55E07"/>
    <w:rsid w:val="00F57007"/>
    <w:rsid w:val="00F57D1C"/>
    <w:rsid w:val="00F6086A"/>
    <w:rsid w:val="00F62824"/>
    <w:rsid w:val="00F62D7C"/>
    <w:rsid w:val="00F634C8"/>
    <w:rsid w:val="00F63D63"/>
    <w:rsid w:val="00F6535D"/>
    <w:rsid w:val="00F661D0"/>
    <w:rsid w:val="00F66D39"/>
    <w:rsid w:val="00F67155"/>
    <w:rsid w:val="00F7058F"/>
    <w:rsid w:val="00F70D21"/>
    <w:rsid w:val="00F70FEF"/>
    <w:rsid w:val="00F72BA1"/>
    <w:rsid w:val="00F72DFB"/>
    <w:rsid w:val="00F72EF8"/>
    <w:rsid w:val="00F7365E"/>
    <w:rsid w:val="00F73BCF"/>
    <w:rsid w:val="00F742C6"/>
    <w:rsid w:val="00F74F3A"/>
    <w:rsid w:val="00F75C02"/>
    <w:rsid w:val="00F775FA"/>
    <w:rsid w:val="00F77ECB"/>
    <w:rsid w:val="00F80184"/>
    <w:rsid w:val="00F8045C"/>
    <w:rsid w:val="00F81E47"/>
    <w:rsid w:val="00F824EF"/>
    <w:rsid w:val="00F83E91"/>
    <w:rsid w:val="00F83F18"/>
    <w:rsid w:val="00F858CB"/>
    <w:rsid w:val="00F85FED"/>
    <w:rsid w:val="00F86474"/>
    <w:rsid w:val="00F868B4"/>
    <w:rsid w:val="00F8730A"/>
    <w:rsid w:val="00F90601"/>
    <w:rsid w:val="00F961BB"/>
    <w:rsid w:val="00F96BC4"/>
    <w:rsid w:val="00F97406"/>
    <w:rsid w:val="00FA072C"/>
    <w:rsid w:val="00FA6479"/>
    <w:rsid w:val="00FA7F77"/>
    <w:rsid w:val="00FB0065"/>
    <w:rsid w:val="00FB08CE"/>
    <w:rsid w:val="00FB0B3C"/>
    <w:rsid w:val="00FB0FDA"/>
    <w:rsid w:val="00FB11BE"/>
    <w:rsid w:val="00FB120A"/>
    <w:rsid w:val="00FB1357"/>
    <w:rsid w:val="00FB13FA"/>
    <w:rsid w:val="00FB1B56"/>
    <w:rsid w:val="00FB4C6F"/>
    <w:rsid w:val="00FB5A5D"/>
    <w:rsid w:val="00FB6181"/>
    <w:rsid w:val="00FC04FC"/>
    <w:rsid w:val="00FC214D"/>
    <w:rsid w:val="00FC3AB0"/>
    <w:rsid w:val="00FC424A"/>
    <w:rsid w:val="00FC5E76"/>
    <w:rsid w:val="00FC69CF"/>
    <w:rsid w:val="00FC7214"/>
    <w:rsid w:val="00FC76B8"/>
    <w:rsid w:val="00FC7C13"/>
    <w:rsid w:val="00FD05D9"/>
    <w:rsid w:val="00FD0B70"/>
    <w:rsid w:val="00FD11B8"/>
    <w:rsid w:val="00FD1440"/>
    <w:rsid w:val="00FD1489"/>
    <w:rsid w:val="00FD2DA9"/>
    <w:rsid w:val="00FD34F4"/>
    <w:rsid w:val="00FD3E97"/>
    <w:rsid w:val="00FD48D3"/>
    <w:rsid w:val="00FD4AAC"/>
    <w:rsid w:val="00FD59F1"/>
    <w:rsid w:val="00FD6FE2"/>
    <w:rsid w:val="00FD7383"/>
    <w:rsid w:val="00FD74CB"/>
    <w:rsid w:val="00FD7543"/>
    <w:rsid w:val="00FD7BF5"/>
    <w:rsid w:val="00FE0DC0"/>
    <w:rsid w:val="00FE127A"/>
    <w:rsid w:val="00FE185C"/>
    <w:rsid w:val="00FE1FA2"/>
    <w:rsid w:val="00FE3C5F"/>
    <w:rsid w:val="00FE4705"/>
    <w:rsid w:val="00FE557C"/>
    <w:rsid w:val="00FE6D45"/>
    <w:rsid w:val="00FF019D"/>
    <w:rsid w:val="00FF075F"/>
    <w:rsid w:val="00FF0AEC"/>
    <w:rsid w:val="00FF0E99"/>
    <w:rsid w:val="00FF105E"/>
    <w:rsid w:val="00FF1857"/>
    <w:rsid w:val="00FF47A7"/>
    <w:rsid w:val="00FF4C3A"/>
    <w:rsid w:val="00FF521E"/>
    <w:rsid w:val="00FF6168"/>
    <w:rsid w:val="00FF62F4"/>
    <w:rsid w:val="00FF6519"/>
    <w:rsid w:val="00FF6DB6"/>
    <w:rsid w:val="00FF77F8"/>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0B702B02"/>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z w:val="22"/>
      <w:szCs w:val="22"/>
      <w:lang w:eastAsia="zh-CN"/>
    </w:rPr>
  </w:style>
  <w:style w:type="paragraph" w:styleId="Cmsor1">
    <w:name w:val="heading 1"/>
    <w:basedOn w:val="Norml"/>
    <w:next w:val="Norml"/>
    <w:link w:val="Cmsor1Char"/>
    <w:qFormat/>
    <w:pPr>
      <w:numPr>
        <w:numId w:val="3"/>
      </w:numPr>
      <w:tabs>
        <w:tab w:val="clear" w:pos="567"/>
      </w:tabs>
      <w:suppressAutoHyphens/>
      <w:spacing w:before="240" w:after="120"/>
      <w:outlineLvl w:val="0"/>
    </w:pPr>
    <w:rPr>
      <w:rFonts w:eastAsia="Times New Roman"/>
      <w:b/>
      <w:bCs/>
      <w:caps/>
      <w:sz w:val="26"/>
      <w:szCs w:val="26"/>
      <w:lang w:val="en-US"/>
    </w:rPr>
  </w:style>
  <w:style w:type="paragraph" w:styleId="Cmsor2">
    <w:name w:val="heading 2"/>
    <w:basedOn w:val="Norml"/>
    <w:next w:val="Norml"/>
    <w:link w:val="Cmsor2Char"/>
    <w:qFormat/>
    <w:pPr>
      <w:keepNext/>
      <w:numPr>
        <w:ilvl w:val="1"/>
        <w:numId w:val="3"/>
      </w:numPr>
      <w:tabs>
        <w:tab w:val="clear" w:pos="567"/>
      </w:tabs>
      <w:suppressAutoHyphens/>
      <w:spacing w:before="240" w:after="60"/>
      <w:outlineLvl w:val="1"/>
    </w:pPr>
    <w:rPr>
      <w:rFonts w:ascii="Helvetica" w:eastAsia="Times New Roman" w:hAnsi="Helvetica"/>
      <w:b/>
      <w:bCs/>
      <w:i/>
      <w:sz w:val="24"/>
      <w:szCs w:val="24"/>
      <w:lang w:val="hu-HU"/>
    </w:rPr>
  </w:style>
  <w:style w:type="paragraph" w:styleId="Cmsor3">
    <w:name w:val="heading 3"/>
    <w:basedOn w:val="Norml"/>
    <w:next w:val="Norml"/>
    <w:link w:val="Cmsor3Char"/>
    <w:qFormat/>
    <w:pPr>
      <w:keepNext/>
      <w:keepLines/>
      <w:numPr>
        <w:ilvl w:val="2"/>
        <w:numId w:val="3"/>
      </w:numPr>
      <w:tabs>
        <w:tab w:val="clear" w:pos="567"/>
      </w:tabs>
      <w:suppressAutoHyphens/>
      <w:spacing w:before="120" w:after="80"/>
      <w:outlineLvl w:val="2"/>
    </w:pPr>
    <w:rPr>
      <w:rFonts w:eastAsia="Times New Roman"/>
      <w:b/>
      <w:bCs/>
      <w:kern w:val="1"/>
      <w:sz w:val="24"/>
      <w:szCs w:val="24"/>
      <w:lang w:val="en-US"/>
    </w:rPr>
  </w:style>
  <w:style w:type="paragraph" w:styleId="Cmsor4">
    <w:name w:val="heading 4"/>
    <w:basedOn w:val="Norml"/>
    <w:next w:val="Norml"/>
    <w:link w:val="Cmsor4Char"/>
    <w:qFormat/>
    <w:pPr>
      <w:keepNext/>
      <w:numPr>
        <w:ilvl w:val="3"/>
        <w:numId w:val="3"/>
      </w:numPr>
      <w:tabs>
        <w:tab w:val="clear" w:pos="567"/>
      </w:tabs>
      <w:suppressAutoHyphens/>
      <w:jc w:val="both"/>
      <w:outlineLvl w:val="3"/>
    </w:pPr>
    <w:rPr>
      <w:rFonts w:eastAsia="Times New Roman"/>
      <w:b/>
      <w:bCs/>
    </w:rPr>
  </w:style>
  <w:style w:type="paragraph" w:styleId="Cmsor5">
    <w:name w:val="heading 5"/>
    <w:basedOn w:val="Norml"/>
    <w:next w:val="Norml"/>
    <w:link w:val="Cmsor5Char"/>
    <w:qFormat/>
    <w:pPr>
      <w:keepNext/>
      <w:numPr>
        <w:ilvl w:val="4"/>
        <w:numId w:val="3"/>
      </w:numPr>
      <w:tabs>
        <w:tab w:val="clear" w:pos="567"/>
      </w:tabs>
      <w:suppressAutoHyphens/>
      <w:jc w:val="both"/>
      <w:outlineLvl w:val="4"/>
    </w:pPr>
    <w:rPr>
      <w:rFonts w:eastAsia="Times New Roman"/>
    </w:rPr>
  </w:style>
  <w:style w:type="paragraph" w:styleId="Cmsor6">
    <w:name w:val="heading 6"/>
    <w:basedOn w:val="Norml"/>
    <w:next w:val="Norml"/>
    <w:link w:val="Cmsor6Char"/>
    <w:qFormat/>
    <w:pPr>
      <w:keepNext/>
      <w:numPr>
        <w:ilvl w:val="5"/>
        <w:numId w:val="3"/>
      </w:numPr>
      <w:tabs>
        <w:tab w:val="left" w:pos="4536"/>
      </w:tabs>
      <w:suppressAutoHyphens/>
      <w:outlineLvl w:val="5"/>
    </w:pPr>
    <w:rPr>
      <w:rFonts w:eastAsia="Times New Roman"/>
      <w:i/>
      <w:lang w:val="hu-HU"/>
    </w:rPr>
  </w:style>
  <w:style w:type="paragraph" w:styleId="Cmsor7">
    <w:name w:val="heading 7"/>
    <w:basedOn w:val="Norml"/>
    <w:next w:val="Norml"/>
    <w:link w:val="Cmsor7Char"/>
    <w:qFormat/>
    <w:pPr>
      <w:keepNext/>
      <w:numPr>
        <w:ilvl w:val="6"/>
        <w:numId w:val="3"/>
      </w:numPr>
      <w:tabs>
        <w:tab w:val="left" w:pos="4536"/>
      </w:tabs>
      <w:suppressAutoHyphens/>
      <w:jc w:val="both"/>
      <w:outlineLvl w:val="6"/>
    </w:pPr>
    <w:rPr>
      <w:rFonts w:eastAsia="Times New Roman"/>
      <w:i/>
      <w:lang w:val="hu-HU"/>
    </w:rPr>
  </w:style>
  <w:style w:type="paragraph" w:styleId="Cmsor8">
    <w:name w:val="heading 8"/>
    <w:basedOn w:val="Norml"/>
    <w:next w:val="Norml"/>
    <w:link w:val="Cmsor8Char"/>
    <w:qFormat/>
    <w:pPr>
      <w:keepNext/>
      <w:numPr>
        <w:ilvl w:val="7"/>
        <w:numId w:val="3"/>
      </w:numPr>
      <w:tabs>
        <w:tab w:val="clear" w:pos="567"/>
      </w:tabs>
      <w:suppressAutoHyphens/>
      <w:jc w:val="both"/>
      <w:outlineLvl w:val="7"/>
    </w:pPr>
    <w:rPr>
      <w:rFonts w:eastAsia="Times New Roman"/>
      <w:b/>
      <w:bCs/>
      <w:i/>
      <w:lang w:val="hu-HU"/>
    </w:rPr>
  </w:style>
  <w:style w:type="paragraph" w:styleId="Cmsor9">
    <w:name w:val="heading 9"/>
    <w:basedOn w:val="Norml"/>
    <w:next w:val="Norml"/>
    <w:link w:val="Cmsor9Char"/>
    <w:qFormat/>
    <w:pPr>
      <w:keepNext/>
      <w:numPr>
        <w:ilvl w:val="8"/>
        <w:numId w:val="3"/>
      </w:numPr>
      <w:tabs>
        <w:tab w:val="clear" w:pos="567"/>
      </w:tabs>
      <w:suppressAutoHyphens/>
      <w:jc w:val="both"/>
      <w:outlineLvl w:val="8"/>
    </w:pPr>
    <w:rPr>
      <w:rFonts w:eastAsia="Times New Roman"/>
      <w:b/>
      <w:bCs/>
      <w:i/>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szCs w:val="16"/>
      <w:lang w:val="en-US"/>
    </w:rPr>
  </w:style>
  <w:style w:type="character" w:customStyle="1" w:styleId="llbChar">
    <w:name w:val="Élőláb Char"/>
    <w:link w:val="llb"/>
    <w:rPr>
      <w:rFonts w:ascii="Arial" w:hAnsi="Arial"/>
      <w:noProof/>
      <w:sz w:val="16"/>
      <w:szCs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pPr>
      <w:spacing w:line="240" w:lineRule="auto"/>
    </w:pPr>
    <w:rPr>
      <w:rFonts w:ascii="Tahoma" w:hAnsi="Tahoma" w:cs="Tahoma"/>
      <w:sz w:val="16"/>
      <w:szCs w:val="16"/>
    </w:rPr>
  </w:style>
  <w:style w:type="character" w:customStyle="1" w:styleId="BuborkszvegChar">
    <w:name w:val="Buborékszöveg Char"/>
    <w:link w:val="Buborkszveg"/>
    <w:rPr>
      <w:rFonts w:ascii="Tahoma" w:hAnsi="Tahoma" w:cs="Tahoma"/>
      <w:sz w:val="16"/>
      <w:szCs w:val="16"/>
      <w:lang w:val="en-GB"/>
    </w:rPr>
  </w:style>
  <w:style w:type="paragraph" w:styleId="lfej">
    <w:name w:val="header"/>
    <w:basedOn w:val="Norml"/>
    <w:link w:val="lfejChar"/>
    <w:uiPriority w:val="99"/>
    <w:pPr>
      <w:tabs>
        <w:tab w:val="clear" w:pos="567"/>
        <w:tab w:val="center" w:pos="4320"/>
        <w:tab w:val="right" w:pos="8640"/>
      </w:tabs>
    </w:pPr>
  </w:style>
  <w:style w:type="character" w:styleId="Jegyzethivatkozs">
    <w:name w:val="annotation reference"/>
    <w:uiPriority w:val="99"/>
    <w:semiHidden/>
    <w:rPr>
      <w:sz w:val="16"/>
      <w:szCs w:val="16"/>
    </w:rPr>
  </w:style>
  <w:style w:type="paragraph" w:styleId="Jegyzetszveg">
    <w:name w:val="annotation text"/>
    <w:basedOn w:val="Norml"/>
    <w:semiHidden/>
    <w:rPr>
      <w:sz w:val="20"/>
      <w:szCs w:val="20"/>
    </w:rPr>
  </w:style>
  <w:style w:type="paragraph" w:styleId="Megjegyzstrgya">
    <w:name w:val="annotation subject"/>
    <w:basedOn w:val="Jegyzetszveg"/>
    <w:next w:val="Jegyzetszveg"/>
    <w:semiHidden/>
    <w:rPr>
      <w:b/>
      <w:bCs/>
    </w:rPr>
  </w:style>
  <w:style w:type="paragraph" w:customStyle="1" w:styleId="EMEAEnBodyText">
    <w:name w:val="EMEA En Body Text"/>
    <w:basedOn w:val="Norml"/>
    <w:pPr>
      <w:tabs>
        <w:tab w:val="clear" w:pos="567"/>
      </w:tabs>
      <w:spacing w:before="120" w:after="120" w:line="240" w:lineRule="auto"/>
      <w:jc w:val="both"/>
    </w:pPr>
    <w:rPr>
      <w:rFonts w:eastAsia="Times New Roman"/>
      <w:lang w:val="en-US" w:eastAsia="en-US"/>
    </w:rPr>
  </w:style>
  <w:style w:type="character" w:customStyle="1" w:styleId="Cmsor1Char">
    <w:name w:val="Címsor 1 Char"/>
    <w:link w:val="Cmsor1"/>
    <w:rPr>
      <w:rFonts w:eastAsia="Times New Roman"/>
      <w:b/>
      <w:bCs/>
      <w:caps/>
      <w:sz w:val="26"/>
      <w:szCs w:val="26"/>
    </w:rPr>
  </w:style>
  <w:style w:type="character" w:customStyle="1" w:styleId="Cmsor2Char">
    <w:name w:val="Címsor 2 Char"/>
    <w:link w:val="Cmsor2"/>
    <w:rPr>
      <w:rFonts w:ascii="Helvetica" w:eastAsia="Times New Roman" w:hAnsi="Helvetica"/>
      <w:b/>
      <w:bCs/>
      <w:i/>
      <w:sz w:val="24"/>
      <w:szCs w:val="24"/>
      <w:lang w:val="hu-HU"/>
    </w:rPr>
  </w:style>
  <w:style w:type="character" w:customStyle="1" w:styleId="Cmsor3Char">
    <w:name w:val="Címsor 3 Char"/>
    <w:link w:val="Cmsor3"/>
    <w:rPr>
      <w:rFonts w:eastAsia="Times New Roman"/>
      <w:b/>
      <w:bCs/>
      <w:kern w:val="1"/>
      <w:sz w:val="24"/>
      <w:szCs w:val="24"/>
    </w:rPr>
  </w:style>
  <w:style w:type="character" w:customStyle="1" w:styleId="Cmsor4Char">
    <w:name w:val="Címsor 4 Char"/>
    <w:link w:val="Cmsor4"/>
    <w:rPr>
      <w:rFonts w:eastAsia="Times New Roman"/>
      <w:b/>
      <w:bCs/>
      <w:sz w:val="22"/>
      <w:szCs w:val="22"/>
    </w:rPr>
  </w:style>
  <w:style w:type="character" w:customStyle="1" w:styleId="Cmsor5Char">
    <w:name w:val="Címsor 5 Char"/>
    <w:link w:val="Cmsor5"/>
    <w:rPr>
      <w:rFonts w:eastAsia="Times New Roman"/>
      <w:sz w:val="22"/>
      <w:szCs w:val="22"/>
    </w:rPr>
  </w:style>
  <w:style w:type="character" w:customStyle="1" w:styleId="Cmsor6Char">
    <w:name w:val="Címsor 6 Char"/>
    <w:link w:val="Cmsor6"/>
    <w:rPr>
      <w:rFonts w:eastAsia="Times New Roman"/>
      <w:i/>
      <w:sz w:val="22"/>
      <w:szCs w:val="22"/>
      <w:lang w:val="hu-HU"/>
    </w:rPr>
  </w:style>
  <w:style w:type="character" w:customStyle="1" w:styleId="Cmsor7Char">
    <w:name w:val="Címsor 7 Char"/>
    <w:link w:val="Cmsor7"/>
    <w:rPr>
      <w:rFonts w:eastAsia="Times New Roman"/>
      <w:i/>
      <w:sz w:val="22"/>
      <w:szCs w:val="22"/>
      <w:lang w:val="hu-HU"/>
    </w:rPr>
  </w:style>
  <w:style w:type="character" w:customStyle="1" w:styleId="Cmsor8Char">
    <w:name w:val="Címsor 8 Char"/>
    <w:link w:val="Cmsor8"/>
    <w:rPr>
      <w:rFonts w:eastAsia="Times New Roman"/>
      <w:b/>
      <w:bCs/>
      <w:i/>
      <w:sz w:val="22"/>
      <w:szCs w:val="22"/>
      <w:lang w:val="hu-HU"/>
    </w:rPr>
  </w:style>
  <w:style w:type="character" w:customStyle="1" w:styleId="Cmsor9Char">
    <w:name w:val="Címsor 9 Char"/>
    <w:link w:val="Cmsor9"/>
    <w:rPr>
      <w:rFonts w:eastAsia="Times New Roman"/>
      <w:b/>
      <w:bCs/>
      <w:i/>
      <w:sz w:val="22"/>
      <w:szCs w:val="22"/>
      <w:lang w:val="hu-HU"/>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rFonts w:eastAsia="Times New Roman"/>
      <w:b/>
      <w:bCs/>
      <w:i/>
      <w:lang w:val="hu-HU"/>
    </w:rPr>
  </w:style>
  <w:style w:type="character" w:customStyle="1" w:styleId="SzvegtrzsChar">
    <w:name w:val="Szövegtörzs Char"/>
    <w:link w:val="Szvegtrzs"/>
    <w:rPr>
      <w:rFonts w:eastAsia="Times New Roman"/>
      <w:b/>
      <w:bCs/>
      <w:i/>
      <w:sz w:val="22"/>
      <w:szCs w:val="22"/>
      <w:lang w:val="hu-HU"/>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rFonts w:eastAsia="Times New Roman"/>
      <w:b/>
      <w:bCs/>
      <w:color w:val="808080"/>
      <w:lang w:val="hu-HU"/>
    </w:rPr>
  </w:style>
  <w:style w:type="character" w:customStyle="1" w:styleId="SzvegtrzsbehzssalChar">
    <w:name w:val="Szövegtörzs behúzással Char"/>
    <w:link w:val="Szvegtrzsbehzssal"/>
    <w:rPr>
      <w:rFonts w:eastAsia="Times New Roman"/>
      <w:b/>
      <w:bCs/>
      <w:color w:val="808080"/>
      <w:sz w:val="22"/>
      <w:szCs w:val="22"/>
      <w:lang w:val="hu-HU"/>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z w:val="28"/>
      <w:szCs w:val="28"/>
      <w:lang w:val="hu-HU"/>
    </w:rPr>
  </w:style>
  <w:style w:type="paragraph" w:styleId="Lbjegyzetszveg">
    <w:name w:val="footnote text"/>
    <w:basedOn w:val="Norml"/>
    <w:link w:val="LbjegyzetszvegChar"/>
    <w:pPr>
      <w:tabs>
        <w:tab w:val="clear" w:pos="567"/>
      </w:tabs>
      <w:suppressAutoHyphens/>
    </w:pPr>
    <w:rPr>
      <w:rFonts w:eastAsia="Times New Roman"/>
      <w:sz w:val="20"/>
      <w:szCs w:val="20"/>
      <w:lang w:val="hu-HU"/>
    </w:rPr>
  </w:style>
  <w:style w:type="character" w:customStyle="1" w:styleId="LbjegyzetszvegChar">
    <w:name w:val="Lábjegyzetszöveg Char"/>
    <w:link w:val="Lbjegyzetszveg"/>
    <w:rPr>
      <w:rFonts w:eastAsia="Times New Roman"/>
      <w:lang w:val="hu-HU"/>
    </w:rPr>
  </w:style>
  <w:style w:type="paragraph" w:styleId="Vgjegyzetszvege">
    <w:name w:val="endnote text"/>
    <w:basedOn w:val="Norml"/>
    <w:next w:val="Norml"/>
    <w:link w:val="VgjegyzetszvegeChar"/>
    <w:pPr>
      <w:tabs>
        <w:tab w:val="clear" w:pos="567"/>
      </w:tabs>
      <w:suppressAutoHyphens/>
      <w:spacing w:line="260" w:lineRule="atLeast"/>
    </w:pPr>
    <w:rPr>
      <w:rFonts w:eastAsia="Times New Roman"/>
      <w:lang w:val="hu-HU"/>
    </w:rPr>
  </w:style>
  <w:style w:type="character" w:customStyle="1" w:styleId="VgjegyzetszvegeChar">
    <w:name w:val="Végjegyzet szövege Char"/>
    <w:link w:val="Vgjegyzetszvege"/>
    <w:rPr>
      <w:rFonts w:eastAsia="Times New Roman"/>
      <w:sz w:val="22"/>
      <w:szCs w:val="22"/>
      <w:lang w:val="hu-HU"/>
    </w:rPr>
  </w:style>
  <w:style w:type="paragraph" w:styleId="Szvegblokk">
    <w:name w:val="Block Text"/>
    <w:basedOn w:val="Norml"/>
    <w:pPr>
      <w:tabs>
        <w:tab w:val="clear" w:pos="567"/>
      </w:tabs>
      <w:suppressAutoHyphens/>
      <w:spacing w:line="260" w:lineRule="atLeast"/>
      <w:ind w:left="567" w:right="-2" w:hanging="567"/>
    </w:pPr>
    <w:rPr>
      <w:rFonts w:eastAsia="Times New Roman"/>
      <w:b/>
      <w:bCs/>
      <w:lang w:val="hu-HU"/>
    </w:rPr>
  </w:style>
  <w:style w:type="paragraph" w:customStyle="1" w:styleId="Buborkszveg1">
    <w:name w:val="Buborékszöveg1"/>
    <w:basedOn w:val="Norml"/>
    <w:semiHidden/>
    <w:pPr>
      <w:tabs>
        <w:tab w:val="clear" w:pos="567"/>
      </w:tabs>
      <w:suppressAutoHyphens/>
    </w:pPr>
    <w:rPr>
      <w:rFonts w:ascii="Tahoma" w:eastAsia="Times New Roman" w:hAnsi="Tahoma" w:cs="Tahoma"/>
      <w:sz w:val="16"/>
      <w:szCs w:val="16"/>
      <w:lang w:val="hu-HU"/>
    </w:rPr>
  </w:style>
  <w:style w:type="table" w:customStyle="1" w:styleId="TableGrid">
    <w:name w:val="TableGrid"/>
    <w:rPr>
      <w:rFonts w:ascii="Calibri" w:eastAsia="DengXian" w:hAnsi="Calibri"/>
      <w:sz w:val="22"/>
      <w:szCs w:val="22"/>
      <w:lang w:val="sl-SI" w:eastAsia="sl-SI"/>
    </w:rPr>
    <w:tblPr>
      <w:tblStyleRowBandSize w:val="1"/>
      <w:tblStyleColBandSize w:val="1"/>
      <w:tblCellMar>
        <w:top w:w="0" w:type="dxa"/>
        <w:left w:w="0" w:type="dxa"/>
        <w:bottom w:w="0" w:type="dxa"/>
        <w:right w:w="0" w:type="dxa"/>
      </w:tblCellMar>
    </w:tblPr>
  </w:style>
  <w:style w:type="paragraph" w:styleId="Listaszerbekezds">
    <w:name w:val="List Paragraph"/>
    <w:basedOn w:val="Norml"/>
    <w:uiPriority w:val="34"/>
    <w:qFormat/>
    <w:pPr>
      <w:ind w:left="720"/>
      <w:contextualSpacing/>
    </w:pPr>
  </w:style>
  <w:style w:type="table" w:customStyle="1" w:styleId="TableGrid1">
    <w:name w:val="TableGrid1"/>
    <w:rPr>
      <w:rFonts w:ascii="Calibri" w:eastAsia="DengXian" w:hAnsi="Calibri"/>
      <w:sz w:val="22"/>
      <w:szCs w:val="22"/>
      <w:lang w:val="en-US" w:eastAsia="en-US"/>
    </w:rPr>
    <w:tblPr>
      <w:tblStyleRowBandSize w:val="1"/>
      <w:tblStyleColBandSize w:val="1"/>
      <w:tblCellMar>
        <w:top w:w="0" w:type="dxa"/>
        <w:left w:w="0" w:type="dxa"/>
        <w:bottom w:w="0" w:type="dxa"/>
        <w:right w:w="0" w:type="dxa"/>
      </w:tblCellMar>
    </w:tblPr>
  </w:style>
  <w:style w:type="character" w:customStyle="1" w:styleId="lfejChar">
    <w:name w:val="Élőfej Char"/>
    <w:basedOn w:val="Bekezdsalapbettpusa"/>
    <w:link w:val="lfej"/>
    <w:uiPriority w:val="99"/>
    <w:rPr>
      <w:sz w:val="22"/>
      <w:szCs w:val="22"/>
      <w:lang w:eastAsia="zh-CN"/>
    </w:rPr>
  </w:style>
  <w:style w:type="paragraph" w:styleId="Nincstrkz">
    <w:name w:val="No Spacing"/>
    <w:uiPriority w:val="1"/>
    <w:qFormat/>
    <w:rPr>
      <w:rFonts w:eastAsia="Calibri"/>
      <w:sz w:val="22"/>
      <w:szCs w:val="22"/>
      <w:lang w:val="hu-HU" w:eastAsia="en-US"/>
    </w:rPr>
  </w:style>
  <w:style w:type="paragraph" w:styleId="Vltozat">
    <w:name w:val="Revision"/>
    <w:uiPriority w:val="99"/>
    <w:semiHidden/>
    <w:rPr>
      <w:sz w:val="22"/>
      <w:szCs w:val="22"/>
      <w:lang w:eastAsia="zh-CN"/>
    </w:rPr>
  </w:style>
  <w:style w:type="paragraph" w:styleId="NormlWeb">
    <w:name w:val="Normal (Web)"/>
    <w:basedOn w:val="Norml"/>
    <w:uiPriority w:val="99"/>
    <w:unhideWhenUsed/>
    <w:pPr>
      <w:tabs>
        <w:tab w:val="clear" w:pos="567"/>
      </w:tabs>
      <w:spacing w:before="100" w:beforeAutospacing="1" w:after="100" w:afterAutospacing="1" w:line="240" w:lineRule="auto"/>
    </w:pPr>
    <w:rPr>
      <w:rFonts w:ascii="Calibri" w:eastAsia="Calibri" w:hAnsi="Calibri" w:cs="Calibri"/>
      <w:lang w:val="hu-HU" w:eastAsia="hu-HU"/>
    </w:rPr>
  </w:style>
  <w:style w:type="character" w:styleId="Kiemels2">
    <w:name w:val="Strong"/>
    <w:uiPriority w:val="22"/>
    <w:qFormat/>
    <w:rPr>
      <w:b/>
      <w:bCs/>
    </w:rPr>
  </w:style>
  <w:style w:type="paragraph" w:customStyle="1" w:styleId="TableParagraph">
    <w:name w:val="Table Paragraph"/>
    <w:basedOn w:val="Norml"/>
    <w:uiPriority w:val="1"/>
    <w:qFormat/>
    <w:pPr>
      <w:widowControl w:val="0"/>
      <w:tabs>
        <w:tab w:val="clear" w:pos="567"/>
      </w:tabs>
      <w:autoSpaceDE w:val="0"/>
      <w:autoSpaceDN w:val="0"/>
      <w:spacing w:line="240" w:lineRule="auto"/>
    </w:pPr>
    <w:rPr>
      <w:rFonts w:eastAsia="DengXian"/>
      <w:sz w:val="24"/>
      <w:szCs w:val="24"/>
      <w:lang w:val="el-GR" w:eastAsia="el-GR"/>
    </w:rPr>
  </w:style>
  <w:style w:type="character" w:styleId="Lbjegyzet-hivatkozs">
    <w:name w:val="footnote reference"/>
    <w:basedOn w:val="Bekezdsalapbettpusa"/>
    <w:uiPriority w:val="99"/>
    <w:semiHidden/>
    <w:unhideWhenUsed/>
    <w:qFormat/>
    <w:rPr>
      <w:vertAlign w:val="superscript"/>
    </w:rPr>
  </w:style>
  <w:style w:type="character" w:styleId="Vgjegyzet-hivatkozs">
    <w:name w:val="endnote reference"/>
    <w:basedOn w:val="Bekezdsalapbettpusa"/>
    <w:uiPriority w:val="99"/>
    <w:semiHidden/>
    <w:unhideWhenUsed/>
    <w:qFormat/>
    <w:rPr>
      <w:vertAlign w:val="superscript"/>
    </w:rPr>
  </w:style>
  <w:style w:type="table" w:styleId="Rcsostblzat">
    <w:name w:val="Table Grid"/>
    <w:basedOn w:val="Normltblzat"/>
    <w:rsid w:val="007F18AF"/>
    <w:rPr>
      <w:rFonts w:eastAsia="Times New Roman"/>
      <w:lang w:val="en-US"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1999">
      <w:bodyDiv w:val="1"/>
      <w:marLeft w:val="0"/>
      <w:marRight w:val="0"/>
      <w:marTop w:val="0"/>
      <w:marBottom w:val="0"/>
      <w:divBdr>
        <w:top w:val="none" w:sz="0" w:space="0" w:color="auto"/>
        <w:left w:val="none" w:sz="0" w:space="0" w:color="auto"/>
        <w:bottom w:val="none" w:sz="0" w:space="0" w:color="auto"/>
        <w:right w:val="none" w:sz="0" w:space="0" w:color="auto"/>
      </w:divBdr>
    </w:div>
    <w:div w:id="498077514">
      <w:bodyDiv w:val="1"/>
      <w:marLeft w:val="0"/>
      <w:marRight w:val="0"/>
      <w:marTop w:val="0"/>
      <w:marBottom w:val="0"/>
      <w:divBdr>
        <w:top w:val="none" w:sz="0" w:space="0" w:color="auto"/>
        <w:left w:val="none" w:sz="0" w:space="0" w:color="auto"/>
        <w:bottom w:val="none" w:sz="0" w:space="0" w:color="auto"/>
        <w:right w:val="none" w:sz="0" w:space="0" w:color="auto"/>
      </w:divBdr>
    </w:div>
    <w:div w:id="644899668">
      <w:bodyDiv w:val="1"/>
      <w:marLeft w:val="0"/>
      <w:marRight w:val="0"/>
      <w:marTop w:val="0"/>
      <w:marBottom w:val="0"/>
      <w:divBdr>
        <w:top w:val="none" w:sz="0" w:space="0" w:color="auto"/>
        <w:left w:val="none" w:sz="0" w:space="0" w:color="auto"/>
        <w:bottom w:val="none" w:sz="0" w:space="0" w:color="auto"/>
        <w:right w:val="none" w:sz="0" w:space="0" w:color="auto"/>
      </w:divBdr>
      <w:divsChild>
        <w:div w:id="224872777">
          <w:marLeft w:val="0"/>
          <w:marRight w:val="0"/>
          <w:marTop w:val="0"/>
          <w:marBottom w:val="0"/>
          <w:divBdr>
            <w:top w:val="none" w:sz="0" w:space="0" w:color="auto"/>
            <w:left w:val="none" w:sz="0" w:space="0" w:color="auto"/>
            <w:bottom w:val="none" w:sz="0" w:space="0" w:color="auto"/>
            <w:right w:val="none" w:sz="0" w:space="0" w:color="auto"/>
          </w:divBdr>
          <w:divsChild>
            <w:div w:id="1537235865">
              <w:marLeft w:val="0"/>
              <w:marRight w:val="0"/>
              <w:marTop w:val="0"/>
              <w:marBottom w:val="0"/>
              <w:divBdr>
                <w:top w:val="none" w:sz="0" w:space="0" w:color="auto"/>
                <w:left w:val="none" w:sz="0" w:space="0" w:color="auto"/>
                <w:bottom w:val="none" w:sz="0" w:space="0" w:color="auto"/>
                <w:right w:val="none" w:sz="0" w:space="0" w:color="auto"/>
              </w:divBdr>
              <w:divsChild>
                <w:div w:id="73943391">
                  <w:marLeft w:val="0"/>
                  <w:marRight w:val="0"/>
                  <w:marTop w:val="0"/>
                  <w:marBottom w:val="0"/>
                  <w:divBdr>
                    <w:top w:val="none" w:sz="0" w:space="0" w:color="auto"/>
                    <w:left w:val="none" w:sz="0" w:space="0" w:color="auto"/>
                    <w:bottom w:val="none" w:sz="0" w:space="0" w:color="auto"/>
                    <w:right w:val="none" w:sz="0" w:space="0" w:color="auto"/>
                  </w:divBdr>
                  <w:divsChild>
                    <w:div w:id="260913249">
                      <w:marLeft w:val="0"/>
                      <w:marRight w:val="0"/>
                      <w:marTop w:val="0"/>
                      <w:marBottom w:val="0"/>
                      <w:divBdr>
                        <w:top w:val="none" w:sz="0" w:space="0" w:color="auto"/>
                        <w:left w:val="none" w:sz="0" w:space="0" w:color="auto"/>
                        <w:bottom w:val="none" w:sz="0" w:space="0" w:color="auto"/>
                        <w:right w:val="none" w:sz="0" w:space="0" w:color="auto"/>
                      </w:divBdr>
                      <w:divsChild>
                        <w:div w:id="1727607271">
                          <w:marLeft w:val="0"/>
                          <w:marRight w:val="0"/>
                          <w:marTop w:val="0"/>
                          <w:marBottom w:val="0"/>
                          <w:divBdr>
                            <w:top w:val="none" w:sz="0" w:space="0" w:color="auto"/>
                            <w:left w:val="none" w:sz="0" w:space="0" w:color="auto"/>
                            <w:bottom w:val="none" w:sz="0" w:space="0" w:color="auto"/>
                            <w:right w:val="none" w:sz="0" w:space="0" w:color="auto"/>
                          </w:divBdr>
                          <w:divsChild>
                            <w:div w:id="445973380">
                              <w:marLeft w:val="0"/>
                              <w:marRight w:val="0"/>
                              <w:marTop w:val="0"/>
                              <w:marBottom w:val="0"/>
                              <w:divBdr>
                                <w:top w:val="none" w:sz="0" w:space="0" w:color="auto"/>
                                <w:left w:val="none" w:sz="0" w:space="0" w:color="auto"/>
                                <w:bottom w:val="none" w:sz="0" w:space="0" w:color="auto"/>
                                <w:right w:val="none" w:sz="0" w:space="0" w:color="auto"/>
                              </w:divBdr>
                              <w:divsChild>
                                <w:div w:id="473060645">
                                  <w:marLeft w:val="0"/>
                                  <w:marRight w:val="0"/>
                                  <w:marTop w:val="0"/>
                                  <w:marBottom w:val="0"/>
                                  <w:divBdr>
                                    <w:top w:val="none" w:sz="0" w:space="0" w:color="auto"/>
                                    <w:left w:val="none" w:sz="0" w:space="0" w:color="auto"/>
                                    <w:bottom w:val="none" w:sz="0" w:space="0" w:color="auto"/>
                                    <w:right w:val="none" w:sz="0" w:space="0" w:color="auto"/>
                                  </w:divBdr>
                                  <w:divsChild>
                                    <w:div w:id="1944876930">
                                      <w:marLeft w:val="0"/>
                                      <w:marRight w:val="0"/>
                                      <w:marTop w:val="0"/>
                                      <w:marBottom w:val="0"/>
                                      <w:divBdr>
                                        <w:top w:val="none" w:sz="0" w:space="0" w:color="auto"/>
                                        <w:left w:val="none" w:sz="0" w:space="0" w:color="auto"/>
                                        <w:bottom w:val="none" w:sz="0" w:space="0" w:color="auto"/>
                                        <w:right w:val="none" w:sz="0" w:space="0" w:color="auto"/>
                                      </w:divBdr>
                                    </w:div>
                                    <w:div w:id="336154390">
                                      <w:marLeft w:val="0"/>
                                      <w:marRight w:val="0"/>
                                      <w:marTop w:val="0"/>
                                      <w:marBottom w:val="0"/>
                                      <w:divBdr>
                                        <w:top w:val="none" w:sz="0" w:space="0" w:color="auto"/>
                                        <w:left w:val="none" w:sz="0" w:space="0" w:color="auto"/>
                                        <w:bottom w:val="none" w:sz="0" w:space="0" w:color="auto"/>
                                        <w:right w:val="none" w:sz="0" w:space="0" w:color="auto"/>
                                      </w:divBdr>
                                      <w:divsChild>
                                        <w:div w:id="788013342">
                                          <w:marLeft w:val="0"/>
                                          <w:marRight w:val="165"/>
                                          <w:marTop w:val="150"/>
                                          <w:marBottom w:val="0"/>
                                          <w:divBdr>
                                            <w:top w:val="none" w:sz="0" w:space="0" w:color="auto"/>
                                            <w:left w:val="none" w:sz="0" w:space="0" w:color="auto"/>
                                            <w:bottom w:val="none" w:sz="0" w:space="0" w:color="auto"/>
                                            <w:right w:val="none" w:sz="0" w:space="0" w:color="auto"/>
                                          </w:divBdr>
                                          <w:divsChild>
                                            <w:div w:id="1128863680">
                                              <w:marLeft w:val="0"/>
                                              <w:marRight w:val="0"/>
                                              <w:marTop w:val="0"/>
                                              <w:marBottom w:val="0"/>
                                              <w:divBdr>
                                                <w:top w:val="none" w:sz="0" w:space="0" w:color="auto"/>
                                                <w:left w:val="none" w:sz="0" w:space="0" w:color="auto"/>
                                                <w:bottom w:val="none" w:sz="0" w:space="0" w:color="auto"/>
                                                <w:right w:val="none" w:sz="0" w:space="0" w:color="auto"/>
                                              </w:divBdr>
                                              <w:divsChild>
                                                <w:div w:id="172690544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3727679">
      <w:bodyDiv w:val="1"/>
      <w:marLeft w:val="0"/>
      <w:marRight w:val="0"/>
      <w:marTop w:val="0"/>
      <w:marBottom w:val="0"/>
      <w:divBdr>
        <w:top w:val="none" w:sz="0" w:space="0" w:color="auto"/>
        <w:left w:val="none" w:sz="0" w:space="0" w:color="auto"/>
        <w:bottom w:val="none" w:sz="0" w:space="0" w:color="auto"/>
        <w:right w:val="none" w:sz="0" w:space="0" w:color="auto"/>
      </w:divBdr>
    </w:div>
    <w:div w:id="801575276">
      <w:bodyDiv w:val="1"/>
      <w:marLeft w:val="0"/>
      <w:marRight w:val="0"/>
      <w:marTop w:val="0"/>
      <w:marBottom w:val="0"/>
      <w:divBdr>
        <w:top w:val="none" w:sz="0" w:space="0" w:color="auto"/>
        <w:left w:val="none" w:sz="0" w:space="0" w:color="auto"/>
        <w:bottom w:val="none" w:sz="0" w:space="0" w:color="auto"/>
        <w:right w:val="none" w:sz="0" w:space="0" w:color="auto"/>
      </w:divBdr>
    </w:div>
    <w:div w:id="1053777250">
      <w:bodyDiv w:val="1"/>
      <w:marLeft w:val="0"/>
      <w:marRight w:val="0"/>
      <w:marTop w:val="0"/>
      <w:marBottom w:val="0"/>
      <w:divBdr>
        <w:top w:val="none" w:sz="0" w:space="0" w:color="auto"/>
        <w:left w:val="none" w:sz="0" w:space="0" w:color="auto"/>
        <w:bottom w:val="none" w:sz="0" w:space="0" w:color="auto"/>
        <w:right w:val="none" w:sz="0" w:space="0" w:color="auto"/>
      </w:divBdr>
    </w:div>
    <w:div w:id="1177575318">
      <w:bodyDiv w:val="1"/>
      <w:marLeft w:val="0"/>
      <w:marRight w:val="0"/>
      <w:marTop w:val="0"/>
      <w:marBottom w:val="0"/>
      <w:divBdr>
        <w:top w:val="none" w:sz="0" w:space="0" w:color="auto"/>
        <w:left w:val="none" w:sz="0" w:space="0" w:color="auto"/>
        <w:bottom w:val="none" w:sz="0" w:space="0" w:color="auto"/>
        <w:right w:val="none" w:sz="0" w:space="0" w:color="auto"/>
      </w:divBdr>
      <w:divsChild>
        <w:div w:id="1257638617">
          <w:marLeft w:val="0"/>
          <w:marRight w:val="0"/>
          <w:marTop w:val="0"/>
          <w:marBottom w:val="0"/>
          <w:divBdr>
            <w:top w:val="none" w:sz="0" w:space="0" w:color="auto"/>
            <w:left w:val="none" w:sz="0" w:space="0" w:color="auto"/>
            <w:bottom w:val="none" w:sz="0" w:space="0" w:color="auto"/>
            <w:right w:val="none" w:sz="0" w:space="0" w:color="auto"/>
          </w:divBdr>
          <w:divsChild>
            <w:div w:id="1141997115">
              <w:marLeft w:val="0"/>
              <w:marRight w:val="0"/>
              <w:marTop w:val="0"/>
              <w:marBottom w:val="0"/>
              <w:divBdr>
                <w:top w:val="none" w:sz="0" w:space="0" w:color="auto"/>
                <w:left w:val="none" w:sz="0" w:space="0" w:color="auto"/>
                <w:bottom w:val="none" w:sz="0" w:space="0" w:color="auto"/>
                <w:right w:val="none" w:sz="0" w:space="0" w:color="auto"/>
              </w:divBdr>
              <w:divsChild>
                <w:div w:id="2093231723">
                  <w:marLeft w:val="0"/>
                  <w:marRight w:val="0"/>
                  <w:marTop w:val="0"/>
                  <w:marBottom w:val="0"/>
                  <w:divBdr>
                    <w:top w:val="none" w:sz="0" w:space="0" w:color="auto"/>
                    <w:left w:val="none" w:sz="0" w:space="0" w:color="auto"/>
                    <w:bottom w:val="none" w:sz="0" w:space="0" w:color="auto"/>
                    <w:right w:val="none" w:sz="0" w:space="0" w:color="auto"/>
                  </w:divBdr>
                  <w:divsChild>
                    <w:div w:id="1322462638">
                      <w:marLeft w:val="0"/>
                      <w:marRight w:val="0"/>
                      <w:marTop w:val="0"/>
                      <w:marBottom w:val="0"/>
                      <w:divBdr>
                        <w:top w:val="none" w:sz="0" w:space="0" w:color="auto"/>
                        <w:left w:val="none" w:sz="0" w:space="0" w:color="auto"/>
                        <w:bottom w:val="none" w:sz="0" w:space="0" w:color="auto"/>
                        <w:right w:val="none" w:sz="0" w:space="0" w:color="auto"/>
                      </w:divBdr>
                      <w:divsChild>
                        <w:div w:id="79371111">
                          <w:marLeft w:val="0"/>
                          <w:marRight w:val="0"/>
                          <w:marTop w:val="0"/>
                          <w:marBottom w:val="0"/>
                          <w:divBdr>
                            <w:top w:val="none" w:sz="0" w:space="0" w:color="auto"/>
                            <w:left w:val="none" w:sz="0" w:space="0" w:color="auto"/>
                            <w:bottom w:val="none" w:sz="0" w:space="0" w:color="auto"/>
                            <w:right w:val="none" w:sz="0" w:space="0" w:color="auto"/>
                          </w:divBdr>
                          <w:divsChild>
                            <w:div w:id="281688782">
                              <w:marLeft w:val="0"/>
                              <w:marRight w:val="0"/>
                              <w:marTop w:val="0"/>
                              <w:marBottom w:val="0"/>
                              <w:divBdr>
                                <w:top w:val="none" w:sz="0" w:space="0" w:color="auto"/>
                                <w:left w:val="none" w:sz="0" w:space="0" w:color="auto"/>
                                <w:bottom w:val="none" w:sz="0" w:space="0" w:color="auto"/>
                                <w:right w:val="none" w:sz="0" w:space="0" w:color="auto"/>
                              </w:divBdr>
                              <w:divsChild>
                                <w:div w:id="1720275087">
                                  <w:marLeft w:val="0"/>
                                  <w:marRight w:val="0"/>
                                  <w:marTop w:val="0"/>
                                  <w:marBottom w:val="0"/>
                                  <w:divBdr>
                                    <w:top w:val="none" w:sz="0" w:space="0" w:color="auto"/>
                                    <w:left w:val="none" w:sz="0" w:space="0" w:color="auto"/>
                                    <w:bottom w:val="none" w:sz="0" w:space="0" w:color="auto"/>
                                    <w:right w:val="none" w:sz="0" w:space="0" w:color="auto"/>
                                  </w:divBdr>
                                  <w:divsChild>
                                    <w:div w:id="128013845">
                                      <w:marLeft w:val="0"/>
                                      <w:marRight w:val="0"/>
                                      <w:marTop w:val="0"/>
                                      <w:marBottom w:val="0"/>
                                      <w:divBdr>
                                        <w:top w:val="none" w:sz="0" w:space="0" w:color="auto"/>
                                        <w:left w:val="none" w:sz="0" w:space="0" w:color="auto"/>
                                        <w:bottom w:val="none" w:sz="0" w:space="0" w:color="auto"/>
                                        <w:right w:val="none" w:sz="0" w:space="0" w:color="auto"/>
                                      </w:divBdr>
                                    </w:div>
                                    <w:div w:id="816189791">
                                      <w:marLeft w:val="0"/>
                                      <w:marRight w:val="0"/>
                                      <w:marTop w:val="0"/>
                                      <w:marBottom w:val="0"/>
                                      <w:divBdr>
                                        <w:top w:val="none" w:sz="0" w:space="0" w:color="auto"/>
                                        <w:left w:val="none" w:sz="0" w:space="0" w:color="auto"/>
                                        <w:bottom w:val="none" w:sz="0" w:space="0" w:color="auto"/>
                                        <w:right w:val="none" w:sz="0" w:space="0" w:color="auto"/>
                                      </w:divBdr>
                                      <w:divsChild>
                                        <w:div w:id="1653607152">
                                          <w:marLeft w:val="0"/>
                                          <w:marRight w:val="165"/>
                                          <w:marTop w:val="150"/>
                                          <w:marBottom w:val="0"/>
                                          <w:divBdr>
                                            <w:top w:val="none" w:sz="0" w:space="0" w:color="auto"/>
                                            <w:left w:val="none" w:sz="0" w:space="0" w:color="auto"/>
                                            <w:bottom w:val="none" w:sz="0" w:space="0" w:color="auto"/>
                                            <w:right w:val="none" w:sz="0" w:space="0" w:color="auto"/>
                                          </w:divBdr>
                                          <w:divsChild>
                                            <w:div w:id="201944908">
                                              <w:marLeft w:val="0"/>
                                              <w:marRight w:val="0"/>
                                              <w:marTop w:val="0"/>
                                              <w:marBottom w:val="0"/>
                                              <w:divBdr>
                                                <w:top w:val="none" w:sz="0" w:space="0" w:color="auto"/>
                                                <w:left w:val="none" w:sz="0" w:space="0" w:color="auto"/>
                                                <w:bottom w:val="none" w:sz="0" w:space="0" w:color="auto"/>
                                                <w:right w:val="none" w:sz="0" w:space="0" w:color="auto"/>
                                              </w:divBdr>
                                              <w:divsChild>
                                                <w:div w:id="31637444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9381255">
      <w:bodyDiv w:val="1"/>
      <w:marLeft w:val="0"/>
      <w:marRight w:val="0"/>
      <w:marTop w:val="0"/>
      <w:marBottom w:val="0"/>
      <w:divBdr>
        <w:top w:val="none" w:sz="0" w:space="0" w:color="auto"/>
        <w:left w:val="none" w:sz="0" w:space="0" w:color="auto"/>
        <w:bottom w:val="none" w:sz="0" w:space="0" w:color="auto"/>
        <w:right w:val="none" w:sz="0" w:space="0" w:color="auto"/>
      </w:divBdr>
    </w:div>
    <w:div w:id="1481337821">
      <w:bodyDiv w:val="1"/>
      <w:marLeft w:val="0"/>
      <w:marRight w:val="0"/>
      <w:marTop w:val="0"/>
      <w:marBottom w:val="0"/>
      <w:divBdr>
        <w:top w:val="none" w:sz="0" w:space="0" w:color="auto"/>
        <w:left w:val="none" w:sz="0" w:space="0" w:color="auto"/>
        <w:bottom w:val="none" w:sz="0" w:space="0" w:color="auto"/>
        <w:right w:val="none" w:sz="0" w:space="0" w:color="auto"/>
      </w:divBdr>
    </w:div>
    <w:div w:id="1506240958">
      <w:bodyDiv w:val="1"/>
      <w:marLeft w:val="0"/>
      <w:marRight w:val="0"/>
      <w:marTop w:val="0"/>
      <w:marBottom w:val="0"/>
      <w:divBdr>
        <w:top w:val="none" w:sz="0" w:space="0" w:color="auto"/>
        <w:left w:val="none" w:sz="0" w:space="0" w:color="auto"/>
        <w:bottom w:val="none" w:sz="0" w:space="0" w:color="auto"/>
        <w:right w:val="none" w:sz="0" w:space="0" w:color="auto"/>
      </w:divBdr>
    </w:div>
    <w:div w:id="1568998807">
      <w:bodyDiv w:val="1"/>
      <w:marLeft w:val="0"/>
      <w:marRight w:val="0"/>
      <w:marTop w:val="0"/>
      <w:marBottom w:val="0"/>
      <w:divBdr>
        <w:top w:val="none" w:sz="0" w:space="0" w:color="auto"/>
        <w:left w:val="none" w:sz="0" w:space="0" w:color="auto"/>
        <w:bottom w:val="none" w:sz="0" w:space="0" w:color="auto"/>
        <w:right w:val="none" w:sz="0" w:space="0" w:color="auto"/>
      </w:divBdr>
    </w:div>
    <w:div w:id="1960069477">
      <w:bodyDiv w:val="1"/>
      <w:marLeft w:val="0"/>
      <w:marRight w:val="0"/>
      <w:marTop w:val="0"/>
      <w:marBottom w:val="0"/>
      <w:divBdr>
        <w:top w:val="none" w:sz="0" w:space="0" w:color="auto"/>
        <w:left w:val="none" w:sz="0" w:space="0" w:color="auto"/>
        <w:bottom w:val="none" w:sz="0" w:space="0" w:color="auto"/>
        <w:right w:val="none" w:sz="0" w:space="0" w:color="auto"/>
      </w:divBdr>
    </w:div>
    <w:div w:id="2040861214">
      <w:bodyDiv w:val="1"/>
      <w:marLeft w:val="0"/>
      <w:marRight w:val="0"/>
      <w:marTop w:val="0"/>
      <w:marBottom w:val="0"/>
      <w:divBdr>
        <w:top w:val="none" w:sz="0" w:space="0" w:color="auto"/>
        <w:left w:val="none" w:sz="0" w:space="0" w:color="auto"/>
        <w:bottom w:val="none" w:sz="0" w:space="0" w:color="auto"/>
        <w:right w:val="none" w:sz="0" w:space="0" w:color="auto"/>
      </w:divBdr>
    </w:div>
    <w:div w:id="2063676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13703</Words>
  <Characters>96211</Characters>
  <Application>Microsoft Office Word</Application>
  <DocSecurity>0</DocSecurity>
  <Lines>801</Lines>
  <Paragraphs>219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mutual-recognition-decentralised-referral-pi-template-version-42_en_CLEAN_HU</vt:lpstr>
      <vt:lpstr>mutual-recognition-decentralised-referral-pi-template-version-42_en_CLEAN_HU</vt:lpstr>
    </vt:vector>
  </TitlesOfParts>
  <Company>CDT</Company>
  <LinksUpToDate>false</LinksUpToDate>
  <CharactersWithSpaces>109695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mutual-recognition-decentralised-referral-pi-template-version-42_en_CLEAN_HU</dc:title>
  <dc:creator>CDT</dc:creator>
  <cp:lastModifiedBy>HU_OGYEI.16.1.3</cp:lastModifiedBy>
  <cp:revision>3</cp:revision>
  <dcterms:created xsi:type="dcterms:W3CDTF">2026-09-01T11:56:00Z</dcterms:created>
  <dcterms:modified xsi:type="dcterms:W3CDTF">2026-09-01T11:57:00Z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15/04/2021 10:59:29</vt:lpwstr>
  </property>
  <property fmtid="{D5CDD505-2E9C-101B-9397-08002B2CF9AE}" pid="7" name="DM_Creator_Name">
    <vt:lpwstr>Akhtar Timea</vt:lpwstr>
  </property>
  <property fmtid="{D5CDD505-2E9C-101B-9397-08002B2CF9AE}" pid="8" name="DM_DocRefId">
    <vt:lpwstr>EMA/217913/2021</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EMA/217913/2021</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15/04/2021 10:59:29</vt:lpwstr>
  </property>
  <property fmtid="{D5CDD505-2E9C-101B-9397-08002B2CF9AE}" pid="35" name="DM_Modifier_Name">
    <vt:lpwstr>Akhtar Timea</vt:lpwstr>
  </property>
  <property fmtid="{D5CDD505-2E9C-101B-9397-08002B2CF9AE}" pid="36" name="DM_Modify_Date">
    <vt:lpwstr>15/04/2021 10:59:29</vt:lpwstr>
  </property>
  <property fmtid="{D5CDD505-2E9C-101B-9397-08002B2CF9AE}" pid="37" name="DM_Name">
    <vt:lpwstr>mutual-recognition-decentralised-referral-pi-template-version-42_en_CLEAN_HU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templates/2021-04 H Referral template v 4.2 Apr 21/Translation exercise/Clean templates from CDT</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JobId">
    <vt:lpwstr>a11c35a8-f7de-471c-93d7-ad0300ec1bde</vt:lpwstr>
  </property>
  <property fmtid="{D5CDD505-2E9C-101B-9397-08002B2CF9AE}" pid="46" name="MSIP_Label_afe1b31d-cec0-4074-b4bd-f07689e43d84_ActionId">
    <vt:lpwstr>30d1419a-b734-4e3b-9ae9-07c1948efd4c</vt:lpwstr>
  </property>
  <property fmtid="{D5CDD505-2E9C-101B-9397-08002B2CF9AE}" pid="47" name="MSIP_Label_afe1b31d-cec0-4074-b4bd-f07689e43d84_Application">
    <vt:lpwstr>Microsoft Azure Information Protection</vt:lpwstr>
  </property>
  <property fmtid="{D5CDD505-2E9C-101B-9397-08002B2CF9AE}" pid="48" name="MSIP_Label_afe1b31d-cec0-4074-b4bd-f07689e43d84_Enabled">
    <vt:lpwstr>True</vt:lpwstr>
  </property>
  <property fmtid="{D5CDD505-2E9C-101B-9397-08002B2CF9AE}" pid="49" name="MSIP_Label_afe1b31d-cec0-4074-b4bd-f07689e43d84_Extended_MSFT_Method">
    <vt:lpwstr>Automatic</vt:lpwstr>
  </property>
  <property fmtid="{D5CDD505-2E9C-101B-9397-08002B2CF9AE}" pid="50" name="MSIP_Label_afe1b31d-cec0-4074-b4bd-f07689e43d84_Name">
    <vt:lpwstr>Internal</vt:lpwstr>
  </property>
  <property fmtid="{D5CDD505-2E9C-101B-9397-08002B2CF9AE}" pid="51" name="MSIP_Label_afe1b31d-cec0-4074-b4bd-f07689e43d84_Owner">
    <vt:lpwstr>Tia.Akhtar@ema.europa.eu</vt:lpwstr>
  </property>
  <property fmtid="{D5CDD505-2E9C-101B-9397-08002B2CF9AE}" pid="52" name="MSIP_Label_afe1b31d-cec0-4074-b4bd-f07689e43d84_SetDate">
    <vt:lpwstr>2020-02-03T09:06:09.6925906Z</vt:lpwstr>
  </property>
  <property fmtid="{D5CDD505-2E9C-101B-9397-08002B2CF9AE}" pid="53" name="MSIP_Label_afe1b31d-cec0-4074-b4bd-f07689e43d84_SiteId">
    <vt:lpwstr>bc9dc15c-61bc-4f03-b60b-e5b6d8922839</vt:lpwstr>
  </property>
  <property fmtid="{D5CDD505-2E9C-101B-9397-08002B2CF9AE}" pid="54" name="MSIP_Label_0eea11ca-d417-4147-80ed-01a58412c458_Enabled">
    <vt:lpwstr>true</vt:lpwstr>
  </property>
  <property fmtid="{D5CDD505-2E9C-101B-9397-08002B2CF9AE}" pid="55" name="MSIP_Label_0eea11ca-d417-4147-80ed-01a58412c458_SetDate">
    <vt:lpwstr>2024-02-22T07:47:05Z</vt:lpwstr>
  </property>
  <property fmtid="{D5CDD505-2E9C-101B-9397-08002B2CF9AE}" pid="56" name="MSIP_Label_0eea11ca-d417-4147-80ed-01a58412c458_Method">
    <vt:lpwstr>Standard</vt:lpwstr>
  </property>
  <property fmtid="{D5CDD505-2E9C-101B-9397-08002B2CF9AE}" pid="57" name="MSIP_Label_0eea11ca-d417-4147-80ed-01a58412c458_Name">
    <vt:lpwstr>0eea11ca-d417-4147-80ed-01a58412c458</vt:lpwstr>
  </property>
  <property fmtid="{D5CDD505-2E9C-101B-9397-08002B2CF9AE}" pid="58" name="MSIP_Label_0eea11ca-d417-4147-80ed-01a58412c458_SiteId">
    <vt:lpwstr>bc9dc15c-61bc-4f03-b60b-e5b6d8922839</vt:lpwstr>
  </property>
  <property fmtid="{D5CDD505-2E9C-101B-9397-08002B2CF9AE}" pid="59" name="MSIP_Label_0eea11ca-d417-4147-80ed-01a58412c458_ActionId">
    <vt:lpwstr>c96143b7-c097-4575-a385-b3fcb30c7a36</vt:lpwstr>
  </property>
  <property fmtid="{D5CDD505-2E9C-101B-9397-08002B2CF9AE}" pid="60" name="MSIP_Label_0eea11ca-d417-4147-80ed-01a58412c458_ContentBits">
    <vt:lpwstr>2</vt:lpwstr>
  </property>
  <property fmtid="{D5CDD505-2E9C-101B-9397-08002B2CF9AE}" pid="61" name="MSIP_Label_3c9bec58-8084-492e-8360-0e1cfe36408c_Enabled">
    <vt:lpwstr>true</vt:lpwstr>
  </property>
  <property fmtid="{D5CDD505-2E9C-101B-9397-08002B2CF9AE}" pid="62" name="MSIP_Label_3c9bec58-8084-492e-8360-0e1cfe36408c_SetDate">
    <vt:lpwstr>2025-01-03T12:46:05Z</vt:lpwstr>
  </property>
  <property fmtid="{D5CDD505-2E9C-101B-9397-08002B2CF9AE}" pid="63" name="MSIP_Label_3c9bec58-8084-492e-8360-0e1cfe36408c_Method">
    <vt:lpwstr>Standard</vt:lpwstr>
  </property>
  <property fmtid="{D5CDD505-2E9C-101B-9397-08002B2CF9AE}" pid="64" name="MSIP_Label_3c9bec58-8084-492e-8360-0e1cfe36408c_Name">
    <vt:lpwstr>Not Protected -Pilot</vt:lpwstr>
  </property>
  <property fmtid="{D5CDD505-2E9C-101B-9397-08002B2CF9AE}" pid="65" name="MSIP_Label_3c9bec58-8084-492e-8360-0e1cfe36408c_SiteId">
    <vt:lpwstr>f35a6974-607f-47d4-82d7-ff31d7dc53a5</vt:lpwstr>
  </property>
  <property fmtid="{D5CDD505-2E9C-101B-9397-08002B2CF9AE}" pid="66" name="MSIP_Label_3c9bec58-8084-492e-8360-0e1cfe36408c_ActionId">
    <vt:lpwstr>c91c0474-2892-4d14-86a2-8d0247e4e76c</vt:lpwstr>
  </property>
  <property fmtid="{D5CDD505-2E9C-101B-9397-08002B2CF9AE}" pid="67" name="MSIP_Label_3c9bec58-8084-492e-8360-0e1cfe36408c_ContentBits">
    <vt:lpwstr>0</vt:lpwstr>
  </property>
  <property fmtid="{D5CDD505-2E9C-101B-9397-08002B2CF9AE}" pid="68" name="DMS_Doc_ID">
    <vt:lpwstr>117183815</vt:lpwstr>
  </property>
</Properties>
</file>